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8D30FA" w14:paraId="44A5F2EE" w14:textId="77777777" w:rsidTr="005879CA">
        <w:trPr>
          <w:trHeight w:val="720"/>
        </w:trPr>
        <w:tc>
          <w:tcPr>
            <w:tcW w:w="6494" w:type="dxa"/>
            <w:gridSpan w:val="2"/>
            <w:tcBorders>
              <w:bottom w:val="single" w:sz="18" w:space="0" w:color="auto"/>
            </w:tcBorders>
            <w:vAlign w:val="center"/>
          </w:tcPr>
          <w:p w14:paraId="703983F0" w14:textId="77777777" w:rsidR="008D30FA" w:rsidRDefault="008D30FA" w:rsidP="005879CA">
            <w:pPr>
              <w:rPr>
                <w:rFonts w:ascii="Univers" w:hAnsi="Univers"/>
                <w:b/>
                <w:sz w:val="28"/>
                <w:szCs w:val="28"/>
                <w:lang w:val="es-MX"/>
              </w:rPr>
            </w:pPr>
            <w:r>
              <w:rPr>
                <w:rFonts w:ascii="Univers" w:hAnsi="Univers"/>
                <w:b/>
                <w:sz w:val="28"/>
                <w:szCs w:val="28"/>
                <w:lang w:val="es-MX"/>
              </w:rPr>
              <w:t>NACIONES</w:t>
            </w:r>
          </w:p>
          <w:p w14:paraId="69879402" w14:textId="77777777" w:rsidR="008D30FA" w:rsidRDefault="008D30FA" w:rsidP="005879C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145FA74" w14:textId="77777777" w:rsidR="008D30FA" w:rsidRPr="00F87EFD" w:rsidRDefault="008D30FA" w:rsidP="005879CA">
            <w:pPr>
              <w:jc w:val="right"/>
              <w:rPr>
                <w:rFonts w:ascii="Univers" w:hAnsi="Univers" w:cstheme="minorBidi"/>
                <w:sz w:val="52"/>
                <w:szCs w:val="52"/>
              </w:rPr>
            </w:pPr>
            <w:r>
              <w:rPr>
                <w:rFonts w:ascii="Univers" w:hAnsi="Univers" w:cstheme="minorBidi"/>
                <w:b/>
                <w:sz w:val="72"/>
              </w:rPr>
              <w:t>EP</w:t>
            </w:r>
          </w:p>
        </w:tc>
      </w:tr>
      <w:tr w:rsidR="008D30FA" w:rsidRPr="00ED06E1" w14:paraId="7B594DD4" w14:textId="77777777" w:rsidTr="005879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D65768B" w14:textId="77777777" w:rsidR="008D30FA" w:rsidRDefault="008D30FA" w:rsidP="005879CA">
            <w:pPr>
              <w:spacing w:before="120"/>
            </w:pPr>
            <w:r>
              <w:rPr>
                <w:noProof/>
                <w:lang w:eastAsia="en-CA"/>
              </w:rPr>
              <w:drawing>
                <wp:anchor distT="0" distB="0" distL="114300" distR="114300" simplePos="0" relativeHeight="251659264" behindDoc="0" locked="0" layoutInCell="1" allowOverlap="1" wp14:anchorId="3EE20DF3" wp14:editId="013DF3C1">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40BCE9BC" wp14:editId="2A5FBB1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  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881836C" w14:textId="77777777" w:rsidR="008D30FA" w:rsidRDefault="008D30FA" w:rsidP="005879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B9B804F" w14:textId="77777777" w:rsidR="008D30FA" w:rsidRDefault="008D30FA" w:rsidP="005879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7960168" w14:textId="77777777" w:rsidR="008D30FA" w:rsidRDefault="008D30FA" w:rsidP="005879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0C0E128" w14:textId="77777777" w:rsidR="008D30FA" w:rsidRDefault="008D30FA" w:rsidP="005879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28A5E01" w14:textId="77777777" w:rsidR="008D30FA" w:rsidRDefault="008D30FA" w:rsidP="005879CA">
            <w:pPr>
              <w:spacing w:before="720"/>
              <w:rPr>
                <w:lang w:val="es-ES"/>
              </w:rPr>
            </w:pPr>
          </w:p>
        </w:tc>
        <w:tc>
          <w:tcPr>
            <w:tcW w:w="3586" w:type="dxa"/>
            <w:tcBorders>
              <w:top w:val="nil"/>
              <w:left w:val="nil"/>
              <w:bottom w:val="single" w:sz="36" w:space="0" w:color="auto"/>
              <w:right w:val="nil"/>
            </w:tcBorders>
          </w:tcPr>
          <w:p w14:paraId="1144EEC2" w14:textId="77777777" w:rsidR="008D30FA" w:rsidRDefault="008D30FA" w:rsidP="005879CA">
            <w:pPr>
              <w:rPr>
                <w:lang w:val="es-ES"/>
              </w:rPr>
            </w:pPr>
          </w:p>
          <w:p w14:paraId="1C8855C4" w14:textId="77777777" w:rsidR="008D30FA" w:rsidRDefault="008D30FA" w:rsidP="005879CA">
            <w:pPr>
              <w:rPr>
                <w:lang w:val="es-ES"/>
              </w:rPr>
            </w:pPr>
            <w:proofErr w:type="spellStart"/>
            <w:r>
              <w:rPr>
                <w:lang w:val="es-ES"/>
              </w:rPr>
              <w:t>Distr</w:t>
            </w:r>
            <w:proofErr w:type="spellEnd"/>
            <w:r>
              <w:rPr>
                <w:lang w:val="es-ES"/>
              </w:rPr>
              <w:t>.</w:t>
            </w:r>
          </w:p>
          <w:p w14:paraId="354EFDC2" w14:textId="77777777" w:rsidR="008D30FA" w:rsidRDefault="008D30FA" w:rsidP="005879CA">
            <w:pPr>
              <w:rPr>
                <w:lang w:val="es-ES"/>
              </w:rPr>
            </w:pPr>
            <w:r>
              <w:rPr>
                <w:lang w:val="es-ES"/>
              </w:rPr>
              <w:t>GENERAL</w:t>
            </w:r>
          </w:p>
          <w:p w14:paraId="3269CA7D" w14:textId="77777777" w:rsidR="008D30FA" w:rsidRDefault="008D30FA" w:rsidP="005879CA">
            <w:pPr>
              <w:rPr>
                <w:lang w:val="es-ES"/>
              </w:rPr>
            </w:pPr>
          </w:p>
          <w:p w14:paraId="1F89F8CA" w14:textId="77C8C103" w:rsidR="008D30FA" w:rsidRPr="00064429" w:rsidRDefault="008D30FA" w:rsidP="005879CA">
            <w:pPr>
              <w:rPr>
                <w:lang w:val="es-AR"/>
              </w:rPr>
            </w:pPr>
            <w:r>
              <w:fldChar w:fldCharType="begin"/>
            </w:r>
            <w:r>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/98/48</w:t>
            </w:r>
            <w:r>
              <w:fldChar w:fldCharType="end"/>
            </w:r>
          </w:p>
          <w:p w14:paraId="0B1A1146" w14:textId="2E3866E9" w:rsidR="008D30FA" w:rsidRPr="002D14A8" w:rsidRDefault="008D30FA" w:rsidP="005879CA">
            <w:pPr>
              <w:rPr>
                <w:lang w:val="es-ES"/>
              </w:rPr>
            </w:pPr>
            <w:r>
              <w:fldChar w:fldCharType="begin"/>
            </w:r>
            <w:r>
              <w:rPr>
                <w:lang w:val="es-ES"/>
              </w:rPr>
              <w:instrText xml:space="preserve"> DOCPROPERTY "Revision date" \@ "d MMMM YYYY"  \* MERGEFORMAT </w:instrText>
            </w:r>
            <w:r>
              <w:fldChar w:fldCharType="separate"/>
            </w:r>
            <w:r w:rsidRPr="004F0685">
              <w:rPr>
                <w:lang w:val="es-MX"/>
              </w:rPr>
              <w:t>28</w:t>
            </w:r>
            <w:r>
              <w:rPr>
                <w:lang w:val="es-ES"/>
              </w:rPr>
              <w:t xml:space="preserve"> de mayo de 2026</w:t>
            </w:r>
            <w:r>
              <w:fldChar w:fldCharType="end"/>
            </w:r>
          </w:p>
          <w:p w14:paraId="021568E3" w14:textId="77777777" w:rsidR="008D30FA" w:rsidRPr="002D14A8" w:rsidRDefault="008D30FA" w:rsidP="005879CA">
            <w:pPr>
              <w:rPr>
                <w:caps/>
                <w:lang w:val="es-ES"/>
              </w:rPr>
            </w:pPr>
          </w:p>
          <w:p w14:paraId="0A657C03" w14:textId="77777777" w:rsidR="008D30FA" w:rsidRDefault="008D30FA" w:rsidP="005879CA">
            <w:pPr>
              <w:rPr>
                <w:lang w:val="es-MX"/>
              </w:rPr>
            </w:pPr>
            <w:r>
              <w:rPr>
                <w:lang w:val="es-MX"/>
              </w:rPr>
              <w:t xml:space="preserve">ESPAÑOL </w:t>
            </w:r>
          </w:p>
          <w:p w14:paraId="72532903" w14:textId="77777777" w:rsidR="008D30FA" w:rsidRDefault="008D30FA" w:rsidP="005879CA">
            <w:pPr>
              <w:rPr>
                <w:lang w:val="es-ES"/>
              </w:rPr>
            </w:pPr>
            <w:r>
              <w:rPr>
                <w:lang w:val="es-ES"/>
              </w:rPr>
              <w:t xml:space="preserve">ORIGINAL: </w:t>
            </w:r>
            <w:r>
              <w:rPr>
                <w:lang w:val="es-MX"/>
              </w:rPr>
              <w:t>INGLÉS</w:t>
            </w:r>
          </w:p>
        </w:tc>
      </w:tr>
    </w:tbl>
    <w:p w14:paraId="2C0BACFC" w14:textId="77777777" w:rsidR="008D30FA" w:rsidRPr="002D14A8" w:rsidRDefault="008D30FA" w:rsidP="008D30F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Pr>
          <w:lang w:val="es-ES"/>
        </w:rPr>
        <w:t>Nonagésima octava reunión</w:t>
      </w:r>
    </w:p>
    <w:p w14:paraId="56F819D6" w14:textId="77777777" w:rsidR="008D30FA" w:rsidRPr="002D14A8" w:rsidRDefault="008D30FA" w:rsidP="008D30FA">
      <w:pPr>
        <w:jc w:val="left"/>
        <w:rPr>
          <w:lang w:val="es-ES"/>
        </w:rPr>
      </w:pPr>
      <w:r>
        <w:rPr>
          <w:lang w:val="es-ES"/>
        </w:rPr>
        <w:t>Montreal, 22-26 de junio de 2026</w:t>
      </w:r>
    </w:p>
    <w:p w14:paraId="0703FBDD" w14:textId="77777777" w:rsidR="008D30FA" w:rsidRPr="002D14A8" w:rsidRDefault="008D30FA" w:rsidP="008D30FA">
      <w:pPr>
        <w:jc w:val="left"/>
        <w:rPr>
          <w:lang w:val="es-ES"/>
        </w:rPr>
      </w:pPr>
      <w:r>
        <w:rPr>
          <w:lang w:val="es-ES"/>
        </w:rPr>
        <w:t>Punto 8 c) del orden del día provisional</w:t>
      </w:r>
      <w:r>
        <w:rPr>
          <w:rStyle w:val="FootnoteReference"/>
        </w:rPr>
        <w:footnoteReference w:id="1"/>
      </w:r>
    </w:p>
    <w:p w14:paraId="6E735B21" w14:textId="77777777" w:rsidR="00720EE7" w:rsidRPr="008D30FA" w:rsidRDefault="00720EE7" w:rsidP="00F435B3">
      <w:pPr>
        <w:spacing w:after="240"/>
        <w:rPr>
          <w:lang w:val="es-ES"/>
        </w:rPr>
      </w:pPr>
    </w:p>
    <w:p w14:paraId="1D4FC0B4" w14:textId="215162A0" w:rsidR="00036628" w:rsidRPr="008D30FA" w:rsidRDefault="00036628" w:rsidP="00036628">
      <w:pPr>
        <w:jc w:val="center"/>
        <w:rPr>
          <w:b/>
          <w:lang w:val="es-ES"/>
        </w:rPr>
      </w:pPr>
      <w:r>
        <w:rPr>
          <w:b/>
          <w:lang w:val="es-ES"/>
        </w:rPr>
        <w:t xml:space="preserve">PROPUESTA DE PROYECTO: </w:t>
      </w:r>
      <w:r w:rsidR="00EE7EE8">
        <w:rPr>
          <w:b/>
          <w:lang w:val="es-ES"/>
        </w:rPr>
        <w:t>SURINAME</w:t>
      </w:r>
    </w:p>
    <w:p w14:paraId="17A08406" w14:textId="77777777" w:rsidR="00036628" w:rsidRPr="008D30FA" w:rsidRDefault="00036628" w:rsidP="00036628">
      <w:pPr>
        <w:jc w:val="left"/>
        <w:rPr>
          <w:lang w:val="es-ES"/>
        </w:rPr>
      </w:pPr>
    </w:p>
    <w:p w14:paraId="03F58A5D" w14:textId="77777777" w:rsidR="00036628" w:rsidRPr="008D30FA" w:rsidRDefault="00036628" w:rsidP="00036628">
      <w:pPr>
        <w:pStyle w:val="Title1"/>
        <w:ind w:right="440"/>
        <w:jc w:val="both"/>
        <w:rPr>
          <w:b w:val="0"/>
          <w:lang w:val="es-ES"/>
        </w:rPr>
      </w:pPr>
    </w:p>
    <w:p w14:paraId="7DC9BD64" w14:textId="77777777" w:rsidR="00036628" w:rsidRPr="008D30FA" w:rsidRDefault="00036628" w:rsidP="00036628">
      <w:pPr>
        <w:ind w:firstLine="720"/>
        <w:rPr>
          <w:lang w:val="es-ES"/>
        </w:rPr>
      </w:pPr>
      <w:r>
        <w:rPr>
          <w:lang w:val="es-ES"/>
        </w:rPr>
        <w:t>Este documento contiene las observaciones y la recomendación de la Secretaría del Fondo sobre la siguiente propuesta de proyecto:</w:t>
      </w:r>
    </w:p>
    <w:p w14:paraId="3F739A97" w14:textId="77777777" w:rsidR="00036628" w:rsidRPr="008D30FA" w:rsidRDefault="00036628" w:rsidP="00036628">
      <w:pPr>
        <w:pStyle w:val="Title1"/>
        <w:rPr>
          <w:lang w:val="es-ES"/>
        </w:rPr>
      </w:pPr>
    </w:p>
    <w:p w14:paraId="50FE7709" w14:textId="77777777" w:rsidR="00036628" w:rsidRPr="00F17C60" w:rsidRDefault="00036628" w:rsidP="00036628">
      <w:pPr>
        <w:rPr>
          <w:u w:val="single"/>
        </w:rPr>
      </w:pPr>
      <w:proofErr w:type="spellStart"/>
      <w:r>
        <w:rPr>
          <w:u w:val="single"/>
        </w:rPr>
        <w:t>Eficiencia</w:t>
      </w:r>
      <w:proofErr w:type="spellEnd"/>
      <w:r>
        <w:rPr>
          <w:u w:val="single"/>
        </w:rPr>
        <w:t xml:space="preserve"> </w:t>
      </w:r>
      <w:proofErr w:type="spellStart"/>
      <w:r>
        <w:rPr>
          <w:u w:val="single"/>
        </w:rPr>
        <w:t>energética</w:t>
      </w:r>
      <w:proofErr w:type="spellEnd"/>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495"/>
        <w:gridCol w:w="1616"/>
      </w:tblGrid>
      <w:tr w:rsidR="00036628" w:rsidRPr="008254B6" w14:paraId="4AD55EE2" w14:textId="77777777" w:rsidTr="009F25A3">
        <w:tc>
          <w:tcPr>
            <w:tcW w:w="5245" w:type="dxa"/>
          </w:tcPr>
          <w:p w14:paraId="489A638B" w14:textId="77777777" w:rsidR="00036628" w:rsidRPr="008D30FA" w:rsidRDefault="00036628" w:rsidP="00E3799F">
            <w:pPr>
              <w:pStyle w:val="ListParagraph"/>
              <w:numPr>
                <w:ilvl w:val="0"/>
                <w:numId w:val="6"/>
              </w:numPr>
              <w:ind w:left="337" w:hanging="447"/>
              <w:rPr>
                <w:lang w:val="es-ES"/>
              </w:rPr>
            </w:pPr>
            <w:r>
              <w:rPr>
                <w:lang w:val="es-ES"/>
              </w:rPr>
              <w:t>Actividades adicionales orientadas a mantener la eficiencia energética en el sector de los servicios técnicos conforme a la decisión 89/6 b)</w:t>
            </w:r>
          </w:p>
        </w:tc>
        <w:tc>
          <w:tcPr>
            <w:tcW w:w="2495" w:type="dxa"/>
          </w:tcPr>
          <w:p w14:paraId="65E9A70E" w14:textId="724247CF" w:rsidR="00036628" w:rsidRPr="00BF16EE" w:rsidRDefault="009F25A3" w:rsidP="002A343A">
            <w:pPr>
              <w:jc w:val="center"/>
            </w:pPr>
            <w:r w:rsidRPr="004F0685">
              <w:rPr>
                <w:lang w:val="es-MX"/>
              </w:rPr>
              <w:t xml:space="preserve">          </w:t>
            </w:r>
            <w:r>
              <w:t>PNUMA</w:t>
            </w:r>
          </w:p>
        </w:tc>
        <w:tc>
          <w:tcPr>
            <w:tcW w:w="1616" w:type="dxa"/>
          </w:tcPr>
          <w:p w14:paraId="4FBAC2F0" w14:textId="77777777" w:rsidR="00036628" w:rsidRPr="00BF16EE" w:rsidRDefault="00036628" w:rsidP="009F25A3">
            <w:pPr>
              <w:ind w:left="321"/>
              <w:jc w:val="right"/>
            </w:pPr>
            <w:proofErr w:type="spellStart"/>
            <w:r>
              <w:t>Aprobación</w:t>
            </w:r>
            <w:proofErr w:type="spellEnd"/>
            <w:r>
              <w:t xml:space="preserve"> general</w:t>
            </w:r>
          </w:p>
        </w:tc>
      </w:tr>
    </w:tbl>
    <w:p w14:paraId="76A5DAF1" w14:textId="77777777" w:rsidR="00036628" w:rsidRPr="008254B6" w:rsidRDefault="00036628" w:rsidP="00036628">
      <w:pPr>
        <w:jc w:val="left"/>
        <w:rPr>
          <w:highlight w:val="yellow"/>
        </w:rPr>
      </w:pPr>
    </w:p>
    <w:p w14:paraId="53CD3D65" w14:textId="77777777" w:rsidR="00036628" w:rsidRPr="008254B6" w:rsidRDefault="00036628" w:rsidP="00036628">
      <w:pPr>
        <w:pStyle w:val="Title1"/>
        <w:jc w:val="right"/>
        <w:rPr>
          <w:b w:val="0"/>
          <w:highlight w:val="yellow"/>
          <w:lang w:val="en-CA"/>
        </w:rPr>
      </w:pPr>
    </w:p>
    <w:p w14:paraId="03B930A0" w14:textId="77777777" w:rsidR="00036628" w:rsidRPr="008254B6" w:rsidRDefault="00036628" w:rsidP="00036628">
      <w:pPr>
        <w:pStyle w:val="Title1"/>
        <w:rPr>
          <w:highlight w:val="yellow"/>
          <w:lang w:val="en-CA"/>
        </w:rPr>
      </w:pPr>
    </w:p>
    <w:p w14:paraId="728B10EF" w14:textId="77777777" w:rsidR="00036628" w:rsidRPr="008254B6" w:rsidRDefault="00036628" w:rsidP="00036628">
      <w:pPr>
        <w:pStyle w:val="StyleHeader4Para4Left0Firstline0"/>
        <w:numPr>
          <w:ilvl w:val="0"/>
          <w:numId w:val="0"/>
        </w:numPr>
        <w:tabs>
          <w:tab w:val="clear" w:pos="2880"/>
          <w:tab w:val="clear" w:pos="5760"/>
        </w:tabs>
        <w:jc w:val="center"/>
        <w:rPr>
          <w:b/>
          <w:sz w:val="22"/>
          <w:highlight w:val="yellow"/>
        </w:rPr>
      </w:pPr>
      <w:r>
        <w:rPr>
          <w:b/>
          <w:sz w:val="22"/>
          <w:highlight w:val="yellow"/>
        </w:rPr>
        <w:br w:type="page"/>
      </w:r>
    </w:p>
    <w:p w14:paraId="5C15A479" w14:textId="77777777" w:rsidR="00036628" w:rsidRPr="000960E8" w:rsidRDefault="00036628" w:rsidP="00036628">
      <w:pPr>
        <w:spacing w:after="240"/>
        <w:jc w:val="center"/>
        <w:rPr>
          <w:b/>
        </w:rPr>
      </w:pPr>
      <w:r>
        <w:rPr>
          <w:b/>
        </w:rPr>
        <w:lastRenderedPageBreak/>
        <w:t>DESCRIPCIÓN DEL PROYECTO</w:t>
      </w:r>
    </w:p>
    <w:p w14:paraId="45539557" w14:textId="77777777" w:rsidR="00036628" w:rsidRPr="000960E8" w:rsidRDefault="00036628" w:rsidP="00036628">
      <w:pPr>
        <w:pStyle w:val="Heading1"/>
        <w:numPr>
          <w:ilvl w:val="0"/>
          <w:numId w:val="0"/>
        </w:numPr>
        <w:spacing w:before="240"/>
      </w:pPr>
      <w:proofErr w:type="spellStart"/>
      <w:r>
        <w:rPr>
          <w:b/>
          <w:bCs/>
        </w:rPr>
        <w:t>Antecedentes</w:t>
      </w:r>
      <w:proofErr w:type="spellEnd"/>
    </w:p>
    <w:p w14:paraId="32950D36" w14:textId="3E71AD5C" w:rsidR="00036628" w:rsidRPr="008D30FA" w:rsidRDefault="00036628" w:rsidP="005721EB">
      <w:pPr>
        <w:pStyle w:val="Heading1"/>
        <w:spacing w:before="240"/>
        <w:rPr>
          <w:lang w:val="es-ES"/>
        </w:rPr>
      </w:pPr>
      <w:r>
        <w:rPr>
          <w:lang w:val="es-ES"/>
        </w:rPr>
        <w:t>La fase II del Plan de gestión para la eliminación de los HCFC (PGEH) de Suriname fue aprobada en la 93ª reunión</w:t>
      </w:r>
      <w:r>
        <w:rPr>
          <w:vertAlign w:val="superscript"/>
        </w:rPr>
        <w:footnoteReference w:id="2"/>
      </w:r>
      <w:r>
        <w:rPr>
          <w:lang w:val="es-ES"/>
        </w:rPr>
        <w:t xml:space="preserve">, con el objetivo de eliminar por completo el consumo de HCFC para 2030, con un costo total de USD 540.000, más los gastos de apoyo del organismo. De conformidad con el Acuerdo entre el Gobierno de Suriname y el Comité Ejecutivo, está previsto que el segundo tramo del PGEH se presente en la primera reunión de 2027. </w:t>
      </w:r>
    </w:p>
    <w:p w14:paraId="1B28ABF5" w14:textId="18042317" w:rsidR="00036628" w:rsidRPr="008D30FA" w:rsidRDefault="00036628" w:rsidP="00036628">
      <w:pPr>
        <w:pStyle w:val="Heading1"/>
        <w:rPr>
          <w:lang w:val="es-ES"/>
        </w:rPr>
      </w:pPr>
      <w:r>
        <w:rPr>
          <w:lang w:val="es-ES"/>
        </w:rPr>
        <w:t>En nombre del Gobierno de Suriname, el PNUMA, en su calidad de principal organismo de ejecución, ha presentado una solicitud de financiación para actividades adicionales que permitan reforzar la eficiencia energética en el sector de servicio y mantenimiento de equipos de refrigeración y aire acondicionado (RAC) y promover el uso de refrigerantes con alta eficiencia energética y de bajo potencial de calentamiento atmosférico (PCA), de conformidad con las decisiones 89/6 b) y 92/22,</w:t>
      </w:r>
      <w:r>
        <w:rPr>
          <w:rStyle w:val="FootnoteReference"/>
        </w:rPr>
        <w:footnoteReference w:id="3"/>
      </w:r>
      <w:r>
        <w:rPr>
          <w:lang w:val="es-ES"/>
        </w:rPr>
        <w:t xml:space="preserve"> por un importe de USD 100.000, más los gastos de apoyo del organismo de USD 13.000.</w:t>
      </w:r>
      <w:r>
        <w:rPr>
          <w:rStyle w:val="FootnoteReference"/>
        </w:rPr>
        <w:footnoteReference w:id="4"/>
      </w:r>
      <w:r>
        <w:rPr>
          <w:lang w:val="es-ES"/>
        </w:rPr>
        <w:t xml:space="preserve"> La propuesta incluye una descripción de las actividades específicas, los objetivos y un plan de ejecución de julio de 2026 a junio de 2028.</w:t>
      </w:r>
    </w:p>
    <w:p w14:paraId="5F893BF1" w14:textId="77777777" w:rsidR="00036628" w:rsidRPr="008D30FA" w:rsidRDefault="00036628" w:rsidP="00036628">
      <w:pPr>
        <w:pStyle w:val="Heading1"/>
        <w:numPr>
          <w:ilvl w:val="0"/>
          <w:numId w:val="0"/>
        </w:numPr>
        <w:rPr>
          <w:u w:val="single"/>
          <w:lang w:val="es-ES"/>
        </w:rPr>
      </w:pPr>
      <w:r>
        <w:rPr>
          <w:u w:val="single"/>
          <w:lang w:val="es-ES"/>
        </w:rPr>
        <w:t>Informe sobre el consumo de HCFC</w:t>
      </w:r>
    </w:p>
    <w:p w14:paraId="36E9EB86" w14:textId="6752921D" w:rsidR="00C532D7" w:rsidRPr="008D30FA" w:rsidRDefault="00B30761" w:rsidP="00B30761">
      <w:pPr>
        <w:pStyle w:val="Heading1"/>
        <w:rPr>
          <w:bCs/>
          <w:lang w:val="es-ES"/>
        </w:rPr>
      </w:pPr>
      <w:bookmarkStart w:id="0" w:name="_Hlk141281293"/>
      <w:r>
        <w:rPr>
          <w:lang w:val="es-ES"/>
        </w:rPr>
        <w:t xml:space="preserve">El Gobierno de Suriname notificó un consumo de 0,00 toneladas PAO de HCFC en 2024, lo que supone un 100 % por debajo del nivel básico de referencia para el cumplimiento. Aún no se han comunicado los datos del artículo 7 ni los datos de ejecución del programa de país para 2025. El consumo de HCFC para el período 2020–2024 se muestra en el Cuadro 1. </w:t>
      </w:r>
    </w:p>
    <w:bookmarkEnd w:id="0"/>
    <w:p w14:paraId="46FD38C3" w14:textId="06CFDD49" w:rsidR="00C532D7" w:rsidRPr="008D30FA" w:rsidRDefault="00C532D7" w:rsidP="00C532D7">
      <w:pPr>
        <w:keepNext/>
        <w:widowControl w:val="0"/>
        <w:rPr>
          <w:b/>
          <w:highlight w:val="yellow"/>
          <w:lang w:val="es-ES"/>
        </w:rPr>
      </w:pPr>
      <w:r>
        <w:rPr>
          <w:b/>
          <w:lang w:val="es-ES"/>
        </w:rPr>
        <w:t>Cuadro 1. Consumo de HCFC en Suriname (datos de 2020-2024 con arreglo al artículo 7)</w:t>
      </w:r>
    </w:p>
    <w:tbl>
      <w:tblPr>
        <w:tblW w:w="5000" w:type="pct"/>
        <w:tblLayout w:type="fixed"/>
        <w:tblLook w:val="04A0" w:firstRow="1" w:lastRow="0" w:firstColumn="1" w:lastColumn="0" w:noHBand="0" w:noVBand="1"/>
      </w:tblPr>
      <w:tblGrid>
        <w:gridCol w:w="2154"/>
        <w:gridCol w:w="1199"/>
        <w:gridCol w:w="1199"/>
        <w:gridCol w:w="1199"/>
        <w:gridCol w:w="1199"/>
        <w:gridCol w:w="1199"/>
        <w:gridCol w:w="1201"/>
      </w:tblGrid>
      <w:tr w:rsidR="00151C2D" w:rsidRPr="0058786D" w14:paraId="2D889DCD" w14:textId="77777777" w:rsidTr="009F25A3">
        <w:trPr>
          <w:trHeight w:val="209"/>
          <w:tblHeader/>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151C2D" w:rsidRPr="0058786D" w:rsidRDefault="00151C2D" w:rsidP="00F31BC7">
            <w:pPr>
              <w:widowControl w:val="0"/>
              <w:jc w:val="left"/>
              <w:rPr>
                <w:b/>
                <w:bCs/>
                <w:color w:val="000000"/>
                <w:sz w:val="20"/>
                <w:szCs w:val="20"/>
              </w:rPr>
            </w:pPr>
            <w:r>
              <w:rPr>
                <w:b/>
                <w:bCs/>
                <w:color w:val="000000"/>
                <w:sz w:val="20"/>
                <w:szCs w:val="20"/>
              </w:rPr>
              <w:t>HCFC</w:t>
            </w:r>
          </w:p>
        </w:tc>
        <w:tc>
          <w:tcPr>
            <w:tcW w:w="641" w:type="pct"/>
            <w:tcBorders>
              <w:top w:val="single" w:sz="4" w:space="0" w:color="auto"/>
              <w:left w:val="nil"/>
              <w:bottom w:val="single" w:sz="4" w:space="0" w:color="auto"/>
              <w:right w:val="single" w:sz="4" w:space="0" w:color="auto"/>
            </w:tcBorders>
            <w:vAlign w:val="center"/>
          </w:tcPr>
          <w:p w14:paraId="385B697C" w14:textId="0AE8FAB1" w:rsidR="00151C2D" w:rsidRPr="0058786D" w:rsidRDefault="00A13BD5" w:rsidP="00F31BC7">
            <w:pPr>
              <w:widowControl w:val="0"/>
              <w:jc w:val="center"/>
              <w:rPr>
                <w:b/>
                <w:bCs/>
                <w:color w:val="000000"/>
                <w:sz w:val="20"/>
                <w:szCs w:val="20"/>
              </w:rPr>
            </w:pPr>
            <w:r>
              <w:rPr>
                <w:b/>
                <w:bCs/>
                <w:color w:val="000000"/>
                <w:sz w:val="20"/>
                <w:szCs w:val="20"/>
              </w:rPr>
              <w:t>2020</w:t>
            </w:r>
          </w:p>
        </w:tc>
        <w:tc>
          <w:tcPr>
            <w:tcW w:w="641" w:type="pct"/>
            <w:tcBorders>
              <w:top w:val="single" w:sz="4" w:space="0" w:color="auto"/>
              <w:left w:val="single" w:sz="4" w:space="0" w:color="auto"/>
              <w:bottom w:val="single" w:sz="4" w:space="0" w:color="auto"/>
              <w:right w:val="single" w:sz="4" w:space="0" w:color="auto"/>
            </w:tcBorders>
            <w:vAlign w:val="center"/>
          </w:tcPr>
          <w:p w14:paraId="017F5545" w14:textId="095260E2" w:rsidR="00151C2D" w:rsidRPr="0058786D" w:rsidRDefault="00151C2D" w:rsidP="00F31BC7">
            <w:pPr>
              <w:widowControl w:val="0"/>
              <w:jc w:val="center"/>
              <w:rPr>
                <w:b/>
                <w:bCs/>
                <w:color w:val="000000"/>
                <w:sz w:val="20"/>
                <w:szCs w:val="20"/>
              </w:rPr>
            </w:pPr>
            <w:r>
              <w:rPr>
                <w:b/>
                <w:bCs/>
                <w:color w:val="000000"/>
                <w:sz w:val="20"/>
                <w:szCs w:val="20"/>
              </w:rPr>
              <w:t>2021</w:t>
            </w:r>
          </w:p>
        </w:tc>
        <w:tc>
          <w:tcPr>
            <w:tcW w:w="641" w:type="pct"/>
            <w:tcBorders>
              <w:top w:val="single" w:sz="4" w:space="0" w:color="auto"/>
              <w:left w:val="single" w:sz="4" w:space="0" w:color="auto"/>
              <w:bottom w:val="single" w:sz="4" w:space="0" w:color="auto"/>
              <w:right w:val="single" w:sz="4" w:space="0" w:color="auto"/>
            </w:tcBorders>
            <w:noWrap/>
            <w:vAlign w:val="center"/>
          </w:tcPr>
          <w:p w14:paraId="45B8191F" w14:textId="4C554DFB" w:rsidR="00151C2D" w:rsidRPr="0058786D" w:rsidRDefault="00151C2D" w:rsidP="00F31BC7">
            <w:pPr>
              <w:widowControl w:val="0"/>
              <w:jc w:val="center"/>
              <w:rPr>
                <w:b/>
                <w:bCs/>
                <w:color w:val="000000"/>
                <w:sz w:val="20"/>
                <w:szCs w:val="20"/>
              </w:rPr>
            </w:pPr>
            <w:r>
              <w:rPr>
                <w:b/>
                <w:bCs/>
                <w:color w:val="000000"/>
                <w:sz w:val="20"/>
                <w:szCs w:val="20"/>
              </w:rPr>
              <w:t>2022</w:t>
            </w:r>
          </w:p>
        </w:tc>
        <w:tc>
          <w:tcPr>
            <w:tcW w:w="641" w:type="pct"/>
            <w:tcBorders>
              <w:top w:val="single" w:sz="4" w:space="0" w:color="auto"/>
              <w:left w:val="single" w:sz="4" w:space="0" w:color="auto"/>
              <w:bottom w:val="single" w:sz="4" w:space="0" w:color="auto"/>
              <w:right w:val="single" w:sz="4" w:space="0" w:color="auto"/>
            </w:tcBorders>
            <w:noWrap/>
            <w:vAlign w:val="center"/>
          </w:tcPr>
          <w:p w14:paraId="42A889E9" w14:textId="7F03536B" w:rsidR="00151C2D" w:rsidRPr="0058786D" w:rsidRDefault="00151C2D" w:rsidP="00F31BC7">
            <w:pPr>
              <w:widowControl w:val="0"/>
              <w:jc w:val="center"/>
              <w:rPr>
                <w:b/>
                <w:bCs/>
                <w:color w:val="000000"/>
                <w:sz w:val="20"/>
                <w:szCs w:val="20"/>
              </w:rPr>
            </w:pPr>
            <w:r>
              <w:rPr>
                <w:b/>
                <w:bCs/>
                <w:color w:val="000000"/>
                <w:sz w:val="20"/>
                <w:szCs w:val="20"/>
              </w:rPr>
              <w:t>2023</w:t>
            </w:r>
          </w:p>
        </w:tc>
        <w:tc>
          <w:tcPr>
            <w:tcW w:w="641" w:type="pct"/>
            <w:tcBorders>
              <w:top w:val="single" w:sz="4" w:space="0" w:color="auto"/>
              <w:left w:val="single" w:sz="4" w:space="0" w:color="auto"/>
              <w:bottom w:val="single" w:sz="4" w:space="0" w:color="auto"/>
              <w:right w:val="single" w:sz="4" w:space="0" w:color="auto"/>
            </w:tcBorders>
            <w:vAlign w:val="center"/>
          </w:tcPr>
          <w:p w14:paraId="56BF8CB4" w14:textId="4C659661" w:rsidR="00151C2D" w:rsidRPr="0058786D" w:rsidRDefault="00151C2D" w:rsidP="00F31BC7">
            <w:pPr>
              <w:widowControl w:val="0"/>
              <w:jc w:val="center"/>
              <w:rPr>
                <w:b/>
                <w:bCs/>
                <w:color w:val="000000"/>
                <w:sz w:val="20"/>
                <w:szCs w:val="20"/>
              </w:rPr>
            </w:pPr>
            <w:r>
              <w:rPr>
                <w:b/>
                <w:bCs/>
                <w:color w:val="000000"/>
                <w:sz w:val="20"/>
                <w:szCs w:val="20"/>
              </w:rPr>
              <w:t>2024</w:t>
            </w:r>
          </w:p>
        </w:tc>
        <w:tc>
          <w:tcPr>
            <w:tcW w:w="642"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151C2D" w:rsidRPr="0058786D" w:rsidRDefault="00151C2D" w:rsidP="00F31BC7">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r>
              <w:rPr>
                <w:b/>
                <w:bCs/>
                <w:color w:val="000000"/>
                <w:sz w:val="20"/>
                <w:szCs w:val="20"/>
              </w:rPr>
              <w:t xml:space="preserve"> de </w:t>
            </w:r>
            <w:proofErr w:type="spellStart"/>
            <w:r>
              <w:rPr>
                <w:b/>
                <w:bCs/>
                <w:color w:val="000000"/>
                <w:sz w:val="20"/>
                <w:szCs w:val="20"/>
              </w:rPr>
              <w:t>referencia</w:t>
            </w:r>
            <w:proofErr w:type="spellEnd"/>
          </w:p>
        </w:tc>
      </w:tr>
      <w:tr w:rsidR="00151C2D" w:rsidRPr="0058786D" w14:paraId="60E07221" w14:textId="77777777" w:rsidTr="009F25A3">
        <w:trPr>
          <w:trHeight w:val="209"/>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3735D08B" w:rsidR="00151C2D" w:rsidRPr="0058786D" w:rsidRDefault="00F6097F" w:rsidP="00F31BC7">
            <w:pPr>
              <w:widowControl w:val="0"/>
              <w:jc w:val="left"/>
              <w:rPr>
                <w:b/>
                <w:bCs/>
                <w:color w:val="000000"/>
                <w:sz w:val="20"/>
                <w:szCs w:val="20"/>
              </w:rPr>
            </w:pPr>
            <w:proofErr w:type="spellStart"/>
            <w:r w:rsidRPr="00F6097F">
              <w:rPr>
                <w:b/>
                <w:bCs/>
                <w:color w:val="000000"/>
                <w:sz w:val="20"/>
                <w:szCs w:val="20"/>
              </w:rPr>
              <w:t>Toneladas</w:t>
            </w:r>
            <w:proofErr w:type="spellEnd"/>
            <w:r w:rsidRPr="00F6097F">
              <w:rPr>
                <w:b/>
                <w:bCs/>
                <w:color w:val="000000"/>
                <w:sz w:val="20"/>
                <w:szCs w:val="20"/>
              </w:rPr>
              <w:t xml:space="preserve"> </w:t>
            </w:r>
            <w:proofErr w:type="spellStart"/>
            <w:r w:rsidRPr="00F6097F">
              <w:rPr>
                <w:b/>
                <w:bCs/>
                <w:color w:val="000000"/>
                <w:sz w:val="20"/>
                <w:szCs w:val="20"/>
              </w:rPr>
              <w:t>métricas</w:t>
            </w:r>
            <w:proofErr w:type="spellEnd"/>
            <w:r w:rsidRPr="00F6097F">
              <w:rPr>
                <w:b/>
                <w:bCs/>
                <w:color w:val="000000"/>
                <w:sz w:val="20"/>
                <w:szCs w:val="20"/>
              </w:rPr>
              <w:t xml:space="preserve"> (t)</w:t>
            </w:r>
          </w:p>
        </w:tc>
        <w:tc>
          <w:tcPr>
            <w:tcW w:w="641" w:type="pct"/>
            <w:tcBorders>
              <w:top w:val="single" w:sz="4" w:space="0" w:color="auto"/>
              <w:left w:val="nil"/>
              <w:bottom w:val="single" w:sz="4" w:space="0" w:color="auto"/>
              <w:right w:val="single" w:sz="4" w:space="0" w:color="auto"/>
            </w:tcBorders>
            <w:vAlign w:val="center"/>
          </w:tcPr>
          <w:p w14:paraId="7E53B8AC" w14:textId="77777777" w:rsidR="00151C2D" w:rsidRPr="0058786D" w:rsidRDefault="00151C2D" w:rsidP="00F31BC7">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69047DD0" w14:textId="097C3D98" w:rsidR="00151C2D" w:rsidRPr="0058786D" w:rsidRDefault="00151C2D" w:rsidP="00F31BC7">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noWrap/>
            <w:vAlign w:val="center"/>
          </w:tcPr>
          <w:p w14:paraId="2E247BFF" w14:textId="475A29DA" w:rsidR="00151C2D" w:rsidRPr="0058786D" w:rsidRDefault="00151C2D" w:rsidP="00F31BC7">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noWrap/>
            <w:vAlign w:val="center"/>
          </w:tcPr>
          <w:p w14:paraId="48B5C445" w14:textId="77777777" w:rsidR="00151C2D" w:rsidRPr="0058786D" w:rsidRDefault="00151C2D" w:rsidP="00F31BC7">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003774B8" w14:textId="77777777" w:rsidR="00151C2D" w:rsidRPr="0058786D" w:rsidRDefault="00151C2D" w:rsidP="00F31BC7">
            <w:pPr>
              <w:widowControl w:val="0"/>
              <w:jc w:val="center"/>
              <w:rPr>
                <w:b/>
                <w:bCs/>
                <w:color w:val="000000"/>
                <w:sz w:val="20"/>
                <w:szCs w:val="20"/>
              </w:rPr>
            </w:pPr>
          </w:p>
        </w:tc>
        <w:tc>
          <w:tcPr>
            <w:tcW w:w="642"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151C2D" w:rsidRPr="0058786D" w:rsidRDefault="00151C2D" w:rsidP="00F31BC7">
            <w:pPr>
              <w:widowControl w:val="0"/>
              <w:jc w:val="center"/>
              <w:rPr>
                <w:b/>
                <w:bCs/>
                <w:color w:val="000000"/>
                <w:sz w:val="20"/>
                <w:szCs w:val="20"/>
              </w:rPr>
            </w:pPr>
          </w:p>
        </w:tc>
      </w:tr>
      <w:tr w:rsidR="00151C2D" w:rsidRPr="0058786D" w14:paraId="03B34641" w14:textId="77777777" w:rsidTr="009F25A3">
        <w:trPr>
          <w:trHeight w:val="209"/>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151C2D" w:rsidRPr="0058786D" w:rsidRDefault="00151C2D" w:rsidP="004D12C3">
            <w:pPr>
              <w:widowControl w:val="0"/>
              <w:jc w:val="left"/>
              <w:rPr>
                <w:color w:val="000000"/>
                <w:sz w:val="20"/>
                <w:szCs w:val="20"/>
              </w:rPr>
            </w:pPr>
            <w:r>
              <w:rPr>
                <w:color w:val="000000"/>
                <w:sz w:val="20"/>
                <w:szCs w:val="20"/>
              </w:rPr>
              <w:t>HCFC-22</w:t>
            </w:r>
          </w:p>
        </w:tc>
        <w:tc>
          <w:tcPr>
            <w:tcW w:w="641" w:type="pct"/>
            <w:tcBorders>
              <w:top w:val="single" w:sz="4" w:space="0" w:color="auto"/>
              <w:left w:val="nil"/>
              <w:bottom w:val="single" w:sz="4" w:space="0" w:color="auto"/>
              <w:right w:val="single" w:sz="4" w:space="0" w:color="auto"/>
            </w:tcBorders>
            <w:vAlign w:val="center"/>
          </w:tcPr>
          <w:p w14:paraId="0534D411" w14:textId="202779B1" w:rsidR="00151C2D" w:rsidRPr="0058786D" w:rsidRDefault="009818E0" w:rsidP="004D12C3">
            <w:pPr>
              <w:widowControl w:val="0"/>
              <w:jc w:val="right"/>
              <w:rPr>
                <w:color w:val="000000"/>
                <w:sz w:val="20"/>
                <w:szCs w:val="20"/>
              </w:rPr>
            </w:pPr>
            <w:r>
              <w:rPr>
                <w:color w:val="000000"/>
                <w:sz w:val="20"/>
                <w:szCs w:val="20"/>
              </w:rPr>
              <w:t>6,20</w:t>
            </w:r>
          </w:p>
        </w:tc>
        <w:tc>
          <w:tcPr>
            <w:tcW w:w="641" w:type="pct"/>
            <w:tcBorders>
              <w:top w:val="single" w:sz="4" w:space="0" w:color="auto"/>
              <w:left w:val="single" w:sz="4" w:space="0" w:color="auto"/>
              <w:bottom w:val="single" w:sz="4" w:space="0" w:color="auto"/>
              <w:right w:val="single" w:sz="4" w:space="0" w:color="auto"/>
            </w:tcBorders>
            <w:vAlign w:val="center"/>
          </w:tcPr>
          <w:p w14:paraId="17197855" w14:textId="0C853AFE" w:rsidR="00151C2D" w:rsidRPr="0058786D" w:rsidRDefault="009818E0" w:rsidP="004D12C3">
            <w:pPr>
              <w:widowControl w:val="0"/>
              <w:jc w:val="right"/>
              <w:rPr>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B16EA6C" w14:textId="163CFA43" w:rsidR="00151C2D" w:rsidRPr="0058786D" w:rsidRDefault="009818E0" w:rsidP="004D12C3">
            <w:pPr>
              <w:widowControl w:val="0"/>
              <w:jc w:val="right"/>
              <w:rPr>
                <w:sz w:val="20"/>
                <w:szCs w:val="20"/>
              </w:rPr>
            </w:pPr>
            <w:r>
              <w:rPr>
                <w:sz w:val="20"/>
                <w:szCs w:val="20"/>
              </w:rPr>
              <w:t>1,77</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92C1A0F" w14:textId="4B305873" w:rsidR="00151C2D" w:rsidRPr="0058786D" w:rsidRDefault="009818E0" w:rsidP="004D12C3">
            <w:pPr>
              <w:widowControl w:val="0"/>
              <w:jc w:val="right"/>
              <w:rPr>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BF08FC8" w14:textId="14BABBFC" w:rsidR="00151C2D" w:rsidRPr="0058786D" w:rsidRDefault="009818E0" w:rsidP="004D12C3">
            <w:pPr>
              <w:widowControl w:val="0"/>
              <w:jc w:val="right"/>
              <w:rPr>
                <w:color w:val="000000"/>
                <w:sz w:val="20"/>
                <w:szCs w:val="20"/>
              </w:rPr>
            </w:pPr>
            <w:r>
              <w:rPr>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A929037" w14:textId="77B91C3E" w:rsidR="00151C2D" w:rsidRPr="0058786D" w:rsidRDefault="00EB26E6" w:rsidP="004D12C3">
            <w:pPr>
              <w:widowControl w:val="0"/>
              <w:jc w:val="right"/>
              <w:rPr>
                <w:color w:val="000000"/>
                <w:sz w:val="20"/>
                <w:szCs w:val="20"/>
              </w:rPr>
            </w:pPr>
            <w:r>
              <w:rPr>
                <w:sz w:val="20"/>
                <w:szCs w:val="20"/>
                <w:lang w:val="en-US"/>
              </w:rPr>
              <w:t>35,30</w:t>
            </w:r>
          </w:p>
        </w:tc>
      </w:tr>
      <w:tr w:rsidR="00151C2D" w:rsidRPr="0058786D" w14:paraId="04E81A12" w14:textId="77777777" w:rsidTr="009F25A3">
        <w:trPr>
          <w:trHeight w:val="209"/>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18B25CA6" w:rsidR="00151C2D" w:rsidRPr="0058786D" w:rsidRDefault="009A6152" w:rsidP="004D12C3">
            <w:pPr>
              <w:widowControl w:val="0"/>
              <w:jc w:val="left"/>
              <w:rPr>
                <w:color w:val="000000"/>
                <w:sz w:val="20"/>
                <w:szCs w:val="20"/>
              </w:rPr>
            </w:pPr>
            <w:r>
              <w:rPr>
                <w:color w:val="000000"/>
                <w:sz w:val="20"/>
                <w:szCs w:val="20"/>
              </w:rPr>
              <w:t>HCFC-142b</w:t>
            </w:r>
          </w:p>
        </w:tc>
        <w:tc>
          <w:tcPr>
            <w:tcW w:w="641" w:type="pct"/>
            <w:tcBorders>
              <w:top w:val="single" w:sz="4" w:space="0" w:color="auto"/>
              <w:left w:val="nil"/>
              <w:bottom w:val="single" w:sz="4" w:space="0" w:color="auto"/>
              <w:right w:val="single" w:sz="4" w:space="0" w:color="auto"/>
            </w:tcBorders>
            <w:vAlign w:val="center"/>
          </w:tcPr>
          <w:p w14:paraId="5470D958" w14:textId="48A43D31" w:rsidR="00151C2D" w:rsidRPr="0058786D" w:rsidRDefault="009818E0" w:rsidP="004D12C3">
            <w:pPr>
              <w:widowControl w:val="0"/>
              <w:jc w:val="right"/>
              <w:rPr>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vAlign w:val="center"/>
          </w:tcPr>
          <w:p w14:paraId="0F9D499F" w14:textId="6D58882E" w:rsidR="00151C2D" w:rsidRPr="0058786D" w:rsidRDefault="00151C2D" w:rsidP="004D12C3">
            <w:pPr>
              <w:widowControl w:val="0"/>
              <w:jc w:val="right"/>
              <w:rPr>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5CBCBBD" w14:textId="5A71B5CE" w:rsidR="00151C2D" w:rsidRPr="0058786D" w:rsidRDefault="009A6152" w:rsidP="004D12C3">
            <w:pPr>
              <w:widowControl w:val="0"/>
              <w:jc w:val="right"/>
              <w:rPr>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53F7DD" w14:textId="4408B990" w:rsidR="00151C2D" w:rsidRPr="0058786D" w:rsidRDefault="00151C2D" w:rsidP="004D12C3">
            <w:pPr>
              <w:widowControl w:val="0"/>
              <w:jc w:val="right"/>
              <w:rPr>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E58A9D5" w14:textId="5ACA6559" w:rsidR="00151C2D" w:rsidRPr="0058786D" w:rsidRDefault="009A6152" w:rsidP="004D12C3">
            <w:pPr>
              <w:widowControl w:val="0"/>
              <w:jc w:val="right"/>
              <w:rPr>
                <w:color w:val="000000"/>
                <w:sz w:val="20"/>
                <w:szCs w:val="20"/>
              </w:rPr>
            </w:pPr>
            <w:r>
              <w:rPr>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442E215" w14:textId="4CDC4AF0" w:rsidR="00151C2D" w:rsidRPr="0058786D" w:rsidRDefault="00151C2D" w:rsidP="004D12C3">
            <w:pPr>
              <w:widowControl w:val="0"/>
              <w:jc w:val="right"/>
              <w:rPr>
                <w:color w:val="000000"/>
                <w:sz w:val="20"/>
                <w:szCs w:val="20"/>
              </w:rPr>
            </w:pPr>
            <w:r>
              <w:rPr>
                <w:color w:val="000000"/>
                <w:sz w:val="20"/>
                <w:szCs w:val="20"/>
                <w:lang w:val="en-US"/>
              </w:rPr>
              <w:t>0,60</w:t>
            </w:r>
          </w:p>
        </w:tc>
      </w:tr>
      <w:tr w:rsidR="009818E0" w:rsidRPr="0058786D" w14:paraId="026B878F" w14:textId="77777777" w:rsidTr="009F25A3">
        <w:trPr>
          <w:trHeight w:val="209"/>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3CE13B" w14:textId="77777777" w:rsidR="009818E0" w:rsidRPr="0058786D" w:rsidRDefault="009818E0" w:rsidP="009818E0">
            <w:pPr>
              <w:jc w:val="left"/>
              <w:rPr>
                <w:rFonts w:eastAsiaTheme="minorHAnsi"/>
                <w:b/>
                <w:color w:val="000000"/>
                <w:sz w:val="20"/>
                <w:szCs w:val="20"/>
              </w:rPr>
            </w:pPr>
            <w:r>
              <w:rPr>
                <w:b/>
                <w:color w:val="000000"/>
                <w:sz w:val="20"/>
                <w:szCs w:val="20"/>
              </w:rPr>
              <w:t>Total (t)</w:t>
            </w:r>
          </w:p>
        </w:tc>
        <w:tc>
          <w:tcPr>
            <w:tcW w:w="641" w:type="pct"/>
            <w:tcBorders>
              <w:top w:val="single" w:sz="4" w:space="0" w:color="auto"/>
              <w:left w:val="nil"/>
              <w:bottom w:val="single" w:sz="4" w:space="0" w:color="auto"/>
              <w:right w:val="single" w:sz="4" w:space="0" w:color="auto"/>
            </w:tcBorders>
            <w:vAlign w:val="center"/>
          </w:tcPr>
          <w:p w14:paraId="362578A6" w14:textId="7ABB02C0" w:rsidR="009818E0" w:rsidRPr="0058786D" w:rsidRDefault="009818E0" w:rsidP="009818E0">
            <w:pPr>
              <w:widowControl w:val="0"/>
              <w:jc w:val="right"/>
              <w:rPr>
                <w:b/>
                <w:bCs/>
                <w:sz w:val="20"/>
                <w:szCs w:val="20"/>
              </w:rPr>
            </w:pPr>
            <w:r>
              <w:rPr>
                <w:b/>
                <w:bCs/>
                <w:color w:val="000000"/>
                <w:sz w:val="20"/>
                <w:szCs w:val="20"/>
              </w:rPr>
              <w:t>6,20</w:t>
            </w:r>
          </w:p>
        </w:tc>
        <w:tc>
          <w:tcPr>
            <w:tcW w:w="641" w:type="pct"/>
            <w:tcBorders>
              <w:top w:val="single" w:sz="4" w:space="0" w:color="auto"/>
              <w:left w:val="single" w:sz="4" w:space="0" w:color="auto"/>
              <w:bottom w:val="single" w:sz="4" w:space="0" w:color="auto"/>
              <w:right w:val="single" w:sz="4" w:space="0" w:color="auto"/>
            </w:tcBorders>
            <w:vAlign w:val="center"/>
          </w:tcPr>
          <w:p w14:paraId="287CECF6" w14:textId="5367A47B" w:rsidR="009818E0" w:rsidRPr="0058786D" w:rsidRDefault="009818E0" w:rsidP="009818E0">
            <w:pPr>
              <w:widowControl w:val="0"/>
              <w:jc w:val="right"/>
              <w:rPr>
                <w:b/>
                <w:bCs/>
                <w:color w:val="000000"/>
                <w:sz w:val="20"/>
                <w:szCs w:val="20"/>
              </w:rPr>
            </w:pPr>
            <w:r>
              <w:rPr>
                <w:b/>
                <w:bCs/>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997338" w14:textId="19A82859" w:rsidR="009818E0" w:rsidRPr="0058786D" w:rsidRDefault="009818E0" w:rsidP="009818E0">
            <w:pPr>
              <w:widowControl w:val="0"/>
              <w:jc w:val="right"/>
              <w:rPr>
                <w:b/>
                <w:bCs/>
                <w:color w:val="000000"/>
                <w:sz w:val="20"/>
                <w:szCs w:val="20"/>
              </w:rPr>
            </w:pPr>
            <w:r>
              <w:rPr>
                <w:b/>
                <w:bCs/>
                <w:sz w:val="20"/>
                <w:szCs w:val="20"/>
              </w:rPr>
              <w:t>1,77</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E5FC90" w14:textId="104AE460" w:rsidR="009818E0" w:rsidRPr="0058786D" w:rsidRDefault="009818E0" w:rsidP="009818E0">
            <w:pPr>
              <w:widowControl w:val="0"/>
              <w:jc w:val="right"/>
              <w:rPr>
                <w:b/>
                <w:bCs/>
                <w:color w:val="000000"/>
                <w:sz w:val="20"/>
                <w:szCs w:val="20"/>
              </w:rPr>
            </w:pPr>
            <w:r>
              <w:rPr>
                <w:b/>
                <w:bCs/>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171C9E" w14:textId="752A30FD" w:rsidR="009818E0" w:rsidRPr="0058786D" w:rsidRDefault="009818E0" w:rsidP="009818E0">
            <w:pPr>
              <w:widowControl w:val="0"/>
              <w:jc w:val="right"/>
              <w:rPr>
                <w:b/>
                <w:bCs/>
                <w:color w:val="000000"/>
                <w:sz w:val="20"/>
                <w:szCs w:val="20"/>
              </w:rPr>
            </w:pPr>
            <w:r>
              <w:rPr>
                <w:b/>
                <w:bCs/>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4A4AD567" w:rsidR="009818E0" w:rsidRPr="0058786D" w:rsidRDefault="009818E0" w:rsidP="009818E0">
            <w:pPr>
              <w:widowControl w:val="0"/>
              <w:jc w:val="right"/>
              <w:rPr>
                <w:b/>
                <w:bCs/>
                <w:color w:val="000000"/>
                <w:sz w:val="20"/>
                <w:szCs w:val="20"/>
              </w:rPr>
            </w:pPr>
            <w:r>
              <w:rPr>
                <w:b/>
                <w:bCs/>
                <w:color w:val="000000"/>
                <w:sz w:val="20"/>
                <w:szCs w:val="20"/>
              </w:rPr>
              <w:t>35,90</w:t>
            </w:r>
          </w:p>
        </w:tc>
      </w:tr>
      <w:tr w:rsidR="00151C2D" w:rsidRPr="0058786D" w14:paraId="79007C14" w14:textId="77777777" w:rsidTr="009F25A3">
        <w:trPr>
          <w:trHeight w:val="209"/>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151C2D" w:rsidRPr="0058786D" w:rsidRDefault="00151C2D" w:rsidP="00F31BC7">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c>
          <w:tcPr>
            <w:tcW w:w="641" w:type="pct"/>
            <w:tcBorders>
              <w:top w:val="single" w:sz="4" w:space="0" w:color="auto"/>
              <w:left w:val="single" w:sz="4" w:space="0" w:color="auto"/>
              <w:bottom w:val="single" w:sz="4" w:space="0" w:color="auto"/>
              <w:right w:val="single" w:sz="4" w:space="0" w:color="auto"/>
            </w:tcBorders>
            <w:vAlign w:val="center"/>
          </w:tcPr>
          <w:p w14:paraId="407BE602" w14:textId="77777777" w:rsidR="00151C2D" w:rsidRPr="0058786D" w:rsidRDefault="00151C2D" w:rsidP="00F31BC7">
            <w:pPr>
              <w:widowControl w:val="0"/>
              <w:jc w:val="right"/>
              <w:rPr>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3D5A88DF" w14:textId="2EB06769" w:rsidR="00151C2D" w:rsidRPr="0058786D" w:rsidRDefault="00151C2D" w:rsidP="00F31BC7">
            <w:pPr>
              <w:widowControl w:val="0"/>
              <w:jc w:val="right"/>
              <w:rPr>
                <w:color w:val="000000"/>
                <w:sz w:val="20"/>
                <w:szCs w:val="20"/>
              </w:rPr>
            </w:pP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78A19E8" w14:textId="0941D379" w:rsidR="00151C2D" w:rsidRPr="0058786D" w:rsidRDefault="00151C2D" w:rsidP="00F31BC7">
            <w:pPr>
              <w:widowControl w:val="0"/>
              <w:jc w:val="right"/>
              <w:rPr>
                <w:color w:val="000000"/>
                <w:sz w:val="20"/>
                <w:szCs w:val="20"/>
              </w:rPr>
            </w:pP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8109B97" w14:textId="77777777" w:rsidR="00151C2D" w:rsidRPr="0058786D" w:rsidRDefault="00151C2D" w:rsidP="00F31BC7">
            <w:pPr>
              <w:widowControl w:val="0"/>
              <w:jc w:val="right"/>
              <w:rPr>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2DE68C" w14:textId="77777777" w:rsidR="00151C2D" w:rsidRPr="0058786D" w:rsidRDefault="00151C2D" w:rsidP="00F31BC7">
            <w:pPr>
              <w:widowControl w:val="0"/>
              <w:jc w:val="right"/>
              <w:rPr>
                <w:color w:val="000000"/>
                <w:sz w:val="20"/>
                <w:szCs w:val="20"/>
              </w:rPr>
            </w:pP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151C2D" w:rsidRPr="0058786D" w:rsidRDefault="00151C2D" w:rsidP="00F31BC7">
            <w:pPr>
              <w:widowControl w:val="0"/>
              <w:jc w:val="right"/>
              <w:rPr>
                <w:color w:val="000000"/>
                <w:sz w:val="20"/>
                <w:szCs w:val="20"/>
              </w:rPr>
            </w:pPr>
          </w:p>
        </w:tc>
      </w:tr>
      <w:tr w:rsidR="00151C2D" w:rsidRPr="0058786D" w14:paraId="46719066" w14:textId="77777777" w:rsidTr="009F25A3">
        <w:trPr>
          <w:trHeight w:val="209"/>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151C2D" w:rsidRPr="0058786D" w:rsidRDefault="00151C2D" w:rsidP="008A3485">
            <w:pPr>
              <w:widowControl w:val="0"/>
              <w:jc w:val="left"/>
              <w:rPr>
                <w:color w:val="000000"/>
                <w:sz w:val="20"/>
                <w:szCs w:val="20"/>
              </w:rPr>
            </w:pPr>
            <w:r>
              <w:rPr>
                <w:color w:val="000000"/>
                <w:sz w:val="20"/>
                <w:szCs w:val="20"/>
              </w:rPr>
              <w:t>HCFC-22</w:t>
            </w:r>
          </w:p>
        </w:tc>
        <w:tc>
          <w:tcPr>
            <w:tcW w:w="641" w:type="pct"/>
            <w:tcBorders>
              <w:top w:val="single" w:sz="4" w:space="0" w:color="auto"/>
              <w:left w:val="single" w:sz="4" w:space="0" w:color="auto"/>
              <w:bottom w:val="single" w:sz="4" w:space="0" w:color="auto"/>
              <w:right w:val="single" w:sz="4" w:space="0" w:color="auto"/>
            </w:tcBorders>
            <w:vAlign w:val="center"/>
          </w:tcPr>
          <w:p w14:paraId="154A8378" w14:textId="2AD48A80" w:rsidR="00151C2D" w:rsidRPr="0058786D" w:rsidRDefault="009818E0" w:rsidP="008A3485">
            <w:pPr>
              <w:widowControl w:val="0"/>
              <w:jc w:val="right"/>
              <w:rPr>
                <w:sz w:val="20"/>
                <w:szCs w:val="20"/>
              </w:rPr>
            </w:pPr>
            <w:r>
              <w:rPr>
                <w:sz w:val="20"/>
                <w:szCs w:val="20"/>
              </w:rPr>
              <w:t>0,34</w:t>
            </w:r>
          </w:p>
        </w:tc>
        <w:tc>
          <w:tcPr>
            <w:tcW w:w="641" w:type="pct"/>
            <w:tcBorders>
              <w:top w:val="single" w:sz="4" w:space="0" w:color="auto"/>
              <w:left w:val="single" w:sz="4" w:space="0" w:color="auto"/>
              <w:bottom w:val="single" w:sz="4" w:space="0" w:color="auto"/>
              <w:right w:val="single" w:sz="4" w:space="0" w:color="auto"/>
            </w:tcBorders>
            <w:vAlign w:val="center"/>
          </w:tcPr>
          <w:p w14:paraId="18F03593" w14:textId="3C3BAAE0" w:rsidR="00151C2D" w:rsidRPr="0058786D" w:rsidRDefault="009818E0" w:rsidP="008A3485">
            <w:pPr>
              <w:widowControl w:val="0"/>
              <w:jc w:val="right"/>
              <w:rPr>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FDB562C" w14:textId="4EECE44B" w:rsidR="00151C2D" w:rsidRPr="0058786D" w:rsidRDefault="009818E0" w:rsidP="008A3485">
            <w:pPr>
              <w:widowControl w:val="0"/>
              <w:jc w:val="right"/>
              <w:rPr>
                <w:color w:val="000000"/>
                <w:sz w:val="20"/>
                <w:szCs w:val="20"/>
              </w:rPr>
            </w:pPr>
            <w:r>
              <w:rPr>
                <w:color w:val="000000"/>
                <w:sz w:val="20"/>
                <w:szCs w:val="20"/>
              </w:rPr>
              <w:t>0,10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C859647" w14:textId="3293C225" w:rsidR="00151C2D" w:rsidRPr="0058786D" w:rsidRDefault="009818E0" w:rsidP="008A3485">
            <w:pPr>
              <w:widowControl w:val="0"/>
              <w:jc w:val="right"/>
              <w:rPr>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BE2CF6C" w14:textId="698BC9D9" w:rsidR="00151C2D" w:rsidRPr="0058786D" w:rsidRDefault="009818E0" w:rsidP="008A3485">
            <w:pPr>
              <w:widowControl w:val="0"/>
              <w:jc w:val="right"/>
              <w:rPr>
                <w:color w:val="000000"/>
                <w:sz w:val="20"/>
                <w:szCs w:val="20"/>
              </w:rPr>
            </w:pPr>
            <w:r>
              <w:rPr>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D7DE21" w14:textId="78889E28" w:rsidR="00151C2D" w:rsidRPr="0058786D" w:rsidRDefault="00A13BD5" w:rsidP="008A3485">
            <w:pPr>
              <w:widowControl w:val="0"/>
              <w:jc w:val="right"/>
              <w:rPr>
                <w:color w:val="000000"/>
                <w:sz w:val="20"/>
                <w:szCs w:val="20"/>
              </w:rPr>
            </w:pPr>
            <w:r>
              <w:rPr>
                <w:color w:val="000000"/>
                <w:sz w:val="20"/>
                <w:szCs w:val="20"/>
              </w:rPr>
              <w:t>2,00</w:t>
            </w:r>
          </w:p>
        </w:tc>
      </w:tr>
      <w:tr w:rsidR="00151C2D" w:rsidRPr="0058786D" w14:paraId="5145E4EE" w14:textId="77777777" w:rsidTr="009F25A3">
        <w:trPr>
          <w:trHeight w:val="209"/>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0C5CCD34" w:rsidR="00151C2D" w:rsidRPr="0058786D" w:rsidRDefault="009A6152" w:rsidP="008A3485">
            <w:pPr>
              <w:widowControl w:val="0"/>
              <w:jc w:val="left"/>
              <w:rPr>
                <w:color w:val="000000"/>
                <w:sz w:val="20"/>
                <w:szCs w:val="20"/>
              </w:rPr>
            </w:pPr>
            <w:r>
              <w:rPr>
                <w:color w:val="000000"/>
                <w:sz w:val="20"/>
                <w:szCs w:val="20"/>
              </w:rPr>
              <w:t>HCFC-142b</w:t>
            </w:r>
          </w:p>
        </w:tc>
        <w:tc>
          <w:tcPr>
            <w:tcW w:w="641" w:type="pct"/>
            <w:tcBorders>
              <w:top w:val="single" w:sz="4" w:space="0" w:color="auto"/>
              <w:left w:val="single" w:sz="4" w:space="0" w:color="auto"/>
              <w:bottom w:val="single" w:sz="4" w:space="0" w:color="auto"/>
              <w:right w:val="single" w:sz="4" w:space="0" w:color="auto"/>
            </w:tcBorders>
            <w:vAlign w:val="center"/>
          </w:tcPr>
          <w:p w14:paraId="7E3B1EAB" w14:textId="46B67146" w:rsidR="00151C2D" w:rsidRPr="0058786D" w:rsidRDefault="009818E0" w:rsidP="008A3485">
            <w:pPr>
              <w:widowControl w:val="0"/>
              <w:jc w:val="right"/>
              <w:rPr>
                <w:sz w:val="20"/>
                <w:szCs w:val="20"/>
              </w:rPr>
            </w:pPr>
            <w:r>
              <w:rPr>
                <w:sz w:val="20"/>
                <w:szCs w:val="20"/>
              </w:rPr>
              <w:t>0,00</w:t>
            </w:r>
          </w:p>
        </w:tc>
        <w:tc>
          <w:tcPr>
            <w:tcW w:w="641" w:type="pct"/>
            <w:tcBorders>
              <w:top w:val="single" w:sz="4" w:space="0" w:color="auto"/>
              <w:left w:val="single" w:sz="4" w:space="0" w:color="auto"/>
              <w:bottom w:val="single" w:sz="4" w:space="0" w:color="auto"/>
              <w:right w:val="single" w:sz="4" w:space="0" w:color="auto"/>
            </w:tcBorders>
            <w:vAlign w:val="center"/>
          </w:tcPr>
          <w:p w14:paraId="5CC4B0AC" w14:textId="3AFFB121" w:rsidR="00151C2D" w:rsidRPr="0058786D" w:rsidRDefault="00151C2D" w:rsidP="008A3485">
            <w:pPr>
              <w:widowControl w:val="0"/>
              <w:jc w:val="right"/>
              <w:rPr>
                <w:b/>
                <w:bCs/>
                <w:color w:val="000000"/>
                <w:sz w:val="20"/>
                <w:szCs w:val="20"/>
              </w:rPr>
            </w:pPr>
            <w:r>
              <w:rPr>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7581397" w14:textId="6F68DC82" w:rsidR="00151C2D" w:rsidRPr="0058786D" w:rsidRDefault="009A6152" w:rsidP="008A3485">
            <w:pPr>
              <w:widowControl w:val="0"/>
              <w:jc w:val="right"/>
              <w:rPr>
                <w:b/>
                <w:bCs/>
                <w:color w:val="000000"/>
                <w:sz w:val="20"/>
                <w:szCs w:val="20"/>
              </w:rPr>
            </w:pPr>
            <w:r>
              <w:rPr>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8F4515C" w14:textId="50E1C8CC" w:rsidR="00151C2D" w:rsidRPr="0058786D" w:rsidRDefault="00151C2D" w:rsidP="008A3485">
            <w:pPr>
              <w:widowControl w:val="0"/>
              <w:jc w:val="right"/>
              <w:rPr>
                <w:b/>
                <w:bCs/>
                <w:color w:val="000000"/>
                <w:sz w:val="20"/>
                <w:szCs w:val="20"/>
              </w:rPr>
            </w:pPr>
            <w:r>
              <w:rPr>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E21787" w14:textId="32CB83D1" w:rsidR="00151C2D" w:rsidRPr="0058786D" w:rsidRDefault="009A6152" w:rsidP="008A3485">
            <w:pPr>
              <w:widowControl w:val="0"/>
              <w:jc w:val="right"/>
              <w:rPr>
                <w:b/>
                <w:bCs/>
                <w:color w:val="000000"/>
                <w:sz w:val="20"/>
                <w:szCs w:val="20"/>
              </w:rPr>
            </w:pPr>
            <w:r>
              <w:rPr>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6F48BB" w14:textId="706E83A6" w:rsidR="00151C2D" w:rsidRPr="0058786D" w:rsidRDefault="00A13BD5" w:rsidP="008A3485">
            <w:pPr>
              <w:widowControl w:val="0"/>
              <w:jc w:val="right"/>
              <w:rPr>
                <w:color w:val="000000"/>
                <w:sz w:val="20"/>
                <w:szCs w:val="20"/>
              </w:rPr>
            </w:pPr>
            <w:r>
              <w:rPr>
                <w:color w:val="000000"/>
                <w:sz w:val="20"/>
                <w:szCs w:val="20"/>
              </w:rPr>
              <w:t>0,00</w:t>
            </w:r>
          </w:p>
        </w:tc>
      </w:tr>
      <w:tr w:rsidR="009818E0" w:rsidRPr="0058786D" w14:paraId="04DE076B" w14:textId="77777777" w:rsidTr="009F25A3">
        <w:trPr>
          <w:trHeight w:val="209"/>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6C64BE" w14:textId="77777777" w:rsidR="009818E0" w:rsidRPr="0058786D" w:rsidRDefault="009818E0" w:rsidP="009818E0">
            <w:pPr>
              <w:jc w:val="left"/>
              <w:rPr>
                <w:rFonts w:eastAsiaTheme="minorHAnsi"/>
                <w:b/>
                <w:sz w:val="20"/>
                <w:szCs w:val="20"/>
              </w:rPr>
            </w:pPr>
            <w:r>
              <w:rPr>
                <w:b/>
                <w:sz w:val="20"/>
                <w:szCs w:val="20"/>
              </w:rPr>
              <w:t>Total (</w:t>
            </w:r>
            <w:proofErr w:type="spellStart"/>
            <w:r>
              <w:rPr>
                <w:b/>
                <w:sz w:val="20"/>
                <w:szCs w:val="20"/>
              </w:rPr>
              <w:t>toneladas</w:t>
            </w:r>
            <w:proofErr w:type="spellEnd"/>
            <w:r>
              <w:rPr>
                <w:b/>
                <w:sz w:val="20"/>
                <w:szCs w:val="20"/>
              </w:rPr>
              <w:t xml:space="preserve"> PAO)</w:t>
            </w:r>
          </w:p>
        </w:tc>
        <w:tc>
          <w:tcPr>
            <w:tcW w:w="641" w:type="pct"/>
            <w:tcBorders>
              <w:top w:val="single" w:sz="4" w:space="0" w:color="auto"/>
              <w:left w:val="single" w:sz="4" w:space="0" w:color="auto"/>
              <w:bottom w:val="single" w:sz="4" w:space="0" w:color="auto"/>
              <w:right w:val="single" w:sz="4" w:space="0" w:color="auto"/>
            </w:tcBorders>
            <w:vAlign w:val="center"/>
          </w:tcPr>
          <w:p w14:paraId="5F127E8E" w14:textId="6D9E5266" w:rsidR="009818E0" w:rsidRPr="0058786D" w:rsidRDefault="009818E0" w:rsidP="009818E0">
            <w:pPr>
              <w:widowControl w:val="0"/>
              <w:jc w:val="right"/>
              <w:rPr>
                <w:b/>
                <w:bCs/>
                <w:sz w:val="20"/>
                <w:szCs w:val="20"/>
              </w:rPr>
            </w:pPr>
            <w:r>
              <w:rPr>
                <w:b/>
                <w:bCs/>
                <w:sz w:val="20"/>
                <w:szCs w:val="20"/>
              </w:rPr>
              <w:t>0,34</w:t>
            </w:r>
          </w:p>
        </w:tc>
        <w:tc>
          <w:tcPr>
            <w:tcW w:w="641" w:type="pct"/>
            <w:tcBorders>
              <w:top w:val="single" w:sz="4" w:space="0" w:color="auto"/>
              <w:left w:val="single" w:sz="4" w:space="0" w:color="auto"/>
              <w:bottom w:val="single" w:sz="4" w:space="0" w:color="auto"/>
              <w:right w:val="single" w:sz="4" w:space="0" w:color="auto"/>
            </w:tcBorders>
            <w:vAlign w:val="center"/>
          </w:tcPr>
          <w:p w14:paraId="670B1FBA" w14:textId="6DCC04CB" w:rsidR="009818E0" w:rsidRPr="0058786D" w:rsidRDefault="009818E0" w:rsidP="009818E0">
            <w:pPr>
              <w:widowControl w:val="0"/>
              <w:jc w:val="right"/>
              <w:rPr>
                <w:b/>
                <w:bCs/>
                <w:color w:val="000000"/>
                <w:sz w:val="20"/>
                <w:szCs w:val="20"/>
              </w:rPr>
            </w:pPr>
            <w:r>
              <w:rPr>
                <w:b/>
                <w:bCs/>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617E2D" w14:textId="46E0D5C2" w:rsidR="009818E0" w:rsidRPr="0058786D" w:rsidRDefault="009818E0" w:rsidP="009818E0">
            <w:pPr>
              <w:widowControl w:val="0"/>
              <w:jc w:val="right"/>
              <w:rPr>
                <w:b/>
                <w:bCs/>
                <w:color w:val="000000"/>
                <w:sz w:val="20"/>
                <w:szCs w:val="20"/>
              </w:rPr>
            </w:pPr>
            <w:r>
              <w:rPr>
                <w:b/>
                <w:bCs/>
                <w:color w:val="000000"/>
                <w:sz w:val="20"/>
                <w:szCs w:val="20"/>
              </w:rPr>
              <w:t>0,10</w:t>
            </w:r>
          </w:p>
        </w:tc>
        <w:tc>
          <w:tcPr>
            <w:tcW w:w="641"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32642E" w14:textId="3A75509D" w:rsidR="009818E0" w:rsidRPr="0058786D" w:rsidRDefault="009818E0" w:rsidP="009818E0">
            <w:pPr>
              <w:widowControl w:val="0"/>
              <w:jc w:val="right"/>
              <w:rPr>
                <w:b/>
                <w:bCs/>
                <w:color w:val="000000"/>
                <w:sz w:val="20"/>
                <w:szCs w:val="20"/>
              </w:rPr>
            </w:pPr>
            <w:r>
              <w:rPr>
                <w:b/>
                <w:bCs/>
                <w:color w:val="000000"/>
                <w:sz w:val="20"/>
                <w:szCs w:val="20"/>
              </w:rPr>
              <w:t>0,00</w:t>
            </w:r>
          </w:p>
        </w:tc>
        <w:tc>
          <w:tcPr>
            <w:tcW w:w="641"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93A2A3B" w14:textId="41A26868" w:rsidR="009818E0" w:rsidRPr="0058786D" w:rsidRDefault="009818E0" w:rsidP="009818E0">
            <w:pPr>
              <w:jc w:val="right"/>
              <w:rPr>
                <w:b/>
                <w:bCs/>
                <w:color w:val="000000"/>
                <w:sz w:val="20"/>
                <w:szCs w:val="20"/>
              </w:rPr>
            </w:pPr>
            <w:r>
              <w:rPr>
                <w:b/>
                <w:bCs/>
                <w:color w:val="000000"/>
                <w:sz w:val="20"/>
                <w:szCs w:val="20"/>
              </w:rPr>
              <w:t>0,00</w:t>
            </w:r>
          </w:p>
        </w:tc>
        <w:tc>
          <w:tcPr>
            <w:tcW w:w="64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B37C06D" w14:textId="38F38C9E" w:rsidR="009818E0" w:rsidRPr="0058786D" w:rsidRDefault="009818E0" w:rsidP="009818E0">
            <w:pPr>
              <w:suppressAutoHyphens/>
              <w:jc w:val="right"/>
              <w:rPr>
                <w:b/>
                <w:bCs/>
                <w:sz w:val="20"/>
                <w:szCs w:val="20"/>
                <w:lang w:val="en-US" w:eastAsia="es-CO"/>
              </w:rPr>
            </w:pPr>
            <w:r>
              <w:rPr>
                <w:b/>
                <w:bCs/>
                <w:sz w:val="20"/>
                <w:szCs w:val="20"/>
                <w:lang w:val="en-US" w:eastAsia="es-CO"/>
              </w:rPr>
              <w:t>2,00</w:t>
            </w:r>
          </w:p>
        </w:tc>
      </w:tr>
    </w:tbl>
    <w:p w14:paraId="269B8695" w14:textId="6A6D4944" w:rsidR="00126C02" w:rsidRPr="008D30FA" w:rsidRDefault="00B722AA" w:rsidP="001C48F6">
      <w:pPr>
        <w:pStyle w:val="Heading1"/>
        <w:spacing w:before="240"/>
        <w:rPr>
          <w:lang w:val="es-ES"/>
        </w:rPr>
      </w:pPr>
      <w:r>
        <w:rPr>
          <w:lang w:val="es-ES"/>
        </w:rPr>
        <w:t xml:space="preserve">Tal y como se informó en la 93ª reunión, se ha producido una disminución significativa del consumo de HCFC en Suriname, lo que se atribuye a la aplicación del sistema de licencias y cupos de HCFC, la adopción de buenas prácticas de mantenimiento para los equipos de refrigeración y aire acondicionado que utilizan HCFC, y la rápida adopción de alternativas libres de HCFC en aplicaciones como el aire acondicionado residencial y las enfriadoras. Suriname ha comunicado un consumo nulo de HCFC para 2023 y 2024. Al mismo tiempo, se produjo un repunte en el consumo de HFC en 2024, que se notificó en 260.022 toneladas de </w:t>
      </w:r>
      <w:r w:rsidR="00941AA9">
        <w:rPr>
          <w:lang w:val="es-ES"/>
        </w:rPr>
        <w:t>CO</w:t>
      </w:r>
      <w:r>
        <w:rPr>
          <w:vertAlign w:val="subscript"/>
          <w:lang w:val="es-ES"/>
        </w:rPr>
        <w:t>₂</w:t>
      </w:r>
      <w:r>
        <w:rPr>
          <w:lang w:val="es-ES"/>
        </w:rPr>
        <w:t xml:space="preserve"> equivalente. El país aún no ha ratificado la Enmienda de Kigali; sin embargo, </w:t>
      </w:r>
      <w:r>
        <w:rPr>
          <w:highlight w:val="white"/>
          <w:lang w:val="es-ES"/>
        </w:rPr>
        <w:t xml:space="preserve">se está esforzando por abandonar los HFC de alto PCA y, dadas las altas tasas de acceso a la </w:t>
      </w:r>
      <w:r>
        <w:rPr>
          <w:highlight w:val="white"/>
          <w:lang w:val="es-ES"/>
        </w:rPr>
        <w:lastRenderedPageBreak/>
        <w:t>electricidad de Suriname, por incorporar también mejoras en la eficiencia mientras se realiza la transición hacia refrigerantes más medioambientalmente seguros</w:t>
      </w:r>
      <w:r>
        <w:rPr>
          <w:lang w:val="es-ES"/>
        </w:rPr>
        <w:t>.</w:t>
      </w:r>
    </w:p>
    <w:p w14:paraId="052F25F9" w14:textId="0F5A501B" w:rsidR="00036628" w:rsidRPr="008D30FA" w:rsidRDefault="00036628" w:rsidP="006538FA">
      <w:pPr>
        <w:pStyle w:val="Heading1"/>
        <w:keepNext/>
        <w:keepLines/>
        <w:widowControl w:val="0"/>
        <w:numPr>
          <w:ilvl w:val="0"/>
          <w:numId w:val="0"/>
        </w:numPr>
        <w:spacing w:before="240"/>
        <w:rPr>
          <w:i/>
          <w:lang w:val="es-ES"/>
        </w:rPr>
      </w:pPr>
      <w:r>
        <w:rPr>
          <w:i/>
          <w:lang w:val="es-ES"/>
        </w:rPr>
        <w:t>Informe de ejecución del programa de país</w:t>
      </w:r>
    </w:p>
    <w:p w14:paraId="7CD07DD9" w14:textId="59016FFE" w:rsidR="00036628" w:rsidRPr="008D30FA" w:rsidRDefault="00036628" w:rsidP="006538FA">
      <w:pPr>
        <w:pStyle w:val="Heading1"/>
        <w:keepLines/>
        <w:widowControl w:val="0"/>
        <w:rPr>
          <w:rStyle w:val="FootnoteReference"/>
          <w:vertAlign w:val="baseline"/>
          <w:lang w:val="es-ES"/>
        </w:rPr>
      </w:pPr>
      <w:r>
        <w:rPr>
          <w:lang w:val="es-ES"/>
        </w:rPr>
        <w:t>El Gobierno de Suriname notificó los datos de consumo del sector de los HCFC en el informe de ejecución del programa de país (PP) de 2024, que son coherentes con los datos comunicados conforme al artículo 7 del Protocolo de Montreal.</w:t>
      </w:r>
    </w:p>
    <w:p w14:paraId="6578D71B" w14:textId="77777777" w:rsidR="00036628" w:rsidRPr="008D30FA" w:rsidRDefault="00036628" w:rsidP="006538FA">
      <w:pPr>
        <w:pStyle w:val="StyleHeader4Para4Left0Firstline0"/>
        <w:numPr>
          <w:ilvl w:val="0"/>
          <w:numId w:val="0"/>
        </w:numPr>
        <w:rPr>
          <w:b/>
          <w:sz w:val="22"/>
          <w:lang w:val="es-ES"/>
        </w:rPr>
      </w:pPr>
      <w:r>
        <w:rPr>
          <w:b/>
          <w:sz w:val="22"/>
          <w:lang w:val="es-ES"/>
        </w:rPr>
        <w:t>Descripción del proyecto</w:t>
      </w:r>
    </w:p>
    <w:p w14:paraId="0CDC366F" w14:textId="77777777" w:rsidR="00B7010F" w:rsidRPr="008D30FA" w:rsidRDefault="00B7010F" w:rsidP="00B7010F">
      <w:pPr>
        <w:spacing w:after="240"/>
        <w:rPr>
          <w:u w:val="single"/>
          <w:lang w:val="es-ES"/>
        </w:rPr>
      </w:pPr>
      <w:r>
        <w:rPr>
          <w:u w:val="single"/>
          <w:lang w:val="es-ES"/>
        </w:rPr>
        <w:t>Marco normativo, reglamentario e institucional</w:t>
      </w:r>
    </w:p>
    <w:p w14:paraId="28EC9795" w14:textId="510EB0A0" w:rsidR="00A05C23" w:rsidRPr="008D30FA" w:rsidRDefault="00A05C23" w:rsidP="0058786D">
      <w:pPr>
        <w:pStyle w:val="Heading1"/>
        <w:keepLines/>
        <w:widowControl w:val="0"/>
        <w:rPr>
          <w:lang w:val="es-ES"/>
        </w:rPr>
      </w:pPr>
      <w:bookmarkStart w:id="1" w:name="_Hlk181100406"/>
      <w:bookmarkStart w:id="2" w:name="_Hlk126934425"/>
      <w:bookmarkStart w:id="3" w:name="_Hlk126663552"/>
      <w:bookmarkStart w:id="4" w:name="_Hlk126662278"/>
      <w:r>
        <w:rPr>
          <w:lang w:val="es-ES"/>
        </w:rPr>
        <w:t>Suriname es miembro de la Organización Regional de Normalización y Calidad de la Comunidad del Caribe (CARICOM) (CROSQ). La CROSQ incentiva la armonización y la difusión de normas regionales, apoya la competitividad y el comercio, y facilita la producción sustentable dentro del Mercado y la Economía Únicos de la CARICOM. En marzo de 2019, la CROSQ publicó normas de eficiencia energética para edificios con el fin de ayudar a los Estados miembros a mejorar la eficiencia energética y la conservación de la energía. Posteriormente, en mayo de 2019, los Estados miembros de la CARICOM aprobaron tres normas de eficiencia energética.</w:t>
      </w:r>
    </w:p>
    <w:p w14:paraId="75C56AE3" w14:textId="70DBBC30" w:rsidR="00A05C23" w:rsidRPr="008D30FA" w:rsidRDefault="00A05C23" w:rsidP="0058786D">
      <w:pPr>
        <w:pStyle w:val="Heading1"/>
        <w:keepLines/>
        <w:widowControl w:val="0"/>
        <w:rPr>
          <w:lang w:val="es-ES"/>
        </w:rPr>
      </w:pPr>
      <w:r>
        <w:rPr>
          <w:lang w:val="es-ES"/>
        </w:rPr>
        <w:t>El Sistema Regional de Etiquetado de Eficiencia Energética de la CARICOM estableció normas mínimas de eficiencia energética (NMEE) y requisitos de etiquetado para bombillas, frigoríficos y aparatos de aire acondicionado. Suriname también ha elaborado normas nacionales de etiquetado en colaboración con su Dependencia Nacional del Ozono (DNO), la Oficina de Normalización de Suriname y la Autoridad Nacional de Medio Ambiente, y actualmente se están realizando los preparativos para la reglamentación.</w:t>
      </w:r>
    </w:p>
    <w:p w14:paraId="45AAB952" w14:textId="1607BFF6" w:rsidR="0066409D" w:rsidRPr="008D30FA" w:rsidRDefault="00FD1E87" w:rsidP="0058786D">
      <w:pPr>
        <w:pStyle w:val="Heading1"/>
        <w:keepLines/>
        <w:widowControl w:val="0"/>
        <w:rPr>
          <w:lang w:val="es-ES"/>
        </w:rPr>
      </w:pPr>
      <w:r>
        <w:rPr>
          <w:lang w:val="es-ES"/>
        </w:rPr>
        <w:t>Al aprobar la etapa II del PGEH, el Comité Ejecutivo tomó nota del compromiso del Gobierno de Suriname de prohibir la importación y venta de equipos de refrigeración y aire acondicionado (RAC) que utilicen HCFC a partir del 1 de enero de 2025.</w:t>
      </w:r>
      <w:r>
        <w:rPr>
          <w:rStyle w:val="FootnoteReference"/>
        </w:rPr>
        <w:footnoteReference w:id="5"/>
      </w:r>
      <w:r>
        <w:rPr>
          <w:lang w:val="es-ES"/>
        </w:rPr>
        <w:t xml:space="preserve"> El PNUMA informó de que el Gobierno de Suriname ha confirmado que la prohibición de la importación y venta de equipos de refrigeración y aire acondicionado (RAC) que utilicen HCFC entró en vigor el 18 de abril de 2026. </w:t>
      </w:r>
    </w:p>
    <w:p w14:paraId="20728FD9" w14:textId="0AFB698D" w:rsidR="00DD35AC" w:rsidRPr="008D30FA" w:rsidRDefault="00DD35AC" w:rsidP="005F2472">
      <w:pPr>
        <w:pStyle w:val="Heading1"/>
        <w:keepNext/>
        <w:numPr>
          <w:ilvl w:val="0"/>
          <w:numId w:val="0"/>
        </w:numPr>
        <w:shd w:val="clear" w:color="auto" w:fill="FFFFFF" w:themeFill="background1"/>
        <w:spacing w:before="240"/>
        <w:rPr>
          <w:u w:val="single"/>
          <w:lang w:val="es-ES"/>
        </w:rPr>
      </w:pPr>
      <w:r>
        <w:rPr>
          <w:u w:val="single"/>
          <w:lang w:val="es-ES"/>
        </w:rPr>
        <w:t>Objetivos del proyecto y actividades propuestas</w:t>
      </w:r>
    </w:p>
    <w:p w14:paraId="00317402" w14:textId="3FB1ABBE" w:rsidR="00B02B4D" w:rsidRPr="008D30FA" w:rsidRDefault="00B02B4D" w:rsidP="00146A4A">
      <w:pPr>
        <w:pStyle w:val="Heading1"/>
        <w:rPr>
          <w:lang w:val="es-ES"/>
        </w:rPr>
      </w:pPr>
      <w:r>
        <w:rPr>
          <w:lang w:val="es-ES"/>
        </w:rPr>
        <w:t>El proyecto tiene por objeto mejorar la coordinación y la cooperación institucionales y fomentar la capacidad para garantizar que todas las partes interesadas dispongan de los conocimientos necesarios para apoyar el desarrollo, la ejecución y el cumplimiento de las normas de eficiencia energética y el sistema de etiquetado. Además, el proyecto tiene por objeto actualizar la capacitación y la certificación de los técnicos para incluir la eficiencia energética y la seguridad de los refrigerantes de bajo PCA en los planes de estudios pertinentes y las competencias de certificación.</w:t>
      </w:r>
    </w:p>
    <w:p w14:paraId="547F2456" w14:textId="3D0FF1EB" w:rsidR="00036628" w:rsidRPr="008D30FA" w:rsidRDefault="00036628" w:rsidP="00571BE2">
      <w:pPr>
        <w:pStyle w:val="Heading1"/>
        <w:rPr>
          <w:lang w:val="es-ES"/>
        </w:rPr>
      </w:pPr>
      <w:bookmarkStart w:id="5" w:name="_Hlk126934504"/>
      <w:bookmarkEnd w:id="1"/>
      <w:bookmarkEnd w:id="2"/>
      <w:bookmarkEnd w:id="3"/>
      <w:bookmarkEnd w:id="4"/>
      <w:r>
        <w:rPr>
          <w:lang w:val="es-ES"/>
        </w:rPr>
        <w:t xml:space="preserve">En el cuadro 2 se presenta la descripción y el desglose de los costos propuestos de las actividades para mantener la eficiencia energética en el sector de los servicios técnicos, así como los resultados previstos. </w:t>
      </w:r>
    </w:p>
    <w:p w14:paraId="352661C6" w14:textId="77777777" w:rsidR="001B0DA2" w:rsidRDefault="001B0DA2">
      <w:pPr>
        <w:rPr>
          <w:b/>
          <w:bCs/>
          <w:lang w:val="es-ES"/>
        </w:rPr>
      </w:pPr>
      <w:r>
        <w:rPr>
          <w:b/>
          <w:bCs/>
          <w:lang w:val="es-ES"/>
        </w:rPr>
        <w:br w:type="page"/>
      </w:r>
    </w:p>
    <w:p w14:paraId="2CA1CD56" w14:textId="27AD0F08" w:rsidR="00036628" w:rsidRPr="008D30FA" w:rsidRDefault="00036628" w:rsidP="00036628">
      <w:pPr>
        <w:pStyle w:val="Heading1"/>
        <w:numPr>
          <w:ilvl w:val="0"/>
          <w:numId w:val="0"/>
        </w:numPr>
        <w:spacing w:after="0"/>
        <w:rPr>
          <w:b/>
          <w:bCs/>
          <w:lang w:val="es-ES"/>
        </w:rPr>
      </w:pPr>
      <w:r>
        <w:rPr>
          <w:b/>
          <w:bCs/>
          <w:lang w:val="es-ES"/>
        </w:rPr>
        <w:lastRenderedPageBreak/>
        <w:t>Cuadro 2. Actividades, resultados previstos y financiación solicitada para el proyecto propuesto para mantener la eficiencia energética en el sector de los servicios técnicos en Suriname</w:t>
      </w:r>
    </w:p>
    <w:tbl>
      <w:tblPr>
        <w:tblW w:w="9513" w:type="dxa"/>
        <w:tblLayout w:type="fixed"/>
        <w:tblCellMar>
          <w:left w:w="57" w:type="dxa"/>
          <w:right w:w="57" w:type="dxa"/>
        </w:tblCellMar>
        <w:tblLook w:val="04A0" w:firstRow="1" w:lastRow="0" w:firstColumn="1" w:lastColumn="0" w:noHBand="0" w:noVBand="1"/>
      </w:tblPr>
      <w:tblGrid>
        <w:gridCol w:w="4957"/>
        <w:gridCol w:w="3138"/>
        <w:gridCol w:w="1418"/>
      </w:tblGrid>
      <w:tr w:rsidR="00025609" w:rsidRPr="0054757B" w14:paraId="7B5F1936" w14:textId="77777777" w:rsidTr="001B0DA2">
        <w:trPr>
          <w:trHeight w:val="509"/>
          <w:tblHeader/>
        </w:trPr>
        <w:tc>
          <w:tcPr>
            <w:tcW w:w="4957" w:type="dxa"/>
            <w:tcBorders>
              <w:top w:val="single" w:sz="4" w:space="0" w:color="auto"/>
              <w:left w:val="single" w:sz="4" w:space="0" w:color="auto"/>
              <w:bottom w:val="single" w:sz="4" w:space="0" w:color="auto"/>
              <w:right w:val="single" w:sz="4" w:space="0" w:color="auto"/>
            </w:tcBorders>
            <w:vAlign w:val="center"/>
            <w:hideMark/>
          </w:tcPr>
          <w:p w14:paraId="5D4D1D6C" w14:textId="77777777" w:rsidR="00025609" w:rsidRPr="001A358B" w:rsidRDefault="00025609" w:rsidP="005F6719">
            <w:pPr>
              <w:widowControl w:val="0"/>
              <w:jc w:val="center"/>
              <w:rPr>
                <w:b/>
                <w:bCs/>
                <w:sz w:val="20"/>
                <w:szCs w:val="20"/>
                <w:lang w:eastAsia="en-CA"/>
              </w:rPr>
            </w:pPr>
            <w:proofErr w:type="spellStart"/>
            <w:r>
              <w:rPr>
                <w:b/>
                <w:bCs/>
                <w:sz w:val="20"/>
                <w:szCs w:val="20"/>
                <w:lang w:eastAsia="en-CA"/>
              </w:rPr>
              <w:t>Actividad</w:t>
            </w:r>
            <w:proofErr w:type="spellEnd"/>
          </w:p>
        </w:tc>
        <w:tc>
          <w:tcPr>
            <w:tcW w:w="3138" w:type="dxa"/>
            <w:tcBorders>
              <w:top w:val="single" w:sz="4" w:space="0" w:color="auto"/>
              <w:left w:val="nil"/>
              <w:bottom w:val="single" w:sz="4" w:space="0" w:color="auto"/>
              <w:right w:val="single" w:sz="4" w:space="0" w:color="auto"/>
            </w:tcBorders>
            <w:vAlign w:val="center"/>
            <w:hideMark/>
          </w:tcPr>
          <w:p w14:paraId="726E9C30" w14:textId="77777777" w:rsidR="00025609" w:rsidRPr="008D30FA" w:rsidRDefault="00025609" w:rsidP="005F6719">
            <w:pPr>
              <w:jc w:val="center"/>
              <w:rPr>
                <w:b/>
                <w:bCs/>
                <w:sz w:val="20"/>
                <w:szCs w:val="20"/>
                <w:lang w:val="es-ES" w:eastAsia="en-CA"/>
              </w:rPr>
            </w:pPr>
            <w:r>
              <w:rPr>
                <w:b/>
                <w:bCs/>
                <w:sz w:val="20"/>
                <w:szCs w:val="20"/>
                <w:lang w:val="es-ES" w:eastAsia="en-CA"/>
              </w:rPr>
              <w:t>Resultados esperados/indicadores de desempeño</w:t>
            </w:r>
          </w:p>
        </w:tc>
        <w:tc>
          <w:tcPr>
            <w:tcW w:w="1418" w:type="dxa"/>
            <w:tcBorders>
              <w:top w:val="single" w:sz="4" w:space="0" w:color="auto"/>
              <w:left w:val="nil"/>
              <w:bottom w:val="single" w:sz="4" w:space="0" w:color="auto"/>
              <w:right w:val="single" w:sz="4" w:space="0" w:color="auto"/>
            </w:tcBorders>
            <w:vAlign w:val="center"/>
            <w:hideMark/>
          </w:tcPr>
          <w:p w14:paraId="186AC31E" w14:textId="77777777" w:rsidR="00025609" w:rsidRPr="001A358B" w:rsidRDefault="00025609" w:rsidP="005F6719">
            <w:pPr>
              <w:jc w:val="center"/>
              <w:rPr>
                <w:b/>
                <w:bCs/>
                <w:sz w:val="20"/>
                <w:szCs w:val="20"/>
                <w:lang w:eastAsia="en-CA"/>
              </w:rPr>
            </w:pPr>
            <w:r>
              <w:rPr>
                <w:b/>
                <w:bCs/>
                <w:sz w:val="20"/>
                <w:szCs w:val="20"/>
                <w:lang w:eastAsia="en-CA"/>
              </w:rPr>
              <w:t xml:space="preserve">Costo </w:t>
            </w:r>
            <w:proofErr w:type="spellStart"/>
            <w:r>
              <w:rPr>
                <w:b/>
                <w:bCs/>
                <w:sz w:val="20"/>
                <w:szCs w:val="20"/>
                <w:lang w:eastAsia="en-CA"/>
              </w:rPr>
              <w:t>presentado</w:t>
            </w:r>
            <w:proofErr w:type="spellEnd"/>
          </w:p>
          <w:p w14:paraId="52CC1C1B" w14:textId="77777777" w:rsidR="00025609" w:rsidRPr="001A358B" w:rsidRDefault="00025609" w:rsidP="005F6719">
            <w:pPr>
              <w:jc w:val="center"/>
              <w:rPr>
                <w:b/>
                <w:bCs/>
                <w:sz w:val="20"/>
                <w:szCs w:val="20"/>
                <w:lang w:eastAsia="en-CA"/>
              </w:rPr>
            </w:pPr>
            <w:r>
              <w:rPr>
                <w:b/>
                <w:bCs/>
                <w:sz w:val="20"/>
                <w:szCs w:val="20"/>
                <w:lang w:eastAsia="en-CA"/>
              </w:rPr>
              <w:t>(USD)</w:t>
            </w:r>
          </w:p>
        </w:tc>
      </w:tr>
      <w:tr w:rsidR="00025609" w:rsidRPr="00800AE6" w14:paraId="4E22BD3E" w14:textId="77777777" w:rsidTr="005F6719">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0A5731EB" w14:textId="07ACD571" w:rsidR="00025609" w:rsidRPr="008D30FA" w:rsidRDefault="00025609" w:rsidP="001A358B">
            <w:pPr>
              <w:pStyle w:val="ListParagraph"/>
              <w:widowControl w:val="0"/>
              <w:numPr>
                <w:ilvl w:val="0"/>
                <w:numId w:val="9"/>
              </w:numPr>
              <w:spacing w:after="60"/>
              <w:ind w:left="357" w:hanging="357"/>
              <w:contextualSpacing w:val="0"/>
              <w:jc w:val="left"/>
              <w:rPr>
                <w:b/>
                <w:bCs/>
                <w:sz w:val="20"/>
                <w:szCs w:val="20"/>
                <w:lang w:val="es-ES" w:eastAsia="en-CA"/>
              </w:rPr>
            </w:pPr>
            <w:r>
              <w:rPr>
                <w:b/>
                <w:bCs/>
                <w:sz w:val="20"/>
                <w:szCs w:val="20"/>
                <w:lang w:val="es-ES"/>
              </w:rPr>
              <w:t>Coordinación y cooperación institucional para apoyar el establecimiento de normas mínimas de eficiencia energética (NMEE) y la ejecución del sistema de etiquetado de eficiencia energética</w:t>
            </w:r>
          </w:p>
        </w:tc>
      </w:tr>
      <w:tr w:rsidR="00025609" w:rsidRPr="0054757B" w14:paraId="3A78F356" w14:textId="77777777" w:rsidTr="001B0DA2">
        <w:trPr>
          <w:trHeight w:val="124"/>
        </w:trPr>
        <w:tc>
          <w:tcPr>
            <w:tcW w:w="4957" w:type="dxa"/>
            <w:tcBorders>
              <w:top w:val="single" w:sz="4" w:space="0" w:color="auto"/>
              <w:left w:val="single" w:sz="4" w:space="0" w:color="auto"/>
              <w:bottom w:val="single" w:sz="4" w:space="0" w:color="auto"/>
              <w:right w:val="single" w:sz="4" w:space="0" w:color="auto"/>
            </w:tcBorders>
          </w:tcPr>
          <w:p w14:paraId="27387981" w14:textId="176D57E7" w:rsidR="00025609" w:rsidRPr="008D30FA" w:rsidRDefault="00E51860" w:rsidP="001A358B">
            <w:pPr>
              <w:pStyle w:val="ListParagraph"/>
              <w:widowControl w:val="0"/>
              <w:numPr>
                <w:ilvl w:val="1"/>
                <w:numId w:val="7"/>
              </w:numPr>
              <w:ind w:left="357" w:hanging="357"/>
              <w:contextualSpacing w:val="0"/>
              <w:jc w:val="left"/>
              <w:rPr>
                <w:sz w:val="20"/>
                <w:szCs w:val="20"/>
                <w:lang w:val="es-ES" w:eastAsia="en-CA"/>
              </w:rPr>
            </w:pPr>
            <w:r>
              <w:rPr>
                <w:sz w:val="20"/>
                <w:szCs w:val="20"/>
                <w:lang w:val="es-ES" w:eastAsia="en-CA"/>
              </w:rPr>
              <w:t xml:space="preserve">Talleres de sensibilización para las principales partes interesadas sobre los beneficios de las normas mínimas de eficiencia energética y los programas de etiquetado, las mejores prácticas internacionales, la puesta en práctica de la adopción de las normas mínimas de eficiencia energética, la ejecución de programas relacionados con el etiquetado y las normas mínimas de eficiencia energética regionales de la CARICOM, que abarquen el despliegue previsto, los impactos y las oportunidades para Suriname (USD 10.000); </w:t>
            </w:r>
          </w:p>
          <w:p w14:paraId="1D4F45A6" w14:textId="7B846D60" w:rsidR="0035173D" w:rsidRPr="008D30FA" w:rsidRDefault="0035173D" w:rsidP="001A358B">
            <w:pPr>
              <w:pStyle w:val="ListParagraph"/>
              <w:widowControl w:val="0"/>
              <w:numPr>
                <w:ilvl w:val="1"/>
                <w:numId w:val="7"/>
              </w:numPr>
              <w:ind w:left="357" w:hanging="357"/>
              <w:contextualSpacing w:val="0"/>
              <w:jc w:val="left"/>
              <w:rPr>
                <w:sz w:val="20"/>
                <w:szCs w:val="20"/>
                <w:lang w:val="es-ES" w:eastAsia="en-CA"/>
              </w:rPr>
            </w:pPr>
            <w:r>
              <w:rPr>
                <w:sz w:val="20"/>
                <w:szCs w:val="20"/>
                <w:lang w:val="es-ES" w:eastAsia="en-CA"/>
              </w:rPr>
              <w:t xml:space="preserve">Establecer un grupo de coordinación liderado por la DNO, compuesto por entes u organismos estatales y partes interesadas pertinentes, que se reúna periódicamente para intercambiar conocimientos, alcanzar consensos, evaluar el potencial de la refrigeración basada en refrigerantes de bajo potencial de calentamiento atmosférico (PCA) y con alta eficiencia energética en Suriname, e identificar las herramientas y los recursos necesarios para la introducción efectiva de las normas mínimas de eficiencia energética y los sistemas de etiquetado de eficiencia energética, así como los sectores en los que se pueden priorizar los usos de refrigeración con alta eficiencia energética (USD 10.000); </w:t>
            </w:r>
          </w:p>
          <w:p w14:paraId="4917C21E" w14:textId="633BE25D" w:rsidR="006F6F17" w:rsidRPr="008D30FA" w:rsidRDefault="006F6F17" w:rsidP="00663884">
            <w:pPr>
              <w:pStyle w:val="ListParagraph"/>
              <w:widowControl w:val="0"/>
              <w:numPr>
                <w:ilvl w:val="1"/>
                <w:numId w:val="7"/>
              </w:numPr>
              <w:ind w:left="357" w:hanging="357"/>
              <w:contextualSpacing w:val="0"/>
              <w:jc w:val="left"/>
              <w:rPr>
                <w:rFonts w:eastAsiaTheme="minorEastAsia"/>
                <w:sz w:val="20"/>
                <w:szCs w:val="20"/>
                <w:lang w:val="es-ES" w:eastAsia="en-CA"/>
              </w:rPr>
            </w:pPr>
            <w:r>
              <w:rPr>
                <w:sz w:val="20"/>
                <w:szCs w:val="20"/>
                <w:lang w:val="es-ES" w:eastAsia="en-CA"/>
              </w:rPr>
              <w:t xml:space="preserve">Elaborar y publicar una hoja de ruta de las medidas reglamentarias que serán necesarias para respaldar el establecimiento y la ejecución a gran escala de las normas mínimas de eficiencia energética (NMEE) y el programa de etiquetado, incluyendo las funciones y responsabilidades de los distintos ministerios y organismos estatales, así como un calendario de ejecución (USD 10.000); </w:t>
            </w:r>
            <w:r>
              <w:rPr>
                <w:rFonts w:eastAsiaTheme="minorEastAsia"/>
                <w:sz w:val="20"/>
                <w:szCs w:val="20"/>
                <w:lang w:val="es-ES" w:eastAsia="en-CA"/>
              </w:rPr>
              <w:t>y</w:t>
            </w:r>
          </w:p>
          <w:p w14:paraId="2D1C6EC1" w14:textId="4FA919DD" w:rsidR="0054757B" w:rsidRPr="008D30FA" w:rsidRDefault="00E332DA" w:rsidP="001A358B">
            <w:pPr>
              <w:pStyle w:val="ListParagraph"/>
              <w:widowControl w:val="0"/>
              <w:numPr>
                <w:ilvl w:val="1"/>
                <w:numId w:val="7"/>
              </w:numPr>
              <w:ind w:left="357" w:hanging="357"/>
              <w:contextualSpacing w:val="0"/>
              <w:jc w:val="left"/>
              <w:rPr>
                <w:sz w:val="20"/>
                <w:szCs w:val="20"/>
                <w:lang w:val="es-ES"/>
              </w:rPr>
            </w:pPr>
            <w:r>
              <w:rPr>
                <w:sz w:val="20"/>
                <w:szCs w:val="20"/>
                <w:lang w:val="es-ES" w:eastAsia="en-CA"/>
              </w:rPr>
              <w:t>Elaborar y publicar una evaluación nacional del ahorro energético potencial mediante el uso de aparatos de refrigeración con alta eficiencia energética en los hogares y en los sectores prioritarios, incluida la determinación del nivel básico de referencia y la evaluación de la demanda del sector de la refrigeración y el aire acondicionado en Suriname (USD 20.000).</w:t>
            </w:r>
          </w:p>
        </w:tc>
        <w:tc>
          <w:tcPr>
            <w:tcW w:w="3138" w:type="dxa"/>
            <w:tcBorders>
              <w:top w:val="single" w:sz="4" w:space="0" w:color="auto"/>
              <w:left w:val="single" w:sz="4" w:space="0" w:color="auto"/>
              <w:bottom w:val="single" w:sz="4" w:space="0" w:color="auto"/>
              <w:right w:val="single" w:sz="4" w:space="0" w:color="auto"/>
            </w:tcBorders>
          </w:tcPr>
          <w:p w14:paraId="3723EB0C" w14:textId="6045C648" w:rsidR="00DE5D9F" w:rsidRPr="008D30FA" w:rsidRDefault="00DE5D9F"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Una campaña específica de sensibilización sobre la eficiencia energética en el seno del Gobierno de Suriname, que incluirá un análisis de las etiquetas existentes y una evaluación de sus posibles beneficios para el perfil energético y de emisiones del país, en caso de que se ejecute con éxito.</w:t>
            </w:r>
          </w:p>
          <w:p w14:paraId="7CCA4BC3" w14:textId="77777777" w:rsidR="00BE45A6" w:rsidRPr="008D30FA" w:rsidRDefault="00BE45A6"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Tres talleres de sensibilización con 20 participantes cada uno, con el objetivo de alcanzar una participación femenina de hasta el 30 %.</w:t>
            </w:r>
          </w:p>
          <w:p w14:paraId="6140D444" w14:textId="53B34C6B" w:rsidR="00025609" w:rsidRPr="008D30FA" w:rsidRDefault="00664B41"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Un mecanismo nacional de coordinación sobre eficiencia energética en aparatos que utilizan refrigerantes para coordinar a las principales partes interesadas, incluyendo aduanas y control fronterizo, importadores y mayoristas, ministerios de energía, agricultura e industria, organismos de estadística y normalización, y otras partes interesadas según sea pertinente.</w:t>
            </w:r>
          </w:p>
          <w:p w14:paraId="1A68B3DF" w14:textId="42A0C6A2" w:rsidR="0035173D" w:rsidRPr="008D30FA" w:rsidRDefault="0035173D"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Una hoja de ruta normativa y de reglamentación elaborada de forma colaborativa para apoyar el establecimiento y la ejecución de las normas mínimas de eficiencia energética y el etiquetado, incluida la redacción de las disposiciones necesarias en la Ley Marco de Medio Ambiente y la Ley de Energía, así como en los reglamentos derivados.</w:t>
            </w:r>
          </w:p>
          <w:p w14:paraId="36D1A4CD" w14:textId="5CDF21BF" w:rsidR="00664B41" w:rsidRPr="008D30FA" w:rsidRDefault="00B60324" w:rsidP="00337891">
            <w:pPr>
              <w:pStyle w:val="ListParagraph"/>
              <w:widowControl w:val="0"/>
              <w:numPr>
                <w:ilvl w:val="0"/>
                <w:numId w:val="6"/>
              </w:numPr>
              <w:ind w:left="334" w:hanging="289"/>
              <w:contextualSpacing w:val="0"/>
              <w:jc w:val="left"/>
              <w:rPr>
                <w:sz w:val="20"/>
                <w:szCs w:val="20"/>
                <w:lang w:val="es-ES"/>
              </w:rPr>
            </w:pPr>
            <w:r>
              <w:rPr>
                <w:sz w:val="20"/>
                <w:szCs w:val="20"/>
                <w:lang w:val="es-ES" w:eastAsia="en-CA"/>
              </w:rPr>
              <w:t>Evaluaciones nacionales de los sistemas de refrigeración basados en refrigerantes de bajo PCA y con alta eficiencia energética, con el fin de establecer el nivel básico de referencia y evaluar los beneficios del uso de usos de refrigeración con alta eficiencia energética.</w:t>
            </w:r>
          </w:p>
        </w:tc>
        <w:tc>
          <w:tcPr>
            <w:tcW w:w="1418" w:type="dxa"/>
            <w:tcBorders>
              <w:top w:val="single" w:sz="4" w:space="0" w:color="auto"/>
              <w:left w:val="single" w:sz="4" w:space="0" w:color="auto"/>
              <w:bottom w:val="single" w:sz="4" w:space="0" w:color="auto"/>
              <w:right w:val="single" w:sz="4" w:space="0" w:color="auto"/>
            </w:tcBorders>
          </w:tcPr>
          <w:p w14:paraId="667891A9" w14:textId="674A572C" w:rsidR="00025609" w:rsidRPr="001A358B" w:rsidRDefault="0054757B" w:rsidP="0054757B">
            <w:pPr>
              <w:widowControl w:val="0"/>
              <w:ind w:left="510"/>
              <w:jc w:val="left"/>
              <w:rPr>
                <w:sz w:val="20"/>
                <w:szCs w:val="20"/>
              </w:rPr>
            </w:pPr>
            <w:r>
              <w:rPr>
                <w:sz w:val="20"/>
                <w:szCs w:val="20"/>
              </w:rPr>
              <w:t>50.000</w:t>
            </w:r>
          </w:p>
        </w:tc>
      </w:tr>
      <w:tr w:rsidR="00025609" w:rsidRPr="00800AE6" w14:paraId="0425EE37" w14:textId="77777777" w:rsidTr="005F6719">
        <w:trPr>
          <w:trHeight w:val="180"/>
        </w:trPr>
        <w:tc>
          <w:tcPr>
            <w:tcW w:w="9513" w:type="dxa"/>
            <w:gridSpan w:val="3"/>
            <w:tcBorders>
              <w:top w:val="nil"/>
              <w:left w:val="single" w:sz="4" w:space="0" w:color="auto"/>
              <w:bottom w:val="single" w:sz="4" w:space="0" w:color="auto"/>
              <w:right w:val="single" w:sz="4" w:space="0" w:color="auto"/>
            </w:tcBorders>
          </w:tcPr>
          <w:p w14:paraId="2CA6555F" w14:textId="77777777" w:rsidR="00025609" w:rsidRPr="008D30FA" w:rsidRDefault="00025609" w:rsidP="00195CC8">
            <w:pPr>
              <w:pStyle w:val="ListParagraph"/>
              <w:numPr>
                <w:ilvl w:val="0"/>
                <w:numId w:val="9"/>
              </w:numPr>
              <w:spacing w:after="60"/>
              <w:ind w:left="357" w:hanging="357"/>
              <w:jc w:val="left"/>
              <w:rPr>
                <w:b/>
                <w:bCs/>
                <w:sz w:val="20"/>
                <w:szCs w:val="20"/>
                <w:lang w:val="es-ES" w:eastAsia="en-CA"/>
              </w:rPr>
            </w:pPr>
            <w:r>
              <w:rPr>
                <w:b/>
                <w:bCs/>
                <w:sz w:val="20"/>
                <w:szCs w:val="20"/>
                <w:lang w:val="es-ES" w:eastAsia="en-CA"/>
              </w:rPr>
              <w:lastRenderedPageBreak/>
              <w:t>Actualizar la capacitación y la certificación de los técnicos para incluir la eficiencia energética y la seguridad de los refrigerantes</w:t>
            </w:r>
          </w:p>
        </w:tc>
      </w:tr>
      <w:tr w:rsidR="00025609" w:rsidRPr="0054757B" w14:paraId="5EFC6966" w14:textId="77777777" w:rsidTr="001B0DA2">
        <w:trPr>
          <w:trHeight w:val="939"/>
        </w:trPr>
        <w:tc>
          <w:tcPr>
            <w:tcW w:w="4957" w:type="dxa"/>
            <w:tcBorders>
              <w:top w:val="nil"/>
              <w:left w:val="single" w:sz="4" w:space="0" w:color="auto"/>
              <w:bottom w:val="single" w:sz="4" w:space="0" w:color="auto"/>
              <w:right w:val="single" w:sz="4" w:space="0" w:color="auto"/>
            </w:tcBorders>
          </w:tcPr>
          <w:p w14:paraId="2971D229" w14:textId="647BC04B" w:rsidR="00025609" w:rsidRPr="008D30FA" w:rsidRDefault="00685BBB" w:rsidP="00D3346A">
            <w:pPr>
              <w:pStyle w:val="ListParagraph"/>
              <w:widowControl w:val="0"/>
              <w:numPr>
                <w:ilvl w:val="1"/>
                <w:numId w:val="9"/>
              </w:numPr>
              <w:ind w:left="385" w:hanging="385"/>
              <w:jc w:val="left"/>
              <w:rPr>
                <w:sz w:val="20"/>
                <w:szCs w:val="20"/>
                <w:lang w:val="es-ES" w:eastAsia="en-CA"/>
              </w:rPr>
            </w:pPr>
            <w:r>
              <w:rPr>
                <w:sz w:val="20"/>
                <w:szCs w:val="20"/>
                <w:lang w:val="es-ES" w:eastAsia="en-CA"/>
              </w:rPr>
              <w:t>Apoyar la incorporación de módulos de eficiencia energética al programa de capacitación de técnicos del PGEH existente, incluyendo la familiarización con las etiquetas y los beneficios de las mejoras en eficiencia energética, e incorporando usos sectoriales como la instalación y el mantenimiento en instalaciones mineras/petroleras, la pesca y la agricultura (almacenamiento en frío/cadena de frío), edificios comerciales e instalaciones turísticas; y traducir al neerlandés los materiales de capacitación pertinentes existentes (USD 20.000);</w:t>
            </w:r>
          </w:p>
          <w:p w14:paraId="61F50017" w14:textId="641E339B" w:rsidR="003A2CA4" w:rsidRPr="008D30FA" w:rsidRDefault="00375D5D" w:rsidP="00D3346A">
            <w:pPr>
              <w:pStyle w:val="ListParagraph"/>
              <w:numPr>
                <w:ilvl w:val="1"/>
                <w:numId w:val="9"/>
              </w:numPr>
              <w:ind w:left="360"/>
              <w:contextualSpacing w:val="0"/>
              <w:jc w:val="left"/>
              <w:rPr>
                <w:sz w:val="20"/>
                <w:szCs w:val="20"/>
                <w:lang w:val="es-ES" w:eastAsia="en-CA"/>
              </w:rPr>
            </w:pPr>
            <w:r>
              <w:rPr>
                <w:sz w:val="20"/>
                <w:szCs w:val="20"/>
                <w:lang w:val="es-ES" w:eastAsia="en-CA"/>
              </w:rPr>
              <w:t>Apoyar la integración de competencias en eficiencia energética y potencial de calentamiento atmosférico (PCA) en el próximo plan de certificación nacional, incluyendo la coordinación de la capacitación y certificación para sistemas de refrigeración, aire acondicionado y climatización (RAC) entre la DNO, la autoridad de eficiencia energética, la autoridad nacional de Educación y Formación Técnica y Profesional (EFTP) y las instituciones de capacitación para planificar la integración; redactar el texto preliminar de las normas de competencia de certificación para RAC incorporando los módulos de eficiencia energética y de bajo PCA (USD 15.000); y</w:t>
            </w:r>
          </w:p>
          <w:p w14:paraId="7E5FBD30" w14:textId="72DB1B1E" w:rsidR="00025609" w:rsidRPr="008D30FA" w:rsidRDefault="00F921F1" w:rsidP="00D3346A">
            <w:pPr>
              <w:pStyle w:val="ListParagraph"/>
              <w:widowControl w:val="0"/>
              <w:numPr>
                <w:ilvl w:val="1"/>
                <w:numId w:val="9"/>
              </w:numPr>
              <w:ind w:left="357" w:hanging="357"/>
              <w:contextualSpacing w:val="0"/>
              <w:jc w:val="left"/>
              <w:rPr>
                <w:sz w:val="20"/>
                <w:szCs w:val="20"/>
                <w:lang w:val="es-ES" w:eastAsia="en-CA"/>
              </w:rPr>
            </w:pPr>
            <w:r>
              <w:rPr>
                <w:sz w:val="20"/>
                <w:szCs w:val="20"/>
                <w:lang w:val="es-ES" w:eastAsia="en-CA"/>
              </w:rPr>
              <w:t>Formar a los instructores para que impartan el plan de estudios actualizado de manera eficaz; capacitar a los técnicos de refrigeración y aire acondicionado en los módulos de eficiencia energética y de bajo PCA y apoyar a los centros nacionales de certificación para que realicen exámenes y certifiquen al primer grupo de técnicos (USD 15.000).</w:t>
            </w:r>
          </w:p>
        </w:tc>
        <w:tc>
          <w:tcPr>
            <w:tcW w:w="3138" w:type="dxa"/>
            <w:tcBorders>
              <w:top w:val="nil"/>
              <w:left w:val="nil"/>
              <w:bottom w:val="single" w:sz="4" w:space="0" w:color="auto"/>
              <w:right w:val="single" w:sz="4" w:space="0" w:color="auto"/>
            </w:tcBorders>
          </w:tcPr>
          <w:p w14:paraId="273590E9" w14:textId="2E8B33EF" w:rsidR="005E3F51" w:rsidRPr="008D30FA" w:rsidRDefault="005E3F51"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Módulos sobre eficiencia energética, de bajo PCA y etiquetado energético en neerlandés, incorporados a la capacitación existente del PGEH, con énfasis en los diversos usos sectoriales de Suriname.</w:t>
            </w:r>
          </w:p>
          <w:p w14:paraId="6A27C497" w14:textId="77777777" w:rsidR="005E3F51" w:rsidRPr="008D30FA" w:rsidRDefault="005E3F51"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Un marco nacional de competencias de certificación que integre normas de competencia en eficiencia energética y de bajo PCA.</w:t>
            </w:r>
          </w:p>
          <w:p w14:paraId="35F016E5" w14:textId="45BE2C32" w:rsidR="00B512F7" w:rsidRPr="008D30FA" w:rsidRDefault="004D371E" w:rsidP="001A358B">
            <w:pPr>
              <w:pStyle w:val="ListParagraph"/>
              <w:widowControl w:val="0"/>
              <w:numPr>
                <w:ilvl w:val="0"/>
                <w:numId w:val="6"/>
              </w:numPr>
              <w:ind w:left="334" w:hanging="289"/>
              <w:contextualSpacing w:val="0"/>
              <w:jc w:val="left"/>
              <w:rPr>
                <w:sz w:val="20"/>
                <w:szCs w:val="20"/>
                <w:lang w:val="es-ES" w:eastAsia="en-CA"/>
              </w:rPr>
            </w:pPr>
            <w:r>
              <w:rPr>
                <w:sz w:val="20"/>
                <w:szCs w:val="20"/>
                <w:lang w:val="es-ES" w:eastAsia="en-CA"/>
              </w:rPr>
              <w:t>Una sesión de capacitación para un total de 25 instructores (con un objetivo de participación femenina del 30 %), y dos talleres de capacitación para un total de 35 técnicos de refrigeración y aire acondicionado sobre prácticas de instalación y servicio en materia de eficiencia energética.</w:t>
            </w:r>
          </w:p>
          <w:p w14:paraId="7B8495C8" w14:textId="2FD3C924" w:rsidR="00025609" w:rsidRPr="008D30FA" w:rsidRDefault="00025609" w:rsidP="005E3F51">
            <w:pPr>
              <w:ind w:left="89"/>
              <w:jc w:val="left"/>
              <w:rPr>
                <w:sz w:val="20"/>
                <w:szCs w:val="20"/>
                <w:lang w:val="es-ES" w:eastAsia="en-CA"/>
              </w:rPr>
            </w:pPr>
          </w:p>
        </w:tc>
        <w:tc>
          <w:tcPr>
            <w:tcW w:w="1418" w:type="dxa"/>
            <w:tcBorders>
              <w:top w:val="nil"/>
              <w:left w:val="nil"/>
              <w:bottom w:val="single" w:sz="4" w:space="0" w:color="auto"/>
              <w:right w:val="single" w:sz="4" w:space="0" w:color="auto"/>
            </w:tcBorders>
          </w:tcPr>
          <w:p w14:paraId="2873010F" w14:textId="77777777" w:rsidR="00025609" w:rsidRPr="001A358B" w:rsidRDefault="00025609" w:rsidP="005F6719">
            <w:pPr>
              <w:jc w:val="right"/>
              <w:rPr>
                <w:sz w:val="20"/>
                <w:szCs w:val="20"/>
                <w:lang w:eastAsia="en-CA"/>
              </w:rPr>
            </w:pPr>
            <w:r>
              <w:rPr>
                <w:sz w:val="20"/>
                <w:szCs w:val="20"/>
                <w:lang w:eastAsia="en-CA"/>
              </w:rPr>
              <w:t>50.000</w:t>
            </w:r>
          </w:p>
        </w:tc>
      </w:tr>
      <w:tr w:rsidR="00025609" w:rsidRPr="0054757B" w14:paraId="2D3D782C" w14:textId="77777777" w:rsidTr="001B0DA2">
        <w:trPr>
          <w:trHeight w:val="212"/>
        </w:trPr>
        <w:tc>
          <w:tcPr>
            <w:tcW w:w="8095" w:type="dxa"/>
            <w:gridSpan w:val="2"/>
            <w:tcBorders>
              <w:top w:val="nil"/>
              <w:left w:val="single" w:sz="4" w:space="0" w:color="auto"/>
              <w:bottom w:val="single" w:sz="4" w:space="0" w:color="auto"/>
              <w:right w:val="single" w:sz="4" w:space="0" w:color="auto"/>
            </w:tcBorders>
            <w:hideMark/>
          </w:tcPr>
          <w:p w14:paraId="14645CCD" w14:textId="77777777" w:rsidR="00025609" w:rsidRPr="001A358B" w:rsidRDefault="00025609" w:rsidP="005F6719">
            <w:pPr>
              <w:ind w:left="457"/>
              <w:jc w:val="right"/>
              <w:rPr>
                <w:b/>
                <w:bCs/>
                <w:sz w:val="20"/>
                <w:szCs w:val="20"/>
                <w:lang w:eastAsia="en-CA"/>
              </w:rPr>
            </w:pPr>
            <w:r>
              <w:rPr>
                <w:b/>
                <w:bCs/>
                <w:sz w:val="20"/>
                <w:szCs w:val="20"/>
              </w:rPr>
              <w:t>Total</w:t>
            </w:r>
          </w:p>
        </w:tc>
        <w:tc>
          <w:tcPr>
            <w:tcW w:w="1418" w:type="dxa"/>
            <w:tcBorders>
              <w:top w:val="nil"/>
              <w:left w:val="nil"/>
              <w:bottom w:val="single" w:sz="4" w:space="0" w:color="auto"/>
              <w:right w:val="single" w:sz="4" w:space="0" w:color="auto"/>
            </w:tcBorders>
          </w:tcPr>
          <w:p w14:paraId="6948E9C7" w14:textId="77777777" w:rsidR="00025609" w:rsidRPr="001A358B" w:rsidRDefault="00025609" w:rsidP="005F6719">
            <w:pPr>
              <w:jc w:val="right"/>
              <w:rPr>
                <w:b/>
                <w:bCs/>
                <w:sz w:val="20"/>
                <w:szCs w:val="20"/>
                <w:lang w:eastAsia="en-CA"/>
              </w:rPr>
            </w:pPr>
            <w:r>
              <w:rPr>
                <w:b/>
                <w:bCs/>
                <w:sz w:val="20"/>
                <w:szCs w:val="20"/>
                <w:lang w:eastAsia="en-CA"/>
              </w:rPr>
              <w:t>100.000</w:t>
            </w:r>
          </w:p>
        </w:tc>
      </w:tr>
    </w:tbl>
    <w:bookmarkEnd w:id="5"/>
    <w:p w14:paraId="36600C18" w14:textId="37CD62EB" w:rsidR="00036628" w:rsidRPr="008D30FA" w:rsidRDefault="00036628" w:rsidP="00036628">
      <w:pPr>
        <w:keepNext/>
        <w:spacing w:before="360" w:after="240"/>
        <w:jc w:val="center"/>
        <w:rPr>
          <w:b/>
          <w:lang w:val="es-ES"/>
        </w:rPr>
      </w:pPr>
      <w:r>
        <w:rPr>
          <w:b/>
          <w:lang w:val="es-ES"/>
        </w:rPr>
        <w:t>OBSERVACIONES Y RECOMENDACIÓN DE LA SECRETARÍA</w:t>
      </w:r>
    </w:p>
    <w:p w14:paraId="1DBCC305" w14:textId="77777777" w:rsidR="00036628" w:rsidRPr="00D45F57" w:rsidRDefault="00036628" w:rsidP="00036628">
      <w:pPr>
        <w:keepNext/>
        <w:keepLines/>
        <w:rPr>
          <w:b/>
        </w:rPr>
      </w:pPr>
      <w:r>
        <w:rPr>
          <w:b/>
        </w:rPr>
        <w:t>OBSERVACIONES</w:t>
      </w:r>
    </w:p>
    <w:p w14:paraId="6D926989" w14:textId="77777777" w:rsidR="00036628" w:rsidRPr="008254B6" w:rsidRDefault="00036628" w:rsidP="00036628">
      <w:pPr>
        <w:rPr>
          <w:highlight w:val="yellow"/>
        </w:rPr>
      </w:pPr>
    </w:p>
    <w:p w14:paraId="1FF8B926" w14:textId="7A84CFA4" w:rsidR="0066409D" w:rsidRPr="008D30FA" w:rsidRDefault="008507C8" w:rsidP="00B67677">
      <w:pPr>
        <w:pStyle w:val="Heading1"/>
        <w:rPr>
          <w:lang w:val="es-ES"/>
        </w:rPr>
      </w:pPr>
      <w:r>
        <w:rPr>
          <w:lang w:val="es-ES"/>
        </w:rPr>
        <w:t>La Secretaría examinó la propuesta de proyecto de acuerdo con las decisiones 89/6 b) y 92/22 y solicitó información adicional al PNUMA sobre diversas actividades, incluidas las pertinentes en el marco del PGEH. La Secretaría preguntó cómo se ejecutarán las actividades de este proyecto de acuerdo con las del PGEH para garantizar las sinergias y el uso eficaz de los recursos y evitar la duplicación. El PNUMA indicó que el segundo componente de este proyecto, relativo a la actualización de la capacitación y certificación de los técnicos para incluir la eficiencia energética y la seguridad de los refrigerantes, complementa los esfuerzos de capacitación del PGEH mediante actividades específicas. Entre ellas se incluyen la integración de módulos de eficiencia energética y seguridad de los refrigerantes de bajo PCA en la capacitación de los técnicos, la integración de competencias en eficiencia energética y PCA en el próximo plan de certificación nacional, y la organización de cursos de capacitación para técnicos de refrigeración y aire acondicionado a fin de garantizar que cuenten con competencias integrales y puedan impartir de manera eficaz los planes de estudios actualizados pertinentes.</w:t>
      </w:r>
    </w:p>
    <w:p w14:paraId="60D8C0E8" w14:textId="2E26852F" w:rsidR="004A146C" w:rsidRPr="008D30FA" w:rsidRDefault="00036628" w:rsidP="00334A00">
      <w:pPr>
        <w:pStyle w:val="Heading1"/>
        <w:rPr>
          <w:lang w:val="es-ES"/>
        </w:rPr>
      </w:pPr>
      <w:r>
        <w:rPr>
          <w:lang w:val="es-ES"/>
        </w:rPr>
        <w:lastRenderedPageBreak/>
        <w:t xml:space="preserve">La Secretaría tomó nota de que las actividades propuestas entran dentro del alcance mencionado en los incisos b) </w:t>
      </w:r>
      <w:proofErr w:type="spellStart"/>
      <w:r>
        <w:rPr>
          <w:lang w:val="es-ES"/>
        </w:rPr>
        <w:t>ii</w:t>
      </w:r>
      <w:proofErr w:type="spellEnd"/>
      <w:r>
        <w:rPr>
          <w:lang w:val="es-ES"/>
        </w:rPr>
        <w:t xml:space="preserve">), </w:t>
      </w:r>
      <w:proofErr w:type="spellStart"/>
      <w:r>
        <w:rPr>
          <w:lang w:val="es-ES"/>
        </w:rPr>
        <w:t>iii</w:t>
      </w:r>
      <w:proofErr w:type="spellEnd"/>
      <w:r>
        <w:rPr>
          <w:lang w:val="es-ES"/>
        </w:rPr>
        <w:t xml:space="preserve">) y </w:t>
      </w:r>
      <w:proofErr w:type="spellStart"/>
      <w:r>
        <w:rPr>
          <w:lang w:val="es-ES"/>
        </w:rPr>
        <w:t>iv</w:t>
      </w:r>
      <w:proofErr w:type="spellEnd"/>
      <w:r>
        <w:rPr>
          <w:lang w:val="es-ES"/>
        </w:rPr>
        <w:t xml:space="preserve">) de la decisión 89/6. A través de las actividades que se llevarán a cabo, el proyecto prestará apoyo al país en la introducción y ejecución de normas mínimas de eficiencia energética (NMEE) y de etiquetado energético para los equipos de refrigeración y aire acondicionado (RAC), con el fin de mejorar la eficiencia energética y reducir las emisiones. Mediante la sensibilización sobre los beneficios de las normas mínimas de eficiencia energética y los programas de etiquetado, las mejores prácticas internacionales, la puesta en práctica de la adopción de las normas mínimas de eficiencia energética y la ejecución del programa de etiquetado, y las normas mínimas de eficiencia energética regionales de la CARICOM; la coordinación entre las personas responsables de la toma de decisiones y las partes interesadas involucradas en la eficiencia energética en el país; formación específica y planes de estudios actualizados; y un marco nacional de competencias de certificación que integre normas de competencia en materia de eficiencia energética y de bajo PCA, el proyecto ayudará al sector de la refrigeración y el aire acondicionado (RAC) a realizar la transición hacia alternativas de bajo PCA y a lograr la eliminación de los HCFC para 2030. </w:t>
      </w:r>
    </w:p>
    <w:p w14:paraId="5934D771" w14:textId="77777777" w:rsidR="00036628" w:rsidRPr="008D30FA" w:rsidRDefault="00036628" w:rsidP="00581BFA">
      <w:pPr>
        <w:pStyle w:val="Heading1"/>
        <w:keepNext/>
        <w:widowControl w:val="0"/>
        <w:numPr>
          <w:ilvl w:val="0"/>
          <w:numId w:val="0"/>
        </w:numPr>
        <w:rPr>
          <w:u w:val="single"/>
          <w:lang w:val="es-ES"/>
        </w:rPr>
      </w:pPr>
      <w:r>
        <w:rPr>
          <w:u w:val="single"/>
          <w:lang w:val="es-ES"/>
        </w:rPr>
        <w:t>Aplicación de la política de género</w:t>
      </w:r>
    </w:p>
    <w:p w14:paraId="79C09509" w14:textId="719295A0" w:rsidR="00FE0F74" w:rsidRPr="008D30FA" w:rsidRDefault="00FE0F74" w:rsidP="002C0354">
      <w:pPr>
        <w:pStyle w:val="Heading1"/>
        <w:rPr>
          <w:lang w:val="es-ES"/>
        </w:rPr>
      </w:pPr>
      <w:r>
        <w:rPr>
          <w:lang w:val="es-ES"/>
        </w:rPr>
        <w:t xml:space="preserve">Las actividades de eficiencia energética se integrarán en la ejecución de la etapa II del PGEH. Durante la ejecución de la etapa II del PGEH, la DNO colaborará estrechamente con la autoridad nacional de Educación y Formación Técnica y Profesional (EFTP) y las instituciones de capacitación, y con la asociación gremial del sector de la refrigeración y el aire acondicionado (RAC) para aplicar medidas y hacer un seguimiento periódico con el fin de maximizar la participación de las mujeres en todas las actividades del PGEH. El Gobierno también seguirá recopilando y facilitando datos desagregados por sexo como parte de los futuros informes de ejecución de los tramos del PGEH. </w:t>
      </w:r>
    </w:p>
    <w:p w14:paraId="56B1D5F5" w14:textId="1CBC81A6" w:rsidR="00036628" w:rsidRPr="00E57A43" w:rsidRDefault="00036628" w:rsidP="00DB3FE6">
      <w:pPr>
        <w:pStyle w:val="Heading1"/>
        <w:keepNext/>
        <w:keepLines/>
        <w:numPr>
          <w:ilvl w:val="0"/>
          <w:numId w:val="0"/>
        </w:numPr>
      </w:pPr>
      <w:proofErr w:type="spellStart"/>
      <w:r>
        <w:rPr>
          <w:u w:val="single"/>
        </w:rPr>
        <w:t>Acuerdo</w:t>
      </w:r>
      <w:proofErr w:type="spellEnd"/>
      <w:r>
        <w:rPr>
          <w:u w:val="single"/>
        </w:rPr>
        <w:t xml:space="preserve"> </w:t>
      </w:r>
      <w:proofErr w:type="spellStart"/>
      <w:r>
        <w:rPr>
          <w:u w:val="single"/>
        </w:rPr>
        <w:t>actualizado</w:t>
      </w:r>
      <w:proofErr w:type="spellEnd"/>
      <w:r>
        <w:rPr>
          <w:u w:val="single"/>
        </w:rPr>
        <w:t xml:space="preserve"> </w:t>
      </w:r>
    </w:p>
    <w:p w14:paraId="7F69F2F7" w14:textId="4740D7A2" w:rsidR="00036628" w:rsidRPr="008D30FA" w:rsidRDefault="00036628" w:rsidP="004B5100">
      <w:pPr>
        <w:pStyle w:val="Heading1"/>
        <w:rPr>
          <w:lang w:val="es-ES"/>
        </w:rPr>
      </w:pPr>
      <w:r>
        <w:rPr>
          <w:lang w:val="es-ES"/>
        </w:rPr>
        <w:t>En vista de la inclusión de la financiación para actividades adicionales destinadas a mantener la eficiencia energética en el sector de servicio y mantenimiento de equipos de refrigeración y aire acondicionado (RAC) y del cronograma de financiación revisado en consecuencia, se ha actualizado el Acuerdo entre el Gobierno de Suriname y el Comité Ejecutivo. Concretamente, se ha revisado el apéndice 2-A y se ha añadido el párrafo 17 para indicar que el Acuerdo actualizado sustituye al alcanzado en la 93ª reunión mediante la decisión 93/46, tal y como figura en el anexo I del presente documento. El Acuerdo actualizado se anexará al informe final de la 98ª reunión.</w:t>
      </w:r>
    </w:p>
    <w:p w14:paraId="1E9ADB34" w14:textId="77777777" w:rsidR="00036628" w:rsidRPr="00481087" w:rsidRDefault="00036628" w:rsidP="00036628">
      <w:pPr>
        <w:keepNext/>
        <w:spacing w:before="240" w:after="240"/>
        <w:rPr>
          <w:u w:val="single"/>
        </w:rPr>
      </w:pPr>
      <w:proofErr w:type="spellStart"/>
      <w:r>
        <w:rPr>
          <w:u w:val="single"/>
        </w:rPr>
        <w:t>Conclusión</w:t>
      </w:r>
      <w:proofErr w:type="spellEnd"/>
    </w:p>
    <w:p w14:paraId="35D81BE7" w14:textId="492D6C29" w:rsidR="00036628" w:rsidRPr="008D30FA" w:rsidRDefault="00036628" w:rsidP="000235B1">
      <w:pPr>
        <w:pStyle w:val="Heading1"/>
        <w:rPr>
          <w:lang w:val="es-ES"/>
        </w:rPr>
      </w:pPr>
      <w:r>
        <w:rPr>
          <w:lang w:val="es-ES"/>
        </w:rPr>
        <w:t xml:space="preserve">Este proyecto promoverá la introducción de alternativas a los HCFC con un potencial de calentamiento atmosférico (PCA) bajo o nulo, así como la mejora y el mantenimiento de la eficiencia energética en el sector de servicio y mantenimiento de equipos de refrigeración y aire acondicionado (RAC). El proyecto incluye el desarrollo de módulos sobre eficiencia energética y refrigerantes de bajo PCA que se incorporarán a los planes de capacitación de los técnicos, así como la elaboración de normas nacionales de competencia laboral para la certificación en RAC que integrarán estos aspectos en el futuro plan de certificación de los técnicos de refrigeración y aire acondicionado. Las actividades que se llevarán a cabo prevén la mejora de la coordinación entre las personas responsables de la formulación de políticas de eficiencia energética y otras partes interesadas pertinentes, a fin de garantizar la debida consideración de los refrigerantes de bajo PCA durante la introducción de normas mínimas de eficiencia energética (NMEE), sistemas de etiquetado y la legislación, la reglamentación y las políticas de eficiencia energética conexas que respaldarán los mecanismos de aplicación que aborden las singularidades de Suriname con respecto a otros países del Caribe, es decir, sus dificultades específicas como país continental, tales como las fronteras terrestres con diversos países, el comercio informal y sus características geográficas, ya que casi el 90 % del territorio del país está cubierto por la pluviselva tropical amazónica. El proyecto contribuirá a los </w:t>
      </w:r>
      <w:r>
        <w:rPr>
          <w:lang w:val="es-ES"/>
        </w:rPr>
        <w:lastRenderedPageBreak/>
        <w:t>objetivos generales del PGEH y apoyará al país para mantener las reducciones logradas en los HCFC, al tiempo que se adoptan tecnologías de RAC con alta eficiencia energética y de bajo PCA.</w:t>
      </w:r>
    </w:p>
    <w:p w14:paraId="3EB347BB" w14:textId="77777777" w:rsidR="00036628" w:rsidRPr="00D45F57" w:rsidRDefault="00036628" w:rsidP="00036628">
      <w:pPr>
        <w:keepNext/>
        <w:spacing w:before="360" w:after="240"/>
        <w:rPr>
          <w:b/>
        </w:rPr>
      </w:pPr>
      <w:r>
        <w:rPr>
          <w:b/>
        </w:rPr>
        <w:t>RECOMENDACIÓN</w:t>
      </w:r>
    </w:p>
    <w:p w14:paraId="7ED3B077" w14:textId="3963BF25" w:rsidR="00036628" w:rsidRPr="008D30FA" w:rsidRDefault="00036628" w:rsidP="00036628">
      <w:pPr>
        <w:pStyle w:val="Heading1"/>
        <w:rPr>
          <w:lang w:val="es-ES"/>
        </w:rPr>
      </w:pPr>
      <w:bookmarkStart w:id="6" w:name="_Hlk122622077"/>
      <w:r>
        <w:rPr>
          <w:lang w:val="es-ES"/>
        </w:rPr>
        <w:t xml:space="preserve">La Secretaría del Fondo recomienda la aprobación general del proyecto de actividades adicionales para la introducción de alternativas a los HCFC con bajo potencial de calentamiento atmosférico (PCA) y para el mantenimiento de la eficiencia energética en el sector de servicio y mantenimiento de equipos de refrigeración y aire acondicionado en Suriname, y el correspondiente plan de ejecución para 2026–2028, con el nivel de financiación que se indica en la tabla siguiente, en el entendimiento de que la Secretaría del Fondo ha actualizado el Acuerdo entre el Gobierno de Suriname y el Comité Ejecutivo, tal y como figura en el anexo I del presente documento, concretamente en el apéndice 2-A, para reflejar el nivel de financiación actualizado debido a la inclusión de fondos para actividades adicionales destinadas a mantener la eficiencia energética en el sector de servicio y mantenimiento de equipos de refrigeración; y el párrafo 17, que se ha añadido para indicar que el Acuerdo actualizado sustituye al alcanzado en la 93ª reunión mediante la decisión 93/46. </w:t>
      </w:r>
    </w:p>
    <w:tbl>
      <w:tblPr>
        <w:tblStyle w:val="TableGrid"/>
        <w:tblW w:w="9351" w:type="dxa"/>
        <w:tblLook w:val="04A0" w:firstRow="1" w:lastRow="0" w:firstColumn="1" w:lastColumn="0" w:noHBand="0" w:noVBand="1"/>
      </w:tblPr>
      <w:tblGrid>
        <w:gridCol w:w="438"/>
        <w:gridCol w:w="3967"/>
        <w:gridCol w:w="2070"/>
        <w:gridCol w:w="1458"/>
        <w:gridCol w:w="1418"/>
      </w:tblGrid>
      <w:tr w:rsidR="00036628" w:rsidRPr="008254B6" w14:paraId="1642F39B" w14:textId="77777777" w:rsidTr="001B0DA2">
        <w:trPr>
          <w:trHeight w:val="593"/>
        </w:trPr>
        <w:tc>
          <w:tcPr>
            <w:tcW w:w="440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D45F57" w:rsidRDefault="00036628" w:rsidP="002A343A">
            <w:pPr>
              <w:keepNext/>
              <w:keepLines/>
              <w:jc w:val="center"/>
              <w:rPr>
                <w:b/>
                <w:bCs/>
                <w:sz w:val="20"/>
                <w:szCs w:val="20"/>
                <w:lang w:val="en-US"/>
              </w:rPr>
            </w:pPr>
            <w:proofErr w:type="spellStart"/>
            <w:r>
              <w:rPr>
                <w:b/>
                <w:bCs/>
                <w:sz w:val="20"/>
                <w:szCs w:val="20"/>
                <w:lang w:val="en-US"/>
              </w:rPr>
              <w:t>Título</w:t>
            </w:r>
            <w:proofErr w:type="spellEnd"/>
            <w:r>
              <w:rPr>
                <w:b/>
                <w:bCs/>
                <w:sz w:val="20"/>
                <w:szCs w:val="20"/>
                <w:lang w:val="en-US"/>
              </w:rPr>
              <w:t xml:space="preserve"> del </w:t>
            </w:r>
            <w:proofErr w:type="spellStart"/>
            <w:r>
              <w:rPr>
                <w:b/>
                <w:bCs/>
                <w:sz w:val="20"/>
                <w:szCs w:val="20"/>
                <w:lang w:val="en-US"/>
              </w:rPr>
              <w:t>proyecto</w:t>
            </w:r>
            <w:proofErr w:type="spellEnd"/>
          </w:p>
        </w:tc>
        <w:tc>
          <w:tcPr>
            <w:tcW w:w="2070" w:type="dxa"/>
            <w:tcBorders>
              <w:top w:val="single" w:sz="4" w:space="0" w:color="auto"/>
              <w:left w:val="single" w:sz="4" w:space="0" w:color="auto"/>
              <w:bottom w:val="single" w:sz="4" w:space="0" w:color="auto"/>
              <w:right w:val="single" w:sz="4" w:space="0" w:color="auto"/>
            </w:tcBorders>
            <w:hideMark/>
          </w:tcPr>
          <w:p w14:paraId="33BB402D" w14:textId="77777777" w:rsidR="00036628" w:rsidRPr="00D45F57" w:rsidRDefault="00036628" w:rsidP="002A343A">
            <w:pPr>
              <w:keepNext/>
              <w:keepLines/>
              <w:jc w:val="center"/>
              <w:rPr>
                <w:b/>
                <w:bCs/>
                <w:sz w:val="20"/>
                <w:szCs w:val="20"/>
                <w:lang w:val="en-US"/>
              </w:rPr>
            </w:pPr>
            <w:proofErr w:type="spellStart"/>
            <w:r>
              <w:rPr>
                <w:b/>
                <w:bCs/>
                <w:sz w:val="20"/>
                <w:szCs w:val="20"/>
                <w:lang w:val="en-US"/>
              </w:rPr>
              <w:t>Financiamiento</w:t>
            </w:r>
            <w:proofErr w:type="spellEnd"/>
            <w:r>
              <w:rPr>
                <w:b/>
                <w:bCs/>
                <w:sz w:val="20"/>
                <w:szCs w:val="20"/>
                <w:lang w:val="en-US"/>
              </w:rPr>
              <w:t xml:space="preserve"> del </w:t>
            </w:r>
            <w:proofErr w:type="spellStart"/>
            <w:r>
              <w:rPr>
                <w:b/>
                <w:bCs/>
                <w:sz w:val="20"/>
                <w:szCs w:val="20"/>
                <w:lang w:val="en-US"/>
              </w:rPr>
              <w:t>proyecto</w:t>
            </w:r>
            <w:proofErr w:type="spellEnd"/>
            <w:r>
              <w:rPr>
                <w:b/>
                <w:bCs/>
                <w:sz w:val="20"/>
                <w:szCs w:val="20"/>
                <w:lang w:val="en-US"/>
              </w:rPr>
              <w:t xml:space="preserve"> (USD)</w:t>
            </w:r>
          </w:p>
        </w:tc>
        <w:tc>
          <w:tcPr>
            <w:tcW w:w="1458" w:type="dxa"/>
            <w:tcBorders>
              <w:top w:val="single" w:sz="4" w:space="0" w:color="auto"/>
              <w:left w:val="single" w:sz="4" w:space="0" w:color="auto"/>
              <w:bottom w:val="single" w:sz="4" w:space="0" w:color="auto"/>
              <w:right w:val="single" w:sz="4" w:space="0" w:color="auto"/>
            </w:tcBorders>
            <w:hideMark/>
          </w:tcPr>
          <w:p w14:paraId="3199D09F" w14:textId="77777777" w:rsidR="00036628" w:rsidRPr="00D45F57" w:rsidRDefault="00036628" w:rsidP="002A343A">
            <w:pPr>
              <w:keepNext/>
              <w:keepLines/>
              <w:jc w:val="center"/>
              <w:rPr>
                <w:b/>
                <w:bCs/>
                <w:sz w:val="20"/>
                <w:szCs w:val="20"/>
                <w:lang w:val="en-US"/>
              </w:rPr>
            </w:pPr>
            <w:proofErr w:type="spellStart"/>
            <w:r>
              <w:rPr>
                <w:b/>
                <w:bCs/>
                <w:sz w:val="20"/>
                <w:szCs w:val="20"/>
                <w:lang w:val="en-US"/>
              </w:rPr>
              <w:t>Gastos</w:t>
            </w:r>
            <w:proofErr w:type="spellEnd"/>
            <w:r>
              <w:rPr>
                <w:b/>
                <w:bCs/>
                <w:sz w:val="20"/>
                <w:szCs w:val="20"/>
                <w:lang w:val="en-US"/>
              </w:rPr>
              <w:t xml:space="preserve"> de </w:t>
            </w:r>
            <w:proofErr w:type="spellStart"/>
            <w:r>
              <w:rPr>
                <w:b/>
                <w:bCs/>
                <w:sz w:val="20"/>
                <w:szCs w:val="20"/>
                <w:lang w:val="en-US"/>
              </w:rPr>
              <w:t>apoyo</w:t>
            </w:r>
            <w:proofErr w:type="spellEnd"/>
            <w:r>
              <w:rPr>
                <w:b/>
                <w:bCs/>
                <w:sz w:val="20"/>
                <w:szCs w:val="20"/>
                <w:lang w:val="en-US"/>
              </w:rPr>
              <w:t xml:space="preserve"> (USD)</w:t>
            </w:r>
          </w:p>
        </w:tc>
        <w:tc>
          <w:tcPr>
            <w:tcW w:w="1418" w:type="dxa"/>
            <w:tcBorders>
              <w:top w:val="single" w:sz="4" w:space="0" w:color="auto"/>
              <w:left w:val="single" w:sz="4" w:space="0" w:color="auto"/>
              <w:bottom w:val="single" w:sz="4" w:space="0" w:color="auto"/>
              <w:right w:val="single" w:sz="4" w:space="0" w:color="auto"/>
            </w:tcBorders>
            <w:hideMark/>
          </w:tcPr>
          <w:p w14:paraId="74E5282B" w14:textId="77777777" w:rsidR="00036628" w:rsidRPr="00D45F57" w:rsidRDefault="00036628" w:rsidP="002A343A">
            <w:pPr>
              <w:keepNext/>
              <w:keepLines/>
              <w:jc w:val="center"/>
              <w:rPr>
                <w:b/>
                <w:bCs/>
                <w:sz w:val="20"/>
                <w:szCs w:val="20"/>
                <w:lang w:val="en-US"/>
              </w:rPr>
            </w:pPr>
            <w:proofErr w:type="spellStart"/>
            <w:r>
              <w:rPr>
                <w:b/>
                <w:bCs/>
                <w:sz w:val="20"/>
                <w:szCs w:val="20"/>
                <w:lang w:val="en-US"/>
              </w:rPr>
              <w:t>Organismo</w:t>
            </w:r>
            <w:proofErr w:type="spellEnd"/>
            <w:r>
              <w:rPr>
                <w:b/>
                <w:bCs/>
                <w:sz w:val="20"/>
                <w:szCs w:val="20"/>
                <w:lang w:val="en-US"/>
              </w:rPr>
              <w:t xml:space="preserve"> de </w:t>
            </w:r>
            <w:proofErr w:type="spellStart"/>
            <w:r>
              <w:rPr>
                <w:b/>
                <w:bCs/>
                <w:sz w:val="20"/>
                <w:szCs w:val="20"/>
                <w:lang w:val="en-US"/>
              </w:rPr>
              <w:t>ejecución</w:t>
            </w:r>
            <w:proofErr w:type="spellEnd"/>
          </w:p>
        </w:tc>
      </w:tr>
      <w:tr w:rsidR="00036628" w:rsidRPr="008254B6" w14:paraId="4A3D9108" w14:textId="77777777" w:rsidTr="001B0DA2">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D45F57" w:rsidRDefault="00036628" w:rsidP="002A343A">
            <w:pPr>
              <w:keepNext/>
              <w:keepLines/>
              <w:rPr>
                <w:sz w:val="20"/>
                <w:szCs w:val="20"/>
                <w:lang w:val="en-US"/>
              </w:rPr>
            </w:pPr>
            <w:r>
              <w:rPr>
                <w:sz w:val="20"/>
                <w:szCs w:val="20"/>
                <w:lang w:val="en-US"/>
              </w:rPr>
              <w:t>a)</w:t>
            </w:r>
          </w:p>
        </w:tc>
        <w:tc>
          <w:tcPr>
            <w:tcW w:w="3967" w:type="dxa"/>
            <w:tcBorders>
              <w:top w:val="single" w:sz="4" w:space="0" w:color="auto"/>
              <w:left w:val="single" w:sz="4" w:space="0" w:color="auto"/>
              <w:bottom w:val="single" w:sz="4" w:space="0" w:color="auto"/>
              <w:right w:val="single" w:sz="4" w:space="0" w:color="auto"/>
            </w:tcBorders>
            <w:hideMark/>
          </w:tcPr>
          <w:p w14:paraId="0574259F" w14:textId="0266B1F8" w:rsidR="00036628" w:rsidRPr="008D30FA" w:rsidRDefault="00036628" w:rsidP="002A343A">
            <w:pPr>
              <w:keepNext/>
              <w:keepLines/>
              <w:jc w:val="left"/>
              <w:rPr>
                <w:sz w:val="20"/>
                <w:szCs w:val="20"/>
                <w:lang w:val="es-ES"/>
              </w:rPr>
            </w:pPr>
            <w:r>
              <w:rPr>
                <w:sz w:val="20"/>
                <w:szCs w:val="20"/>
                <w:lang w:val="es-ES"/>
              </w:rPr>
              <w:t>Actividades adicionales para la introducción de alternativas de bajo PCA a los HCFC y para mejorar la eficiencia energética en el sector de los servicios técnicos de equipos de RAC</w:t>
            </w:r>
          </w:p>
        </w:tc>
        <w:tc>
          <w:tcPr>
            <w:tcW w:w="2070" w:type="dxa"/>
            <w:tcBorders>
              <w:top w:val="single" w:sz="4" w:space="0" w:color="auto"/>
              <w:left w:val="single" w:sz="4" w:space="0" w:color="auto"/>
              <w:bottom w:val="single" w:sz="4" w:space="0" w:color="auto"/>
              <w:right w:val="single" w:sz="4" w:space="0" w:color="auto"/>
            </w:tcBorders>
            <w:hideMark/>
          </w:tcPr>
          <w:p w14:paraId="53D3F3E4" w14:textId="05959B9E" w:rsidR="00036628" w:rsidRPr="00D45F57" w:rsidRDefault="0011072C" w:rsidP="002A343A">
            <w:pPr>
              <w:keepNext/>
              <w:keepLines/>
              <w:jc w:val="right"/>
              <w:rPr>
                <w:sz w:val="20"/>
                <w:szCs w:val="20"/>
                <w:lang w:val="en-US"/>
              </w:rPr>
            </w:pPr>
            <w:r>
              <w:rPr>
                <w:sz w:val="20"/>
                <w:szCs w:val="20"/>
                <w:lang w:val="en-US"/>
              </w:rPr>
              <w:t>100.000</w:t>
            </w:r>
          </w:p>
        </w:tc>
        <w:tc>
          <w:tcPr>
            <w:tcW w:w="1458" w:type="dxa"/>
            <w:tcBorders>
              <w:top w:val="single" w:sz="4" w:space="0" w:color="auto"/>
              <w:left w:val="single" w:sz="4" w:space="0" w:color="auto"/>
              <w:bottom w:val="single" w:sz="4" w:space="0" w:color="auto"/>
              <w:right w:val="single" w:sz="4" w:space="0" w:color="auto"/>
            </w:tcBorders>
            <w:hideMark/>
          </w:tcPr>
          <w:p w14:paraId="05405556" w14:textId="5FC5138F" w:rsidR="00036628" w:rsidRPr="00D45F57" w:rsidRDefault="00D45F57" w:rsidP="002A343A">
            <w:pPr>
              <w:keepNext/>
              <w:keepLines/>
              <w:jc w:val="right"/>
              <w:rPr>
                <w:sz w:val="20"/>
                <w:szCs w:val="20"/>
                <w:lang w:val="en-US"/>
              </w:rPr>
            </w:pPr>
            <w:r>
              <w:rPr>
                <w:sz w:val="20"/>
                <w:szCs w:val="20"/>
                <w:lang w:val="en-US"/>
              </w:rPr>
              <w:t>13.000</w:t>
            </w:r>
          </w:p>
        </w:tc>
        <w:tc>
          <w:tcPr>
            <w:tcW w:w="1418" w:type="dxa"/>
            <w:tcBorders>
              <w:top w:val="single" w:sz="4" w:space="0" w:color="auto"/>
              <w:left w:val="single" w:sz="4" w:space="0" w:color="auto"/>
              <w:bottom w:val="single" w:sz="4" w:space="0" w:color="auto"/>
              <w:right w:val="single" w:sz="4" w:space="0" w:color="auto"/>
            </w:tcBorders>
            <w:hideMark/>
          </w:tcPr>
          <w:p w14:paraId="1016801D" w14:textId="157A3957" w:rsidR="00036628" w:rsidRPr="00D45F57" w:rsidRDefault="00BF16EE" w:rsidP="002A343A">
            <w:pPr>
              <w:keepNext/>
              <w:keepLines/>
              <w:jc w:val="center"/>
              <w:rPr>
                <w:sz w:val="20"/>
                <w:szCs w:val="20"/>
                <w:lang w:val="en-US"/>
              </w:rPr>
            </w:pPr>
            <w:r>
              <w:rPr>
                <w:sz w:val="20"/>
                <w:szCs w:val="20"/>
                <w:lang w:val="en-US"/>
              </w:rPr>
              <w:t>PNUMA</w:t>
            </w:r>
          </w:p>
        </w:tc>
      </w:tr>
      <w:bookmarkEnd w:id="6"/>
    </w:tbl>
    <w:p w14:paraId="36F1B819" w14:textId="77777777" w:rsidR="00036628" w:rsidRPr="008254B6" w:rsidRDefault="00036628" w:rsidP="00036628">
      <w:pPr>
        <w:jc w:val="left"/>
        <w:rPr>
          <w:rFonts w:eastAsia="SimSun"/>
          <w:b/>
          <w:highlight w:val="yellow"/>
        </w:rPr>
      </w:pPr>
    </w:p>
    <w:p w14:paraId="723068E7" w14:textId="77777777" w:rsidR="00036628" w:rsidRPr="008254B6" w:rsidRDefault="00036628" w:rsidP="00036628">
      <w:pPr>
        <w:jc w:val="left"/>
        <w:rPr>
          <w:rFonts w:eastAsia="SimSun"/>
          <w:b/>
          <w:highlight w:val="yellow"/>
        </w:rPr>
      </w:pPr>
    </w:p>
    <w:p w14:paraId="46354D3E" w14:textId="77777777" w:rsidR="00036628" w:rsidRPr="008254B6" w:rsidRDefault="00036628" w:rsidP="00036628">
      <w:pPr>
        <w:jc w:val="left"/>
        <w:rPr>
          <w:rFonts w:eastAsia="SimSun"/>
          <w:b/>
          <w:highlight w:val="yellow"/>
        </w:rPr>
        <w:sectPr w:rsidR="00036628" w:rsidRPr="008254B6"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BB0C03" w:rsidRDefault="00036628" w:rsidP="00036628">
      <w:pPr>
        <w:jc w:val="center"/>
        <w:rPr>
          <w:rFonts w:eastAsia="SimSun"/>
          <w:b/>
        </w:rPr>
      </w:pPr>
      <w:r>
        <w:rPr>
          <w:rFonts w:eastAsia="SimSun"/>
          <w:b/>
        </w:rPr>
        <w:lastRenderedPageBreak/>
        <w:t>Anexo I</w:t>
      </w:r>
    </w:p>
    <w:p w14:paraId="2AF92A63" w14:textId="77777777" w:rsidR="00036628" w:rsidRPr="00BB0C03" w:rsidRDefault="00036628" w:rsidP="00036628">
      <w:pPr>
        <w:jc w:val="center"/>
        <w:rPr>
          <w:rFonts w:eastAsia="SimSun"/>
        </w:rPr>
      </w:pPr>
    </w:p>
    <w:p w14:paraId="33DBD8C7" w14:textId="77777777" w:rsidR="00036628" w:rsidRPr="008D30FA" w:rsidRDefault="00036628" w:rsidP="00036628">
      <w:pPr>
        <w:jc w:val="center"/>
        <w:rPr>
          <w:rFonts w:eastAsia="SimSun"/>
          <w:b/>
          <w:lang w:val="es-ES"/>
        </w:rPr>
      </w:pPr>
      <w:r>
        <w:rPr>
          <w:rFonts w:eastAsia="SimSun"/>
          <w:b/>
          <w:lang w:val="es-ES"/>
        </w:rPr>
        <w:t>TEXTO QUE SE INCLUIRÁ EN EL</w:t>
      </w:r>
    </w:p>
    <w:p w14:paraId="29C93F05" w14:textId="77777777" w:rsidR="00BB0C03" w:rsidRPr="008D30FA" w:rsidRDefault="00BB0C03" w:rsidP="00BB0C03">
      <w:pPr>
        <w:jc w:val="center"/>
        <w:rPr>
          <w:b/>
          <w:lang w:val="es-ES"/>
        </w:rPr>
      </w:pPr>
      <w:r>
        <w:rPr>
          <w:b/>
          <w:lang w:val="es-ES"/>
        </w:rPr>
        <w:t xml:space="preserve">ACUERDO ENTRE EL GOBIERNO DE SURINAME </w:t>
      </w:r>
    </w:p>
    <w:p w14:paraId="28836EDF" w14:textId="77777777" w:rsidR="00BB0C03" w:rsidRPr="008D30FA" w:rsidRDefault="00BB0C03" w:rsidP="00BB0C03">
      <w:pPr>
        <w:jc w:val="center"/>
        <w:rPr>
          <w:b/>
          <w:lang w:val="es-ES"/>
        </w:rPr>
      </w:pPr>
      <w:r>
        <w:rPr>
          <w:b/>
          <w:lang w:val="es-ES"/>
        </w:rPr>
        <w:t xml:space="preserve">Y EL COMITÉ EJECUTIVO DEL FONDO MULTILATERAL </w:t>
      </w:r>
    </w:p>
    <w:p w14:paraId="55412280" w14:textId="77777777" w:rsidR="00BB0C03" w:rsidRPr="008D30FA" w:rsidRDefault="00BB0C03" w:rsidP="00BB0C03">
      <w:pPr>
        <w:jc w:val="center"/>
        <w:rPr>
          <w:b/>
          <w:lang w:val="es-ES"/>
        </w:rPr>
      </w:pPr>
      <w:r>
        <w:rPr>
          <w:b/>
          <w:lang w:val="es-ES"/>
        </w:rPr>
        <w:t xml:space="preserve">PARA LA REDUCCIÓN DEL CONSUMO DE HIDROCLOROFLUOROCARBUROS </w:t>
      </w:r>
    </w:p>
    <w:p w14:paraId="3ED558E6" w14:textId="77777777" w:rsidR="00BB0C03" w:rsidRPr="008D30FA" w:rsidRDefault="00BB0C03" w:rsidP="00BB0C03">
      <w:pPr>
        <w:spacing w:after="240"/>
        <w:jc w:val="center"/>
        <w:rPr>
          <w:b/>
          <w:lang w:val="es-ES"/>
        </w:rPr>
      </w:pPr>
      <w:r>
        <w:rPr>
          <w:b/>
          <w:lang w:val="es-ES"/>
        </w:rPr>
        <w:t>DE CONFORMIDAD CON LA ETAPA II DEL PLAN DE GESTIÓN PARA LA ELIMINACIÓN DE LOS HCFC</w:t>
      </w:r>
    </w:p>
    <w:p w14:paraId="7DDE5622" w14:textId="77777777" w:rsidR="00036628" w:rsidRPr="008D30FA" w:rsidRDefault="00036628" w:rsidP="00036628">
      <w:pPr>
        <w:jc w:val="center"/>
        <w:rPr>
          <w:rFonts w:eastAsia="SimSun"/>
          <w:highlight w:val="yellow"/>
          <w:lang w:val="es-ES"/>
        </w:rPr>
      </w:pPr>
    </w:p>
    <w:p w14:paraId="559B40E6" w14:textId="77777777" w:rsidR="00036628" w:rsidRPr="008D30FA" w:rsidRDefault="00036628" w:rsidP="00036628">
      <w:pPr>
        <w:jc w:val="center"/>
        <w:rPr>
          <w:rFonts w:eastAsia="SimSun"/>
          <w:lang w:val="es-ES"/>
        </w:rPr>
      </w:pPr>
      <w:r>
        <w:rPr>
          <w:rFonts w:eastAsia="SimSun"/>
          <w:lang w:val="es-ES"/>
        </w:rPr>
        <w:t xml:space="preserve">(Los cambios pertinentes están en negrita para facilitar la referencia) </w:t>
      </w:r>
    </w:p>
    <w:p w14:paraId="40159CC8" w14:textId="1A6A854A" w:rsidR="00036628" w:rsidRPr="008D30FA" w:rsidRDefault="00036628" w:rsidP="00D3346A">
      <w:pPr>
        <w:pStyle w:val="Heading1"/>
        <w:numPr>
          <w:ilvl w:val="0"/>
          <w:numId w:val="8"/>
        </w:numPr>
        <w:tabs>
          <w:tab w:val="clear" w:pos="0"/>
          <w:tab w:val="num" w:pos="720"/>
        </w:tabs>
        <w:spacing w:before="240"/>
        <w:rPr>
          <w:b/>
          <w:bCs/>
          <w:lang w:val="es-ES"/>
        </w:rPr>
      </w:pPr>
      <w:r>
        <w:rPr>
          <w:b/>
          <w:bCs/>
          <w:lang w:val="es-ES"/>
        </w:rPr>
        <w:t>Este Acuerdo actualizado sustituye al Acuerdo alcanzado entre el Gobierno de Suriname y el Comité Ejecutivo en la 93ª reunión del Comité Ejecutivo.</w:t>
      </w:r>
    </w:p>
    <w:p w14:paraId="182C8DB5" w14:textId="77777777" w:rsidR="00036628" w:rsidRPr="008D30FA" w:rsidRDefault="00036628" w:rsidP="00036628">
      <w:pPr>
        <w:pStyle w:val="Heading1"/>
        <w:numPr>
          <w:ilvl w:val="0"/>
          <w:numId w:val="0"/>
        </w:numPr>
        <w:rPr>
          <w:b/>
          <w:lang w:val="es-ES"/>
        </w:rPr>
      </w:pPr>
      <w:r>
        <w:rPr>
          <w:b/>
          <w:lang w:val="es-ES"/>
        </w:rPr>
        <w:t>APÉNDICE 2-A: LOS OBJETIVOS Y LA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1"/>
        <w:gridCol w:w="2687"/>
        <w:gridCol w:w="772"/>
        <w:gridCol w:w="772"/>
        <w:gridCol w:w="772"/>
        <w:gridCol w:w="772"/>
        <w:gridCol w:w="772"/>
        <w:gridCol w:w="772"/>
        <w:gridCol w:w="751"/>
        <w:gridCol w:w="799"/>
      </w:tblGrid>
      <w:tr w:rsidR="001E5F84" w:rsidRPr="00D86490" w14:paraId="1B17E1A0" w14:textId="77777777" w:rsidTr="00D86490">
        <w:trPr>
          <w:trHeight w:val="98"/>
          <w:jc w:val="center"/>
        </w:trPr>
        <w:tc>
          <w:tcPr>
            <w:tcW w:w="302" w:type="pct"/>
            <w:hideMark/>
          </w:tcPr>
          <w:p w14:paraId="79F6A957"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Fila</w:t>
            </w:r>
          </w:p>
        </w:tc>
        <w:tc>
          <w:tcPr>
            <w:tcW w:w="1423" w:type="pct"/>
            <w:hideMark/>
          </w:tcPr>
          <w:p w14:paraId="06CB6658" w14:textId="77777777" w:rsidR="001E5F84" w:rsidRPr="00D86490" w:rsidRDefault="001E5F84" w:rsidP="005F6719">
            <w:pPr>
              <w:keepNext/>
              <w:keepLine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Conceptos</w:t>
            </w:r>
            <w:proofErr w:type="spellEnd"/>
          </w:p>
        </w:tc>
        <w:tc>
          <w:tcPr>
            <w:tcW w:w="409" w:type="pct"/>
            <w:hideMark/>
          </w:tcPr>
          <w:p w14:paraId="4421FBA3"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2023</w:t>
            </w:r>
          </w:p>
        </w:tc>
        <w:tc>
          <w:tcPr>
            <w:tcW w:w="409" w:type="pct"/>
            <w:hideMark/>
          </w:tcPr>
          <w:p w14:paraId="66BF627F"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p>
        </w:tc>
        <w:tc>
          <w:tcPr>
            <w:tcW w:w="409" w:type="pct"/>
            <w:hideMark/>
          </w:tcPr>
          <w:p w14:paraId="57328A83"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2025</w:t>
            </w:r>
          </w:p>
        </w:tc>
        <w:tc>
          <w:tcPr>
            <w:tcW w:w="409" w:type="pct"/>
            <w:hideMark/>
          </w:tcPr>
          <w:p w14:paraId="48F89E67"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2026</w:t>
            </w:r>
          </w:p>
        </w:tc>
        <w:tc>
          <w:tcPr>
            <w:tcW w:w="409" w:type="pct"/>
            <w:hideMark/>
          </w:tcPr>
          <w:p w14:paraId="04E1B4F5"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2027</w:t>
            </w:r>
          </w:p>
        </w:tc>
        <w:tc>
          <w:tcPr>
            <w:tcW w:w="409" w:type="pct"/>
          </w:tcPr>
          <w:p w14:paraId="61E7BED1"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2028–2029</w:t>
            </w:r>
          </w:p>
        </w:tc>
        <w:tc>
          <w:tcPr>
            <w:tcW w:w="398" w:type="pct"/>
          </w:tcPr>
          <w:p w14:paraId="12905163"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2030</w:t>
            </w:r>
          </w:p>
        </w:tc>
        <w:tc>
          <w:tcPr>
            <w:tcW w:w="423" w:type="pct"/>
            <w:hideMark/>
          </w:tcPr>
          <w:p w14:paraId="458F074D" w14:textId="77777777" w:rsidR="001E5F84" w:rsidRPr="00D86490" w:rsidRDefault="001E5F84" w:rsidP="005F6719">
            <w:pPr>
              <w:keepNext/>
              <w:keepLine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Total</w:t>
            </w:r>
          </w:p>
        </w:tc>
      </w:tr>
      <w:tr w:rsidR="001E5F84" w:rsidRPr="00D86490" w14:paraId="61B21593" w14:textId="77777777" w:rsidTr="003030A4">
        <w:trPr>
          <w:trHeight w:val="408"/>
          <w:jc w:val="center"/>
        </w:trPr>
        <w:tc>
          <w:tcPr>
            <w:tcW w:w="302" w:type="pct"/>
            <w:hideMark/>
          </w:tcPr>
          <w:p w14:paraId="7E3789FE"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1.1</w:t>
            </w:r>
          </w:p>
        </w:tc>
        <w:tc>
          <w:tcPr>
            <w:tcW w:w="1423" w:type="pct"/>
            <w:hideMark/>
          </w:tcPr>
          <w:p w14:paraId="33B5D16E" w14:textId="77777777" w:rsidR="001E5F84" w:rsidRPr="008D30FA" w:rsidRDefault="001E5F84" w:rsidP="005F6719">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Calendario de reducción del Protocolo de Montreal para las sustancias del Anexo C, Grupo I (toneladas PAO)</w:t>
            </w:r>
          </w:p>
        </w:tc>
        <w:tc>
          <w:tcPr>
            <w:tcW w:w="409" w:type="pct"/>
          </w:tcPr>
          <w:p w14:paraId="6130420D"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1,29</w:t>
            </w:r>
          </w:p>
        </w:tc>
        <w:tc>
          <w:tcPr>
            <w:tcW w:w="409" w:type="pct"/>
          </w:tcPr>
          <w:p w14:paraId="1362C571"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1,29</w:t>
            </w:r>
          </w:p>
        </w:tc>
        <w:tc>
          <w:tcPr>
            <w:tcW w:w="409" w:type="pct"/>
          </w:tcPr>
          <w:p w14:paraId="4F3D35EC"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7A4A8F93"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1972E960"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686FBBCC"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398" w:type="pct"/>
          </w:tcPr>
          <w:p w14:paraId="21847C98"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0,00</w:t>
            </w:r>
          </w:p>
        </w:tc>
        <w:tc>
          <w:tcPr>
            <w:tcW w:w="423" w:type="pct"/>
          </w:tcPr>
          <w:p w14:paraId="72AC93E1" w14:textId="77777777" w:rsidR="001E5F84" w:rsidRPr="00D86490" w:rsidRDefault="001E5F84" w:rsidP="003030A4">
            <w:pPr>
              <w:keepNext/>
              <w:keepLines/>
              <w:jc w:val="right"/>
              <w:rPr>
                <w:rFonts w:asciiTheme="majorBidi" w:hAnsiTheme="majorBidi" w:cstheme="majorBidi"/>
                <w:sz w:val="20"/>
                <w:szCs w:val="20"/>
                <w:lang w:eastAsia="en-CA"/>
              </w:rPr>
            </w:pPr>
            <w:proofErr w:type="spellStart"/>
            <w:r>
              <w:rPr>
                <w:rFonts w:asciiTheme="majorBidi" w:hAnsiTheme="majorBidi" w:cstheme="majorBidi"/>
                <w:sz w:val="20"/>
                <w:szCs w:val="20"/>
              </w:rPr>
              <w:t>s.o</w:t>
            </w:r>
            <w:proofErr w:type="spellEnd"/>
            <w:r>
              <w:rPr>
                <w:rFonts w:asciiTheme="majorBidi" w:hAnsiTheme="majorBidi" w:cstheme="majorBidi"/>
                <w:sz w:val="20"/>
                <w:szCs w:val="20"/>
              </w:rPr>
              <w:t>.</w:t>
            </w:r>
          </w:p>
        </w:tc>
      </w:tr>
      <w:tr w:rsidR="001E5F84" w:rsidRPr="00D86490" w14:paraId="7DCF99D0" w14:textId="77777777" w:rsidTr="003030A4">
        <w:trPr>
          <w:trHeight w:val="408"/>
          <w:jc w:val="center"/>
        </w:trPr>
        <w:tc>
          <w:tcPr>
            <w:tcW w:w="302" w:type="pct"/>
            <w:hideMark/>
          </w:tcPr>
          <w:p w14:paraId="07F2858B"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1.2</w:t>
            </w:r>
          </w:p>
        </w:tc>
        <w:tc>
          <w:tcPr>
            <w:tcW w:w="1423" w:type="pct"/>
            <w:hideMark/>
          </w:tcPr>
          <w:p w14:paraId="7DF9D080" w14:textId="77777777" w:rsidR="001E5F84" w:rsidRPr="008D30FA" w:rsidRDefault="001E5F84" w:rsidP="005F6719">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Consumo total permisible máximo para las substancias incluidas en el Anexo C, Grupo I (toneladas PAO)</w:t>
            </w:r>
          </w:p>
        </w:tc>
        <w:tc>
          <w:tcPr>
            <w:tcW w:w="409" w:type="pct"/>
          </w:tcPr>
          <w:p w14:paraId="73C0C8BD"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1,29</w:t>
            </w:r>
          </w:p>
        </w:tc>
        <w:tc>
          <w:tcPr>
            <w:tcW w:w="409" w:type="pct"/>
          </w:tcPr>
          <w:p w14:paraId="45E1FFCF"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1,29</w:t>
            </w:r>
          </w:p>
        </w:tc>
        <w:tc>
          <w:tcPr>
            <w:tcW w:w="409" w:type="pct"/>
          </w:tcPr>
          <w:p w14:paraId="0A1F7980"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7484DA0B"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27ADE131"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409" w:type="pct"/>
          </w:tcPr>
          <w:p w14:paraId="54A4DEC1"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0,64</w:t>
            </w:r>
          </w:p>
        </w:tc>
        <w:tc>
          <w:tcPr>
            <w:tcW w:w="398" w:type="pct"/>
          </w:tcPr>
          <w:p w14:paraId="540276AB"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0,00</w:t>
            </w:r>
          </w:p>
        </w:tc>
        <w:tc>
          <w:tcPr>
            <w:tcW w:w="423" w:type="pct"/>
          </w:tcPr>
          <w:p w14:paraId="7D8F4ED1" w14:textId="77777777" w:rsidR="001E5F84" w:rsidRPr="00D86490" w:rsidRDefault="001E5F84" w:rsidP="003030A4">
            <w:pPr>
              <w:keepNext/>
              <w:keepLines/>
              <w:jc w:val="right"/>
              <w:rPr>
                <w:rFonts w:asciiTheme="majorBidi" w:hAnsiTheme="majorBidi" w:cstheme="majorBidi"/>
                <w:sz w:val="20"/>
                <w:szCs w:val="20"/>
                <w:lang w:eastAsia="en-CA"/>
              </w:rPr>
            </w:pPr>
            <w:proofErr w:type="spellStart"/>
            <w:r>
              <w:rPr>
                <w:rFonts w:asciiTheme="majorBidi" w:hAnsiTheme="majorBidi" w:cstheme="majorBidi"/>
                <w:sz w:val="20"/>
                <w:szCs w:val="20"/>
              </w:rPr>
              <w:t>s.o</w:t>
            </w:r>
            <w:proofErr w:type="spellEnd"/>
            <w:r>
              <w:rPr>
                <w:rFonts w:asciiTheme="majorBidi" w:hAnsiTheme="majorBidi" w:cstheme="majorBidi"/>
                <w:sz w:val="20"/>
                <w:szCs w:val="20"/>
              </w:rPr>
              <w:t>.</w:t>
            </w:r>
          </w:p>
        </w:tc>
      </w:tr>
      <w:tr w:rsidR="00D86490" w:rsidRPr="00D86490" w14:paraId="0B95BB5F" w14:textId="77777777" w:rsidTr="003030A4">
        <w:trPr>
          <w:trHeight w:val="116"/>
          <w:jc w:val="center"/>
        </w:trPr>
        <w:tc>
          <w:tcPr>
            <w:tcW w:w="302" w:type="pct"/>
            <w:hideMark/>
          </w:tcPr>
          <w:p w14:paraId="204CC45D" w14:textId="77777777" w:rsidR="00D86490" w:rsidRPr="00D86490" w:rsidRDefault="00D86490" w:rsidP="00D86490">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2.1</w:t>
            </w:r>
          </w:p>
        </w:tc>
        <w:tc>
          <w:tcPr>
            <w:tcW w:w="1423" w:type="pct"/>
            <w:hideMark/>
          </w:tcPr>
          <w:p w14:paraId="3C15EABE" w14:textId="77777777" w:rsidR="00D86490" w:rsidRPr="008D30FA" w:rsidRDefault="00D86490" w:rsidP="00D86490">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Financiación convenida para el principal organismo de ejecución (PNUMA) (USD)</w:t>
            </w:r>
          </w:p>
        </w:tc>
        <w:tc>
          <w:tcPr>
            <w:tcW w:w="409" w:type="pct"/>
          </w:tcPr>
          <w:p w14:paraId="2FDB5563"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166.100</w:t>
            </w:r>
          </w:p>
        </w:tc>
        <w:tc>
          <w:tcPr>
            <w:tcW w:w="409" w:type="pct"/>
          </w:tcPr>
          <w:p w14:paraId="0C67930E"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7C813CA0"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04FFBD57" w14:textId="3AA76614" w:rsidR="00D86490" w:rsidRPr="00D27CB2" w:rsidRDefault="00D86490" w:rsidP="003030A4">
            <w:pPr>
              <w:keepNext/>
              <w:keepLines/>
              <w:jc w:val="right"/>
              <w:rPr>
                <w:rFonts w:asciiTheme="majorBidi" w:hAnsiTheme="majorBidi" w:cstheme="majorBidi"/>
                <w:b/>
                <w:bCs/>
                <w:sz w:val="20"/>
                <w:szCs w:val="20"/>
                <w:lang w:eastAsia="en-CA"/>
              </w:rPr>
            </w:pPr>
            <w:r>
              <w:rPr>
                <w:b/>
                <w:bCs/>
                <w:color w:val="000000"/>
                <w:sz w:val="20"/>
                <w:szCs w:val="20"/>
              </w:rPr>
              <w:t>100.000</w:t>
            </w:r>
          </w:p>
        </w:tc>
        <w:tc>
          <w:tcPr>
            <w:tcW w:w="409" w:type="pct"/>
          </w:tcPr>
          <w:p w14:paraId="620F65C8"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158.400</w:t>
            </w:r>
          </w:p>
        </w:tc>
        <w:tc>
          <w:tcPr>
            <w:tcW w:w="409" w:type="pct"/>
          </w:tcPr>
          <w:p w14:paraId="03C085D2"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0BDA8CCE"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36.400</w:t>
            </w:r>
          </w:p>
        </w:tc>
        <w:tc>
          <w:tcPr>
            <w:tcW w:w="423" w:type="pct"/>
          </w:tcPr>
          <w:p w14:paraId="5A586133" w14:textId="3AACB64B" w:rsidR="00D86490" w:rsidRPr="00D27CB2" w:rsidRDefault="00D86490"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rPr>
              <w:t>460.900</w:t>
            </w:r>
          </w:p>
        </w:tc>
      </w:tr>
      <w:tr w:rsidR="00D86490" w:rsidRPr="00D86490" w14:paraId="28AD01F0" w14:textId="77777777" w:rsidTr="003030A4">
        <w:trPr>
          <w:trHeight w:val="56"/>
          <w:jc w:val="center"/>
        </w:trPr>
        <w:tc>
          <w:tcPr>
            <w:tcW w:w="302" w:type="pct"/>
            <w:hideMark/>
          </w:tcPr>
          <w:p w14:paraId="0A41D6D3" w14:textId="77777777" w:rsidR="00D86490" w:rsidRPr="00D86490" w:rsidRDefault="00D86490" w:rsidP="00D86490">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2.2</w:t>
            </w:r>
          </w:p>
        </w:tc>
        <w:tc>
          <w:tcPr>
            <w:tcW w:w="1423" w:type="pct"/>
            <w:hideMark/>
          </w:tcPr>
          <w:p w14:paraId="1ADB0FAE" w14:textId="77777777" w:rsidR="00D86490" w:rsidRPr="008D30FA" w:rsidRDefault="00D86490" w:rsidP="00D86490">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Gastos de apoyo para el principal organismo de ejecución (USD)</w:t>
            </w:r>
          </w:p>
        </w:tc>
        <w:tc>
          <w:tcPr>
            <w:tcW w:w="409" w:type="pct"/>
          </w:tcPr>
          <w:p w14:paraId="60F5546F"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21.593</w:t>
            </w:r>
          </w:p>
        </w:tc>
        <w:tc>
          <w:tcPr>
            <w:tcW w:w="409" w:type="pct"/>
          </w:tcPr>
          <w:p w14:paraId="3EB51871"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44777307"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3584B46D" w14:textId="71F00157" w:rsidR="00D86490" w:rsidRPr="00D27CB2" w:rsidRDefault="00D86490" w:rsidP="003030A4">
            <w:pPr>
              <w:keepNext/>
              <w:keepLines/>
              <w:jc w:val="right"/>
              <w:rPr>
                <w:rFonts w:asciiTheme="majorBidi" w:hAnsiTheme="majorBidi" w:cstheme="majorBidi"/>
                <w:b/>
                <w:bCs/>
                <w:sz w:val="20"/>
                <w:szCs w:val="20"/>
                <w:lang w:eastAsia="en-CA"/>
              </w:rPr>
            </w:pPr>
            <w:r>
              <w:rPr>
                <w:b/>
                <w:bCs/>
                <w:color w:val="000000"/>
                <w:sz w:val="20"/>
                <w:szCs w:val="20"/>
              </w:rPr>
              <w:t xml:space="preserve">13.000 </w:t>
            </w:r>
          </w:p>
        </w:tc>
        <w:tc>
          <w:tcPr>
            <w:tcW w:w="409" w:type="pct"/>
          </w:tcPr>
          <w:p w14:paraId="3F0A8E1E"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20.592</w:t>
            </w:r>
          </w:p>
        </w:tc>
        <w:tc>
          <w:tcPr>
            <w:tcW w:w="409" w:type="pct"/>
          </w:tcPr>
          <w:p w14:paraId="12FAEA8B"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3F04A193"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4.732</w:t>
            </w:r>
          </w:p>
        </w:tc>
        <w:tc>
          <w:tcPr>
            <w:tcW w:w="423" w:type="pct"/>
          </w:tcPr>
          <w:p w14:paraId="2FB75E64" w14:textId="2ED6649C" w:rsidR="00D86490" w:rsidRPr="00D27CB2" w:rsidRDefault="00D86490"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59.917</w:t>
            </w:r>
          </w:p>
        </w:tc>
      </w:tr>
      <w:tr w:rsidR="00D86490" w:rsidRPr="00D86490" w14:paraId="5146CC32" w14:textId="77777777" w:rsidTr="003030A4">
        <w:trPr>
          <w:trHeight w:val="161"/>
          <w:jc w:val="center"/>
        </w:trPr>
        <w:tc>
          <w:tcPr>
            <w:tcW w:w="302" w:type="pct"/>
            <w:hideMark/>
          </w:tcPr>
          <w:p w14:paraId="10302557" w14:textId="77777777" w:rsidR="00D86490" w:rsidRPr="00D86490" w:rsidRDefault="00D86490" w:rsidP="00D86490">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423" w:type="pct"/>
            <w:hideMark/>
          </w:tcPr>
          <w:p w14:paraId="22152338" w14:textId="77777777" w:rsidR="00D86490" w:rsidRPr="008D30FA" w:rsidRDefault="00D86490" w:rsidP="00D86490">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Financiación convenida para el organismo de ejecución cooperante (ONUDI) (USD)</w:t>
            </w:r>
          </w:p>
        </w:tc>
        <w:tc>
          <w:tcPr>
            <w:tcW w:w="409" w:type="pct"/>
          </w:tcPr>
          <w:p w14:paraId="1FF4E00E"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61.000</w:t>
            </w:r>
          </w:p>
        </w:tc>
        <w:tc>
          <w:tcPr>
            <w:tcW w:w="409" w:type="pct"/>
          </w:tcPr>
          <w:p w14:paraId="10444238"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25AD1C9C"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7D2F6456" w14:textId="5A45B4A7" w:rsidR="00D86490" w:rsidRPr="00D86490" w:rsidRDefault="00D86490" w:rsidP="003030A4">
            <w:pPr>
              <w:keepNext/>
              <w:keepLines/>
              <w:jc w:val="right"/>
              <w:rPr>
                <w:rFonts w:asciiTheme="majorBidi" w:hAnsiTheme="majorBidi" w:cstheme="majorBidi"/>
                <w:sz w:val="20"/>
                <w:szCs w:val="20"/>
                <w:lang w:eastAsia="en-CA"/>
              </w:rPr>
            </w:pPr>
            <w:r>
              <w:rPr>
                <w:color w:val="000000"/>
                <w:sz w:val="20"/>
                <w:szCs w:val="20"/>
              </w:rPr>
              <w:t xml:space="preserve">       0</w:t>
            </w:r>
          </w:p>
        </w:tc>
        <w:tc>
          <w:tcPr>
            <w:tcW w:w="409" w:type="pct"/>
          </w:tcPr>
          <w:p w14:paraId="1E292504"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99.600</w:t>
            </w:r>
          </w:p>
        </w:tc>
        <w:tc>
          <w:tcPr>
            <w:tcW w:w="409" w:type="pct"/>
          </w:tcPr>
          <w:p w14:paraId="2B7DC1FA"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12875E27"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18.500</w:t>
            </w:r>
          </w:p>
        </w:tc>
        <w:tc>
          <w:tcPr>
            <w:tcW w:w="423" w:type="pct"/>
          </w:tcPr>
          <w:p w14:paraId="6E33B8D6"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179.100</w:t>
            </w:r>
          </w:p>
        </w:tc>
      </w:tr>
      <w:tr w:rsidR="001E5F84" w:rsidRPr="00D86490" w14:paraId="01CA7F20" w14:textId="77777777" w:rsidTr="003030A4">
        <w:trPr>
          <w:trHeight w:val="60"/>
          <w:jc w:val="center"/>
        </w:trPr>
        <w:tc>
          <w:tcPr>
            <w:tcW w:w="302" w:type="pct"/>
            <w:hideMark/>
          </w:tcPr>
          <w:p w14:paraId="24148E15"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423" w:type="pct"/>
            <w:hideMark/>
          </w:tcPr>
          <w:p w14:paraId="439B6F08" w14:textId="77777777" w:rsidR="001E5F84" w:rsidRPr="008D30FA" w:rsidRDefault="001E5F84" w:rsidP="005F6719">
            <w:pPr>
              <w:keepNext/>
              <w:keepLines/>
              <w:jc w:val="left"/>
              <w:rPr>
                <w:rFonts w:asciiTheme="majorBidi" w:hAnsiTheme="majorBidi" w:cstheme="majorBidi"/>
                <w:sz w:val="20"/>
                <w:szCs w:val="20"/>
                <w:lang w:val="es-ES" w:eastAsia="en-CA"/>
              </w:rPr>
            </w:pPr>
            <w:r>
              <w:rPr>
                <w:rFonts w:asciiTheme="majorBidi" w:hAnsiTheme="majorBidi" w:cstheme="majorBidi"/>
                <w:sz w:val="20"/>
                <w:szCs w:val="20"/>
                <w:lang w:val="es-ES" w:eastAsia="en-CA"/>
              </w:rPr>
              <w:t>Gastos de apoyo para el organismo de ejecución cooperante (USD)</w:t>
            </w:r>
          </w:p>
        </w:tc>
        <w:tc>
          <w:tcPr>
            <w:tcW w:w="409" w:type="pct"/>
          </w:tcPr>
          <w:p w14:paraId="3CFF509C"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5.490</w:t>
            </w:r>
          </w:p>
        </w:tc>
        <w:tc>
          <w:tcPr>
            <w:tcW w:w="409" w:type="pct"/>
          </w:tcPr>
          <w:p w14:paraId="29C44E2F"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6AF82EEC"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4E2D095F"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30CD623F"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8.964</w:t>
            </w:r>
          </w:p>
        </w:tc>
        <w:tc>
          <w:tcPr>
            <w:tcW w:w="409" w:type="pct"/>
          </w:tcPr>
          <w:p w14:paraId="523ED178"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4EF6C67A"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1.665</w:t>
            </w:r>
          </w:p>
        </w:tc>
        <w:tc>
          <w:tcPr>
            <w:tcW w:w="423" w:type="pct"/>
          </w:tcPr>
          <w:p w14:paraId="6C292703"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16.119</w:t>
            </w:r>
          </w:p>
        </w:tc>
      </w:tr>
      <w:tr w:rsidR="00D86490" w:rsidRPr="00D86490" w14:paraId="0A535E27" w14:textId="77777777" w:rsidTr="003030A4">
        <w:trPr>
          <w:trHeight w:val="62"/>
          <w:jc w:val="center"/>
        </w:trPr>
        <w:tc>
          <w:tcPr>
            <w:tcW w:w="302" w:type="pct"/>
            <w:hideMark/>
          </w:tcPr>
          <w:p w14:paraId="507BAACB" w14:textId="77777777" w:rsidR="00D86490" w:rsidRPr="00D86490" w:rsidRDefault="00D86490" w:rsidP="00D86490">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3.1</w:t>
            </w:r>
          </w:p>
        </w:tc>
        <w:tc>
          <w:tcPr>
            <w:tcW w:w="1423" w:type="pct"/>
            <w:hideMark/>
          </w:tcPr>
          <w:p w14:paraId="3354021E" w14:textId="77777777" w:rsidR="00D86490" w:rsidRPr="00D86490" w:rsidRDefault="00D86490" w:rsidP="00D86490">
            <w:pPr>
              <w:keepNext/>
              <w:keepLines/>
              <w:jc w:val="lef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Financiación</w:t>
            </w:r>
            <w:proofErr w:type="spellEnd"/>
            <w:r>
              <w:rPr>
                <w:rFonts w:asciiTheme="majorBidi" w:hAnsiTheme="majorBidi" w:cstheme="majorBidi"/>
                <w:sz w:val="20"/>
                <w:szCs w:val="20"/>
                <w:lang w:eastAsia="en-CA"/>
              </w:rPr>
              <w:t xml:space="preserve"> total </w:t>
            </w:r>
            <w:proofErr w:type="spellStart"/>
            <w:r>
              <w:rPr>
                <w:rFonts w:asciiTheme="majorBidi" w:hAnsiTheme="majorBidi" w:cstheme="majorBidi"/>
                <w:sz w:val="20"/>
                <w:szCs w:val="20"/>
                <w:lang w:eastAsia="en-CA"/>
              </w:rPr>
              <w:t>convenida</w:t>
            </w:r>
            <w:proofErr w:type="spellEnd"/>
            <w:r>
              <w:rPr>
                <w:rFonts w:asciiTheme="majorBidi" w:hAnsiTheme="majorBidi" w:cstheme="majorBidi"/>
                <w:sz w:val="20"/>
                <w:szCs w:val="20"/>
                <w:lang w:eastAsia="en-CA"/>
              </w:rPr>
              <w:t xml:space="preserve"> (USD)</w:t>
            </w:r>
          </w:p>
        </w:tc>
        <w:tc>
          <w:tcPr>
            <w:tcW w:w="409" w:type="pct"/>
          </w:tcPr>
          <w:p w14:paraId="38E2179C"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227.100</w:t>
            </w:r>
          </w:p>
        </w:tc>
        <w:tc>
          <w:tcPr>
            <w:tcW w:w="409" w:type="pct"/>
          </w:tcPr>
          <w:p w14:paraId="54B085ED"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130EAF2A"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35629E79" w14:textId="1E1C0CDF" w:rsidR="00D86490" w:rsidRPr="00D27CB2" w:rsidRDefault="00D86490" w:rsidP="003030A4">
            <w:pPr>
              <w:keepNext/>
              <w:keepLines/>
              <w:jc w:val="right"/>
              <w:rPr>
                <w:rFonts w:asciiTheme="majorBidi" w:hAnsiTheme="majorBidi" w:cstheme="majorBidi"/>
                <w:b/>
                <w:bCs/>
                <w:sz w:val="20"/>
                <w:szCs w:val="20"/>
                <w:lang w:eastAsia="en-CA"/>
              </w:rPr>
            </w:pPr>
            <w:r>
              <w:rPr>
                <w:b/>
                <w:bCs/>
                <w:color w:val="000000"/>
                <w:sz w:val="20"/>
                <w:szCs w:val="20"/>
              </w:rPr>
              <w:t>100.000</w:t>
            </w:r>
          </w:p>
        </w:tc>
        <w:tc>
          <w:tcPr>
            <w:tcW w:w="409" w:type="pct"/>
          </w:tcPr>
          <w:p w14:paraId="236654FC"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258.000</w:t>
            </w:r>
          </w:p>
        </w:tc>
        <w:tc>
          <w:tcPr>
            <w:tcW w:w="409" w:type="pct"/>
          </w:tcPr>
          <w:p w14:paraId="27D716E6"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019636BF"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54.900</w:t>
            </w:r>
          </w:p>
        </w:tc>
        <w:tc>
          <w:tcPr>
            <w:tcW w:w="423" w:type="pct"/>
          </w:tcPr>
          <w:p w14:paraId="7ABEF1E8" w14:textId="220AEA56" w:rsidR="00D86490" w:rsidRPr="00D27CB2" w:rsidRDefault="00D86490"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rPr>
              <w:t>640.000</w:t>
            </w:r>
          </w:p>
        </w:tc>
      </w:tr>
      <w:tr w:rsidR="00D86490" w:rsidRPr="00D86490" w14:paraId="46B6BA93" w14:textId="77777777" w:rsidTr="003030A4">
        <w:trPr>
          <w:trHeight w:val="62"/>
          <w:jc w:val="center"/>
        </w:trPr>
        <w:tc>
          <w:tcPr>
            <w:tcW w:w="302" w:type="pct"/>
            <w:hideMark/>
          </w:tcPr>
          <w:p w14:paraId="3B4FA967" w14:textId="77777777" w:rsidR="00D86490" w:rsidRPr="00D86490" w:rsidRDefault="00D86490" w:rsidP="00D86490">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3.2</w:t>
            </w:r>
          </w:p>
        </w:tc>
        <w:tc>
          <w:tcPr>
            <w:tcW w:w="1423" w:type="pct"/>
            <w:hideMark/>
          </w:tcPr>
          <w:p w14:paraId="7A22A6D6" w14:textId="77777777" w:rsidR="00D86490" w:rsidRPr="008D30FA" w:rsidRDefault="00D86490" w:rsidP="00D86490">
            <w:pPr>
              <w:keepNext/>
              <w:keepLines/>
              <w:jc w:val="left"/>
              <w:rPr>
                <w:rFonts w:asciiTheme="majorBidi" w:hAnsiTheme="majorBidi" w:cstheme="majorBidi"/>
                <w:sz w:val="20"/>
                <w:szCs w:val="20"/>
                <w:lang w:val="es-ES" w:eastAsia="en-CA"/>
              </w:rPr>
            </w:pPr>
            <w:proofErr w:type="gramStart"/>
            <w:r>
              <w:rPr>
                <w:rFonts w:asciiTheme="majorBidi" w:hAnsiTheme="majorBidi" w:cstheme="majorBidi"/>
                <w:sz w:val="20"/>
                <w:szCs w:val="20"/>
                <w:lang w:val="es-ES" w:eastAsia="en-CA"/>
              </w:rPr>
              <w:t>Total</w:t>
            </w:r>
            <w:proofErr w:type="gramEnd"/>
            <w:r>
              <w:rPr>
                <w:rFonts w:asciiTheme="majorBidi" w:hAnsiTheme="majorBidi" w:cstheme="majorBidi"/>
                <w:sz w:val="20"/>
                <w:szCs w:val="20"/>
                <w:lang w:val="es-ES" w:eastAsia="en-CA"/>
              </w:rPr>
              <w:t xml:space="preserve"> gastos de apoyo (USD)</w:t>
            </w:r>
          </w:p>
        </w:tc>
        <w:tc>
          <w:tcPr>
            <w:tcW w:w="409" w:type="pct"/>
          </w:tcPr>
          <w:p w14:paraId="1E675874"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27.083</w:t>
            </w:r>
          </w:p>
        </w:tc>
        <w:tc>
          <w:tcPr>
            <w:tcW w:w="409" w:type="pct"/>
          </w:tcPr>
          <w:p w14:paraId="7DB92597"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42E40EB0"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42144117" w14:textId="25408504" w:rsidR="00D86490" w:rsidRPr="00D27CB2" w:rsidRDefault="00D86490" w:rsidP="003030A4">
            <w:pPr>
              <w:keepNext/>
              <w:keepLines/>
              <w:jc w:val="right"/>
              <w:rPr>
                <w:rFonts w:asciiTheme="majorBidi" w:hAnsiTheme="majorBidi" w:cstheme="majorBidi"/>
                <w:b/>
                <w:bCs/>
                <w:sz w:val="20"/>
                <w:szCs w:val="20"/>
                <w:lang w:eastAsia="en-CA"/>
              </w:rPr>
            </w:pPr>
            <w:r>
              <w:rPr>
                <w:b/>
                <w:bCs/>
                <w:color w:val="000000"/>
                <w:sz w:val="20"/>
                <w:szCs w:val="20"/>
              </w:rPr>
              <w:t xml:space="preserve">       13.000 </w:t>
            </w:r>
          </w:p>
        </w:tc>
        <w:tc>
          <w:tcPr>
            <w:tcW w:w="409" w:type="pct"/>
          </w:tcPr>
          <w:p w14:paraId="1E11F051"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29.556</w:t>
            </w:r>
          </w:p>
        </w:tc>
        <w:tc>
          <w:tcPr>
            <w:tcW w:w="409" w:type="pct"/>
          </w:tcPr>
          <w:p w14:paraId="313D088D"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0D7DDAC0" w14:textId="77777777" w:rsidR="00D86490" w:rsidRPr="00D86490" w:rsidRDefault="00D86490"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6.397</w:t>
            </w:r>
          </w:p>
        </w:tc>
        <w:tc>
          <w:tcPr>
            <w:tcW w:w="423" w:type="pct"/>
          </w:tcPr>
          <w:p w14:paraId="303D9CD7" w14:textId="7E37992B" w:rsidR="00D86490" w:rsidRPr="00D27CB2" w:rsidRDefault="00FA099F"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rPr>
              <w:t>76.036</w:t>
            </w:r>
          </w:p>
        </w:tc>
      </w:tr>
      <w:tr w:rsidR="001E5F84" w:rsidRPr="00D86490" w14:paraId="0ABBE242" w14:textId="77777777" w:rsidTr="003030A4">
        <w:trPr>
          <w:trHeight w:val="53"/>
          <w:jc w:val="center"/>
        </w:trPr>
        <w:tc>
          <w:tcPr>
            <w:tcW w:w="302" w:type="pct"/>
            <w:hideMark/>
          </w:tcPr>
          <w:p w14:paraId="6B206467"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3.3</w:t>
            </w:r>
          </w:p>
        </w:tc>
        <w:tc>
          <w:tcPr>
            <w:tcW w:w="1423" w:type="pct"/>
            <w:hideMark/>
          </w:tcPr>
          <w:p w14:paraId="54B8BCCD" w14:textId="77777777" w:rsidR="001E5F84" w:rsidRPr="008D30FA" w:rsidRDefault="001E5F84" w:rsidP="005F6719">
            <w:pPr>
              <w:keepNext/>
              <w:keepLines/>
              <w:jc w:val="left"/>
              <w:rPr>
                <w:rFonts w:asciiTheme="majorBidi" w:hAnsiTheme="majorBidi" w:cstheme="majorBidi"/>
                <w:sz w:val="20"/>
                <w:szCs w:val="20"/>
                <w:lang w:val="es-ES" w:eastAsia="en-CA"/>
              </w:rPr>
            </w:pPr>
            <w:proofErr w:type="gramStart"/>
            <w:r>
              <w:rPr>
                <w:rFonts w:asciiTheme="majorBidi" w:hAnsiTheme="majorBidi" w:cstheme="majorBidi"/>
                <w:sz w:val="20"/>
                <w:szCs w:val="20"/>
                <w:lang w:val="es-ES" w:eastAsia="en-CA"/>
              </w:rPr>
              <w:t>Total</w:t>
            </w:r>
            <w:proofErr w:type="gramEnd"/>
            <w:r>
              <w:rPr>
                <w:rFonts w:asciiTheme="majorBidi" w:hAnsiTheme="majorBidi" w:cstheme="majorBidi"/>
                <w:sz w:val="20"/>
                <w:szCs w:val="20"/>
                <w:lang w:val="es-ES" w:eastAsia="en-CA"/>
              </w:rPr>
              <w:t xml:space="preserve"> de costos convenidos (USD)</w:t>
            </w:r>
          </w:p>
        </w:tc>
        <w:tc>
          <w:tcPr>
            <w:tcW w:w="409" w:type="pct"/>
          </w:tcPr>
          <w:p w14:paraId="4E2FE834"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254.183</w:t>
            </w:r>
          </w:p>
        </w:tc>
        <w:tc>
          <w:tcPr>
            <w:tcW w:w="409" w:type="pct"/>
          </w:tcPr>
          <w:p w14:paraId="1EEBE3AA"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5A89C341"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409" w:type="pct"/>
          </w:tcPr>
          <w:p w14:paraId="72146DED" w14:textId="1F706191" w:rsidR="001E5F84" w:rsidRPr="00D27CB2" w:rsidRDefault="00D86490"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113.000</w:t>
            </w:r>
          </w:p>
        </w:tc>
        <w:tc>
          <w:tcPr>
            <w:tcW w:w="409" w:type="pct"/>
          </w:tcPr>
          <w:p w14:paraId="14CA0AB9"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287.556</w:t>
            </w:r>
          </w:p>
        </w:tc>
        <w:tc>
          <w:tcPr>
            <w:tcW w:w="409" w:type="pct"/>
          </w:tcPr>
          <w:p w14:paraId="260A04CB"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0</w:t>
            </w:r>
          </w:p>
        </w:tc>
        <w:tc>
          <w:tcPr>
            <w:tcW w:w="398" w:type="pct"/>
          </w:tcPr>
          <w:p w14:paraId="6966B251" w14:textId="77777777" w:rsidR="001E5F84" w:rsidRPr="00D86490" w:rsidRDefault="001E5F84" w:rsidP="003030A4">
            <w:pPr>
              <w:keepNext/>
              <w:keepLines/>
              <w:jc w:val="right"/>
              <w:rPr>
                <w:rFonts w:asciiTheme="majorBidi" w:hAnsiTheme="majorBidi" w:cstheme="majorBidi"/>
                <w:sz w:val="20"/>
                <w:szCs w:val="20"/>
                <w:lang w:eastAsia="en-CA"/>
              </w:rPr>
            </w:pPr>
            <w:r>
              <w:rPr>
                <w:rFonts w:asciiTheme="majorBidi" w:hAnsiTheme="majorBidi" w:cstheme="majorBidi"/>
                <w:sz w:val="20"/>
                <w:szCs w:val="20"/>
              </w:rPr>
              <w:t>61.297</w:t>
            </w:r>
          </w:p>
        </w:tc>
        <w:tc>
          <w:tcPr>
            <w:tcW w:w="423" w:type="pct"/>
          </w:tcPr>
          <w:p w14:paraId="23D3ADB6" w14:textId="69DC78E2" w:rsidR="001E5F84" w:rsidRPr="00D27CB2" w:rsidRDefault="00D27CB2" w:rsidP="003030A4">
            <w:pPr>
              <w:keepNext/>
              <w:keepLines/>
              <w:jc w:val="right"/>
              <w:rPr>
                <w:rFonts w:asciiTheme="majorBidi" w:hAnsiTheme="majorBidi" w:cstheme="majorBidi"/>
                <w:b/>
                <w:bCs/>
                <w:sz w:val="20"/>
                <w:szCs w:val="20"/>
                <w:lang w:eastAsia="en-CA"/>
              </w:rPr>
            </w:pPr>
            <w:r>
              <w:rPr>
                <w:rFonts w:asciiTheme="majorBidi" w:hAnsiTheme="majorBidi" w:cstheme="majorBidi"/>
                <w:b/>
                <w:bCs/>
                <w:sz w:val="20"/>
                <w:szCs w:val="20"/>
              </w:rPr>
              <w:t>716.036</w:t>
            </w:r>
          </w:p>
        </w:tc>
      </w:tr>
      <w:tr w:rsidR="001E5F84" w:rsidRPr="00D86490" w14:paraId="3DB638EA" w14:textId="77777777" w:rsidTr="00D86490">
        <w:trPr>
          <w:trHeight w:val="53"/>
          <w:jc w:val="center"/>
        </w:trPr>
        <w:tc>
          <w:tcPr>
            <w:tcW w:w="302" w:type="pct"/>
            <w:hideMark/>
          </w:tcPr>
          <w:p w14:paraId="64E3A7DC"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4.1.1</w:t>
            </w:r>
          </w:p>
        </w:tc>
        <w:tc>
          <w:tcPr>
            <w:tcW w:w="4274" w:type="pct"/>
            <w:gridSpan w:val="8"/>
            <w:hideMark/>
          </w:tcPr>
          <w:p w14:paraId="0CAB915F"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Eliminación total de HCFC-22 convenida en el presente Acuerdo (Toneladas PAO)</w:t>
            </w:r>
          </w:p>
        </w:tc>
        <w:tc>
          <w:tcPr>
            <w:tcW w:w="423" w:type="pct"/>
          </w:tcPr>
          <w:p w14:paraId="2CF492F3"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1,29</w:t>
            </w:r>
          </w:p>
        </w:tc>
      </w:tr>
      <w:tr w:rsidR="001E5F84" w:rsidRPr="00D86490" w14:paraId="2A8A11C4" w14:textId="77777777" w:rsidTr="00D86490">
        <w:trPr>
          <w:trHeight w:val="116"/>
          <w:jc w:val="center"/>
        </w:trPr>
        <w:tc>
          <w:tcPr>
            <w:tcW w:w="302" w:type="pct"/>
            <w:hideMark/>
          </w:tcPr>
          <w:p w14:paraId="12B22B2C"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4.1.2</w:t>
            </w:r>
          </w:p>
        </w:tc>
        <w:tc>
          <w:tcPr>
            <w:tcW w:w="4274" w:type="pct"/>
            <w:gridSpan w:val="8"/>
            <w:hideMark/>
          </w:tcPr>
          <w:p w14:paraId="582EF95F"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Eliminación de HCFC-22 que se logrará en la etapa anterior (toneladas PAO)</w:t>
            </w:r>
          </w:p>
        </w:tc>
        <w:tc>
          <w:tcPr>
            <w:tcW w:w="423" w:type="pct"/>
          </w:tcPr>
          <w:p w14:paraId="1D2188CE"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0,69</w:t>
            </w:r>
          </w:p>
        </w:tc>
      </w:tr>
      <w:tr w:rsidR="001E5F84" w:rsidRPr="00D86490" w14:paraId="6B572C81" w14:textId="77777777" w:rsidTr="00D86490">
        <w:trPr>
          <w:trHeight w:val="98"/>
          <w:jc w:val="center"/>
        </w:trPr>
        <w:tc>
          <w:tcPr>
            <w:tcW w:w="302" w:type="pct"/>
            <w:hideMark/>
          </w:tcPr>
          <w:p w14:paraId="0DD85842"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4.1.3</w:t>
            </w:r>
          </w:p>
        </w:tc>
        <w:tc>
          <w:tcPr>
            <w:tcW w:w="4274" w:type="pct"/>
            <w:gridSpan w:val="8"/>
            <w:hideMark/>
          </w:tcPr>
          <w:p w14:paraId="3FBE9D77"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Consumo admisible remanente de HCFC-22 (toneladas PAO)</w:t>
            </w:r>
          </w:p>
        </w:tc>
        <w:tc>
          <w:tcPr>
            <w:tcW w:w="423" w:type="pct"/>
          </w:tcPr>
          <w:p w14:paraId="0EABAEA2"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0,00</w:t>
            </w:r>
          </w:p>
        </w:tc>
      </w:tr>
      <w:tr w:rsidR="001E5F84" w:rsidRPr="00D86490" w14:paraId="07B0115A" w14:textId="77777777" w:rsidTr="00D86490">
        <w:trPr>
          <w:trHeight w:val="53"/>
          <w:jc w:val="center"/>
        </w:trPr>
        <w:tc>
          <w:tcPr>
            <w:tcW w:w="302" w:type="pct"/>
            <w:hideMark/>
          </w:tcPr>
          <w:p w14:paraId="0A533EC9"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4.2.1</w:t>
            </w:r>
          </w:p>
        </w:tc>
        <w:tc>
          <w:tcPr>
            <w:tcW w:w="4274" w:type="pct"/>
            <w:gridSpan w:val="8"/>
            <w:hideMark/>
          </w:tcPr>
          <w:p w14:paraId="369C6A7B"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Eliminación total de HCFC-142b convenida en el presente Acuerdo (toneladas PAO)</w:t>
            </w:r>
          </w:p>
        </w:tc>
        <w:tc>
          <w:tcPr>
            <w:tcW w:w="423" w:type="pct"/>
          </w:tcPr>
          <w:p w14:paraId="29ADB2C6"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0,00</w:t>
            </w:r>
          </w:p>
        </w:tc>
      </w:tr>
      <w:tr w:rsidR="001E5F84" w:rsidRPr="00D86490" w14:paraId="1A6E01B8" w14:textId="77777777" w:rsidTr="00D86490">
        <w:trPr>
          <w:trHeight w:val="116"/>
          <w:jc w:val="center"/>
        </w:trPr>
        <w:tc>
          <w:tcPr>
            <w:tcW w:w="302" w:type="pct"/>
            <w:hideMark/>
          </w:tcPr>
          <w:p w14:paraId="08965EC0"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4.2.2</w:t>
            </w:r>
          </w:p>
        </w:tc>
        <w:tc>
          <w:tcPr>
            <w:tcW w:w="4274" w:type="pct"/>
            <w:gridSpan w:val="8"/>
            <w:hideMark/>
          </w:tcPr>
          <w:p w14:paraId="0BBD8FF2"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Eliminación de HCFC-142b que se logrará en la etapa anterior (toneladas PAO)</w:t>
            </w:r>
          </w:p>
        </w:tc>
        <w:tc>
          <w:tcPr>
            <w:tcW w:w="423" w:type="pct"/>
          </w:tcPr>
          <w:p w14:paraId="0247E021"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0,04</w:t>
            </w:r>
          </w:p>
        </w:tc>
      </w:tr>
      <w:tr w:rsidR="001E5F84" w:rsidRPr="00D86490" w14:paraId="7DC091D5" w14:textId="77777777" w:rsidTr="00D86490">
        <w:trPr>
          <w:trHeight w:val="98"/>
          <w:jc w:val="center"/>
        </w:trPr>
        <w:tc>
          <w:tcPr>
            <w:tcW w:w="302" w:type="pct"/>
            <w:hideMark/>
          </w:tcPr>
          <w:p w14:paraId="0944BE60" w14:textId="77777777" w:rsidR="001E5F84" w:rsidRPr="00D86490" w:rsidRDefault="001E5F84" w:rsidP="005F6719">
            <w:pPr>
              <w:keepNext/>
              <w:keepLines/>
              <w:jc w:val="left"/>
              <w:rPr>
                <w:rFonts w:asciiTheme="majorBidi" w:hAnsiTheme="majorBidi" w:cstheme="majorBidi"/>
                <w:sz w:val="20"/>
                <w:szCs w:val="20"/>
                <w:lang w:eastAsia="en-CA"/>
              </w:rPr>
            </w:pPr>
            <w:r>
              <w:rPr>
                <w:rFonts w:asciiTheme="majorBidi" w:hAnsiTheme="majorBidi" w:cstheme="majorBidi"/>
                <w:sz w:val="20"/>
                <w:szCs w:val="20"/>
                <w:lang w:eastAsia="en-CA"/>
              </w:rPr>
              <w:t>4.2.3</w:t>
            </w:r>
          </w:p>
        </w:tc>
        <w:tc>
          <w:tcPr>
            <w:tcW w:w="4274" w:type="pct"/>
            <w:gridSpan w:val="8"/>
            <w:hideMark/>
          </w:tcPr>
          <w:p w14:paraId="2D481AC7" w14:textId="77777777" w:rsidR="001E5F84" w:rsidRPr="008D30FA" w:rsidRDefault="001E5F84" w:rsidP="005F6719">
            <w:pPr>
              <w:keepNext/>
              <w:keepLines/>
              <w:ind w:right="400"/>
              <w:rPr>
                <w:rFonts w:asciiTheme="majorBidi" w:hAnsiTheme="majorBidi" w:cstheme="majorBidi"/>
                <w:sz w:val="20"/>
                <w:szCs w:val="20"/>
                <w:lang w:val="es-ES" w:eastAsia="en-CA"/>
              </w:rPr>
            </w:pPr>
            <w:r>
              <w:rPr>
                <w:rFonts w:asciiTheme="majorBidi" w:hAnsiTheme="majorBidi" w:cstheme="majorBidi"/>
                <w:sz w:val="20"/>
                <w:szCs w:val="20"/>
                <w:lang w:val="es-ES" w:eastAsia="en-CA"/>
              </w:rPr>
              <w:t>Consumo admisible remanente de HCFC-142b (Toneladas PAO)</w:t>
            </w:r>
          </w:p>
        </w:tc>
        <w:tc>
          <w:tcPr>
            <w:tcW w:w="423" w:type="pct"/>
          </w:tcPr>
          <w:p w14:paraId="42381D15" w14:textId="77777777" w:rsidR="001E5F84" w:rsidRPr="00D86490" w:rsidRDefault="001E5F84" w:rsidP="005F6719">
            <w:pPr>
              <w:keepNext/>
              <w:keepLines/>
              <w:jc w:val="right"/>
              <w:rPr>
                <w:rFonts w:asciiTheme="majorBidi" w:hAnsiTheme="majorBidi" w:cstheme="majorBidi"/>
                <w:sz w:val="20"/>
                <w:szCs w:val="20"/>
                <w:lang w:eastAsia="en-CA"/>
              </w:rPr>
            </w:pPr>
            <w:r>
              <w:rPr>
                <w:rFonts w:asciiTheme="majorBidi" w:hAnsiTheme="majorBidi" w:cstheme="majorBidi"/>
                <w:sz w:val="20"/>
                <w:szCs w:val="20"/>
                <w:lang w:eastAsia="en-CA"/>
              </w:rPr>
              <w:t>0,00</w:t>
            </w:r>
          </w:p>
        </w:tc>
      </w:tr>
    </w:tbl>
    <w:p w14:paraId="76ED36F3" w14:textId="77777777" w:rsidR="00D92C12" w:rsidRPr="008D30FA" w:rsidRDefault="00D92C12" w:rsidP="00D92C12">
      <w:pPr>
        <w:pStyle w:val="Heading1"/>
        <w:keepNext/>
        <w:keepLines/>
        <w:numPr>
          <w:ilvl w:val="0"/>
          <w:numId w:val="0"/>
        </w:numPr>
        <w:rPr>
          <w:sz w:val="18"/>
          <w:szCs w:val="16"/>
          <w:lang w:val="es-ES"/>
        </w:rPr>
      </w:pPr>
      <w:r>
        <w:rPr>
          <w:sz w:val="18"/>
          <w:szCs w:val="16"/>
          <w:lang w:val="es-ES"/>
        </w:rPr>
        <w:t>*Fecha de finalización de la etapa I de conformidad con la decisión 92/32 b): 30 de junio de 2024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800AE6" w14:paraId="04F5BB24" w14:textId="77777777" w:rsidTr="00CC4AE5">
        <w:tc>
          <w:tcPr>
            <w:tcW w:w="999" w:type="pct"/>
          </w:tcPr>
          <w:p w14:paraId="57B74A09" w14:textId="77777777" w:rsidR="00720EE7" w:rsidRPr="008D30FA" w:rsidRDefault="00720EE7" w:rsidP="004669D1">
            <w:pPr>
              <w:rPr>
                <w:lang w:val="es-ES"/>
              </w:rPr>
            </w:pPr>
          </w:p>
        </w:tc>
        <w:tc>
          <w:tcPr>
            <w:tcW w:w="1000" w:type="pct"/>
          </w:tcPr>
          <w:p w14:paraId="2DA01F00" w14:textId="77777777" w:rsidR="00720EE7" w:rsidRPr="008D30FA" w:rsidRDefault="00720EE7" w:rsidP="004669D1">
            <w:pPr>
              <w:rPr>
                <w:lang w:val="es-ES"/>
              </w:rPr>
            </w:pPr>
          </w:p>
        </w:tc>
        <w:tc>
          <w:tcPr>
            <w:tcW w:w="1000" w:type="pct"/>
            <w:tcBorders>
              <w:bottom w:val="single" w:sz="4" w:space="0" w:color="auto"/>
            </w:tcBorders>
          </w:tcPr>
          <w:p w14:paraId="72D213C5" w14:textId="77777777" w:rsidR="00720EE7" w:rsidRPr="008D30FA" w:rsidRDefault="00720EE7" w:rsidP="004669D1">
            <w:pPr>
              <w:rPr>
                <w:lang w:val="es-ES"/>
              </w:rPr>
            </w:pPr>
          </w:p>
        </w:tc>
        <w:tc>
          <w:tcPr>
            <w:tcW w:w="1000" w:type="pct"/>
          </w:tcPr>
          <w:p w14:paraId="004D656E" w14:textId="77777777" w:rsidR="00720EE7" w:rsidRPr="008D30FA" w:rsidRDefault="00720EE7" w:rsidP="004669D1">
            <w:pPr>
              <w:rPr>
                <w:lang w:val="es-ES"/>
              </w:rPr>
            </w:pPr>
          </w:p>
        </w:tc>
        <w:tc>
          <w:tcPr>
            <w:tcW w:w="1001" w:type="pct"/>
          </w:tcPr>
          <w:p w14:paraId="3438DFFD" w14:textId="77777777" w:rsidR="00720EE7" w:rsidRPr="008D30FA" w:rsidRDefault="00720EE7" w:rsidP="004669D1">
            <w:pPr>
              <w:rPr>
                <w:lang w:val="es-ES"/>
              </w:rPr>
            </w:pPr>
          </w:p>
        </w:tc>
      </w:tr>
    </w:tbl>
    <w:p w14:paraId="621907DA" w14:textId="77777777" w:rsidR="00720EE7" w:rsidRPr="008D30FA" w:rsidRDefault="00720EE7" w:rsidP="004669D1">
      <w:pPr>
        <w:jc w:val="center"/>
        <w:rPr>
          <w:lang w:val="es-ES"/>
        </w:rPr>
      </w:pPr>
    </w:p>
    <w:sectPr w:rsidR="00720EE7" w:rsidRPr="008D30FA"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C7C9" w14:textId="77777777" w:rsidR="008F37F6" w:rsidRDefault="008F37F6" w:rsidP="004A504B">
      <w:r>
        <w:separator/>
      </w:r>
    </w:p>
  </w:endnote>
  <w:endnote w:type="continuationSeparator" w:id="0">
    <w:p w14:paraId="66CADB1A" w14:textId="77777777" w:rsidR="008F37F6" w:rsidRDefault="008F37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77F8F898" w:rsidR="00036628" w:rsidRPr="008D30FA" w:rsidRDefault="00036628" w:rsidP="00903668">
    <w:pPr>
      <w:pBdr>
        <w:top w:val="single" w:sz="4" w:space="1" w:color="auto"/>
        <w:left w:val="single" w:sz="4" w:space="4" w:color="auto"/>
        <w:bottom w:val="single" w:sz="4" w:space="1" w:color="auto"/>
        <w:right w:val="single" w:sz="4" w:space="4" w:color="auto"/>
      </w:pBdr>
      <w:jc w:val="center"/>
      <w:rPr>
        <w:sz w:val="18"/>
        <w:szCs w:val="18"/>
        <w:lang w:val="es-ES"/>
      </w:rPr>
    </w:pPr>
    <w:r w:rsidRPr="008D30FA">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D30FA">
      <w:rPr>
        <w:sz w:val="18"/>
        <w:szCs w:val="18"/>
        <w:lang w:val="es-ES"/>
      </w:rPr>
      <w:t>los mismos</w:t>
    </w:r>
    <w:proofErr w:type="gramEnd"/>
    <w:r w:rsidRPr="008D30FA">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4C63C" w14:textId="77777777" w:rsidR="008F37F6" w:rsidRDefault="008F37F6" w:rsidP="004A504B">
      <w:r>
        <w:separator/>
      </w:r>
    </w:p>
  </w:footnote>
  <w:footnote w:type="continuationSeparator" w:id="0">
    <w:p w14:paraId="708C1219" w14:textId="77777777" w:rsidR="008F37F6" w:rsidRDefault="008F37F6" w:rsidP="004A504B">
      <w:r>
        <w:continuationSeparator/>
      </w:r>
    </w:p>
  </w:footnote>
  <w:footnote w:id="1">
    <w:p w14:paraId="35997F4E" w14:textId="10CEFF99" w:rsidR="008D30FA" w:rsidRPr="002D14A8" w:rsidRDefault="008D30FA" w:rsidP="008D30FA">
      <w:pPr>
        <w:pStyle w:val="FootnoteText"/>
        <w:spacing w:after="120"/>
        <w:rPr>
          <w:lang w:val="es-ES"/>
        </w:rPr>
      </w:pPr>
      <w:r>
        <w:rPr>
          <w:rStyle w:val="FootnoteReference"/>
        </w:rPr>
        <w:footnoteRef/>
      </w:r>
      <w:r w:rsidRPr="002D14A8">
        <w:rPr>
          <w:lang w:val="es-ES"/>
        </w:rPr>
        <w:t xml:space="preserve"> </w:t>
      </w:r>
      <w:r w:rsidR="00891DB8">
        <w:rPr>
          <w:lang w:val="es-ES"/>
        </w:rPr>
        <w:t>UN</w:t>
      </w:r>
      <w:r w:rsidR="00800AE6">
        <w:rPr>
          <w:lang w:val="es-ES"/>
        </w:rPr>
        <w:t>E</w:t>
      </w:r>
      <w:r w:rsidR="00891DB8">
        <w:rPr>
          <w:lang w:val="es-ES"/>
        </w:rPr>
        <w:t>P</w:t>
      </w:r>
      <w:r w:rsidRPr="002D14A8">
        <w:rPr>
          <w:lang w:val="es-ES"/>
        </w:rPr>
        <w:t>/</w:t>
      </w:r>
      <w:proofErr w:type="spellStart"/>
      <w:r w:rsidRPr="002D14A8">
        <w:rPr>
          <w:lang w:val="es-ES"/>
        </w:rPr>
        <w:t>OzL.Pro</w:t>
      </w:r>
      <w:proofErr w:type="spellEnd"/>
      <w:r w:rsidRPr="002D14A8">
        <w:rPr>
          <w:lang w:val="es-ES"/>
        </w:rPr>
        <w:t>/</w:t>
      </w:r>
      <w:proofErr w:type="spellStart"/>
      <w:r w:rsidRPr="002D14A8">
        <w:rPr>
          <w:lang w:val="es-ES"/>
        </w:rPr>
        <w:t>ExCom</w:t>
      </w:r>
      <w:proofErr w:type="spellEnd"/>
      <w:r w:rsidRPr="002D14A8">
        <w:rPr>
          <w:lang w:val="es-ES"/>
        </w:rPr>
        <w:t>/98/1</w:t>
      </w:r>
    </w:p>
  </w:footnote>
  <w:footnote w:id="2">
    <w:p w14:paraId="61B7B75B" w14:textId="096E7D2F" w:rsidR="00036628" w:rsidRPr="008D30FA" w:rsidRDefault="00036628" w:rsidP="00036628">
      <w:pPr>
        <w:pStyle w:val="FootnoteText"/>
        <w:rPr>
          <w:lang w:val="es-ES"/>
        </w:rPr>
      </w:pPr>
      <w:r w:rsidRPr="00F17C60">
        <w:rPr>
          <w:rStyle w:val="FootnoteReference"/>
        </w:rPr>
        <w:footnoteRef/>
      </w:r>
      <w:r w:rsidRPr="008D30FA">
        <w:rPr>
          <w:lang w:val="es-ES"/>
        </w:rPr>
        <w:t xml:space="preserve"> Decisión</w:t>
      </w:r>
      <w:r w:rsidR="000960E8" w:rsidRPr="008D30FA">
        <w:rPr>
          <w:lang w:val="es-ES"/>
        </w:rPr>
        <w:t xml:space="preserve"> 93/46</w:t>
      </w:r>
    </w:p>
  </w:footnote>
  <w:footnote w:id="3">
    <w:p w14:paraId="6001FA85" w14:textId="77777777" w:rsidR="00036628" w:rsidRPr="008D30FA" w:rsidRDefault="00036628" w:rsidP="00036628">
      <w:pPr>
        <w:pStyle w:val="FootnoteText"/>
        <w:rPr>
          <w:lang w:val="es-ES"/>
        </w:rPr>
      </w:pPr>
      <w:r w:rsidRPr="00F17C60">
        <w:rPr>
          <w:rStyle w:val="FootnoteReference"/>
        </w:rPr>
        <w:footnoteRef/>
      </w:r>
      <w:r w:rsidRPr="008D30FA">
        <w:rPr>
          <w:lang w:val="es-ES"/>
        </w:rPr>
        <w:t xml:space="preserve"> La decisión 92/22 permite la presentación de solicitudes para las actividades a que se refiere la decisión 89/6 b) por separado de las solicitudes de tramos del plan de gestión para la eliminación de los HCFC, incluido un Acuerdo revisado entre el Gobierno del país del artículo 5 en cuestión y el Comité Ejecutivo, en el entendimiento de que esas actividades se integraron en los planes de ejecución de los tramos en curso.</w:t>
      </w:r>
    </w:p>
  </w:footnote>
  <w:footnote w:id="4">
    <w:p w14:paraId="46F49FB3" w14:textId="696A3AB8" w:rsidR="00036628" w:rsidRPr="008D30FA" w:rsidRDefault="00036628" w:rsidP="00036628">
      <w:pPr>
        <w:pStyle w:val="FootnoteText"/>
        <w:rPr>
          <w:lang w:val="es-ES"/>
        </w:rPr>
      </w:pPr>
      <w:r w:rsidRPr="00F17C60">
        <w:rPr>
          <w:rStyle w:val="FootnoteReference"/>
        </w:rPr>
        <w:footnoteRef/>
      </w:r>
      <w:r w:rsidRPr="008D30FA">
        <w:rPr>
          <w:lang w:val="es-ES"/>
        </w:rPr>
        <w:t xml:space="preserve"> Según la carta de</w:t>
      </w:r>
      <w:r w:rsidR="004E30FA" w:rsidRPr="008D30FA">
        <w:rPr>
          <w:lang w:val="es-ES"/>
        </w:rPr>
        <w:t xml:space="preserve"> 13 </w:t>
      </w:r>
      <w:r w:rsidR="00C51E68" w:rsidRPr="008D30FA">
        <w:rPr>
          <w:lang w:val="es-ES"/>
        </w:rPr>
        <w:t xml:space="preserve">de abril de 2026 </w:t>
      </w:r>
      <w:r w:rsidRPr="008D30FA">
        <w:rPr>
          <w:lang w:val="es-ES"/>
        </w:rPr>
        <w:t xml:space="preserve">de la </w:t>
      </w:r>
      <w:r w:rsidR="002C27E0" w:rsidRPr="008D30FA">
        <w:rPr>
          <w:lang w:val="es-ES"/>
        </w:rPr>
        <w:t xml:space="preserve">Autoridad Nacional de Medio Ambiente </w:t>
      </w:r>
      <w:r w:rsidR="00B30A25" w:rsidRPr="008D30FA">
        <w:rPr>
          <w:lang w:val="es-ES"/>
        </w:rPr>
        <w:t xml:space="preserve">de </w:t>
      </w:r>
      <w:r w:rsidR="002C27E0" w:rsidRPr="008D30FA">
        <w:rPr>
          <w:lang w:val="es-ES"/>
        </w:rPr>
        <w:t xml:space="preserve">Suriname </w:t>
      </w:r>
      <w:r w:rsidRPr="008D30FA">
        <w:rPr>
          <w:lang w:val="es-ES"/>
        </w:rPr>
        <w:t xml:space="preserve">a </w:t>
      </w:r>
      <w:r w:rsidR="002C27E0" w:rsidRPr="008D30FA">
        <w:rPr>
          <w:lang w:val="es-ES"/>
        </w:rPr>
        <w:t>la Secretaría</w:t>
      </w:r>
      <w:r w:rsidRPr="008D30FA">
        <w:rPr>
          <w:lang w:val="es-ES"/>
        </w:rPr>
        <w:t>.</w:t>
      </w:r>
    </w:p>
  </w:footnote>
  <w:footnote w:id="5">
    <w:p w14:paraId="73F7B55B" w14:textId="0A303367" w:rsidR="00EA6E60" w:rsidRPr="00D3346A" w:rsidRDefault="00EA6E60">
      <w:pPr>
        <w:pStyle w:val="FootnoteText"/>
        <w:rPr>
          <w:lang w:val="en-US"/>
        </w:rPr>
      </w:pPr>
      <w:r>
        <w:rPr>
          <w:rStyle w:val="FootnoteReference"/>
        </w:rPr>
        <w:footnoteRef/>
      </w:r>
      <w:r>
        <w:t xml:space="preserve"> </w:t>
      </w:r>
      <w:proofErr w:type="spellStart"/>
      <w:r>
        <w:t>Decisión</w:t>
      </w:r>
      <w:proofErr w:type="spellEnd"/>
      <w:r>
        <w:t xml:space="preserve"> 93/46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231FEDC5" w:rsidR="005721EB" w:rsidRPr="009B0D30" w:rsidRDefault="008254B6" w:rsidP="005721EB">
    <w:r>
      <w:fldChar w:fldCharType="begin"/>
    </w:r>
    <w:r>
      <w:instrText xml:space="preserve"> DOCPROPERTY "Document number"  \* MERGEFORMAT </w:instrText>
    </w:r>
    <w:r>
      <w:fldChar w:fldCharType="separate"/>
    </w:r>
    <w:r>
      <w:t>UNEP/</w:t>
    </w:r>
    <w:proofErr w:type="spellStart"/>
    <w:r>
      <w:t>OzL.Pro</w:t>
    </w:r>
    <w:proofErr w:type="spellEnd"/>
    <w:r>
      <w:t>/ExCom/98/48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1044E8D4"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8254B6">
      <w:rPr>
        <w:lang w:val="pt-PT"/>
      </w:rPr>
      <w:t>UNEP/OzL.Pro/ExCom/98/48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PNUD/</w:t>
    </w:r>
    <w:proofErr w:type="spellStart"/>
    <w:r>
      <w:t>OzL.Pro</w:t>
    </w:r>
    <w:proofErr w:type="spellEnd"/>
    <w:r>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PNUD/</w:t>
    </w:r>
    <w:proofErr w:type="spellStart"/>
    <w:r>
      <w:t>OzL.Pro</w:t>
    </w:r>
    <w:proofErr w:type="spellEnd"/>
    <w:r>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50851E70"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8254B6">
      <w:rPr>
        <w:lang w:val="pt-PT"/>
      </w:rPr>
      <w:t>UNEP/OzL.Pro/ExCom/98/48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Anexo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4F7248"/>
    <w:multiLevelType w:val="multilevel"/>
    <w:tmpl w:val="F5D0DB0A"/>
    <w:lvl w:ilvl="0">
      <w:start w:val="1"/>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BEB1CA3"/>
    <w:multiLevelType w:val="multilevel"/>
    <w:tmpl w:val="FCECA7CA"/>
    <w:lvl w:ilvl="0">
      <w:start w:val="1"/>
      <w:numFmt w:val="decimal"/>
      <w:lvlText w:val="%1"/>
      <w:lvlJc w:val="left"/>
      <w:pPr>
        <w:ind w:left="360" w:hanging="360"/>
      </w:pPr>
      <w:rPr>
        <w:rFonts w:hint="default"/>
      </w:rPr>
    </w:lvl>
    <w:lvl w:ilvl="1">
      <w:start w:val="1"/>
      <w:numFmt w:val="decimal"/>
      <w:lvlText w:val="%1.%2"/>
      <w:lvlJc w:val="left"/>
      <w:pPr>
        <w:ind w:left="3338" w:hanging="360"/>
      </w:pPr>
      <w:rPr>
        <w:rFonts w:hint="default"/>
        <w:b w:val="0"/>
        <w:bCs w:val="0"/>
        <w:lang w:val="en-C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3"/>
  </w:num>
  <w:num w:numId="4" w16cid:durableId="671107749">
    <w:abstractNumId w:val="4"/>
  </w:num>
  <w:num w:numId="5" w16cid:durableId="1526870837">
    <w:abstractNumId w:val="10"/>
  </w:num>
  <w:num w:numId="6" w16cid:durableId="1051735893">
    <w:abstractNumId w:val="6"/>
  </w:num>
  <w:num w:numId="7" w16cid:durableId="1722558649">
    <w:abstractNumId w:val="5"/>
  </w:num>
  <w:num w:numId="8" w16cid:durableId="43228719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628589">
    <w:abstractNumId w:val="8"/>
  </w:num>
  <w:num w:numId="10" w16cid:durableId="2141536591">
    <w:abstractNumId w:val="9"/>
  </w:num>
  <w:num w:numId="11" w16cid:durableId="1185095753">
    <w:abstractNumId w:val="1"/>
  </w:num>
  <w:num w:numId="12" w16cid:durableId="1228344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7115308">
    <w:abstractNumId w:val="0"/>
  </w:num>
  <w:num w:numId="14" w16cid:durableId="2003510973">
    <w:abstractNumId w:val="0"/>
  </w:num>
  <w:num w:numId="15" w16cid:durableId="2043169197">
    <w:abstractNumId w:val="0"/>
  </w:num>
  <w:num w:numId="16" w16cid:durableId="1921018763">
    <w:abstractNumId w:val="0"/>
  </w:num>
  <w:num w:numId="17" w16cid:durableId="1894999461">
    <w:abstractNumId w:val="0"/>
  </w:num>
  <w:num w:numId="18" w16cid:durableId="951591420">
    <w:abstractNumId w:val="0"/>
  </w:num>
  <w:num w:numId="19" w16cid:durableId="1802265741">
    <w:abstractNumId w:val="0"/>
  </w:num>
  <w:num w:numId="20" w16cid:durableId="70139727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066D3"/>
    <w:rsid w:val="00010374"/>
    <w:rsid w:val="000111E8"/>
    <w:rsid w:val="0001156F"/>
    <w:rsid w:val="000154F9"/>
    <w:rsid w:val="000155DD"/>
    <w:rsid w:val="000165BD"/>
    <w:rsid w:val="000219FC"/>
    <w:rsid w:val="000235B1"/>
    <w:rsid w:val="00023BB5"/>
    <w:rsid w:val="00023CDF"/>
    <w:rsid w:val="00023F26"/>
    <w:rsid w:val="0002527D"/>
    <w:rsid w:val="00025609"/>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53592"/>
    <w:rsid w:val="000554FD"/>
    <w:rsid w:val="000558E4"/>
    <w:rsid w:val="000565EB"/>
    <w:rsid w:val="00056D6E"/>
    <w:rsid w:val="00057769"/>
    <w:rsid w:val="00057902"/>
    <w:rsid w:val="0005796C"/>
    <w:rsid w:val="0006340C"/>
    <w:rsid w:val="00064610"/>
    <w:rsid w:val="00065D34"/>
    <w:rsid w:val="000706A0"/>
    <w:rsid w:val="00072B13"/>
    <w:rsid w:val="00076CEE"/>
    <w:rsid w:val="00080ED0"/>
    <w:rsid w:val="00080F0D"/>
    <w:rsid w:val="00081081"/>
    <w:rsid w:val="00081B01"/>
    <w:rsid w:val="00081F11"/>
    <w:rsid w:val="00082AD8"/>
    <w:rsid w:val="00085B8F"/>
    <w:rsid w:val="00087AFC"/>
    <w:rsid w:val="00090481"/>
    <w:rsid w:val="00091A22"/>
    <w:rsid w:val="000926E5"/>
    <w:rsid w:val="00092DFB"/>
    <w:rsid w:val="00094273"/>
    <w:rsid w:val="00094DE0"/>
    <w:rsid w:val="000960E8"/>
    <w:rsid w:val="000968EE"/>
    <w:rsid w:val="000A0491"/>
    <w:rsid w:val="000A156C"/>
    <w:rsid w:val="000A1DEE"/>
    <w:rsid w:val="000A3D84"/>
    <w:rsid w:val="000B076F"/>
    <w:rsid w:val="000B0A7A"/>
    <w:rsid w:val="000B0CEC"/>
    <w:rsid w:val="000B22EC"/>
    <w:rsid w:val="000B2C48"/>
    <w:rsid w:val="000B324E"/>
    <w:rsid w:val="000B542F"/>
    <w:rsid w:val="000B58DC"/>
    <w:rsid w:val="000B5D04"/>
    <w:rsid w:val="000B6142"/>
    <w:rsid w:val="000B6BFF"/>
    <w:rsid w:val="000B7D3B"/>
    <w:rsid w:val="000C0BCD"/>
    <w:rsid w:val="000C0ED5"/>
    <w:rsid w:val="000C42D9"/>
    <w:rsid w:val="000C53C9"/>
    <w:rsid w:val="000C7EF8"/>
    <w:rsid w:val="000D4EFE"/>
    <w:rsid w:val="000D6076"/>
    <w:rsid w:val="000D7657"/>
    <w:rsid w:val="000E07BC"/>
    <w:rsid w:val="000E2313"/>
    <w:rsid w:val="000E3086"/>
    <w:rsid w:val="000E45E1"/>
    <w:rsid w:val="000E4CCF"/>
    <w:rsid w:val="000E4FCC"/>
    <w:rsid w:val="000E59F9"/>
    <w:rsid w:val="000F1CD4"/>
    <w:rsid w:val="000F4103"/>
    <w:rsid w:val="000F70A7"/>
    <w:rsid w:val="00101613"/>
    <w:rsid w:val="00101F22"/>
    <w:rsid w:val="00104568"/>
    <w:rsid w:val="001049B8"/>
    <w:rsid w:val="00104BDC"/>
    <w:rsid w:val="0011072C"/>
    <w:rsid w:val="001129A4"/>
    <w:rsid w:val="00112E6F"/>
    <w:rsid w:val="001139D2"/>
    <w:rsid w:val="00120303"/>
    <w:rsid w:val="001215F4"/>
    <w:rsid w:val="0012254E"/>
    <w:rsid w:val="00123E93"/>
    <w:rsid w:val="00123EA2"/>
    <w:rsid w:val="00124486"/>
    <w:rsid w:val="00124E58"/>
    <w:rsid w:val="00126C02"/>
    <w:rsid w:val="00135980"/>
    <w:rsid w:val="001413D2"/>
    <w:rsid w:val="00142BF1"/>
    <w:rsid w:val="00146A4A"/>
    <w:rsid w:val="00151C2D"/>
    <w:rsid w:val="00154357"/>
    <w:rsid w:val="00157AA8"/>
    <w:rsid w:val="001608CD"/>
    <w:rsid w:val="00161895"/>
    <w:rsid w:val="00162066"/>
    <w:rsid w:val="0016346A"/>
    <w:rsid w:val="00163706"/>
    <w:rsid w:val="00164719"/>
    <w:rsid w:val="0016506D"/>
    <w:rsid w:val="001664E5"/>
    <w:rsid w:val="00166EDB"/>
    <w:rsid w:val="00166FC4"/>
    <w:rsid w:val="001677AC"/>
    <w:rsid w:val="001732BA"/>
    <w:rsid w:val="0018312D"/>
    <w:rsid w:val="0018345B"/>
    <w:rsid w:val="00184F1B"/>
    <w:rsid w:val="00190A61"/>
    <w:rsid w:val="00191414"/>
    <w:rsid w:val="0019266B"/>
    <w:rsid w:val="00192AA0"/>
    <w:rsid w:val="00193F84"/>
    <w:rsid w:val="00195BDD"/>
    <w:rsid w:val="00195CC8"/>
    <w:rsid w:val="001A113A"/>
    <w:rsid w:val="001A13FA"/>
    <w:rsid w:val="001A3342"/>
    <w:rsid w:val="001A358B"/>
    <w:rsid w:val="001A3E3D"/>
    <w:rsid w:val="001A560C"/>
    <w:rsid w:val="001A6685"/>
    <w:rsid w:val="001A6A1D"/>
    <w:rsid w:val="001A74F7"/>
    <w:rsid w:val="001B0DA2"/>
    <w:rsid w:val="001B0EDF"/>
    <w:rsid w:val="001B0F36"/>
    <w:rsid w:val="001B12A2"/>
    <w:rsid w:val="001B1E40"/>
    <w:rsid w:val="001B315C"/>
    <w:rsid w:val="001B6596"/>
    <w:rsid w:val="001B682D"/>
    <w:rsid w:val="001B77FD"/>
    <w:rsid w:val="001B7E00"/>
    <w:rsid w:val="001C11FF"/>
    <w:rsid w:val="001C4058"/>
    <w:rsid w:val="001C48F6"/>
    <w:rsid w:val="001C764E"/>
    <w:rsid w:val="001C7B9B"/>
    <w:rsid w:val="001D4ADA"/>
    <w:rsid w:val="001D6345"/>
    <w:rsid w:val="001D7CF8"/>
    <w:rsid w:val="001D7D30"/>
    <w:rsid w:val="001E0CF0"/>
    <w:rsid w:val="001E0D89"/>
    <w:rsid w:val="001E1052"/>
    <w:rsid w:val="001E1A0E"/>
    <w:rsid w:val="001E21B1"/>
    <w:rsid w:val="001E2CEB"/>
    <w:rsid w:val="001E2F93"/>
    <w:rsid w:val="001E4155"/>
    <w:rsid w:val="001E5F84"/>
    <w:rsid w:val="001E61E5"/>
    <w:rsid w:val="001E6397"/>
    <w:rsid w:val="001E78B2"/>
    <w:rsid w:val="001F2159"/>
    <w:rsid w:val="001F26C1"/>
    <w:rsid w:val="002024DC"/>
    <w:rsid w:val="0020256C"/>
    <w:rsid w:val="00203CA5"/>
    <w:rsid w:val="00203CA8"/>
    <w:rsid w:val="00204C2D"/>
    <w:rsid w:val="00210351"/>
    <w:rsid w:val="002134CF"/>
    <w:rsid w:val="002139EF"/>
    <w:rsid w:val="00217EEA"/>
    <w:rsid w:val="00223EEB"/>
    <w:rsid w:val="002241C8"/>
    <w:rsid w:val="0022552F"/>
    <w:rsid w:val="00227F4F"/>
    <w:rsid w:val="002315E9"/>
    <w:rsid w:val="002315ED"/>
    <w:rsid w:val="00232C86"/>
    <w:rsid w:val="00233A7A"/>
    <w:rsid w:val="00235B28"/>
    <w:rsid w:val="00235FBD"/>
    <w:rsid w:val="00240B30"/>
    <w:rsid w:val="0024179E"/>
    <w:rsid w:val="0024191C"/>
    <w:rsid w:val="002443E6"/>
    <w:rsid w:val="002444AF"/>
    <w:rsid w:val="00244617"/>
    <w:rsid w:val="002467B7"/>
    <w:rsid w:val="00247C0F"/>
    <w:rsid w:val="00250DDA"/>
    <w:rsid w:val="002517B8"/>
    <w:rsid w:val="00251DFF"/>
    <w:rsid w:val="00253222"/>
    <w:rsid w:val="00254BCB"/>
    <w:rsid w:val="00260F2B"/>
    <w:rsid w:val="00262ADD"/>
    <w:rsid w:val="00262E06"/>
    <w:rsid w:val="002651AD"/>
    <w:rsid w:val="00267048"/>
    <w:rsid w:val="0026705A"/>
    <w:rsid w:val="00270BBB"/>
    <w:rsid w:val="00275567"/>
    <w:rsid w:val="0027567B"/>
    <w:rsid w:val="00275FDD"/>
    <w:rsid w:val="002768EA"/>
    <w:rsid w:val="00282749"/>
    <w:rsid w:val="00282F43"/>
    <w:rsid w:val="00285EAB"/>
    <w:rsid w:val="00290077"/>
    <w:rsid w:val="0029092A"/>
    <w:rsid w:val="00290A81"/>
    <w:rsid w:val="00291880"/>
    <w:rsid w:val="00291C42"/>
    <w:rsid w:val="002953FB"/>
    <w:rsid w:val="002A0D81"/>
    <w:rsid w:val="002A2001"/>
    <w:rsid w:val="002A26F3"/>
    <w:rsid w:val="002A2A24"/>
    <w:rsid w:val="002A481D"/>
    <w:rsid w:val="002A58C6"/>
    <w:rsid w:val="002A5C99"/>
    <w:rsid w:val="002A6BAB"/>
    <w:rsid w:val="002A6DA1"/>
    <w:rsid w:val="002B04BB"/>
    <w:rsid w:val="002B07C9"/>
    <w:rsid w:val="002B393A"/>
    <w:rsid w:val="002B72E9"/>
    <w:rsid w:val="002B76EC"/>
    <w:rsid w:val="002C0354"/>
    <w:rsid w:val="002C27E0"/>
    <w:rsid w:val="002C78EF"/>
    <w:rsid w:val="002D1661"/>
    <w:rsid w:val="002D2B1C"/>
    <w:rsid w:val="002D5C8C"/>
    <w:rsid w:val="002E00DA"/>
    <w:rsid w:val="002E1D44"/>
    <w:rsid w:val="002E35E4"/>
    <w:rsid w:val="002E36BE"/>
    <w:rsid w:val="002E3935"/>
    <w:rsid w:val="002E46E3"/>
    <w:rsid w:val="002E548B"/>
    <w:rsid w:val="002E5B06"/>
    <w:rsid w:val="002E5B75"/>
    <w:rsid w:val="002E5EDC"/>
    <w:rsid w:val="002F18D2"/>
    <w:rsid w:val="002F3443"/>
    <w:rsid w:val="002F3AA3"/>
    <w:rsid w:val="002F6E3D"/>
    <w:rsid w:val="0030065C"/>
    <w:rsid w:val="003030A4"/>
    <w:rsid w:val="00303B0A"/>
    <w:rsid w:val="00310D5E"/>
    <w:rsid w:val="00311465"/>
    <w:rsid w:val="0031176E"/>
    <w:rsid w:val="003124B4"/>
    <w:rsid w:val="00313BAD"/>
    <w:rsid w:val="00316887"/>
    <w:rsid w:val="00317C4C"/>
    <w:rsid w:val="00321D63"/>
    <w:rsid w:val="00323E32"/>
    <w:rsid w:val="00326B62"/>
    <w:rsid w:val="00330567"/>
    <w:rsid w:val="003306E1"/>
    <w:rsid w:val="003319D7"/>
    <w:rsid w:val="00331EE9"/>
    <w:rsid w:val="003320E4"/>
    <w:rsid w:val="00334A00"/>
    <w:rsid w:val="0033525D"/>
    <w:rsid w:val="00337616"/>
    <w:rsid w:val="00337891"/>
    <w:rsid w:val="003414F3"/>
    <w:rsid w:val="00342E5F"/>
    <w:rsid w:val="00343B8D"/>
    <w:rsid w:val="00344B52"/>
    <w:rsid w:val="00345157"/>
    <w:rsid w:val="00350B8D"/>
    <w:rsid w:val="0035173D"/>
    <w:rsid w:val="00354B09"/>
    <w:rsid w:val="00355402"/>
    <w:rsid w:val="00355AD7"/>
    <w:rsid w:val="0035613E"/>
    <w:rsid w:val="00356A9D"/>
    <w:rsid w:val="0036243F"/>
    <w:rsid w:val="00363D81"/>
    <w:rsid w:val="00363EE9"/>
    <w:rsid w:val="0036544F"/>
    <w:rsid w:val="003662D7"/>
    <w:rsid w:val="00366B3E"/>
    <w:rsid w:val="00366C0C"/>
    <w:rsid w:val="0036795C"/>
    <w:rsid w:val="00370E3D"/>
    <w:rsid w:val="00372A9D"/>
    <w:rsid w:val="00375D5D"/>
    <w:rsid w:val="00376128"/>
    <w:rsid w:val="003767AB"/>
    <w:rsid w:val="00377300"/>
    <w:rsid w:val="0037742E"/>
    <w:rsid w:val="00377DE7"/>
    <w:rsid w:val="00381D63"/>
    <w:rsid w:val="0038245A"/>
    <w:rsid w:val="00384781"/>
    <w:rsid w:val="003847C3"/>
    <w:rsid w:val="00387AAB"/>
    <w:rsid w:val="0039337A"/>
    <w:rsid w:val="00393BA0"/>
    <w:rsid w:val="00396605"/>
    <w:rsid w:val="00397611"/>
    <w:rsid w:val="003A0362"/>
    <w:rsid w:val="003A078F"/>
    <w:rsid w:val="003A2CA4"/>
    <w:rsid w:val="003A3189"/>
    <w:rsid w:val="003A3957"/>
    <w:rsid w:val="003A3C23"/>
    <w:rsid w:val="003A4CC6"/>
    <w:rsid w:val="003A6708"/>
    <w:rsid w:val="003B073B"/>
    <w:rsid w:val="003B0FB3"/>
    <w:rsid w:val="003B3973"/>
    <w:rsid w:val="003B3AB8"/>
    <w:rsid w:val="003B421A"/>
    <w:rsid w:val="003B569D"/>
    <w:rsid w:val="003B5AD8"/>
    <w:rsid w:val="003C3C0E"/>
    <w:rsid w:val="003C4D72"/>
    <w:rsid w:val="003D0A64"/>
    <w:rsid w:val="003D0C07"/>
    <w:rsid w:val="003D3D27"/>
    <w:rsid w:val="003D442E"/>
    <w:rsid w:val="003D4FAC"/>
    <w:rsid w:val="003D6F6F"/>
    <w:rsid w:val="003D7D55"/>
    <w:rsid w:val="003D7E9B"/>
    <w:rsid w:val="003E2801"/>
    <w:rsid w:val="003E2BB1"/>
    <w:rsid w:val="003E3DF4"/>
    <w:rsid w:val="003E429F"/>
    <w:rsid w:val="003E4F44"/>
    <w:rsid w:val="003E6931"/>
    <w:rsid w:val="003E7906"/>
    <w:rsid w:val="003F3C50"/>
    <w:rsid w:val="003F76FD"/>
    <w:rsid w:val="00400422"/>
    <w:rsid w:val="0040042A"/>
    <w:rsid w:val="004022CF"/>
    <w:rsid w:val="004037E2"/>
    <w:rsid w:val="00405F64"/>
    <w:rsid w:val="00406A6A"/>
    <w:rsid w:val="00406AF2"/>
    <w:rsid w:val="00406B22"/>
    <w:rsid w:val="004072B1"/>
    <w:rsid w:val="004077EA"/>
    <w:rsid w:val="004109CF"/>
    <w:rsid w:val="004115CC"/>
    <w:rsid w:val="0041189D"/>
    <w:rsid w:val="0041248F"/>
    <w:rsid w:val="00412859"/>
    <w:rsid w:val="004132B6"/>
    <w:rsid w:val="00416335"/>
    <w:rsid w:val="00417C4B"/>
    <w:rsid w:val="0042285F"/>
    <w:rsid w:val="00422AF9"/>
    <w:rsid w:val="004233CD"/>
    <w:rsid w:val="0042558B"/>
    <w:rsid w:val="004256A7"/>
    <w:rsid w:val="00432279"/>
    <w:rsid w:val="004324B9"/>
    <w:rsid w:val="004328A7"/>
    <w:rsid w:val="00433A4E"/>
    <w:rsid w:val="00434C74"/>
    <w:rsid w:val="00435821"/>
    <w:rsid w:val="00441303"/>
    <w:rsid w:val="004446FD"/>
    <w:rsid w:val="00445B9A"/>
    <w:rsid w:val="00450AA6"/>
    <w:rsid w:val="00452F84"/>
    <w:rsid w:val="004553F8"/>
    <w:rsid w:val="0045623A"/>
    <w:rsid w:val="00456915"/>
    <w:rsid w:val="00456EB4"/>
    <w:rsid w:val="0045741A"/>
    <w:rsid w:val="004577D3"/>
    <w:rsid w:val="00457BD8"/>
    <w:rsid w:val="00460BC5"/>
    <w:rsid w:val="00461D09"/>
    <w:rsid w:val="00462D96"/>
    <w:rsid w:val="00463C73"/>
    <w:rsid w:val="00463D3E"/>
    <w:rsid w:val="004669D1"/>
    <w:rsid w:val="004702C8"/>
    <w:rsid w:val="00470584"/>
    <w:rsid w:val="00470E8E"/>
    <w:rsid w:val="004718F3"/>
    <w:rsid w:val="00474F5E"/>
    <w:rsid w:val="00475040"/>
    <w:rsid w:val="0047724D"/>
    <w:rsid w:val="004777CC"/>
    <w:rsid w:val="00481087"/>
    <w:rsid w:val="00482D2F"/>
    <w:rsid w:val="00485B32"/>
    <w:rsid w:val="0048686F"/>
    <w:rsid w:val="0048747B"/>
    <w:rsid w:val="00493D40"/>
    <w:rsid w:val="00496026"/>
    <w:rsid w:val="00496054"/>
    <w:rsid w:val="00497217"/>
    <w:rsid w:val="004A146C"/>
    <w:rsid w:val="004A32CC"/>
    <w:rsid w:val="004A3C52"/>
    <w:rsid w:val="004A504B"/>
    <w:rsid w:val="004A6911"/>
    <w:rsid w:val="004A6CD6"/>
    <w:rsid w:val="004B0619"/>
    <w:rsid w:val="004B1DE9"/>
    <w:rsid w:val="004B201E"/>
    <w:rsid w:val="004B22BB"/>
    <w:rsid w:val="004B45FD"/>
    <w:rsid w:val="004B5100"/>
    <w:rsid w:val="004B54E0"/>
    <w:rsid w:val="004B5795"/>
    <w:rsid w:val="004B6EE7"/>
    <w:rsid w:val="004B7384"/>
    <w:rsid w:val="004C0B01"/>
    <w:rsid w:val="004C0B3B"/>
    <w:rsid w:val="004C10DB"/>
    <w:rsid w:val="004C1123"/>
    <w:rsid w:val="004C3E1A"/>
    <w:rsid w:val="004C4269"/>
    <w:rsid w:val="004C548F"/>
    <w:rsid w:val="004D12C3"/>
    <w:rsid w:val="004D371E"/>
    <w:rsid w:val="004D4CDB"/>
    <w:rsid w:val="004D4D70"/>
    <w:rsid w:val="004D620F"/>
    <w:rsid w:val="004D6236"/>
    <w:rsid w:val="004D6896"/>
    <w:rsid w:val="004D7C74"/>
    <w:rsid w:val="004E0588"/>
    <w:rsid w:val="004E1C51"/>
    <w:rsid w:val="004E2EAB"/>
    <w:rsid w:val="004E2F62"/>
    <w:rsid w:val="004E30FA"/>
    <w:rsid w:val="004E4C07"/>
    <w:rsid w:val="004E4CD0"/>
    <w:rsid w:val="004E4DBB"/>
    <w:rsid w:val="004E5C2A"/>
    <w:rsid w:val="004E602B"/>
    <w:rsid w:val="004E663D"/>
    <w:rsid w:val="004E7F9C"/>
    <w:rsid w:val="004F0685"/>
    <w:rsid w:val="004F090B"/>
    <w:rsid w:val="004F093E"/>
    <w:rsid w:val="004F3038"/>
    <w:rsid w:val="004F345F"/>
    <w:rsid w:val="004F3493"/>
    <w:rsid w:val="004F5077"/>
    <w:rsid w:val="005006D9"/>
    <w:rsid w:val="00500E6F"/>
    <w:rsid w:val="00504518"/>
    <w:rsid w:val="005053E1"/>
    <w:rsid w:val="00505983"/>
    <w:rsid w:val="00507F5F"/>
    <w:rsid w:val="00512B09"/>
    <w:rsid w:val="00513FD5"/>
    <w:rsid w:val="00514D5B"/>
    <w:rsid w:val="005159CE"/>
    <w:rsid w:val="00517CF2"/>
    <w:rsid w:val="00521A49"/>
    <w:rsid w:val="005220F8"/>
    <w:rsid w:val="00522C75"/>
    <w:rsid w:val="005263A6"/>
    <w:rsid w:val="00527D4D"/>
    <w:rsid w:val="00527F30"/>
    <w:rsid w:val="00530137"/>
    <w:rsid w:val="00535920"/>
    <w:rsid w:val="005434A7"/>
    <w:rsid w:val="005455F7"/>
    <w:rsid w:val="005467FC"/>
    <w:rsid w:val="0054757B"/>
    <w:rsid w:val="005533F5"/>
    <w:rsid w:val="00555D75"/>
    <w:rsid w:val="005570F0"/>
    <w:rsid w:val="00560DF0"/>
    <w:rsid w:val="005611DF"/>
    <w:rsid w:val="0056192E"/>
    <w:rsid w:val="00562725"/>
    <w:rsid w:val="00570BEE"/>
    <w:rsid w:val="005710B3"/>
    <w:rsid w:val="005718D5"/>
    <w:rsid w:val="005721EB"/>
    <w:rsid w:val="00572B55"/>
    <w:rsid w:val="00574427"/>
    <w:rsid w:val="0057573F"/>
    <w:rsid w:val="00581469"/>
    <w:rsid w:val="005814EB"/>
    <w:rsid w:val="00581BFA"/>
    <w:rsid w:val="00581E7E"/>
    <w:rsid w:val="005822FC"/>
    <w:rsid w:val="0058293A"/>
    <w:rsid w:val="00582BA5"/>
    <w:rsid w:val="00582CC7"/>
    <w:rsid w:val="00582D7D"/>
    <w:rsid w:val="005830D3"/>
    <w:rsid w:val="00584872"/>
    <w:rsid w:val="00586CAF"/>
    <w:rsid w:val="0058786D"/>
    <w:rsid w:val="00590266"/>
    <w:rsid w:val="00590A9B"/>
    <w:rsid w:val="00591BD2"/>
    <w:rsid w:val="005947FE"/>
    <w:rsid w:val="00597523"/>
    <w:rsid w:val="00597952"/>
    <w:rsid w:val="005A0D10"/>
    <w:rsid w:val="005A332D"/>
    <w:rsid w:val="005A68C5"/>
    <w:rsid w:val="005A6FFD"/>
    <w:rsid w:val="005B083B"/>
    <w:rsid w:val="005B4186"/>
    <w:rsid w:val="005B4624"/>
    <w:rsid w:val="005B48FF"/>
    <w:rsid w:val="005B5F0B"/>
    <w:rsid w:val="005B63C9"/>
    <w:rsid w:val="005B6E14"/>
    <w:rsid w:val="005C2341"/>
    <w:rsid w:val="005C3E3F"/>
    <w:rsid w:val="005C7764"/>
    <w:rsid w:val="005C7A40"/>
    <w:rsid w:val="005D1A3F"/>
    <w:rsid w:val="005D1E4E"/>
    <w:rsid w:val="005D2ACC"/>
    <w:rsid w:val="005D324A"/>
    <w:rsid w:val="005D60E3"/>
    <w:rsid w:val="005D6579"/>
    <w:rsid w:val="005D6DFF"/>
    <w:rsid w:val="005D745F"/>
    <w:rsid w:val="005E37C1"/>
    <w:rsid w:val="005E3EB4"/>
    <w:rsid w:val="005E3F51"/>
    <w:rsid w:val="005E4668"/>
    <w:rsid w:val="005E74FD"/>
    <w:rsid w:val="005E77AC"/>
    <w:rsid w:val="005F0CC0"/>
    <w:rsid w:val="005F2472"/>
    <w:rsid w:val="005F2EAA"/>
    <w:rsid w:val="005F3155"/>
    <w:rsid w:val="005F3A5B"/>
    <w:rsid w:val="005F4FF1"/>
    <w:rsid w:val="005F5B7C"/>
    <w:rsid w:val="005F6113"/>
    <w:rsid w:val="005F7A8B"/>
    <w:rsid w:val="00600A67"/>
    <w:rsid w:val="00600F36"/>
    <w:rsid w:val="006012A7"/>
    <w:rsid w:val="00601A9E"/>
    <w:rsid w:val="00601BFD"/>
    <w:rsid w:val="006025B7"/>
    <w:rsid w:val="00602D56"/>
    <w:rsid w:val="006038A5"/>
    <w:rsid w:val="00603A83"/>
    <w:rsid w:val="00606513"/>
    <w:rsid w:val="00611387"/>
    <w:rsid w:val="006141C1"/>
    <w:rsid w:val="006158D5"/>
    <w:rsid w:val="006177A4"/>
    <w:rsid w:val="006204DF"/>
    <w:rsid w:val="006256F1"/>
    <w:rsid w:val="00625D83"/>
    <w:rsid w:val="00626287"/>
    <w:rsid w:val="006315AD"/>
    <w:rsid w:val="00634C78"/>
    <w:rsid w:val="006407E4"/>
    <w:rsid w:val="00641D0C"/>
    <w:rsid w:val="00643292"/>
    <w:rsid w:val="00644D64"/>
    <w:rsid w:val="00645D3D"/>
    <w:rsid w:val="006538FA"/>
    <w:rsid w:val="00655443"/>
    <w:rsid w:val="0065548D"/>
    <w:rsid w:val="0065654A"/>
    <w:rsid w:val="00657FDD"/>
    <w:rsid w:val="006623E7"/>
    <w:rsid w:val="00662761"/>
    <w:rsid w:val="00662B80"/>
    <w:rsid w:val="0066409D"/>
    <w:rsid w:val="00664B41"/>
    <w:rsid w:val="0066678D"/>
    <w:rsid w:val="00667F88"/>
    <w:rsid w:val="006703CA"/>
    <w:rsid w:val="00671FB2"/>
    <w:rsid w:val="00672855"/>
    <w:rsid w:val="006733E2"/>
    <w:rsid w:val="0067641F"/>
    <w:rsid w:val="0067688A"/>
    <w:rsid w:val="00677553"/>
    <w:rsid w:val="00677BC0"/>
    <w:rsid w:val="00682720"/>
    <w:rsid w:val="006833F6"/>
    <w:rsid w:val="006852C7"/>
    <w:rsid w:val="00685BBB"/>
    <w:rsid w:val="0068683A"/>
    <w:rsid w:val="00687328"/>
    <w:rsid w:val="00691BDC"/>
    <w:rsid w:val="006930A9"/>
    <w:rsid w:val="00695492"/>
    <w:rsid w:val="00696C9E"/>
    <w:rsid w:val="006A12BD"/>
    <w:rsid w:val="006A1E74"/>
    <w:rsid w:val="006A24D2"/>
    <w:rsid w:val="006A7948"/>
    <w:rsid w:val="006B0BE3"/>
    <w:rsid w:val="006B1777"/>
    <w:rsid w:val="006B1EED"/>
    <w:rsid w:val="006C0668"/>
    <w:rsid w:val="006C0B93"/>
    <w:rsid w:val="006C1727"/>
    <w:rsid w:val="006C32FD"/>
    <w:rsid w:val="006C3A5E"/>
    <w:rsid w:val="006C4499"/>
    <w:rsid w:val="006C6235"/>
    <w:rsid w:val="006C74AF"/>
    <w:rsid w:val="006C7A47"/>
    <w:rsid w:val="006C7E4B"/>
    <w:rsid w:val="006D0FCC"/>
    <w:rsid w:val="006D14D7"/>
    <w:rsid w:val="006D28EC"/>
    <w:rsid w:val="006D3434"/>
    <w:rsid w:val="006D4639"/>
    <w:rsid w:val="006D50A8"/>
    <w:rsid w:val="006E0D57"/>
    <w:rsid w:val="006E33FE"/>
    <w:rsid w:val="006E3B56"/>
    <w:rsid w:val="006E489B"/>
    <w:rsid w:val="006E5801"/>
    <w:rsid w:val="006F03C5"/>
    <w:rsid w:val="006F2226"/>
    <w:rsid w:val="006F5A7B"/>
    <w:rsid w:val="006F6061"/>
    <w:rsid w:val="006F6917"/>
    <w:rsid w:val="006F6F17"/>
    <w:rsid w:val="006F7E21"/>
    <w:rsid w:val="00700964"/>
    <w:rsid w:val="007021FD"/>
    <w:rsid w:val="00702DFA"/>
    <w:rsid w:val="007048E2"/>
    <w:rsid w:val="00705EA0"/>
    <w:rsid w:val="00705EED"/>
    <w:rsid w:val="0070616B"/>
    <w:rsid w:val="007065EF"/>
    <w:rsid w:val="00706659"/>
    <w:rsid w:val="00706FDA"/>
    <w:rsid w:val="00711F9A"/>
    <w:rsid w:val="00712C94"/>
    <w:rsid w:val="00712EF1"/>
    <w:rsid w:val="00713810"/>
    <w:rsid w:val="007152D6"/>
    <w:rsid w:val="00716A17"/>
    <w:rsid w:val="007173E0"/>
    <w:rsid w:val="00720EE7"/>
    <w:rsid w:val="00721015"/>
    <w:rsid w:val="00722A17"/>
    <w:rsid w:val="00722CB6"/>
    <w:rsid w:val="007251FC"/>
    <w:rsid w:val="007265BB"/>
    <w:rsid w:val="00727626"/>
    <w:rsid w:val="007303A5"/>
    <w:rsid w:val="007309B3"/>
    <w:rsid w:val="00730B3E"/>
    <w:rsid w:val="00730C9F"/>
    <w:rsid w:val="00730CCB"/>
    <w:rsid w:val="007315C8"/>
    <w:rsid w:val="0073196B"/>
    <w:rsid w:val="0073420B"/>
    <w:rsid w:val="007357BE"/>
    <w:rsid w:val="00737C8B"/>
    <w:rsid w:val="00737CED"/>
    <w:rsid w:val="007401B3"/>
    <w:rsid w:val="0074135D"/>
    <w:rsid w:val="00741B70"/>
    <w:rsid w:val="00741BD3"/>
    <w:rsid w:val="00742372"/>
    <w:rsid w:val="0074351B"/>
    <w:rsid w:val="0074402F"/>
    <w:rsid w:val="007451A5"/>
    <w:rsid w:val="00745577"/>
    <w:rsid w:val="00746271"/>
    <w:rsid w:val="007474D9"/>
    <w:rsid w:val="0074760E"/>
    <w:rsid w:val="0075136B"/>
    <w:rsid w:val="00753FE7"/>
    <w:rsid w:val="007548DA"/>
    <w:rsid w:val="00754ABA"/>
    <w:rsid w:val="0075526E"/>
    <w:rsid w:val="007573F9"/>
    <w:rsid w:val="00757B5A"/>
    <w:rsid w:val="00760CB6"/>
    <w:rsid w:val="00760F9F"/>
    <w:rsid w:val="00763DBB"/>
    <w:rsid w:val="00764699"/>
    <w:rsid w:val="007648EA"/>
    <w:rsid w:val="00765326"/>
    <w:rsid w:val="00765DC2"/>
    <w:rsid w:val="00770B71"/>
    <w:rsid w:val="007715DA"/>
    <w:rsid w:val="00772373"/>
    <w:rsid w:val="00772463"/>
    <w:rsid w:val="00772A49"/>
    <w:rsid w:val="00772C82"/>
    <w:rsid w:val="007731D6"/>
    <w:rsid w:val="007734A1"/>
    <w:rsid w:val="00773556"/>
    <w:rsid w:val="00773EC6"/>
    <w:rsid w:val="007766C6"/>
    <w:rsid w:val="007778A8"/>
    <w:rsid w:val="007816DF"/>
    <w:rsid w:val="00781A04"/>
    <w:rsid w:val="00783276"/>
    <w:rsid w:val="0078595C"/>
    <w:rsid w:val="00794157"/>
    <w:rsid w:val="007958E4"/>
    <w:rsid w:val="007971A5"/>
    <w:rsid w:val="007974AF"/>
    <w:rsid w:val="007A0670"/>
    <w:rsid w:val="007A1111"/>
    <w:rsid w:val="007A1546"/>
    <w:rsid w:val="007A228C"/>
    <w:rsid w:val="007A249F"/>
    <w:rsid w:val="007A368E"/>
    <w:rsid w:val="007A51CE"/>
    <w:rsid w:val="007A5868"/>
    <w:rsid w:val="007A60F4"/>
    <w:rsid w:val="007B04CE"/>
    <w:rsid w:val="007B1CF3"/>
    <w:rsid w:val="007B1E38"/>
    <w:rsid w:val="007B3D87"/>
    <w:rsid w:val="007B4645"/>
    <w:rsid w:val="007B4CCF"/>
    <w:rsid w:val="007B598C"/>
    <w:rsid w:val="007B6871"/>
    <w:rsid w:val="007C0274"/>
    <w:rsid w:val="007C1C13"/>
    <w:rsid w:val="007C2C37"/>
    <w:rsid w:val="007C367E"/>
    <w:rsid w:val="007C3D33"/>
    <w:rsid w:val="007C4332"/>
    <w:rsid w:val="007C5B45"/>
    <w:rsid w:val="007C6682"/>
    <w:rsid w:val="007C68A1"/>
    <w:rsid w:val="007C7D0E"/>
    <w:rsid w:val="007D0D45"/>
    <w:rsid w:val="007D1D0A"/>
    <w:rsid w:val="007D294A"/>
    <w:rsid w:val="007D47D2"/>
    <w:rsid w:val="007D53DC"/>
    <w:rsid w:val="007D64C9"/>
    <w:rsid w:val="007D6EC0"/>
    <w:rsid w:val="007D7BAD"/>
    <w:rsid w:val="007D7E1D"/>
    <w:rsid w:val="007E02CE"/>
    <w:rsid w:val="007E36E1"/>
    <w:rsid w:val="007E4AD1"/>
    <w:rsid w:val="007E4AF2"/>
    <w:rsid w:val="007E73CE"/>
    <w:rsid w:val="007E756C"/>
    <w:rsid w:val="007F0DB8"/>
    <w:rsid w:val="007F2069"/>
    <w:rsid w:val="007F616E"/>
    <w:rsid w:val="00800671"/>
    <w:rsid w:val="00800AE6"/>
    <w:rsid w:val="00803D87"/>
    <w:rsid w:val="00805299"/>
    <w:rsid w:val="008063BA"/>
    <w:rsid w:val="00806AA1"/>
    <w:rsid w:val="00807206"/>
    <w:rsid w:val="00810C49"/>
    <w:rsid w:val="0081133E"/>
    <w:rsid w:val="00813B1D"/>
    <w:rsid w:val="00814CA2"/>
    <w:rsid w:val="00816E98"/>
    <w:rsid w:val="00821DFA"/>
    <w:rsid w:val="00821FD6"/>
    <w:rsid w:val="0082391B"/>
    <w:rsid w:val="008239F7"/>
    <w:rsid w:val="008254B6"/>
    <w:rsid w:val="008260B5"/>
    <w:rsid w:val="00827761"/>
    <w:rsid w:val="008309C1"/>
    <w:rsid w:val="00830A8B"/>
    <w:rsid w:val="00830AF8"/>
    <w:rsid w:val="00831130"/>
    <w:rsid w:val="00831A19"/>
    <w:rsid w:val="008356D5"/>
    <w:rsid w:val="00835C02"/>
    <w:rsid w:val="00835F2C"/>
    <w:rsid w:val="00837492"/>
    <w:rsid w:val="008375E8"/>
    <w:rsid w:val="00837795"/>
    <w:rsid w:val="0083781C"/>
    <w:rsid w:val="00843664"/>
    <w:rsid w:val="00843FD0"/>
    <w:rsid w:val="00846DD2"/>
    <w:rsid w:val="008478F9"/>
    <w:rsid w:val="00847AD1"/>
    <w:rsid w:val="0085056A"/>
    <w:rsid w:val="008507C8"/>
    <w:rsid w:val="008537AF"/>
    <w:rsid w:val="00853E6C"/>
    <w:rsid w:val="00855135"/>
    <w:rsid w:val="00856BB4"/>
    <w:rsid w:val="008571EA"/>
    <w:rsid w:val="00857DF2"/>
    <w:rsid w:val="0086287C"/>
    <w:rsid w:val="00863230"/>
    <w:rsid w:val="00864CB5"/>
    <w:rsid w:val="00865E17"/>
    <w:rsid w:val="008661D2"/>
    <w:rsid w:val="00866CDD"/>
    <w:rsid w:val="008700B6"/>
    <w:rsid w:val="008717D8"/>
    <w:rsid w:val="008718CC"/>
    <w:rsid w:val="0087215C"/>
    <w:rsid w:val="00873D5B"/>
    <w:rsid w:val="00875F15"/>
    <w:rsid w:val="0088633A"/>
    <w:rsid w:val="008875FE"/>
    <w:rsid w:val="00887F8E"/>
    <w:rsid w:val="00887FBA"/>
    <w:rsid w:val="00890195"/>
    <w:rsid w:val="00891DB8"/>
    <w:rsid w:val="00892D68"/>
    <w:rsid w:val="00896234"/>
    <w:rsid w:val="00897E43"/>
    <w:rsid w:val="008A196D"/>
    <w:rsid w:val="008A20E0"/>
    <w:rsid w:val="008A2A00"/>
    <w:rsid w:val="008A3485"/>
    <w:rsid w:val="008A5B8A"/>
    <w:rsid w:val="008A628A"/>
    <w:rsid w:val="008A7EC8"/>
    <w:rsid w:val="008B0A41"/>
    <w:rsid w:val="008B1FF7"/>
    <w:rsid w:val="008B2ED4"/>
    <w:rsid w:val="008B4088"/>
    <w:rsid w:val="008B42CA"/>
    <w:rsid w:val="008C1094"/>
    <w:rsid w:val="008C11E6"/>
    <w:rsid w:val="008C1F79"/>
    <w:rsid w:val="008C2559"/>
    <w:rsid w:val="008C4731"/>
    <w:rsid w:val="008C5738"/>
    <w:rsid w:val="008C5B49"/>
    <w:rsid w:val="008C7234"/>
    <w:rsid w:val="008C736A"/>
    <w:rsid w:val="008C7EAD"/>
    <w:rsid w:val="008D30FA"/>
    <w:rsid w:val="008D3E7E"/>
    <w:rsid w:val="008D6152"/>
    <w:rsid w:val="008D7BDA"/>
    <w:rsid w:val="008D7F1B"/>
    <w:rsid w:val="008E11FF"/>
    <w:rsid w:val="008E252B"/>
    <w:rsid w:val="008E4B15"/>
    <w:rsid w:val="008E544D"/>
    <w:rsid w:val="008E58B3"/>
    <w:rsid w:val="008E644F"/>
    <w:rsid w:val="008E66BF"/>
    <w:rsid w:val="008E7FBC"/>
    <w:rsid w:val="008F001A"/>
    <w:rsid w:val="008F0E25"/>
    <w:rsid w:val="008F0F81"/>
    <w:rsid w:val="008F3298"/>
    <w:rsid w:val="008F37F6"/>
    <w:rsid w:val="008F3805"/>
    <w:rsid w:val="008F4024"/>
    <w:rsid w:val="008F522D"/>
    <w:rsid w:val="008F68BC"/>
    <w:rsid w:val="00903668"/>
    <w:rsid w:val="00906057"/>
    <w:rsid w:val="00906202"/>
    <w:rsid w:val="009063E3"/>
    <w:rsid w:val="00906F36"/>
    <w:rsid w:val="00910F7D"/>
    <w:rsid w:val="00911934"/>
    <w:rsid w:val="0091261D"/>
    <w:rsid w:val="00912AA5"/>
    <w:rsid w:val="009146CC"/>
    <w:rsid w:val="009147DF"/>
    <w:rsid w:val="009153F1"/>
    <w:rsid w:val="00915677"/>
    <w:rsid w:val="0091577F"/>
    <w:rsid w:val="00917004"/>
    <w:rsid w:val="0092070D"/>
    <w:rsid w:val="00922DD2"/>
    <w:rsid w:val="00923540"/>
    <w:rsid w:val="00924ECE"/>
    <w:rsid w:val="00925C84"/>
    <w:rsid w:val="00926767"/>
    <w:rsid w:val="00927DDD"/>
    <w:rsid w:val="00930817"/>
    <w:rsid w:val="00930833"/>
    <w:rsid w:val="00931D86"/>
    <w:rsid w:val="00932C75"/>
    <w:rsid w:val="00933E81"/>
    <w:rsid w:val="009361D5"/>
    <w:rsid w:val="00941AA9"/>
    <w:rsid w:val="00943014"/>
    <w:rsid w:val="0094377F"/>
    <w:rsid w:val="00944293"/>
    <w:rsid w:val="009461B6"/>
    <w:rsid w:val="009470B6"/>
    <w:rsid w:val="00950333"/>
    <w:rsid w:val="00952A41"/>
    <w:rsid w:val="00957B8C"/>
    <w:rsid w:val="009625EF"/>
    <w:rsid w:val="00963668"/>
    <w:rsid w:val="00963876"/>
    <w:rsid w:val="00963971"/>
    <w:rsid w:val="00963D81"/>
    <w:rsid w:val="00965418"/>
    <w:rsid w:val="009659BF"/>
    <w:rsid w:val="009659F4"/>
    <w:rsid w:val="00966BBC"/>
    <w:rsid w:val="00967514"/>
    <w:rsid w:val="00967C14"/>
    <w:rsid w:val="00970D60"/>
    <w:rsid w:val="00972C69"/>
    <w:rsid w:val="00975A8E"/>
    <w:rsid w:val="009818E0"/>
    <w:rsid w:val="00984384"/>
    <w:rsid w:val="0098608C"/>
    <w:rsid w:val="00987392"/>
    <w:rsid w:val="00987CAE"/>
    <w:rsid w:val="00991408"/>
    <w:rsid w:val="009935C4"/>
    <w:rsid w:val="009942B8"/>
    <w:rsid w:val="00995C28"/>
    <w:rsid w:val="009A09F0"/>
    <w:rsid w:val="009A24C7"/>
    <w:rsid w:val="009A4670"/>
    <w:rsid w:val="009A596D"/>
    <w:rsid w:val="009A6152"/>
    <w:rsid w:val="009A7A29"/>
    <w:rsid w:val="009A7ADC"/>
    <w:rsid w:val="009B1ABF"/>
    <w:rsid w:val="009B1AF1"/>
    <w:rsid w:val="009B1CB9"/>
    <w:rsid w:val="009B375E"/>
    <w:rsid w:val="009B45D4"/>
    <w:rsid w:val="009B4825"/>
    <w:rsid w:val="009B58B5"/>
    <w:rsid w:val="009B7058"/>
    <w:rsid w:val="009C05C1"/>
    <w:rsid w:val="009C19B7"/>
    <w:rsid w:val="009C29C6"/>
    <w:rsid w:val="009C29CA"/>
    <w:rsid w:val="009C2FDA"/>
    <w:rsid w:val="009C401F"/>
    <w:rsid w:val="009C4184"/>
    <w:rsid w:val="009C7333"/>
    <w:rsid w:val="009C7CBD"/>
    <w:rsid w:val="009D0290"/>
    <w:rsid w:val="009D2E05"/>
    <w:rsid w:val="009D30ED"/>
    <w:rsid w:val="009D53F2"/>
    <w:rsid w:val="009D645F"/>
    <w:rsid w:val="009D7C51"/>
    <w:rsid w:val="009E06A1"/>
    <w:rsid w:val="009E0A04"/>
    <w:rsid w:val="009E2EB0"/>
    <w:rsid w:val="009E5F69"/>
    <w:rsid w:val="009F01DB"/>
    <w:rsid w:val="009F25A3"/>
    <w:rsid w:val="009F36BF"/>
    <w:rsid w:val="009F3980"/>
    <w:rsid w:val="009F4097"/>
    <w:rsid w:val="009F516F"/>
    <w:rsid w:val="009F709C"/>
    <w:rsid w:val="00A011CD"/>
    <w:rsid w:val="00A0320A"/>
    <w:rsid w:val="00A03BA0"/>
    <w:rsid w:val="00A05C23"/>
    <w:rsid w:val="00A077B7"/>
    <w:rsid w:val="00A102F3"/>
    <w:rsid w:val="00A10D04"/>
    <w:rsid w:val="00A111B6"/>
    <w:rsid w:val="00A12FBC"/>
    <w:rsid w:val="00A13011"/>
    <w:rsid w:val="00A13BD5"/>
    <w:rsid w:val="00A13E16"/>
    <w:rsid w:val="00A23496"/>
    <w:rsid w:val="00A262B0"/>
    <w:rsid w:val="00A26E05"/>
    <w:rsid w:val="00A27223"/>
    <w:rsid w:val="00A30D6C"/>
    <w:rsid w:val="00A31CCD"/>
    <w:rsid w:val="00A330DC"/>
    <w:rsid w:val="00A33AAA"/>
    <w:rsid w:val="00A340D3"/>
    <w:rsid w:val="00A34190"/>
    <w:rsid w:val="00A359EB"/>
    <w:rsid w:val="00A368D1"/>
    <w:rsid w:val="00A36D9D"/>
    <w:rsid w:val="00A36FF6"/>
    <w:rsid w:val="00A4037A"/>
    <w:rsid w:val="00A40E71"/>
    <w:rsid w:val="00A42A99"/>
    <w:rsid w:val="00A4489A"/>
    <w:rsid w:val="00A47530"/>
    <w:rsid w:val="00A50656"/>
    <w:rsid w:val="00A5151A"/>
    <w:rsid w:val="00A55DF9"/>
    <w:rsid w:val="00A56054"/>
    <w:rsid w:val="00A56EF0"/>
    <w:rsid w:val="00A601C0"/>
    <w:rsid w:val="00A60737"/>
    <w:rsid w:val="00A62ABF"/>
    <w:rsid w:val="00A63788"/>
    <w:rsid w:val="00A65E66"/>
    <w:rsid w:val="00A6632B"/>
    <w:rsid w:val="00A67036"/>
    <w:rsid w:val="00A72D4F"/>
    <w:rsid w:val="00A7300C"/>
    <w:rsid w:val="00A73822"/>
    <w:rsid w:val="00A73A67"/>
    <w:rsid w:val="00A73CB5"/>
    <w:rsid w:val="00A75AE7"/>
    <w:rsid w:val="00A76BA3"/>
    <w:rsid w:val="00A801F8"/>
    <w:rsid w:val="00A80DF0"/>
    <w:rsid w:val="00A823F6"/>
    <w:rsid w:val="00A84EEA"/>
    <w:rsid w:val="00A852F9"/>
    <w:rsid w:val="00A87A6F"/>
    <w:rsid w:val="00A91092"/>
    <w:rsid w:val="00A91A3E"/>
    <w:rsid w:val="00A92153"/>
    <w:rsid w:val="00A924D8"/>
    <w:rsid w:val="00A92663"/>
    <w:rsid w:val="00A94484"/>
    <w:rsid w:val="00A94D96"/>
    <w:rsid w:val="00A961B5"/>
    <w:rsid w:val="00A975EB"/>
    <w:rsid w:val="00AA0A89"/>
    <w:rsid w:val="00AA1A90"/>
    <w:rsid w:val="00AA1C84"/>
    <w:rsid w:val="00AA482C"/>
    <w:rsid w:val="00AA57AF"/>
    <w:rsid w:val="00AA603C"/>
    <w:rsid w:val="00AA6173"/>
    <w:rsid w:val="00AA6C4D"/>
    <w:rsid w:val="00AA7258"/>
    <w:rsid w:val="00AB4177"/>
    <w:rsid w:val="00AB4FEC"/>
    <w:rsid w:val="00AB5730"/>
    <w:rsid w:val="00AB7364"/>
    <w:rsid w:val="00AC01AA"/>
    <w:rsid w:val="00AC0D14"/>
    <w:rsid w:val="00AC24A0"/>
    <w:rsid w:val="00AC270C"/>
    <w:rsid w:val="00AC3935"/>
    <w:rsid w:val="00AC4CBD"/>
    <w:rsid w:val="00AC4F72"/>
    <w:rsid w:val="00AD2FCF"/>
    <w:rsid w:val="00AD2FE0"/>
    <w:rsid w:val="00AD50AA"/>
    <w:rsid w:val="00AD54C0"/>
    <w:rsid w:val="00AD56BF"/>
    <w:rsid w:val="00AD6E86"/>
    <w:rsid w:val="00AD74D4"/>
    <w:rsid w:val="00AE0CA7"/>
    <w:rsid w:val="00AE2A2C"/>
    <w:rsid w:val="00AE4D18"/>
    <w:rsid w:val="00AE655C"/>
    <w:rsid w:val="00AF1153"/>
    <w:rsid w:val="00AF15AC"/>
    <w:rsid w:val="00AF5905"/>
    <w:rsid w:val="00AF72DB"/>
    <w:rsid w:val="00AF741A"/>
    <w:rsid w:val="00B0195E"/>
    <w:rsid w:val="00B02B4D"/>
    <w:rsid w:val="00B03603"/>
    <w:rsid w:val="00B04161"/>
    <w:rsid w:val="00B056F9"/>
    <w:rsid w:val="00B064F0"/>
    <w:rsid w:val="00B06728"/>
    <w:rsid w:val="00B07707"/>
    <w:rsid w:val="00B10454"/>
    <w:rsid w:val="00B10BA2"/>
    <w:rsid w:val="00B11E3D"/>
    <w:rsid w:val="00B125A6"/>
    <w:rsid w:val="00B13355"/>
    <w:rsid w:val="00B13D67"/>
    <w:rsid w:val="00B1647A"/>
    <w:rsid w:val="00B173AB"/>
    <w:rsid w:val="00B17684"/>
    <w:rsid w:val="00B17E82"/>
    <w:rsid w:val="00B206B1"/>
    <w:rsid w:val="00B21156"/>
    <w:rsid w:val="00B21B25"/>
    <w:rsid w:val="00B235F3"/>
    <w:rsid w:val="00B30761"/>
    <w:rsid w:val="00B30A25"/>
    <w:rsid w:val="00B33DAD"/>
    <w:rsid w:val="00B34E02"/>
    <w:rsid w:val="00B36546"/>
    <w:rsid w:val="00B40021"/>
    <w:rsid w:val="00B40461"/>
    <w:rsid w:val="00B41289"/>
    <w:rsid w:val="00B43006"/>
    <w:rsid w:val="00B43381"/>
    <w:rsid w:val="00B454C4"/>
    <w:rsid w:val="00B512F7"/>
    <w:rsid w:val="00B51D4A"/>
    <w:rsid w:val="00B55263"/>
    <w:rsid w:val="00B575BA"/>
    <w:rsid w:val="00B57C07"/>
    <w:rsid w:val="00B60324"/>
    <w:rsid w:val="00B60B7C"/>
    <w:rsid w:val="00B6131E"/>
    <w:rsid w:val="00B61F66"/>
    <w:rsid w:val="00B631FE"/>
    <w:rsid w:val="00B63FEE"/>
    <w:rsid w:val="00B643A4"/>
    <w:rsid w:val="00B660D5"/>
    <w:rsid w:val="00B66470"/>
    <w:rsid w:val="00B6765A"/>
    <w:rsid w:val="00B67677"/>
    <w:rsid w:val="00B67711"/>
    <w:rsid w:val="00B67A86"/>
    <w:rsid w:val="00B7010F"/>
    <w:rsid w:val="00B7026A"/>
    <w:rsid w:val="00B7120C"/>
    <w:rsid w:val="00B722AA"/>
    <w:rsid w:val="00B7342F"/>
    <w:rsid w:val="00B7502E"/>
    <w:rsid w:val="00B758AB"/>
    <w:rsid w:val="00B75B3F"/>
    <w:rsid w:val="00B760CB"/>
    <w:rsid w:val="00B76429"/>
    <w:rsid w:val="00B81FA8"/>
    <w:rsid w:val="00B844CE"/>
    <w:rsid w:val="00B84E8E"/>
    <w:rsid w:val="00B86702"/>
    <w:rsid w:val="00B87F83"/>
    <w:rsid w:val="00B87FD8"/>
    <w:rsid w:val="00B91CA6"/>
    <w:rsid w:val="00B91D3B"/>
    <w:rsid w:val="00B9241D"/>
    <w:rsid w:val="00B9341D"/>
    <w:rsid w:val="00B956D4"/>
    <w:rsid w:val="00BA0D38"/>
    <w:rsid w:val="00BA13DA"/>
    <w:rsid w:val="00BA1533"/>
    <w:rsid w:val="00BA1BF7"/>
    <w:rsid w:val="00BA5CCB"/>
    <w:rsid w:val="00BA6724"/>
    <w:rsid w:val="00BA6A71"/>
    <w:rsid w:val="00BA7432"/>
    <w:rsid w:val="00BA793A"/>
    <w:rsid w:val="00BA7BEF"/>
    <w:rsid w:val="00BB0C03"/>
    <w:rsid w:val="00BB42FD"/>
    <w:rsid w:val="00BB5472"/>
    <w:rsid w:val="00BB576A"/>
    <w:rsid w:val="00BB7C1F"/>
    <w:rsid w:val="00BB7DF3"/>
    <w:rsid w:val="00BB7F56"/>
    <w:rsid w:val="00BC0637"/>
    <w:rsid w:val="00BC1AA0"/>
    <w:rsid w:val="00BC2B7A"/>
    <w:rsid w:val="00BC378E"/>
    <w:rsid w:val="00BC3835"/>
    <w:rsid w:val="00BC3994"/>
    <w:rsid w:val="00BC4D78"/>
    <w:rsid w:val="00BC6C05"/>
    <w:rsid w:val="00BC7EB9"/>
    <w:rsid w:val="00BD0113"/>
    <w:rsid w:val="00BD2643"/>
    <w:rsid w:val="00BD27C0"/>
    <w:rsid w:val="00BD3A35"/>
    <w:rsid w:val="00BD42C2"/>
    <w:rsid w:val="00BD6464"/>
    <w:rsid w:val="00BD6558"/>
    <w:rsid w:val="00BD6DA4"/>
    <w:rsid w:val="00BD6FE9"/>
    <w:rsid w:val="00BE08BF"/>
    <w:rsid w:val="00BE132C"/>
    <w:rsid w:val="00BE3776"/>
    <w:rsid w:val="00BE3C0E"/>
    <w:rsid w:val="00BE4106"/>
    <w:rsid w:val="00BE45A6"/>
    <w:rsid w:val="00BE5DA6"/>
    <w:rsid w:val="00BE623B"/>
    <w:rsid w:val="00BE7BFA"/>
    <w:rsid w:val="00BF16EE"/>
    <w:rsid w:val="00BF23D1"/>
    <w:rsid w:val="00BF3214"/>
    <w:rsid w:val="00BF3C1D"/>
    <w:rsid w:val="00BF400C"/>
    <w:rsid w:val="00BF71DE"/>
    <w:rsid w:val="00BF7E5F"/>
    <w:rsid w:val="00C0058D"/>
    <w:rsid w:val="00C00DB1"/>
    <w:rsid w:val="00C01256"/>
    <w:rsid w:val="00C03BB3"/>
    <w:rsid w:val="00C04D6A"/>
    <w:rsid w:val="00C050FE"/>
    <w:rsid w:val="00C06D03"/>
    <w:rsid w:val="00C07197"/>
    <w:rsid w:val="00C1062B"/>
    <w:rsid w:val="00C11375"/>
    <w:rsid w:val="00C12B5B"/>
    <w:rsid w:val="00C15867"/>
    <w:rsid w:val="00C15A84"/>
    <w:rsid w:val="00C16EF8"/>
    <w:rsid w:val="00C2186D"/>
    <w:rsid w:val="00C2296D"/>
    <w:rsid w:val="00C23098"/>
    <w:rsid w:val="00C23155"/>
    <w:rsid w:val="00C2435F"/>
    <w:rsid w:val="00C2664B"/>
    <w:rsid w:val="00C27325"/>
    <w:rsid w:val="00C305AB"/>
    <w:rsid w:val="00C31A23"/>
    <w:rsid w:val="00C32C92"/>
    <w:rsid w:val="00C341C9"/>
    <w:rsid w:val="00C3560F"/>
    <w:rsid w:val="00C36662"/>
    <w:rsid w:val="00C366A5"/>
    <w:rsid w:val="00C37DD8"/>
    <w:rsid w:val="00C40C41"/>
    <w:rsid w:val="00C41081"/>
    <w:rsid w:val="00C41B92"/>
    <w:rsid w:val="00C43175"/>
    <w:rsid w:val="00C4408A"/>
    <w:rsid w:val="00C45885"/>
    <w:rsid w:val="00C4641F"/>
    <w:rsid w:val="00C478C3"/>
    <w:rsid w:val="00C50F22"/>
    <w:rsid w:val="00C51E68"/>
    <w:rsid w:val="00C532D7"/>
    <w:rsid w:val="00C57467"/>
    <w:rsid w:val="00C57971"/>
    <w:rsid w:val="00C6277E"/>
    <w:rsid w:val="00C67A87"/>
    <w:rsid w:val="00C67FD2"/>
    <w:rsid w:val="00C730F9"/>
    <w:rsid w:val="00C73EFF"/>
    <w:rsid w:val="00C76568"/>
    <w:rsid w:val="00C76BA4"/>
    <w:rsid w:val="00C80E4A"/>
    <w:rsid w:val="00C8303D"/>
    <w:rsid w:val="00C83544"/>
    <w:rsid w:val="00C83A48"/>
    <w:rsid w:val="00C847AC"/>
    <w:rsid w:val="00C84A9F"/>
    <w:rsid w:val="00C85865"/>
    <w:rsid w:val="00C85E85"/>
    <w:rsid w:val="00C86E46"/>
    <w:rsid w:val="00C870E7"/>
    <w:rsid w:val="00C877D2"/>
    <w:rsid w:val="00C87D3C"/>
    <w:rsid w:val="00C91467"/>
    <w:rsid w:val="00C91B41"/>
    <w:rsid w:val="00C92CE0"/>
    <w:rsid w:val="00C93550"/>
    <w:rsid w:val="00C9386F"/>
    <w:rsid w:val="00C94B06"/>
    <w:rsid w:val="00C95382"/>
    <w:rsid w:val="00CA2EAE"/>
    <w:rsid w:val="00CA4AC1"/>
    <w:rsid w:val="00CB0316"/>
    <w:rsid w:val="00CB0317"/>
    <w:rsid w:val="00CB090F"/>
    <w:rsid w:val="00CB096B"/>
    <w:rsid w:val="00CB0B11"/>
    <w:rsid w:val="00CB1DD0"/>
    <w:rsid w:val="00CB36F9"/>
    <w:rsid w:val="00CB520C"/>
    <w:rsid w:val="00CB5354"/>
    <w:rsid w:val="00CB6118"/>
    <w:rsid w:val="00CB797A"/>
    <w:rsid w:val="00CC05E5"/>
    <w:rsid w:val="00CC14A1"/>
    <w:rsid w:val="00CC3BA3"/>
    <w:rsid w:val="00CC4AE5"/>
    <w:rsid w:val="00CC585D"/>
    <w:rsid w:val="00CC6A14"/>
    <w:rsid w:val="00CC6E10"/>
    <w:rsid w:val="00CC70A3"/>
    <w:rsid w:val="00CC7F83"/>
    <w:rsid w:val="00CD0160"/>
    <w:rsid w:val="00CD24E4"/>
    <w:rsid w:val="00CD3701"/>
    <w:rsid w:val="00CD399C"/>
    <w:rsid w:val="00CD3D3B"/>
    <w:rsid w:val="00CD45CF"/>
    <w:rsid w:val="00CD53C3"/>
    <w:rsid w:val="00CD55DA"/>
    <w:rsid w:val="00CD574E"/>
    <w:rsid w:val="00CD6546"/>
    <w:rsid w:val="00CD77A8"/>
    <w:rsid w:val="00CE1FD1"/>
    <w:rsid w:val="00CE29EA"/>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032"/>
    <w:rsid w:val="00D063F1"/>
    <w:rsid w:val="00D067CA"/>
    <w:rsid w:val="00D06CAF"/>
    <w:rsid w:val="00D076F7"/>
    <w:rsid w:val="00D07702"/>
    <w:rsid w:val="00D136A8"/>
    <w:rsid w:val="00D13984"/>
    <w:rsid w:val="00D14F22"/>
    <w:rsid w:val="00D16B71"/>
    <w:rsid w:val="00D17F73"/>
    <w:rsid w:val="00D21B42"/>
    <w:rsid w:val="00D22CB7"/>
    <w:rsid w:val="00D230BE"/>
    <w:rsid w:val="00D2365E"/>
    <w:rsid w:val="00D24716"/>
    <w:rsid w:val="00D24723"/>
    <w:rsid w:val="00D249C2"/>
    <w:rsid w:val="00D249C4"/>
    <w:rsid w:val="00D2654F"/>
    <w:rsid w:val="00D27B59"/>
    <w:rsid w:val="00D27C5A"/>
    <w:rsid w:val="00D27CB2"/>
    <w:rsid w:val="00D32606"/>
    <w:rsid w:val="00D3346A"/>
    <w:rsid w:val="00D33AAA"/>
    <w:rsid w:val="00D3583E"/>
    <w:rsid w:val="00D3689E"/>
    <w:rsid w:val="00D412B0"/>
    <w:rsid w:val="00D416A8"/>
    <w:rsid w:val="00D42237"/>
    <w:rsid w:val="00D45F57"/>
    <w:rsid w:val="00D4718A"/>
    <w:rsid w:val="00D47EF6"/>
    <w:rsid w:val="00D50BEF"/>
    <w:rsid w:val="00D50D20"/>
    <w:rsid w:val="00D54327"/>
    <w:rsid w:val="00D5465E"/>
    <w:rsid w:val="00D5467A"/>
    <w:rsid w:val="00D549D5"/>
    <w:rsid w:val="00D572A2"/>
    <w:rsid w:val="00D57918"/>
    <w:rsid w:val="00D57BFA"/>
    <w:rsid w:val="00D6032A"/>
    <w:rsid w:val="00D61619"/>
    <w:rsid w:val="00D620FF"/>
    <w:rsid w:val="00D628E0"/>
    <w:rsid w:val="00D7277C"/>
    <w:rsid w:val="00D731B5"/>
    <w:rsid w:val="00D73DC6"/>
    <w:rsid w:val="00D74C1A"/>
    <w:rsid w:val="00D75205"/>
    <w:rsid w:val="00D754C1"/>
    <w:rsid w:val="00D77696"/>
    <w:rsid w:val="00D77A35"/>
    <w:rsid w:val="00D8151B"/>
    <w:rsid w:val="00D81B3E"/>
    <w:rsid w:val="00D8424D"/>
    <w:rsid w:val="00D8477A"/>
    <w:rsid w:val="00D86490"/>
    <w:rsid w:val="00D86C55"/>
    <w:rsid w:val="00D90C70"/>
    <w:rsid w:val="00D90E49"/>
    <w:rsid w:val="00D92C12"/>
    <w:rsid w:val="00D93345"/>
    <w:rsid w:val="00D940A9"/>
    <w:rsid w:val="00D940FA"/>
    <w:rsid w:val="00D95243"/>
    <w:rsid w:val="00D96A1A"/>
    <w:rsid w:val="00DA166F"/>
    <w:rsid w:val="00DA1A91"/>
    <w:rsid w:val="00DA220A"/>
    <w:rsid w:val="00DA3F6A"/>
    <w:rsid w:val="00DA4719"/>
    <w:rsid w:val="00DA4A69"/>
    <w:rsid w:val="00DA4FC5"/>
    <w:rsid w:val="00DA6365"/>
    <w:rsid w:val="00DB077E"/>
    <w:rsid w:val="00DB484C"/>
    <w:rsid w:val="00DB5201"/>
    <w:rsid w:val="00DB60B4"/>
    <w:rsid w:val="00DC02F0"/>
    <w:rsid w:val="00DC032D"/>
    <w:rsid w:val="00DC1188"/>
    <w:rsid w:val="00DC2290"/>
    <w:rsid w:val="00DC2A72"/>
    <w:rsid w:val="00DC2CE4"/>
    <w:rsid w:val="00DC453E"/>
    <w:rsid w:val="00DC692A"/>
    <w:rsid w:val="00DC6A10"/>
    <w:rsid w:val="00DC6D65"/>
    <w:rsid w:val="00DD3577"/>
    <w:rsid w:val="00DD35AC"/>
    <w:rsid w:val="00DD4488"/>
    <w:rsid w:val="00DD4C4C"/>
    <w:rsid w:val="00DD502B"/>
    <w:rsid w:val="00DD5432"/>
    <w:rsid w:val="00DD59DA"/>
    <w:rsid w:val="00DE08E4"/>
    <w:rsid w:val="00DE13F5"/>
    <w:rsid w:val="00DE15F5"/>
    <w:rsid w:val="00DE1D5E"/>
    <w:rsid w:val="00DE31AC"/>
    <w:rsid w:val="00DE3F39"/>
    <w:rsid w:val="00DE42DB"/>
    <w:rsid w:val="00DE5D9F"/>
    <w:rsid w:val="00DE6064"/>
    <w:rsid w:val="00DE657E"/>
    <w:rsid w:val="00DE751B"/>
    <w:rsid w:val="00DF1D98"/>
    <w:rsid w:val="00DF264B"/>
    <w:rsid w:val="00DF4704"/>
    <w:rsid w:val="00DF6528"/>
    <w:rsid w:val="00E00CCA"/>
    <w:rsid w:val="00E013D5"/>
    <w:rsid w:val="00E01852"/>
    <w:rsid w:val="00E024AA"/>
    <w:rsid w:val="00E05698"/>
    <w:rsid w:val="00E06673"/>
    <w:rsid w:val="00E07018"/>
    <w:rsid w:val="00E122FF"/>
    <w:rsid w:val="00E125FB"/>
    <w:rsid w:val="00E1313F"/>
    <w:rsid w:val="00E144E6"/>
    <w:rsid w:val="00E1693E"/>
    <w:rsid w:val="00E16D12"/>
    <w:rsid w:val="00E20584"/>
    <w:rsid w:val="00E23695"/>
    <w:rsid w:val="00E250F1"/>
    <w:rsid w:val="00E254B1"/>
    <w:rsid w:val="00E26002"/>
    <w:rsid w:val="00E26B1A"/>
    <w:rsid w:val="00E27188"/>
    <w:rsid w:val="00E31E0B"/>
    <w:rsid w:val="00E32513"/>
    <w:rsid w:val="00E328D6"/>
    <w:rsid w:val="00E32E6B"/>
    <w:rsid w:val="00E33106"/>
    <w:rsid w:val="00E332DA"/>
    <w:rsid w:val="00E3550D"/>
    <w:rsid w:val="00E3799F"/>
    <w:rsid w:val="00E42E81"/>
    <w:rsid w:val="00E446C6"/>
    <w:rsid w:val="00E50035"/>
    <w:rsid w:val="00E50299"/>
    <w:rsid w:val="00E51860"/>
    <w:rsid w:val="00E546F4"/>
    <w:rsid w:val="00E57A43"/>
    <w:rsid w:val="00E608C8"/>
    <w:rsid w:val="00E614E0"/>
    <w:rsid w:val="00E61F64"/>
    <w:rsid w:val="00E62F6C"/>
    <w:rsid w:val="00E63946"/>
    <w:rsid w:val="00E67CED"/>
    <w:rsid w:val="00E70A28"/>
    <w:rsid w:val="00E714F6"/>
    <w:rsid w:val="00E71EF2"/>
    <w:rsid w:val="00E73F7F"/>
    <w:rsid w:val="00E746D5"/>
    <w:rsid w:val="00E74978"/>
    <w:rsid w:val="00E77760"/>
    <w:rsid w:val="00E8043F"/>
    <w:rsid w:val="00E854CA"/>
    <w:rsid w:val="00E85D39"/>
    <w:rsid w:val="00E9050E"/>
    <w:rsid w:val="00E90C5F"/>
    <w:rsid w:val="00E93118"/>
    <w:rsid w:val="00E93BC1"/>
    <w:rsid w:val="00E958C9"/>
    <w:rsid w:val="00EA2887"/>
    <w:rsid w:val="00EA3419"/>
    <w:rsid w:val="00EA429F"/>
    <w:rsid w:val="00EA4E04"/>
    <w:rsid w:val="00EA4F9E"/>
    <w:rsid w:val="00EA52A5"/>
    <w:rsid w:val="00EA6D3B"/>
    <w:rsid w:val="00EA6E60"/>
    <w:rsid w:val="00EA7D05"/>
    <w:rsid w:val="00EB00AD"/>
    <w:rsid w:val="00EB03E7"/>
    <w:rsid w:val="00EB121E"/>
    <w:rsid w:val="00EB136C"/>
    <w:rsid w:val="00EB26E6"/>
    <w:rsid w:val="00EB480E"/>
    <w:rsid w:val="00EB5EC6"/>
    <w:rsid w:val="00EB602B"/>
    <w:rsid w:val="00EB6449"/>
    <w:rsid w:val="00EB7661"/>
    <w:rsid w:val="00EB7797"/>
    <w:rsid w:val="00EB7C4B"/>
    <w:rsid w:val="00EB7FC9"/>
    <w:rsid w:val="00EC12A7"/>
    <w:rsid w:val="00EC1844"/>
    <w:rsid w:val="00EC1877"/>
    <w:rsid w:val="00EC2697"/>
    <w:rsid w:val="00EC55D1"/>
    <w:rsid w:val="00EC6671"/>
    <w:rsid w:val="00ED2634"/>
    <w:rsid w:val="00ED408D"/>
    <w:rsid w:val="00ED4BF0"/>
    <w:rsid w:val="00ED6924"/>
    <w:rsid w:val="00ED7137"/>
    <w:rsid w:val="00EE191C"/>
    <w:rsid w:val="00EE1CA8"/>
    <w:rsid w:val="00EE23E5"/>
    <w:rsid w:val="00EE2739"/>
    <w:rsid w:val="00EE41F1"/>
    <w:rsid w:val="00EE7EE8"/>
    <w:rsid w:val="00EF00AC"/>
    <w:rsid w:val="00EF0473"/>
    <w:rsid w:val="00EF06A6"/>
    <w:rsid w:val="00EF360B"/>
    <w:rsid w:val="00EF5A43"/>
    <w:rsid w:val="00EF5C3C"/>
    <w:rsid w:val="00EF65CE"/>
    <w:rsid w:val="00F006DF"/>
    <w:rsid w:val="00F03098"/>
    <w:rsid w:val="00F036C6"/>
    <w:rsid w:val="00F036EB"/>
    <w:rsid w:val="00F036FF"/>
    <w:rsid w:val="00F04045"/>
    <w:rsid w:val="00F04EEC"/>
    <w:rsid w:val="00F05DEB"/>
    <w:rsid w:val="00F06DD5"/>
    <w:rsid w:val="00F10B75"/>
    <w:rsid w:val="00F116B8"/>
    <w:rsid w:val="00F1248E"/>
    <w:rsid w:val="00F1261E"/>
    <w:rsid w:val="00F14041"/>
    <w:rsid w:val="00F170B3"/>
    <w:rsid w:val="00F17D53"/>
    <w:rsid w:val="00F205C9"/>
    <w:rsid w:val="00F21088"/>
    <w:rsid w:val="00F23343"/>
    <w:rsid w:val="00F2351E"/>
    <w:rsid w:val="00F23C89"/>
    <w:rsid w:val="00F31BC7"/>
    <w:rsid w:val="00F325FB"/>
    <w:rsid w:val="00F327E7"/>
    <w:rsid w:val="00F32A5F"/>
    <w:rsid w:val="00F33B68"/>
    <w:rsid w:val="00F34229"/>
    <w:rsid w:val="00F34966"/>
    <w:rsid w:val="00F35284"/>
    <w:rsid w:val="00F35746"/>
    <w:rsid w:val="00F36371"/>
    <w:rsid w:val="00F378E0"/>
    <w:rsid w:val="00F41B18"/>
    <w:rsid w:val="00F41EFF"/>
    <w:rsid w:val="00F434C1"/>
    <w:rsid w:val="00F435B3"/>
    <w:rsid w:val="00F443C8"/>
    <w:rsid w:val="00F447C7"/>
    <w:rsid w:val="00F45269"/>
    <w:rsid w:val="00F459C1"/>
    <w:rsid w:val="00F53C8C"/>
    <w:rsid w:val="00F54461"/>
    <w:rsid w:val="00F554A9"/>
    <w:rsid w:val="00F5791E"/>
    <w:rsid w:val="00F6097F"/>
    <w:rsid w:val="00F60CC4"/>
    <w:rsid w:val="00F63A28"/>
    <w:rsid w:val="00F63B76"/>
    <w:rsid w:val="00F67ACF"/>
    <w:rsid w:val="00F716FD"/>
    <w:rsid w:val="00F721B6"/>
    <w:rsid w:val="00F723C9"/>
    <w:rsid w:val="00F7399F"/>
    <w:rsid w:val="00F75C5F"/>
    <w:rsid w:val="00F77634"/>
    <w:rsid w:val="00F80355"/>
    <w:rsid w:val="00F80496"/>
    <w:rsid w:val="00F825E1"/>
    <w:rsid w:val="00F83AF2"/>
    <w:rsid w:val="00F84108"/>
    <w:rsid w:val="00F842F5"/>
    <w:rsid w:val="00F84AEB"/>
    <w:rsid w:val="00F85300"/>
    <w:rsid w:val="00F877F9"/>
    <w:rsid w:val="00F90E2E"/>
    <w:rsid w:val="00F90E98"/>
    <w:rsid w:val="00F91A53"/>
    <w:rsid w:val="00F921F1"/>
    <w:rsid w:val="00F924A5"/>
    <w:rsid w:val="00F92612"/>
    <w:rsid w:val="00F92D3D"/>
    <w:rsid w:val="00F9314E"/>
    <w:rsid w:val="00F93CF0"/>
    <w:rsid w:val="00F94083"/>
    <w:rsid w:val="00F96959"/>
    <w:rsid w:val="00F9729F"/>
    <w:rsid w:val="00FA099F"/>
    <w:rsid w:val="00FA23A7"/>
    <w:rsid w:val="00FA2652"/>
    <w:rsid w:val="00FA308F"/>
    <w:rsid w:val="00FA31C1"/>
    <w:rsid w:val="00FA3AE0"/>
    <w:rsid w:val="00FA6349"/>
    <w:rsid w:val="00FB006C"/>
    <w:rsid w:val="00FB0C81"/>
    <w:rsid w:val="00FB29BF"/>
    <w:rsid w:val="00FB51C8"/>
    <w:rsid w:val="00FB58E9"/>
    <w:rsid w:val="00FB5FA0"/>
    <w:rsid w:val="00FB65A4"/>
    <w:rsid w:val="00FB6D9A"/>
    <w:rsid w:val="00FB72C9"/>
    <w:rsid w:val="00FC0AE1"/>
    <w:rsid w:val="00FC1D05"/>
    <w:rsid w:val="00FC2200"/>
    <w:rsid w:val="00FC2540"/>
    <w:rsid w:val="00FC3C08"/>
    <w:rsid w:val="00FC4D76"/>
    <w:rsid w:val="00FC5DE0"/>
    <w:rsid w:val="00FD0D67"/>
    <w:rsid w:val="00FD1864"/>
    <w:rsid w:val="00FD1BF9"/>
    <w:rsid w:val="00FD1E87"/>
    <w:rsid w:val="00FD2741"/>
    <w:rsid w:val="00FD2E81"/>
    <w:rsid w:val="00FD3DCC"/>
    <w:rsid w:val="00FD583D"/>
    <w:rsid w:val="00FE088F"/>
    <w:rsid w:val="00FE0F74"/>
    <w:rsid w:val="00FE3364"/>
    <w:rsid w:val="00FE6A06"/>
    <w:rsid w:val="00FE758C"/>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903999B2-C6E3-41BF-8077-4795FCBC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68</TotalTime>
  <Pages>9</Pages>
  <Words>3310</Words>
  <Characters>18871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UNMFS</Company>
  <LinksUpToDate>false</LinksUpToDate>
  <CharactersWithSpaces>22137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creator>RSR KM</dc:creator>
  <cp:keywords>, docId:B29F5CCACE26A8039A39A0910F63EFDF</cp:keywords>
  <cp:lastModifiedBy>Angela Xue He Yan</cp:lastModifiedBy>
  <cp:revision>9</cp:revision>
  <cp:lastPrinted>2026-06-09T15:23:00Z</cp:lastPrinted>
  <dcterms:created xsi:type="dcterms:W3CDTF">2026-06-08T19:44:00Z</dcterms:created>
  <dcterms:modified xsi:type="dcterms:W3CDTF">2026-06-09T15:23:00Z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UNEP/OzL.Pro/ExCom/98/48</vt:lpwstr>
  </property>
  <property fmtid="{D5CDD505-2E9C-101B-9397-08002B2CF9AE}" pid="3" name="Revision date">
    <vt:lpwstr>5/28/2026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