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7C2631">
        <w:trPr>
          <w:trHeight w:val="720"/>
        </w:trPr>
        <w:tc>
          <w:tcPr>
            <w:tcW w:w="6494" w:type="dxa"/>
            <w:gridSpan w:val="2"/>
            <w:tcBorders>
              <w:bottom w:val="single" w:sz="18" w:space="0" w:color="auto"/>
            </w:tcBorders>
          </w:tcPr>
          <w:p w:rsidR="0087455A" w:rsidRPr="007C2631" w:rsidRDefault="0024162E">
            <w:pPr>
              <w:rPr>
                <w:rFonts w:ascii="Univers" w:hAnsi="Univers"/>
                <w:b/>
                <w:sz w:val="28"/>
                <w:szCs w:val="28"/>
                <w:lang w:val="es-ES"/>
              </w:rPr>
            </w:pPr>
            <w:r w:rsidRPr="007C2631">
              <w:rPr>
                <w:rFonts w:ascii="Univers" w:hAnsi="Univers"/>
                <w:b/>
                <w:sz w:val="28"/>
                <w:szCs w:val="28"/>
                <w:lang w:val="es-ES"/>
              </w:rPr>
              <w:t>NACIONES</w:t>
            </w:r>
          </w:p>
          <w:p w:rsidR="0087455A" w:rsidRPr="007C2631" w:rsidRDefault="0024162E">
            <w:pPr>
              <w:rPr>
                <w:rFonts w:ascii="Univers" w:hAnsi="Univers"/>
                <w:b/>
                <w:sz w:val="28"/>
                <w:szCs w:val="28"/>
                <w:lang w:val="es-ES"/>
              </w:rPr>
            </w:pPr>
            <w:r w:rsidRPr="007C2631">
              <w:rPr>
                <w:rFonts w:ascii="Univers" w:hAnsi="Univers"/>
                <w:b/>
                <w:sz w:val="28"/>
                <w:szCs w:val="28"/>
                <w:lang w:val="es-ES"/>
              </w:rPr>
              <w:t>UNIDAS</w:t>
            </w:r>
          </w:p>
        </w:tc>
        <w:tc>
          <w:tcPr>
            <w:tcW w:w="4590" w:type="dxa"/>
            <w:tcBorders>
              <w:bottom w:val="single" w:sz="18" w:space="0" w:color="auto"/>
            </w:tcBorders>
          </w:tcPr>
          <w:p w:rsidR="0087455A" w:rsidRPr="007C2631" w:rsidRDefault="0024162E">
            <w:pPr>
              <w:jc w:val="right"/>
              <w:rPr>
                <w:rFonts w:asciiTheme="minorBidi" w:hAnsiTheme="minorBidi" w:cstheme="minorBidi"/>
                <w:sz w:val="52"/>
                <w:szCs w:val="52"/>
                <w:lang w:val="es-ES"/>
              </w:rPr>
            </w:pPr>
            <w:r w:rsidRPr="007C2631">
              <w:rPr>
                <w:rFonts w:asciiTheme="minorBidi" w:hAnsiTheme="minorBidi" w:cstheme="minorBidi"/>
                <w:b/>
                <w:sz w:val="72"/>
                <w:lang w:val="es-ES"/>
              </w:rPr>
              <w:t>EP</w:t>
            </w:r>
          </w:p>
        </w:tc>
      </w:tr>
      <w:tr w:rsidR="0087455A" w:rsidRPr="009F51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87455A" w:rsidRPr="007C2631" w:rsidRDefault="0024162E">
            <w:pPr>
              <w:spacing w:before="120"/>
              <w:rPr>
                <w:lang w:val="es-ES"/>
              </w:rPr>
            </w:pPr>
            <w:r w:rsidRPr="007C2631">
              <w:rPr>
                <w:noProof/>
                <w:lang w:val="en-US"/>
              </w:rPr>
              <w:drawing>
                <wp:anchor distT="0" distB="0" distL="114300" distR="114300" simplePos="0" relativeHeight="251660288" behindDoc="0" locked="0" layoutInCell="1" allowOverlap="1" wp14:anchorId="0076CFBC" wp14:editId="690C1997">
                  <wp:simplePos x="0" y="0"/>
                  <wp:positionH relativeFrom="column">
                    <wp:posOffset>30431</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7C2631">
              <w:rPr>
                <w:noProof/>
                <w:lang w:val="en-US"/>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rsidR="0087455A" w:rsidRPr="007C263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rsidR="0087455A" w:rsidRPr="007C263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C2631">
              <w:rPr>
                <w:rFonts w:ascii="Univers" w:hAnsi="Univers"/>
                <w:b/>
                <w:sz w:val="32"/>
                <w:lang w:val="es-ES"/>
              </w:rPr>
              <w:t>Programa de las</w:t>
            </w:r>
          </w:p>
          <w:p w:rsidR="0087455A" w:rsidRPr="007C263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C2631">
              <w:rPr>
                <w:rFonts w:ascii="Univers" w:hAnsi="Univers"/>
                <w:b/>
                <w:sz w:val="32"/>
                <w:lang w:val="es-ES"/>
              </w:rPr>
              <w:t>Naciones Unidas</w:t>
            </w:r>
          </w:p>
          <w:p w:rsidR="0087455A" w:rsidRPr="007C263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C2631">
              <w:rPr>
                <w:rFonts w:ascii="Univers" w:hAnsi="Univers"/>
                <w:b/>
                <w:sz w:val="32"/>
                <w:lang w:val="es-ES"/>
              </w:rPr>
              <w:t>para el Medio Ambiente</w:t>
            </w:r>
          </w:p>
          <w:p w:rsidR="0087455A" w:rsidRPr="007C2631"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rsidR="0087455A" w:rsidRPr="007C2631" w:rsidRDefault="0087455A">
            <w:pPr>
              <w:spacing w:before="720"/>
              <w:ind w:left="158"/>
              <w:rPr>
                <w:lang w:val="es-ES"/>
              </w:rPr>
            </w:pPr>
          </w:p>
        </w:tc>
        <w:tc>
          <w:tcPr>
            <w:tcW w:w="4590" w:type="dxa"/>
            <w:tcBorders>
              <w:top w:val="nil"/>
              <w:left w:val="nil"/>
              <w:bottom w:val="single" w:sz="36" w:space="0" w:color="auto"/>
              <w:right w:val="nil"/>
            </w:tcBorders>
          </w:tcPr>
          <w:p w:rsidR="0087455A" w:rsidRPr="007C2631" w:rsidRDefault="0087455A">
            <w:pPr>
              <w:rPr>
                <w:lang w:val="es-ES"/>
              </w:rPr>
            </w:pPr>
          </w:p>
          <w:p w:rsidR="0087455A" w:rsidRPr="007C2631" w:rsidRDefault="0024162E">
            <w:pPr>
              <w:rPr>
                <w:lang w:val="es-ES"/>
              </w:rPr>
            </w:pPr>
            <w:proofErr w:type="spellStart"/>
            <w:r w:rsidRPr="007C2631">
              <w:rPr>
                <w:lang w:val="es-ES"/>
              </w:rPr>
              <w:t>Distr</w:t>
            </w:r>
            <w:proofErr w:type="spellEnd"/>
            <w:r w:rsidRPr="007C2631">
              <w:rPr>
                <w:lang w:val="es-ES"/>
              </w:rPr>
              <w:t>.</w:t>
            </w:r>
          </w:p>
          <w:p w:rsidR="0087455A" w:rsidRPr="007C2631" w:rsidRDefault="0024162E">
            <w:pPr>
              <w:rPr>
                <w:lang w:val="es-ES"/>
              </w:rPr>
            </w:pPr>
            <w:r w:rsidRPr="007C2631">
              <w:rPr>
                <w:lang w:val="es-ES"/>
              </w:rPr>
              <w:t>GENERAL</w:t>
            </w:r>
          </w:p>
          <w:p w:rsidR="0087455A" w:rsidRPr="007C2631" w:rsidRDefault="0087455A">
            <w:pPr>
              <w:rPr>
                <w:lang w:val="es-ES"/>
              </w:rPr>
            </w:pPr>
          </w:p>
          <w:p w:rsidR="0087455A" w:rsidRPr="007C2631" w:rsidRDefault="0024162E">
            <w:pPr>
              <w:rPr>
                <w:lang w:val="es-ES"/>
              </w:rPr>
            </w:pPr>
            <w:r w:rsidRPr="007C2631">
              <w:rPr>
                <w:lang w:val="es-ES"/>
              </w:rPr>
              <w:fldChar w:fldCharType="begin"/>
            </w:r>
            <w:r w:rsidRPr="007C2631">
              <w:rPr>
                <w:lang w:val="es-ES"/>
              </w:rPr>
              <w:instrText xml:space="preserve"> DOCPROPERTY "Document number"  \* MERGEFORMAT </w:instrText>
            </w:r>
            <w:r w:rsidRPr="007C2631">
              <w:rPr>
                <w:lang w:val="es-ES"/>
              </w:rPr>
              <w:fldChar w:fldCharType="separate"/>
            </w:r>
            <w:r w:rsidR="008F18DC">
              <w:rPr>
                <w:lang w:val="es-ES"/>
              </w:rPr>
              <w:t>UNEP/</w:t>
            </w:r>
            <w:proofErr w:type="spellStart"/>
            <w:r w:rsidR="008F18DC">
              <w:rPr>
                <w:lang w:val="es-ES"/>
              </w:rPr>
              <w:t>OzL.Pro</w:t>
            </w:r>
            <w:proofErr w:type="spellEnd"/>
            <w:r w:rsidR="008F18DC">
              <w:rPr>
                <w:lang w:val="es-ES"/>
              </w:rPr>
              <w:t>/</w:t>
            </w:r>
            <w:proofErr w:type="spellStart"/>
            <w:r w:rsidR="008F18DC">
              <w:rPr>
                <w:lang w:val="es-ES"/>
              </w:rPr>
              <w:t>ExCom</w:t>
            </w:r>
            <w:proofErr w:type="spellEnd"/>
            <w:r w:rsidR="008F18DC">
              <w:rPr>
                <w:lang w:val="es-ES"/>
              </w:rPr>
              <w:t>/86/15</w:t>
            </w:r>
            <w:r w:rsidRPr="007C2631">
              <w:rPr>
                <w:lang w:val="es-ES"/>
              </w:rPr>
              <w:fldChar w:fldCharType="end"/>
            </w:r>
          </w:p>
          <w:p w:rsidR="0087455A" w:rsidRPr="007C2631" w:rsidRDefault="001C2D22" w:rsidP="00F10CD9">
            <w:pPr>
              <w:rPr>
                <w:caps/>
                <w:lang w:val="es-ES"/>
              </w:rPr>
            </w:pPr>
            <w:r w:rsidRPr="007C2631">
              <w:rPr>
                <w:caps/>
                <w:lang w:val="es-ES"/>
              </w:rPr>
              <w:t>2</w:t>
            </w:r>
            <w:r w:rsidR="00C40E04" w:rsidRPr="007C2631">
              <w:rPr>
                <w:caps/>
                <w:lang w:val="es-ES"/>
              </w:rPr>
              <w:t>3</w:t>
            </w:r>
            <w:r w:rsidR="00114CAA" w:rsidRPr="007C2631">
              <w:rPr>
                <w:caps/>
                <w:lang w:val="es-ES"/>
              </w:rPr>
              <w:t xml:space="preserve"> </w:t>
            </w:r>
            <w:r w:rsidR="00114CAA" w:rsidRPr="007C2631">
              <w:rPr>
                <w:lang w:val="es-ES"/>
              </w:rPr>
              <w:t xml:space="preserve">de </w:t>
            </w:r>
            <w:r w:rsidR="00B83FFA" w:rsidRPr="007C2631">
              <w:rPr>
                <w:lang w:val="es-ES"/>
              </w:rPr>
              <w:t>octubre</w:t>
            </w:r>
            <w:r w:rsidR="00114CAA" w:rsidRPr="007C2631">
              <w:rPr>
                <w:lang w:val="es-ES"/>
              </w:rPr>
              <w:t xml:space="preserve"> de </w:t>
            </w:r>
            <w:r w:rsidRPr="007C2631">
              <w:rPr>
                <w:caps/>
                <w:lang w:val="es-ES"/>
              </w:rPr>
              <w:t>20</w:t>
            </w:r>
            <w:r w:rsidR="00C40E04" w:rsidRPr="007C2631">
              <w:rPr>
                <w:caps/>
                <w:lang w:val="es-ES"/>
              </w:rPr>
              <w:t>20</w:t>
            </w:r>
          </w:p>
          <w:p w:rsidR="00114CAA" w:rsidRPr="007C2631" w:rsidRDefault="00114CAA">
            <w:pPr>
              <w:rPr>
                <w:caps/>
                <w:lang w:val="es-ES"/>
              </w:rPr>
            </w:pPr>
          </w:p>
          <w:p w:rsidR="0087455A" w:rsidRPr="007C2631" w:rsidRDefault="0024162E">
            <w:pPr>
              <w:rPr>
                <w:lang w:val="es-ES"/>
              </w:rPr>
            </w:pPr>
            <w:r w:rsidRPr="007C2631">
              <w:rPr>
                <w:lang w:val="es-ES"/>
              </w:rPr>
              <w:t xml:space="preserve">ESPAÑOL </w:t>
            </w:r>
          </w:p>
          <w:p w:rsidR="0087455A" w:rsidRPr="007C2631" w:rsidRDefault="0024162E">
            <w:pPr>
              <w:rPr>
                <w:lang w:val="es-ES"/>
              </w:rPr>
            </w:pPr>
            <w:r w:rsidRPr="007C2631">
              <w:rPr>
                <w:lang w:val="es-ES"/>
              </w:rPr>
              <w:t>ORIGINAL: INGLÉS</w:t>
            </w:r>
          </w:p>
        </w:tc>
      </w:tr>
    </w:tbl>
    <w:p w:rsidR="0087455A" w:rsidRPr="007C2631" w:rsidRDefault="0024162E">
      <w:pPr>
        <w:jc w:val="left"/>
        <w:rPr>
          <w:lang w:val="es-ES"/>
        </w:rPr>
      </w:pPr>
      <w:r w:rsidRPr="007C2631">
        <w:rPr>
          <w:lang w:val="es-ES"/>
        </w:rPr>
        <w:t>COMITÉ EJECUTIVO DEL FONDO MULTILATERAL</w:t>
      </w:r>
      <w:r w:rsidRPr="007C2631">
        <w:rPr>
          <w:lang w:val="es-ES"/>
        </w:rPr>
        <w:br/>
        <w:t xml:space="preserve">  PARA LA APLICACIÓN DEL</w:t>
      </w:r>
      <w:r w:rsidRPr="007C2631">
        <w:rPr>
          <w:lang w:val="es-ES"/>
        </w:rPr>
        <w:br/>
        <w:t xml:space="preserve">  PROTOCOLO DE MONTREAL</w:t>
      </w:r>
    </w:p>
    <w:p w:rsidR="00106F6E" w:rsidRPr="007C2631" w:rsidRDefault="00106F6E" w:rsidP="001F4047">
      <w:pPr>
        <w:jc w:val="left"/>
        <w:rPr>
          <w:lang w:val="es-ES"/>
        </w:rPr>
      </w:pPr>
      <w:r w:rsidRPr="007C2631">
        <w:rPr>
          <w:lang w:val="es-ES"/>
        </w:rPr>
        <w:t xml:space="preserve">Octogésima </w:t>
      </w:r>
      <w:r w:rsidR="006915A5" w:rsidRPr="007C2631">
        <w:rPr>
          <w:lang w:val="es-ES"/>
        </w:rPr>
        <w:t>sexta</w:t>
      </w:r>
      <w:r w:rsidR="003863A4" w:rsidRPr="007C2631">
        <w:rPr>
          <w:lang w:val="es-ES"/>
        </w:rPr>
        <w:t xml:space="preserve"> Reunión</w:t>
      </w:r>
      <w:r w:rsidR="003863A4" w:rsidRPr="007C2631">
        <w:rPr>
          <w:lang w:val="es-ES"/>
        </w:rPr>
        <w:br/>
        <w:t xml:space="preserve">Montreal, </w:t>
      </w:r>
      <w:r w:rsidR="0092685B" w:rsidRPr="007C2631">
        <w:rPr>
          <w:lang w:val="es-ES"/>
        </w:rPr>
        <w:t>2</w:t>
      </w:r>
      <w:r w:rsidR="003863A4" w:rsidRPr="007C2631">
        <w:rPr>
          <w:lang w:val="es-ES"/>
        </w:rPr>
        <w:t xml:space="preserve"> </w:t>
      </w:r>
      <w:r w:rsidRPr="007C2631">
        <w:rPr>
          <w:lang w:val="es-ES"/>
        </w:rPr>
        <w:t xml:space="preserve">– </w:t>
      </w:r>
      <w:r w:rsidR="00B83FFA" w:rsidRPr="007C2631">
        <w:rPr>
          <w:lang w:val="es-ES"/>
        </w:rPr>
        <w:t>6</w:t>
      </w:r>
      <w:r w:rsidRPr="007C2631">
        <w:rPr>
          <w:lang w:val="es-ES"/>
        </w:rPr>
        <w:t xml:space="preserve"> de </w:t>
      </w:r>
      <w:r w:rsidR="00B83FFA" w:rsidRPr="007C2631">
        <w:rPr>
          <w:lang w:val="es-ES"/>
        </w:rPr>
        <w:t>noviembre</w:t>
      </w:r>
      <w:r w:rsidR="001C2D22" w:rsidRPr="007C2631">
        <w:rPr>
          <w:lang w:val="es-ES"/>
        </w:rPr>
        <w:t xml:space="preserve"> de 20</w:t>
      </w:r>
      <w:r w:rsidR="0092685B" w:rsidRPr="007C2631">
        <w:rPr>
          <w:lang w:val="es-ES"/>
        </w:rPr>
        <w:t>20</w:t>
      </w:r>
    </w:p>
    <w:p w:rsidR="0092685B" w:rsidRPr="007C2631" w:rsidRDefault="00C40E04" w:rsidP="001F4047">
      <w:pPr>
        <w:jc w:val="left"/>
        <w:rPr>
          <w:lang w:val="es-ES"/>
        </w:rPr>
      </w:pPr>
      <w:r w:rsidRPr="007C2631">
        <w:rPr>
          <w:lang w:val="es-ES"/>
        </w:rPr>
        <w:t xml:space="preserve">Pospuesta: </w:t>
      </w:r>
      <w:r w:rsidR="00B83FFA" w:rsidRPr="007C2631">
        <w:rPr>
          <w:lang w:val="es-ES"/>
        </w:rPr>
        <w:t>8</w:t>
      </w:r>
      <w:r w:rsidRPr="007C2631">
        <w:rPr>
          <w:lang w:val="es-ES"/>
        </w:rPr>
        <w:t xml:space="preserve"> – </w:t>
      </w:r>
      <w:r w:rsidR="00B83FFA" w:rsidRPr="007C2631">
        <w:rPr>
          <w:lang w:val="es-ES"/>
        </w:rPr>
        <w:t>1</w:t>
      </w:r>
      <w:r w:rsidRPr="007C2631">
        <w:rPr>
          <w:lang w:val="es-ES"/>
        </w:rPr>
        <w:t xml:space="preserve">2 de </w:t>
      </w:r>
      <w:r w:rsidR="00B83FFA" w:rsidRPr="007C2631">
        <w:rPr>
          <w:lang w:val="es-ES"/>
        </w:rPr>
        <w:t>marzo</w:t>
      </w:r>
      <w:r w:rsidRPr="007C2631">
        <w:rPr>
          <w:lang w:val="es-ES"/>
        </w:rPr>
        <w:t xml:space="preserve"> de 202</w:t>
      </w:r>
      <w:r w:rsidR="00B83FFA" w:rsidRPr="007C2631">
        <w:rPr>
          <w:lang w:val="es-ES"/>
        </w:rPr>
        <w:t>1</w:t>
      </w:r>
      <w:r w:rsidR="0069717E" w:rsidRPr="007C2631">
        <w:rPr>
          <w:rStyle w:val="FootnoteReference"/>
          <w:lang w:val="es-ES"/>
        </w:rPr>
        <w:footnoteReference w:id="1"/>
      </w:r>
    </w:p>
    <w:p w:rsidR="00106F6E" w:rsidRPr="007C2631" w:rsidRDefault="00106F6E" w:rsidP="00106F6E">
      <w:pPr>
        <w:jc w:val="left"/>
        <w:rPr>
          <w:lang w:val="es-ES"/>
        </w:rPr>
      </w:pPr>
    </w:p>
    <w:p w:rsidR="0087455A" w:rsidRPr="007C2631" w:rsidRDefault="0087455A">
      <w:pPr>
        <w:jc w:val="left"/>
        <w:rPr>
          <w:lang w:val="es-ES"/>
        </w:rPr>
      </w:pPr>
    </w:p>
    <w:p w:rsidR="0087455A" w:rsidRPr="007C2631" w:rsidRDefault="0087455A">
      <w:pPr>
        <w:pStyle w:val="Heading3"/>
        <w:numPr>
          <w:ilvl w:val="0"/>
          <w:numId w:val="0"/>
        </w:numPr>
        <w:spacing w:after="0"/>
        <w:rPr>
          <w:lang w:val="es-ES"/>
        </w:rPr>
      </w:pPr>
    </w:p>
    <w:p w:rsidR="0069717E" w:rsidRPr="007C2631" w:rsidRDefault="008F18DC" w:rsidP="0069717E">
      <w:pPr>
        <w:pStyle w:val="Title1"/>
        <w:rPr>
          <w:caps w:val="0"/>
          <w:lang w:val="es-ES"/>
        </w:rPr>
      </w:pPr>
      <w:r w:rsidRPr="007C2631">
        <w:rPr>
          <w:caps w:val="0"/>
          <w:lang w:val="es-ES"/>
        </w:rPr>
        <w:t>INFORME REFUNDIDO SOBRE LA MARCHA DE LAS ACTIVIDADES A 31 DE DICIEMBRE DE 2019</w:t>
      </w:r>
    </w:p>
    <w:p w:rsidR="0069717E" w:rsidRPr="007C2631" w:rsidRDefault="0069717E" w:rsidP="0069717E">
      <w:pPr>
        <w:pStyle w:val="Title1"/>
        <w:rPr>
          <w:caps w:val="0"/>
          <w:lang w:val="es-ES"/>
        </w:rPr>
      </w:pPr>
    </w:p>
    <w:p w:rsidR="0069717E" w:rsidRPr="007C2631" w:rsidRDefault="0069717E" w:rsidP="0069717E">
      <w:pPr>
        <w:pStyle w:val="Heading1"/>
        <w:rPr>
          <w:lang w:val="es-ES"/>
        </w:rPr>
      </w:pPr>
      <w:r w:rsidRPr="007C2631">
        <w:rPr>
          <w:lang w:val="es-ES"/>
        </w:rPr>
        <w:t>En el informe refundido sobre la marcha de las actividades se presenta un resumen de los progresos logrados y la información financiera proporcionada por los organismos bilaterales y de ejecución</w:t>
      </w:r>
      <w:r w:rsidRPr="007C2631">
        <w:rPr>
          <w:vertAlign w:val="superscript"/>
          <w:lang w:val="es-ES"/>
        </w:rPr>
        <w:footnoteReference w:id="2"/>
      </w:r>
      <w:r w:rsidRPr="007C2631">
        <w:rPr>
          <w:lang w:val="es-ES"/>
        </w:rPr>
        <w:t xml:space="preserve"> a 31 de diciembre de 2019 en los respectivos informes sobre la marcha de las actividades</w:t>
      </w:r>
      <w:r w:rsidRPr="007C2631">
        <w:rPr>
          <w:rStyle w:val="FootnoteReference"/>
          <w:lang w:val="es-ES"/>
        </w:rPr>
        <w:footnoteReference w:id="3"/>
      </w:r>
      <w:r w:rsidRPr="007C2631">
        <w:rPr>
          <w:lang w:val="es-ES"/>
        </w:rPr>
        <w:t xml:space="preserve"> presentados a la Secretaría.</w:t>
      </w:r>
    </w:p>
    <w:p w:rsidR="0069717E" w:rsidRPr="007C2631" w:rsidRDefault="0069717E" w:rsidP="0069717E">
      <w:pPr>
        <w:pStyle w:val="Heading1"/>
        <w:rPr>
          <w:lang w:val="es-ES"/>
        </w:rPr>
      </w:pPr>
      <w:r w:rsidRPr="007C2631">
        <w:rPr>
          <w:lang w:val="es-ES"/>
        </w:rPr>
        <w:t>El informe refundido sobre la marcha de las actividades y los informes sobre la marcha de las actividades de los organismos bilaterales y de ejecución incluyen todas las sustancias controladas en el marco del Protocolo de Montreal. Dado que los proyectos y actividades relacionados con los HFC se han financiado bien en el marco de las contribuciones ordinarias al Fondo Multilateral o bien en el marco de las contribuciones voluntarias adicionales de 17 Partes que no operan al amparo del Artículo 5 para proporcionar apoyo a corto plazo para la aplicación de la Enmienda de Kigali,</w:t>
      </w:r>
      <w:r w:rsidRPr="007C2631">
        <w:rPr>
          <w:rStyle w:val="FootnoteReference"/>
          <w:lang w:val="es-ES"/>
        </w:rPr>
        <w:footnoteReference w:id="4"/>
      </w:r>
      <w:r w:rsidRPr="007C2631">
        <w:rPr>
          <w:lang w:val="es-ES"/>
        </w:rPr>
        <w:t xml:space="preserve"> la información relacionada con estos proyectos se presenta por separado, según la fuente de financiación. </w:t>
      </w:r>
    </w:p>
    <w:p w:rsidR="0069717E" w:rsidRPr="008F18DC" w:rsidRDefault="0069717E" w:rsidP="008F18DC">
      <w:pPr>
        <w:keepNext/>
        <w:keepLines/>
        <w:spacing w:after="240"/>
        <w:rPr>
          <w:b/>
          <w:lang w:val="es-ES"/>
        </w:rPr>
      </w:pPr>
      <w:r w:rsidRPr="007C2631">
        <w:rPr>
          <w:b/>
          <w:lang w:val="es-ES"/>
        </w:rPr>
        <w:lastRenderedPageBreak/>
        <w:t>Proceso de examen por parte de la Secretaría</w:t>
      </w:r>
    </w:p>
    <w:p w:rsidR="0069717E" w:rsidRPr="007C2631" w:rsidRDefault="0069717E" w:rsidP="0069717E">
      <w:pPr>
        <w:pStyle w:val="Heading1"/>
        <w:rPr>
          <w:lang w:val="es-ES"/>
        </w:rPr>
      </w:pPr>
      <w:r w:rsidRPr="007C2631">
        <w:rPr>
          <w:lang w:val="es-ES"/>
        </w:rPr>
        <w:t xml:space="preserve">La Secretaría examinó cada uno de los informes anuales sobre la marcha de las actividades presentados por los organismos bilaterales y de ejecución por separado. El examen se basó en los hitos establecidos para los proyectos de inversión y ajenos a la inversión, tales como, entre otros, la firma de acuerdos; la fecha de liberación del primer desembolso; situación de la adquisición e instalación de equipos; situación de los servicios proporcionados, incluida la capacitación de técnicos de refrigeración y funcionarios de aduana; nivel de desembolso de los fondos aprobados; terminación operacional y financiera del proyecto; y devolución de los saldos de fondos. </w:t>
      </w:r>
    </w:p>
    <w:p w:rsidR="0069717E" w:rsidRPr="007C2631" w:rsidRDefault="0069717E" w:rsidP="0069717E">
      <w:pPr>
        <w:pStyle w:val="Heading1"/>
        <w:rPr>
          <w:lang w:val="es-ES"/>
        </w:rPr>
      </w:pPr>
      <w:r w:rsidRPr="007C2631">
        <w:rPr>
          <w:lang w:val="es-ES"/>
        </w:rPr>
        <w:t xml:space="preserve">Durante el proceso de examen, se identificaron posibles cuestiones; entre otras: casos en que no se firmaron acuerdos; casos en que no se había designado a un oficial nacional del ozono; falta de informes sobre la marcha de las actividades financieras; demoras en procesos de adquisición; falta de disponibilidad de tecnologías alternativas en los mercados locales; y cuestiones relacionadas con la seguridad en el ámbito nacional. Todos los proyectos en los que se identificaron cuestiones pendientes tenían bien tasas bajas de desembolso de los fondos aprobados o bien requirieron una prórroga de las fechas de terminación previstas. </w:t>
      </w:r>
    </w:p>
    <w:p w:rsidR="0069717E" w:rsidRPr="007C2631" w:rsidRDefault="0069717E" w:rsidP="0069717E">
      <w:pPr>
        <w:pStyle w:val="Heading1"/>
        <w:rPr>
          <w:lang w:val="es-ES"/>
        </w:rPr>
      </w:pPr>
      <w:r w:rsidRPr="007C2631">
        <w:rPr>
          <w:lang w:val="es-ES"/>
        </w:rPr>
        <w:t>La Secretaría también mantuvo varios intercambios con cada organismo bilateral y de ejecución sobre proyectos y actividades con cuestiones pendientes, y resolvió así satisfactoriamente varias de las cuestiones. Para aquellos proyectos en los que no pudieron resolverse las cuestiones, se discutieron y se acordaron las recomendaciones propuestas por el Comité Ejecutivo para su consideración con los organismos bilaterales o de ejecución pertinentes. Los proyectos para cancelación, los proyectos para los que se ha pedido la prórroga de las fechas de terminación, y los proyectos de fortalecimiento institucional con fases superpuestas se consideran en los documentos principales, mientras que las listas de proyectos</w:t>
      </w:r>
      <w:r w:rsidRPr="007C2631">
        <w:rPr>
          <w:rStyle w:val="FootnoteReference"/>
          <w:lang w:val="es-ES"/>
        </w:rPr>
        <w:footnoteReference w:id="5"/>
      </w:r>
      <w:r w:rsidRPr="007C2631">
        <w:rPr>
          <w:lang w:val="es-ES"/>
        </w:rPr>
        <w:t xml:space="preserve"> con cuestiones pendientes figuran en el Anexo I de cada informe sobre la marcha de las actividades de los organismos bilaterales y de ejecución. Las recomendaciones se considerarán durante los debates acerca del informe sobre la marcha de las actividades de cada uno de los organismos en la 86ª reunión.</w:t>
      </w:r>
    </w:p>
    <w:p w:rsidR="0069717E" w:rsidRPr="007C2631" w:rsidRDefault="0069717E" w:rsidP="0069717E">
      <w:pPr>
        <w:rPr>
          <w:u w:val="single"/>
          <w:lang w:val="es-ES"/>
        </w:rPr>
      </w:pPr>
      <w:r w:rsidRPr="007C2631">
        <w:rPr>
          <w:u w:val="single"/>
          <w:lang w:val="es-ES"/>
        </w:rPr>
        <w:t>Decisiones recientes relacionadas con informes sobre la marcha de las actividades</w:t>
      </w:r>
    </w:p>
    <w:p w:rsidR="0069717E" w:rsidRPr="007C2631" w:rsidRDefault="0069717E" w:rsidP="0069717E">
      <w:pPr>
        <w:rPr>
          <w:lang w:val="es-ES"/>
        </w:rPr>
      </w:pPr>
    </w:p>
    <w:p w:rsidR="0069717E" w:rsidRPr="007C2631" w:rsidRDefault="0069717E" w:rsidP="0069717E">
      <w:pPr>
        <w:pStyle w:val="Heading1"/>
        <w:rPr>
          <w:lang w:val="es-ES"/>
        </w:rPr>
      </w:pPr>
      <w:r w:rsidRPr="007C2631">
        <w:rPr>
          <w:lang w:val="es-ES"/>
        </w:rPr>
        <w:t>En su 84ª reunión, el Comité Ejecutivo examinó el documento UNEP/</w:t>
      </w:r>
      <w:proofErr w:type="spellStart"/>
      <w:r w:rsidRPr="007C2631">
        <w:rPr>
          <w:lang w:val="es-ES"/>
        </w:rPr>
        <w:t>OzL.Pro</w:t>
      </w:r>
      <w:proofErr w:type="spellEnd"/>
      <w:r w:rsidRPr="007C2631">
        <w:rPr>
          <w:lang w:val="es-ES"/>
        </w:rPr>
        <w:t>/</w:t>
      </w:r>
      <w:proofErr w:type="spellStart"/>
      <w:r w:rsidRPr="007C2631">
        <w:rPr>
          <w:lang w:val="es-ES"/>
        </w:rPr>
        <w:t>ExCom</w:t>
      </w:r>
      <w:proofErr w:type="spellEnd"/>
      <w:r w:rsidRPr="007C2631">
        <w:rPr>
          <w:lang w:val="es-ES"/>
        </w:rPr>
        <w:t>/84/16, el Informe refundido sobre la marcha de las actividades a 31 de diciembre de 2018. Tras un debate, el Comité tomó las siguientes decisiones relativas a los informes sobre la marcha de las actividades presentados a la 86ª reunión:</w:t>
      </w:r>
    </w:p>
    <w:p w:rsidR="0069717E" w:rsidRPr="007C2631" w:rsidRDefault="0069717E" w:rsidP="0069717E">
      <w:pPr>
        <w:pStyle w:val="Heading2"/>
        <w:rPr>
          <w:lang w:val="es-ES"/>
        </w:rPr>
      </w:pPr>
      <w:r w:rsidRPr="007C2631">
        <w:rPr>
          <w:lang w:val="es-ES"/>
        </w:rPr>
        <w:t>Medida del tonelaje para los proyectos de HFC (decisión 84/12(a)(iv));</w:t>
      </w:r>
    </w:p>
    <w:p w:rsidR="0069717E" w:rsidRPr="007C2631" w:rsidRDefault="0069717E" w:rsidP="0069717E">
      <w:pPr>
        <w:pStyle w:val="Heading2"/>
        <w:rPr>
          <w:lang w:val="es-ES"/>
        </w:rPr>
      </w:pPr>
      <w:r w:rsidRPr="007C2631">
        <w:rPr>
          <w:lang w:val="es-ES"/>
        </w:rPr>
        <w:t>Informe sobre los proyectos y actividades de HFC financiados con las contribuciones adicionales (decisión 84/12(b) y (c)); y</w:t>
      </w:r>
    </w:p>
    <w:p w:rsidR="0069717E" w:rsidRPr="007C2631" w:rsidRDefault="0069717E" w:rsidP="0069717E">
      <w:pPr>
        <w:pStyle w:val="Heading2"/>
        <w:rPr>
          <w:lang w:val="es-ES"/>
        </w:rPr>
      </w:pPr>
      <w:r w:rsidRPr="007C2631">
        <w:rPr>
          <w:lang w:val="es-ES"/>
        </w:rPr>
        <w:t>Cancelación de componentes de acuerdos plurianuales (decisión 84/45(c)).</w:t>
      </w:r>
    </w:p>
    <w:p w:rsidR="0069717E" w:rsidRPr="007C2631" w:rsidRDefault="0069717E" w:rsidP="0069717E">
      <w:pPr>
        <w:rPr>
          <w:i/>
          <w:lang w:val="es-ES"/>
        </w:rPr>
      </w:pPr>
      <w:r w:rsidRPr="007C2631">
        <w:rPr>
          <w:i/>
          <w:lang w:val="es-ES"/>
        </w:rPr>
        <w:t>Medida del tonelaje para los proyectos de HFC (decisión 84/12(a)(iv))</w:t>
      </w:r>
    </w:p>
    <w:p w:rsidR="0069717E" w:rsidRPr="007C2631" w:rsidRDefault="0069717E" w:rsidP="0069717E">
      <w:pPr>
        <w:rPr>
          <w:lang w:val="es-ES"/>
        </w:rPr>
      </w:pPr>
    </w:p>
    <w:p w:rsidR="0069717E" w:rsidRPr="007C2631" w:rsidRDefault="0069717E" w:rsidP="0069717E">
      <w:pPr>
        <w:pStyle w:val="Heading1"/>
        <w:rPr>
          <w:lang w:val="es-ES"/>
        </w:rPr>
      </w:pPr>
      <w:r w:rsidRPr="007C2631">
        <w:rPr>
          <w:lang w:val="es-ES"/>
        </w:rPr>
        <w:t xml:space="preserve">El Informe refundido sobre la marcha de las actividades a 31 de diciembre de 2018 que se presentó a la 84ª reunión tomó nota de que, antes de la Enmienda de Kigali, todas las sustancias controladas bajo el protocolo de Montreal eran sustancias que agotan la capa de ozono, y sus objetivos de control se medían en </w:t>
      </w:r>
      <w:r w:rsidRPr="007C2631">
        <w:rPr>
          <w:lang w:val="es-ES"/>
        </w:rPr>
        <w:lastRenderedPageBreak/>
        <w:t xml:space="preserve">toneladas PAO; no obstante, las sustancias controladas en virtud de la Enmienda de Kigali no son sustancias que agotan la capa de ozono, y sus objetivos de control se miden en </w:t>
      </w:r>
      <w:proofErr w:type="spellStart"/>
      <w:r w:rsidRPr="007C2631">
        <w:rPr>
          <w:lang w:val="es-ES"/>
        </w:rPr>
        <w:t>tm</w:t>
      </w:r>
      <w:proofErr w:type="spellEnd"/>
      <w:r w:rsidRPr="007C2631">
        <w:rPr>
          <w:lang w:val="es-ES"/>
        </w:rPr>
        <w:t xml:space="preserve"> de </w:t>
      </w:r>
      <w:proofErr w:type="spellStart"/>
      <w:r w:rsidRPr="007C2631">
        <w:rPr>
          <w:lang w:val="es-ES"/>
        </w:rPr>
        <w:t>eq</w:t>
      </w:r>
      <w:proofErr w:type="spellEnd"/>
      <w:r w:rsidRPr="007C2631">
        <w:rPr>
          <w:lang w:val="es-ES"/>
        </w:rPr>
        <w:t>. de CO</w:t>
      </w:r>
      <w:r w:rsidRPr="007C2631">
        <w:rPr>
          <w:vertAlign w:val="subscript"/>
          <w:lang w:val="es-ES"/>
        </w:rPr>
        <w:t>2</w:t>
      </w:r>
      <w:r w:rsidRPr="007C2631">
        <w:rPr>
          <w:lang w:val="es-ES"/>
        </w:rPr>
        <w:t>.</w:t>
      </w:r>
      <w:r w:rsidRPr="007C2631">
        <w:rPr>
          <w:rStyle w:val="FootnoteReference"/>
          <w:lang w:val="es-ES"/>
        </w:rPr>
        <w:footnoteReference w:id="6"/>
      </w:r>
      <w:r w:rsidRPr="007C2631">
        <w:rPr>
          <w:lang w:val="es-ES"/>
        </w:rPr>
        <w:t xml:space="preserve"> Independientemente de las dos medidas diferentes para la notificación de las sustancias controladas, los informes sobre la marcha de las actividades que se presentaron a la 84ª reunión se basaban en toneladas PAO para todas las sustancias controladas. Para abordar esta cuestión, la Secretaría propuso revisar el formato para permitir la presentación de informes con ambos tipos de medidas (es decir, "toneladas PAO y </w:t>
      </w:r>
      <w:proofErr w:type="spellStart"/>
      <w:r w:rsidRPr="007C2631">
        <w:rPr>
          <w:lang w:val="es-ES"/>
        </w:rPr>
        <w:t>tm</w:t>
      </w:r>
      <w:proofErr w:type="spellEnd"/>
      <w:r w:rsidRPr="007C2631">
        <w:rPr>
          <w:lang w:val="es-ES"/>
        </w:rPr>
        <w:t xml:space="preserve"> de </w:t>
      </w:r>
      <w:proofErr w:type="spellStart"/>
      <w:r w:rsidRPr="007C2631">
        <w:rPr>
          <w:lang w:val="es-ES"/>
        </w:rPr>
        <w:t>eq</w:t>
      </w:r>
      <w:proofErr w:type="spellEnd"/>
      <w:r w:rsidRPr="007C2631">
        <w:rPr>
          <w:lang w:val="es-ES"/>
        </w:rPr>
        <w:t>. de CO</w:t>
      </w:r>
      <w:r w:rsidRPr="007C2631">
        <w:rPr>
          <w:vertAlign w:val="subscript"/>
          <w:lang w:val="es-ES"/>
        </w:rPr>
        <w:t>2</w:t>
      </w:r>
      <w:r w:rsidRPr="007C2631">
        <w:rPr>
          <w:lang w:val="es-ES"/>
        </w:rPr>
        <w:t xml:space="preserve">") del informe sobre la marcha de las actividades a 31 de diciembre de 2019. </w:t>
      </w:r>
    </w:p>
    <w:p w:rsidR="0069717E" w:rsidRPr="007C2631" w:rsidRDefault="0069717E" w:rsidP="0069717E">
      <w:pPr>
        <w:pStyle w:val="Heading1"/>
        <w:widowControl w:val="0"/>
        <w:rPr>
          <w:lang w:val="es-ES"/>
        </w:rPr>
      </w:pPr>
      <w:r w:rsidRPr="007C2631">
        <w:rPr>
          <w:lang w:val="es-ES"/>
        </w:rPr>
        <w:t xml:space="preserve">Tras un debate, el Comité Ejecutivo tomó nota de que la Secretaría, en cooperación con los organismos bilaterales y de ejecución, revisaría la base de datos del informe sobre la marcha de las actividades mediante la incorporación de una medida de las toneladas métricas de </w:t>
      </w:r>
      <w:proofErr w:type="spellStart"/>
      <w:r w:rsidRPr="007C2631">
        <w:rPr>
          <w:lang w:val="es-ES"/>
        </w:rPr>
        <w:t>eq</w:t>
      </w:r>
      <w:proofErr w:type="spellEnd"/>
      <w:r w:rsidRPr="007C2631">
        <w:rPr>
          <w:lang w:val="es-ES"/>
        </w:rPr>
        <w:t>. de CO</w:t>
      </w:r>
      <w:r w:rsidRPr="007C2631">
        <w:rPr>
          <w:vertAlign w:val="subscript"/>
          <w:lang w:val="es-ES"/>
        </w:rPr>
        <w:t>2</w:t>
      </w:r>
      <w:r w:rsidRPr="007C2631">
        <w:rPr>
          <w:lang w:val="es-ES"/>
        </w:rPr>
        <w:t xml:space="preserve"> para las sustancias del Anexo F, y notificaría dichos valores en los informes sobre la marcha de las actividades presentados a la 88ª reunión y también en todos los futuros informes sobre la marcha de las actividades (decisión 84/12(a)(iv)). </w:t>
      </w:r>
    </w:p>
    <w:p w:rsidR="0069717E" w:rsidRPr="007C2631" w:rsidRDefault="0069717E" w:rsidP="0069717E">
      <w:pPr>
        <w:pStyle w:val="Heading1"/>
        <w:rPr>
          <w:lang w:val="es-ES"/>
        </w:rPr>
      </w:pPr>
      <w:r w:rsidRPr="007C2631">
        <w:rPr>
          <w:lang w:val="es-ES"/>
        </w:rPr>
        <w:t xml:space="preserve">A la luz de la decisión 84/12(a)(iv), el informe refundido sobre la marcha de las actividades y los informes sobre la marcha de las actividades de los organismos bilaterales y de ejecución a 31 de diciembre de 2019 presentados a la reunión 86ª se basan en toneladas PAO para todas las sustancias controladas. </w:t>
      </w:r>
    </w:p>
    <w:p w:rsidR="0069717E" w:rsidRPr="007C2631" w:rsidRDefault="0069717E" w:rsidP="0069717E">
      <w:pPr>
        <w:pStyle w:val="0Heading0"/>
        <w:jc w:val="both"/>
        <w:rPr>
          <w:i/>
          <w:lang w:val="es-ES"/>
        </w:rPr>
      </w:pPr>
      <w:r w:rsidRPr="007C2631">
        <w:rPr>
          <w:i/>
          <w:lang w:val="es-ES"/>
        </w:rPr>
        <w:t>Informe sobre los proyectos y actividades de HFC financiados con las contribuciones adicionales (decisión 84/12(b) y (c))</w:t>
      </w:r>
    </w:p>
    <w:p w:rsidR="0069717E" w:rsidRPr="007C2631" w:rsidRDefault="0069717E" w:rsidP="0069717E">
      <w:pPr>
        <w:rPr>
          <w:lang w:val="es-ES"/>
        </w:rPr>
      </w:pPr>
    </w:p>
    <w:p w:rsidR="0069717E" w:rsidRPr="007C2631" w:rsidRDefault="0069717E" w:rsidP="0069717E">
      <w:pPr>
        <w:pStyle w:val="Heading1"/>
        <w:rPr>
          <w:lang w:val="es-ES"/>
        </w:rPr>
      </w:pPr>
      <w:r w:rsidRPr="007C2631">
        <w:rPr>
          <w:lang w:val="es-ES"/>
        </w:rPr>
        <w:t>En su 84ª reunión, el Comité Ejecutivo solicitó, entre otras cosas, a la Secretaría que presentara, en la 85ª reunión, un informe adicional sobre los proyectos de inversión relacionados con los HFC y las actividades de apoyo financiadas con cargo a las contribuciones adicionales de un grupo de 17 Partes que no operan al amparo del Artículo 5, en el que se identifiquen los países para los que se habían aprobado proyectos y se presente una reseña de los objetivos, la situación de la ejecución, las conclusiones clave y las lecciones aprendidas, las cantidades de HFC eliminadas si procediera, el nivel de fondos aprobados y desembolsados y las posibles dificultades para completar los proyectos y actividades, en el entendido de que se proporcionaría la información de forma individual para los proyectos de inversión relacionados con los HFC y de forma agregada para las actividades de apoyo relacionadas con los HFC (decisión 84/12(b)).</w:t>
      </w:r>
    </w:p>
    <w:p w:rsidR="0069717E" w:rsidRPr="007C2631" w:rsidRDefault="0069717E" w:rsidP="0069717E">
      <w:pPr>
        <w:pStyle w:val="Heading1"/>
        <w:rPr>
          <w:lang w:val="es-ES"/>
        </w:rPr>
      </w:pPr>
      <w:r w:rsidRPr="007C2631">
        <w:rPr>
          <w:lang w:val="es-ES"/>
        </w:rPr>
        <w:t>En respuesta a la decisión 84/12(b), la Secretaría presentó el informe sobre las actividades relacionadas con los HFC como Parte V del documento UNEP/</w:t>
      </w:r>
      <w:proofErr w:type="spellStart"/>
      <w:r w:rsidRPr="007C2631">
        <w:rPr>
          <w:lang w:val="es-ES"/>
        </w:rPr>
        <w:t>OzL.Pro</w:t>
      </w:r>
      <w:proofErr w:type="spellEnd"/>
      <w:r w:rsidRPr="007C2631">
        <w:rPr>
          <w:lang w:val="es-ES"/>
        </w:rPr>
        <w:t>/</w:t>
      </w:r>
      <w:proofErr w:type="spellStart"/>
      <w:r w:rsidRPr="007C2631">
        <w:rPr>
          <w:lang w:val="es-ES"/>
        </w:rPr>
        <w:t>ExCom</w:t>
      </w:r>
      <w:proofErr w:type="spellEnd"/>
      <w:r w:rsidRPr="007C2631">
        <w:rPr>
          <w:lang w:val="es-ES"/>
        </w:rPr>
        <w:t>/85/9, Informes de situación e informes sobre proyectos con requisitos específicos de presentación de informes, que el Comité Ejecutivo examinó en el proceso de aprobación en el periodo entre sesiones para la reunión 85ª.</w:t>
      </w:r>
      <w:r w:rsidRPr="007C2631">
        <w:rPr>
          <w:rStyle w:val="FootnoteReference"/>
          <w:lang w:val="es-ES"/>
        </w:rPr>
        <w:footnoteReference w:id="7"/>
      </w:r>
      <w:r w:rsidRPr="007C2631">
        <w:rPr>
          <w:lang w:val="es-ES"/>
        </w:rPr>
        <w:t xml:space="preserve"> Posteriormente, el Comité Ejecutivo tomó nota de la información sobre los proyectos de inversión relacionados con los HFC </w:t>
      </w:r>
      <w:r w:rsidRPr="007C2631">
        <w:rPr>
          <w:lang w:val="es-ES"/>
        </w:rPr>
        <w:lastRenderedPageBreak/>
        <w:t>y las actividades de apoyo, presentada por los organismos bilaterales y de ejecución, de conformidad con la decisión 84/12(b).</w:t>
      </w:r>
      <w:r w:rsidRPr="007C2631">
        <w:rPr>
          <w:rStyle w:val="FootnoteReference"/>
          <w:lang w:val="es-ES"/>
        </w:rPr>
        <w:footnoteReference w:id="8"/>
      </w:r>
    </w:p>
    <w:p w:rsidR="0069717E" w:rsidRPr="007C2631" w:rsidRDefault="0069717E" w:rsidP="0069717E">
      <w:pPr>
        <w:pStyle w:val="Heading1"/>
        <w:rPr>
          <w:lang w:val="es-ES"/>
        </w:rPr>
      </w:pPr>
      <w:r w:rsidRPr="007C2631">
        <w:rPr>
          <w:lang w:val="es-ES"/>
        </w:rPr>
        <w:t xml:space="preserve">En su 84ª reunión, el Comité Ejecutivo pidió también a la Secretaría y a los organismos bilaterales y de ejecución que incluyeran la información sobre los proyectos de inversión relacionados con los HFC y las actividades de apoyo financiadas con las contribuciones adicionales en todos los futuros informes refundidos de avance y en los informes individuales sobre la marcha de las actividades, respectivamente, hasta que se terminaran todos los proyectos de inversión relacionados con los HFC y las actividades de apoyo (decisión 84/12(c)). </w:t>
      </w:r>
    </w:p>
    <w:p w:rsidR="0069717E" w:rsidRPr="007C2631" w:rsidRDefault="0069717E" w:rsidP="0069717E">
      <w:pPr>
        <w:pStyle w:val="Heading1"/>
        <w:rPr>
          <w:lang w:val="es-ES"/>
        </w:rPr>
      </w:pPr>
      <w:r w:rsidRPr="007C2631">
        <w:rPr>
          <w:lang w:val="es-ES"/>
        </w:rPr>
        <w:t xml:space="preserve">En respuesta a la decisión 84/12(c), se ha incluido en el presente documento un informe detallado sobre la situación de la ejecución de cada proyecto individual de inversión relacionado con los HFC y un informe global sobre todas las actividades de apoyo de los HFC. En los informes sobre la marcha de las actividades de los organismos bilaterales y de ejecución también se ha incluido información sobre estos proyectos de HFC, independientemente de los proyectos y actividades financiados en el marco del Fondo Multilateral. </w:t>
      </w:r>
    </w:p>
    <w:p w:rsidR="0069717E" w:rsidRPr="007C2631" w:rsidRDefault="0069717E" w:rsidP="0069717E">
      <w:pPr>
        <w:rPr>
          <w:i/>
          <w:lang w:val="es-ES"/>
        </w:rPr>
      </w:pPr>
      <w:r w:rsidRPr="007C2631">
        <w:rPr>
          <w:i/>
          <w:lang w:val="es-ES"/>
        </w:rPr>
        <w:t>Cancelación de componentes de acuerdos plurianuales (decisión 84/45(c))</w:t>
      </w:r>
    </w:p>
    <w:p w:rsidR="0069717E" w:rsidRPr="007C2631" w:rsidRDefault="0069717E" w:rsidP="0069717E">
      <w:pPr>
        <w:rPr>
          <w:lang w:val="es-ES"/>
        </w:rPr>
      </w:pPr>
    </w:p>
    <w:p w:rsidR="0069717E" w:rsidRPr="007C2631" w:rsidRDefault="0069717E" w:rsidP="0069717E">
      <w:pPr>
        <w:pStyle w:val="Heading1"/>
        <w:widowControl w:val="0"/>
        <w:rPr>
          <w:lang w:val="es-ES"/>
        </w:rPr>
      </w:pPr>
      <w:r w:rsidRPr="007C2631">
        <w:rPr>
          <w:lang w:val="es-ES"/>
        </w:rPr>
        <w:t xml:space="preserve">En su 84ª reunión, el Comité Ejecutivo estableció una política y procedimientos asociados para la cancelación de los componentes de acuerdos plurianuales (decisión 84/45(c)). </w:t>
      </w:r>
    </w:p>
    <w:p w:rsidR="0069717E" w:rsidRPr="007C2631" w:rsidRDefault="0069717E" w:rsidP="0069717E">
      <w:pPr>
        <w:pStyle w:val="Heading1"/>
        <w:keepNext/>
        <w:keepLines/>
        <w:widowControl w:val="0"/>
        <w:rPr>
          <w:u w:val="single"/>
          <w:lang w:val="es-ES"/>
        </w:rPr>
      </w:pPr>
      <w:r w:rsidRPr="007C2631">
        <w:rPr>
          <w:lang w:val="es-ES"/>
        </w:rPr>
        <w:t>De conformidad con la decisión 84/45(c), la Secretaría identificó todos los componentes de acuerdos plurianuales con demoras en la ejecución e informó a los organismos bilaterales y de ejecución pertinentes. Las recomendaciones de la Secretaría figuran en el Anexo I de cada informe sobre la marcha de las actividades de los organismos bilaterales y de ejecución.</w:t>
      </w:r>
    </w:p>
    <w:p w:rsidR="0069717E" w:rsidRPr="007C2631" w:rsidRDefault="0069717E" w:rsidP="0069717E">
      <w:pPr>
        <w:pStyle w:val="Heading1"/>
        <w:keepNext/>
        <w:numPr>
          <w:ilvl w:val="0"/>
          <w:numId w:val="0"/>
        </w:numPr>
        <w:rPr>
          <w:u w:val="single"/>
          <w:lang w:val="es-ES"/>
        </w:rPr>
      </w:pPr>
      <w:r w:rsidRPr="007C2631">
        <w:rPr>
          <w:u w:val="single"/>
          <w:lang w:val="es-ES"/>
        </w:rPr>
        <w:t>Alcance del documento</w:t>
      </w:r>
    </w:p>
    <w:p w:rsidR="0069717E" w:rsidRPr="007C2631" w:rsidRDefault="0069717E" w:rsidP="0069717E">
      <w:pPr>
        <w:pStyle w:val="Heading1"/>
        <w:rPr>
          <w:lang w:val="es-ES"/>
        </w:rPr>
      </w:pPr>
      <w:r w:rsidRPr="007C2631">
        <w:rPr>
          <w:lang w:val="es-ES"/>
        </w:rPr>
        <w:t>El presente documento consta de las siguientes partes:</w:t>
      </w:r>
    </w:p>
    <w:p w:rsidR="0069717E" w:rsidRPr="007C2631" w:rsidRDefault="0069717E" w:rsidP="0069717E">
      <w:pPr>
        <w:pStyle w:val="Heading2"/>
        <w:numPr>
          <w:ilvl w:val="0"/>
          <w:numId w:val="0"/>
        </w:numPr>
        <w:adjustRightInd w:val="0"/>
        <w:ind w:left="2160" w:hanging="1440"/>
        <w:textAlignment w:val="baseline"/>
        <w:rPr>
          <w:lang w:val="es-ES"/>
        </w:rPr>
      </w:pPr>
      <w:r w:rsidRPr="007C2631">
        <w:rPr>
          <w:lang w:val="es-ES"/>
        </w:rPr>
        <w:t>Parte I:</w:t>
      </w:r>
      <w:r w:rsidRPr="007C2631">
        <w:rPr>
          <w:lang w:val="es-ES"/>
        </w:rPr>
        <w:tab/>
        <w:t>Proyectos aprobados en el marco de las contribuciones ordinarias al Fondo Multilateral. Se presenta un resumen de los progresos en la ejecución de los proyectos para 2019 y de forma acumulada desde 1991, que incluye todas las sustancias controladas según el Protocolo de Montreal, incluyendo las sustancias del Anexo F (HFC); se ofrece una reseña de la situación de la ejecución de cada proyecto en curso</w:t>
      </w:r>
      <w:r w:rsidRPr="007C2631">
        <w:rPr>
          <w:rStyle w:val="FootnoteReference"/>
          <w:lang w:val="es-ES"/>
        </w:rPr>
        <w:footnoteReference w:id="9"/>
      </w:r>
      <w:r w:rsidRPr="007C2631">
        <w:rPr>
          <w:lang w:val="es-ES"/>
        </w:rPr>
        <w:t xml:space="preserve"> por país; y se señalan los proyectos con demoras en la ejecución y las posibles consecuencias para la eliminación de sustancias controladas, así como proyectos con cuestiones pendientes de examen por el Comité Ejecutivo. </w:t>
      </w:r>
    </w:p>
    <w:p w:rsidR="0069717E" w:rsidRPr="007C2631" w:rsidRDefault="0069717E" w:rsidP="0069717E">
      <w:pPr>
        <w:pStyle w:val="Heading2"/>
        <w:widowControl/>
        <w:numPr>
          <w:ilvl w:val="0"/>
          <w:numId w:val="0"/>
        </w:numPr>
        <w:adjustRightInd w:val="0"/>
        <w:ind w:left="2160" w:hanging="1440"/>
        <w:textAlignment w:val="baseline"/>
        <w:rPr>
          <w:lang w:val="es-ES"/>
        </w:rPr>
      </w:pPr>
      <w:r w:rsidRPr="007C2631">
        <w:rPr>
          <w:lang w:val="es-ES"/>
        </w:rPr>
        <w:t>Parte II:</w:t>
      </w:r>
      <w:r w:rsidRPr="007C2631">
        <w:rPr>
          <w:lang w:val="es-ES"/>
        </w:rPr>
        <w:tab/>
        <w:t>Proyectos aprobados en el marco de las contribuciones voluntarias adicionales destinadas para proporcionar ayuda a corto plazo para la reducción de los HFC. Proporciona un resumen sobre el estado de ejecución de los proyectos de reducción de los HFC financiados con las contribuciones voluntarias.</w:t>
      </w:r>
    </w:p>
    <w:p w:rsidR="0069717E" w:rsidRPr="007C2631" w:rsidRDefault="0069717E" w:rsidP="008F18DC">
      <w:pPr>
        <w:keepNext/>
        <w:keepLines/>
        <w:ind w:firstLine="720"/>
        <w:rPr>
          <w:lang w:val="es-ES"/>
        </w:rPr>
      </w:pPr>
      <w:r w:rsidRPr="007C2631">
        <w:rPr>
          <w:lang w:val="es-ES"/>
        </w:rPr>
        <w:lastRenderedPageBreak/>
        <w:t>Recomendación</w:t>
      </w:r>
    </w:p>
    <w:p w:rsidR="0069717E" w:rsidRPr="007C2631" w:rsidRDefault="0069717E" w:rsidP="0069717E">
      <w:pPr>
        <w:rPr>
          <w:lang w:val="es-ES"/>
        </w:rPr>
      </w:pPr>
    </w:p>
    <w:p w:rsidR="0069717E" w:rsidRPr="007C2631" w:rsidRDefault="0069717E" w:rsidP="0069717E">
      <w:pPr>
        <w:pStyle w:val="Heading1"/>
        <w:rPr>
          <w:lang w:val="es-ES"/>
        </w:rPr>
      </w:pPr>
      <w:r w:rsidRPr="007C2631">
        <w:rPr>
          <w:lang w:val="es-ES"/>
        </w:rPr>
        <w:t>El documento también incluye los anexos siguientes:</w:t>
      </w:r>
    </w:p>
    <w:p w:rsidR="0069717E" w:rsidRPr="007C2631" w:rsidRDefault="0069717E" w:rsidP="0069717E">
      <w:pPr>
        <w:pStyle w:val="Heading1"/>
        <w:numPr>
          <w:ilvl w:val="0"/>
          <w:numId w:val="0"/>
        </w:numPr>
        <w:spacing w:after="0"/>
        <w:ind w:left="2160" w:hanging="1440"/>
        <w:rPr>
          <w:lang w:val="es-ES"/>
        </w:rPr>
      </w:pPr>
      <w:r w:rsidRPr="007C2631">
        <w:rPr>
          <w:lang w:val="es-ES"/>
        </w:rPr>
        <w:t>Anexo I</w:t>
      </w:r>
      <w:r w:rsidRPr="007C2631">
        <w:rPr>
          <w:lang w:val="es-ES"/>
        </w:rPr>
        <w:tab/>
        <w:t>Reseña de los proyectos y actividades relacionados con los HFC, que proporciona una reseña de todos los proyectos y actividades relacionados con los HFC en el marco del Fondo Multilateral, independientemente de la fuente de financiación, por país, indicando la situación de la ratificación de la Enmienda de Kigali y la situación del sistema de concesión de licencias de HFC.</w:t>
      </w:r>
    </w:p>
    <w:p w:rsidR="0069717E" w:rsidRPr="007C2631" w:rsidRDefault="0069717E" w:rsidP="0069717E">
      <w:pPr>
        <w:pStyle w:val="Heading1"/>
        <w:numPr>
          <w:ilvl w:val="0"/>
          <w:numId w:val="0"/>
        </w:numPr>
        <w:spacing w:after="0"/>
        <w:ind w:firstLine="720"/>
        <w:rPr>
          <w:lang w:val="es-ES"/>
        </w:rPr>
      </w:pPr>
    </w:p>
    <w:p w:rsidR="0069717E" w:rsidRPr="007C2631" w:rsidRDefault="0069717E" w:rsidP="0069717E">
      <w:pPr>
        <w:pStyle w:val="Heading1"/>
        <w:numPr>
          <w:ilvl w:val="0"/>
          <w:numId w:val="0"/>
        </w:numPr>
        <w:spacing w:after="0"/>
        <w:ind w:left="2127" w:hanging="1418"/>
        <w:rPr>
          <w:lang w:val="es-ES"/>
        </w:rPr>
      </w:pPr>
      <w:r w:rsidRPr="007C2631">
        <w:rPr>
          <w:lang w:val="es-ES"/>
        </w:rPr>
        <w:t>Anexo II</w:t>
      </w:r>
      <w:r w:rsidRPr="007C2631">
        <w:rPr>
          <w:lang w:val="es-ES"/>
        </w:rPr>
        <w:tab/>
        <w:t>Análisis del informe refundido sobre la marcha de las actividades, que proporciona información agregada desde la creación del Fondo Multilateral hasta el 31 de diciembre de 2019, dividido en dos partes: Parte I, Proyectos aprobados en el marco de las contribuciones ordinarias al Fondo Multilateral; y Parte II, Proyectos aprobados en el marco de las contribuciones voluntarias adicionales destinadas a proporcionar ayuda a corto plazo para la reducción de los HFC.</w:t>
      </w:r>
    </w:p>
    <w:p w:rsidR="0069717E" w:rsidRPr="007C2631" w:rsidRDefault="0069717E" w:rsidP="0069717E">
      <w:pPr>
        <w:rPr>
          <w:lang w:val="es-ES"/>
        </w:rPr>
      </w:pPr>
    </w:p>
    <w:p w:rsidR="0069717E" w:rsidRPr="007C2631" w:rsidRDefault="0069717E" w:rsidP="0069717E">
      <w:pPr>
        <w:ind w:left="2160" w:hanging="1440"/>
        <w:rPr>
          <w:lang w:val="es-ES"/>
        </w:rPr>
      </w:pPr>
      <w:r w:rsidRPr="007C2631">
        <w:rPr>
          <w:lang w:val="es-ES"/>
        </w:rPr>
        <w:t>Anexo III</w:t>
      </w:r>
      <w:r w:rsidRPr="007C2631">
        <w:rPr>
          <w:lang w:val="es-ES"/>
        </w:rPr>
        <w:tab/>
        <w:t>Informe sobre los proyectos de inversión relacionados con los HFC y las actividades de apoyo financiadas con las contribuciones adicionales de un grupo de 17 Partes que no operan al amparo del Artículo 5, que proporciona un informe exhaustivo sobre la marcha de las actividades de los HFC financiadas con las contribuciones adicionales, de conformidad con la decisión 84/12(b) y (c).</w:t>
      </w:r>
    </w:p>
    <w:p w:rsidR="0069717E" w:rsidRPr="007C2631" w:rsidRDefault="0069717E" w:rsidP="0069717E">
      <w:pPr>
        <w:widowControl w:val="0"/>
        <w:ind w:left="2160" w:hanging="1440"/>
        <w:rPr>
          <w:lang w:val="es-ES"/>
        </w:rPr>
      </w:pPr>
    </w:p>
    <w:p w:rsidR="0069717E" w:rsidRPr="007C2631" w:rsidRDefault="0069717E" w:rsidP="0069717E">
      <w:pPr>
        <w:pStyle w:val="Heading1"/>
        <w:widowControl w:val="0"/>
        <w:rPr>
          <w:lang w:val="es-ES"/>
        </w:rPr>
      </w:pPr>
      <w:r w:rsidRPr="007C2631">
        <w:rPr>
          <w:lang w:val="es-ES"/>
        </w:rPr>
        <w:t xml:space="preserve">Los informes sobre la marcha de las actividades de los organismos bilaterales y de ejecución no incluyen ninguna cuestión de política para que su consideración por el Comité Ejecutivo. Tampoco se identificaron cuestiones de política en el proceso de examen de los informes sobre la marcha de las actividades que llevó a cabo la Secretaría. </w:t>
      </w:r>
    </w:p>
    <w:p w:rsidR="0069717E" w:rsidRPr="007C2631" w:rsidRDefault="0069717E" w:rsidP="0069717E">
      <w:pPr>
        <w:pStyle w:val="sub-title"/>
        <w:keepNext/>
        <w:keepLines/>
        <w:ind w:left="1411" w:hanging="1411"/>
        <w:rPr>
          <w:caps/>
          <w:noProof w:val="0"/>
          <w:lang w:val="es-ES"/>
        </w:rPr>
      </w:pPr>
      <w:r w:rsidRPr="007C2631">
        <w:rPr>
          <w:caps/>
          <w:noProof w:val="0"/>
          <w:lang w:val="es-ES"/>
        </w:rPr>
        <w:t xml:space="preserve">Parte I: </w:t>
      </w:r>
      <w:r w:rsidRPr="007C2631">
        <w:rPr>
          <w:caps/>
          <w:noProof w:val="0"/>
          <w:lang w:val="es-ES"/>
        </w:rPr>
        <w:tab/>
        <w:t>Proyectos aprobados en el marco de las contribuciones ordinarias al Fondo Multilateral</w:t>
      </w:r>
    </w:p>
    <w:p w:rsidR="0069717E" w:rsidRPr="007C2631" w:rsidRDefault="0069717E" w:rsidP="0069717E">
      <w:pPr>
        <w:keepNext/>
        <w:rPr>
          <w:lang w:val="es-ES"/>
        </w:rPr>
      </w:pPr>
    </w:p>
    <w:p w:rsidR="0069717E" w:rsidRPr="007C2631" w:rsidRDefault="0069717E" w:rsidP="0069717E">
      <w:pPr>
        <w:rPr>
          <w:b/>
          <w:lang w:val="es-ES"/>
        </w:rPr>
      </w:pPr>
      <w:r w:rsidRPr="007C2631">
        <w:rPr>
          <w:b/>
          <w:lang w:val="es-ES"/>
        </w:rPr>
        <w:t>Resumen de los avances en la ejecución de proyectos para 2019 y total acumulado</w:t>
      </w:r>
    </w:p>
    <w:p w:rsidR="0069717E" w:rsidRPr="007C2631" w:rsidRDefault="0069717E" w:rsidP="0069717E">
      <w:pPr>
        <w:pStyle w:val="Heading1"/>
        <w:numPr>
          <w:ilvl w:val="0"/>
          <w:numId w:val="0"/>
        </w:numPr>
        <w:spacing w:after="0"/>
        <w:rPr>
          <w:lang w:val="es-ES"/>
        </w:rPr>
      </w:pPr>
    </w:p>
    <w:p w:rsidR="0069717E" w:rsidRPr="007C2631" w:rsidRDefault="0069717E" w:rsidP="0069717E">
      <w:pPr>
        <w:pStyle w:val="Heading1"/>
        <w:rPr>
          <w:lang w:val="es-ES"/>
        </w:rPr>
      </w:pPr>
      <w:r w:rsidRPr="007C2631">
        <w:rPr>
          <w:lang w:val="es-ES"/>
        </w:rPr>
        <w:t xml:space="preserve">La ejecución de proyectos y actividades por los organismos bilaterales y de ejecución para 2019 y acumulada desde 1991 hasta el 31 de diciembre de 2019 inclusive se resume como se indica a continuación: </w:t>
      </w:r>
    </w:p>
    <w:p w:rsidR="0069717E" w:rsidRPr="007C2631" w:rsidRDefault="0069717E" w:rsidP="0069717E">
      <w:pPr>
        <w:pStyle w:val="Heading2"/>
        <w:rPr>
          <w:lang w:val="es-ES"/>
        </w:rPr>
      </w:pPr>
      <w:r w:rsidRPr="007C2631">
        <w:rPr>
          <w:b/>
          <w:bCs/>
          <w:lang w:val="es-ES"/>
        </w:rPr>
        <w:t>Eliminación:</w:t>
      </w:r>
      <w:r w:rsidRPr="007C2631">
        <w:rPr>
          <w:rStyle w:val="FootnoteReference"/>
          <w:bCs/>
          <w:lang w:val="es-ES"/>
        </w:rPr>
        <w:footnoteReference w:id="10"/>
      </w:r>
      <w:r w:rsidRPr="007C2631">
        <w:rPr>
          <w:lang w:val="es-ES"/>
        </w:rPr>
        <w:t xml:space="preserve"> En 2019 se eliminaron 2.680,5 toneladas PAO de consumo de sustancias controladas y fueron aprobadas para eliminación otras 401 toneladas PAO de consumo de sustancias controladas. Desde 1991, se habían eliminado 288.028 toneladas PAO de consumo y 205.377 toneladas PAO de producción de sustancias controladas, de un total previsto de 467.583 toneladas PAO de proyectos aprobados (excluidos los proyectos cancelados y transferidos);</w:t>
      </w:r>
    </w:p>
    <w:p w:rsidR="0069717E" w:rsidRPr="007C2631" w:rsidRDefault="0069717E" w:rsidP="0069717E">
      <w:pPr>
        <w:pStyle w:val="Heading2"/>
        <w:rPr>
          <w:lang w:val="es-ES"/>
        </w:rPr>
      </w:pPr>
      <w:r w:rsidRPr="007C2631">
        <w:rPr>
          <w:b/>
          <w:bCs/>
          <w:lang w:val="es-ES"/>
        </w:rPr>
        <w:t>Desembolsos y aprobaciones:</w:t>
      </w:r>
      <w:r w:rsidRPr="007C2631">
        <w:rPr>
          <w:lang w:val="es-ES"/>
        </w:rPr>
        <w:t xml:space="preserve"> En 2019 se desembolsaron 78,96 millones de $EUA y se planificó un desembolso de 76,13 millones de $EUA en base a los informes sobre la marcha de las actividades de 2018, lo que representa una tasa de desembolso del 104 por ciento de lo previsto. Del total de 3.320 millones de $EUA aprobado para su desembolso (con exclusión de los gastos de apoyo del organismo), se había desembolsado un monto acumulado de 3.080 millones de $EUA, lo que representa una tasa de desembolso del 93 por ciento. En 2019 se aprobaron 54,29 millones de $EUA para ejecución;</w:t>
      </w:r>
    </w:p>
    <w:p w:rsidR="0069717E" w:rsidRPr="007C2631" w:rsidRDefault="0069717E" w:rsidP="0069717E">
      <w:pPr>
        <w:pStyle w:val="Heading2"/>
        <w:rPr>
          <w:lang w:val="es-ES"/>
        </w:rPr>
      </w:pPr>
      <w:r w:rsidRPr="007C2631">
        <w:rPr>
          <w:b/>
          <w:lang w:val="es-ES"/>
        </w:rPr>
        <w:lastRenderedPageBreak/>
        <w:t>Relación de costo a eficacia (en PAO):</w:t>
      </w:r>
      <w:r w:rsidRPr="007C2631">
        <w:rPr>
          <w:rStyle w:val="FootnoteReference"/>
          <w:bCs/>
          <w:lang w:val="es-ES"/>
        </w:rPr>
        <w:footnoteReference w:id="11"/>
      </w:r>
      <w:r w:rsidRPr="007C2631">
        <w:rPr>
          <w:b/>
          <w:lang w:val="es-ES"/>
        </w:rPr>
        <w:t xml:space="preserve"> </w:t>
      </w:r>
      <w:r w:rsidRPr="007C2631">
        <w:rPr>
          <w:lang w:val="es-ES"/>
        </w:rPr>
        <w:t>Desde el año 1991, la relación de costo a eficacia media de los proyectos de inversión aprobados que permitieron lograr una reducción permanente del consumo fue de 8,31 $EUA/kg. La relación de costo a eficacia para el sector de producción fue de 4,62 $EUA/kg. La relación de costo a eficacia media de los proyectos de inversión por tonelada PAO fue de 4,77 $EUA/kg para proyectos aprobados y de 57,94 $EUA/kg para proyectos en curso;</w:t>
      </w:r>
      <w:r w:rsidRPr="007C2631">
        <w:rPr>
          <w:rStyle w:val="FootnoteReference"/>
          <w:lang w:val="es-ES"/>
        </w:rPr>
        <w:footnoteReference w:id="12"/>
      </w:r>
    </w:p>
    <w:p w:rsidR="0069717E" w:rsidRPr="007C2631" w:rsidRDefault="0069717E" w:rsidP="0069717E">
      <w:pPr>
        <w:pStyle w:val="Heading2"/>
        <w:rPr>
          <w:lang w:val="es-ES"/>
        </w:rPr>
      </w:pPr>
      <w:r w:rsidRPr="007C2631">
        <w:rPr>
          <w:b/>
          <w:bCs/>
          <w:lang w:val="es-ES"/>
        </w:rPr>
        <w:t>Número de proyectos finalizados:</w:t>
      </w:r>
      <w:r w:rsidRPr="007C2631">
        <w:rPr>
          <w:lang w:val="es-ES"/>
        </w:rPr>
        <w:t xml:space="preserve"> En 2019, se finalizaron 202 proyectos. Desde 1991, se terminaron 7.636 proyectos de los 8.406 proyectos financiados por el Fondo Multilateral (excluidos los proyectos cerrados o transferidos), lo que representa una tasa de terminación del 91 por ciento;</w:t>
      </w:r>
    </w:p>
    <w:p w:rsidR="0069717E" w:rsidRPr="007C2631" w:rsidRDefault="0069717E" w:rsidP="0069717E">
      <w:pPr>
        <w:pStyle w:val="Heading2"/>
        <w:rPr>
          <w:lang w:val="es-ES"/>
        </w:rPr>
      </w:pPr>
      <w:r w:rsidRPr="007C2631">
        <w:rPr>
          <w:b/>
          <w:lang w:val="es-ES"/>
        </w:rPr>
        <w:t xml:space="preserve">Velocidad de ejecución - proyectos de inversión: </w:t>
      </w:r>
      <w:r w:rsidRPr="007C2631">
        <w:rPr>
          <w:lang w:val="es-ES"/>
        </w:rPr>
        <w:t>Los proyectos terminados en 2019 finalizaron en un promedio de 55 meses desde su aprobación. Desde 1991, el tiempo promedio transcurrido hasta la terminación de los proyectos de inversión ha sido de 37 meses después de su aprobación. Los primeros desembolsos de estos proyectos se efectuaron, como promedio, 14 meses después de ser aprobados;</w:t>
      </w:r>
    </w:p>
    <w:p w:rsidR="0069717E" w:rsidRPr="007C2631" w:rsidRDefault="0069717E" w:rsidP="0069717E">
      <w:pPr>
        <w:pStyle w:val="Heading2"/>
        <w:rPr>
          <w:lang w:val="es-ES"/>
        </w:rPr>
      </w:pPr>
      <w:r w:rsidRPr="007C2631">
        <w:rPr>
          <w:b/>
          <w:lang w:val="es-ES"/>
        </w:rPr>
        <w:t>Velocidad de ejecución - proyectos ajenos a la inversión:</w:t>
      </w:r>
      <w:r w:rsidRPr="007C2631">
        <w:rPr>
          <w:lang w:val="es-ES"/>
        </w:rPr>
        <w:t xml:space="preserve"> Los proyectos terminados en 2019 finalizaron en un promedio de 40 meses desde su aprobación. Desde 1991, el tiempo promedio para la terminación de proyectos ajenos a la inversión ha sido de 38 meses después de su aprobación. Los primeros desembolsos de estos proyectos se efectuaron, como promedio, 12 meses después de ser aprobados; </w:t>
      </w:r>
    </w:p>
    <w:p w:rsidR="0069717E" w:rsidRPr="007C2631" w:rsidRDefault="0069717E" w:rsidP="0069717E">
      <w:pPr>
        <w:pStyle w:val="Heading2"/>
        <w:keepNext/>
        <w:keepLines/>
        <w:rPr>
          <w:lang w:val="es-ES"/>
        </w:rPr>
      </w:pPr>
      <w:r w:rsidRPr="007C2631">
        <w:rPr>
          <w:b/>
          <w:bCs/>
          <w:lang w:val="es-ES"/>
        </w:rPr>
        <w:t xml:space="preserve">Preparación de proyectos: </w:t>
      </w:r>
      <w:r w:rsidRPr="007C2631">
        <w:rPr>
          <w:lang w:val="es-ES"/>
        </w:rPr>
        <w:t>De las 1.727 actividades de reparación de proyectos aprobadas a fines de 2019, se han terminado 1.593, y quedan 134 actividades en marcha. En 2019, se aprobaron 60 actividades de preparación de proyectos y se terminaron cuatro;</w:t>
      </w:r>
    </w:p>
    <w:p w:rsidR="0069717E" w:rsidRPr="007C2631" w:rsidRDefault="0069717E" w:rsidP="0069717E">
      <w:pPr>
        <w:pStyle w:val="Heading2"/>
        <w:rPr>
          <w:lang w:val="es-ES"/>
        </w:rPr>
      </w:pPr>
      <w:r w:rsidRPr="007C2631">
        <w:rPr>
          <w:b/>
          <w:bCs/>
          <w:lang w:val="es-ES"/>
        </w:rPr>
        <w:t>Demoras de ejecución:</w:t>
      </w:r>
      <w:r w:rsidRPr="007C2631">
        <w:rPr>
          <w:lang w:val="es-ES"/>
        </w:rPr>
        <w:t xml:space="preserve"> Un total de 770 proyectos estaban en ejecución a fines de 2019, con una demora promedio de 22 meses. Noventa y cuatro de dichos proyectos se clasifican como "proyectos con demoras en la ejecución"</w:t>
      </w:r>
      <w:r w:rsidRPr="007C2631">
        <w:rPr>
          <w:rStyle w:val="FootnoteReference"/>
          <w:lang w:val="es-ES"/>
        </w:rPr>
        <w:footnoteReference w:id="13"/>
      </w:r>
      <w:r w:rsidRPr="007C2631">
        <w:rPr>
          <w:lang w:val="es-ES"/>
        </w:rPr>
        <w:t xml:space="preserve"> que están sujetos a los procedimientos de cancelación de proyectos (los proyectos de demostración, la preparación de proyectos y el fortalecimiento institucional no están sujetos a dichos procedimientos); y</w:t>
      </w:r>
    </w:p>
    <w:p w:rsidR="0069717E" w:rsidRPr="007C2631" w:rsidRDefault="0069717E" w:rsidP="0069717E">
      <w:pPr>
        <w:pStyle w:val="Heading2"/>
        <w:rPr>
          <w:lang w:val="es-ES"/>
        </w:rPr>
      </w:pPr>
      <w:r w:rsidRPr="007C2631">
        <w:rPr>
          <w:b/>
          <w:lang w:val="es-ES"/>
        </w:rPr>
        <w:t>Acuerdos plurianuales</w:t>
      </w:r>
      <w:r w:rsidRPr="007C2631">
        <w:rPr>
          <w:lang w:val="es-ES"/>
        </w:rPr>
        <w:t xml:space="preserve">: En 2019, había en ejecución un acuerdo plurianual para un plan de eliminación de SAO, un acuerdo plurianual para la producción de </w:t>
      </w:r>
      <w:proofErr w:type="spellStart"/>
      <w:r w:rsidRPr="007C2631">
        <w:rPr>
          <w:lang w:val="es-ES"/>
        </w:rPr>
        <w:t>metilbromuro</w:t>
      </w:r>
      <w:proofErr w:type="spellEnd"/>
      <w:r w:rsidRPr="007C2631">
        <w:rPr>
          <w:lang w:val="es-ES"/>
        </w:rPr>
        <w:t xml:space="preserve"> y 152 acuerdos plurianuales para planes de gestión de eliminación de los HCFC. Desde 1991, se han aprobado 361 acuerdos plurianuales y se terminaron 207 de tales acuerdos, lo que supone una tasa de terminación del 57 por ciento. </w:t>
      </w:r>
    </w:p>
    <w:p w:rsidR="0069717E" w:rsidRPr="009F5138" w:rsidRDefault="0069717E" w:rsidP="008F18DC">
      <w:pPr>
        <w:pStyle w:val="a--"/>
        <w:keepNext/>
        <w:keepLines/>
        <w:suppressAutoHyphens w:val="0"/>
        <w:spacing w:after="240"/>
        <w:rPr>
          <w:b w:val="0"/>
          <w:sz w:val="22"/>
          <w:szCs w:val="22"/>
          <w:lang w:val="es-AR"/>
        </w:rPr>
      </w:pPr>
      <w:r w:rsidRPr="007C2631">
        <w:rPr>
          <w:sz w:val="22"/>
          <w:szCs w:val="22"/>
        </w:rPr>
        <w:lastRenderedPageBreak/>
        <w:t>Avance en la ejecución de proyectos en 2019</w:t>
      </w:r>
    </w:p>
    <w:p w:rsidR="0069717E" w:rsidRPr="007C2631" w:rsidRDefault="0069717E" w:rsidP="0069717E">
      <w:pPr>
        <w:pStyle w:val="Heading1"/>
        <w:rPr>
          <w:lang w:val="es-ES"/>
        </w:rPr>
      </w:pPr>
      <w:r w:rsidRPr="007C2631">
        <w:rPr>
          <w:lang w:val="es-ES"/>
        </w:rPr>
        <w:t>Sobre la base de las fechas de terminación previstas notificadas en el informe sobre la marcha de las actividades de 2018 y los resultados notificados en los informes sobre la marcha de las actividades de 2019, los organismos bilaterales y de ejecución terminaron el 57 por ciento de los proyectos cuya terminación se había previsto en 2019, lo que representa el 9 por ciento del objetivo de eliminación previsto.</w:t>
      </w:r>
      <w:r w:rsidRPr="007C2631">
        <w:rPr>
          <w:snapToGrid w:val="0"/>
          <w:lang w:val="es-ES"/>
        </w:rPr>
        <w:t xml:space="preserve"> </w:t>
      </w:r>
      <w:r w:rsidRPr="007C2631">
        <w:rPr>
          <w:lang w:val="es-ES"/>
        </w:rPr>
        <w:t xml:space="preserve">Considerando que 189 de los 476 proyectos en curso (excluidos los proyectos de fortalecimiento institucional y la preparación de proyectos) han sufrido demoras desde el informe sobre la marcha de las actividades de 2018, se pidieron informes adicionales para abordar todos los impedimentos que ocasionaron las demoras. </w:t>
      </w:r>
    </w:p>
    <w:p w:rsidR="0069717E" w:rsidRPr="007C2631" w:rsidRDefault="0069717E" w:rsidP="0069717E">
      <w:pPr>
        <w:pStyle w:val="Heading1"/>
        <w:rPr>
          <w:lang w:val="es-ES"/>
        </w:rPr>
      </w:pPr>
      <w:r w:rsidRPr="007C2631">
        <w:rPr>
          <w:lang w:val="es-ES"/>
        </w:rPr>
        <w:t>Los organismos de bilaterales y de ejecución lograron una tasa de desembolso general del 104 por ciento en 2019.</w:t>
      </w:r>
      <w:r w:rsidRPr="007C2631">
        <w:rPr>
          <w:snapToGrid w:val="0"/>
          <w:lang w:val="es-ES"/>
        </w:rPr>
        <w:t xml:space="preserve"> Por país/región, 69 países (incluidas regiones) tuvieron una tasa de desembolso de más del 85 por ciento, mientras que 32 países tuvieron una tasa de desembolso inferior al 50 por ciento. </w:t>
      </w:r>
    </w:p>
    <w:p w:rsidR="0069717E" w:rsidRPr="007C2631" w:rsidRDefault="0069717E" w:rsidP="0069717E">
      <w:pPr>
        <w:pStyle w:val="Heading1"/>
        <w:rPr>
          <w:lang w:val="es-ES"/>
        </w:rPr>
      </w:pPr>
      <w:r w:rsidRPr="007C2631">
        <w:rPr>
          <w:lang w:val="es-ES"/>
        </w:rPr>
        <w:t>En total, los organismos bilaterales y de ejecución deberán informar a la 87ª reunión sobre 94 proyectos en curso con demoras en la ejecución y 55 proyectos o tramos en curso de acuerdos plurianuales recomendados para informes de situación.</w:t>
      </w:r>
    </w:p>
    <w:p w:rsidR="0069717E" w:rsidRPr="007C2631" w:rsidRDefault="0069717E" w:rsidP="0069717E">
      <w:pPr>
        <w:pStyle w:val="Heading1"/>
        <w:rPr>
          <w:lang w:val="es-ES"/>
        </w:rPr>
      </w:pPr>
      <w:r w:rsidRPr="007C2631">
        <w:rPr>
          <w:lang w:val="es-ES"/>
        </w:rPr>
        <w:t>En el Apéndice I del Anexo II se facilita información sobre la ejecución de proyectos por país en 2019, y en el Apéndice II del Anexo II se presenta un resumen de la financiación total aprobada y desembolsada para actividades de planes de gestión de eliminación de los HCFC por país.</w:t>
      </w:r>
    </w:p>
    <w:p w:rsidR="0069717E" w:rsidRPr="007C2631" w:rsidRDefault="0069717E" w:rsidP="0069717E">
      <w:pPr>
        <w:pStyle w:val="Heading1"/>
        <w:keepNext/>
        <w:keepLines/>
        <w:numPr>
          <w:ilvl w:val="0"/>
          <w:numId w:val="0"/>
        </w:numPr>
        <w:ind w:left="1418" w:hanging="1418"/>
        <w:rPr>
          <w:b/>
          <w:caps/>
          <w:lang w:val="es-ES"/>
        </w:rPr>
      </w:pPr>
      <w:r w:rsidRPr="007C2631">
        <w:rPr>
          <w:b/>
          <w:caps/>
          <w:lang w:val="es-ES"/>
        </w:rPr>
        <w:t>Parte II:</w:t>
      </w:r>
      <w:r w:rsidRPr="007C2631">
        <w:rPr>
          <w:b/>
          <w:caps/>
          <w:lang w:val="es-ES"/>
        </w:rPr>
        <w:tab/>
        <w:t>Proyectos aprobados con cargo a las contribuciones voluntarias adicionales para proporcionar ayuda a corto plazo para la reducción de los HFC.</w:t>
      </w:r>
    </w:p>
    <w:p w:rsidR="0069717E" w:rsidRPr="007C2631" w:rsidRDefault="0069717E" w:rsidP="0069717E">
      <w:pPr>
        <w:pStyle w:val="Heading1"/>
        <w:rPr>
          <w:lang w:val="es-ES"/>
        </w:rPr>
      </w:pPr>
      <w:r w:rsidRPr="007C2631">
        <w:rPr>
          <w:lang w:val="es-ES"/>
        </w:rPr>
        <w:t xml:space="preserve">A 31 de diciembre de 2019, el Comité Ejecutivo había aprobado 144 proyectos relacionados con los HFC con cargo a las contribuciones voluntarias adicionales por un valor de 23,94 millones de $EUA (excluidos los gastos de apoyo de los organismos). El estado de situación de estos proyectos se resume en el cuadro 1. </w:t>
      </w:r>
    </w:p>
    <w:p w:rsidR="0069717E" w:rsidRPr="007C2631" w:rsidRDefault="0069717E" w:rsidP="0069717E">
      <w:pPr>
        <w:pStyle w:val="Heading1"/>
        <w:keepNext/>
        <w:keepLines/>
        <w:numPr>
          <w:ilvl w:val="0"/>
          <w:numId w:val="0"/>
        </w:numPr>
        <w:spacing w:after="0"/>
        <w:rPr>
          <w:b/>
          <w:lang w:val="es-ES"/>
        </w:rPr>
      </w:pPr>
      <w:r w:rsidRPr="007C2631">
        <w:rPr>
          <w:b/>
          <w:lang w:val="es-ES"/>
        </w:rPr>
        <w:t>Cuadro 1. Estado de los proyectos aprobados relacionados con los HFC a finales de 2019</w:t>
      </w:r>
    </w:p>
    <w:tbl>
      <w:tblPr>
        <w:tblW w:w="9630" w:type="dxa"/>
        <w:tblInd w:w="-5" w:type="dxa"/>
        <w:tblLayout w:type="fixed"/>
        <w:tblLook w:val="04A0" w:firstRow="1" w:lastRow="0" w:firstColumn="1" w:lastColumn="0" w:noHBand="0" w:noVBand="1"/>
      </w:tblPr>
      <w:tblGrid>
        <w:gridCol w:w="1620"/>
        <w:gridCol w:w="1080"/>
        <w:gridCol w:w="1170"/>
        <w:gridCol w:w="1170"/>
        <w:gridCol w:w="990"/>
        <w:gridCol w:w="1350"/>
        <w:gridCol w:w="978"/>
        <w:gridCol w:w="1272"/>
      </w:tblGrid>
      <w:tr w:rsidR="0069717E" w:rsidRPr="007C2631" w:rsidTr="006C6B34">
        <w:trPr>
          <w:trHeight w:val="157"/>
          <w:tblHeader/>
        </w:trPr>
        <w:tc>
          <w:tcPr>
            <w:tcW w:w="1620" w:type="dxa"/>
            <w:vMerge w:val="restart"/>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69717E" w:rsidRPr="007C2631" w:rsidRDefault="0069717E" w:rsidP="0069717E">
            <w:pPr>
              <w:keepNext/>
              <w:keepLines/>
              <w:jc w:val="left"/>
              <w:rPr>
                <w:b/>
                <w:bCs/>
                <w:sz w:val="20"/>
                <w:szCs w:val="20"/>
                <w:lang w:val="es-ES"/>
              </w:rPr>
            </w:pPr>
            <w:r w:rsidRPr="007C2631">
              <w:rPr>
                <w:b/>
                <w:bCs/>
                <w:sz w:val="20"/>
                <w:szCs w:val="20"/>
                <w:lang w:val="es-ES"/>
              </w:rPr>
              <w:t>Tipo</w:t>
            </w:r>
          </w:p>
        </w:tc>
        <w:tc>
          <w:tcPr>
            <w:tcW w:w="3420" w:type="dxa"/>
            <w:gridSpan w:val="3"/>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rsidR="0069717E" w:rsidRPr="007C2631" w:rsidRDefault="0069717E" w:rsidP="0069717E">
            <w:pPr>
              <w:keepNext/>
              <w:keepLines/>
              <w:jc w:val="center"/>
              <w:rPr>
                <w:b/>
                <w:bCs/>
                <w:sz w:val="20"/>
                <w:szCs w:val="20"/>
                <w:lang w:val="es-ES"/>
              </w:rPr>
            </w:pPr>
            <w:r w:rsidRPr="007C2631">
              <w:rPr>
                <w:b/>
                <w:bCs/>
                <w:sz w:val="20"/>
                <w:szCs w:val="20"/>
                <w:lang w:val="es-ES"/>
              </w:rPr>
              <w:t>Número de proyectos</w:t>
            </w:r>
          </w:p>
        </w:tc>
        <w:tc>
          <w:tcPr>
            <w:tcW w:w="4590" w:type="dxa"/>
            <w:gridSpan w:val="4"/>
            <w:tcBorders>
              <w:top w:val="single" w:sz="4" w:space="0" w:color="auto"/>
              <w:left w:val="nil"/>
              <w:bottom w:val="single" w:sz="4" w:space="0" w:color="auto"/>
              <w:right w:val="single" w:sz="4" w:space="0" w:color="auto"/>
            </w:tcBorders>
            <w:shd w:val="clear" w:color="auto" w:fill="auto"/>
            <w:noWrap/>
            <w:tcMar>
              <w:left w:w="58" w:type="dxa"/>
              <w:right w:w="58" w:type="dxa"/>
            </w:tcMar>
            <w:hideMark/>
          </w:tcPr>
          <w:p w:rsidR="0069717E" w:rsidRPr="007C2631" w:rsidRDefault="0069717E" w:rsidP="0069717E">
            <w:pPr>
              <w:keepNext/>
              <w:keepLines/>
              <w:jc w:val="center"/>
              <w:rPr>
                <w:b/>
                <w:bCs/>
                <w:sz w:val="20"/>
                <w:szCs w:val="20"/>
                <w:lang w:val="es-ES"/>
              </w:rPr>
            </w:pPr>
            <w:r w:rsidRPr="007C2631">
              <w:rPr>
                <w:b/>
                <w:bCs/>
                <w:sz w:val="20"/>
                <w:szCs w:val="20"/>
                <w:lang w:val="es-ES"/>
              </w:rPr>
              <w:t>Financiación ($EUA)*</w:t>
            </w:r>
          </w:p>
        </w:tc>
      </w:tr>
      <w:tr w:rsidR="0069717E" w:rsidRPr="007C2631" w:rsidTr="006C6B34">
        <w:trPr>
          <w:trHeight w:val="160"/>
          <w:tblHeader/>
        </w:trPr>
        <w:tc>
          <w:tcPr>
            <w:tcW w:w="1620" w:type="dxa"/>
            <w:vMerge/>
            <w:tcBorders>
              <w:top w:val="single" w:sz="4" w:space="0" w:color="auto"/>
              <w:left w:val="single" w:sz="4" w:space="0" w:color="auto"/>
              <w:bottom w:val="single" w:sz="4" w:space="0" w:color="auto"/>
              <w:right w:val="single" w:sz="4" w:space="0" w:color="auto"/>
            </w:tcBorders>
            <w:tcMar>
              <w:left w:w="58" w:type="dxa"/>
              <w:right w:w="58" w:type="dxa"/>
            </w:tcMar>
            <w:hideMark/>
          </w:tcPr>
          <w:p w:rsidR="0069717E" w:rsidRPr="007C2631" w:rsidRDefault="0069717E" w:rsidP="0069717E">
            <w:pPr>
              <w:keepNext/>
              <w:keepLines/>
              <w:jc w:val="left"/>
              <w:rPr>
                <w:b/>
                <w:bCs/>
                <w:sz w:val="20"/>
                <w:szCs w:val="20"/>
                <w:lang w:val="es-ES" w:eastAsia="en-CA"/>
              </w:rPr>
            </w:pPr>
          </w:p>
        </w:tc>
        <w:tc>
          <w:tcPr>
            <w:tcW w:w="1080" w:type="dxa"/>
            <w:tcBorders>
              <w:top w:val="nil"/>
              <w:left w:val="nil"/>
              <w:bottom w:val="single" w:sz="4" w:space="0" w:color="auto"/>
              <w:right w:val="single" w:sz="4" w:space="0" w:color="auto"/>
            </w:tcBorders>
            <w:shd w:val="clear" w:color="auto" w:fill="auto"/>
            <w:tcMar>
              <w:left w:w="58" w:type="dxa"/>
              <w:right w:w="58" w:type="dxa"/>
            </w:tcMar>
            <w:hideMark/>
          </w:tcPr>
          <w:p w:rsidR="0069717E" w:rsidRPr="007C2631" w:rsidRDefault="0069717E" w:rsidP="0069717E">
            <w:pPr>
              <w:keepNext/>
              <w:keepLines/>
              <w:jc w:val="center"/>
              <w:rPr>
                <w:b/>
                <w:bCs/>
                <w:sz w:val="20"/>
                <w:szCs w:val="20"/>
                <w:lang w:val="es-ES"/>
              </w:rPr>
            </w:pPr>
            <w:r w:rsidRPr="007C2631">
              <w:rPr>
                <w:b/>
                <w:bCs/>
                <w:sz w:val="20"/>
                <w:szCs w:val="20"/>
                <w:lang w:val="es-ES"/>
              </w:rPr>
              <w:t>Aprobados</w:t>
            </w:r>
          </w:p>
        </w:tc>
        <w:tc>
          <w:tcPr>
            <w:tcW w:w="1170" w:type="dxa"/>
            <w:tcBorders>
              <w:top w:val="nil"/>
              <w:left w:val="nil"/>
              <w:bottom w:val="single" w:sz="4" w:space="0" w:color="auto"/>
              <w:right w:val="single" w:sz="4" w:space="0" w:color="auto"/>
            </w:tcBorders>
            <w:shd w:val="clear" w:color="auto" w:fill="auto"/>
            <w:tcMar>
              <w:left w:w="58" w:type="dxa"/>
              <w:right w:w="58" w:type="dxa"/>
            </w:tcMar>
            <w:hideMark/>
          </w:tcPr>
          <w:p w:rsidR="0069717E" w:rsidRPr="007C2631" w:rsidRDefault="0069717E" w:rsidP="0069717E">
            <w:pPr>
              <w:keepNext/>
              <w:keepLines/>
              <w:jc w:val="center"/>
              <w:rPr>
                <w:b/>
                <w:bCs/>
                <w:sz w:val="20"/>
                <w:szCs w:val="20"/>
                <w:lang w:val="es-ES"/>
              </w:rPr>
            </w:pPr>
            <w:r w:rsidRPr="007C2631">
              <w:rPr>
                <w:b/>
                <w:bCs/>
                <w:sz w:val="20"/>
                <w:szCs w:val="20"/>
                <w:lang w:val="es-ES"/>
              </w:rPr>
              <w:t>Terminados</w:t>
            </w:r>
          </w:p>
        </w:tc>
        <w:tc>
          <w:tcPr>
            <w:tcW w:w="1170" w:type="dxa"/>
            <w:tcBorders>
              <w:top w:val="nil"/>
              <w:left w:val="nil"/>
              <w:bottom w:val="single" w:sz="4" w:space="0" w:color="auto"/>
              <w:right w:val="single" w:sz="4" w:space="0" w:color="auto"/>
            </w:tcBorders>
            <w:shd w:val="clear" w:color="auto" w:fill="auto"/>
            <w:tcMar>
              <w:left w:w="58" w:type="dxa"/>
              <w:right w:w="58" w:type="dxa"/>
            </w:tcMar>
            <w:hideMark/>
          </w:tcPr>
          <w:p w:rsidR="006C6B34" w:rsidRDefault="006C6B34" w:rsidP="0069717E">
            <w:pPr>
              <w:keepNext/>
              <w:keepLines/>
              <w:jc w:val="center"/>
              <w:rPr>
                <w:b/>
                <w:bCs/>
                <w:sz w:val="20"/>
                <w:szCs w:val="20"/>
                <w:lang w:val="es-ES"/>
              </w:rPr>
            </w:pPr>
            <w:r>
              <w:rPr>
                <w:b/>
                <w:bCs/>
                <w:sz w:val="20"/>
                <w:szCs w:val="20"/>
                <w:lang w:val="es-ES"/>
              </w:rPr>
              <w:t>%</w:t>
            </w:r>
          </w:p>
          <w:p w:rsidR="0069717E" w:rsidRPr="007C2631" w:rsidRDefault="006C6B34" w:rsidP="006C6B34">
            <w:pPr>
              <w:keepNext/>
              <w:keepLines/>
              <w:rPr>
                <w:b/>
                <w:bCs/>
                <w:sz w:val="20"/>
                <w:szCs w:val="20"/>
                <w:lang w:val="es-ES"/>
              </w:rPr>
            </w:pPr>
            <w:r>
              <w:rPr>
                <w:b/>
                <w:bCs/>
                <w:sz w:val="20"/>
                <w:szCs w:val="20"/>
                <w:lang w:val="es-ES"/>
              </w:rPr>
              <w:t>termin</w:t>
            </w:r>
            <w:r w:rsidR="0069717E" w:rsidRPr="007C2631">
              <w:rPr>
                <w:b/>
                <w:bCs/>
                <w:sz w:val="20"/>
                <w:szCs w:val="20"/>
                <w:lang w:val="es-ES"/>
              </w:rPr>
              <w:t>ados</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rsidR="0069717E" w:rsidRPr="007C2631" w:rsidRDefault="0069717E" w:rsidP="0069717E">
            <w:pPr>
              <w:keepNext/>
              <w:keepLines/>
              <w:jc w:val="center"/>
              <w:rPr>
                <w:b/>
                <w:bCs/>
                <w:sz w:val="20"/>
                <w:szCs w:val="20"/>
                <w:lang w:val="es-ES"/>
              </w:rPr>
            </w:pPr>
            <w:r w:rsidRPr="007C2631">
              <w:rPr>
                <w:b/>
                <w:bCs/>
                <w:sz w:val="20"/>
                <w:szCs w:val="20"/>
                <w:lang w:val="es-ES"/>
              </w:rPr>
              <w:t>Aprobada</w:t>
            </w:r>
          </w:p>
        </w:tc>
        <w:tc>
          <w:tcPr>
            <w:tcW w:w="1350" w:type="dxa"/>
            <w:tcBorders>
              <w:top w:val="nil"/>
              <w:left w:val="nil"/>
              <w:bottom w:val="single" w:sz="4" w:space="0" w:color="auto"/>
              <w:right w:val="single" w:sz="4" w:space="0" w:color="auto"/>
            </w:tcBorders>
            <w:shd w:val="clear" w:color="auto" w:fill="auto"/>
            <w:tcMar>
              <w:left w:w="58" w:type="dxa"/>
              <w:right w:w="58" w:type="dxa"/>
            </w:tcMar>
            <w:hideMark/>
          </w:tcPr>
          <w:p w:rsidR="0069717E" w:rsidRPr="007C2631" w:rsidRDefault="0069717E" w:rsidP="0069717E">
            <w:pPr>
              <w:keepNext/>
              <w:keepLines/>
              <w:jc w:val="center"/>
              <w:rPr>
                <w:b/>
                <w:bCs/>
                <w:sz w:val="20"/>
                <w:szCs w:val="20"/>
                <w:lang w:val="es-ES"/>
              </w:rPr>
            </w:pPr>
            <w:r w:rsidRPr="007C2631">
              <w:rPr>
                <w:b/>
                <w:bCs/>
                <w:sz w:val="20"/>
                <w:szCs w:val="20"/>
                <w:lang w:val="es-ES"/>
              </w:rPr>
              <w:t>Desembolsada</w:t>
            </w:r>
          </w:p>
        </w:tc>
        <w:tc>
          <w:tcPr>
            <w:tcW w:w="978" w:type="dxa"/>
            <w:tcBorders>
              <w:top w:val="nil"/>
              <w:left w:val="nil"/>
              <w:bottom w:val="single" w:sz="4" w:space="0" w:color="auto"/>
              <w:right w:val="single" w:sz="4" w:space="0" w:color="auto"/>
            </w:tcBorders>
            <w:shd w:val="clear" w:color="auto" w:fill="auto"/>
            <w:tcMar>
              <w:left w:w="58" w:type="dxa"/>
              <w:right w:w="58" w:type="dxa"/>
            </w:tcMar>
            <w:hideMark/>
          </w:tcPr>
          <w:p w:rsidR="0069717E" w:rsidRPr="007C2631" w:rsidRDefault="0069717E" w:rsidP="0069717E">
            <w:pPr>
              <w:keepNext/>
              <w:keepLines/>
              <w:jc w:val="center"/>
              <w:rPr>
                <w:b/>
                <w:bCs/>
                <w:sz w:val="20"/>
                <w:szCs w:val="20"/>
                <w:lang w:val="es-ES"/>
              </w:rPr>
            </w:pPr>
            <w:r w:rsidRPr="007C2631">
              <w:rPr>
                <w:b/>
                <w:bCs/>
                <w:sz w:val="20"/>
                <w:szCs w:val="20"/>
                <w:lang w:val="es-ES"/>
              </w:rPr>
              <w:t>Saldo</w:t>
            </w:r>
          </w:p>
        </w:tc>
        <w:tc>
          <w:tcPr>
            <w:tcW w:w="1272" w:type="dxa"/>
            <w:tcBorders>
              <w:top w:val="nil"/>
              <w:left w:val="nil"/>
              <w:bottom w:val="single" w:sz="4" w:space="0" w:color="auto"/>
              <w:right w:val="single" w:sz="4" w:space="0" w:color="auto"/>
            </w:tcBorders>
            <w:shd w:val="clear" w:color="auto" w:fill="auto"/>
            <w:tcMar>
              <w:left w:w="58" w:type="dxa"/>
              <w:right w:w="58" w:type="dxa"/>
            </w:tcMar>
            <w:hideMark/>
          </w:tcPr>
          <w:p w:rsidR="006C6B34" w:rsidRDefault="0069717E" w:rsidP="0069717E">
            <w:pPr>
              <w:keepNext/>
              <w:keepLines/>
              <w:jc w:val="center"/>
              <w:rPr>
                <w:b/>
                <w:bCs/>
                <w:sz w:val="20"/>
                <w:szCs w:val="20"/>
                <w:lang w:val="es-ES"/>
              </w:rPr>
            </w:pPr>
            <w:r w:rsidRPr="007C2631">
              <w:rPr>
                <w:b/>
                <w:bCs/>
                <w:sz w:val="20"/>
                <w:szCs w:val="20"/>
                <w:lang w:val="es-ES"/>
              </w:rPr>
              <w:t>%</w:t>
            </w:r>
          </w:p>
          <w:p w:rsidR="0069717E" w:rsidRPr="007C2631" w:rsidRDefault="0069717E" w:rsidP="0069717E">
            <w:pPr>
              <w:keepNext/>
              <w:keepLines/>
              <w:jc w:val="center"/>
              <w:rPr>
                <w:b/>
                <w:bCs/>
                <w:sz w:val="20"/>
                <w:szCs w:val="20"/>
                <w:lang w:val="es-ES"/>
              </w:rPr>
            </w:pPr>
            <w:r w:rsidRPr="007C2631">
              <w:rPr>
                <w:b/>
                <w:bCs/>
                <w:sz w:val="20"/>
                <w:szCs w:val="20"/>
                <w:lang w:val="es-ES"/>
              </w:rPr>
              <w:t>desembolsado</w:t>
            </w:r>
          </w:p>
        </w:tc>
      </w:tr>
      <w:tr w:rsidR="0069717E" w:rsidRPr="007C2631" w:rsidTr="006C6B34">
        <w:trPr>
          <w:trHeight w:val="152"/>
        </w:trPr>
        <w:tc>
          <w:tcPr>
            <w:tcW w:w="1620"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rsidR="0069717E" w:rsidRPr="007C2631" w:rsidRDefault="0069717E" w:rsidP="0069717E">
            <w:pPr>
              <w:jc w:val="left"/>
              <w:rPr>
                <w:sz w:val="20"/>
                <w:szCs w:val="20"/>
                <w:lang w:val="es-ES"/>
              </w:rPr>
            </w:pPr>
            <w:r w:rsidRPr="007C2631">
              <w:rPr>
                <w:sz w:val="20"/>
                <w:szCs w:val="20"/>
                <w:lang w:val="es-ES"/>
              </w:rPr>
              <w:t>Inversión**</w:t>
            </w:r>
          </w:p>
        </w:tc>
        <w:tc>
          <w:tcPr>
            <w:tcW w:w="108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6</w:t>
            </w:r>
          </w:p>
        </w:tc>
        <w:tc>
          <w:tcPr>
            <w:tcW w:w="117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1</w:t>
            </w:r>
          </w:p>
        </w:tc>
        <w:tc>
          <w:tcPr>
            <w:tcW w:w="117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17</w:t>
            </w:r>
          </w:p>
        </w:tc>
        <w:tc>
          <w:tcPr>
            <w:tcW w:w="99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8.502.860</w:t>
            </w:r>
          </w:p>
        </w:tc>
        <w:tc>
          <w:tcPr>
            <w:tcW w:w="135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5.667.780</w:t>
            </w:r>
          </w:p>
        </w:tc>
        <w:tc>
          <w:tcPr>
            <w:tcW w:w="978"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2.835.080</w:t>
            </w:r>
          </w:p>
        </w:tc>
        <w:tc>
          <w:tcPr>
            <w:tcW w:w="1272"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67</w:t>
            </w:r>
          </w:p>
        </w:tc>
      </w:tr>
      <w:tr w:rsidR="0069717E" w:rsidRPr="007C2631" w:rsidTr="006C6B34">
        <w:trPr>
          <w:trHeight w:val="57"/>
        </w:trPr>
        <w:tc>
          <w:tcPr>
            <w:tcW w:w="162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69717E" w:rsidRPr="007C2631" w:rsidRDefault="0069717E" w:rsidP="0069717E">
            <w:pPr>
              <w:jc w:val="left"/>
              <w:rPr>
                <w:sz w:val="20"/>
                <w:szCs w:val="20"/>
                <w:lang w:val="es-ES"/>
              </w:rPr>
            </w:pPr>
            <w:r w:rsidRPr="007C2631">
              <w:rPr>
                <w:sz w:val="20"/>
                <w:szCs w:val="20"/>
                <w:lang w:val="es-ES"/>
              </w:rPr>
              <w:t>Preparación de proyectos</w:t>
            </w:r>
          </w:p>
        </w:tc>
        <w:tc>
          <w:tcPr>
            <w:tcW w:w="108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17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9</w:t>
            </w:r>
          </w:p>
        </w:tc>
        <w:tc>
          <w:tcPr>
            <w:tcW w:w="117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90</w:t>
            </w:r>
          </w:p>
        </w:tc>
        <w:tc>
          <w:tcPr>
            <w:tcW w:w="990"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273.821</w:t>
            </w:r>
          </w:p>
        </w:tc>
        <w:tc>
          <w:tcPr>
            <w:tcW w:w="1350"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201.718</w:t>
            </w:r>
          </w:p>
        </w:tc>
        <w:tc>
          <w:tcPr>
            <w:tcW w:w="978"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72.103</w:t>
            </w:r>
          </w:p>
        </w:tc>
        <w:tc>
          <w:tcPr>
            <w:tcW w:w="1272"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74</w:t>
            </w:r>
          </w:p>
        </w:tc>
      </w:tr>
      <w:tr w:rsidR="0069717E" w:rsidRPr="007C2631" w:rsidTr="006C6B34">
        <w:trPr>
          <w:trHeight w:val="57"/>
        </w:trPr>
        <w:tc>
          <w:tcPr>
            <w:tcW w:w="162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69717E" w:rsidRPr="007C2631" w:rsidRDefault="0069717E" w:rsidP="0069717E">
            <w:pPr>
              <w:jc w:val="left"/>
              <w:rPr>
                <w:sz w:val="20"/>
                <w:szCs w:val="20"/>
                <w:lang w:val="es-ES"/>
              </w:rPr>
            </w:pPr>
            <w:r w:rsidRPr="007C2631">
              <w:rPr>
                <w:sz w:val="20"/>
                <w:szCs w:val="20"/>
                <w:lang w:val="es-ES"/>
              </w:rPr>
              <w:t>Asistencia técnica - Actividades de apoyo</w:t>
            </w:r>
          </w:p>
        </w:tc>
        <w:tc>
          <w:tcPr>
            <w:tcW w:w="108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128</w:t>
            </w:r>
          </w:p>
        </w:tc>
        <w:tc>
          <w:tcPr>
            <w:tcW w:w="1170"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12</w:t>
            </w:r>
          </w:p>
        </w:tc>
        <w:tc>
          <w:tcPr>
            <w:tcW w:w="117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9</w:t>
            </w:r>
          </w:p>
        </w:tc>
        <w:tc>
          <w:tcPr>
            <w:tcW w:w="990"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15.160.943</w:t>
            </w:r>
          </w:p>
        </w:tc>
        <w:tc>
          <w:tcPr>
            <w:tcW w:w="1350"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5.981.581</w:t>
            </w:r>
          </w:p>
        </w:tc>
        <w:tc>
          <w:tcPr>
            <w:tcW w:w="978"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9.179.362</w:t>
            </w:r>
          </w:p>
        </w:tc>
        <w:tc>
          <w:tcPr>
            <w:tcW w:w="1272"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sz w:val="20"/>
                <w:szCs w:val="20"/>
                <w:lang w:val="es-ES"/>
              </w:rPr>
            </w:pPr>
            <w:r w:rsidRPr="007C2631">
              <w:rPr>
                <w:sz w:val="20"/>
                <w:szCs w:val="20"/>
                <w:lang w:val="es-ES"/>
              </w:rPr>
              <w:t>39</w:t>
            </w:r>
          </w:p>
        </w:tc>
      </w:tr>
      <w:tr w:rsidR="0069717E" w:rsidRPr="007C2631" w:rsidTr="006C6B34">
        <w:trPr>
          <w:trHeight w:val="57"/>
        </w:trPr>
        <w:tc>
          <w:tcPr>
            <w:tcW w:w="162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69717E" w:rsidRPr="007C2631" w:rsidRDefault="0069717E" w:rsidP="0069717E">
            <w:pPr>
              <w:jc w:val="left"/>
              <w:rPr>
                <w:b/>
                <w:bCs/>
                <w:sz w:val="20"/>
                <w:szCs w:val="20"/>
                <w:lang w:val="es-ES"/>
              </w:rPr>
            </w:pPr>
            <w:r w:rsidRPr="007C2631">
              <w:rPr>
                <w:b/>
                <w:bCs/>
                <w:sz w:val="20"/>
                <w:szCs w:val="20"/>
                <w:lang w:val="es-ES"/>
              </w:rPr>
              <w:t>Total</w:t>
            </w:r>
          </w:p>
        </w:tc>
        <w:tc>
          <w:tcPr>
            <w:tcW w:w="108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b/>
                <w:bCs/>
                <w:sz w:val="20"/>
                <w:szCs w:val="20"/>
                <w:lang w:val="es-ES"/>
              </w:rPr>
            </w:pPr>
            <w:r w:rsidRPr="007C2631">
              <w:rPr>
                <w:b/>
                <w:bCs/>
                <w:sz w:val="20"/>
                <w:szCs w:val="20"/>
                <w:lang w:val="es-ES"/>
              </w:rPr>
              <w:t>144</w:t>
            </w:r>
          </w:p>
        </w:tc>
        <w:tc>
          <w:tcPr>
            <w:tcW w:w="1170"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b/>
                <w:bCs/>
                <w:sz w:val="20"/>
                <w:szCs w:val="20"/>
                <w:lang w:val="es-ES"/>
              </w:rPr>
            </w:pPr>
            <w:r w:rsidRPr="007C2631">
              <w:rPr>
                <w:b/>
                <w:bCs/>
                <w:sz w:val="20"/>
                <w:szCs w:val="20"/>
                <w:lang w:val="es-ES"/>
              </w:rPr>
              <w:t>22</w:t>
            </w:r>
          </w:p>
        </w:tc>
        <w:tc>
          <w:tcPr>
            <w:tcW w:w="1170"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b/>
                <w:bCs/>
                <w:sz w:val="20"/>
                <w:szCs w:val="20"/>
                <w:lang w:val="es-ES"/>
              </w:rPr>
            </w:pPr>
            <w:r w:rsidRPr="007C2631">
              <w:rPr>
                <w:b/>
                <w:bCs/>
                <w:sz w:val="20"/>
                <w:szCs w:val="20"/>
                <w:lang w:val="es-ES"/>
              </w:rPr>
              <w:t>15</w:t>
            </w:r>
          </w:p>
        </w:tc>
        <w:tc>
          <w:tcPr>
            <w:tcW w:w="990"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b/>
                <w:bCs/>
                <w:sz w:val="20"/>
                <w:szCs w:val="20"/>
                <w:lang w:val="es-ES"/>
              </w:rPr>
            </w:pPr>
            <w:r w:rsidRPr="007C2631">
              <w:rPr>
                <w:b/>
                <w:bCs/>
                <w:sz w:val="20"/>
                <w:szCs w:val="20"/>
                <w:lang w:val="es-ES"/>
              </w:rPr>
              <w:t>23.937.624</w:t>
            </w:r>
          </w:p>
        </w:tc>
        <w:tc>
          <w:tcPr>
            <w:tcW w:w="1350"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b/>
                <w:bCs/>
                <w:sz w:val="20"/>
                <w:szCs w:val="20"/>
                <w:lang w:val="es-ES"/>
              </w:rPr>
            </w:pPr>
            <w:r w:rsidRPr="007C2631">
              <w:rPr>
                <w:b/>
                <w:bCs/>
                <w:sz w:val="20"/>
                <w:szCs w:val="20"/>
                <w:lang w:val="es-ES"/>
              </w:rPr>
              <w:t>11.851.079</w:t>
            </w:r>
          </w:p>
        </w:tc>
        <w:tc>
          <w:tcPr>
            <w:tcW w:w="978" w:type="dxa"/>
            <w:tcBorders>
              <w:top w:val="nil"/>
              <w:left w:val="nil"/>
              <w:bottom w:val="single" w:sz="4" w:space="0" w:color="auto"/>
              <w:right w:val="single" w:sz="4" w:space="0" w:color="auto"/>
            </w:tcBorders>
            <w:shd w:val="clear" w:color="auto" w:fill="auto"/>
            <w:tcMar>
              <w:left w:w="0" w:type="dxa"/>
              <w:right w:w="72" w:type="dxa"/>
            </w:tcMar>
            <w:hideMark/>
          </w:tcPr>
          <w:p w:rsidR="0069717E" w:rsidRPr="007C2631" w:rsidRDefault="0069717E" w:rsidP="0069717E">
            <w:pPr>
              <w:jc w:val="right"/>
              <w:rPr>
                <w:b/>
                <w:bCs/>
                <w:sz w:val="20"/>
                <w:szCs w:val="20"/>
                <w:lang w:val="es-ES"/>
              </w:rPr>
            </w:pPr>
            <w:r w:rsidRPr="007C2631">
              <w:rPr>
                <w:b/>
                <w:bCs/>
                <w:sz w:val="20"/>
                <w:szCs w:val="20"/>
                <w:lang w:val="es-ES"/>
              </w:rPr>
              <w:t>12.086.545</w:t>
            </w:r>
          </w:p>
        </w:tc>
        <w:tc>
          <w:tcPr>
            <w:tcW w:w="1272" w:type="dxa"/>
            <w:tcBorders>
              <w:top w:val="nil"/>
              <w:left w:val="nil"/>
              <w:bottom w:val="single" w:sz="4" w:space="0" w:color="auto"/>
              <w:right w:val="single" w:sz="4" w:space="0" w:color="auto"/>
            </w:tcBorders>
            <w:shd w:val="clear" w:color="auto" w:fill="auto"/>
            <w:noWrap/>
            <w:tcMar>
              <w:left w:w="0" w:type="dxa"/>
              <w:right w:w="72" w:type="dxa"/>
            </w:tcMar>
            <w:hideMark/>
          </w:tcPr>
          <w:p w:rsidR="0069717E" w:rsidRPr="007C2631" w:rsidRDefault="0069717E" w:rsidP="0069717E">
            <w:pPr>
              <w:jc w:val="right"/>
              <w:rPr>
                <w:b/>
                <w:bCs/>
                <w:sz w:val="20"/>
                <w:szCs w:val="20"/>
                <w:lang w:val="es-ES"/>
              </w:rPr>
            </w:pPr>
            <w:r w:rsidRPr="007C2631">
              <w:rPr>
                <w:b/>
                <w:bCs/>
                <w:sz w:val="20"/>
                <w:szCs w:val="20"/>
                <w:lang w:val="es-ES"/>
              </w:rPr>
              <w:t>50</w:t>
            </w:r>
          </w:p>
        </w:tc>
      </w:tr>
    </w:tbl>
    <w:p w:rsidR="0069717E" w:rsidRPr="007C2631" w:rsidRDefault="0069717E" w:rsidP="0069717E">
      <w:pPr>
        <w:rPr>
          <w:sz w:val="20"/>
          <w:szCs w:val="20"/>
          <w:lang w:val="es-ES"/>
        </w:rPr>
      </w:pPr>
      <w:r w:rsidRPr="007C2631">
        <w:rPr>
          <w:sz w:val="20"/>
          <w:szCs w:val="20"/>
          <w:lang w:val="es-ES"/>
        </w:rPr>
        <w:t xml:space="preserve">* Excluidos los gastos de apoyo del organismo. </w:t>
      </w:r>
    </w:p>
    <w:p w:rsidR="0069717E" w:rsidRPr="007C2631" w:rsidRDefault="0069717E" w:rsidP="0069717E">
      <w:pPr>
        <w:rPr>
          <w:sz w:val="20"/>
          <w:szCs w:val="20"/>
          <w:lang w:val="es-ES"/>
        </w:rPr>
      </w:pPr>
      <w:r w:rsidRPr="007C2631">
        <w:rPr>
          <w:sz w:val="20"/>
          <w:szCs w:val="20"/>
          <w:lang w:val="es-ES"/>
        </w:rPr>
        <w:t xml:space="preserve">** Eliminación de 754,5 </w:t>
      </w:r>
      <w:proofErr w:type="spellStart"/>
      <w:r w:rsidRPr="007C2631">
        <w:rPr>
          <w:sz w:val="20"/>
          <w:szCs w:val="20"/>
          <w:lang w:val="es-ES"/>
        </w:rPr>
        <w:t>tm</w:t>
      </w:r>
      <w:proofErr w:type="spellEnd"/>
      <w:r w:rsidRPr="007C2631">
        <w:rPr>
          <w:sz w:val="20"/>
          <w:szCs w:val="20"/>
          <w:lang w:val="es-ES"/>
        </w:rPr>
        <w:t xml:space="preserve"> (1.108.442 </w:t>
      </w:r>
      <w:proofErr w:type="spellStart"/>
      <w:r w:rsidRPr="007C2631">
        <w:rPr>
          <w:sz w:val="20"/>
          <w:szCs w:val="20"/>
          <w:lang w:val="es-ES"/>
        </w:rPr>
        <w:t>tm</w:t>
      </w:r>
      <w:proofErr w:type="spellEnd"/>
      <w:r w:rsidRPr="007C2631">
        <w:rPr>
          <w:sz w:val="20"/>
          <w:szCs w:val="20"/>
          <w:lang w:val="es-ES"/>
        </w:rPr>
        <w:t xml:space="preserve"> de </w:t>
      </w:r>
      <w:proofErr w:type="spellStart"/>
      <w:r w:rsidRPr="007C2631">
        <w:rPr>
          <w:sz w:val="20"/>
          <w:szCs w:val="20"/>
          <w:lang w:val="es-ES"/>
        </w:rPr>
        <w:t>eq</w:t>
      </w:r>
      <w:proofErr w:type="spellEnd"/>
      <w:r w:rsidRPr="007C2631">
        <w:rPr>
          <w:sz w:val="20"/>
          <w:szCs w:val="20"/>
          <w:lang w:val="es-ES"/>
        </w:rPr>
        <w:t>. de CO</w:t>
      </w:r>
      <w:r w:rsidRPr="007C2631">
        <w:rPr>
          <w:sz w:val="20"/>
          <w:szCs w:val="20"/>
          <w:vertAlign w:val="subscript"/>
          <w:lang w:val="es-ES"/>
        </w:rPr>
        <w:t>2</w:t>
      </w:r>
      <w:r w:rsidRPr="007C2631">
        <w:rPr>
          <w:sz w:val="20"/>
          <w:szCs w:val="20"/>
          <w:lang w:val="es-ES"/>
        </w:rPr>
        <w:t>) de HFC.</w:t>
      </w:r>
    </w:p>
    <w:p w:rsidR="0069717E" w:rsidRPr="007C2631" w:rsidRDefault="0069717E" w:rsidP="0069717E">
      <w:pPr>
        <w:rPr>
          <w:sz w:val="19"/>
          <w:szCs w:val="19"/>
          <w:lang w:val="es-ES"/>
        </w:rPr>
      </w:pPr>
    </w:p>
    <w:p w:rsidR="0069717E" w:rsidRPr="007C2631" w:rsidRDefault="0069717E" w:rsidP="0069717E">
      <w:pPr>
        <w:pStyle w:val="Heading1"/>
        <w:rPr>
          <w:lang w:val="es-ES"/>
        </w:rPr>
      </w:pPr>
      <w:r w:rsidRPr="007C2631">
        <w:rPr>
          <w:lang w:val="es-ES"/>
        </w:rPr>
        <w:t>De los 144 proyectos aprobados hasta finales de 2019, se han terminado una actividad de inversión, nueve preparaciones de propuestas de proyecto y doce actividades de apoyo. La prórroga de las fechas de terminación de 113 de las 116 actividades de apoyo en curso se aprobó en la reunión 83ª (54 proyectos), en la reunión 84ª (54 proyectos) y en la reunión 85ª (cinco proyectos). Las actividades de apoyo en curso se encuentran en diferentes etapas de ejecución y se prevé que se terminarán entre 2020 y 2021.</w:t>
      </w:r>
    </w:p>
    <w:p w:rsidR="0069717E" w:rsidRPr="007C2631" w:rsidRDefault="0069717E" w:rsidP="0069717E">
      <w:pPr>
        <w:pStyle w:val="Heading1"/>
        <w:rPr>
          <w:lang w:val="es-ES"/>
        </w:rPr>
      </w:pPr>
      <w:r w:rsidRPr="007C2631">
        <w:rPr>
          <w:lang w:val="es-ES"/>
        </w:rPr>
        <w:t xml:space="preserve">Se espera que los restantes cinco proyectos de inversión en curso se terminen en 2020 y 2021 y se prevé que la preparación de proyectos restante en curso se termine en 2020. De forma acumulativa, se </w:t>
      </w:r>
      <w:r w:rsidRPr="007C2631">
        <w:rPr>
          <w:lang w:val="es-ES"/>
        </w:rPr>
        <w:lastRenderedPageBreak/>
        <w:t>habían desembolsado 11.851.079 $EUA del total de 23.937.624 $EUA aprobados para el desembolso (se excluyen los gastos de apoyo de los organismos), lo cual representa una tasa de desembolso del 50 por ciento.</w:t>
      </w:r>
    </w:p>
    <w:p w:rsidR="0069717E" w:rsidRPr="007C2631" w:rsidRDefault="0069717E" w:rsidP="0069717E">
      <w:pPr>
        <w:pStyle w:val="Heading1"/>
        <w:keepNext/>
        <w:keepLines/>
        <w:numPr>
          <w:ilvl w:val="0"/>
          <w:numId w:val="0"/>
        </w:numPr>
        <w:ind w:left="1418" w:hanging="1418"/>
        <w:rPr>
          <w:b/>
          <w:caps/>
          <w:lang w:val="es-ES"/>
        </w:rPr>
      </w:pPr>
      <w:r w:rsidRPr="007C2631">
        <w:rPr>
          <w:b/>
          <w:lang w:val="es-ES"/>
        </w:rPr>
        <w:t>Observaciones de la Secretaría</w:t>
      </w:r>
    </w:p>
    <w:p w:rsidR="0069717E" w:rsidRPr="007C2631" w:rsidRDefault="0069717E" w:rsidP="0069717E">
      <w:pPr>
        <w:pStyle w:val="Heading1"/>
        <w:rPr>
          <w:lang w:val="es-ES"/>
        </w:rPr>
      </w:pPr>
      <w:r w:rsidRPr="007C2631">
        <w:rPr>
          <w:lang w:val="es-ES"/>
        </w:rPr>
        <w:t>La Secretaría tomó nota de que en algunos de los planes de gestión de eliminación de los HCFC, las actividades se ejecutan más allá de las fechas de terminación de proyecto especificadas en el Acuerdo entre el Gobierno correspondiente y el Comité Ejecutivo, y/o de las fechas de terminación, tal como las decide el Comité Ejecutivo, y recordó a los organismos bilaterales y de ejecución que cualquier solicitud de prórroga tendría que presentarse para su aprobación por el Comité antes de la fecha de terminación del proyecto, observando que no se deben hacer nuevos compromisos hasta que se apruebe la prórroga, conforme a la decisión 82/11(b).</w:t>
      </w:r>
    </w:p>
    <w:p w:rsidR="0069717E" w:rsidRPr="007C2631" w:rsidRDefault="0069717E" w:rsidP="0069717E">
      <w:pPr>
        <w:pStyle w:val="Heading1"/>
        <w:rPr>
          <w:lang w:val="es-ES"/>
        </w:rPr>
      </w:pPr>
      <w:r w:rsidRPr="007C2631">
        <w:rPr>
          <w:lang w:val="es-ES"/>
        </w:rPr>
        <w:t>Por consiguiente, los organismos de ejecución pidieron una prórroga de las fechas de terminación previstas para los proyectos relacionados con la eliminación de los HCFC para China (ONUDI), Egipto (ONUDI), Iraq (PNUMA y ONUDI), Maldivas (PNUMA), Qatar (presentado en la 86ª reunión),</w:t>
      </w:r>
      <w:r w:rsidRPr="007C2631">
        <w:rPr>
          <w:rStyle w:val="FootnoteReference"/>
          <w:lang w:val="es-ES"/>
        </w:rPr>
        <w:footnoteReference w:id="14"/>
      </w:r>
      <w:r w:rsidRPr="007C2631">
        <w:rPr>
          <w:lang w:val="es-ES"/>
        </w:rPr>
        <w:t xml:space="preserve"> Serbia (PNUMA y ONUDI) y República Árabe Siria (ONUDI), y para un proyecto de inhaladores de dosis medidas en Egipto (ONUDI), dos proyectos relacionados con la eliminación de SAO en Iraq (ONUDI), y el componente de Argentina de un proyecto mundial de sustitución de enfriadores (ONUDI). Las recomendaciones de las solicitudes de prórroga para estos proyectos se abordan, según proceda, en los informes sobre la marcha de las actividades de los organismos de ejecución respectivos, en el documento acerca de los informes sobre los proyectos con requisitos específicos de presentación de informes,</w:t>
      </w:r>
      <w:r w:rsidRPr="007C2631">
        <w:rPr>
          <w:rStyle w:val="FootnoteReference"/>
          <w:lang w:val="es-ES"/>
        </w:rPr>
        <w:footnoteReference w:id="15"/>
      </w:r>
      <w:r w:rsidRPr="007C2631">
        <w:rPr>
          <w:lang w:val="es-ES"/>
        </w:rPr>
        <w:t xml:space="preserve"> en el documento sobre demoras en la presentación de tramos</w:t>
      </w:r>
      <w:r w:rsidRPr="007C2631">
        <w:rPr>
          <w:rStyle w:val="FootnoteReference"/>
          <w:lang w:val="es-ES"/>
        </w:rPr>
        <w:footnoteReference w:id="16"/>
      </w:r>
      <w:r w:rsidRPr="007C2631">
        <w:rPr>
          <w:lang w:val="es-ES"/>
        </w:rPr>
        <w:t xml:space="preserve"> o en los documentos de las respectivas propuestas de proyecto.</w:t>
      </w:r>
    </w:p>
    <w:p w:rsidR="0069717E" w:rsidRPr="007C2631" w:rsidRDefault="0069717E" w:rsidP="0069717E">
      <w:pPr>
        <w:pStyle w:val="Heading1"/>
        <w:rPr>
          <w:lang w:val="es-ES"/>
        </w:rPr>
      </w:pPr>
      <w:r w:rsidRPr="007C2631">
        <w:rPr>
          <w:lang w:val="es-ES"/>
        </w:rPr>
        <w:t>La etapa I del plan de gestión de la eliminación de los HCFC para Arabia Saudita está sujeta a cancelación a la luz de la decisión 84/45(b); la Secretaría mantuvo conversaciones detalladas con la ONUDI (organismo de ejecución principal) y el PNUMA (organismo de ejecución cooperante) sobre la situación de la ejecución y acordó continuar la ejecución de algunos de los componentes que se encontraban en etapas avanzadas de terminación y/o que estaban previstos para su ejecución en 2020, pero no pudieron terminarse debido a la pandemia del COVID-19, y acordó cancelar los demás componentes. En los informes sobre la marcha de las actividades del PNUMA</w:t>
      </w:r>
      <w:r w:rsidRPr="007C2631">
        <w:rPr>
          <w:rStyle w:val="FootnoteReference"/>
          <w:lang w:val="es-ES"/>
        </w:rPr>
        <w:footnoteReference w:id="17"/>
      </w:r>
      <w:r w:rsidRPr="007C2631">
        <w:rPr>
          <w:lang w:val="es-ES"/>
        </w:rPr>
        <w:t xml:space="preserve"> y la ONUDI</w:t>
      </w:r>
      <w:r w:rsidRPr="007C2631">
        <w:rPr>
          <w:rStyle w:val="FootnoteReference"/>
          <w:lang w:val="es-ES"/>
        </w:rPr>
        <w:footnoteReference w:id="18"/>
      </w:r>
      <w:r w:rsidRPr="007C2631">
        <w:rPr>
          <w:lang w:val="es-ES"/>
        </w:rPr>
        <w:t xml:space="preserve"> se presentan los detalles de los debates y las recomendaciones para estos componentes de proyectos.</w:t>
      </w:r>
    </w:p>
    <w:p w:rsidR="0069717E" w:rsidRPr="007C2631" w:rsidRDefault="0069717E" w:rsidP="0069717E">
      <w:pPr>
        <w:pStyle w:val="Heading1"/>
        <w:rPr>
          <w:lang w:val="es-ES"/>
        </w:rPr>
      </w:pPr>
      <w:r w:rsidRPr="007C2631">
        <w:rPr>
          <w:lang w:val="es-ES"/>
        </w:rPr>
        <w:t>Además, la Secretaría tomó nota de que la fase anterior del proyecto de fortalecimiento institucional en Dominica estaba en marcha al mismo tiempo que la fase actual aprobada en 2017. De conformidad con la decisión 82/11(c)(i), el PNUMA ha informado de que la fase anterior se ha cerrado y que el saldo de financiación se devolvería a la 86ª reunión. En los informes sobre la marcha de las actividades del PNUMA se presentan los detalles del debate y la recomendación para el proyecto de fortalecimiento institucional.</w:t>
      </w:r>
      <w:r w:rsidRPr="007C2631">
        <w:rPr>
          <w:rStyle w:val="FootnoteReference"/>
          <w:lang w:val="es-ES"/>
        </w:rPr>
        <w:footnoteReference w:id="19"/>
      </w:r>
      <w:r w:rsidRPr="007C2631">
        <w:rPr>
          <w:lang w:val="es-ES"/>
        </w:rPr>
        <w:t xml:space="preserve"> </w:t>
      </w:r>
    </w:p>
    <w:p w:rsidR="0069717E" w:rsidRPr="007C2631" w:rsidRDefault="0069717E" w:rsidP="0069717E">
      <w:pPr>
        <w:pStyle w:val="a--"/>
        <w:keepNext/>
        <w:suppressAutoHyphens w:val="0"/>
        <w:jc w:val="left"/>
        <w:rPr>
          <w:sz w:val="22"/>
          <w:szCs w:val="22"/>
        </w:rPr>
      </w:pPr>
      <w:r w:rsidRPr="007C2631">
        <w:rPr>
          <w:sz w:val="22"/>
          <w:szCs w:val="22"/>
        </w:rPr>
        <w:t>RECOMENDACIÓN</w:t>
      </w:r>
    </w:p>
    <w:p w:rsidR="0069717E" w:rsidRPr="007C2631" w:rsidRDefault="0069717E" w:rsidP="0069717E">
      <w:pPr>
        <w:keepNext/>
        <w:rPr>
          <w:lang w:val="es-ES"/>
        </w:rPr>
      </w:pPr>
    </w:p>
    <w:p w:rsidR="0069717E" w:rsidRPr="007C2631" w:rsidRDefault="0069717E" w:rsidP="0069717E">
      <w:pPr>
        <w:pStyle w:val="Heading1"/>
        <w:rPr>
          <w:lang w:val="es-ES"/>
        </w:rPr>
      </w:pPr>
      <w:r w:rsidRPr="007C2631">
        <w:rPr>
          <w:lang w:val="es-ES"/>
        </w:rPr>
        <w:t>El Comité Ejecutivo tal vez desee tomar nota:</w:t>
      </w:r>
    </w:p>
    <w:p w:rsidR="0069717E" w:rsidRPr="007C2631" w:rsidRDefault="0069717E" w:rsidP="0069717E">
      <w:pPr>
        <w:pStyle w:val="Heading2"/>
        <w:rPr>
          <w:lang w:val="es-ES"/>
        </w:rPr>
      </w:pPr>
      <w:r w:rsidRPr="007C2631">
        <w:rPr>
          <w:lang w:val="es-ES"/>
        </w:rPr>
        <w:lastRenderedPageBreak/>
        <w:t>Del informe refundido sobre la marcha de las actividades del Fondo Multilateral a 31 de diciembre de 2019 que figura en el documento UNEP/</w:t>
      </w:r>
      <w:proofErr w:type="spellStart"/>
      <w:r w:rsidRPr="007C2631">
        <w:rPr>
          <w:lang w:val="es-ES"/>
        </w:rPr>
        <w:t>OzL.Pro</w:t>
      </w:r>
      <w:proofErr w:type="spellEnd"/>
      <w:r w:rsidRPr="007C2631">
        <w:rPr>
          <w:lang w:val="es-ES"/>
        </w:rPr>
        <w:t>/</w:t>
      </w:r>
      <w:proofErr w:type="spellStart"/>
      <w:r w:rsidRPr="007C2631">
        <w:rPr>
          <w:lang w:val="es-ES"/>
        </w:rPr>
        <w:t>ExCom</w:t>
      </w:r>
      <w:proofErr w:type="spellEnd"/>
      <w:r w:rsidRPr="007C2631">
        <w:rPr>
          <w:lang w:val="es-ES"/>
        </w:rPr>
        <w:t xml:space="preserve">/86/15; </w:t>
      </w:r>
    </w:p>
    <w:p w:rsidR="0069717E" w:rsidRPr="007C2631" w:rsidRDefault="0069717E" w:rsidP="0069717E">
      <w:pPr>
        <w:pStyle w:val="Heading2"/>
        <w:rPr>
          <w:lang w:val="es-ES"/>
        </w:rPr>
      </w:pPr>
      <w:r w:rsidRPr="007C2631">
        <w:rPr>
          <w:lang w:val="es-ES"/>
        </w:rPr>
        <w:t>Con aprecio, de los esfuerzos desplegados por los organismos bilaterales y de ejecución para informar sobre las actividades ejecutadas en 2019; y</w:t>
      </w:r>
    </w:p>
    <w:p w:rsidR="0069717E" w:rsidRPr="007C2631" w:rsidRDefault="0069717E" w:rsidP="0069717E">
      <w:pPr>
        <w:pStyle w:val="Heading2"/>
        <w:rPr>
          <w:lang w:val="es-ES"/>
        </w:rPr>
      </w:pPr>
      <w:r w:rsidRPr="007C2631">
        <w:rPr>
          <w:lang w:val="es-ES"/>
        </w:rPr>
        <w:t>De que los organismos bilaterales y de ejecución informarían, en la 87ª reunión, sobre 94 proyectos con demoras en la ejecución y 55 proyectos o tramos en curso de acuerdos multianuales para los que se recomendaban informes de situación adicionales, como se indica en el Anexo I de cada uno de los informes sobre la marcha de las actividades de los organismos bilaterales y de ejecución.</w:t>
      </w:r>
    </w:p>
    <w:p w:rsidR="0069717E" w:rsidRPr="007C2631" w:rsidRDefault="0069717E" w:rsidP="0069717E">
      <w:pPr>
        <w:rPr>
          <w:lang w:val="es-ES"/>
        </w:rPr>
      </w:pPr>
    </w:p>
    <w:p w:rsidR="0069717E" w:rsidRPr="007C2631" w:rsidRDefault="0069717E" w:rsidP="0069717E">
      <w:pPr>
        <w:rPr>
          <w:lang w:val="es-ES"/>
        </w:rPr>
      </w:pPr>
    </w:p>
    <w:p w:rsidR="00DE1395" w:rsidRDefault="00DE1395" w:rsidP="0069717E">
      <w:pPr>
        <w:rPr>
          <w:lang w:val="es-ES"/>
        </w:rPr>
        <w:sectPr w:rsidR="00DE1395" w:rsidSect="007C2B79">
          <w:headerReference w:type="even" r:id="rId10"/>
          <w:headerReference w:type="default" r:id="rId11"/>
          <w:footerReference w:type="even" r:id="rId12"/>
          <w:footerReference w:type="default" r:id="rId13"/>
          <w:headerReference w:type="first" r:id="rId14"/>
          <w:footerReference w:type="first" r:id="rId15"/>
          <w:footnotePr>
            <w:numRestart w:val="eachSect"/>
          </w:footnotePr>
          <w:type w:val="continuous"/>
          <w:pgSz w:w="12240" w:h="15840" w:code="1"/>
          <w:pgMar w:top="720" w:right="1440" w:bottom="864" w:left="1440" w:header="720" w:footer="475" w:gutter="0"/>
          <w:cols w:space="720"/>
          <w:titlePg/>
        </w:sectPr>
      </w:pPr>
    </w:p>
    <w:p w:rsidR="0069717E" w:rsidRPr="007C2631" w:rsidRDefault="0069717E" w:rsidP="0069717E">
      <w:pPr>
        <w:jc w:val="center"/>
        <w:rPr>
          <w:b/>
          <w:lang w:val="es-ES"/>
        </w:rPr>
      </w:pPr>
      <w:r w:rsidRPr="007C2631">
        <w:rPr>
          <w:b/>
          <w:lang w:val="es-ES"/>
        </w:rPr>
        <w:lastRenderedPageBreak/>
        <w:t>Anexo I</w:t>
      </w:r>
    </w:p>
    <w:p w:rsidR="0069717E" w:rsidRPr="007C2631" w:rsidRDefault="0069717E" w:rsidP="0069717E">
      <w:pPr>
        <w:jc w:val="center"/>
        <w:rPr>
          <w:b/>
          <w:lang w:val="es-ES"/>
        </w:rPr>
      </w:pPr>
    </w:p>
    <w:p w:rsidR="0069717E" w:rsidRPr="007C2631" w:rsidRDefault="0069717E" w:rsidP="0069717E">
      <w:pPr>
        <w:jc w:val="center"/>
        <w:rPr>
          <w:b/>
          <w:lang w:val="es-ES"/>
        </w:rPr>
      </w:pPr>
      <w:r w:rsidRPr="007C2631">
        <w:rPr>
          <w:b/>
          <w:lang w:val="es-ES"/>
        </w:rPr>
        <w:t>RESUMEN DE LOS PROYECTOS Y ACTIVIDADES RELACIONADOS CON LOS HFC</w:t>
      </w:r>
    </w:p>
    <w:p w:rsidR="0069717E" w:rsidRPr="007C2631" w:rsidRDefault="0069717E" w:rsidP="0069717E">
      <w:pPr>
        <w:pStyle w:val="Heading1"/>
        <w:numPr>
          <w:ilvl w:val="0"/>
          <w:numId w:val="0"/>
        </w:numPr>
        <w:spacing w:after="0"/>
        <w:rPr>
          <w:lang w:val="es-ES"/>
        </w:rPr>
      </w:pPr>
    </w:p>
    <w:p w:rsidR="0069717E" w:rsidRPr="007C2631" w:rsidRDefault="0069717E" w:rsidP="0069717E">
      <w:pPr>
        <w:pStyle w:val="Heading1"/>
        <w:numPr>
          <w:ilvl w:val="0"/>
          <w:numId w:val="41"/>
        </w:numPr>
        <w:rPr>
          <w:lang w:val="es-ES"/>
        </w:rPr>
      </w:pPr>
      <w:r w:rsidRPr="007C2631">
        <w:rPr>
          <w:lang w:val="es-ES"/>
        </w:rPr>
        <w:t xml:space="preserve">Desde su 80ª reunión, el Comité Ejecutivo ha aprobado financiación para la ejecución de proyectos de inversión relacionados con los HFC (decisiones 78/3(g) y 79/45) y actividades de apoyo para ayudar a las dependencias nacionales del ozono a cumplir sus obligaciones iniciales en lo que respecta a la reducción de los HFC con arreglo a la Enmienda de Kigali (decisión 79/46). </w:t>
      </w:r>
    </w:p>
    <w:p w:rsidR="0069717E" w:rsidRPr="007C2631" w:rsidRDefault="0069717E" w:rsidP="0069717E">
      <w:pPr>
        <w:pStyle w:val="Heading1"/>
        <w:rPr>
          <w:lang w:val="es-ES"/>
        </w:rPr>
      </w:pPr>
      <w:r w:rsidRPr="007C2631">
        <w:rPr>
          <w:lang w:val="es-ES"/>
        </w:rPr>
        <w:t xml:space="preserve">A 31 de diciembre de 2019, el Comité Ejecutivo había aprobado 177 proyectos y actividades relacionados con los HFC en 133 países, que incluyen 12 solicitudes de preparación de proyecto, 13 proyectos de inversión y 152 actividades de apoyo, por un valor de 31,86 millones de $EUA (excluyendo gastos de apoyo). </w:t>
      </w:r>
    </w:p>
    <w:p w:rsidR="0069717E" w:rsidRPr="007C2631" w:rsidRDefault="0069717E" w:rsidP="0069717E">
      <w:pPr>
        <w:pStyle w:val="Heading1"/>
        <w:rPr>
          <w:lang w:val="es-ES"/>
        </w:rPr>
      </w:pPr>
      <w:r w:rsidRPr="007C2631">
        <w:rPr>
          <w:lang w:val="es-ES"/>
        </w:rPr>
        <w:t>El Cuadro 1 presenta una reseña de los proyectos y actividades relacionados con los HFC en el marco del Fondo Multilateral, independientemente de la fuente de financiación, por país, indicando la situación de la ratificación de la Enmienda de Kigali y la situación del sistema de concesión de licencias de HFC.</w:t>
      </w:r>
    </w:p>
    <w:p w:rsidR="0069717E" w:rsidRPr="007C2631" w:rsidRDefault="0069717E" w:rsidP="0069717E">
      <w:pPr>
        <w:jc w:val="left"/>
        <w:rPr>
          <w:b/>
          <w:lang w:val="es-ES"/>
        </w:rPr>
      </w:pPr>
      <w:r w:rsidRPr="007C2631">
        <w:rPr>
          <w:b/>
          <w:lang w:val="es-ES"/>
        </w:rPr>
        <w:t>Cuadro 1. Reseña de todos los proyectos y actividades relacionados con los HFC en el marco del Fondo Multilateral</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75"/>
        <w:gridCol w:w="720"/>
        <w:gridCol w:w="1350"/>
        <w:gridCol w:w="1710"/>
        <w:gridCol w:w="1170"/>
        <w:gridCol w:w="1165"/>
        <w:gridCol w:w="1254"/>
      </w:tblGrid>
      <w:tr w:rsidR="0069717E" w:rsidRPr="007C2631" w:rsidTr="006C6B34">
        <w:trPr>
          <w:tblHeader/>
        </w:trPr>
        <w:tc>
          <w:tcPr>
            <w:tcW w:w="1975" w:type="dxa"/>
            <w:vMerge w:val="restart"/>
            <w:shd w:val="clear" w:color="auto" w:fill="auto"/>
            <w:noWrap/>
            <w:vAlign w:val="center"/>
          </w:tcPr>
          <w:p w:rsidR="0069717E" w:rsidRPr="007C2631" w:rsidRDefault="0069717E" w:rsidP="0069717E">
            <w:pPr>
              <w:ind w:left="148"/>
              <w:jc w:val="left"/>
              <w:rPr>
                <w:b/>
                <w:bCs/>
                <w:sz w:val="20"/>
                <w:szCs w:val="20"/>
                <w:lang w:val="es-ES"/>
              </w:rPr>
            </w:pPr>
            <w:r w:rsidRPr="007C2631">
              <w:rPr>
                <w:b/>
                <w:bCs/>
                <w:sz w:val="20"/>
                <w:szCs w:val="20"/>
                <w:lang w:val="es-ES"/>
              </w:rPr>
              <w:t>País</w:t>
            </w:r>
          </w:p>
        </w:tc>
        <w:tc>
          <w:tcPr>
            <w:tcW w:w="720" w:type="dxa"/>
            <w:vMerge w:val="restart"/>
            <w:shd w:val="clear" w:color="auto" w:fill="auto"/>
            <w:noWrap/>
            <w:vAlign w:val="center"/>
          </w:tcPr>
          <w:p w:rsidR="0069717E" w:rsidRPr="007C2631" w:rsidRDefault="0069717E" w:rsidP="0069717E">
            <w:pPr>
              <w:jc w:val="center"/>
              <w:rPr>
                <w:b/>
                <w:bCs/>
                <w:sz w:val="20"/>
                <w:szCs w:val="20"/>
                <w:lang w:val="es-ES"/>
              </w:rPr>
            </w:pPr>
            <w:r w:rsidRPr="007C2631">
              <w:rPr>
                <w:b/>
                <w:bCs/>
                <w:sz w:val="20"/>
                <w:szCs w:val="20"/>
                <w:lang w:val="es-ES"/>
              </w:rPr>
              <w:t>Grupo</w:t>
            </w:r>
          </w:p>
        </w:tc>
        <w:tc>
          <w:tcPr>
            <w:tcW w:w="1350" w:type="dxa"/>
            <w:vMerge w:val="restart"/>
            <w:shd w:val="clear" w:color="auto" w:fill="auto"/>
          </w:tcPr>
          <w:p w:rsidR="0069717E" w:rsidRPr="007C2631" w:rsidRDefault="006C6B34" w:rsidP="0069717E">
            <w:pPr>
              <w:jc w:val="center"/>
              <w:rPr>
                <w:b/>
                <w:bCs/>
                <w:sz w:val="20"/>
                <w:szCs w:val="20"/>
                <w:lang w:val="es-ES"/>
              </w:rPr>
            </w:pPr>
            <w:r>
              <w:rPr>
                <w:b/>
                <w:bCs/>
                <w:sz w:val="20"/>
                <w:szCs w:val="20"/>
                <w:lang w:val="es-ES"/>
              </w:rPr>
              <w:t>Ratificación de la Enm</w:t>
            </w:r>
            <w:r w:rsidR="0069717E" w:rsidRPr="007C2631">
              <w:rPr>
                <w:b/>
                <w:bCs/>
                <w:sz w:val="20"/>
                <w:szCs w:val="20"/>
                <w:lang w:val="es-ES"/>
              </w:rPr>
              <w:t>ienda de Kigali</w:t>
            </w:r>
          </w:p>
        </w:tc>
        <w:tc>
          <w:tcPr>
            <w:tcW w:w="1710" w:type="dxa"/>
            <w:vMerge w:val="restart"/>
            <w:shd w:val="clear" w:color="auto" w:fill="auto"/>
          </w:tcPr>
          <w:p w:rsidR="006C6B34" w:rsidRDefault="0069717E" w:rsidP="0069717E">
            <w:pPr>
              <w:jc w:val="center"/>
              <w:rPr>
                <w:b/>
                <w:bCs/>
                <w:sz w:val="20"/>
                <w:szCs w:val="20"/>
                <w:lang w:val="es-ES"/>
              </w:rPr>
            </w:pPr>
            <w:r w:rsidRPr="007C2631">
              <w:rPr>
                <w:b/>
                <w:bCs/>
                <w:sz w:val="20"/>
                <w:szCs w:val="20"/>
                <w:lang w:val="es-ES"/>
              </w:rPr>
              <w:t xml:space="preserve">Aplicación del </w:t>
            </w:r>
          </w:p>
          <w:p w:rsidR="0069717E" w:rsidRPr="007C2631" w:rsidRDefault="0069717E" w:rsidP="0069717E">
            <w:pPr>
              <w:jc w:val="center"/>
              <w:rPr>
                <w:b/>
                <w:bCs/>
                <w:sz w:val="20"/>
                <w:szCs w:val="20"/>
                <w:lang w:val="es-ES"/>
              </w:rPr>
            </w:pPr>
            <w:r w:rsidRPr="007C2631">
              <w:rPr>
                <w:b/>
                <w:bCs/>
                <w:sz w:val="20"/>
                <w:szCs w:val="20"/>
                <w:lang w:val="es-ES"/>
              </w:rPr>
              <w:t>sistema de concesión de licencias</w:t>
            </w:r>
          </w:p>
        </w:tc>
        <w:tc>
          <w:tcPr>
            <w:tcW w:w="3589" w:type="dxa"/>
            <w:gridSpan w:val="3"/>
            <w:shd w:val="clear" w:color="auto" w:fill="auto"/>
          </w:tcPr>
          <w:p w:rsidR="0069717E" w:rsidRPr="007C2631" w:rsidRDefault="0069717E" w:rsidP="0069717E">
            <w:pPr>
              <w:ind w:right="136"/>
              <w:jc w:val="center"/>
              <w:rPr>
                <w:b/>
                <w:bCs/>
                <w:sz w:val="20"/>
                <w:szCs w:val="20"/>
                <w:lang w:val="es-ES"/>
              </w:rPr>
            </w:pPr>
            <w:r w:rsidRPr="007C2631">
              <w:rPr>
                <w:b/>
                <w:bCs/>
                <w:sz w:val="20"/>
                <w:szCs w:val="20"/>
                <w:lang w:val="es-ES"/>
              </w:rPr>
              <w:t>Fondos aprobados ($EUA)</w:t>
            </w:r>
          </w:p>
        </w:tc>
      </w:tr>
      <w:tr w:rsidR="0069717E" w:rsidRPr="007C2631" w:rsidTr="006C6B34">
        <w:trPr>
          <w:tblHeader/>
        </w:trPr>
        <w:tc>
          <w:tcPr>
            <w:tcW w:w="1975" w:type="dxa"/>
            <w:vMerge/>
            <w:shd w:val="clear" w:color="auto" w:fill="auto"/>
            <w:noWrap/>
            <w:hideMark/>
          </w:tcPr>
          <w:p w:rsidR="0069717E" w:rsidRPr="007C2631" w:rsidRDefault="0069717E" w:rsidP="0069717E">
            <w:pPr>
              <w:ind w:left="148"/>
              <w:jc w:val="center"/>
              <w:rPr>
                <w:b/>
                <w:bCs/>
                <w:sz w:val="20"/>
                <w:szCs w:val="20"/>
                <w:lang w:val="es-ES"/>
              </w:rPr>
            </w:pPr>
          </w:p>
        </w:tc>
        <w:tc>
          <w:tcPr>
            <w:tcW w:w="720" w:type="dxa"/>
            <w:vMerge/>
            <w:shd w:val="clear" w:color="auto" w:fill="auto"/>
            <w:noWrap/>
            <w:hideMark/>
          </w:tcPr>
          <w:p w:rsidR="0069717E" w:rsidRPr="007C2631" w:rsidRDefault="0069717E" w:rsidP="0069717E">
            <w:pPr>
              <w:jc w:val="center"/>
              <w:rPr>
                <w:b/>
                <w:bCs/>
                <w:sz w:val="20"/>
                <w:szCs w:val="20"/>
                <w:lang w:val="es-ES"/>
              </w:rPr>
            </w:pPr>
          </w:p>
        </w:tc>
        <w:tc>
          <w:tcPr>
            <w:tcW w:w="1350" w:type="dxa"/>
            <w:vMerge/>
            <w:shd w:val="clear" w:color="auto" w:fill="auto"/>
            <w:hideMark/>
          </w:tcPr>
          <w:p w:rsidR="0069717E" w:rsidRPr="007C2631" w:rsidRDefault="0069717E" w:rsidP="0069717E">
            <w:pPr>
              <w:jc w:val="center"/>
              <w:rPr>
                <w:b/>
                <w:bCs/>
                <w:sz w:val="20"/>
                <w:szCs w:val="20"/>
                <w:lang w:val="es-ES"/>
              </w:rPr>
            </w:pPr>
          </w:p>
        </w:tc>
        <w:tc>
          <w:tcPr>
            <w:tcW w:w="1710" w:type="dxa"/>
            <w:vMerge/>
            <w:shd w:val="clear" w:color="auto" w:fill="auto"/>
            <w:hideMark/>
          </w:tcPr>
          <w:p w:rsidR="0069717E" w:rsidRPr="007C2631" w:rsidRDefault="0069717E" w:rsidP="0069717E">
            <w:pPr>
              <w:jc w:val="center"/>
              <w:rPr>
                <w:b/>
                <w:bCs/>
                <w:sz w:val="20"/>
                <w:szCs w:val="20"/>
                <w:lang w:val="es-ES"/>
              </w:rPr>
            </w:pPr>
          </w:p>
        </w:tc>
        <w:tc>
          <w:tcPr>
            <w:tcW w:w="1170" w:type="dxa"/>
            <w:shd w:val="clear" w:color="auto" w:fill="auto"/>
            <w:hideMark/>
          </w:tcPr>
          <w:p w:rsidR="0069717E" w:rsidRPr="007C2631" w:rsidRDefault="0069717E" w:rsidP="0069717E">
            <w:pPr>
              <w:ind w:right="136"/>
              <w:jc w:val="center"/>
              <w:rPr>
                <w:b/>
                <w:bCs/>
                <w:sz w:val="20"/>
                <w:szCs w:val="20"/>
                <w:lang w:val="es-ES"/>
              </w:rPr>
            </w:pPr>
            <w:r w:rsidRPr="007C2631">
              <w:rPr>
                <w:b/>
                <w:bCs/>
                <w:sz w:val="20"/>
                <w:szCs w:val="20"/>
                <w:lang w:val="es-ES"/>
              </w:rPr>
              <w:t xml:space="preserve">Actividades de apoyo </w:t>
            </w:r>
          </w:p>
        </w:tc>
        <w:tc>
          <w:tcPr>
            <w:tcW w:w="1165" w:type="dxa"/>
            <w:shd w:val="clear" w:color="auto" w:fill="auto"/>
            <w:hideMark/>
          </w:tcPr>
          <w:p w:rsidR="0069717E" w:rsidRPr="007C2631" w:rsidRDefault="0069717E" w:rsidP="0069717E">
            <w:pPr>
              <w:jc w:val="center"/>
              <w:rPr>
                <w:b/>
                <w:bCs/>
                <w:sz w:val="20"/>
                <w:szCs w:val="20"/>
                <w:lang w:val="es-ES"/>
              </w:rPr>
            </w:pPr>
            <w:r w:rsidRPr="007C2631">
              <w:rPr>
                <w:b/>
                <w:bCs/>
                <w:sz w:val="20"/>
                <w:szCs w:val="20"/>
                <w:lang w:val="es-ES"/>
              </w:rPr>
              <w:t xml:space="preserve">Proyectos de inversión </w:t>
            </w:r>
          </w:p>
        </w:tc>
        <w:tc>
          <w:tcPr>
            <w:tcW w:w="1254" w:type="dxa"/>
            <w:shd w:val="clear" w:color="auto" w:fill="auto"/>
            <w:hideMark/>
          </w:tcPr>
          <w:p w:rsidR="0069717E" w:rsidRPr="007C2631" w:rsidRDefault="0069717E" w:rsidP="0069717E">
            <w:pPr>
              <w:ind w:right="136"/>
              <w:jc w:val="center"/>
              <w:rPr>
                <w:b/>
                <w:bCs/>
                <w:sz w:val="20"/>
                <w:szCs w:val="20"/>
                <w:lang w:val="es-ES"/>
              </w:rPr>
            </w:pPr>
            <w:r w:rsidRPr="007C2631">
              <w:rPr>
                <w:b/>
                <w:bCs/>
                <w:sz w:val="20"/>
                <w:szCs w:val="20"/>
                <w:lang w:val="es-ES"/>
              </w:rPr>
              <w:t xml:space="preserve">Proyectos de preparación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Afganistán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Albania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94.978</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Argelia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Angola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Antigua y Barbuda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Argentina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1.840.755</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75.000</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Armenia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Bahamas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Bahrein</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2</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Bangladesh</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3.131.610</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Barbados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Belice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Benin</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Bhután</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hideMark/>
          </w:tcPr>
          <w:p w:rsidR="006C6B34" w:rsidRDefault="0069717E" w:rsidP="0069717E">
            <w:pPr>
              <w:ind w:left="148"/>
              <w:jc w:val="left"/>
              <w:rPr>
                <w:sz w:val="20"/>
                <w:szCs w:val="20"/>
                <w:lang w:val="es-ES"/>
              </w:rPr>
            </w:pPr>
            <w:r w:rsidRPr="007C2631">
              <w:rPr>
                <w:sz w:val="20"/>
                <w:szCs w:val="20"/>
                <w:lang w:val="es-ES"/>
              </w:rPr>
              <w:t>Bolivia (Estado</w:t>
            </w:r>
          </w:p>
          <w:p w:rsidR="0069717E" w:rsidRPr="007C2631" w:rsidRDefault="0069717E" w:rsidP="0069717E">
            <w:pPr>
              <w:ind w:left="148"/>
              <w:jc w:val="left"/>
              <w:rPr>
                <w:sz w:val="20"/>
                <w:szCs w:val="20"/>
                <w:lang w:val="es-ES"/>
              </w:rPr>
            </w:pPr>
            <w:r w:rsidRPr="007C2631">
              <w:rPr>
                <w:sz w:val="20"/>
                <w:szCs w:val="20"/>
                <w:lang w:val="es-ES"/>
              </w:rPr>
              <w:t xml:space="preserve"> Plurinacional de)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Bosnia y Herzegovina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Botswana</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Brasil</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Brunei Darussalam</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Burkina Faso</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Burundi</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hideMark/>
          </w:tcPr>
          <w:p w:rsidR="0069717E" w:rsidRPr="007C2631" w:rsidRDefault="0069717E" w:rsidP="0069717E">
            <w:pPr>
              <w:ind w:left="148"/>
              <w:jc w:val="left"/>
              <w:rPr>
                <w:sz w:val="20"/>
                <w:szCs w:val="20"/>
                <w:lang w:val="es-ES"/>
              </w:rPr>
            </w:pPr>
            <w:r w:rsidRPr="007C2631">
              <w:rPr>
                <w:sz w:val="20"/>
                <w:szCs w:val="20"/>
                <w:lang w:val="es-ES"/>
              </w:rPr>
              <w:t>Cabo Verde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Camboya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Camerún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República Centroafricana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Chad</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Chile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China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1.275.000</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64.066</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Colombia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lastRenderedPageBreak/>
              <w:t>Comoras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Congo (el)</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Islas Cook (las)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Costa Rica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Côte</w:t>
            </w:r>
            <w:proofErr w:type="spellEnd"/>
            <w:r w:rsidRPr="007C2631">
              <w:rPr>
                <w:sz w:val="20"/>
                <w:szCs w:val="20"/>
                <w:lang w:val="es-ES"/>
              </w:rPr>
              <w:t xml:space="preserve"> </w:t>
            </w:r>
            <w:proofErr w:type="spellStart"/>
            <w:r w:rsidRPr="007C2631">
              <w:rPr>
                <w:sz w:val="20"/>
                <w:szCs w:val="20"/>
                <w:lang w:val="es-ES"/>
              </w:rPr>
              <w:t>d'Ivoire</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Cuba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República Popular Democrática de Corea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República Democrática del Congo</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Djibouti</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Dominica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República Dominicana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129.825</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30.000</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Ecuador</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29.937</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Egipto</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30.000</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El Salvador</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Guinea Ecuatorial</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Eritrea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Eswatini</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Etiopía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Fiji</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Gabón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Gambia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Georgia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Ghana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Granada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Guatemala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Guinea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Guinea-Bissau</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Guyana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Haití</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Honduras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India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2</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Indonesia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Irán (República Islámica del)</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2</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Iraq</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2</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Jamaica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Jordania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1.637.610</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Kenya</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Kiribati</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Kuwait</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2</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Kirguistán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República Democrática Popular Lao</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Líbano</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1.053.858</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30.000</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Lesotho</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Liberia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Libia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Madagascar</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Malawi</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Malasia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lastRenderedPageBreak/>
              <w:t>Maldivas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Malí</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Islas Marshall</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Mauritania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Mauricio</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México</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3.718.123</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84.818</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Micronesia (Estados Federados de)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Mongolia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Montenegro</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49.973</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Marruecos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Mozambique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Myanmar</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Namibia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Nauru</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Nepal</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Nicaragua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Níger</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Nigeria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Niue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Macedonia del Norte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Omán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2</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Pakistán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2</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Palau</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Panamá</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Papúa Nueva Guinea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Paraguay</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Perú</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Filipinas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225.992</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Qatar</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2</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 xml:space="preserve">República de </w:t>
            </w:r>
            <w:proofErr w:type="spellStart"/>
            <w:r w:rsidRPr="007C2631">
              <w:rPr>
                <w:sz w:val="20"/>
                <w:szCs w:val="20"/>
                <w:lang w:val="es-ES"/>
              </w:rPr>
              <w:t>Moldova</w:t>
            </w:r>
            <w:proofErr w:type="spellEnd"/>
            <w:r w:rsidRPr="007C2631">
              <w:rPr>
                <w:sz w:val="20"/>
                <w:szCs w:val="20"/>
                <w:lang w:val="es-ES"/>
              </w:rPr>
              <w:t xml:space="preserve"> (la)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Rwanda</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 xml:space="preserve">Saint </w:t>
            </w:r>
            <w:proofErr w:type="spellStart"/>
            <w:r w:rsidRPr="007C2631">
              <w:rPr>
                <w:sz w:val="20"/>
                <w:szCs w:val="20"/>
                <w:lang w:val="es-ES"/>
              </w:rPr>
              <w:t>Kitts</w:t>
            </w:r>
            <w:proofErr w:type="spellEnd"/>
            <w:r w:rsidRPr="007C2631">
              <w:rPr>
                <w:sz w:val="20"/>
                <w:szCs w:val="20"/>
                <w:lang w:val="es-ES"/>
              </w:rPr>
              <w:t xml:space="preserve"> y </w:t>
            </w:r>
            <w:proofErr w:type="spellStart"/>
            <w:r w:rsidRPr="007C2631">
              <w:rPr>
                <w:sz w:val="20"/>
                <w:szCs w:val="20"/>
                <w:lang w:val="es-ES"/>
              </w:rPr>
              <w:t>Nevis</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Santa Lucía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San Vicente y las Granadinas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Samoa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Santo Tomé y Príncipe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Arabia Saudita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2</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Senegal</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Serbia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Seychelles</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Sierra Leona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Islas Salomón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Somalia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Sudáfrica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240 000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Sudán del Sur</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Sri Lanka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Sudán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Suriname</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República Árabe Siria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lastRenderedPageBreak/>
              <w:t>Tailandia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183.514</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30.000</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Timor-Leste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Togo</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Tonga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 xml:space="preserve">Trinidad y </w:t>
            </w:r>
            <w:proofErr w:type="spellStart"/>
            <w:r w:rsidRPr="007C2631">
              <w:rPr>
                <w:sz w:val="20"/>
                <w:szCs w:val="20"/>
                <w:lang w:val="es-ES"/>
              </w:rPr>
              <w:t>Tabago</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Túnez</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Turquía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Turkmenistán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Tuvalu</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Uganda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Pendiente</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República Unida de Tanzania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Uruguay</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Vanuatu</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Venezuela (República Bolivariana de)</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Viet</w:t>
            </w:r>
            <w:proofErr w:type="spellEnd"/>
            <w:r w:rsidRPr="007C2631">
              <w:rPr>
                <w:sz w:val="20"/>
                <w:szCs w:val="20"/>
                <w:lang w:val="es-ES"/>
              </w:rPr>
              <w:t xml:space="preserve"> </w:t>
            </w:r>
            <w:proofErr w:type="spellStart"/>
            <w:r w:rsidRPr="007C2631">
              <w:rPr>
                <w:sz w:val="20"/>
                <w:szCs w:val="20"/>
                <w:lang w:val="es-ES"/>
              </w:rPr>
              <w:t>Nam</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Sí</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250.000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Yemen</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r w:rsidRPr="007C2631">
              <w:rPr>
                <w:sz w:val="20"/>
                <w:szCs w:val="20"/>
                <w:lang w:val="es-ES"/>
              </w:rPr>
              <w:t>Zambia</w:t>
            </w:r>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95.000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 </w:t>
            </w:r>
          </w:p>
        </w:tc>
      </w:tr>
      <w:tr w:rsidR="0069717E" w:rsidRPr="007C2631" w:rsidTr="006C6B34">
        <w:tc>
          <w:tcPr>
            <w:tcW w:w="1975" w:type="dxa"/>
            <w:shd w:val="clear" w:color="auto" w:fill="auto"/>
            <w:noWrap/>
            <w:hideMark/>
          </w:tcPr>
          <w:p w:rsidR="0069717E" w:rsidRPr="007C2631" w:rsidRDefault="0069717E" w:rsidP="0069717E">
            <w:pPr>
              <w:ind w:left="148"/>
              <w:jc w:val="left"/>
              <w:rPr>
                <w:sz w:val="20"/>
                <w:szCs w:val="20"/>
                <w:lang w:val="es-ES"/>
              </w:rPr>
            </w:pPr>
            <w:proofErr w:type="spellStart"/>
            <w:r w:rsidRPr="007C2631">
              <w:rPr>
                <w:sz w:val="20"/>
                <w:szCs w:val="20"/>
                <w:lang w:val="es-ES"/>
              </w:rPr>
              <w:t>Zimbabwe</w:t>
            </w:r>
            <w:proofErr w:type="spellEnd"/>
          </w:p>
        </w:tc>
        <w:tc>
          <w:tcPr>
            <w:tcW w:w="72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1</w:t>
            </w:r>
          </w:p>
        </w:tc>
        <w:tc>
          <w:tcPr>
            <w:tcW w:w="135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710" w:type="dxa"/>
            <w:shd w:val="clear" w:color="auto" w:fill="auto"/>
            <w:noWrap/>
            <w:hideMark/>
          </w:tcPr>
          <w:p w:rsidR="0069717E" w:rsidRPr="007C2631" w:rsidRDefault="0069717E" w:rsidP="0069717E">
            <w:pPr>
              <w:jc w:val="center"/>
              <w:rPr>
                <w:sz w:val="20"/>
                <w:szCs w:val="20"/>
                <w:lang w:val="es-ES"/>
              </w:rPr>
            </w:pPr>
            <w:r w:rsidRPr="007C2631">
              <w:rPr>
                <w:sz w:val="20"/>
                <w:szCs w:val="20"/>
                <w:lang w:val="es-ES"/>
              </w:rPr>
              <w:t> </w:t>
            </w:r>
          </w:p>
        </w:tc>
        <w:tc>
          <w:tcPr>
            <w:tcW w:w="1170"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150.000</w:t>
            </w:r>
          </w:p>
        </w:tc>
        <w:tc>
          <w:tcPr>
            <w:tcW w:w="1165"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426.954</w:t>
            </w:r>
          </w:p>
        </w:tc>
        <w:tc>
          <w:tcPr>
            <w:tcW w:w="1254" w:type="dxa"/>
            <w:shd w:val="clear" w:color="auto" w:fill="auto"/>
            <w:noWrap/>
            <w:hideMark/>
          </w:tcPr>
          <w:p w:rsidR="0069717E" w:rsidRPr="007C2631" w:rsidRDefault="0069717E" w:rsidP="0069717E">
            <w:pPr>
              <w:ind w:right="136"/>
              <w:jc w:val="right"/>
              <w:rPr>
                <w:sz w:val="20"/>
                <w:szCs w:val="20"/>
                <w:lang w:val="es-ES"/>
              </w:rPr>
            </w:pPr>
            <w:r w:rsidRPr="007C2631">
              <w:rPr>
                <w:sz w:val="20"/>
                <w:szCs w:val="20"/>
                <w:lang w:val="es-ES"/>
              </w:rPr>
              <w:t>30.000</w:t>
            </w:r>
          </w:p>
        </w:tc>
      </w:tr>
      <w:tr w:rsidR="0069717E" w:rsidRPr="007C2631" w:rsidTr="006C6B34">
        <w:tc>
          <w:tcPr>
            <w:tcW w:w="1975" w:type="dxa"/>
            <w:shd w:val="clear" w:color="auto" w:fill="auto"/>
            <w:noWrap/>
            <w:hideMark/>
          </w:tcPr>
          <w:p w:rsidR="0069717E" w:rsidRPr="007C2631" w:rsidRDefault="0069717E" w:rsidP="0069717E">
            <w:pPr>
              <w:ind w:left="148"/>
              <w:jc w:val="left"/>
              <w:rPr>
                <w:b/>
                <w:bCs/>
                <w:sz w:val="20"/>
                <w:szCs w:val="20"/>
                <w:lang w:val="es-ES"/>
              </w:rPr>
            </w:pPr>
            <w:r w:rsidRPr="007C2631">
              <w:rPr>
                <w:b/>
                <w:bCs/>
                <w:sz w:val="20"/>
                <w:szCs w:val="20"/>
                <w:lang w:val="es-ES"/>
              </w:rPr>
              <w:t>Total</w:t>
            </w:r>
          </w:p>
        </w:tc>
        <w:tc>
          <w:tcPr>
            <w:tcW w:w="720" w:type="dxa"/>
            <w:shd w:val="clear" w:color="auto" w:fill="auto"/>
            <w:noWrap/>
            <w:hideMark/>
          </w:tcPr>
          <w:p w:rsidR="0069717E" w:rsidRPr="007C2631" w:rsidRDefault="0069717E" w:rsidP="0069717E">
            <w:pPr>
              <w:jc w:val="center"/>
              <w:rPr>
                <w:b/>
                <w:bCs/>
                <w:sz w:val="20"/>
                <w:szCs w:val="20"/>
                <w:lang w:val="es-ES"/>
              </w:rPr>
            </w:pPr>
            <w:r w:rsidRPr="007C2631">
              <w:rPr>
                <w:b/>
                <w:bCs/>
                <w:sz w:val="20"/>
                <w:szCs w:val="20"/>
                <w:lang w:val="es-ES"/>
              </w:rPr>
              <w:t> </w:t>
            </w:r>
          </w:p>
        </w:tc>
        <w:tc>
          <w:tcPr>
            <w:tcW w:w="1350" w:type="dxa"/>
            <w:shd w:val="clear" w:color="auto" w:fill="auto"/>
            <w:noWrap/>
            <w:hideMark/>
          </w:tcPr>
          <w:p w:rsidR="0069717E" w:rsidRPr="007C2631" w:rsidRDefault="0069717E" w:rsidP="0069717E">
            <w:pPr>
              <w:jc w:val="center"/>
              <w:rPr>
                <w:b/>
                <w:bCs/>
                <w:sz w:val="20"/>
                <w:szCs w:val="20"/>
                <w:lang w:val="es-ES"/>
              </w:rPr>
            </w:pPr>
            <w:r w:rsidRPr="007C2631">
              <w:rPr>
                <w:b/>
                <w:bCs/>
                <w:sz w:val="20"/>
                <w:szCs w:val="20"/>
                <w:lang w:val="es-ES"/>
              </w:rPr>
              <w:t> </w:t>
            </w:r>
          </w:p>
        </w:tc>
        <w:tc>
          <w:tcPr>
            <w:tcW w:w="1710" w:type="dxa"/>
            <w:shd w:val="clear" w:color="auto" w:fill="auto"/>
            <w:noWrap/>
            <w:hideMark/>
          </w:tcPr>
          <w:p w:rsidR="0069717E" w:rsidRPr="007C2631" w:rsidRDefault="0069717E" w:rsidP="0069717E">
            <w:pPr>
              <w:jc w:val="center"/>
              <w:rPr>
                <w:b/>
                <w:bCs/>
                <w:sz w:val="20"/>
                <w:szCs w:val="20"/>
                <w:lang w:val="es-ES"/>
              </w:rPr>
            </w:pPr>
            <w:r w:rsidRPr="007C2631">
              <w:rPr>
                <w:b/>
                <w:bCs/>
                <w:sz w:val="20"/>
                <w:szCs w:val="20"/>
                <w:lang w:val="es-ES"/>
              </w:rPr>
              <w:t> </w:t>
            </w:r>
          </w:p>
        </w:tc>
        <w:tc>
          <w:tcPr>
            <w:tcW w:w="1170" w:type="dxa"/>
            <w:shd w:val="clear" w:color="auto" w:fill="auto"/>
            <w:noWrap/>
            <w:hideMark/>
          </w:tcPr>
          <w:p w:rsidR="0069717E" w:rsidRPr="007C2631" w:rsidRDefault="0069717E" w:rsidP="0069717E">
            <w:pPr>
              <w:ind w:right="136"/>
              <w:jc w:val="right"/>
              <w:rPr>
                <w:b/>
                <w:bCs/>
                <w:sz w:val="20"/>
                <w:szCs w:val="20"/>
                <w:lang w:val="es-ES"/>
              </w:rPr>
            </w:pPr>
            <w:r w:rsidRPr="007C2631">
              <w:rPr>
                <w:b/>
                <w:bCs/>
                <w:sz w:val="20"/>
                <w:szCs w:val="20"/>
                <w:lang w:val="es-ES"/>
              </w:rPr>
              <w:t>18.055.943</w:t>
            </w:r>
          </w:p>
        </w:tc>
        <w:tc>
          <w:tcPr>
            <w:tcW w:w="1165" w:type="dxa"/>
            <w:shd w:val="clear" w:color="auto" w:fill="auto"/>
            <w:noWrap/>
            <w:hideMark/>
          </w:tcPr>
          <w:p w:rsidR="0069717E" w:rsidRPr="007C2631" w:rsidRDefault="0069717E" w:rsidP="0069717E">
            <w:pPr>
              <w:ind w:right="136"/>
              <w:jc w:val="right"/>
              <w:rPr>
                <w:b/>
                <w:bCs/>
                <w:sz w:val="20"/>
                <w:szCs w:val="20"/>
                <w:lang w:val="es-ES"/>
              </w:rPr>
            </w:pPr>
            <w:r w:rsidRPr="007C2631">
              <w:rPr>
                <w:b/>
                <w:bCs/>
                <w:sz w:val="20"/>
                <w:szCs w:val="20"/>
                <w:lang w:val="es-ES"/>
              </w:rPr>
              <w:t>13.397.249</w:t>
            </w:r>
          </w:p>
        </w:tc>
        <w:tc>
          <w:tcPr>
            <w:tcW w:w="1254" w:type="dxa"/>
            <w:shd w:val="clear" w:color="auto" w:fill="auto"/>
            <w:noWrap/>
            <w:hideMark/>
          </w:tcPr>
          <w:p w:rsidR="0069717E" w:rsidRPr="007C2631" w:rsidRDefault="0069717E" w:rsidP="0069717E">
            <w:pPr>
              <w:ind w:right="136"/>
              <w:jc w:val="right"/>
              <w:rPr>
                <w:b/>
                <w:bCs/>
                <w:sz w:val="20"/>
                <w:szCs w:val="20"/>
                <w:lang w:val="es-ES"/>
              </w:rPr>
            </w:pPr>
            <w:r w:rsidRPr="007C2631">
              <w:rPr>
                <w:b/>
                <w:bCs/>
                <w:sz w:val="20"/>
                <w:szCs w:val="20"/>
                <w:lang w:val="es-ES"/>
              </w:rPr>
              <w:t>403.821</w:t>
            </w:r>
          </w:p>
        </w:tc>
      </w:tr>
    </w:tbl>
    <w:p w:rsidR="008439B4" w:rsidRDefault="0069717E" w:rsidP="008439B4">
      <w:pPr>
        <w:jc w:val="left"/>
        <w:rPr>
          <w:b/>
          <w:lang w:val="es-ES"/>
        </w:rPr>
      </w:pPr>
      <w:r w:rsidRPr="007C2631">
        <w:rPr>
          <w:b/>
          <w:lang w:val="es-ES"/>
        </w:rPr>
        <w:t xml:space="preserve"> </w:t>
      </w:r>
    </w:p>
    <w:p w:rsidR="008439B4" w:rsidRDefault="008439B4" w:rsidP="008439B4">
      <w:pPr>
        <w:jc w:val="left"/>
        <w:rPr>
          <w:b/>
          <w:lang w:val="es-ES"/>
        </w:rPr>
        <w:sectPr w:rsidR="008439B4" w:rsidSect="00DE1395">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rsidR="0069717E" w:rsidRPr="007C2631" w:rsidRDefault="0069717E" w:rsidP="008439B4">
      <w:pPr>
        <w:jc w:val="center"/>
        <w:rPr>
          <w:b/>
          <w:lang w:val="es-ES"/>
        </w:rPr>
      </w:pPr>
      <w:r w:rsidRPr="007C2631">
        <w:rPr>
          <w:b/>
          <w:lang w:val="es-ES"/>
        </w:rPr>
        <w:lastRenderedPageBreak/>
        <w:t>Anexo II</w:t>
      </w:r>
    </w:p>
    <w:p w:rsidR="0069717E" w:rsidRPr="007C2631" w:rsidRDefault="0069717E" w:rsidP="0069717E">
      <w:pPr>
        <w:jc w:val="center"/>
        <w:rPr>
          <w:b/>
          <w:lang w:val="es-ES"/>
        </w:rPr>
      </w:pPr>
    </w:p>
    <w:p w:rsidR="0069717E" w:rsidRPr="007C2631" w:rsidRDefault="0069717E" w:rsidP="0069717E">
      <w:pPr>
        <w:jc w:val="center"/>
        <w:rPr>
          <w:b/>
          <w:lang w:val="es-ES"/>
        </w:rPr>
      </w:pPr>
      <w:r w:rsidRPr="007C2631">
        <w:rPr>
          <w:b/>
          <w:lang w:val="es-ES"/>
        </w:rPr>
        <w:t xml:space="preserve">ANÁLISIS DEL INFORME REFUNDIDO SOBRE LA MARCHA DE LAS ACTIVIDADES </w:t>
      </w:r>
    </w:p>
    <w:p w:rsidR="0069717E" w:rsidRPr="007C2631" w:rsidRDefault="0069717E" w:rsidP="0069717E">
      <w:pPr>
        <w:jc w:val="center"/>
        <w:rPr>
          <w:b/>
          <w:lang w:val="es-ES"/>
        </w:rPr>
      </w:pPr>
      <w:r w:rsidRPr="007C2631">
        <w:rPr>
          <w:b/>
          <w:lang w:val="es-ES"/>
        </w:rPr>
        <w:t>DEL FONDO MULTILATERAL A 31 DE DICIEMBRE DE 2019</w:t>
      </w:r>
    </w:p>
    <w:p w:rsidR="0069717E" w:rsidRPr="007C2631" w:rsidRDefault="0069717E" w:rsidP="0069717E">
      <w:pPr>
        <w:jc w:val="center"/>
        <w:rPr>
          <w:b/>
          <w:lang w:val="es-ES"/>
        </w:rPr>
      </w:pPr>
    </w:p>
    <w:p w:rsidR="0069717E" w:rsidRPr="007C2631" w:rsidRDefault="0069717E" w:rsidP="0069717E">
      <w:pPr>
        <w:pStyle w:val="Heading1"/>
        <w:numPr>
          <w:ilvl w:val="0"/>
          <w:numId w:val="37"/>
        </w:numPr>
        <w:rPr>
          <w:lang w:val="es-ES"/>
        </w:rPr>
      </w:pPr>
      <w:r w:rsidRPr="007C2631">
        <w:rPr>
          <w:lang w:val="es-ES"/>
        </w:rPr>
        <w:t>El presente Anexo consta de las siguientes partes:</w:t>
      </w:r>
    </w:p>
    <w:p w:rsidR="0069717E" w:rsidRPr="007C2631" w:rsidRDefault="0069717E" w:rsidP="0069717E">
      <w:pPr>
        <w:pStyle w:val="Heading2"/>
        <w:keepNext/>
        <w:widowControl/>
        <w:numPr>
          <w:ilvl w:val="0"/>
          <w:numId w:val="0"/>
        </w:numPr>
        <w:adjustRightInd w:val="0"/>
        <w:ind w:left="2160" w:hanging="1440"/>
        <w:textAlignment w:val="baseline"/>
        <w:rPr>
          <w:lang w:val="es-ES"/>
        </w:rPr>
      </w:pPr>
      <w:r w:rsidRPr="007C2631">
        <w:rPr>
          <w:lang w:val="es-ES"/>
        </w:rPr>
        <w:t>Parte I:</w:t>
      </w:r>
      <w:r w:rsidRPr="007C2631">
        <w:rPr>
          <w:lang w:val="es-ES"/>
        </w:rPr>
        <w:tab/>
        <w:t>Proyectos aprobados en el marco de las contribuciones ordinarias al Fondo Multilateral.</w:t>
      </w:r>
    </w:p>
    <w:p w:rsidR="0069717E" w:rsidRPr="007C2631" w:rsidRDefault="0069717E" w:rsidP="0069717E">
      <w:pPr>
        <w:pStyle w:val="Heading2"/>
        <w:widowControl/>
        <w:numPr>
          <w:ilvl w:val="0"/>
          <w:numId w:val="0"/>
        </w:numPr>
        <w:adjustRightInd w:val="0"/>
        <w:ind w:left="2160" w:hanging="1440"/>
        <w:textAlignment w:val="baseline"/>
        <w:rPr>
          <w:lang w:val="es-ES"/>
        </w:rPr>
      </w:pPr>
      <w:r w:rsidRPr="007C2631">
        <w:rPr>
          <w:lang w:val="es-ES"/>
        </w:rPr>
        <w:t>Parte II:</w:t>
      </w:r>
      <w:r w:rsidRPr="007C2631">
        <w:rPr>
          <w:lang w:val="es-ES"/>
        </w:rPr>
        <w:tab/>
        <w:t>Proyectos aprobados en el marco de las contribuciones voluntarias adicionales destinadas a la ayuda a corto plazo para la reducción de los HFC.</w:t>
      </w:r>
    </w:p>
    <w:p w:rsidR="0069717E" w:rsidRPr="007C2631" w:rsidRDefault="0069717E" w:rsidP="0069717E">
      <w:pPr>
        <w:pStyle w:val="sub-title"/>
        <w:keepNext/>
        <w:keepLines/>
        <w:ind w:left="1418" w:hanging="1418"/>
        <w:rPr>
          <w:caps/>
          <w:noProof w:val="0"/>
          <w:lang w:val="es-ES"/>
        </w:rPr>
      </w:pPr>
      <w:r w:rsidRPr="007C2631">
        <w:rPr>
          <w:caps/>
          <w:noProof w:val="0"/>
          <w:lang w:val="es-ES"/>
        </w:rPr>
        <w:t xml:space="preserve">Parte I: </w:t>
      </w:r>
      <w:r w:rsidRPr="007C2631">
        <w:rPr>
          <w:caps/>
          <w:noProof w:val="0"/>
          <w:lang w:val="es-ES"/>
        </w:rPr>
        <w:tab/>
        <w:t>Proyectos aprobados en el marco de las contribuciones ordinarias al Fondo Multilateral</w:t>
      </w:r>
    </w:p>
    <w:p w:rsidR="0069717E" w:rsidRPr="007C2631" w:rsidRDefault="0069717E" w:rsidP="0069717E">
      <w:pPr>
        <w:jc w:val="center"/>
        <w:rPr>
          <w:b/>
          <w:lang w:val="es-ES"/>
        </w:rPr>
      </w:pPr>
    </w:p>
    <w:p w:rsidR="0069717E" w:rsidRPr="007C2631" w:rsidRDefault="0069717E" w:rsidP="0069717E">
      <w:pPr>
        <w:pStyle w:val="Heading1"/>
        <w:rPr>
          <w:lang w:val="es-ES"/>
        </w:rPr>
      </w:pPr>
      <w:r w:rsidRPr="007C2631">
        <w:rPr>
          <w:lang w:val="es-ES"/>
        </w:rPr>
        <w:t>A 31 de diciembre de 2019, el Comité Ejecutivo había aprobado 3.700 millones de $EUA</w:t>
      </w:r>
      <w:r w:rsidRPr="007C2631">
        <w:rPr>
          <w:rStyle w:val="FootnoteReference"/>
          <w:lang w:val="es-ES"/>
        </w:rPr>
        <w:footnoteReference w:id="20"/>
      </w:r>
      <w:r w:rsidRPr="007C2631">
        <w:rPr>
          <w:lang w:val="es-ES"/>
        </w:rPr>
        <w:t xml:space="preserve"> para los organismos bilaterales y de ejecución, como se indica en el Cuadro 1. En 2019, se aprobaron 227 proyectos y actividades nuevos. Se prevé que este nivel de financiación dará lugar a la eliminación de 467.583 toneladas PAO de consumo y producción de SAO.</w:t>
      </w:r>
    </w:p>
    <w:p w:rsidR="0069717E" w:rsidRPr="007C2631" w:rsidRDefault="0069717E" w:rsidP="0069717E">
      <w:pPr>
        <w:keepNext/>
        <w:suppressAutoHyphens/>
        <w:rPr>
          <w:b/>
          <w:lang w:val="es-ES"/>
        </w:rPr>
      </w:pPr>
      <w:r w:rsidRPr="007C2631">
        <w:rPr>
          <w:b/>
          <w:lang w:val="es-ES"/>
        </w:rPr>
        <w:t>Cuadro 1. Financiación aprobada por sector y organismo a 31 de diciembre de 2019 ($EUA)</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7"/>
        <w:gridCol w:w="1205"/>
        <w:gridCol w:w="1205"/>
        <w:gridCol w:w="1205"/>
        <w:gridCol w:w="1353"/>
        <w:gridCol w:w="1205"/>
        <w:gridCol w:w="1266"/>
      </w:tblGrid>
      <w:tr w:rsidR="0069717E" w:rsidRPr="007C2631" w:rsidTr="0069717E">
        <w:tc>
          <w:tcPr>
            <w:tcW w:w="1967" w:type="dxa"/>
            <w:shd w:val="clear" w:color="auto" w:fill="auto"/>
            <w:noWrap/>
            <w:tcMar>
              <w:left w:w="58" w:type="dxa"/>
              <w:right w:w="58" w:type="dxa"/>
            </w:tcMar>
            <w:vAlign w:val="center"/>
          </w:tcPr>
          <w:p w:rsidR="0069717E" w:rsidRPr="007C2631" w:rsidRDefault="0069717E" w:rsidP="0069717E">
            <w:pPr>
              <w:jc w:val="left"/>
              <w:rPr>
                <w:sz w:val="20"/>
                <w:szCs w:val="20"/>
                <w:lang w:val="es-ES"/>
              </w:rPr>
            </w:pPr>
            <w:r w:rsidRPr="007C2631">
              <w:rPr>
                <w:b/>
                <w:bCs/>
                <w:sz w:val="20"/>
                <w:szCs w:val="20"/>
                <w:lang w:val="es-ES"/>
              </w:rPr>
              <w:t>Sector</w:t>
            </w:r>
          </w:p>
        </w:tc>
        <w:tc>
          <w:tcPr>
            <w:tcW w:w="1205" w:type="dxa"/>
            <w:shd w:val="clear" w:color="auto" w:fill="auto"/>
            <w:noWrap/>
            <w:tcMar>
              <w:left w:w="58" w:type="dxa"/>
              <w:right w:w="58" w:type="dxa"/>
            </w:tcMar>
            <w:vAlign w:val="center"/>
          </w:tcPr>
          <w:p w:rsidR="0069717E" w:rsidRPr="007C2631" w:rsidRDefault="0069717E" w:rsidP="0069717E">
            <w:pPr>
              <w:jc w:val="center"/>
              <w:rPr>
                <w:sz w:val="20"/>
                <w:szCs w:val="20"/>
                <w:lang w:val="es-ES"/>
              </w:rPr>
            </w:pPr>
            <w:r w:rsidRPr="007C2631">
              <w:rPr>
                <w:b/>
                <w:bCs/>
                <w:sz w:val="20"/>
                <w:szCs w:val="20"/>
                <w:lang w:val="es-ES"/>
              </w:rPr>
              <w:t>PNUD</w:t>
            </w:r>
          </w:p>
        </w:tc>
        <w:tc>
          <w:tcPr>
            <w:tcW w:w="1205" w:type="dxa"/>
            <w:shd w:val="clear" w:color="auto" w:fill="auto"/>
            <w:noWrap/>
            <w:tcMar>
              <w:left w:w="58" w:type="dxa"/>
              <w:right w:w="58" w:type="dxa"/>
            </w:tcMar>
            <w:vAlign w:val="center"/>
          </w:tcPr>
          <w:p w:rsidR="0069717E" w:rsidRPr="007C2631" w:rsidRDefault="0069717E" w:rsidP="0069717E">
            <w:pPr>
              <w:jc w:val="center"/>
              <w:rPr>
                <w:sz w:val="20"/>
                <w:szCs w:val="20"/>
                <w:lang w:val="es-ES"/>
              </w:rPr>
            </w:pPr>
            <w:r w:rsidRPr="007C2631">
              <w:rPr>
                <w:b/>
                <w:bCs/>
                <w:sz w:val="20"/>
                <w:szCs w:val="20"/>
                <w:lang w:val="es-ES"/>
              </w:rPr>
              <w:t>PNUMA</w:t>
            </w:r>
          </w:p>
        </w:tc>
        <w:tc>
          <w:tcPr>
            <w:tcW w:w="1205" w:type="dxa"/>
            <w:shd w:val="clear" w:color="auto" w:fill="auto"/>
            <w:noWrap/>
            <w:tcMar>
              <w:left w:w="58" w:type="dxa"/>
              <w:right w:w="58" w:type="dxa"/>
            </w:tcMar>
            <w:vAlign w:val="center"/>
          </w:tcPr>
          <w:p w:rsidR="0069717E" w:rsidRPr="007C2631" w:rsidRDefault="0069717E" w:rsidP="0069717E">
            <w:pPr>
              <w:jc w:val="center"/>
              <w:rPr>
                <w:sz w:val="20"/>
                <w:szCs w:val="20"/>
                <w:lang w:val="es-ES"/>
              </w:rPr>
            </w:pPr>
            <w:r w:rsidRPr="007C2631">
              <w:rPr>
                <w:b/>
                <w:bCs/>
                <w:sz w:val="20"/>
                <w:szCs w:val="20"/>
                <w:lang w:val="es-ES"/>
              </w:rPr>
              <w:t>ONUDI</w:t>
            </w:r>
          </w:p>
        </w:tc>
        <w:tc>
          <w:tcPr>
            <w:tcW w:w="1353" w:type="dxa"/>
            <w:shd w:val="clear" w:color="auto" w:fill="auto"/>
            <w:noWrap/>
            <w:tcMar>
              <w:left w:w="58" w:type="dxa"/>
              <w:right w:w="58" w:type="dxa"/>
            </w:tcMar>
            <w:vAlign w:val="center"/>
          </w:tcPr>
          <w:p w:rsidR="0069717E" w:rsidRPr="007C2631" w:rsidRDefault="0069717E" w:rsidP="0069717E">
            <w:pPr>
              <w:jc w:val="center"/>
              <w:rPr>
                <w:sz w:val="20"/>
                <w:szCs w:val="20"/>
                <w:lang w:val="es-ES"/>
              </w:rPr>
            </w:pPr>
            <w:r w:rsidRPr="007C2631">
              <w:rPr>
                <w:b/>
                <w:bCs/>
                <w:sz w:val="20"/>
                <w:szCs w:val="20"/>
                <w:lang w:val="es-ES"/>
              </w:rPr>
              <w:t>Banco Mundial</w:t>
            </w:r>
          </w:p>
        </w:tc>
        <w:tc>
          <w:tcPr>
            <w:tcW w:w="1205" w:type="dxa"/>
            <w:shd w:val="clear" w:color="auto" w:fill="auto"/>
            <w:noWrap/>
            <w:tcMar>
              <w:left w:w="58" w:type="dxa"/>
              <w:right w:w="58" w:type="dxa"/>
            </w:tcMar>
            <w:vAlign w:val="center"/>
          </w:tcPr>
          <w:p w:rsidR="0069717E" w:rsidRPr="007C2631" w:rsidRDefault="0069717E" w:rsidP="0069717E">
            <w:pPr>
              <w:jc w:val="center"/>
              <w:rPr>
                <w:sz w:val="20"/>
                <w:szCs w:val="20"/>
                <w:lang w:val="es-ES"/>
              </w:rPr>
            </w:pPr>
            <w:r w:rsidRPr="007C2631">
              <w:rPr>
                <w:b/>
                <w:bCs/>
                <w:sz w:val="20"/>
                <w:szCs w:val="20"/>
                <w:lang w:val="es-ES"/>
              </w:rPr>
              <w:t>Bilaterales</w:t>
            </w:r>
          </w:p>
        </w:tc>
        <w:tc>
          <w:tcPr>
            <w:tcW w:w="1220" w:type="dxa"/>
            <w:shd w:val="clear" w:color="auto" w:fill="auto"/>
            <w:noWrap/>
            <w:tcMar>
              <w:left w:w="58" w:type="dxa"/>
              <w:right w:w="58" w:type="dxa"/>
            </w:tcMar>
            <w:vAlign w:val="center"/>
          </w:tcPr>
          <w:p w:rsidR="0069717E" w:rsidRPr="007C2631" w:rsidRDefault="0069717E" w:rsidP="0069717E">
            <w:pPr>
              <w:jc w:val="center"/>
              <w:rPr>
                <w:sz w:val="20"/>
                <w:szCs w:val="20"/>
                <w:lang w:val="es-ES"/>
              </w:rPr>
            </w:pPr>
            <w:r w:rsidRPr="007C2631">
              <w:rPr>
                <w:b/>
                <w:bCs/>
                <w:sz w:val="20"/>
                <w:szCs w:val="20"/>
                <w:lang w:val="es-ES"/>
              </w:rPr>
              <w:t>Total</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Aerosoles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26.054.837</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882.689</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34.413.701</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22.984.030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2.051.914</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86.387.171</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Destrucción</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3.606.279</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190.040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3.813.216</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400.000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1.526.282</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9.535.817</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Lucha contra incendios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2.170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2.170</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Espumas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173.331.969</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89.362.746</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136.339.172</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8.093.856</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407.127.743</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proofErr w:type="spellStart"/>
            <w:r w:rsidRPr="007C2631">
              <w:rPr>
                <w:sz w:val="20"/>
                <w:szCs w:val="20"/>
                <w:lang w:val="es-ES"/>
              </w:rPr>
              <w:t>Halones</w:t>
            </w:r>
            <w:proofErr w:type="spellEnd"/>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4.996.973</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767.640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1.780.369</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70.221.038</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6.147.361</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83.913.381</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Fumigantes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20.081.241</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2.614.366</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78.028.741</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5.837.887</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18.226.925</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124.789.159</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Sectores múltiples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139.440</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2.341.168</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2.480.608</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Otros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11.317.246</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5.059.360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16.376.606</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Plan de eliminación</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333.872.234</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58.031.670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340.083.408</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200.687.026</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64.115.519</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996.789.857</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Agente de procesos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1.286.923</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6.337.359</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114.342.497</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121.966.779</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Producción</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1.056.000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50.645.327</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378.930.190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10.000.000</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440.631.517</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Refrigeración</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139.612.399</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13.872.913</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182.330.122</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180.259.970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40.910.116</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556.985.520</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Diversos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63.877.595</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252.917.172</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18.165.654</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28.969.731</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4.719.718</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368.649.869</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Disolventes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63.699.997</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198.860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23.247.443</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10.237.394</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2.512.738</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99.896.432</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Esterilizantes</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417.628</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661.227</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0</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1.078.855</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b/>
                <w:bCs/>
                <w:sz w:val="20"/>
                <w:szCs w:val="20"/>
                <w:lang w:val="es-ES"/>
              </w:rPr>
            </w:pPr>
            <w:r w:rsidRPr="007C2631">
              <w:rPr>
                <w:b/>
                <w:bCs/>
                <w:sz w:val="20"/>
                <w:szCs w:val="20"/>
                <w:lang w:val="es-ES"/>
              </w:rPr>
              <w:t>Subtotal</w:t>
            </w:r>
          </w:p>
        </w:tc>
        <w:tc>
          <w:tcPr>
            <w:tcW w:w="1205"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831.896.245</w:t>
            </w:r>
          </w:p>
        </w:tc>
        <w:tc>
          <w:tcPr>
            <w:tcW w:w="1205"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329.475.350</w:t>
            </w:r>
          </w:p>
        </w:tc>
        <w:tc>
          <w:tcPr>
            <w:tcW w:w="1205"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839.664.771</w:t>
            </w:r>
          </w:p>
        </w:tc>
        <w:tc>
          <w:tcPr>
            <w:tcW w:w="1353"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1.157.270.690</w:t>
            </w:r>
          </w:p>
        </w:tc>
        <w:tc>
          <w:tcPr>
            <w:tcW w:w="1205"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158.304.429</w:t>
            </w:r>
          </w:p>
        </w:tc>
        <w:tc>
          <w:tcPr>
            <w:tcW w:w="1220"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3.316.611.485</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sz w:val="20"/>
                <w:szCs w:val="20"/>
                <w:lang w:val="es-ES"/>
              </w:rPr>
            </w:pPr>
            <w:r w:rsidRPr="007C2631">
              <w:rPr>
                <w:sz w:val="20"/>
                <w:szCs w:val="20"/>
                <w:lang w:val="es-ES"/>
              </w:rPr>
              <w:t>Gastos de apoyo del organismo</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113.444.224</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27.234.741</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109.857.585</w:t>
            </w:r>
          </w:p>
        </w:tc>
        <w:tc>
          <w:tcPr>
            <w:tcW w:w="1353"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118.391.340</w:t>
            </w:r>
          </w:p>
        </w:tc>
        <w:tc>
          <w:tcPr>
            <w:tcW w:w="1205"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15.090.052</w:t>
            </w:r>
          </w:p>
        </w:tc>
        <w:tc>
          <w:tcPr>
            <w:tcW w:w="1220" w:type="dxa"/>
            <w:shd w:val="clear" w:color="auto" w:fill="auto"/>
            <w:noWrap/>
            <w:tcMar>
              <w:left w:w="58" w:type="dxa"/>
              <w:right w:w="58" w:type="dxa"/>
            </w:tcMar>
            <w:vAlign w:val="bottom"/>
            <w:hideMark/>
          </w:tcPr>
          <w:p w:rsidR="0069717E" w:rsidRPr="007C2631" w:rsidRDefault="0069717E" w:rsidP="0069717E">
            <w:pPr>
              <w:jc w:val="right"/>
              <w:rPr>
                <w:sz w:val="20"/>
                <w:szCs w:val="20"/>
                <w:lang w:val="es-ES"/>
              </w:rPr>
            </w:pPr>
            <w:r w:rsidRPr="007C2631">
              <w:rPr>
                <w:sz w:val="20"/>
                <w:szCs w:val="20"/>
                <w:lang w:val="es-ES"/>
              </w:rPr>
              <w:t>384.017.942</w:t>
            </w:r>
          </w:p>
        </w:tc>
      </w:tr>
      <w:tr w:rsidR="0069717E" w:rsidRPr="007C2631" w:rsidTr="0069717E">
        <w:tc>
          <w:tcPr>
            <w:tcW w:w="1967" w:type="dxa"/>
            <w:shd w:val="clear" w:color="auto" w:fill="auto"/>
            <w:noWrap/>
            <w:tcMar>
              <w:left w:w="58" w:type="dxa"/>
              <w:right w:w="58" w:type="dxa"/>
            </w:tcMar>
            <w:vAlign w:val="center"/>
            <w:hideMark/>
          </w:tcPr>
          <w:p w:rsidR="0069717E" w:rsidRPr="007C2631" w:rsidRDefault="0069717E" w:rsidP="0069717E">
            <w:pPr>
              <w:jc w:val="left"/>
              <w:rPr>
                <w:b/>
                <w:bCs/>
                <w:sz w:val="20"/>
                <w:szCs w:val="20"/>
                <w:lang w:val="es-ES"/>
              </w:rPr>
            </w:pPr>
            <w:r w:rsidRPr="007C2631">
              <w:rPr>
                <w:b/>
                <w:bCs/>
                <w:sz w:val="20"/>
                <w:szCs w:val="20"/>
                <w:lang w:val="es-ES"/>
              </w:rPr>
              <w:t>Total</w:t>
            </w:r>
          </w:p>
        </w:tc>
        <w:tc>
          <w:tcPr>
            <w:tcW w:w="1205"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945.340.469</w:t>
            </w:r>
          </w:p>
        </w:tc>
        <w:tc>
          <w:tcPr>
            <w:tcW w:w="1205"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356.710.091</w:t>
            </w:r>
          </w:p>
        </w:tc>
        <w:tc>
          <w:tcPr>
            <w:tcW w:w="1205"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949.522.356</w:t>
            </w:r>
          </w:p>
        </w:tc>
        <w:tc>
          <w:tcPr>
            <w:tcW w:w="1353"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1.275.662.030</w:t>
            </w:r>
          </w:p>
        </w:tc>
        <w:tc>
          <w:tcPr>
            <w:tcW w:w="1205"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173.394.482</w:t>
            </w:r>
          </w:p>
        </w:tc>
        <w:tc>
          <w:tcPr>
            <w:tcW w:w="1220" w:type="dxa"/>
            <w:shd w:val="clear" w:color="auto" w:fill="auto"/>
            <w:noWrap/>
            <w:tcMar>
              <w:left w:w="58" w:type="dxa"/>
              <w:right w:w="58"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3.700.629.427</w:t>
            </w:r>
          </w:p>
        </w:tc>
      </w:tr>
    </w:tbl>
    <w:p w:rsidR="0069717E" w:rsidRPr="007C2631" w:rsidRDefault="0069717E" w:rsidP="0069717E">
      <w:pPr>
        <w:keepNext/>
        <w:suppressAutoHyphens/>
        <w:rPr>
          <w:b/>
          <w:lang w:val="es-ES"/>
        </w:rPr>
      </w:pPr>
    </w:p>
    <w:p w:rsidR="0069717E" w:rsidRPr="007C2631" w:rsidRDefault="0069717E" w:rsidP="0069717E">
      <w:pPr>
        <w:pStyle w:val="Heading1"/>
        <w:rPr>
          <w:lang w:val="es-ES"/>
        </w:rPr>
      </w:pPr>
      <w:r w:rsidRPr="007C2631">
        <w:rPr>
          <w:lang w:val="es-ES"/>
        </w:rPr>
        <w:t xml:space="preserve">En el Cuadro 2 figura un resumen del estado de la ejecución de los proyectos por categoría. </w:t>
      </w:r>
    </w:p>
    <w:p w:rsidR="0069717E" w:rsidRPr="007C2631" w:rsidRDefault="0069717E" w:rsidP="0069717E">
      <w:pPr>
        <w:keepNext/>
        <w:rPr>
          <w:b/>
          <w:lang w:val="es-ES"/>
        </w:rPr>
      </w:pPr>
      <w:r w:rsidRPr="007C2631">
        <w:rPr>
          <w:b/>
          <w:lang w:val="es-ES"/>
        </w:rPr>
        <w:lastRenderedPageBreak/>
        <w:t>Cuadro 2. Estado de ejecución de proyectos, por categoría</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7"/>
        <w:gridCol w:w="986"/>
        <w:gridCol w:w="1058"/>
        <w:gridCol w:w="894"/>
        <w:gridCol w:w="1294"/>
        <w:gridCol w:w="1294"/>
        <w:gridCol w:w="1144"/>
        <w:gridCol w:w="927"/>
      </w:tblGrid>
      <w:tr w:rsidR="0069717E" w:rsidRPr="007C2631" w:rsidTr="0069717E">
        <w:trPr>
          <w:tblHeader/>
        </w:trPr>
        <w:tc>
          <w:tcPr>
            <w:tcW w:w="1827" w:type="dxa"/>
            <w:vMerge w:val="restart"/>
            <w:shd w:val="clear" w:color="auto" w:fill="auto"/>
            <w:tcMar>
              <w:left w:w="72" w:type="dxa"/>
              <w:right w:w="72" w:type="dxa"/>
            </w:tcMar>
            <w:vAlign w:val="center"/>
            <w:hideMark/>
          </w:tcPr>
          <w:p w:rsidR="0069717E" w:rsidRPr="007C2631" w:rsidRDefault="0069717E" w:rsidP="0069717E">
            <w:pPr>
              <w:jc w:val="left"/>
              <w:rPr>
                <w:b/>
                <w:bCs/>
                <w:sz w:val="20"/>
                <w:szCs w:val="20"/>
                <w:lang w:val="es-ES"/>
              </w:rPr>
            </w:pPr>
            <w:r w:rsidRPr="007C2631">
              <w:rPr>
                <w:b/>
                <w:bCs/>
                <w:sz w:val="20"/>
                <w:szCs w:val="20"/>
                <w:lang w:val="es-ES"/>
              </w:rPr>
              <w:t>Tipo</w:t>
            </w:r>
          </w:p>
        </w:tc>
        <w:tc>
          <w:tcPr>
            <w:tcW w:w="2938" w:type="dxa"/>
            <w:gridSpan w:val="3"/>
            <w:shd w:val="clear" w:color="auto" w:fill="auto"/>
            <w:noWrap/>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Número de proyectos*</w:t>
            </w:r>
          </w:p>
        </w:tc>
        <w:tc>
          <w:tcPr>
            <w:tcW w:w="4590" w:type="dxa"/>
            <w:gridSpan w:val="4"/>
            <w:shd w:val="clear" w:color="auto" w:fill="auto"/>
            <w:noWrap/>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Financiación ($EUA)**</w:t>
            </w:r>
          </w:p>
        </w:tc>
      </w:tr>
      <w:tr w:rsidR="0069717E" w:rsidRPr="007C2631" w:rsidTr="0069717E">
        <w:trPr>
          <w:tblHeader/>
        </w:trPr>
        <w:tc>
          <w:tcPr>
            <w:tcW w:w="1827" w:type="dxa"/>
            <w:vMerge/>
            <w:tcMar>
              <w:left w:w="72" w:type="dxa"/>
              <w:right w:w="72" w:type="dxa"/>
            </w:tcMar>
            <w:vAlign w:val="center"/>
            <w:hideMark/>
          </w:tcPr>
          <w:p w:rsidR="0069717E" w:rsidRPr="007C2631" w:rsidRDefault="0069717E" w:rsidP="0069717E">
            <w:pPr>
              <w:jc w:val="center"/>
              <w:rPr>
                <w:b/>
                <w:bCs/>
                <w:sz w:val="20"/>
                <w:szCs w:val="20"/>
                <w:lang w:val="es-ES" w:eastAsia="en-CA"/>
              </w:rPr>
            </w:pPr>
          </w:p>
        </w:tc>
        <w:tc>
          <w:tcPr>
            <w:tcW w:w="986" w:type="dxa"/>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Aprobados</w:t>
            </w:r>
          </w:p>
        </w:tc>
        <w:tc>
          <w:tcPr>
            <w:tcW w:w="1058" w:type="dxa"/>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Terminados</w:t>
            </w:r>
          </w:p>
        </w:tc>
        <w:tc>
          <w:tcPr>
            <w:tcW w:w="894" w:type="dxa"/>
            <w:shd w:val="clear" w:color="auto" w:fill="auto"/>
            <w:tcMar>
              <w:left w:w="0" w:type="dxa"/>
              <w:right w:w="0" w:type="dxa"/>
            </w:tcMar>
            <w:vAlign w:val="center"/>
            <w:hideMark/>
          </w:tcPr>
          <w:p w:rsidR="0069717E" w:rsidRPr="007C2631" w:rsidRDefault="0069717E" w:rsidP="0069717E">
            <w:pPr>
              <w:ind w:left="-63" w:right="-54"/>
              <w:jc w:val="center"/>
              <w:rPr>
                <w:b/>
                <w:bCs/>
                <w:sz w:val="20"/>
                <w:szCs w:val="20"/>
                <w:lang w:val="es-ES"/>
              </w:rPr>
            </w:pPr>
            <w:r w:rsidRPr="007C2631">
              <w:rPr>
                <w:b/>
                <w:bCs/>
                <w:sz w:val="20"/>
                <w:szCs w:val="20"/>
                <w:lang w:val="es-ES"/>
              </w:rPr>
              <w:t>% terminados</w:t>
            </w:r>
          </w:p>
        </w:tc>
        <w:tc>
          <w:tcPr>
            <w:tcW w:w="1225" w:type="dxa"/>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Aprobada</w:t>
            </w:r>
          </w:p>
        </w:tc>
        <w:tc>
          <w:tcPr>
            <w:tcW w:w="1294" w:type="dxa"/>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Desembolsada</w:t>
            </w:r>
          </w:p>
        </w:tc>
        <w:tc>
          <w:tcPr>
            <w:tcW w:w="1144" w:type="dxa"/>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Saldo</w:t>
            </w:r>
          </w:p>
        </w:tc>
        <w:tc>
          <w:tcPr>
            <w:tcW w:w="927" w:type="dxa"/>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 desembolsado</w:t>
            </w:r>
          </w:p>
        </w:tc>
      </w:tr>
      <w:tr w:rsidR="0069717E" w:rsidRPr="007C2631" w:rsidTr="0069717E">
        <w:tc>
          <w:tcPr>
            <w:tcW w:w="1827" w:type="dxa"/>
            <w:shd w:val="clear" w:color="auto" w:fill="auto"/>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Programa de país</w:t>
            </w:r>
          </w:p>
        </w:tc>
        <w:tc>
          <w:tcPr>
            <w:tcW w:w="986"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165</w:t>
            </w:r>
          </w:p>
        </w:tc>
        <w:tc>
          <w:tcPr>
            <w:tcW w:w="1058"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165</w:t>
            </w:r>
          </w:p>
        </w:tc>
        <w:tc>
          <w:tcPr>
            <w:tcW w:w="8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225"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7.266.559</w:t>
            </w:r>
          </w:p>
        </w:tc>
        <w:tc>
          <w:tcPr>
            <w:tcW w:w="12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7.266.559</w:t>
            </w:r>
          </w:p>
        </w:tc>
        <w:tc>
          <w:tcPr>
            <w:tcW w:w="114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927"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1827" w:type="dxa"/>
            <w:shd w:val="clear" w:color="auto" w:fill="auto"/>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Demostración</w:t>
            </w:r>
          </w:p>
        </w:tc>
        <w:tc>
          <w:tcPr>
            <w:tcW w:w="986"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134</w:t>
            </w:r>
          </w:p>
        </w:tc>
        <w:tc>
          <w:tcPr>
            <w:tcW w:w="1058"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130</w:t>
            </w:r>
          </w:p>
        </w:tc>
        <w:tc>
          <w:tcPr>
            <w:tcW w:w="8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97</w:t>
            </w:r>
          </w:p>
        </w:tc>
        <w:tc>
          <w:tcPr>
            <w:tcW w:w="1225"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61.795.620</w:t>
            </w:r>
          </w:p>
        </w:tc>
        <w:tc>
          <w:tcPr>
            <w:tcW w:w="12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59.653.642</w:t>
            </w:r>
          </w:p>
        </w:tc>
        <w:tc>
          <w:tcPr>
            <w:tcW w:w="114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2.141.978</w:t>
            </w:r>
          </w:p>
        </w:tc>
        <w:tc>
          <w:tcPr>
            <w:tcW w:w="927"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97</w:t>
            </w:r>
          </w:p>
        </w:tc>
      </w:tr>
      <w:tr w:rsidR="0069717E" w:rsidRPr="007C2631" w:rsidTr="0069717E">
        <w:tc>
          <w:tcPr>
            <w:tcW w:w="1827" w:type="dxa"/>
            <w:shd w:val="clear" w:color="auto" w:fill="auto"/>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Fortalecimiento institucional</w:t>
            </w:r>
          </w:p>
        </w:tc>
        <w:tc>
          <w:tcPr>
            <w:tcW w:w="986"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1.255</w:t>
            </w:r>
          </w:p>
        </w:tc>
        <w:tc>
          <w:tcPr>
            <w:tcW w:w="1058"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1.095</w:t>
            </w:r>
          </w:p>
        </w:tc>
        <w:tc>
          <w:tcPr>
            <w:tcW w:w="8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87</w:t>
            </w:r>
          </w:p>
        </w:tc>
        <w:tc>
          <w:tcPr>
            <w:tcW w:w="1225"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146.820.509</w:t>
            </w:r>
          </w:p>
        </w:tc>
        <w:tc>
          <w:tcPr>
            <w:tcW w:w="12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127.339.761</w:t>
            </w:r>
          </w:p>
        </w:tc>
        <w:tc>
          <w:tcPr>
            <w:tcW w:w="114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19.480.748</w:t>
            </w:r>
          </w:p>
        </w:tc>
        <w:tc>
          <w:tcPr>
            <w:tcW w:w="927"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87</w:t>
            </w:r>
          </w:p>
        </w:tc>
      </w:tr>
      <w:tr w:rsidR="0069717E" w:rsidRPr="007C2631" w:rsidTr="0069717E">
        <w:tc>
          <w:tcPr>
            <w:tcW w:w="1827" w:type="dxa"/>
            <w:shd w:val="clear" w:color="auto" w:fill="auto"/>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Inversión</w:t>
            </w:r>
          </w:p>
        </w:tc>
        <w:tc>
          <w:tcPr>
            <w:tcW w:w="986"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3.046</w:t>
            </w:r>
          </w:p>
        </w:tc>
        <w:tc>
          <w:tcPr>
            <w:tcW w:w="1058"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2.820</w:t>
            </w:r>
          </w:p>
        </w:tc>
        <w:tc>
          <w:tcPr>
            <w:tcW w:w="8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93</w:t>
            </w:r>
          </w:p>
        </w:tc>
        <w:tc>
          <w:tcPr>
            <w:tcW w:w="1225"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2.640.657.455</w:t>
            </w:r>
          </w:p>
        </w:tc>
        <w:tc>
          <w:tcPr>
            <w:tcW w:w="12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2.477.044.964</w:t>
            </w:r>
          </w:p>
        </w:tc>
        <w:tc>
          <w:tcPr>
            <w:tcW w:w="114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163.612.491</w:t>
            </w:r>
          </w:p>
        </w:tc>
        <w:tc>
          <w:tcPr>
            <w:tcW w:w="927"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94</w:t>
            </w:r>
          </w:p>
        </w:tc>
      </w:tr>
      <w:tr w:rsidR="0069717E" w:rsidRPr="007C2631" w:rsidTr="0069717E">
        <w:tc>
          <w:tcPr>
            <w:tcW w:w="1827" w:type="dxa"/>
            <w:shd w:val="clear" w:color="auto" w:fill="auto"/>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Preparación de proyectos</w:t>
            </w:r>
          </w:p>
        </w:tc>
        <w:tc>
          <w:tcPr>
            <w:tcW w:w="986"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1.727</w:t>
            </w:r>
          </w:p>
        </w:tc>
        <w:tc>
          <w:tcPr>
            <w:tcW w:w="1058"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1.593</w:t>
            </w:r>
          </w:p>
        </w:tc>
        <w:tc>
          <w:tcPr>
            <w:tcW w:w="8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92</w:t>
            </w:r>
          </w:p>
        </w:tc>
        <w:tc>
          <w:tcPr>
            <w:tcW w:w="1225"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86.939.116</w:t>
            </w:r>
          </w:p>
        </w:tc>
        <w:tc>
          <w:tcPr>
            <w:tcW w:w="12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83.064.330</w:t>
            </w:r>
          </w:p>
        </w:tc>
        <w:tc>
          <w:tcPr>
            <w:tcW w:w="114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3.874.786</w:t>
            </w:r>
          </w:p>
        </w:tc>
        <w:tc>
          <w:tcPr>
            <w:tcW w:w="927"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96</w:t>
            </w:r>
          </w:p>
        </w:tc>
      </w:tr>
      <w:tr w:rsidR="0069717E" w:rsidRPr="007C2631" w:rsidTr="0069717E">
        <w:tc>
          <w:tcPr>
            <w:tcW w:w="1827" w:type="dxa"/>
            <w:shd w:val="clear" w:color="auto" w:fill="auto"/>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Asistencia técnica</w:t>
            </w:r>
          </w:p>
        </w:tc>
        <w:tc>
          <w:tcPr>
            <w:tcW w:w="986"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1.755</w:t>
            </w:r>
          </w:p>
        </w:tc>
        <w:tc>
          <w:tcPr>
            <w:tcW w:w="1058"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1.509</w:t>
            </w:r>
          </w:p>
        </w:tc>
        <w:tc>
          <w:tcPr>
            <w:tcW w:w="8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86</w:t>
            </w:r>
          </w:p>
        </w:tc>
        <w:tc>
          <w:tcPr>
            <w:tcW w:w="1225"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347.325.462</w:t>
            </w:r>
          </w:p>
        </w:tc>
        <w:tc>
          <w:tcPr>
            <w:tcW w:w="12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297.897.781</w:t>
            </w:r>
          </w:p>
        </w:tc>
        <w:tc>
          <w:tcPr>
            <w:tcW w:w="114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49.427.681</w:t>
            </w:r>
          </w:p>
        </w:tc>
        <w:tc>
          <w:tcPr>
            <w:tcW w:w="927"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86</w:t>
            </w:r>
          </w:p>
        </w:tc>
      </w:tr>
      <w:tr w:rsidR="0069717E" w:rsidRPr="007C2631" w:rsidTr="0069717E">
        <w:tc>
          <w:tcPr>
            <w:tcW w:w="1827" w:type="dxa"/>
            <w:shd w:val="clear" w:color="auto" w:fill="auto"/>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Proyectos de capacitación</w:t>
            </w:r>
          </w:p>
        </w:tc>
        <w:tc>
          <w:tcPr>
            <w:tcW w:w="986"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324</w:t>
            </w:r>
          </w:p>
        </w:tc>
        <w:tc>
          <w:tcPr>
            <w:tcW w:w="1058"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324</w:t>
            </w:r>
          </w:p>
        </w:tc>
        <w:tc>
          <w:tcPr>
            <w:tcW w:w="8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225"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25.806.763</w:t>
            </w:r>
          </w:p>
        </w:tc>
        <w:tc>
          <w:tcPr>
            <w:tcW w:w="129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25.806.763</w:t>
            </w:r>
          </w:p>
        </w:tc>
        <w:tc>
          <w:tcPr>
            <w:tcW w:w="1144"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927" w:type="dxa"/>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1827" w:type="dxa"/>
            <w:shd w:val="clear" w:color="auto" w:fill="auto"/>
            <w:noWrap/>
            <w:tcMar>
              <w:left w:w="72" w:type="dxa"/>
              <w:right w:w="72" w:type="dxa"/>
            </w:tcMar>
            <w:vAlign w:val="center"/>
            <w:hideMark/>
          </w:tcPr>
          <w:p w:rsidR="0069717E" w:rsidRPr="007C2631" w:rsidRDefault="0069717E" w:rsidP="0069717E">
            <w:pPr>
              <w:jc w:val="left"/>
              <w:rPr>
                <w:b/>
                <w:bCs/>
                <w:sz w:val="20"/>
                <w:szCs w:val="20"/>
                <w:lang w:val="es-ES"/>
              </w:rPr>
            </w:pPr>
            <w:r w:rsidRPr="007C2631">
              <w:rPr>
                <w:b/>
                <w:bCs/>
                <w:sz w:val="20"/>
                <w:szCs w:val="20"/>
                <w:lang w:val="es-ES"/>
              </w:rPr>
              <w:t>Total</w:t>
            </w:r>
          </w:p>
        </w:tc>
        <w:tc>
          <w:tcPr>
            <w:tcW w:w="986" w:type="dxa"/>
            <w:shd w:val="clear" w:color="auto" w:fill="auto"/>
            <w:tcMar>
              <w:left w:w="72" w:type="dxa"/>
              <w:right w:w="72"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8.406</w:t>
            </w:r>
          </w:p>
        </w:tc>
        <w:tc>
          <w:tcPr>
            <w:tcW w:w="1058" w:type="dxa"/>
            <w:shd w:val="clear" w:color="auto" w:fill="auto"/>
            <w:tcMar>
              <w:left w:w="72" w:type="dxa"/>
              <w:right w:w="72"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7.636</w:t>
            </w:r>
          </w:p>
        </w:tc>
        <w:tc>
          <w:tcPr>
            <w:tcW w:w="894" w:type="dxa"/>
            <w:shd w:val="clear" w:color="auto" w:fill="auto"/>
            <w:noWrap/>
            <w:tcMar>
              <w:left w:w="72" w:type="dxa"/>
              <w:right w:w="72"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91</w:t>
            </w:r>
          </w:p>
        </w:tc>
        <w:tc>
          <w:tcPr>
            <w:tcW w:w="1225" w:type="dxa"/>
            <w:shd w:val="clear" w:color="auto" w:fill="auto"/>
            <w:noWrap/>
            <w:tcMar>
              <w:left w:w="72" w:type="dxa"/>
              <w:right w:w="72"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3.316.611.485</w:t>
            </w:r>
          </w:p>
        </w:tc>
        <w:tc>
          <w:tcPr>
            <w:tcW w:w="1294" w:type="dxa"/>
            <w:shd w:val="clear" w:color="auto" w:fill="auto"/>
            <w:noWrap/>
            <w:tcMar>
              <w:left w:w="72" w:type="dxa"/>
              <w:right w:w="72"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3.078.073.801</w:t>
            </w:r>
          </w:p>
        </w:tc>
        <w:tc>
          <w:tcPr>
            <w:tcW w:w="1144" w:type="dxa"/>
            <w:shd w:val="clear" w:color="auto" w:fill="auto"/>
            <w:noWrap/>
            <w:tcMar>
              <w:left w:w="72" w:type="dxa"/>
              <w:right w:w="72"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238.537.684</w:t>
            </w:r>
          </w:p>
        </w:tc>
        <w:tc>
          <w:tcPr>
            <w:tcW w:w="927" w:type="dxa"/>
            <w:shd w:val="clear" w:color="auto" w:fill="auto"/>
            <w:noWrap/>
            <w:tcMar>
              <w:left w:w="72" w:type="dxa"/>
              <w:right w:w="72"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93</w:t>
            </w:r>
          </w:p>
        </w:tc>
      </w:tr>
    </w:tbl>
    <w:p w:rsidR="0069717E" w:rsidRPr="007C2631" w:rsidRDefault="0069717E" w:rsidP="0069717E">
      <w:pPr>
        <w:rPr>
          <w:sz w:val="19"/>
          <w:szCs w:val="19"/>
          <w:lang w:val="es-ES"/>
        </w:rPr>
      </w:pPr>
      <w:r w:rsidRPr="007C2631">
        <w:rPr>
          <w:sz w:val="19"/>
          <w:szCs w:val="19"/>
          <w:lang w:val="es-ES"/>
        </w:rPr>
        <w:t>* Excluidos los proyectos cerrados y transferidos.</w:t>
      </w:r>
    </w:p>
    <w:p w:rsidR="0069717E" w:rsidRPr="007C2631" w:rsidRDefault="0069717E" w:rsidP="0069717E">
      <w:pPr>
        <w:rPr>
          <w:sz w:val="19"/>
          <w:szCs w:val="19"/>
          <w:lang w:val="es-ES"/>
        </w:rPr>
      </w:pPr>
      <w:r w:rsidRPr="007C2631">
        <w:rPr>
          <w:sz w:val="19"/>
          <w:szCs w:val="19"/>
          <w:lang w:val="es-ES"/>
        </w:rPr>
        <w:t xml:space="preserve">** Excluidos gastos de apoyo del organismo. </w:t>
      </w:r>
    </w:p>
    <w:p w:rsidR="0069717E" w:rsidRPr="007C2631" w:rsidRDefault="0069717E" w:rsidP="0069717E">
      <w:pPr>
        <w:rPr>
          <w:lang w:val="es-ES"/>
        </w:rPr>
      </w:pPr>
    </w:p>
    <w:p w:rsidR="0069717E" w:rsidRPr="007C2631" w:rsidRDefault="0069717E" w:rsidP="0069717E">
      <w:pPr>
        <w:pStyle w:val="Heading1"/>
        <w:rPr>
          <w:lang w:val="es-ES"/>
        </w:rPr>
      </w:pPr>
      <w:r w:rsidRPr="007C2631">
        <w:rPr>
          <w:lang w:val="es-ES"/>
        </w:rPr>
        <w:t>En el Cuadro 3 se presenta una reseña de la situación de la ejecución de proyectos por año.</w:t>
      </w:r>
      <w:r w:rsidRPr="007C2631">
        <w:rPr>
          <w:rStyle w:val="FootnoteReference"/>
          <w:lang w:val="es-ES"/>
        </w:rPr>
        <w:footnoteReference w:id="21"/>
      </w:r>
      <w:r w:rsidRPr="007C2631">
        <w:rPr>
          <w:lang w:val="es-ES"/>
        </w:rPr>
        <w:t xml:space="preserve"> De los 3.320 millones de $EUA aprobados, se desembolsaron 3.080 millones de $EUA (incluyendo 78,96 millones de $EUA desembolsados en 2019). Todos los proyectos y las actividades que se aprobaron entre 1991 y 2005, y en 2007 se han terminado ya. Los proyectos aprobados (de inversión y ajenos a la inversión) han dado lugar a la eliminación de 493.405 toneladas PAO</w:t>
      </w:r>
      <w:r w:rsidRPr="007C2631">
        <w:rPr>
          <w:vertAlign w:val="superscript"/>
          <w:lang w:val="es-ES"/>
        </w:rPr>
        <w:footnoteReference w:id="22"/>
      </w:r>
      <w:r w:rsidRPr="007C2631">
        <w:rPr>
          <w:lang w:val="es-ES"/>
        </w:rPr>
        <w:t xml:space="preserve"> de consumo y producción de sustancias controladas. A 31 de diciembre de 2019, se habían terminado proyectos de inversión por valor de alrededor de 2.270 millones de $EUA, que dieron lugar a la eliminación permanente de 474.830 toneladas PAO de sustancias controladas, con una relación de costo a eficacia general de 4,77 $EUA/kg PAO eliminado. </w:t>
      </w:r>
    </w:p>
    <w:p w:rsidR="0069717E" w:rsidRPr="007C2631" w:rsidRDefault="0069717E" w:rsidP="0069717E">
      <w:pPr>
        <w:keepNext/>
        <w:suppressAutoHyphens/>
        <w:rPr>
          <w:b/>
          <w:spacing w:val="-3"/>
          <w:lang w:val="es-ES"/>
        </w:rPr>
      </w:pPr>
      <w:r w:rsidRPr="007C2631">
        <w:rPr>
          <w:b/>
          <w:lang w:val="es-ES"/>
        </w:rPr>
        <w:t>Cuadro 3. Estado de ejecución de proyectos por año</w:t>
      </w:r>
    </w:p>
    <w:tbl>
      <w:tblPr>
        <w:tblW w:w="9420" w:type="dxa"/>
        <w:tblInd w:w="-5" w:type="dxa"/>
        <w:tblLook w:val="04A0" w:firstRow="1" w:lastRow="0" w:firstColumn="1" w:lastColumn="0" w:noHBand="0" w:noVBand="1"/>
      </w:tblPr>
      <w:tblGrid>
        <w:gridCol w:w="809"/>
        <w:gridCol w:w="1032"/>
        <w:gridCol w:w="1107"/>
        <w:gridCol w:w="1285"/>
        <w:gridCol w:w="1501"/>
        <w:gridCol w:w="1315"/>
        <w:gridCol w:w="1171"/>
        <w:gridCol w:w="1200"/>
      </w:tblGrid>
      <w:tr w:rsidR="0069717E" w:rsidRPr="007C2631" w:rsidTr="0069717E">
        <w:trPr>
          <w:tblHeader/>
        </w:trPr>
        <w:tc>
          <w:tcPr>
            <w:tcW w:w="809"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b/>
                <w:bCs/>
                <w:sz w:val="20"/>
                <w:szCs w:val="20"/>
                <w:lang w:val="es-ES"/>
              </w:rPr>
            </w:pPr>
            <w:r w:rsidRPr="007C2631">
              <w:rPr>
                <w:b/>
                <w:bCs/>
                <w:sz w:val="20"/>
                <w:szCs w:val="20"/>
                <w:lang w:val="es-ES"/>
              </w:rPr>
              <w:t>Año</w:t>
            </w:r>
          </w:p>
        </w:tc>
        <w:tc>
          <w:tcPr>
            <w:tcW w:w="342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center"/>
              <w:rPr>
                <w:b/>
                <w:bCs/>
                <w:sz w:val="20"/>
                <w:szCs w:val="20"/>
                <w:lang w:val="es-ES"/>
              </w:rPr>
            </w:pPr>
            <w:r w:rsidRPr="007C2631">
              <w:rPr>
                <w:b/>
                <w:bCs/>
                <w:sz w:val="20"/>
                <w:szCs w:val="20"/>
                <w:lang w:val="es-ES"/>
              </w:rPr>
              <w:t>Número de proyectos*</w:t>
            </w:r>
          </w:p>
        </w:tc>
        <w:tc>
          <w:tcPr>
            <w:tcW w:w="5187"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center"/>
              <w:rPr>
                <w:b/>
                <w:bCs/>
                <w:sz w:val="20"/>
                <w:szCs w:val="20"/>
                <w:lang w:val="es-ES"/>
              </w:rPr>
            </w:pPr>
            <w:r w:rsidRPr="007C2631">
              <w:rPr>
                <w:b/>
                <w:bCs/>
                <w:sz w:val="20"/>
                <w:szCs w:val="20"/>
                <w:lang w:val="es-ES"/>
              </w:rPr>
              <w:t>Financiación ($EUA)**</w:t>
            </w:r>
          </w:p>
        </w:tc>
      </w:tr>
      <w:tr w:rsidR="0069717E" w:rsidRPr="007C2631" w:rsidTr="0069717E">
        <w:trPr>
          <w:tblHeader/>
        </w:trPr>
        <w:tc>
          <w:tcPr>
            <w:tcW w:w="809"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rsidR="0069717E" w:rsidRPr="007C2631" w:rsidRDefault="0069717E" w:rsidP="0069717E">
            <w:pPr>
              <w:jc w:val="left"/>
              <w:rPr>
                <w:b/>
                <w:bCs/>
                <w:sz w:val="20"/>
                <w:szCs w:val="20"/>
                <w:lang w:val="es-ES" w:eastAsia="en-CA"/>
              </w:rPr>
            </w:pPr>
          </w:p>
        </w:tc>
        <w:tc>
          <w:tcPr>
            <w:tcW w:w="103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center"/>
              <w:rPr>
                <w:b/>
                <w:bCs/>
                <w:sz w:val="20"/>
                <w:szCs w:val="20"/>
                <w:lang w:val="es-ES"/>
              </w:rPr>
            </w:pPr>
            <w:r w:rsidRPr="007C2631">
              <w:rPr>
                <w:b/>
                <w:bCs/>
                <w:sz w:val="20"/>
                <w:szCs w:val="20"/>
                <w:lang w:val="es-ES"/>
              </w:rPr>
              <w:t>Aprobados</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center"/>
              <w:rPr>
                <w:b/>
                <w:bCs/>
                <w:sz w:val="20"/>
                <w:szCs w:val="20"/>
                <w:lang w:val="es-ES"/>
              </w:rPr>
            </w:pPr>
            <w:r w:rsidRPr="007C2631">
              <w:rPr>
                <w:b/>
                <w:bCs/>
                <w:sz w:val="20"/>
                <w:szCs w:val="20"/>
                <w:lang w:val="es-ES"/>
              </w:rPr>
              <w:t>Terminados</w:t>
            </w:r>
          </w:p>
        </w:tc>
        <w:tc>
          <w:tcPr>
            <w:tcW w:w="1283"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ind w:left="-191" w:right="-111"/>
              <w:jc w:val="center"/>
              <w:rPr>
                <w:b/>
                <w:bCs/>
                <w:sz w:val="20"/>
                <w:szCs w:val="20"/>
                <w:lang w:val="es-ES"/>
              </w:rPr>
            </w:pPr>
            <w:r w:rsidRPr="007C2631">
              <w:rPr>
                <w:b/>
                <w:bCs/>
                <w:sz w:val="20"/>
                <w:szCs w:val="20"/>
                <w:lang w:val="es-ES"/>
              </w:rPr>
              <w:t>% terminados</w:t>
            </w:r>
          </w:p>
        </w:tc>
        <w:tc>
          <w:tcPr>
            <w:tcW w:w="1501"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center"/>
              <w:rPr>
                <w:b/>
                <w:bCs/>
                <w:sz w:val="20"/>
                <w:szCs w:val="20"/>
                <w:lang w:val="es-ES"/>
              </w:rPr>
            </w:pPr>
            <w:r w:rsidRPr="007C2631">
              <w:rPr>
                <w:b/>
                <w:bCs/>
                <w:sz w:val="20"/>
                <w:szCs w:val="20"/>
                <w:lang w:val="es-ES"/>
              </w:rPr>
              <w:t>Aprobada</w:t>
            </w:r>
          </w:p>
        </w:tc>
        <w:tc>
          <w:tcPr>
            <w:tcW w:w="131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center"/>
              <w:rPr>
                <w:b/>
                <w:bCs/>
                <w:sz w:val="20"/>
                <w:szCs w:val="20"/>
                <w:lang w:val="es-ES"/>
              </w:rPr>
            </w:pPr>
            <w:r w:rsidRPr="007C2631">
              <w:rPr>
                <w:b/>
                <w:bCs/>
                <w:sz w:val="20"/>
                <w:szCs w:val="20"/>
                <w:lang w:val="es-ES"/>
              </w:rPr>
              <w:t>Desembolsada</w:t>
            </w:r>
          </w:p>
        </w:tc>
        <w:tc>
          <w:tcPr>
            <w:tcW w:w="1171"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center"/>
              <w:rPr>
                <w:b/>
                <w:bCs/>
                <w:sz w:val="20"/>
                <w:szCs w:val="20"/>
                <w:lang w:val="es-ES"/>
              </w:rPr>
            </w:pPr>
            <w:r w:rsidRPr="007C2631">
              <w:rPr>
                <w:b/>
                <w:bCs/>
                <w:sz w:val="20"/>
                <w:szCs w:val="20"/>
                <w:lang w:val="es-ES"/>
              </w:rPr>
              <w:t>Saldo</w:t>
            </w:r>
          </w:p>
        </w:tc>
        <w:tc>
          <w:tcPr>
            <w:tcW w:w="119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ind w:left="-135" w:right="-109"/>
              <w:jc w:val="center"/>
              <w:rPr>
                <w:b/>
                <w:bCs/>
                <w:sz w:val="20"/>
                <w:szCs w:val="20"/>
                <w:lang w:val="es-ES"/>
              </w:rPr>
            </w:pPr>
            <w:r w:rsidRPr="007C2631">
              <w:rPr>
                <w:b/>
                <w:bCs/>
                <w:sz w:val="20"/>
                <w:szCs w:val="20"/>
                <w:lang w:val="es-ES"/>
              </w:rPr>
              <w:t>% desembolsado</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1991</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68</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68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7.950.771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7.950.771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1992</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176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176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41.261.376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41.261.376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1993</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217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217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73.198.586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73.198.586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1994</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379</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379</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128.630.290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128.630.290</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1995</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355</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355</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111.188.309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111.188.309</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1996</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257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257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83.813.027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83.813.027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1997</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532</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532</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154.314.938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154.314.941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1998</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422</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422</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99.680.368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99.680.367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1999</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546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546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152.710.736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152.710.736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2000</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426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426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109.540.523</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109.540.523</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2001</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427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427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130.139.750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130.139.751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2002</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358</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358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162.045.816</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162.045.816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2003</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247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247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157.043.468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157.043.468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2004</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271</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271</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162.388.007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162.388.007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lastRenderedPageBreak/>
              <w:t>2005</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255</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255</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180.276.023</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180.276.022</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2006</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261</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260</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120.848.004</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120.729.668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118.336</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2007</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213</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213</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120.144.867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120.084.047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60.821</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2008</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354</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352</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99</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121.900.010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121.598.284</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301.726</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2009</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320</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318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99</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73.793.821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73.051.122</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742.699</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99</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2010</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227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223</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98</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84.697.247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82.746.128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1.951.119</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98</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2011</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264</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257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97</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202.086.773</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198.026.586</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4.060.187</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98</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2012</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182</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163</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101.151.368</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96.885.098</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4.266.270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96</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2013</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184</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177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96</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125.807.625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123.885.672</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1.921.954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98</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2014</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223</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196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88</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92.977.837</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88.961.503</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4.016.334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96</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2015</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379</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328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87</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160.521.930</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136.658.684</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23.863.246</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85</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2016</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240</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148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62</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116.244.679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80.858.764</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35.385.915</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70</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2017</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125</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57</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46</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64.366.109</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52.225.009</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12.141.100</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81</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2018</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271</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8</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3</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123.597.665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27.629.301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95.968.364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22</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sz w:val="20"/>
                <w:szCs w:val="20"/>
                <w:lang w:val="es-ES"/>
              </w:rPr>
            </w:pPr>
            <w:r w:rsidRPr="007C2631">
              <w:rPr>
                <w:sz w:val="20"/>
                <w:szCs w:val="20"/>
                <w:lang w:val="es-ES"/>
              </w:rPr>
              <w:t>2019</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227</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54.291.561</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551.947</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sz w:val="20"/>
                <w:szCs w:val="20"/>
                <w:lang w:val="es-ES"/>
              </w:rPr>
            </w:pPr>
            <w:r w:rsidRPr="007C2631">
              <w:rPr>
                <w:sz w:val="20"/>
                <w:szCs w:val="20"/>
                <w:lang w:val="es-ES"/>
              </w:rPr>
              <w:t>53.739.614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sz w:val="20"/>
                <w:szCs w:val="20"/>
                <w:lang w:val="es-ES"/>
              </w:rPr>
            </w:pPr>
            <w:r w:rsidRPr="007C2631">
              <w:rPr>
                <w:sz w:val="20"/>
                <w:szCs w:val="20"/>
                <w:lang w:val="es-ES"/>
              </w:rPr>
              <w:t>1</w:t>
            </w:r>
          </w:p>
        </w:tc>
      </w:tr>
      <w:tr w:rsidR="0069717E" w:rsidRPr="007C2631" w:rsidTr="0069717E">
        <w:tc>
          <w:tcPr>
            <w:tcW w:w="809"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left"/>
              <w:rPr>
                <w:b/>
                <w:bCs/>
                <w:sz w:val="20"/>
                <w:szCs w:val="20"/>
                <w:lang w:val="es-ES"/>
              </w:rPr>
            </w:pPr>
            <w:r w:rsidRPr="007C2631">
              <w:rPr>
                <w:b/>
                <w:bCs/>
                <w:sz w:val="20"/>
                <w:szCs w:val="20"/>
                <w:lang w:val="es-ES"/>
              </w:rPr>
              <w:t>Total</w:t>
            </w:r>
          </w:p>
        </w:tc>
        <w:tc>
          <w:tcPr>
            <w:tcW w:w="1032"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8.406</w:t>
            </w:r>
          </w:p>
        </w:tc>
        <w:tc>
          <w:tcPr>
            <w:tcW w:w="1107"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7.636</w:t>
            </w:r>
          </w:p>
        </w:tc>
        <w:tc>
          <w:tcPr>
            <w:tcW w:w="1283"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91</w:t>
            </w:r>
          </w:p>
        </w:tc>
        <w:tc>
          <w:tcPr>
            <w:tcW w:w="150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3.316.611.485</w:t>
            </w:r>
          </w:p>
        </w:tc>
        <w:tc>
          <w:tcPr>
            <w:tcW w:w="1315"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3.078.073.801</w:t>
            </w:r>
          </w:p>
        </w:tc>
        <w:tc>
          <w:tcPr>
            <w:tcW w:w="1171" w:type="dxa"/>
            <w:tcBorders>
              <w:top w:val="nil"/>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right"/>
              <w:rPr>
                <w:b/>
                <w:sz w:val="20"/>
                <w:szCs w:val="20"/>
                <w:lang w:val="es-ES"/>
              </w:rPr>
            </w:pPr>
            <w:r w:rsidRPr="007C2631">
              <w:rPr>
                <w:b/>
                <w:sz w:val="20"/>
                <w:szCs w:val="20"/>
                <w:lang w:val="es-ES"/>
              </w:rPr>
              <w:t>238.537.684</w:t>
            </w:r>
          </w:p>
        </w:tc>
        <w:tc>
          <w:tcPr>
            <w:tcW w:w="1199" w:type="dxa"/>
            <w:tcBorders>
              <w:top w:val="nil"/>
              <w:left w:val="nil"/>
              <w:bottom w:val="single" w:sz="4" w:space="0" w:color="auto"/>
              <w:right w:val="single" w:sz="4" w:space="0" w:color="auto"/>
            </w:tcBorders>
            <w:shd w:val="clear" w:color="auto" w:fill="auto"/>
            <w:noWrap/>
            <w:tcMar>
              <w:left w:w="72" w:type="dxa"/>
              <w:right w:w="173"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93</w:t>
            </w:r>
          </w:p>
        </w:tc>
      </w:tr>
    </w:tbl>
    <w:p w:rsidR="0069717E" w:rsidRPr="007C2631" w:rsidRDefault="0069717E" w:rsidP="0069717E">
      <w:pPr>
        <w:rPr>
          <w:sz w:val="19"/>
          <w:szCs w:val="19"/>
          <w:lang w:val="es-ES"/>
        </w:rPr>
      </w:pPr>
      <w:r w:rsidRPr="007C2631">
        <w:rPr>
          <w:sz w:val="19"/>
          <w:szCs w:val="19"/>
          <w:lang w:val="es-ES"/>
        </w:rPr>
        <w:t>* Excluye proyectos cerrados y transferidos.</w:t>
      </w:r>
    </w:p>
    <w:p w:rsidR="0069717E" w:rsidRPr="007C2631" w:rsidRDefault="0069717E" w:rsidP="0069717E">
      <w:pPr>
        <w:rPr>
          <w:sz w:val="19"/>
          <w:szCs w:val="19"/>
          <w:lang w:val="es-ES"/>
        </w:rPr>
      </w:pPr>
      <w:r w:rsidRPr="007C2631">
        <w:rPr>
          <w:sz w:val="19"/>
          <w:szCs w:val="19"/>
          <w:lang w:val="es-ES"/>
        </w:rPr>
        <w:t xml:space="preserve">** Excluye gastos de apoyo del organismo. </w:t>
      </w:r>
    </w:p>
    <w:p w:rsidR="0069717E" w:rsidRPr="007C2631" w:rsidRDefault="0069717E" w:rsidP="0069717E">
      <w:pPr>
        <w:rPr>
          <w:lang w:val="es-ES"/>
        </w:rPr>
      </w:pPr>
    </w:p>
    <w:p w:rsidR="0069717E" w:rsidRPr="007C2631" w:rsidRDefault="0069717E" w:rsidP="0069717E">
      <w:pPr>
        <w:pStyle w:val="a--"/>
        <w:keepNext/>
        <w:tabs>
          <w:tab w:val="clear" w:pos="-720"/>
          <w:tab w:val="clear" w:pos="0"/>
          <w:tab w:val="clear" w:pos="720"/>
          <w:tab w:val="clear" w:pos="1440"/>
          <w:tab w:val="clear" w:pos="2160"/>
          <w:tab w:val="clear" w:pos="2880"/>
          <w:tab w:val="clear" w:pos="3600"/>
        </w:tabs>
        <w:rPr>
          <w:caps/>
          <w:spacing w:val="-3"/>
          <w:sz w:val="22"/>
          <w:szCs w:val="22"/>
        </w:rPr>
      </w:pPr>
      <w:r w:rsidRPr="007C2631">
        <w:rPr>
          <w:caps/>
          <w:sz w:val="22"/>
          <w:szCs w:val="22"/>
        </w:rPr>
        <w:t>Proyectos terminados</w:t>
      </w:r>
      <w:r w:rsidRPr="007C2631">
        <w:rPr>
          <w:rStyle w:val="FootnoteReference"/>
          <w:caps/>
          <w:spacing w:val="-3"/>
          <w:sz w:val="22"/>
          <w:szCs w:val="22"/>
        </w:rPr>
        <w:footnoteReference w:id="23"/>
      </w:r>
    </w:p>
    <w:p w:rsidR="0069717E" w:rsidRPr="007C2631" w:rsidRDefault="0069717E" w:rsidP="0069717E">
      <w:pPr>
        <w:pStyle w:val="a--"/>
        <w:keepNext/>
        <w:tabs>
          <w:tab w:val="clear" w:pos="-720"/>
          <w:tab w:val="clear" w:pos="0"/>
          <w:tab w:val="clear" w:pos="720"/>
          <w:tab w:val="clear" w:pos="1440"/>
          <w:tab w:val="clear" w:pos="2160"/>
          <w:tab w:val="clear" w:pos="2880"/>
          <w:tab w:val="clear" w:pos="3600"/>
        </w:tabs>
        <w:rPr>
          <w:b w:val="0"/>
          <w:caps/>
          <w:spacing w:val="-3"/>
          <w:sz w:val="22"/>
          <w:szCs w:val="22"/>
        </w:rPr>
      </w:pPr>
    </w:p>
    <w:p w:rsidR="0069717E" w:rsidRPr="007C2631" w:rsidRDefault="0069717E" w:rsidP="0069717E">
      <w:pPr>
        <w:pStyle w:val="Heading1"/>
        <w:rPr>
          <w:lang w:val="es-ES"/>
        </w:rPr>
      </w:pPr>
      <w:r w:rsidRPr="007C2631">
        <w:rPr>
          <w:lang w:val="es-ES"/>
        </w:rPr>
        <w:t>En total, se ha desembolsado el 99,7 por ciento de los fondos aprobados para proyectos de inversión terminados.</w:t>
      </w:r>
      <w:r w:rsidRPr="007C2631">
        <w:rPr>
          <w:rStyle w:val="FootnoteReference"/>
          <w:lang w:val="es-ES"/>
        </w:rPr>
        <w:footnoteReference w:id="24"/>
      </w:r>
      <w:r w:rsidRPr="007C2631">
        <w:rPr>
          <w:lang w:val="es-ES"/>
        </w:rPr>
        <w:t xml:space="preserve"> </w:t>
      </w:r>
    </w:p>
    <w:p w:rsidR="0069717E" w:rsidRPr="007C2631" w:rsidRDefault="0069717E" w:rsidP="0069717E">
      <w:pPr>
        <w:keepNext/>
        <w:rPr>
          <w:b/>
          <w:lang w:val="es-ES"/>
        </w:rPr>
      </w:pPr>
      <w:r w:rsidRPr="007C2631">
        <w:rPr>
          <w:b/>
          <w:lang w:val="es-ES"/>
        </w:rPr>
        <w:t>Proyectos de inversión terminados</w:t>
      </w:r>
    </w:p>
    <w:p w:rsidR="0069717E" w:rsidRPr="007C2631" w:rsidRDefault="0069717E" w:rsidP="0069717E">
      <w:pPr>
        <w:keepNext/>
        <w:rPr>
          <w:lang w:val="es-ES"/>
        </w:rPr>
      </w:pPr>
    </w:p>
    <w:p w:rsidR="0069717E" w:rsidRPr="007C2631" w:rsidRDefault="0069717E" w:rsidP="0069717E">
      <w:pPr>
        <w:pStyle w:val="Heading1"/>
        <w:rPr>
          <w:lang w:val="es-ES"/>
        </w:rPr>
      </w:pPr>
      <w:r w:rsidRPr="007C2631">
        <w:rPr>
          <w:lang w:val="es-ES"/>
        </w:rPr>
        <w:t>En el Cuadro 4 se presenta información sobre los proyectos de inversión que se han terminado desde 1991. En el cuadro se presentan los datos totalizados, seguidos por datos en función de la región, el sector, las características de la ejecución y el método de desembolso.</w:t>
      </w:r>
    </w:p>
    <w:p w:rsidR="0069717E" w:rsidRPr="007C2631" w:rsidRDefault="0069717E" w:rsidP="0069717E">
      <w:pPr>
        <w:keepNext/>
        <w:keepLines/>
        <w:rPr>
          <w:b/>
          <w:lang w:val="es-ES"/>
        </w:rPr>
      </w:pPr>
      <w:r w:rsidRPr="007C2631">
        <w:rPr>
          <w:b/>
          <w:lang w:val="es-ES"/>
        </w:rPr>
        <w:t>Cuadro 4. Proyectos de inversión terminados acumulados</w:t>
      </w:r>
    </w:p>
    <w:tbl>
      <w:tblPr>
        <w:tblW w:w="9772" w:type="dxa"/>
        <w:tblInd w:w="-147" w:type="dxa"/>
        <w:tblLayout w:type="fixed"/>
        <w:tblLook w:val="04A0" w:firstRow="1" w:lastRow="0" w:firstColumn="1" w:lastColumn="0" w:noHBand="0" w:noVBand="1"/>
      </w:tblPr>
      <w:tblGrid>
        <w:gridCol w:w="1418"/>
        <w:gridCol w:w="709"/>
        <w:gridCol w:w="1165"/>
        <w:gridCol w:w="900"/>
        <w:gridCol w:w="1080"/>
        <w:gridCol w:w="1080"/>
        <w:gridCol w:w="1260"/>
        <w:gridCol w:w="1080"/>
        <w:gridCol w:w="1080"/>
      </w:tblGrid>
      <w:tr w:rsidR="0069717E" w:rsidRPr="009F5138" w:rsidTr="0069717E">
        <w:trPr>
          <w:tblHeader/>
        </w:trPr>
        <w:tc>
          <w:tcPr>
            <w:tcW w:w="1418"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7C2B79">
            <w:pPr>
              <w:jc w:val="center"/>
              <w:rPr>
                <w:b/>
                <w:bCs/>
                <w:sz w:val="18"/>
                <w:szCs w:val="18"/>
                <w:lang w:val="es-ES" w:eastAsia="en-CA"/>
              </w:rPr>
            </w:pPr>
            <w:r w:rsidRPr="007C2631">
              <w:rPr>
                <w:b/>
                <w:bCs/>
                <w:sz w:val="18"/>
                <w:szCs w:val="18"/>
                <w:lang w:val="es-ES" w:eastAsia="en-CA"/>
              </w:rPr>
              <w:t>Elemento</w:t>
            </w:r>
          </w:p>
        </w:tc>
        <w:tc>
          <w:tcPr>
            <w:tcW w:w="70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7C2B79">
            <w:pPr>
              <w:jc w:val="center"/>
              <w:rPr>
                <w:b/>
                <w:bCs/>
                <w:sz w:val="18"/>
                <w:szCs w:val="18"/>
                <w:lang w:val="es-ES" w:eastAsia="en-CA"/>
              </w:rPr>
            </w:pPr>
            <w:r w:rsidRPr="007C2631">
              <w:rPr>
                <w:b/>
                <w:bCs/>
                <w:sz w:val="18"/>
                <w:szCs w:val="18"/>
                <w:lang w:val="es-ES" w:eastAsia="en-CA"/>
              </w:rPr>
              <w:t>Número</w:t>
            </w:r>
          </w:p>
          <w:p w:rsidR="0069717E" w:rsidRPr="007C2631" w:rsidRDefault="0069717E" w:rsidP="007C2B79">
            <w:pPr>
              <w:jc w:val="center"/>
              <w:rPr>
                <w:b/>
                <w:bCs/>
                <w:sz w:val="18"/>
                <w:szCs w:val="18"/>
                <w:lang w:val="es-ES" w:eastAsia="en-CA"/>
              </w:rPr>
            </w:pPr>
            <w:r w:rsidRPr="007C2631">
              <w:rPr>
                <w:b/>
                <w:bCs/>
                <w:sz w:val="18"/>
                <w:szCs w:val="18"/>
                <w:lang w:val="es-ES" w:eastAsia="en-CA"/>
              </w:rPr>
              <w:t>de</w:t>
            </w:r>
          </w:p>
          <w:p w:rsidR="0069717E" w:rsidRPr="007C2631" w:rsidRDefault="0069717E" w:rsidP="007C2B79">
            <w:pPr>
              <w:jc w:val="center"/>
              <w:rPr>
                <w:b/>
                <w:bCs/>
                <w:sz w:val="18"/>
                <w:szCs w:val="18"/>
                <w:lang w:val="es-ES" w:eastAsia="en-CA"/>
              </w:rPr>
            </w:pPr>
            <w:r w:rsidRPr="007C2631">
              <w:rPr>
                <w:b/>
                <w:bCs/>
                <w:sz w:val="18"/>
                <w:szCs w:val="18"/>
                <w:lang w:val="es-ES" w:eastAsia="en-CA"/>
              </w:rPr>
              <w:t>proyectos</w:t>
            </w:r>
          </w:p>
        </w:tc>
        <w:tc>
          <w:tcPr>
            <w:tcW w:w="1165"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9717E">
            <w:pPr>
              <w:jc w:val="center"/>
              <w:rPr>
                <w:b/>
                <w:bCs/>
                <w:sz w:val="18"/>
                <w:szCs w:val="18"/>
                <w:lang w:val="es-ES" w:eastAsia="en-CA"/>
              </w:rPr>
            </w:pPr>
            <w:r w:rsidRPr="007C2631">
              <w:rPr>
                <w:b/>
                <w:bCs/>
                <w:sz w:val="18"/>
                <w:szCs w:val="18"/>
                <w:lang w:val="es-ES" w:eastAsia="en-CA"/>
              </w:rPr>
              <w:t>Fondos aprobados más ajuste</w:t>
            </w:r>
          </w:p>
          <w:p w:rsidR="0069717E" w:rsidRPr="007C2631" w:rsidRDefault="0069717E" w:rsidP="0069717E">
            <w:pPr>
              <w:jc w:val="center"/>
              <w:rPr>
                <w:b/>
                <w:bCs/>
                <w:sz w:val="18"/>
                <w:szCs w:val="18"/>
                <w:lang w:val="es-ES" w:eastAsia="en-CA"/>
              </w:rPr>
            </w:pPr>
            <w:r w:rsidRPr="007C2631">
              <w:rPr>
                <w:b/>
                <w:bCs/>
                <w:sz w:val="18"/>
                <w:szCs w:val="18"/>
                <w:lang w:val="es-ES" w:eastAsia="en-CA"/>
              </w:rPr>
              <w:t>($EUA)</w:t>
            </w:r>
          </w:p>
        </w:tc>
        <w:tc>
          <w:tcPr>
            <w:tcW w:w="90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9717E">
            <w:pPr>
              <w:jc w:val="center"/>
              <w:rPr>
                <w:b/>
                <w:bCs/>
                <w:sz w:val="18"/>
                <w:szCs w:val="18"/>
                <w:lang w:val="es-ES" w:eastAsia="en-CA"/>
              </w:rPr>
            </w:pPr>
            <w:r w:rsidRPr="007C2631">
              <w:rPr>
                <w:b/>
                <w:bCs/>
                <w:sz w:val="18"/>
                <w:szCs w:val="18"/>
                <w:lang w:val="es-ES" w:eastAsia="en-CA"/>
              </w:rPr>
              <w:t>Porcentaje de fondos desembolsados</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9717E">
            <w:pPr>
              <w:jc w:val="center"/>
              <w:rPr>
                <w:b/>
                <w:bCs/>
                <w:sz w:val="18"/>
                <w:szCs w:val="18"/>
                <w:lang w:val="es-ES" w:eastAsia="en-CA"/>
              </w:rPr>
            </w:pPr>
            <w:r w:rsidRPr="007C2631">
              <w:rPr>
                <w:b/>
                <w:bCs/>
                <w:sz w:val="18"/>
                <w:szCs w:val="18"/>
                <w:lang w:val="es-ES" w:eastAsia="en-CA"/>
              </w:rPr>
              <w:t>Consumo (toneladas PAO eliminadas*)</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9717E">
            <w:pPr>
              <w:jc w:val="center"/>
              <w:rPr>
                <w:b/>
                <w:bCs/>
                <w:sz w:val="18"/>
                <w:szCs w:val="18"/>
                <w:lang w:val="es-ES" w:eastAsia="en-CA"/>
              </w:rPr>
            </w:pPr>
            <w:r w:rsidRPr="007C2631">
              <w:rPr>
                <w:b/>
                <w:bCs/>
                <w:sz w:val="18"/>
                <w:szCs w:val="18"/>
                <w:lang w:val="es-ES" w:eastAsia="en-CA"/>
              </w:rPr>
              <w:t>Producción (toneladas PAO eliminadas*)</w:t>
            </w:r>
          </w:p>
        </w:tc>
        <w:tc>
          <w:tcPr>
            <w:tcW w:w="126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7C2B79">
            <w:pPr>
              <w:jc w:val="center"/>
              <w:rPr>
                <w:b/>
                <w:bCs/>
                <w:sz w:val="18"/>
                <w:szCs w:val="18"/>
                <w:lang w:val="es-ES" w:eastAsia="en-CA"/>
              </w:rPr>
            </w:pPr>
            <w:r w:rsidRPr="007C2631">
              <w:rPr>
                <w:b/>
                <w:bCs/>
                <w:sz w:val="18"/>
                <w:szCs w:val="18"/>
                <w:lang w:val="es-ES" w:eastAsia="en-CA"/>
              </w:rPr>
              <w:t>Número medio de meses desde la aprobación hasta el primer desembolso</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7C2B79">
            <w:pPr>
              <w:jc w:val="center"/>
              <w:rPr>
                <w:b/>
                <w:bCs/>
                <w:sz w:val="18"/>
                <w:szCs w:val="18"/>
                <w:lang w:val="es-ES" w:eastAsia="en-CA"/>
              </w:rPr>
            </w:pPr>
            <w:r w:rsidRPr="007C2631">
              <w:rPr>
                <w:b/>
                <w:bCs/>
                <w:sz w:val="18"/>
                <w:szCs w:val="18"/>
                <w:lang w:val="es-ES" w:eastAsia="en-CA"/>
              </w:rPr>
              <w:t>Número medio de meses desde la aprobación hasta la terminación</w:t>
            </w:r>
          </w:p>
        </w:tc>
        <w:tc>
          <w:tcPr>
            <w:tcW w:w="108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7C2B79">
            <w:pPr>
              <w:jc w:val="center"/>
              <w:rPr>
                <w:b/>
                <w:bCs/>
                <w:sz w:val="18"/>
                <w:szCs w:val="18"/>
                <w:lang w:val="es-ES" w:eastAsia="en-CA"/>
              </w:rPr>
            </w:pPr>
            <w:r w:rsidRPr="007C2631">
              <w:rPr>
                <w:b/>
                <w:bCs/>
                <w:sz w:val="18"/>
                <w:szCs w:val="18"/>
                <w:lang w:val="es-ES" w:eastAsia="en-CA"/>
              </w:rPr>
              <w:t>Relación de costo a eficacia general para el Fondo ($EUA/kg)</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b/>
                <w:bCs/>
                <w:sz w:val="18"/>
                <w:szCs w:val="18"/>
                <w:lang w:val="es-ES"/>
              </w:rPr>
            </w:pPr>
            <w:r w:rsidRPr="007C2631">
              <w:rPr>
                <w:b/>
                <w:bCs/>
                <w:sz w:val="18"/>
                <w:szCs w:val="18"/>
                <w:lang w:val="es-ES"/>
              </w:rPr>
              <w:t>TOTAL</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2.820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2.266.555.817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270.641</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204.189</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14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37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 xml:space="preserve">4,77 </w:t>
            </w:r>
          </w:p>
        </w:tc>
      </w:tr>
      <w:tr w:rsidR="0069717E" w:rsidRPr="007C2631" w:rsidTr="0069717E">
        <w:tc>
          <w:tcPr>
            <w:tcW w:w="1418" w:type="dxa"/>
            <w:tcBorders>
              <w:top w:val="nil"/>
              <w:left w:val="single" w:sz="4" w:space="0" w:color="auto"/>
              <w:bottom w:val="nil"/>
              <w:right w:val="nil"/>
            </w:tcBorders>
            <w:shd w:val="clear" w:color="auto" w:fill="auto"/>
            <w:noWrap/>
            <w:tcMar>
              <w:left w:w="57" w:type="dxa"/>
              <w:right w:w="57" w:type="dxa"/>
            </w:tcMar>
            <w:hideMark/>
          </w:tcPr>
          <w:p w:rsidR="0069717E" w:rsidRPr="007C2631" w:rsidRDefault="0069717E" w:rsidP="0069717E">
            <w:pPr>
              <w:jc w:val="left"/>
              <w:rPr>
                <w:b/>
                <w:bCs/>
                <w:sz w:val="18"/>
                <w:szCs w:val="18"/>
                <w:lang w:val="es-ES"/>
              </w:rPr>
            </w:pPr>
            <w:r w:rsidRPr="007C2631">
              <w:rPr>
                <w:b/>
                <w:bCs/>
                <w:sz w:val="18"/>
                <w:szCs w:val="18"/>
                <w:lang w:val="es-ES"/>
              </w:rPr>
              <w:t>Región</w:t>
            </w:r>
          </w:p>
        </w:tc>
        <w:tc>
          <w:tcPr>
            <w:tcW w:w="709"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jc w:val="left"/>
              <w:rPr>
                <w:b/>
                <w:bCs/>
                <w:sz w:val="18"/>
                <w:szCs w:val="18"/>
                <w:lang w:val="es-ES" w:eastAsia="en-CA"/>
              </w:rPr>
            </w:pPr>
          </w:p>
        </w:tc>
        <w:tc>
          <w:tcPr>
            <w:tcW w:w="1165"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90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26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jc w:val="right"/>
              <w:rPr>
                <w:sz w:val="18"/>
                <w:szCs w:val="18"/>
                <w:lang w:val="es-ES" w:eastAsia="en-CA"/>
              </w:rPr>
            </w:pPr>
          </w:p>
        </w:tc>
        <w:tc>
          <w:tcPr>
            <w:tcW w:w="1080" w:type="dxa"/>
            <w:tcBorders>
              <w:top w:val="nil"/>
              <w:left w:val="nil"/>
              <w:bottom w:val="nil"/>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África</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478</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156.820.669</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18.124</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12</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38</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8,65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Asia y el Pacífico</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1.508</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1.641.273.933</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210.069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184.239</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4,16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Europa</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146</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71.401.527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8.045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175</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8,69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América Latina y el Caribe</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688</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397.059.688</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34.404</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19.775</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14</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xml:space="preserve">7,33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lastRenderedPageBreak/>
              <w:t>Mundial</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418" w:type="dxa"/>
            <w:tcBorders>
              <w:top w:val="nil"/>
              <w:left w:val="single" w:sz="4" w:space="0" w:color="auto"/>
              <w:bottom w:val="nil"/>
              <w:right w:val="nil"/>
            </w:tcBorders>
            <w:shd w:val="clear" w:color="auto" w:fill="auto"/>
            <w:noWrap/>
            <w:tcMar>
              <w:left w:w="57" w:type="dxa"/>
              <w:right w:w="57" w:type="dxa"/>
            </w:tcMar>
            <w:hideMark/>
          </w:tcPr>
          <w:p w:rsidR="0069717E" w:rsidRPr="007C2631" w:rsidRDefault="0069717E" w:rsidP="0069717E">
            <w:pPr>
              <w:keepNext/>
              <w:jc w:val="left"/>
              <w:rPr>
                <w:b/>
                <w:bCs/>
                <w:sz w:val="18"/>
                <w:szCs w:val="18"/>
                <w:lang w:val="es-ES"/>
              </w:rPr>
            </w:pPr>
            <w:r w:rsidRPr="007C2631">
              <w:rPr>
                <w:b/>
                <w:bCs/>
                <w:sz w:val="18"/>
                <w:szCs w:val="18"/>
                <w:lang w:val="es-ES"/>
              </w:rPr>
              <w:t>Sector</w:t>
            </w:r>
          </w:p>
        </w:tc>
        <w:tc>
          <w:tcPr>
            <w:tcW w:w="709"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keepNext/>
              <w:jc w:val="left"/>
              <w:rPr>
                <w:b/>
                <w:bCs/>
                <w:sz w:val="18"/>
                <w:szCs w:val="18"/>
                <w:lang w:val="es-ES" w:eastAsia="en-CA"/>
              </w:rPr>
            </w:pPr>
          </w:p>
        </w:tc>
        <w:tc>
          <w:tcPr>
            <w:tcW w:w="1165"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keepNext/>
              <w:jc w:val="left"/>
              <w:rPr>
                <w:sz w:val="18"/>
                <w:szCs w:val="18"/>
                <w:lang w:val="es-ES" w:eastAsia="en-CA"/>
              </w:rPr>
            </w:pPr>
          </w:p>
        </w:tc>
        <w:tc>
          <w:tcPr>
            <w:tcW w:w="90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keepNext/>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keepNext/>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keepNext/>
              <w:jc w:val="left"/>
              <w:rPr>
                <w:sz w:val="18"/>
                <w:szCs w:val="18"/>
                <w:lang w:val="es-ES" w:eastAsia="en-CA"/>
              </w:rPr>
            </w:pPr>
          </w:p>
        </w:tc>
        <w:tc>
          <w:tcPr>
            <w:tcW w:w="126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keepNext/>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hideMark/>
          </w:tcPr>
          <w:p w:rsidR="0069717E" w:rsidRPr="007C2631" w:rsidRDefault="0069717E" w:rsidP="0069717E">
            <w:pPr>
              <w:keepNext/>
              <w:jc w:val="right"/>
              <w:rPr>
                <w:sz w:val="18"/>
                <w:szCs w:val="18"/>
                <w:lang w:val="es-ES" w:eastAsia="en-CA"/>
              </w:rPr>
            </w:pPr>
          </w:p>
        </w:tc>
        <w:tc>
          <w:tcPr>
            <w:tcW w:w="1080" w:type="dxa"/>
            <w:tcBorders>
              <w:top w:val="nil"/>
              <w:left w:val="nil"/>
              <w:bottom w:val="nil"/>
              <w:right w:val="single" w:sz="4" w:space="0" w:color="auto"/>
            </w:tcBorders>
            <w:shd w:val="clear" w:color="auto" w:fill="auto"/>
            <w:noWrap/>
            <w:tcMar>
              <w:left w:w="57" w:type="dxa"/>
              <w:right w:w="57" w:type="dxa"/>
            </w:tcMar>
            <w:hideMark/>
          </w:tcPr>
          <w:p w:rsidR="0069717E" w:rsidRPr="007C2631" w:rsidRDefault="0069717E" w:rsidP="0069717E">
            <w:pPr>
              <w:keepNext/>
              <w:jc w:val="right"/>
              <w:rPr>
                <w:sz w:val="18"/>
                <w:szCs w:val="18"/>
                <w:lang w:val="es-ES"/>
              </w:rPr>
            </w:pPr>
            <w:r w:rsidRPr="007C2631">
              <w:rPr>
                <w:sz w:val="18"/>
                <w:szCs w:val="18"/>
                <w:lang w:val="es-ES"/>
              </w:rPr>
              <w:t> </w:t>
            </w:r>
          </w:p>
        </w:tc>
      </w:tr>
      <w:tr w:rsidR="0069717E" w:rsidRPr="007C2631" w:rsidTr="0069717E">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keepNext/>
              <w:jc w:val="left"/>
              <w:rPr>
                <w:sz w:val="18"/>
                <w:szCs w:val="18"/>
                <w:lang w:val="es-ES"/>
              </w:rPr>
            </w:pPr>
            <w:r w:rsidRPr="007C2631">
              <w:rPr>
                <w:sz w:val="18"/>
                <w:szCs w:val="18"/>
                <w:lang w:val="es-ES"/>
              </w:rPr>
              <w:t>Aerosoles</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keepNext/>
              <w:jc w:val="right"/>
              <w:rPr>
                <w:sz w:val="18"/>
                <w:szCs w:val="18"/>
                <w:lang w:val="es-ES"/>
              </w:rPr>
            </w:pPr>
            <w:r w:rsidRPr="007C2631">
              <w:rPr>
                <w:sz w:val="18"/>
                <w:szCs w:val="18"/>
                <w:lang w:val="es-ES"/>
              </w:rPr>
              <w:t>125</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keepNext/>
              <w:jc w:val="right"/>
              <w:rPr>
                <w:sz w:val="18"/>
                <w:szCs w:val="18"/>
                <w:lang w:val="es-ES"/>
              </w:rPr>
            </w:pPr>
            <w:r w:rsidRPr="007C2631">
              <w:rPr>
                <w:sz w:val="18"/>
                <w:szCs w:val="18"/>
                <w:lang w:val="es-ES"/>
              </w:rPr>
              <w:t>63.118.299</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keepNext/>
              <w:jc w:val="right"/>
              <w:rPr>
                <w:sz w:val="18"/>
                <w:szCs w:val="18"/>
                <w:lang w:val="es-ES"/>
              </w:rPr>
            </w:pPr>
            <w:r w:rsidRPr="007C2631">
              <w:rPr>
                <w:sz w:val="18"/>
                <w:szCs w:val="18"/>
                <w:lang w:val="es-ES"/>
              </w:rPr>
              <w:t>100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keepNext/>
              <w:jc w:val="right"/>
              <w:rPr>
                <w:sz w:val="18"/>
                <w:szCs w:val="18"/>
                <w:lang w:val="es-ES"/>
              </w:rPr>
            </w:pPr>
            <w:r w:rsidRPr="007C2631">
              <w:rPr>
                <w:sz w:val="18"/>
                <w:szCs w:val="18"/>
                <w:lang w:val="es-ES"/>
              </w:rPr>
              <w:t>26.967</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keepNext/>
              <w:jc w:val="right"/>
              <w:rPr>
                <w:sz w:val="18"/>
                <w:szCs w:val="18"/>
                <w:lang w:val="es-ES"/>
              </w:rPr>
            </w:pPr>
            <w:r w:rsidRPr="007C2631">
              <w:rPr>
                <w:sz w:val="18"/>
                <w:szCs w:val="18"/>
                <w:lang w:val="es-ES"/>
              </w:rPr>
              <w:t>0</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keepNext/>
              <w:jc w:val="right"/>
              <w:rPr>
                <w:sz w:val="18"/>
                <w:szCs w:val="18"/>
                <w:lang w:val="es-ES"/>
              </w:rPr>
            </w:pPr>
            <w:r w:rsidRPr="007C2631">
              <w:rPr>
                <w:sz w:val="18"/>
                <w:szCs w:val="18"/>
                <w:lang w:val="es-ES"/>
              </w:rPr>
              <w:t>16</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keepNext/>
              <w:jc w:val="right"/>
              <w:rPr>
                <w:sz w:val="18"/>
                <w:szCs w:val="18"/>
                <w:lang w:val="es-ES"/>
              </w:rPr>
            </w:pPr>
            <w:r w:rsidRPr="007C2631">
              <w:rPr>
                <w:sz w:val="18"/>
                <w:szCs w:val="18"/>
                <w:lang w:val="es-ES"/>
              </w:rPr>
              <w:t>41</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keepNext/>
              <w:jc w:val="right"/>
              <w:rPr>
                <w:sz w:val="18"/>
                <w:szCs w:val="18"/>
                <w:lang w:val="es-ES"/>
              </w:rPr>
            </w:pPr>
            <w:r w:rsidRPr="007C2631">
              <w:rPr>
                <w:sz w:val="18"/>
                <w:szCs w:val="18"/>
                <w:lang w:val="es-ES"/>
              </w:rPr>
              <w:t xml:space="preserve">2,34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Destrucción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Lucha contra incendios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Espumas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1.003</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376.083.357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69.420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5,42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Fumigantes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123</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99.900.005</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7.993</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12,50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proofErr w:type="spellStart"/>
            <w:r w:rsidRPr="007C2631">
              <w:rPr>
                <w:sz w:val="18"/>
                <w:szCs w:val="18"/>
                <w:lang w:val="es-ES"/>
              </w:rPr>
              <w:t>Halones</w:t>
            </w:r>
            <w:proofErr w:type="spellEnd"/>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39</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71.476.177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42.111</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41.958</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0,85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Sectores múltiples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2.287.376</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419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28</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78</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5,46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Otros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8</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16.059.360</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1.574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10,20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Plan de eliminación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684</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571.925.373</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51.081</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10.988</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9,21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Agente de procesos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30</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120.252.627</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19.573</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52.162</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1,68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Producción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61</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414.398.882</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99.081</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4,18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Refrigeración</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612</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435.628.704</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44.159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9,87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Disolventes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128</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94.351.804</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7.285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12,95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Esterilizantes</w:t>
            </w:r>
          </w:p>
        </w:tc>
        <w:tc>
          <w:tcPr>
            <w:tcW w:w="709"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w:t>
            </w:r>
          </w:p>
        </w:tc>
        <w:tc>
          <w:tcPr>
            <w:tcW w:w="1165"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1.073.855</w:t>
            </w:r>
          </w:p>
        </w:tc>
        <w:tc>
          <w:tcPr>
            <w:tcW w:w="90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60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xml:space="preserve">17,78 </w:t>
            </w:r>
          </w:p>
        </w:tc>
      </w:tr>
      <w:tr w:rsidR="0069717E" w:rsidRPr="007C2631" w:rsidTr="0069717E">
        <w:tc>
          <w:tcPr>
            <w:tcW w:w="9772" w:type="dxa"/>
            <w:gridSpan w:val="9"/>
            <w:tcBorders>
              <w:top w:val="nil"/>
              <w:left w:val="single" w:sz="4" w:space="0" w:color="auto"/>
              <w:bottom w:val="nil"/>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b/>
                <w:bCs/>
                <w:sz w:val="18"/>
                <w:szCs w:val="18"/>
                <w:lang w:val="es-ES"/>
              </w:rPr>
              <w:t>Características de la ejecución</w:t>
            </w:r>
            <w:r w:rsidRPr="007C2631">
              <w:rPr>
                <w:sz w:val="18"/>
                <w:szCs w:val="18"/>
                <w:lang w:val="es-ES"/>
              </w:rPr>
              <w:t> </w:t>
            </w:r>
          </w:p>
        </w:tc>
      </w:tr>
      <w:tr w:rsidR="0069717E" w:rsidRPr="007C2631" w:rsidTr="0069717E">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Ejecución por organismos</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1.750</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803.349.958</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93.564</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17.381</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35</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xml:space="preserve">7,24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Ejecución nacional</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1.070</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1.463.205.859</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177.077</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186.808</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xml:space="preserve">4,02 </w:t>
            </w:r>
          </w:p>
        </w:tc>
      </w:tr>
      <w:tr w:rsidR="0069717E" w:rsidRPr="007C2631" w:rsidTr="0069717E">
        <w:tc>
          <w:tcPr>
            <w:tcW w:w="9772" w:type="dxa"/>
            <w:gridSpan w:val="9"/>
            <w:tcBorders>
              <w:top w:val="nil"/>
              <w:left w:val="single" w:sz="4" w:space="0" w:color="auto"/>
              <w:bottom w:val="nil"/>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b/>
                <w:bCs/>
                <w:sz w:val="18"/>
                <w:szCs w:val="18"/>
                <w:lang w:val="es-ES"/>
              </w:rPr>
              <w:t>Método de desembolso</w:t>
            </w:r>
            <w:r w:rsidRPr="007C2631">
              <w:rPr>
                <w:sz w:val="18"/>
                <w:szCs w:val="18"/>
                <w:lang w:val="es-ES"/>
              </w:rPr>
              <w:t> </w:t>
            </w:r>
          </w:p>
        </w:tc>
      </w:tr>
      <w:tr w:rsidR="0069717E" w:rsidRPr="007C2631" w:rsidTr="0069717E">
        <w:tc>
          <w:tcPr>
            <w:tcW w:w="1418"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Durante la ejecución</w:t>
            </w:r>
          </w:p>
        </w:tc>
        <w:tc>
          <w:tcPr>
            <w:tcW w:w="709"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2.711</w:t>
            </w:r>
          </w:p>
        </w:tc>
        <w:tc>
          <w:tcPr>
            <w:tcW w:w="1165"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1.958.407.716</w:t>
            </w:r>
          </w:p>
        </w:tc>
        <w:tc>
          <w:tcPr>
            <w:tcW w:w="90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263.809</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199.719</w:t>
            </w:r>
          </w:p>
        </w:tc>
        <w:tc>
          <w:tcPr>
            <w:tcW w:w="126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14</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37</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xml:space="preserve">4,23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Después de la ejecución</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50</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17.166.608</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2.512</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23</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25</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xml:space="preserve">6,83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Financiación retroactiva</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37</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14.635.851</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500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15</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xml:space="preserve">5,63 </w:t>
            </w:r>
          </w:p>
        </w:tc>
      </w:tr>
      <w:tr w:rsidR="0069717E" w:rsidRPr="007C2631" w:rsidTr="0069717E">
        <w:tc>
          <w:tcPr>
            <w:tcW w:w="1418"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País a beneficiarios finales</w:t>
            </w:r>
          </w:p>
        </w:tc>
        <w:tc>
          <w:tcPr>
            <w:tcW w:w="709"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22</w:t>
            </w:r>
          </w:p>
        </w:tc>
        <w:tc>
          <w:tcPr>
            <w:tcW w:w="1165"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276.345.642</w:t>
            </w:r>
          </w:p>
        </w:tc>
        <w:tc>
          <w:tcPr>
            <w:tcW w:w="90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2.220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3.970</w:t>
            </w:r>
          </w:p>
        </w:tc>
        <w:tc>
          <w:tcPr>
            <w:tcW w:w="126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9</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52</w:t>
            </w:r>
          </w:p>
        </w:tc>
        <w:tc>
          <w:tcPr>
            <w:tcW w:w="1080" w:type="dxa"/>
            <w:tcBorders>
              <w:top w:val="nil"/>
              <w:left w:val="nil"/>
              <w:bottom w:val="single" w:sz="4" w:space="0" w:color="auto"/>
              <w:right w:val="single" w:sz="4" w:space="0" w:color="auto"/>
            </w:tcBorders>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xml:space="preserve">44,64 </w:t>
            </w:r>
          </w:p>
        </w:tc>
      </w:tr>
    </w:tbl>
    <w:p w:rsidR="0069717E" w:rsidRPr="007C2631" w:rsidRDefault="0069717E" w:rsidP="0069717E">
      <w:pPr>
        <w:rPr>
          <w:sz w:val="18"/>
          <w:szCs w:val="18"/>
          <w:lang w:val="es-ES"/>
        </w:rPr>
      </w:pPr>
      <w:r w:rsidRPr="007C2631">
        <w:rPr>
          <w:sz w:val="18"/>
          <w:szCs w:val="18"/>
          <w:lang w:val="es-ES"/>
        </w:rPr>
        <w:t>* Excluidos los proyectos cerrados y transferidos.</w:t>
      </w:r>
    </w:p>
    <w:p w:rsidR="0069717E" w:rsidRPr="007C2631" w:rsidRDefault="0069717E" w:rsidP="0069717E">
      <w:pPr>
        <w:keepNext/>
        <w:keepLines/>
        <w:rPr>
          <w:b/>
          <w:lang w:val="es-ES"/>
        </w:rPr>
      </w:pPr>
    </w:p>
    <w:p w:rsidR="0069717E" w:rsidRPr="007C2631" w:rsidRDefault="0069717E" w:rsidP="0069717E">
      <w:pPr>
        <w:pStyle w:val="a--"/>
        <w:suppressAutoHyphens w:val="0"/>
        <w:rPr>
          <w:sz w:val="22"/>
          <w:szCs w:val="22"/>
        </w:rPr>
      </w:pPr>
      <w:r w:rsidRPr="007C2631">
        <w:rPr>
          <w:sz w:val="22"/>
          <w:szCs w:val="22"/>
        </w:rPr>
        <w:t>Proyectos ajenos a la inversión terminados</w:t>
      </w:r>
    </w:p>
    <w:p w:rsidR="0069717E" w:rsidRPr="007C2631" w:rsidRDefault="0069717E" w:rsidP="0069717E">
      <w:pPr>
        <w:pStyle w:val="a--"/>
        <w:suppressAutoHyphens w:val="0"/>
      </w:pPr>
    </w:p>
    <w:p w:rsidR="0069717E" w:rsidRPr="007C2631" w:rsidRDefault="0069717E" w:rsidP="0069717E">
      <w:pPr>
        <w:pStyle w:val="Heading1"/>
        <w:rPr>
          <w:lang w:val="es-ES"/>
        </w:rPr>
      </w:pPr>
      <w:r w:rsidRPr="007C2631">
        <w:rPr>
          <w:lang w:val="es-ES"/>
        </w:rPr>
        <w:t xml:space="preserve">En el Cuadro 5 se presentan los datos sobre los proyectos ajenos a la inversión terminados. Desde 1991, se han terminado 3.223 proyectos ajenos a la inversión, por un valor total de 509,78 millones de $EUA. </w:t>
      </w:r>
    </w:p>
    <w:p w:rsidR="0069717E" w:rsidRPr="007C2631" w:rsidRDefault="0069717E" w:rsidP="0069717E">
      <w:pPr>
        <w:keepNext/>
        <w:rPr>
          <w:b/>
          <w:lang w:val="es-ES"/>
        </w:rPr>
      </w:pPr>
      <w:r w:rsidRPr="007C2631">
        <w:rPr>
          <w:b/>
          <w:lang w:val="es-ES"/>
        </w:rPr>
        <w:t>Cuadro 5. Proyectos ajenos a la inversión terminados acumulados</w:t>
      </w:r>
    </w:p>
    <w:tbl>
      <w:tblPr>
        <w:tblW w:w="9360" w:type="dxa"/>
        <w:tblInd w:w="-5" w:type="dxa"/>
        <w:tblLook w:val="04A0" w:firstRow="1" w:lastRow="0" w:firstColumn="1" w:lastColumn="0" w:noHBand="0" w:noVBand="1"/>
      </w:tblPr>
      <w:tblGrid>
        <w:gridCol w:w="2520"/>
        <w:gridCol w:w="1350"/>
        <w:gridCol w:w="1530"/>
        <w:gridCol w:w="1080"/>
        <w:gridCol w:w="1440"/>
        <w:gridCol w:w="1440"/>
      </w:tblGrid>
      <w:tr w:rsidR="0069717E" w:rsidRPr="009F5138" w:rsidTr="0069717E">
        <w:trPr>
          <w:trHeight w:val="612"/>
          <w:tblHeader/>
        </w:trPr>
        <w:tc>
          <w:tcPr>
            <w:tcW w:w="252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69717E" w:rsidRPr="007C2631" w:rsidRDefault="0069717E" w:rsidP="007C2B79">
            <w:pPr>
              <w:jc w:val="center"/>
              <w:rPr>
                <w:b/>
                <w:bCs/>
                <w:sz w:val="18"/>
                <w:szCs w:val="18"/>
                <w:lang w:val="es-ES"/>
              </w:rPr>
            </w:pPr>
            <w:r w:rsidRPr="007C2631">
              <w:rPr>
                <w:b/>
                <w:bCs/>
                <w:sz w:val="18"/>
                <w:szCs w:val="18"/>
                <w:lang w:val="es-ES"/>
              </w:rPr>
              <w:t>Elemento</w:t>
            </w:r>
          </w:p>
        </w:tc>
        <w:tc>
          <w:tcPr>
            <w:tcW w:w="135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69717E" w:rsidRPr="007C2631" w:rsidRDefault="0069717E" w:rsidP="007C2B79">
            <w:pPr>
              <w:jc w:val="center"/>
              <w:rPr>
                <w:b/>
                <w:bCs/>
                <w:sz w:val="18"/>
                <w:szCs w:val="18"/>
                <w:lang w:val="es-ES"/>
              </w:rPr>
            </w:pPr>
            <w:r w:rsidRPr="007C2631">
              <w:rPr>
                <w:b/>
                <w:bCs/>
                <w:sz w:val="18"/>
                <w:szCs w:val="18"/>
                <w:lang w:val="es-ES"/>
              </w:rPr>
              <w:t>Número de proyectos</w:t>
            </w:r>
          </w:p>
        </w:tc>
        <w:tc>
          <w:tcPr>
            <w:tcW w:w="153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69717E" w:rsidRPr="007C2631" w:rsidRDefault="0069717E" w:rsidP="007C2B79">
            <w:pPr>
              <w:jc w:val="center"/>
              <w:rPr>
                <w:b/>
                <w:bCs/>
                <w:sz w:val="18"/>
                <w:szCs w:val="18"/>
                <w:lang w:val="es-ES"/>
              </w:rPr>
            </w:pPr>
            <w:r w:rsidRPr="007C2631">
              <w:rPr>
                <w:b/>
                <w:bCs/>
                <w:sz w:val="18"/>
                <w:szCs w:val="18"/>
                <w:lang w:val="es-ES"/>
              </w:rPr>
              <w:t>Financiación aprobada más ajuste ($EUA)</w:t>
            </w:r>
          </w:p>
        </w:tc>
        <w:tc>
          <w:tcPr>
            <w:tcW w:w="108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69717E" w:rsidRPr="007C2631" w:rsidRDefault="0069717E" w:rsidP="007C2B79">
            <w:pPr>
              <w:jc w:val="center"/>
              <w:rPr>
                <w:b/>
                <w:bCs/>
                <w:sz w:val="18"/>
                <w:szCs w:val="18"/>
                <w:lang w:val="es-ES"/>
              </w:rPr>
            </w:pPr>
            <w:r w:rsidRPr="007C2631">
              <w:rPr>
                <w:b/>
                <w:bCs/>
                <w:sz w:val="18"/>
                <w:szCs w:val="18"/>
                <w:lang w:val="es-ES"/>
              </w:rPr>
              <w:t>Porcentaje de fondos desembolsados</w:t>
            </w:r>
          </w:p>
        </w:tc>
        <w:tc>
          <w:tcPr>
            <w:tcW w:w="144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69717E" w:rsidRPr="007C2631" w:rsidRDefault="0069717E" w:rsidP="007C2B79">
            <w:pPr>
              <w:jc w:val="center"/>
              <w:rPr>
                <w:b/>
                <w:bCs/>
                <w:sz w:val="18"/>
                <w:szCs w:val="18"/>
                <w:lang w:val="es-ES"/>
              </w:rPr>
            </w:pPr>
            <w:r w:rsidRPr="007C2631">
              <w:rPr>
                <w:b/>
                <w:bCs/>
                <w:sz w:val="18"/>
                <w:szCs w:val="18"/>
                <w:lang w:val="es-ES"/>
              </w:rPr>
              <w:t>Número medio de meses desde la aprobación hasta el primer desembolso</w:t>
            </w:r>
          </w:p>
        </w:tc>
        <w:tc>
          <w:tcPr>
            <w:tcW w:w="1440"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rsidR="0069717E" w:rsidRPr="007C2631" w:rsidRDefault="0069717E" w:rsidP="007C2B79">
            <w:pPr>
              <w:ind w:left="-133" w:right="-108"/>
              <w:jc w:val="center"/>
              <w:rPr>
                <w:b/>
                <w:bCs/>
                <w:sz w:val="18"/>
                <w:szCs w:val="18"/>
                <w:lang w:val="es-ES"/>
              </w:rPr>
            </w:pPr>
            <w:r w:rsidRPr="007C2631">
              <w:rPr>
                <w:b/>
                <w:bCs/>
                <w:sz w:val="18"/>
                <w:szCs w:val="18"/>
                <w:lang w:val="es-ES"/>
              </w:rPr>
              <w:t>Número medio de meses desde la aprobación hasta la terminación</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b/>
                <w:bCs/>
                <w:sz w:val="18"/>
                <w:szCs w:val="18"/>
                <w:lang w:val="es-ES"/>
              </w:rPr>
            </w:pPr>
            <w:r w:rsidRPr="007C2631">
              <w:rPr>
                <w:b/>
                <w:bCs/>
                <w:sz w:val="18"/>
                <w:szCs w:val="18"/>
                <w:lang w:val="es-ES"/>
              </w:rPr>
              <w:t>TOTAL</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3.223</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509.781.577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12</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b/>
                <w:sz w:val="18"/>
                <w:szCs w:val="18"/>
                <w:lang w:val="es-ES"/>
              </w:rPr>
            </w:pPr>
            <w:r w:rsidRPr="007C2631">
              <w:rPr>
                <w:b/>
                <w:sz w:val="18"/>
                <w:szCs w:val="18"/>
                <w:lang w:val="es-ES"/>
              </w:rPr>
              <w:t>38</w:t>
            </w:r>
          </w:p>
        </w:tc>
      </w:tr>
      <w:tr w:rsidR="0069717E" w:rsidRPr="007C2631" w:rsidTr="0069717E">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rsidR="0069717E" w:rsidRPr="007C2631" w:rsidRDefault="0069717E" w:rsidP="0069717E">
            <w:pPr>
              <w:jc w:val="left"/>
              <w:rPr>
                <w:b/>
                <w:bCs/>
                <w:sz w:val="18"/>
                <w:szCs w:val="18"/>
                <w:lang w:val="es-ES"/>
              </w:rPr>
            </w:pPr>
            <w:r w:rsidRPr="007C2631">
              <w:rPr>
                <w:b/>
                <w:bCs/>
                <w:sz w:val="18"/>
                <w:szCs w:val="18"/>
                <w:lang w:val="es-ES"/>
              </w:rPr>
              <w:t>Región</w:t>
            </w:r>
          </w:p>
        </w:tc>
        <w:tc>
          <w:tcPr>
            <w:tcW w:w="135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b/>
                <w:bCs/>
                <w:sz w:val="18"/>
                <w:szCs w:val="18"/>
                <w:lang w:val="es-ES"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África</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973</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84.802.688</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11</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39</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Asia y el Pacífico</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966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146.143.642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39</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Europa</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212</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20.347.540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34</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América Latina y el Caribe</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766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92.187.204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41</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Mundial</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306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166.300.505</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98</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6</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23</w:t>
            </w:r>
          </w:p>
        </w:tc>
      </w:tr>
      <w:tr w:rsidR="0069717E" w:rsidRPr="007C2631" w:rsidTr="0069717E">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rsidR="0069717E" w:rsidRPr="007C2631" w:rsidRDefault="0069717E" w:rsidP="0069717E">
            <w:pPr>
              <w:jc w:val="left"/>
              <w:rPr>
                <w:b/>
                <w:bCs/>
                <w:sz w:val="18"/>
                <w:szCs w:val="18"/>
                <w:lang w:val="es-ES"/>
              </w:rPr>
            </w:pPr>
            <w:r w:rsidRPr="007C2631">
              <w:rPr>
                <w:b/>
                <w:bCs/>
                <w:sz w:val="18"/>
                <w:szCs w:val="18"/>
                <w:lang w:val="es-ES"/>
              </w:rPr>
              <w:lastRenderedPageBreak/>
              <w:t>Sector</w:t>
            </w:r>
          </w:p>
        </w:tc>
        <w:tc>
          <w:tcPr>
            <w:tcW w:w="135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b/>
                <w:bCs/>
                <w:sz w:val="18"/>
                <w:szCs w:val="18"/>
                <w:lang w:val="es-ES"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Aerosoles</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31</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2.461.265</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11</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36</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Destrucción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15</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7.089.466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11</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62</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Lucha contra incendios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Espumas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34</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10.738.897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14</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36</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Fumigantes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137</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21.224.434</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39</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proofErr w:type="spellStart"/>
            <w:r w:rsidRPr="007C2631">
              <w:rPr>
                <w:sz w:val="18"/>
                <w:szCs w:val="18"/>
                <w:lang w:val="es-ES"/>
              </w:rPr>
              <w:t>Halones</w:t>
            </w:r>
            <w:proofErr w:type="spellEnd"/>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82</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11.238.156</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44</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Sectores múltiples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53.792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56</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58</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Otros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76.499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38</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Plan de eliminación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491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51.518.567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41</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Agente de procesos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Producción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40.000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Refrigeración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637</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90.921.520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16</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50</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Diversos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1.759</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311.020.199</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32</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Disolventes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34</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3.398.782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11</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27</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Esterilizantes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rsidR="0069717E" w:rsidRPr="007C2631" w:rsidRDefault="0069717E" w:rsidP="0069717E">
            <w:pPr>
              <w:jc w:val="left"/>
              <w:rPr>
                <w:b/>
                <w:bCs/>
                <w:sz w:val="18"/>
                <w:szCs w:val="18"/>
                <w:lang w:val="es-ES"/>
              </w:rPr>
            </w:pPr>
            <w:r w:rsidRPr="007C2631">
              <w:rPr>
                <w:b/>
                <w:bCs/>
                <w:sz w:val="18"/>
                <w:szCs w:val="18"/>
                <w:lang w:val="es-ES"/>
              </w:rPr>
              <w:t>Características de la ejecución</w:t>
            </w:r>
          </w:p>
        </w:tc>
        <w:tc>
          <w:tcPr>
            <w:tcW w:w="135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b/>
                <w:bCs/>
                <w:sz w:val="18"/>
                <w:szCs w:val="18"/>
                <w:lang w:val="es-ES"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Ejecución por organismos</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2.619</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382.492.177</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11</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37</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Ejecución nacional</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604</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127.289.400</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15</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41</w:t>
            </w:r>
          </w:p>
        </w:tc>
      </w:tr>
      <w:tr w:rsidR="0069717E" w:rsidRPr="007C2631" w:rsidTr="0069717E">
        <w:trPr>
          <w:trHeight w:val="204"/>
        </w:trPr>
        <w:tc>
          <w:tcPr>
            <w:tcW w:w="2520" w:type="dxa"/>
            <w:tcBorders>
              <w:top w:val="nil"/>
              <w:left w:val="single" w:sz="4" w:space="0" w:color="auto"/>
              <w:bottom w:val="nil"/>
              <w:right w:val="nil"/>
            </w:tcBorders>
            <w:shd w:val="clear" w:color="auto" w:fill="auto"/>
            <w:noWrap/>
            <w:tcMar>
              <w:left w:w="57" w:type="dxa"/>
              <w:right w:w="57" w:type="dxa"/>
            </w:tcMar>
            <w:vAlign w:val="bottom"/>
            <w:hideMark/>
          </w:tcPr>
          <w:p w:rsidR="0069717E" w:rsidRPr="007C2631" w:rsidRDefault="0069717E" w:rsidP="0069717E">
            <w:pPr>
              <w:jc w:val="left"/>
              <w:rPr>
                <w:b/>
                <w:bCs/>
                <w:sz w:val="18"/>
                <w:szCs w:val="18"/>
                <w:lang w:val="es-ES"/>
              </w:rPr>
            </w:pPr>
            <w:r w:rsidRPr="007C2631">
              <w:rPr>
                <w:b/>
                <w:bCs/>
                <w:sz w:val="18"/>
                <w:szCs w:val="18"/>
                <w:lang w:val="es-ES"/>
              </w:rPr>
              <w:t>Método de desembolso</w:t>
            </w:r>
          </w:p>
        </w:tc>
        <w:tc>
          <w:tcPr>
            <w:tcW w:w="135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b/>
                <w:bCs/>
                <w:sz w:val="18"/>
                <w:szCs w:val="18"/>
                <w:lang w:val="es-ES" w:eastAsia="en-CA"/>
              </w:rPr>
            </w:pPr>
          </w:p>
        </w:tc>
        <w:tc>
          <w:tcPr>
            <w:tcW w:w="153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08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440" w:type="dxa"/>
            <w:tcBorders>
              <w:top w:val="nil"/>
              <w:left w:val="nil"/>
              <w:bottom w:val="nil"/>
              <w:right w:val="nil"/>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eastAsia="en-CA"/>
              </w:rPr>
            </w:pPr>
          </w:p>
        </w:tc>
        <w:tc>
          <w:tcPr>
            <w:tcW w:w="1440" w:type="dxa"/>
            <w:tcBorders>
              <w:top w:val="nil"/>
              <w:left w:val="nil"/>
              <w:bottom w:val="nil"/>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rPr>
          <w:trHeight w:val="204"/>
        </w:trPr>
        <w:tc>
          <w:tcPr>
            <w:tcW w:w="2520" w:type="dxa"/>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Durante la ejecución</w:t>
            </w:r>
          </w:p>
        </w:tc>
        <w:tc>
          <w:tcPr>
            <w:tcW w:w="135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3.189</w:t>
            </w:r>
          </w:p>
        </w:tc>
        <w:tc>
          <w:tcPr>
            <w:tcW w:w="153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497.875.380</w:t>
            </w:r>
          </w:p>
        </w:tc>
        <w:tc>
          <w:tcPr>
            <w:tcW w:w="108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99</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12</w:t>
            </w:r>
          </w:p>
        </w:tc>
        <w:tc>
          <w:tcPr>
            <w:tcW w:w="1440"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38</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Después de la ejecución</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26</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2.325.462</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14</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21</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Financiación retroactiva</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146.698</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83</w:t>
            </w:r>
          </w:p>
        </w:tc>
      </w:tr>
      <w:tr w:rsidR="0069717E" w:rsidRPr="007C2631" w:rsidTr="0069717E">
        <w:trPr>
          <w:trHeight w:val="204"/>
        </w:trPr>
        <w:tc>
          <w:tcPr>
            <w:tcW w:w="2520"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left"/>
              <w:rPr>
                <w:sz w:val="18"/>
                <w:szCs w:val="18"/>
                <w:lang w:val="es-ES"/>
              </w:rPr>
            </w:pPr>
            <w:r w:rsidRPr="007C2631">
              <w:rPr>
                <w:sz w:val="18"/>
                <w:szCs w:val="18"/>
                <w:lang w:val="es-ES"/>
              </w:rPr>
              <w:t>País a beneficiarios finales</w:t>
            </w:r>
          </w:p>
        </w:tc>
        <w:tc>
          <w:tcPr>
            <w:tcW w:w="135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w:t>
            </w:r>
          </w:p>
        </w:tc>
        <w:tc>
          <w:tcPr>
            <w:tcW w:w="153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9.434.037</w:t>
            </w:r>
          </w:p>
        </w:tc>
        <w:tc>
          <w:tcPr>
            <w:tcW w:w="108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100</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7</w:t>
            </w:r>
          </w:p>
        </w:tc>
        <w:tc>
          <w:tcPr>
            <w:tcW w:w="1440" w:type="dxa"/>
            <w:tcBorders>
              <w:top w:val="nil"/>
              <w:left w:val="nil"/>
              <w:bottom w:val="single" w:sz="4" w:space="0" w:color="auto"/>
              <w:right w:val="single" w:sz="4" w:space="0" w:color="auto"/>
            </w:tcBorders>
            <w:shd w:val="clear" w:color="auto" w:fill="auto"/>
            <w:noWrap/>
            <w:tcMar>
              <w:left w:w="57" w:type="dxa"/>
              <w:right w:w="57" w:type="dxa"/>
            </w:tcMar>
            <w:vAlign w:val="bottom"/>
            <w:hideMark/>
          </w:tcPr>
          <w:p w:rsidR="0069717E" w:rsidRPr="007C2631" w:rsidRDefault="0069717E" w:rsidP="0069717E">
            <w:pPr>
              <w:jc w:val="right"/>
              <w:rPr>
                <w:sz w:val="18"/>
                <w:szCs w:val="18"/>
                <w:lang w:val="es-ES"/>
              </w:rPr>
            </w:pPr>
            <w:r w:rsidRPr="007C2631">
              <w:rPr>
                <w:sz w:val="18"/>
                <w:szCs w:val="18"/>
                <w:lang w:val="es-ES"/>
              </w:rPr>
              <w:t>38</w:t>
            </w:r>
          </w:p>
        </w:tc>
      </w:tr>
    </w:tbl>
    <w:p w:rsidR="0069717E" w:rsidRPr="007C2631" w:rsidRDefault="0069717E" w:rsidP="0069717E">
      <w:pPr>
        <w:pStyle w:val="Header"/>
        <w:rPr>
          <w:lang w:val="es-ES"/>
        </w:rPr>
      </w:pPr>
    </w:p>
    <w:p w:rsidR="0069717E" w:rsidRPr="007C2631" w:rsidRDefault="0069717E" w:rsidP="0069717E">
      <w:pPr>
        <w:pStyle w:val="Heading1"/>
        <w:rPr>
          <w:lang w:val="es-ES"/>
        </w:rPr>
      </w:pPr>
      <w:r w:rsidRPr="007C2631">
        <w:rPr>
          <w:lang w:val="es-ES"/>
        </w:rPr>
        <w:t>El plazo medio desde la aprobación hasta el primer desembolso para los proyectos ajenos a la inversión es de 12 meses. Los proyectos ajenos a la inversión se han terminado, en promedio, 38 meses después de su aprobación. Esta cifra se ve afectada por la gran cantidad de proyectos (1.759 de 3.223) del sector denominado "diversos", en el que el plazo medio desde la aprobación hasta la terminación fue de 32 meses. Los proyectos ajenos a la inversión de los sectores restantes se terminaron entre cuatro y 62 meses después de su aprobación.</w:t>
      </w:r>
    </w:p>
    <w:p w:rsidR="0069717E" w:rsidRPr="007C2631" w:rsidRDefault="0069717E" w:rsidP="0069717E">
      <w:pPr>
        <w:pStyle w:val="Heading1"/>
        <w:rPr>
          <w:lang w:val="es-ES"/>
        </w:rPr>
      </w:pPr>
      <w:r w:rsidRPr="007C2631">
        <w:rPr>
          <w:lang w:val="es-ES"/>
        </w:rPr>
        <w:t xml:space="preserve">Casi todos los proyectos fueron ejecutados por el organismo interesado en lugar de ser ejecutados por el país. La ejecución por los organismos de proyectos ajenos a la inversión normalmente no requiere acuerdos jurídicos, lo que puede explicar el plazo más breve (37 meses) en comparación con los proyectos ajenos a la inversión ejecutados por los países (41 meses). </w:t>
      </w:r>
    </w:p>
    <w:p w:rsidR="0069717E" w:rsidRPr="007C2631" w:rsidRDefault="0069717E" w:rsidP="0069717E">
      <w:pPr>
        <w:keepLines/>
        <w:rPr>
          <w:b/>
          <w:caps/>
          <w:lang w:val="es-ES"/>
        </w:rPr>
      </w:pPr>
      <w:r w:rsidRPr="007C2631">
        <w:rPr>
          <w:b/>
          <w:caps/>
          <w:lang w:val="es-ES"/>
        </w:rPr>
        <w:t>Proyectos en curso</w:t>
      </w:r>
    </w:p>
    <w:p w:rsidR="0069717E" w:rsidRPr="007C2631" w:rsidRDefault="0069717E" w:rsidP="0069717E">
      <w:pPr>
        <w:pStyle w:val="Footer"/>
        <w:keepLines/>
        <w:tabs>
          <w:tab w:val="clear" w:pos="4320"/>
          <w:tab w:val="clear" w:pos="8640"/>
        </w:tabs>
        <w:rPr>
          <w:lang w:val="es-ES"/>
        </w:rPr>
      </w:pPr>
    </w:p>
    <w:p w:rsidR="0069717E" w:rsidRPr="007C2631" w:rsidRDefault="0069717E" w:rsidP="0069717E">
      <w:pPr>
        <w:pStyle w:val="Heading2"/>
        <w:keepNext/>
        <w:numPr>
          <w:ilvl w:val="0"/>
          <w:numId w:val="0"/>
        </w:numPr>
        <w:spacing w:after="0"/>
        <w:rPr>
          <w:b/>
          <w:lang w:val="es-ES"/>
        </w:rPr>
      </w:pPr>
      <w:r w:rsidRPr="007C2631">
        <w:rPr>
          <w:b/>
          <w:lang w:val="es-ES"/>
        </w:rPr>
        <w:t>Proyectos de inversión en curso</w:t>
      </w:r>
    </w:p>
    <w:p w:rsidR="0069717E" w:rsidRPr="007C2631" w:rsidRDefault="0069717E" w:rsidP="0069717E">
      <w:pPr>
        <w:pStyle w:val="Heading2"/>
        <w:keepNext/>
        <w:numPr>
          <w:ilvl w:val="0"/>
          <w:numId w:val="0"/>
        </w:numPr>
        <w:spacing w:after="0"/>
        <w:rPr>
          <w:lang w:val="es-ES"/>
        </w:rPr>
      </w:pPr>
    </w:p>
    <w:p w:rsidR="006C6B34" w:rsidRDefault="0069717E" w:rsidP="0069717E">
      <w:pPr>
        <w:pStyle w:val="Heading1"/>
        <w:rPr>
          <w:lang w:val="es-ES"/>
        </w:rPr>
      </w:pPr>
      <w:r w:rsidRPr="007C2631">
        <w:rPr>
          <w:lang w:val="es-ES"/>
        </w:rPr>
        <w:t>En el Cuadro 6 se presenta información sobre la situación de los proyectos de inversión que están en ejecución por región, sector y características de la ejecución.</w:t>
      </w:r>
      <w:r w:rsidR="006C6B34">
        <w:rPr>
          <w:lang w:val="es-ES"/>
        </w:rPr>
        <w:br w:type="page"/>
      </w:r>
    </w:p>
    <w:p w:rsidR="0069717E" w:rsidRPr="007C2631" w:rsidRDefault="0069717E" w:rsidP="0069717E">
      <w:pPr>
        <w:pStyle w:val="subhead"/>
        <w:keepNext/>
        <w:jc w:val="left"/>
        <w:rPr>
          <w:b/>
          <w:sz w:val="22"/>
          <w:szCs w:val="22"/>
        </w:rPr>
      </w:pPr>
      <w:r w:rsidRPr="007C2631">
        <w:rPr>
          <w:b/>
          <w:sz w:val="22"/>
          <w:szCs w:val="22"/>
        </w:rPr>
        <w:lastRenderedPageBreak/>
        <w:t>Cuadro 6. Proyectos de inversión en curso acumulados</w:t>
      </w:r>
    </w:p>
    <w:tbl>
      <w:tblPr>
        <w:tblW w:w="10142" w:type="dxa"/>
        <w:jc w:val="center"/>
        <w:tblLook w:val="04A0" w:firstRow="1" w:lastRow="0" w:firstColumn="1" w:lastColumn="0" w:noHBand="0" w:noVBand="1"/>
      </w:tblPr>
      <w:tblGrid>
        <w:gridCol w:w="1625"/>
        <w:gridCol w:w="720"/>
        <w:gridCol w:w="1044"/>
        <w:gridCol w:w="819"/>
        <w:gridCol w:w="937"/>
        <w:gridCol w:w="878"/>
        <w:gridCol w:w="1107"/>
        <w:gridCol w:w="1065"/>
        <w:gridCol w:w="922"/>
        <w:gridCol w:w="1025"/>
      </w:tblGrid>
      <w:tr w:rsidR="0069717E" w:rsidRPr="009F5138" w:rsidTr="0069717E">
        <w:trPr>
          <w:trHeight w:val="1065"/>
          <w:tblHeader/>
          <w:jc w:val="center"/>
        </w:trPr>
        <w:tc>
          <w:tcPr>
            <w:tcW w:w="162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18"/>
                <w:szCs w:val="18"/>
                <w:lang w:val="es-ES"/>
              </w:rPr>
            </w:pPr>
            <w:r w:rsidRPr="007C2631">
              <w:rPr>
                <w:b/>
                <w:bCs/>
                <w:sz w:val="18"/>
                <w:szCs w:val="18"/>
                <w:lang w:val="es-ES"/>
              </w:rPr>
              <w:t>Elemento</w:t>
            </w:r>
          </w:p>
        </w:tc>
        <w:tc>
          <w:tcPr>
            <w:tcW w:w="72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ind w:left="-108" w:right="-103"/>
              <w:jc w:val="center"/>
              <w:rPr>
                <w:b/>
                <w:bCs/>
                <w:sz w:val="18"/>
                <w:szCs w:val="18"/>
                <w:lang w:val="es-ES"/>
              </w:rPr>
            </w:pPr>
            <w:r w:rsidRPr="007C2631">
              <w:rPr>
                <w:b/>
                <w:bCs/>
                <w:sz w:val="18"/>
                <w:szCs w:val="18"/>
                <w:lang w:val="es-ES"/>
              </w:rPr>
              <w:t>Número</w:t>
            </w:r>
          </w:p>
          <w:p w:rsidR="0069717E" w:rsidRPr="007C2631" w:rsidRDefault="0069717E" w:rsidP="0069717E">
            <w:pPr>
              <w:ind w:left="-108" w:right="-103"/>
              <w:jc w:val="center"/>
              <w:rPr>
                <w:b/>
                <w:bCs/>
                <w:sz w:val="18"/>
                <w:szCs w:val="18"/>
                <w:lang w:val="es-ES"/>
              </w:rPr>
            </w:pPr>
            <w:r w:rsidRPr="007C2631">
              <w:rPr>
                <w:b/>
                <w:bCs/>
                <w:sz w:val="18"/>
                <w:szCs w:val="18"/>
                <w:lang w:val="es-ES"/>
              </w:rPr>
              <w:t>de</w:t>
            </w:r>
          </w:p>
          <w:p w:rsidR="0069717E" w:rsidRPr="007C2631" w:rsidRDefault="0069717E" w:rsidP="0069717E">
            <w:pPr>
              <w:ind w:left="-108" w:right="-103"/>
              <w:jc w:val="center"/>
              <w:rPr>
                <w:b/>
                <w:bCs/>
                <w:sz w:val="18"/>
                <w:szCs w:val="18"/>
                <w:lang w:val="es-ES"/>
              </w:rPr>
            </w:pPr>
            <w:r w:rsidRPr="007C2631">
              <w:rPr>
                <w:b/>
                <w:bCs/>
                <w:sz w:val="18"/>
                <w:szCs w:val="18"/>
                <w:lang w:val="es-ES"/>
              </w:rPr>
              <w:t>proyectos</w:t>
            </w:r>
          </w:p>
        </w:tc>
        <w:tc>
          <w:tcPr>
            <w:tcW w:w="104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18"/>
                <w:szCs w:val="18"/>
                <w:lang w:val="es-ES"/>
              </w:rPr>
            </w:pPr>
            <w:r w:rsidRPr="007C2631">
              <w:rPr>
                <w:b/>
                <w:bCs/>
                <w:sz w:val="18"/>
                <w:szCs w:val="18"/>
                <w:lang w:val="es-ES"/>
              </w:rPr>
              <w:t>Financiación aprobada más ajuste ($EUA)</w:t>
            </w:r>
          </w:p>
        </w:tc>
        <w:tc>
          <w:tcPr>
            <w:tcW w:w="81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ind w:left="-109" w:right="-102"/>
              <w:jc w:val="center"/>
              <w:rPr>
                <w:b/>
                <w:bCs/>
                <w:sz w:val="18"/>
                <w:szCs w:val="18"/>
                <w:lang w:val="es-ES"/>
              </w:rPr>
            </w:pPr>
            <w:r w:rsidRPr="007C2631">
              <w:rPr>
                <w:b/>
                <w:bCs/>
                <w:sz w:val="18"/>
                <w:szCs w:val="18"/>
                <w:lang w:val="es-ES"/>
              </w:rPr>
              <w:t>Porcentaje de fondos desembolsados</w:t>
            </w:r>
          </w:p>
        </w:tc>
        <w:tc>
          <w:tcPr>
            <w:tcW w:w="937"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ind w:left="-45" w:right="-108"/>
              <w:jc w:val="center"/>
              <w:rPr>
                <w:b/>
                <w:bCs/>
                <w:sz w:val="18"/>
                <w:szCs w:val="18"/>
                <w:lang w:val="es-ES"/>
              </w:rPr>
            </w:pPr>
            <w:r w:rsidRPr="007C2631">
              <w:rPr>
                <w:b/>
                <w:bCs/>
                <w:sz w:val="18"/>
                <w:szCs w:val="18"/>
                <w:lang w:val="es-ES"/>
              </w:rPr>
              <w:t>Número de proyectos con desembolsos</w:t>
            </w:r>
          </w:p>
        </w:tc>
        <w:tc>
          <w:tcPr>
            <w:tcW w:w="8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ind w:left="-109" w:right="-108"/>
              <w:jc w:val="center"/>
              <w:rPr>
                <w:b/>
                <w:bCs/>
                <w:sz w:val="18"/>
                <w:szCs w:val="18"/>
                <w:lang w:val="es-ES"/>
              </w:rPr>
            </w:pPr>
            <w:r w:rsidRPr="007C2631">
              <w:rPr>
                <w:b/>
                <w:bCs/>
                <w:sz w:val="18"/>
                <w:szCs w:val="18"/>
                <w:lang w:val="es-ES"/>
              </w:rPr>
              <w:t>Porcentaje de proyectos con desembolsos</w:t>
            </w:r>
          </w:p>
        </w:tc>
        <w:tc>
          <w:tcPr>
            <w:tcW w:w="1107"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ind w:left="-108" w:right="-98"/>
              <w:jc w:val="center"/>
              <w:rPr>
                <w:b/>
                <w:bCs/>
                <w:sz w:val="18"/>
                <w:szCs w:val="18"/>
                <w:lang w:val="es-ES"/>
              </w:rPr>
            </w:pPr>
            <w:r w:rsidRPr="007C2631">
              <w:rPr>
                <w:b/>
                <w:bCs/>
                <w:sz w:val="18"/>
                <w:szCs w:val="18"/>
                <w:lang w:val="es-ES"/>
              </w:rPr>
              <w:t>Número medio de meses desde la aprobación hasta el primer desembolso</w:t>
            </w:r>
          </w:p>
        </w:tc>
        <w:tc>
          <w:tcPr>
            <w:tcW w:w="1065"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ind w:left="-43" w:right="-60"/>
              <w:jc w:val="center"/>
              <w:rPr>
                <w:b/>
                <w:bCs/>
                <w:sz w:val="18"/>
                <w:szCs w:val="18"/>
                <w:lang w:val="es-ES"/>
              </w:rPr>
            </w:pPr>
            <w:r w:rsidRPr="007C2631">
              <w:rPr>
                <w:b/>
                <w:bCs/>
                <w:sz w:val="18"/>
                <w:szCs w:val="18"/>
                <w:lang w:val="es-ES"/>
              </w:rPr>
              <w:t>Número medio de meses desde la aprobación hasta la terminación prevista</w:t>
            </w:r>
          </w:p>
        </w:tc>
        <w:tc>
          <w:tcPr>
            <w:tcW w:w="922"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ind w:left="-100" w:right="-134"/>
              <w:jc w:val="center"/>
              <w:rPr>
                <w:b/>
                <w:bCs/>
                <w:sz w:val="18"/>
                <w:szCs w:val="18"/>
                <w:lang w:val="es-ES"/>
              </w:rPr>
            </w:pPr>
            <w:r w:rsidRPr="007C2631">
              <w:rPr>
                <w:b/>
                <w:bCs/>
                <w:sz w:val="18"/>
                <w:szCs w:val="18"/>
                <w:lang w:val="es-ES"/>
              </w:rPr>
              <w:t>Duración media de la demora en la terminación prevista del proyecto</w:t>
            </w:r>
          </w:p>
        </w:tc>
        <w:tc>
          <w:tcPr>
            <w:tcW w:w="1019"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ind w:left="-90" w:right="-84"/>
              <w:jc w:val="center"/>
              <w:rPr>
                <w:b/>
                <w:bCs/>
                <w:sz w:val="18"/>
                <w:szCs w:val="18"/>
                <w:lang w:val="es-ES"/>
              </w:rPr>
            </w:pPr>
            <w:r w:rsidRPr="007C2631">
              <w:rPr>
                <w:b/>
                <w:bCs/>
                <w:sz w:val="18"/>
                <w:szCs w:val="18"/>
                <w:lang w:val="es-ES"/>
              </w:rPr>
              <w:t>Relación de costo a eficacia general para el Fondo ($EUA/kg)*</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b/>
                <w:bCs/>
                <w:sz w:val="18"/>
                <w:szCs w:val="18"/>
                <w:lang w:val="es-ES"/>
              </w:rPr>
            </w:pPr>
            <w:r w:rsidRPr="007C2631">
              <w:rPr>
                <w:b/>
                <w:bCs/>
                <w:sz w:val="18"/>
                <w:szCs w:val="18"/>
                <w:lang w:val="es-ES"/>
              </w:rPr>
              <w:t>TOTAL</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b/>
                <w:sz w:val="18"/>
                <w:szCs w:val="18"/>
                <w:lang w:val="es-ES"/>
              </w:rPr>
            </w:pPr>
            <w:r w:rsidRPr="007C2631">
              <w:rPr>
                <w:b/>
                <w:sz w:val="18"/>
                <w:szCs w:val="18"/>
                <w:lang w:val="es-ES"/>
              </w:rPr>
              <w:t>226</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b/>
                <w:sz w:val="18"/>
                <w:szCs w:val="18"/>
                <w:lang w:val="es-ES"/>
              </w:rPr>
            </w:pPr>
            <w:r w:rsidRPr="007C2631">
              <w:rPr>
                <w:b/>
                <w:sz w:val="18"/>
                <w:szCs w:val="18"/>
                <w:lang w:val="es-ES"/>
              </w:rPr>
              <w:t>357.473.945</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b/>
                <w:sz w:val="18"/>
                <w:szCs w:val="18"/>
                <w:lang w:val="es-ES"/>
              </w:rPr>
            </w:pPr>
            <w:r w:rsidRPr="007C2631">
              <w:rPr>
                <w:b/>
                <w:sz w:val="18"/>
                <w:szCs w:val="18"/>
                <w:lang w:val="es-ES"/>
              </w:rPr>
              <w:t>56</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b/>
                <w:sz w:val="18"/>
                <w:szCs w:val="18"/>
                <w:lang w:val="es-ES"/>
              </w:rPr>
            </w:pPr>
            <w:r w:rsidRPr="007C2631">
              <w:rPr>
                <w:b/>
                <w:sz w:val="18"/>
                <w:szCs w:val="18"/>
                <w:lang w:val="es-ES"/>
              </w:rPr>
              <w:t>167</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b/>
                <w:sz w:val="18"/>
                <w:szCs w:val="18"/>
                <w:lang w:val="es-ES"/>
              </w:rPr>
            </w:pPr>
            <w:r w:rsidRPr="007C2631">
              <w:rPr>
                <w:b/>
                <w:sz w:val="18"/>
                <w:szCs w:val="18"/>
                <w:lang w:val="es-ES"/>
              </w:rPr>
              <w:t>74</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b/>
                <w:sz w:val="18"/>
                <w:szCs w:val="18"/>
                <w:lang w:val="es-ES"/>
              </w:rPr>
            </w:pPr>
            <w:r w:rsidRPr="007C2631">
              <w:rPr>
                <w:b/>
                <w:sz w:val="18"/>
                <w:szCs w:val="18"/>
                <w:lang w:val="es-ES"/>
              </w:rPr>
              <w:t>10</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b/>
                <w:sz w:val="18"/>
                <w:szCs w:val="18"/>
                <w:lang w:val="es-ES"/>
              </w:rPr>
            </w:pPr>
            <w:r w:rsidRPr="007C2631">
              <w:rPr>
                <w:b/>
                <w:sz w:val="18"/>
                <w:szCs w:val="18"/>
                <w:lang w:val="es-ES"/>
              </w:rPr>
              <w:t>55</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b/>
                <w:sz w:val="18"/>
                <w:szCs w:val="18"/>
                <w:lang w:val="es-ES"/>
              </w:rPr>
            </w:pPr>
            <w:r w:rsidRPr="007C2631">
              <w:rPr>
                <w:b/>
                <w:sz w:val="18"/>
                <w:szCs w:val="18"/>
                <w:lang w:val="es-ES"/>
              </w:rPr>
              <w:t>27</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b/>
                <w:sz w:val="18"/>
                <w:szCs w:val="18"/>
                <w:lang w:val="es-ES"/>
              </w:rPr>
            </w:pPr>
            <w:r w:rsidRPr="007C2631">
              <w:rPr>
                <w:b/>
                <w:sz w:val="18"/>
                <w:szCs w:val="18"/>
                <w:lang w:val="es-ES"/>
              </w:rPr>
              <w:t xml:space="preserve">57,94 </w:t>
            </w:r>
          </w:p>
        </w:tc>
      </w:tr>
      <w:tr w:rsidR="0069717E" w:rsidRPr="007C2631" w:rsidTr="0069717E">
        <w:trPr>
          <w:trHeight w:val="201"/>
          <w:jc w:val="center"/>
        </w:trPr>
        <w:tc>
          <w:tcPr>
            <w:tcW w:w="1625" w:type="dxa"/>
            <w:tcBorders>
              <w:top w:val="nil"/>
              <w:left w:val="single" w:sz="4" w:space="0" w:color="auto"/>
              <w:bottom w:val="nil"/>
              <w:right w:val="nil"/>
            </w:tcBorders>
            <w:shd w:val="clear" w:color="auto" w:fill="auto"/>
            <w:noWrap/>
            <w:tcMar>
              <w:left w:w="72" w:type="dxa"/>
              <w:right w:w="72" w:type="dxa"/>
            </w:tcMar>
            <w:hideMark/>
          </w:tcPr>
          <w:p w:rsidR="0069717E" w:rsidRPr="007C2631" w:rsidRDefault="0069717E" w:rsidP="0069717E">
            <w:pPr>
              <w:jc w:val="left"/>
              <w:rPr>
                <w:b/>
                <w:bCs/>
                <w:sz w:val="18"/>
                <w:szCs w:val="18"/>
                <w:lang w:val="es-ES"/>
              </w:rPr>
            </w:pPr>
            <w:r w:rsidRPr="007C2631">
              <w:rPr>
                <w:b/>
                <w:bCs/>
                <w:sz w:val="18"/>
                <w:szCs w:val="18"/>
                <w:lang w:val="es-ES"/>
              </w:rPr>
              <w:t>Región</w:t>
            </w:r>
          </w:p>
        </w:tc>
        <w:tc>
          <w:tcPr>
            <w:tcW w:w="720"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b/>
                <w:bCs/>
                <w:sz w:val="18"/>
                <w:szCs w:val="18"/>
                <w:lang w:val="es-ES" w:eastAsia="en-CA"/>
              </w:rPr>
            </w:pPr>
          </w:p>
        </w:tc>
        <w:tc>
          <w:tcPr>
            <w:tcW w:w="1044"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819"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937"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878"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1107"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1065"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right"/>
              <w:rPr>
                <w:sz w:val="18"/>
                <w:szCs w:val="18"/>
                <w:lang w:val="es-ES" w:eastAsia="en-CA"/>
              </w:rPr>
            </w:pPr>
          </w:p>
        </w:tc>
        <w:tc>
          <w:tcPr>
            <w:tcW w:w="922"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right"/>
              <w:rPr>
                <w:sz w:val="18"/>
                <w:szCs w:val="18"/>
                <w:lang w:val="es-ES" w:eastAsia="en-CA"/>
              </w:rPr>
            </w:pPr>
          </w:p>
        </w:tc>
        <w:tc>
          <w:tcPr>
            <w:tcW w:w="1019" w:type="dxa"/>
            <w:tcBorders>
              <w:top w:val="nil"/>
              <w:left w:val="nil"/>
              <w:bottom w:val="nil"/>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rPr>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África</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72</w:t>
            </w:r>
          </w:p>
        </w:tc>
        <w:tc>
          <w:tcPr>
            <w:tcW w:w="10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35.403.484</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38</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46</w:t>
            </w:r>
          </w:p>
        </w:tc>
        <w:tc>
          <w:tcPr>
            <w:tcW w:w="8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64</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10</w:t>
            </w:r>
          </w:p>
        </w:tc>
        <w:tc>
          <w:tcPr>
            <w:tcW w:w="106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56</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25</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67,23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Asia y el Pacífico</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89</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283.739.184</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62</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66</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74</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61</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35</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57,92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Europa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14</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4.701.421</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24</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79</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9</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44</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15</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75,59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América Latina y el Caribe</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33.629.856</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35</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44</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86</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46</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17</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49,30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Mundial</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nil"/>
              <w:right w:val="nil"/>
            </w:tcBorders>
            <w:shd w:val="clear" w:color="auto" w:fill="auto"/>
            <w:noWrap/>
            <w:tcMar>
              <w:left w:w="72" w:type="dxa"/>
              <w:right w:w="72" w:type="dxa"/>
            </w:tcMar>
            <w:hideMark/>
          </w:tcPr>
          <w:p w:rsidR="0069717E" w:rsidRPr="007C2631" w:rsidRDefault="0069717E" w:rsidP="0069717E">
            <w:pPr>
              <w:jc w:val="left"/>
              <w:rPr>
                <w:b/>
                <w:bCs/>
                <w:sz w:val="18"/>
                <w:szCs w:val="18"/>
                <w:lang w:val="es-ES"/>
              </w:rPr>
            </w:pPr>
            <w:r w:rsidRPr="007C2631">
              <w:rPr>
                <w:b/>
                <w:bCs/>
                <w:sz w:val="18"/>
                <w:szCs w:val="18"/>
                <w:lang w:val="es-ES"/>
              </w:rPr>
              <w:t>Sector</w:t>
            </w:r>
          </w:p>
        </w:tc>
        <w:tc>
          <w:tcPr>
            <w:tcW w:w="720"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b/>
                <w:bCs/>
                <w:sz w:val="18"/>
                <w:szCs w:val="18"/>
                <w:lang w:val="es-ES" w:eastAsia="en-CA"/>
              </w:rPr>
            </w:pPr>
          </w:p>
        </w:tc>
        <w:tc>
          <w:tcPr>
            <w:tcW w:w="1044"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819"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937"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878"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1107"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left"/>
              <w:rPr>
                <w:sz w:val="18"/>
                <w:szCs w:val="18"/>
                <w:lang w:val="es-ES" w:eastAsia="en-CA"/>
              </w:rPr>
            </w:pPr>
          </w:p>
        </w:tc>
        <w:tc>
          <w:tcPr>
            <w:tcW w:w="1065"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right"/>
              <w:rPr>
                <w:sz w:val="18"/>
                <w:szCs w:val="18"/>
                <w:lang w:val="es-ES" w:eastAsia="en-CA"/>
              </w:rPr>
            </w:pPr>
          </w:p>
        </w:tc>
        <w:tc>
          <w:tcPr>
            <w:tcW w:w="922" w:type="dxa"/>
            <w:tcBorders>
              <w:top w:val="nil"/>
              <w:left w:val="nil"/>
              <w:bottom w:val="nil"/>
              <w:right w:val="nil"/>
            </w:tcBorders>
            <w:shd w:val="clear" w:color="auto" w:fill="auto"/>
            <w:noWrap/>
            <w:tcMar>
              <w:left w:w="72" w:type="dxa"/>
              <w:right w:w="72" w:type="dxa"/>
            </w:tcMar>
            <w:hideMark/>
          </w:tcPr>
          <w:p w:rsidR="0069717E" w:rsidRPr="007C2631" w:rsidRDefault="0069717E" w:rsidP="0069717E">
            <w:pPr>
              <w:jc w:val="right"/>
              <w:rPr>
                <w:sz w:val="18"/>
                <w:szCs w:val="18"/>
                <w:lang w:val="es-ES" w:eastAsia="en-CA"/>
              </w:rPr>
            </w:pPr>
          </w:p>
        </w:tc>
        <w:tc>
          <w:tcPr>
            <w:tcW w:w="1019" w:type="dxa"/>
            <w:tcBorders>
              <w:top w:val="nil"/>
              <w:left w:val="nil"/>
              <w:bottom w:val="nil"/>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rPr>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Aerosoles</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10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19.399.000</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98</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8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w:t>
            </w:r>
          </w:p>
        </w:tc>
        <w:tc>
          <w:tcPr>
            <w:tcW w:w="106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158</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109</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40,25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Destrucción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Lucha contra incendios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Espumas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3.573.740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67</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67</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86</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64</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73,53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Fumigantes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proofErr w:type="spellStart"/>
            <w:r w:rsidRPr="007C2631">
              <w:rPr>
                <w:sz w:val="18"/>
                <w:szCs w:val="18"/>
                <w:lang w:val="es-ES"/>
              </w:rPr>
              <w:t>Halones</w:t>
            </w:r>
            <w:proofErr w:type="spellEnd"/>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Sectores múltiples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Otros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Plan de eliminación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211</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301.239.699</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55</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155</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73</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53</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24</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59,07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Agente de procesos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Producción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24.790.000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44</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12</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70</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36</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Refrigeración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8</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8.471.506</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54</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75</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9</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57</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43</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15,70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Disolventes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Esterilizantes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57"/>
          <w:jc w:val="center"/>
        </w:trPr>
        <w:tc>
          <w:tcPr>
            <w:tcW w:w="10142" w:type="dxa"/>
            <w:gridSpan w:val="10"/>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b/>
                <w:bCs/>
                <w:sz w:val="18"/>
                <w:szCs w:val="18"/>
                <w:lang w:val="es-ES"/>
              </w:rPr>
              <w:t>Características de la ejecución</w:t>
            </w:r>
          </w:p>
        </w:tc>
      </w:tr>
      <w:tr w:rsidR="0069717E" w:rsidRPr="007C2631" w:rsidTr="0069717E">
        <w:trPr>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Ejecución por organismos</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164</w:t>
            </w:r>
          </w:p>
        </w:tc>
        <w:tc>
          <w:tcPr>
            <w:tcW w:w="10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229.295.655</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58</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128</w:t>
            </w:r>
          </w:p>
        </w:tc>
        <w:tc>
          <w:tcPr>
            <w:tcW w:w="8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78</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10</w:t>
            </w:r>
          </w:p>
        </w:tc>
        <w:tc>
          <w:tcPr>
            <w:tcW w:w="106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59</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29</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48,71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Ejecución nacional</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62</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128.178.290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52</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39</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63</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13</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42</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18</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87,66 </w:t>
            </w:r>
          </w:p>
        </w:tc>
      </w:tr>
      <w:tr w:rsidR="0069717E" w:rsidRPr="007C2631" w:rsidTr="0069717E">
        <w:trPr>
          <w:trHeight w:val="57"/>
          <w:jc w:val="center"/>
        </w:trPr>
        <w:tc>
          <w:tcPr>
            <w:tcW w:w="10136" w:type="dxa"/>
            <w:gridSpan w:val="10"/>
            <w:tcBorders>
              <w:top w:val="nil"/>
              <w:left w:val="single" w:sz="4" w:space="0" w:color="auto"/>
              <w:bottom w:val="nil"/>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b/>
                <w:bCs/>
                <w:sz w:val="18"/>
                <w:szCs w:val="18"/>
                <w:lang w:val="es-ES"/>
              </w:rPr>
              <w:t>Método de desembolso</w:t>
            </w:r>
          </w:p>
        </w:tc>
      </w:tr>
      <w:tr w:rsidR="0069717E" w:rsidRPr="007C2631" w:rsidTr="0069717E">
        <w:trPr>
          <w:trHeight w:val="201"/>
          <w:jc w:val="center"/>
        </w:trPr>
        <w:tc>
          <w:tcPr>
            <w:tcW w:w="162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Durante la ejecución</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211</w:t>
            </w:r>
          </w:p>
        </w:tc>
        <w:tc>
          <w:tcPr>
            <w:tcW w:w="104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165.542.460</w:t>
            </w:r>
          </w:p>
        </w:tc>
        <w:tc>
          <w:tcPr>
            <w:tcW w:w="8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40</w:t>
            </w:r>
          </w:p>
        </w:tc>
        <w:tc>
          <w:tcPr>
            <w:tcW w:w="93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152</w:t>
            </w:r>
          </w:p>
        </w:tc>
        <w:tc>
          <w:tcPr>
            <w:tcW w:w="878"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72</w:t>
            </w:r>
          </w:p>
        </w:tc>
        <w:tc>
          <w:tcPr>
            <w:tcW w:w="110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10</w:t>
            </w:r>
          </w:p>
        </w:tc>
        <w:tc>
          <w:tcPr>
            <w:tcW w:w="106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54</w:t>
            </w:r>
          </w:p>
        </w:tc>
        <w:tc>
          <w:tcPr>
            <w:tcW w:w="922"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26</w:t>
            </w:r>
          </w:p>
        </w:tc>
        <w:tc>
          <w:tcPr>
            <w:tcW w:w="1019"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37,29 </w:t>
            </w:r>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Después de la ejecución</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Financiación retroactiva</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rPr>
          <w:trHeight w:val="201"/>
          <w:jc w:val="center"/>
        </w:trPr>
        <w:tc>
          <w:tcPr>
            <w:tcW w:w="162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18"/>
                <w:szCs w:val="18"/>
                <w:lang w:val="es-ES"/>
              </w:rPr>
            </w:pPr>
            <w:r w:rsidRPr="007C2631">
              <w:rPr>
                <w:sz w:val="18"/>
                <w:szCs w:val="18"/>
                <w:lang w:val="es-ES"/>
              </w:rPr>
              <w:t>País a beneficiarios finales</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15</w:t>
            </w:r>
          </w:p>
        </w:tc>
        <w:tc>
          <w:tcPr>
            <w:tcW w:w="1044"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191.931.485</w:t>
            </w:r>
          </w:p>
        </w:tc>
        <w:tc>
          <w:tcPr>
            <w:tcW w:w="8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70</w:t>
            </w:r>
          </w:p>
        </w:tc>
        <w:tc>
          <w:tcPr>
            <w:tcW w:w="93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15</w:t>
            </w:r>
          </w:p>
        </w:tc>
        <w:tc>
          <w:tcPr>
            <w:tcW w:w="878"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107"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10</w:t>
            </w:r>
          </w:p>
        </w:tc>
        <w:tc>
          <w:tcPr>
            <w:tcW w:w="1065"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61</w:t>
            </w:r>
          </w:p>
        </w:tc>
        <w:tc>
          <w:tcPr>
            <w:tcW w:w="922"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31</w:t>
            </w:r>
          </w:p>
        </w:tc>
        <w:tc>
          <w:tcPr>
            <w:tcW w:w="1019" w:type="dxa"/>
            <w:tcBorders>
              <w:top w:val="nil"/>
              <w:left w:val="nil"/>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right"/>
              <w:rPr>
                <w:sz w:val="18"/>
                <w:szCs w:val="18"/>
                <w:lang w:val="es-ES"/>
              </w:rPr>
            </w:pPr>
            <w:r w:rsidRPr="007C2631">
              <w:rPr>
                <w:sz w:val="18"/>
                <w:szCs w:val="18"/>
                <w:lang w:val="es-ES"/>
              </w:rPr>
              <w:t xml:space="preserve">110,95 </w:t>
            </w:r>
          </w:p>
        </w:tc>
      </w:tr>
    </w:tbl>
    <w:p w:rsidR="0069717E" w:rsidRPr="007C2631" w:rsidRDefault="0069717E" w:rsidP="0069717E">
      <w:pPr>
        <w:pStyle w:val="Header"/>
        <w:rPr>
          <w:sz w:val="18"/>
          <w:szCs w:val="18"/>
          <w:lang w:val="es-ES"/>
        </w:rPr>
      </w:pPr>
      <w:r w:rsidRPr="007C2631">
        <w:rPr>
          <w:sz w:val="18"/>
          <w:szCs w:val="18"/>
          <w:lang w:val="es-ES"/>
        </w:rPr>
        <w:t>* En función de las SAO que se eliminarán con arreglo a la propuesta.</w:t>
      </w:r>
    </w:p>
    <w:p w:rsidR="0069717E" w:rsidRPr="007C2631" w:rsidRDefault="0069717E" w:rsidP="0069717E">
      <w:pPr>
        <w:pStyle w:val="Header"/>
        <w:rPr>
          <w:lang w:val="es-ES"/>
        </w:rPr>
      </w:pPr>
    </w:p>
    <w:p w:rsidR="0069717E" w:rsidRPr="007C2631" w:rsidRDefault="0069717E" w:rsidP="0069717E">
      <w:pPr>
        <w:pStyle w:val="Heading1"/>
        <w:rPr>
          <w:lang w:val="es-ES"/>
        </w:rPr>
      </w:pPr>
      <w:r w:rsidRPr="007C2631">
        <w:rPr>
          <w:lang w:val="es-ES"/>
        </w:rPr>
        <w:t>Actualmente hay 226 proyectos de inversión en ejecución, por un valor total de más de 357,47 millones de $EUA. Ya se ha desembolsado alrededor del 56 por ciento de los fondos. La tasa de relación de costo a eficacia media general de los proyectos de inversión en curso es de 57,94 $EUA/kg PAO por eliminar. El número medio de meses desde la aprobación hasta el primer desembolso es de 10 meses. La duración media de un proyecto de inversión en curso es de 55 meses. Usualmente, los proyectos de inversión en curso se terminan 27 meses más tarde que lo previsto, y esto podría considerarse la demora media.</w:t>
      </w:r>
    </w:p>
    <w:p w:rsidR="0069717E" w:rsidRPr="007C2631" w:rsidRDefault="0069717E" w:rsidP="0069717E">
      <w:pPr>
        <w:suppressAutoHyphens/>
        <w:rPr>
          <w:spacing w:val="-3"/>
          <w:lang w:val="es-ES"/>
        </w:rPr>
      </w:pPr>
      <w:r w:rsidRPr="007C2631">
        <w:rPr>
          <w:b/>
          <w:lang w:val="es-ES"/>
        </w:rPr>
        <w:t>Proyectos ajenos a la inversión en curso</w:t>
      </w:r>
    </w:p>
    <w:p w:rsidR="0069717E" w:rsidRPr="007C2631" w:rsidRDefault="0069717E" w:rsidP="0069717E">
      <w:pPr>
        <w:suppressAutoHyphens/>
        <w:rPr>
          <w:spacing w:val="-3"/>
          <w:lang w:val="es-ES"/>
        </w:rPr>
      </w:pPr>
    </w:p>
    <w:p w:rsidR="0069717E" w:rsidRPr="007C2631" w:rsidRDefault="0069717E" w:rsidP="0069717E">
      <w:pPr>
        <w:pStyle w:val="Heading1"/>
        <w:rPr>
          <w:lang w:val="es-ES"/>
        </w:rPr>
      </w:pPr>
      <w:r w:rsidRPr="007C2631">
        <w:rPr>
          <w:lang w:val="es-ES"/>
        </w:rPr>
        <w:t>En el Cuadro 7 se presenta información sobre la situación de los proyectos ajenos a la inversión que están en ejecución por región, sector y características de la ejecución.</w:t>
      </w:r>
    </w:p>
    <w:p w:rsidR="0069717E" w:rsidRPr="007C2631" w:rsidRDefault="0069717E" w:rsidP="0069717E">
      <w:pPr>
        <w:keepNext/>
        <w:rPr>
          <w:b/>
          <w:lang w:val="es-ES"/>
        </w:rPr>
      </w:pPr>
      <w:r w:rsidRPr="007C2631">
        <w:rPr>
          <w:b/>
          <w:lang w:val="es-ES"/>
        </w:rPr>
        <w:lastRenderedPageBreak/>
        <w:t>Cuadro 7. Proyectos ajenos a la inversión en curso acumulados</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810"/>
        <w:gridCol w:w="990"/>
        <w:gridCol w:w="810"/>
        <w:gridCol w:w="887"/>
        <w:gridCol w:w="850"/>
        <w:gridCol w:w="1134"/>
        <w:gridCol w:w="1276"/>
        <w:gridCol w:w="1002"/>
      </w:tblGrid>
      <w:tr w:rsidR="0069717E" w:rsidRPr="009F5138" w:rsidTr="0069717E">
        <w:trPr>
          <w:tblHeader/>
        </w:trPr>
        <w:tc>
          <w:tcPr>
            <w:tcW w:w="1705" w:type="dxa"/>
            <w:shd w:val="clear" w:color="auto" w:fill="auto"/>
            <w:tcMar>
              <w:left w:w="57" w:type="dxa"/>
              <w:right w:w="57" w:type="dxa"/>
            </w:tcMar>
            <w:hideMark/>
          </w:tcPr>
          <w:p w:rsidR="0069717E" w:rsidRPr="007C2631" w:rsidRDefault="0069717E" w:rsidP="007C2B79">
            <w:pPr>
              <w:jc w:val="center"/>
              <w:rPr>
                <w:b/>
                <w:bCs/>
                <w:sz w:val="18"/>
                <w:szCs w:val="18"/>
                <w:lang w:val="es-ES" w:eastAsia="en-CA"/>
              </w:rPr>
            </w:pPr>
            <w:r w:rsidRPr="007C2631">
              <w:rPr>
                <w:b/>
                <w:bCs/>
                <w:sz w:val="18"/>
                <w:szCs w:val="18"/>
                <w:lang w:val="es-ES" w:eastAsia="en-CA"/>
              </w:rPr>
              <w:t>Elemento</w:t>
            </w:r>
          </w:p>
        </w:tc>
        <w:tc>
          <w:tcPr>
            <w:tcW w:w="810" w:type="dxa"/>
            <w:shd w:val="clear" w:color="auto" w:fill="auto"/>
            <w:tcMar>
              <w:left w:w="57" w:type="dxa"/>
              <w:right w:w="57" w:type="dxa"/>
            </w:tcMar>
            <w:hideMark/>
          </w:tcPr>
          <w:p w:rsidR="0069717E" w:rsidRPr="007C2631" w:rsidRDefault="0069717E" w:rsidP="007C2B79">
            <w:pPr>
              <w:jc w:val="center"/>
              <w:rPr>
                <w:b/>
                <w:bCs/>
                <w:sz w:val="18"/>
                <w:szCs w:val="18"/>
                <w:lang w:val="es-ES" w:eastAsia="en-CA"/>
              </w:rPr>
            </w:pPr>
            <w:r w:rsidRPr="007C2631">
              <w:rPr>
                <w:b/>
                <w:bCs/>
                <w:sz w:val="18"/>
                <w:szCs w:val="18"/>
                <w:lang w:val="es-ES" w:eastAsia="en-CA"/>
              </w:rPr>
              <w:t>Número</w:t>
            </w:r>
          </w:p>
          <w:p w:rsidR="0069717E" w:rsidRPr="007C2631" w:rsidRDefault="0069717E" w:rsidP="007C2B79">
            <w:pPr>
              <w:jc w:val="center"/>
              <w:rPr>
                <w:b/>
                <w:bCs/>
                <w:sz w:val="18"/>
                <w:szCs w:val="18"/>
                <w:lang w:val="es-ES" w:eastAsia="en-CA"/>
              </w:rPr>
            </w:pPr>
            <w:r w:rsidRPr="007C2631">
              <w:rPr>
                <w:b/>
                <w:bCs/>
                <w:sz w:val="18"/>
                <w:szCs w:val="18"/>
                <w:lang w:val="es-ES" w:eastAsia="en-CA"/>
              </w:rPr>
              <w:t>de</w:t>
            </w:r>
          </w:p>
          <w:p w:rsidR="0069717E" w:rsidRPr="007C2631" w:rsidRDefault="0069717E" w:rsidP="007C2B79">
            <w:pPr>
              <w:jc w:val="center"/>
              <w:rPr>
                <w:b/>
                <w:bCs/>
                <w:sz w:val="18"/>
                <w:szCs w:val="18"/>
                <w:lang w:val="es-ES" w:eastAsia="en-CA"/>
              </w:rPr>
            </w:pPr>
            <w:r w:rsidRPr="007C2631">
              <w:rPr>
                <w:b/>
                <w:bCs/>
                <w:sz w:val="18"/>
                <w:szCs w:val="18"/>
                <w:lang w:val="es-ES" w:eastAsia="en-CA"/>
              </w:rPr>
              <w:t>proyectos</w:t>
            </w:r>
          </w:p>
        </w:tc>
        <w:tc>
          <w:tcPr>
            <w:tcW w:w="990" w:type="dxa"/>
            <w:shd w:val="clear" w:color="auto" w:fill="auto"/>
            <w:tcMar>
              <w:left w:w="57" w:type="dxa"/>
              <w:right w:w="57" w:type="dxa"/>
            </w:tcMar>
            <w:hideMark/>
          </w:tcPr>
          <w:p w:rsidR="0069717E" w:rsidRPr="007C2631" w:rsidRDefault="0069717E" w:rsidP="007C2B79">
            <w:pPr>
              <w:jc w:val="center"/>
              <w:rPr>
                <w:b/>
                <w:bCs/>
                <w:sz w:val="18"/>
                <w:szCs w:val="18"/>
                <w:lang w:val="es-ES" w:eastAsia="en-CA"/>
              </w:rPr>
            </w:pPr>
            <w:r w:rsidRPr="007C2631">
              <w:rPr>
                <w:b/>
                <w:bCs/>
                <w:sz w:val="18"/>
                <w:szCs w:val="18"/>
                <w:lang w:val="es-ES" w:eastAsia="en-CA"/>
              </w:rPr>
              <w:t>Financiación aprobada más ajuste ($EUA)</w:t>
            </w:r>
          </w:p>
        </w:tc>
        <w:tc>
          <w:tcPr>
            <w:tcW w:w="810" w:type="dxa"/>
            <w:shd w:val="clear" w:color="auto" w:fill="auto"/>
            <w:tcMar>
              <w:left w:w="57" w:type="dxa"/>
              <w:right w:w="57" w:type="dxa"/>
            </w:tcMar>
            <w:hideMark/>
          </w:tcPr>
          <w:p w:rsidR="0069717E" w:rsidRPr="007C2631" w:rsidRDefault="0069717E" w:rsidP="007C2B79">
            <w:pPr>
              <w:jc w:val="center"/>
              <w:rPr>
                <w:b/>
                <w:bCs/>
                <w:sz w:val="18"/>
                <w:szCs w:val="18"/>
                <w:lang w:val="es-ES" w:eastAsia="en-CA"/>
              </w:rPr>
            </w:pPr>
            <w:r w:rsidRPr="007C2631">
              <w:rPr>
                <w:b/>
                <w:bCs/>
                <w:sz w:val="18"/>
                <w:szCs w:val="18"/>
                <w:lang w:val="es-ES" w:eastAsia="en-CA"/>
              </w:rPr>
              <w:t>Porcentaje de fondos desembolsados</w:t>
            </w:r>
          </w:p>
        </w:tc>
        <w:tc>
          <w:tcPr>
            <w:tcW w:w="887" w:type="dxa"/>
            <w:shd w:val="clear" w:color="auto" w:fill="auto"/>
            <w:tcMar>
              <w:left w:w="57" w:type="dxa"/>
              <w:right w:w="57" w:type="dxa"/>
            </w:tcMar>
            <w:hideMark/>
          </w:tcPr>
          <w:p w:rsidR="0069717E" w:rsidRPr="007C2631" w:rsidRDefault="0069717E" w:rsidP="007C2B79">
            <w:pPr>
              <w:jc w:val="center"/>
              <w:rPr>
                <w:b/>
                <w:bCs/>
                <w:sz w:val="18"/>
                <w:szCs w:val="18"/>
                <w:lang w:val="es-ES" w:eastAsia="en-CA"/>
              </w:rPr>
            </w:pPr>
            <w:r w:rsidRPr="007C2631">
              <w:rPr>
                <w:b/>
                <w:bCs/>
                <w:sz w:val="18"/>
                <w:szCs w:val="18"/>
                <w:lang w:val="es-ES" w:eastAsia="en-CA"/>
              </w:rPr>
              <w:t>Número de proyectos con desembolsos</w:t>
            </w:r>
          </w:p>
        </w:tc>
        <w:tc>
          <w:tcPr>
            <w:tcW w:w="850" w:type="dxa"/>
            <w:shd w:val="clear" w:color="auto" w:fill="auto"/>
            <w:tcMar>
              <w:left w:w="57" w:type="dxa"/>
              <w:right w:w="57" w:type="dxa"/>
            </w:tcMar>
            <w:hideMark/>
          </w:tcPr>
          <w:p w:rsidR="0069717E" w:rsidRPr="007C2631" w:rsidRDefault="0069717E" w:rsidP="007C2B79">
            <w:pPr>
              <w:jc w:val="center"/>
              <w:rPr>
                <w:b/>
                <w:bCs/>
                <w:sz w:val="18"/>
                <w:szCs w:val="18"/>
                <w:lang w:val="es-ES" w:eastAsia="en-CA"/>
              </w:rPr>
            </w:pPr>
            <w:r w:rsidRPr="007C2631">
              <w:rPr>
                <w:b/>
                <w:bCs/>
                <w:sz w:val="18"/>
                <w:szCs w:val="18"/>
                <w:lang w:val="es-ES" w:eastAsia="en-CA"/>
              </w:rPr>
              <w:t>Porcentaje de proyectos con desembolsos</w:t>
            </w:r>
          </w:p>
        </w:tc>
        <w:tc>
          <w:tcPr>
            <w:tcW w:w="1134" w:type="dxa"/>
            <w:shd w:val="clear" w:color="auto" w:fill="auto"/>
            <w:tcMar>
              <w:left w:w="57" w:type="dxa"/>
              <w:right w:w="57" w:type="dxa"/>
            </w:tcMar>
            <w:hideMark/>
          </w:tcPr>
          <w:p w:rsidR="0069717E" w:rsidRPr="007C2631" w:rsidRDefault="0069717E" w:rsidP="007C2B79">
            <w:pPr>
              <w:jc w:val="center"/>
              <w:rPr>
                <w:b/>
                <w:bCs/>
                <w:sz w:val="18"/>
                <w:szCs w:val="18"/>
                <w:lang w:val="es-ES" w:eastAsia="en-CA"/>
              </w:rPr>
            </w:pPr>
            <w:r w:rsidRPr="007C2631">
              <w:rPr>
                <w:b/>
                <w:bCs/>
                <w:sz w:val="18"/>
                <w:szCs w:val="18"/>
                <w:lang w:val="es-ES" w:eastAsia="en-CA"/>
              </w:rPr>
              <w:t>Número medio de meses desde la aprobación hasta el primer desembolso</w:t>
            </w:r>
          </w:p>
        </w:tc>
        <w:tc>
          <w:tcPr>
            <w:tcW w:w="1276" w:type="dxa"/>
            <w:shd w:val="clear" w:color="auto" w:fill="auto"/>
            <w:tcMar>
              <w:left w:w="57" w:type="dxa"/>
              <w:right w:w="57" w:type="dxa"/>
            </w:tcMar>
            <w:hideMark/>
          </w:tcPr>
          <w:p w:rsidR="0069717E" w:rsidRPr="007C2631" w:rsidRDefault="0069717E" w:rsidP="007C2B79">
            <w:pPr>
              <w:jc w:val="center"/>
              <w:rPr>
                <w:b/>
                <w:bCs/>
                <w:sz w:val="18"/>
                <w:szCs w:val="18"/>
                <w:lang w:val="es-ES" w:eastAsia="en-CA"/>
              </w:rPr>
            </w:pPr>
            <w:r w:rsidRPr="007C2631">
              <w:rPr>
                <w:b/>
                <w:bCs/>
                <w:sz w:val="18"/>
                <w:szCs w:val="18"/>
                <w:lang w:val="es-ES" w:eastAsia="en-CA"/>
              </w:rPr>
              <w:t>Número medio de meses desde la aprobación hasta la terminación prevista</w:t>
            </w:r>
          </w:p>
        </w:tc>
        <w:tc>
          <w:tcPr>
            <w:tcW w:w="997" w:type="dxa"/>
            <w:shd w:val="clear" w:color="auto" w:fill="auto"/>
            <w:tcMar>
              <w:left w:w="57" w:type="dxa"/>
              <w:right w:w="57" w:type="dxa"/>
            </w:tcMar>
            <w:hideMark/>
          </w:tcPr>
          <w:p w:rsidR="0069717E" w:rsidRPr="007C2631" w:rsidRDefault="0069717E" w:rsidP="007C2B79">
            <w:pPr>
              <w:jc w:val="center"/>
              <w:rPr>
                <w:b/>
                <w:bCs/>
                <w:sz w:val="18"/>
                <w:szCs w:val="18"/>
                <w:lang w:val="es-ES" w:eastAsia="en-CA"/>
              </w:rPr>
            </w:pPr>
            <w:r w:rsidRPr="007C2631">
              <w:rPr>
                <w:b/>
                <w:bCs/>
                <w:sz w:val="18"/>
                <w:szCs w:val="18"/>
                <w:lang w:val="es-ES" w:eastAsia="en-CA"/>
              </w:rPr>
              <w:t>Duración media de la demora en la terminación prevista del proyecto</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b/>
                <w:bCs/>
                <w:sz w:val="18"/>
                <w:szCs w:val="18"/>
                <w:lang w:val="es-ES"/>
              </w:rPr>
            </w:pPr>
            <w:r w:rsidRPr="007C2631">
              <w:rPr>
                <w:b/>
                <w:bCs/>
                <w:sz w:val="18"/>
                <w:szCs w:val="18"/>
                <w:lang w:val="es-ES"/>
              </w:rPr>
              <w:t>TOTAL</w:t>
            </w:r>
          </w:p>
        </w:tc>
        <w:tc>
          <w:tcPr>
            <w:tcW w:w="810" w:type="dxa"/>
            <w:shd w:val="clear" w:color="auto" w:fill="auto"/>
            <w:noWrap/>
            <w:tcMar>
              <w:left w:w="57" w:type="dxa"/>
              <w:right w:w="57" w:type="dxa"/>
            </w:tcMar>
            <w:hideMark/>
          </w:tcPr>
          <w:p w:rsidR="0069717E" w:rsidRPr="007C2631" w:rsidRDefault="0069717E" w:rsidP="0069717E">
            <w:pPr>
              <w:jc w:val="right"/>
              <w:rPr>
                <w:b/>
                <w:sz w:val="18"/>
                <w:szCs w:val="18"/>
                <w:lang w:val="es-ES"/>
              </w:rPr>
            </w:pPr>
            <w:r w:rsidRPr="007C2631">
              <w:rPr>
                <w:b/>
                <w:sz w:val="18"/>
                <w:szCs w:val="18"/>
                <w:lang w:val="es-ES"/>
              </w:rPr>
              <w:t>410</w:t>
            </w:r>
          </w:p>
        </w:tc>
        <w:tc>
          <w:tcPr>
            <w:tcW w:w="990" w:type="dxa"/>
            <w:shd w:val="clear" w:color="auto" w:fill="auto"/>
            <w:noWrap/>
            <w:tcMar>
              <w:left w:w="57" w:type="dxa"/>
              <w:right w:w="57" w:type="dxa"/>
            </w:tcMar>
            <w:hideMark/>
          </w:tcPr>
          <w:p w:rsidR="0069717E" w:rsidRPr="007C2631" w:rsidRDefault="0069717E" w:rsidP="0069717E">
            <w:pPr>
              <w:jc w:val="right"/>
              <w:rPr>
                <w:b/>
                <w:sz w:val="18"/>
                <w:szCs w:val="18"/>
                <w:lang w:val="es-ES"/>
              </w:rPr>
            </w:pPr>
            <w:r w:rsidRPr="007C2631">
              <w:rPr>
                <w:b/>
                <w:sz w:val="18"/>
                <w:szCs w:val="18"/>
                <w:lang w:val="es-ES"/>
              </w:rPr>
              <w:t>78.045.289</w:t>
            </w:r>
          </w:p>
        </w:tc>
        <w:tc>
          <w:tcPr>
            <w:tcW w:w="810" w:type="dxa"/>
            <w:shd w:val="clear" w:color="auto" w:fill="auto"/>
            <w:noWrap/>
            <w:tcMar>
              <w:left w:w="57" w:type="dxa"/>
              <w:right w:w="57" w:type="dxa"/>
            </w:tcMar>
            <w:hideMark/>
          </w:tcPr>
          <w:p w:rsidR="0069717E" w:rsidRPr="007C2631" w:rsidRDefault="0069717E" w:rsidP="0069717E">
            <w:pPr>
              <w:jc w:val="right"/>
              <w:rPr>
                <w:b/>
                <w:sz w:val="18"/>
                <w:szCs w:val="18"/>
                <w:lang w:val="es-ES"/>
              </w:rPr>
            </w:pPr>
            <w:r w:rsidRPr="007C2631">
              <w:rPr>
                <w:b/>
                <w:sz w:val="18"/>
                <w:szCs w:val="18"/>
                <w:lang w:val="es-ES"/>
              </w:rPr>
              <w:t>16</w:t>
            </w:r>
          </w:p>
        </w:tc>
        <w:tc>
          <w:tcPr>
            <w:tcW w:w="887" w:type="dxa"/>
            <w:shd w:val="clear" w:color="auto" w:fill="auto"/>
            <w:noWrap/>
            <w:tcMar>
              <w:left w:w="57" w:type="dxa"/>
              <w:right w:w="57" w:type="dxa"/>
            </w:tcMar>
            <w:hideMark/>
          </w:tcPr>
          <w:p w:rsidR="0069717E" w:rsidRPr="007C2631" w:rsidRDefault="0069717E" w:rsidP="0069717E">
            <w:pPr>
              <w:jc w:val="right"/>
              <w:rPr>
                <w:b/>
                <w:sz w:val="18"/>
                <w:szCs w:val="18"/>
                <w:lang w:val="es-ES"/>
              </w:rPr>
            </w:pPr>
            <w:r w:rsidRPr="007C2631">
              <w:rPr>
                <w:b/>
                <w:sz w:val="18"/>
                <w:szCs w:val="18"/>
                <w:lang w:val="es-ES"/>
              </w:rPr>
              <w:t>197</w:t>
            </w:r>
          </w:p>
        </w:tc>
        <w:tc>
          <w:tcPr>
            <w:tcW w:w="850" w:type="dxa"/>
            <w:shd w:val="clear" w:color="auto" w:fill="auto"/>
            <w:noWrap/>
            <w:tcMar>
              <w:left w:w="57" w:type="dxa"/>
              <w:right w:w="57" w:type="dxa"/>
            </w:tcMar>
            <w:hideMark/>
          </w:tcPr>
          <w:p w:rsidR="0069717E" w:rsidRPr="007C2631" w:rsidRDefault="0069717E" w:rsidP="0069717E">
            <w:pPr>
              <w:jc w:val="right"/>
              <w:rPr>
                <w:b/>
                <w:sz w:val="18"/>
                <w:szCs w:val="18"/>
                <w:lang w:val="es-ES"/>
              </w:rPr>
            </w:pPr>
            <w:r w:rsidRPr="007C2631">
              <w:rPr>
                <w:b/>
                <w:sz w:val="18"/>
                <w:szCs w:val="18"/>
                <w:lang w:val="es-ES"/>
              </w:rPr>
              <w:t>48</w:t>
            </w:r>
          </w:p>
        </w:tc>
        <w:tc>
          <w:tcPr>
            <w:tcW w:w="1134" w:type="dxa"/>
            <w:shd w:val="clear" w:color="auto" w:fill="auto"/>
            <w:noWrap/>
            <w:tcMar>
              <w:left w:w="57" w:type="dxa"/>
              <w:right w:w="57" w:type="dxa"/>
            </w:tcMar>
            <w:hideMark/>
          </w:tcPr>
          <w:p w:rsidR="0069717E" w:rsidRPr="007C2631" w:rsidRDefault="0069717E" w:rsidP="0069717E">
            <w:pPr>
              <w:jc w:val="right"/>
              <w:rPr>
                <w:b/>
                <w:sz w:val="18"/>
                <w:szCs w:val="18"/>
                <w:lang w:val="es-ES"/>
              </w:rPr>
            </w:pPr>
            <w:r w:rsidRPr="007C2631">
              <w:rPr>
                <w:b/>
                <w:sz w:val="18"/>
                <w:szCs w:val="18"/>
                <w:lang w:val="es-ES"/>
              </w:rPr>
              <w:t>11</w:t>
            </w:r>
          </w:p>
        </w:tc>
        <w:tc>
          <w:tcPr>
            <w:tcW w:w="1276" w:type="dxa"/>
            <w:shd w:val="clear" w:color="auto" w:fill="auto"/>
            <w:noWrap/>
            <w:tcMar>
              <w:left w:w="57" w:type="dxa"/>
              <w:right w:w="57" w:type="dxa"/>
            </w:tcMar>
            <w:hideMark/>
          </w:tcPr>
          <w:p w:rsidR="0069717E" w:rsidRPr="007C2631" w:rsidRDefault="0069717E" w:rsidP="0069717E">
            <w:pPr>
              <w:jc w:val="right"/>
              <w:rPr>
                <w:b/>
                <w:sz w:val="18"/>
                <w:szCs w:val="18"/>
                <w:lang w:val="es-ES"/>
              </w:rPr>
            </w:pPr>
            <w:r w:rsidRPr="007C2631">
              <w:rPr>
                <w:b/>
                <w:sz w:val="18"/>
                <w:szCs w:val="18"/>
                <w:lang w:val="es-ES"/>
              </w:rPr>
              <w:t>38</w:t>
            </w:r>
          </w:p>
        </w:tc>
        <w:tc>
          <w:tcPr>
            <w:tcW w:w="997" w:type="dxa"/>
            <w:shd w:val="clear" w:color="auto" w:fill="auto"/>
            <w:noWrap/>
            <w:tcMar>
              <w:left w:w="57" w:type="dxa"/>
              <w:right w:w="57" w:type="dxa"/>
            </w:tcMar>
            <w:hideMark/>
          </w:tcPr>
          <w:p w:rsidR="0069717E" w:rsidRPr="007C2631" w:rsidRDefault="0069717E" w:rsidP="0069717E">
            <w:pPr>
              <w:jc w:val="right"/>
              <w:rPr>
                <w:b/>
                <w:sz w:val="18"/>
                <w:szCs w:val="18"/>
                <w:lang w:val="es-ES"/>
              </w:rPr>
            </w:pPr>
            <w:r w:rsidRPr="007C2631">
              <w:rPr>
                <w:b/>
                <w:sz w:val="18"/>
                <w:szCs w:val="18"/>
                <w:lang w:val="es-ES"/>
              </w:rPr>
              <w:t>10</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b/>
                <w:bCs/>
                <w:sz w:val="18"/>
                <w:szCs w:val="18"/>
                <w:lang w:val="es-ES"/>
              </w:rPr>
            </w:pPr>
            <w:r w:rsidRPr="007C2631">
              <w:rPr>
                <w:b/>
                <w:bCs/>
                <w:sz w:val="18"/>
                <w:szCs w:val="18"/>
                <w:lang w:val="es-ES"/>
              </w:rPr>
              <w:t>Región</w:t>
            </w:r>
          </w:p>
        </w:tc>
        <w:tc>
          <w:tcPr>
            <w:tcW w:w="810" w:type="dxa"/>
            <w:shd w:val="clear" w:color="auto" w:fill="auto"/>
            <w:noWrap/>
            <w:tcMar>
              <w:left w:w="57" w:type="dxa"/>
              <w:right w:w="57" w:type="dxa"/>
            </w:tcMar>
            <w:hideMark/>
          </w:tcPr>
          <w:p w:rsidR="0069717E" w:rsidRPr="007C2631" w:rsidRDefault="0069717E" w:rsidP="0069717E">
            <w:pPr>
              <w:jc w:val="left"/>
              <w:rPr>
                <w:b/>
                <w:bCs/>
                <w:sz w:val="18"/>
                <w:szCs w:val="18"/>
                <w:lang w:val="es-ES" w:eastAsia="en-CA"/>
              </w:rPr>
            </w:pPr>
          </w:p>
        </w:tc>
        <w:tc>
          <w:tcPr>
            <w:tcW w:w="990"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810"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887"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850"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134"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África</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118</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12.702.220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17</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51</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43</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9</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32</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6</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Asia y el Pacífico</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156</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34.397.009</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16</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84</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54</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12</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43</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12</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Europa</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22</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2.406.242</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29</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América Latina y el Caribe</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109</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17.757.380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23</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49</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45</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12</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40</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12</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Mundial</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10.782.438</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14</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19</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6</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b/>
                <w:bCs/>
                <w:sz w:val="18"/>
                <w:szCs w:val="18"/>
                <w:lang w:val="es-ES"/>
              </w:rPr>
            </w:pPr>
            <w:r w:rsidRPr="007C2631">
              <w:rPr>
                <w:b/>
                <w:bCs/>
                <w:sz w:val="18"/>
                <w:szCs w:val="18"/>
                <w:lang w:val="es-ES"/>
              </w:rPr>
              <w:t>Sector</w:t>
            </w:r>
          </w:p>
        </w:tc>
        <w:tc>
          <w:tcPr>
            <w:tcW w:w="810" w:type="dxa"/>
            <w:shd w:val="clear" w:color="auto" w:fill="auto"/>
            <w:noWrap/>
            <w:tcMar>
              <w:left w:w="57" w:type="dxa"/>
              <w:right w:w="57" w:type="dxa"/>
            </w:tcMar>
            <w:hideMark/>
          </w:tcPr>
          <w:p w:rsidR="0069717E" w:rsidRPr="007C2631" w:rsidRDefault="0069717E" w:rsidP="0069717E">
            <w:pPr>
              <w:jc w:val="left"/>
              <w:rPr>
                <w:b/>
                <w:bCs/>
                <w:sz w:val="18"/>
                <w:szCs w:val="18"/>
                <w:lang w:val="es-ES" w:eastAsia="en-CA"/>
              </w:rPr>
            </w:pPr>
          </w:p>
        </w:tc>
        <w:tc>
          <w:tcPr>
            <w:tcW w:w="990"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810"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887"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850"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134"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Aerosoles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Destrucción</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1.614.075</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85</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14</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85</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51</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Lucha contra incendios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Espumas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Fumigantes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proofErr w:type="spellStart"/>
            <w:r w:rsidRPr="007C2631">
              <w:rPr>
                <w:sz w:val="18"/>
                <w:szCs w:val="18"/>
                <w:lang w:val="es-ES"/>
              </w:rPr>
              <w:t>Halones</w:t>
            </w:r>
            <w:proofErr w:type="spellEnd"/>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Sectores múltiples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Otros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Plan de eliminación</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218</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38.881.288</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15</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111</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51</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42</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Agente de procesos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Producción</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Refrigeración</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2.108.438</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44</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9</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50</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32</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Diversos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188</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35.441.488</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12</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82</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44</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33</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9</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Disolventes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Esterilizantes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9464" w:type="dxa"/>
            <w:gridSpan w:val="9"/>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b/>
                <w:bCs/>
                <w:sz w:val="18"/>
                <w:szCs w:val="18"/>
                <w:lang w:val="es-ES"/>
              </w:rPr>
              <w:t>Características de la ejecución</w:t>
            </w:r>
            <w:r w:rsidRPr="007C2631">
              <w:rPr>
                <w:sz w:val="18"/>
                <w:szCs w:val="18"/>
                <w:lang w:val="es-ES"/>
              </w:rPr>
              <w:t> </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Ejecución por organismos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338</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56.557.648</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15</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164</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49</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39</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Ejecución nacional</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72</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21.487.641</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18</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33</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46</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34</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6</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b/>
                <w:bCs/>
                <w:sz w:val="18"/>
                <w:szCs w:val="18"/>
                <w:lang w:val="es-ES"/>
              </w:rPr>
            </w:pPr>
            <w:r w:rsidRPr="007C2631">
              <w:rPr>
                <w:b/>
                <w:bCs/>
                <w:sz w:val="18"/>
                <w:szCs w:val="18"/>
                <w:lang w:val="es-ES"/>
              </w:rPr>
              <w:t>Método de desembolso</w:t>
            </w:r>
          </w:p>
        </w:tc>
        <w:tc>
          <w:tcPr>
            <w:tcW w:w="810" w:type="dxa"/>
            <w:shd w:val="clear" w:color="auto" w:fill="auto"/>
            <w:noWrap/>
            <w:tcMar>
              <w:left w:w="57" w:type="dxa"/>
              <w:right w:w="57" w:type="dxa"/>
            </w:tcMar>
            <w:hideMark/>
          </w:tcPr>
          <w:p w:rsidR="0069717E" w:rsidRPr="007C2631" w:rsidRDefault="0069717E" w:rsidP="0069717E">
            <w:pPr>
              <w:jc w:val="left"/>
              <w:rPr>
                <w:b/>
                <w:bCs/>
                <w:sz w:val="18"/>
                <w:szCs w:val="18"/>
                <w:lang w:val="es-ES" w:eastAsia="en-CA"/>
              </w:rPr>
            </w:pPr>
          </w:p>
        </w:tc>
        <w:tc>
          <w:tcPr>
            <w:tcW w:w="990"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810"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887"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850"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134" w:type="dxa"/>
            <w:shd w:val="clear" w:color="auto" w:fill="auto"/>
            <w:noWrap/>
            <w:tcMar>
              <w:left w:w="57" w:type="dxa"/>
              <w:right w:w="57" w:type="dxa"/>
            </w:tcMar>
            <w:hideMark/>
          </w:tcPr>
          <w:p w:rsidR="0069717E" w:rsidRPr="007C2631" w:rsidRDefault="0069717E" w:rsidP="0069717E">
            <w:pPr>
              <w:jc w:val="left"/>
              <w:rPr>
                <w:sz w:val="18"/>
                <w:szCs w:val="18"/>
                <w:lang w:val="es-ES" w:eastAsia="en-CA"/>
              </w:rPr>
            </w:pP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 </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Durante la ejecución</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409</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77.546.089</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16</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196</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48</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11</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38</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w:t>
            </w:r>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Después de la ejecución</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Financiación retroactiva</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r w:rsidR="0069717E" w:rsidRPr="007C2631" w:rsidTr="0069717E">
        <w:tc>
          <w:tcPr>
            <w:tcW w:w="1705" w:type="dxa"/>
            <w:shd w:val="clear" w:color="auto" w:fill="auto"/>
            <w:noWrap/>
            <w:tcMar>
              <w:left w:w="57" w:type="dxa"/>
              <w:right w:w="57" w:type="dxa"/>
            </w:tcMar>
            <w:hideMark/>
          </w:tcPr>
          <w:p w:rsidR="0069717E" w:rsidRPr="007C2631" w:rsidRDefault="0069717E" w:rsidP="0069717E">
            <w:pPr>
              <w:jc w:val="left"/>
              <w:rPr>
                <w:sz w:val="18"/>
                <w:szCs w:val="18"/>
                <w:lang w:val="es-ES"/>
              </w:rPr>
            </w:pPr>
            <w:r w:rsidRPr="007C2631">
              <w:rPr>
                <w:sz w:val="18"/>
                <w:szCs w:val="18"/>
                <w:lang w:val="es-ES"/>
              </w:rPr>
              <w:t>País a beneficiarios finales</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w:t>
            </w:r>
          </w:p>
        </w:tc>
        <w:tc>
          <w:tcPr>
            <w:tcW w:w="99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499.200</w:t>
            </w:r>
          </w:p>
        </w:tc>
        <w:tc>
          <w:tcPr>
            <w:tcW w:w="81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78</w:t>
            </w:r>
          </w:p>
        </w:tc>
        <w:tc>
          <w:tcPr>
            <w:tcW w:w="887"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w:t>
            </w:r>
          </w:p>
        </w:tc>
        <w:tc>
          <w:tcPr>
            <w:tcW w:w="850"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100</w:t>
            </w:r>
          </w:p>
        </w:tc>
        <w:tc>
          <w:tcPr>
            <w:tcW w:w="1134"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9</w:t>
            </w:r>
          </w:p>
        </w:tc>
        <w:tc>
          <w:tcPr>
            <w:tcW w:w="1276" w:type="dxa"/>
            <w:shd w:val="clear" w:color="auto" w:fill="auto"/>
            <w:noWrap/>
            <w:tcMar>
              <w:left w:w="57" w:type="dxa"/>
              <w:right w:w="57" w:type="dxa"/>
            </w:tcMar>
            <w:hideMark/>
          </w:tcPr>
          <w:p w:rsidR="0069717E" w:rsidRPr="007C2631" w:rsidRDefault="0069717E" w:rsidP="0069717E">
            <w:pPr>
              <w:jc w:val="right"/>
              <w:rPr>
                <w:sz w:val="18"/>
                <w:szCs w:val="18"/>
                <w:lang w:val="es-ES"/>
              </w:rPr>
            </w:pPr>
            <w:r w:rsidRPr="007C2631">
              <w:rPr>
                <w:sz w:val="18"/>
                <w:szCs w:val="18"/>
                <w:lang w:val="es-ES"/>
              </w:rPr>
              <w:t>24</w:t>
            </w:r>
          </w:p>
        </w:tc>
        <w:tc>
          <w:tcPr>
            <w:tcW w:w="997" w:type="dxa"/>
            <w:shd w:val="clear" w:color="auto" w:fill="auto"/>
            <w:noWrap/>
            <w:tcMar>
              <w:left w:w="57" w:type="dxa"/>
              <w:right w:w="57" w:type="dxa"/>
            </w:tcMar>
            <w:hideMark/>
          </w:tcPr>
          <w:p w:rsidR="0069717E" w:rsidRPr="007C2631" w:rsidRDefault="0069717E" w:rsidP="0069717E">
            <w:pPr>
              <w:jc w:val="right"/>
              <w:rPr>
                <w:sz w:val="18"/>
                <w:szCs w:val="18"/>
                <w:lang w:val="es-ES"/>
              </w:rPr>
            </w:pPr>
            <w:proofErr w:type="spellStart"/>
            <w:r w:rsidRPr="007C2631">
              <w:rPr>
                <w:sz w:val="18"/>
                <w:szCs w:val="18"/>
                <w:lang w:val="es-ES"/>
              </w:rPr>
              <w:t>nc</w:t>
            </w:r>
            <w:proofErr w:type="spellEnd"/>
          </w:p>
        </w:tc>
      </w:tr>
    </w:tbl>
    <w:p w:rsidR="0069717E" w:rsidRPr="007C2631" w:rsidRDefault="0069717E" w:rsidP="0069717E">
      <w:pPr>
        <w:keepNext/>
        <w:rPr>
          <w:lang w:val="es-ES"/>
        </w:rPr>
      </w:pPr>
    </w:p>
    <w:p w:rsidR="0069717E" w:rsidRPr="007C2631" w:rsidRDefault="0069717E" w:rsidP="0069717E">
      <w:pPr>
        <w:pStyle w:val="Heading1"/>
        <w:rPr>
          <w:lang w:val="es-ES"/>
        </w:rPr>
      </w:pPr>
      <w:r w:rsidRPr="007C2631">
        <w:rPr>
          <w:lang w:val="es-ES"/>
        </w:rPr>
        <w:t xml:space="preserve">Actualmente, hay 410 proyectos ajenos a la inversión en ejecución, por un valor total de 78,05 millones de $EUA, y ya se ha desembolsado el 16 por ciento de los fondos. El número medio de meses desde la aprobación hasta el primer desembolso es de 11 meses. En promedio, los proyectos ajenos a la inversión se terminan 38 meses desde la fecha de aprobación, lo que representa una demora de 10 meses. </w:t>
      </w:r>
    </w:p>
    <w:p w:rsidR="0069717E" w:rsidRPr="007C2631" w:rsidRDefault="0069717E" w:rsidP="0069717E">
      <w:pPr>
        <w:pStyle w:val="a--"/>
        <w:suppressAutoHyphens w:val="0"/>
        <w:rPr>
          <w:sz w:val="22"/>
          <w:szCs w:val="22"/>
        </w:rPr>
      </w:pPr>
      <w:r w:rsidRPr="007C2631">
        <w:rPr>
          <w:sz w:val="22"/>
          <w:szCs w:val="22"/>
        </w:rPr>
        <w:t>PROYECTOS CERRADOS</w:t>
      </w:r>
    </w:p>
    <w:p w:rsidR="0069717E" w:rsidRPr="007C2631" w:rsidRDefault="0069717E" w:rsidP="0069717E">
      <w:pPr>
        <w:pStyle w:val="a--"/>
        <w:suppressAutoHyphens w:val="0"/>
        <w:rPr>
          <w:b w:val="0"/>
          <w:sz w:val="22"/>
          <w:szCs w:val="22"/>
        </w:rPr>
      </w:pPr>
    </w:p>
    <w:p w:rsidR="0069717E" w:rsidRPr="007C2631" w:rsidRDefault="0069717E" w:rsidP="0069717E">
      <w:pPr>
        <w:pStyle w:val="Heading1"/>
        <w:rPr>
          <w:lang w:val="es-ES"/>
        </w:rPr>
      </w:pPr>
      <w:r w:rsidRPr="007C2631">
        <w:rPr>
          <w:lang w:val="es-ES"/>
        </w:rPr>
        <w:t xml:space="preserve">En el Cuadro 8 se presenta un resumen de los proyectos cerrados. </w:t>
      </w:r>
    </w:p>
    <w:p w:rsidR="0069717E" w:rsidRPr="007C2631" w:rsidRDefault="0069717E" w:rsidP="0069717E">
      <w:pPr>
        <w:pStyle w:val="a--"/>
        <w:keepNext/>
        <w:suppressAutoHyphens w:val="0"/>
        <w:rPr>
          <w:sz w:val="22"/>
          <w:szCs w:val="22"/>
        </w:rPr>
      </w:pPr>
      <w:r w:rsidRPr="007C2631">
        <w:rPr>
          <w:sz w:val="22"/>
          <w:szCs w:val="22"/>
        </w:rPr>
        <w:lastRenderedPageBreak/>
        <w:t>Cuadro 8. Resumen de proyectos cerrados</w:t>
      </w:r>
    </w:p>
    <w:tbl>
      <w:tblPr>
        <w:tblW w:w="942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043"/>
        <w:gridCol w:w="1586"/>
        <w:gridCol w:w="1389"/>
        <w:gridCol w:w="1390"/>
        <w:gridCol w:w="1389"/>
        <w:gridCol w:w="1390"/>
      </w:tblGrid>
      <w:tr w:rsidR="0069717E" w:rsidRPr="007C2631" w:rsidTr="0069717E">
        <w:trPr>
          <w:trHeight w:val="408"/>
        </w:trPr>
        <w:tc>
          <w:tcPr>
            <w:tcW w:w="1241" w:type="dxa"/>
            <w:shd w:val="clear" w:color="auto" w:fill="auto"/>
            <w:vAlign w:val="center"/>
            <w:hideMark/>
          </w:tcPr>
          <w:p w:rsidR="0069717E" w:rsidRPr="007C2631" w:rsidRDefault="0069717E" w:rsidP="006C6B34">
            <w:pPr>
              <w:keepNext/>
              <w:keepLines/>
              <w:jc w:val="left"/>
              <w:rPr>
                <w:b/>
                <w:bCs/>
                <w:sz w:val="20"/>
                <w:szCs w:val="20"/>
                <w:lang w:val="es-ES"/>
              </w:rPr>
            </w:pPr>
            <w:r w:rsidRPr="007C2631">
              <w:rPr>
                <w:b/>
                <w:bCs/>
                <w:sz w:val="20"/>
                <w:szCs w:val="20"/>
                <w:lang w:val="es-ES"/>
              </w:rPr>
              <w:t>Organismo</w:t>
            </w:r>
          </w:p>
        </w:tc>
        <w:tc>
          <w:tcPr>
            <w:tcW w:w="1043" w:type="dxa"/>
            <w:shd w:val="clear" w:color="auto" w:fill="auto"/>
            <w:vAlign w:val="center"/>
            <w:hideMark/>
          </w:tcPr>
          <w:p w:rsidR="0069717E" w:rsidRPr="007C2631" w:rsidRDefault="0069717E" w:rsidP="006C6B34">
            <w:pPr>
              <w:keepNext/>
              <w:keepLines/>
              <w:jc w:val="center"/>
              <w:rPr>
                <w:b/>
                <w:bCs/>
                <w:sz w:val="20"/>
                <w:szCs w:val="20"/>
                <w:lang w:val="es-ES"/>
              </w:rPr>
            </w:pPr>
            <w:r w:rsidRPr="007C2631">
              <w:rPr>
                <w:b/>
                <w:bCs/>
                <w:sz w:val="20"/>
                <w:szCs w:val="20"/>
                <w:lang w:val="es-ES"/>
              </w:rPr>
              <w:t>Número de proyectos</w:t>
            </w:r>
          </w:p>
        </w:tc>
        <w:tc>
          <w:tcPr>
            <w:tcW w:w="1586" w:type="dxa"/>
            <w:shd w:val="clear" w:color="auto" w:fill="auto"/>
            <w:vAlign w:val="center"/>
            <w:hideMark/>
          </w:tcPr>
          <w:p w:rsidR="0069717E" w:rsidRPr="007C2631" w:rsidRDefault="0069717E" w:rsidP="0069717E">
            <w:pPr>
              <w:ind w:left="-112" w:right="-111"/>
              <w:jc w:val="center"/>
              <w:rPr>
                <w:b/>
                <w:bCs/>
                <w:sz w:val="20"/>
                <w:szCs w:val="20"/>
                <w:lang w:val="es-ES"/>
              </w:rPr>
            </w:pPr>
            <w:r w:rsidRPr="007C2631">
              <w:rPr>
                <w:b/>
                <w:bCs/>
                <w:sz w:val="20"/>
                <w:szCs w:val="20"/>
                <w:lang w:val="es-ES"/>
              </w:rPr>
              <w:t>Financiación aprobada más ajuste ($EUA)</w:t>
            </w:r>
          </w:p>
        </w:tc>
        <w:tc>
          <w:tcPr>
            <w:tcW w:w="1389" w:type="dxa"/>
            <w:shd w:val="clear" w:color="auto" w:fill="auto"/>
            <w:vAlign w:val="center"/>
            <w:hideMark/>
          </w:tcPr>
          <w:p w:rsidR="0069717E" w:rsidRPr="007C2631" w:rsidRDefault="0069717E" w:rsidP="0069717E">
            <w:pPr>
              <w:jc w:val="center"/>
              <w:rPr>
                <w:b/>
                <w:bCs/>
                <w:sz w:val="20"/>
                <w:szCs w:val="20"/>
                <w:lang w:val="es-ES"/>
              </w:rPr>
            </w:pPr>
            <w:r w:rsidRPr="007C2631">
              <w:rPr>
                <w:b/>
                <w:bCs/>
                <w:sz w:val="20"/>
                <w:szCs w:val="20"/>
                <w:lang w:val="es-ES"/>
              </w:rPr>
              <w:t>Fondos desembolsados ($EUA)</w:t>
            </w:r>
          </w:p>
        </w:tc>
        <w:tc>
          <w:tcPr>
            <w:tcW w:w="1390" w:type="dxa"/>
            <w:shd w:val="clear" w:color="auto" w:fill="auto"/>
            <w:vAlign w:val="center"/>
            <w:hideMark/>
          </w:tcPr>
          <w:p w:rsidR="0069717E" w:rsidRPr="007C2631" w:rsidRDefault="0069717E" w:rsidP="0069717E">
            <w:pPr>
              <w:jc w:val="center"/>
              <w:rPr>
                <w:b/>
                <w:bCs/>
                <w:sz w:val="20"/>
                <w:szCs w:val="20"/>
                <w:lang w:val="es-ES"/>
              </w:rPr>
            </w:pPr>
            <w:r w:rsidRPr="007C2631">
              <w:rPr>
                <w:b/>
                <w:bCs/>
                <w:sz w:val="20"/>
                <w:szCs w:val="20"/>
                <w:lang w:val="es-ES"/>
              </w:rPr>
              <w:t>Saldos ($EUA)</w:t>
            </w:r>
          </w:p>
        </w:tc>
        <w:tc>
          <w:tcPr>
            <w:tcW w:w="1389" w:type="dxa"/>
            <w:shd w:val="clear" w:color="auto" w:fill="auto"/>
            <w:vAlign w:val="center"/>
            <w:hideMark/>
          </w:tcPr>
          <w:p w:rsidR="0069717E" w:rsidRPr="007C2631" w:rsidRDefault="0069717E" w:rsidP="0069717E">
            <w:pPr>
              <w:jc w:val="center"/>
              <w:rPr>
                <w:b/>
                <w:bCs/>
                <w:sz w:val="20"/>
                <w:szCs w:val="20"/>
                <w:lang w:val="es-ES"/>
              </w:rPr>
            </w:pPr>
            <w:r w:rsidRPr="007C2631">
              <w:rPr>
                <w:b/>
                <w:bCs/>
                <w:sz w:val="20"/>
                <w:szCs w:val="20"/>
                <w:lang w:val="es-ES"/>
              </w:rPr>
              <w:t>PAO de consumo por eliminar</w:t>
            </w:r>
          </w:p>
        </w:tc>
        <w:tc>
          <w:tcPr>
            <w:tcW w:w="1390" w:type="dxa"/>
            <w:shd w:val="clear" w:color="auto" w:fill="auto"/>
            <w:vAlign w:val="center"/>
            <w:hideMark/>
          </w:tcPr>
          <w:p w:rsidR="0069717E" w:rsidRPr="007C2631" w:rsidRDefault="0069717E" w:rsidP="0069717E">
            <w:pPr>
              <w:jc w:val="center"/>
              <w:rPr>
                <w:b/>
                <w:bCs/>
                <w:sz w:val="20"/>
                <w:szCs w:val="20"/>
                <w:lang w:val="es-ES"/>
              </w:rPr>
            </w:pPr>
            <w:r w:rsidRPr="007C2631">
              <w:rPr>
                <w:b/>
                <w:bCs/>
                <w:sz w:val="20"/>
                <w:szCs w:val="20"/>
                <w:lang w:val="es-ES"/>
              </w:rPr>
              <w:t>PAO de consumo eliminado</w:t>
            </w:r>
          </w:p>
        </w:tc>
      </w:tr>
      <w:tr w:rsidR="0069717E" w:rsidRPr="007C2631" w:rsidTr="0069717E">
        <w:tc>
          <w:tcPr>
            <w:tcW w:w="1241" w:type="dxa"/>
            <w:shd w:val="clear" w:color="auto" w:fill="auto"/>
            <w:noWrap/>
            <w:vAlign w:val="center"/>
            <w:hideMark/>
          </w:tcPr>
          <w:p w:rsidR="0069717E" w:rsidRPr="007C2631" w:rsidRDefault="0069717E" w:rsidP="006C6B34">
            <w:pPr>
              <w:keepNext/>
              <w:keepLines/>
              <w:jc w:val="left"/>
              <w:rPr>
                <w:sz w:val="20"/>
                <w:szCs w:val="20"/>
                <w:lang w:val="es-ES"/>
              </w:rPr>
            </w:pPr>
            <w:r w:rsidRPr="007C2631">
              <w:rPr>
                <w:sz w:val="20"/>
                <w:szCs w:val="20"/>
                <w:lang w:val="es-ES"/>
              </w:rPr>
              <w:t>PNUD</w:t>
            </w:r>
          </w:p>
        </w:tc>
        <w:tc>
          <w:tcPr>
            <w:tcW w:w="1043" w:type="dxa"/>
            <w:shd w:val="clear" w:color="auto" w:fill="auto"/>
            <w:noWrap/>
            <w:vAlign w:val="center"/>
            <w:hideMark/>
          </w:tcPr>
          <w:p w:rsidR="0069717E" w:rsidRPr="007C2631" w:rsidRDefault="0069717E" w:rsidP="006C6B34">
            <w:pPr>
              <w:keepNext/>
              <w:keepLines/>
              <w:jc w:val="right"/>
              <w:rPr>
                <w:sz w:val="20"/>
                <w:szCs w:val="20"/>
                <w:lang w:val="es-ES"/>
              </w:rPr>
            </w:pPr>
            <w:r w:rsidRPr="007C2631">
              <w:rPr>
                <w:sz w:val="20"/>
                <w:szCs w:val="20"/>
                <w:lang w:val="es-ES"/>
              </w:rPr>
              <w:t>81</w:t>
            </w:r>
          </w:p>
        </w:tc>
        <w:tc>
          <w:tcPr>
            <w:tcW w:w="1586"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6.895.392</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6.895.392</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673</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636</w:t>
            </w:r>
          </w:p>
        </w:tc>
      </w:tr>
      <w:tr w:rsidR="0069717E" w:rsidRPr="007C2631" w:rsidTr="0069717E">
        <w:tc>
          <w:tcPr>
            <w:tcW w:w="1241" w:type="dxa"/>
            <w:shd w:val="clear" w:color="auto" w:fill="auto"/>
            <w:noWrap/>
            <w:vAlign w:val="center"/>
            <w:hideMark/>
          </w:tcPr>
          <w:p w:rsidR="0069717E" w:rsidRPr="007C2631" w:rsidRDefault="0069717E" w:rsidP="006C6B34">
            <w:pPr>
              <w:keepNext/>
              <w:keepLines/>
              <w:jc w:val="left"/>
              <w:rPr>
                <w:sz w:val="20"/>
                <w:szCs w:val="20"/>
                <w:lang w:val="es-ES"/>
              </w:rPr>
            </w:pPr>
            <w:r w:rsidRPr="007C2631">
              <w:rPr>
                <w:sz w:val="20"/>
                <w:szCs w:val="20"/>
                <w:lang w:val="es-ES"/>
              </w:rPr>
              <w:t>PNUMA</w:t>
            </w:r>
          </w:p>
        </w:tc>
        <w:tc>
          <w:tcPr>
            <w:tcW w:w="1043" w:type="dxa"/>
            <w:shd w:val="clear" w:color="auto" w:fill="auto"/>
            <w:noWrap/>
            <w:vAlign w:val="center"/>
            <w:hideMark/>
          </w:tcPr>
          <w:p w:rsidR="0069717E" w:rsidRPr="007C2631" w:rsidRDefault="0069717E" w:rsidP="006C6B34">
            <w:pPr>
              <w:keepNext/>
              <w:keepLines/>
              <w:jc w:val="right"/>
              <w:rPr>
                <w:sz w:val="20"/>
                <w:szCs w:val="20"/>
                <w:lang w:val="es-ES"/>
              </w:rPr>
            </w:pPr>
            <w:r w:rsidRPr="007C2631">
              <w:rPr>
                <w:sz w:val="20"/>
                <w:szCs w:val="20"/>
                <w:lang w:val="es-ES"/>
              </w:rPr>
              <w:t>14</w:t>
            </w:r>
          </w:p>
        </w:tc>
        <w:tc>
          <w:tcPr>
            <w:tcW w:w="1586"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21.000</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21.000</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12</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12</w:t>
            </w:r>
          </w:p>
        </w:tc>
      </w:tr>
      <w:tr w:rsidR="0069717E" w:rsidRPr="007C2631" w:rsidTr="0069717E">
        <w:tc>
          <w:tcPr>
            <w:tcW w:w="1241" w:type="dxa"/>
            <w:shd w:val="clear" w:color="auto" w:fill="auto"/>
            <w:noWrap/>
            <w:vAlign w:val="center"/>
            <w:hideMark/>
          </w:tcPr>
          <w:p w:rsidR="0069717E" w:rsidRPr="007C2631" w:rsidRDefault="0069717E" w:rsidP="006C6B34">
            <w:pPr>
              <w:keepNext/>
              <w:keepLines/>
              <w:jc w:val="left"/>
              <w:rPr>
                <w:sz w:val="20"/>
                <w:szCs w:val="20"/>
                <w:lang w:val="es-ES"/>
              </w:rPr>
            </w:pPr>
            <w:r w:rsidRPr="007C2631">
              <w:rPr>
                <w:sz w:val="20"/>
                <w:szCs w:val="20"/>
                <w:lang w:val="es-ES"/>
              </w:rPr>
              <w:t>ONUDI</w:t>
            </w:r>
          </w:p>
        </w:tc>
        <w:tc>
          <w:tcPr>
            <w:tcW w:w="1043" w:type="dxa"/>
            <w:shd w:val="clear" w:color="auto" w:fill="auto"/>
            <w:noWrap/>
            <w:vAlign w:val="center"/>
            <w:hideMark/>
          </w:tcPr>
          <w:p w:rsidR="0069717E" w:rsidRPr="007C2631" w:rsidRDefault="0069717E" w:rsidP="006C6B34">
            <w:pPr>
              <w:keepNext/>
              <w:keepLines/>
              <w:jc w:val="right"/>
              <w:rPr>
                <w:sz w:val="20"/>
                <w:szCs w:val="20"/>
                <w:lang w:val="es-ES"/>
              </w:rPr>
            </w:pPr>
            <w:r w:rsidRPr="007C2631">
              <w:rPr>
                <w:sz w:val="20"/>
                <w:szCs w:val="20"/>
                <w:lang w:val="es-ES"/>
              </w:rPr>
              <w:t>67</w:t>
            </w:r>
          </w:p>
        </w:tc>
        <w:tc>
          <w:tcPr>
            <w:tcW w:w="1586"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6.605.064</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6.347.806</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257.258</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1.808</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367</w:t>
            </w:r>
          </w:p>
        </w:tc>
      </w:tr>
      <w:tr w:rsidR="0069717E" w:rsidRPr="007C2631" w:rsidTr="0069717E">
        <w:tc>
          <w:tcPr>
            <w:tcW w:w="1241" w:type="dxa"/>
            <w:shd w:val="clear" w:color="auto" w:fill="auto"/>
            <w:noWrap/>
            <w:vAlign w:val="center"/>
            <w:hideMark/>
          </w:tcPr>
          <w:p w:rsidR="0069717E" w:rsidRPr="007C2631" w:rsidRDefault="0069717E" w:rsidP="006C6B34">
            <w:pPr>
              <w:keepNext/>
              <w:keepLines/>
              <w:jc w:val="left"/>
              <w:rPr>
                <w:sz w:val="20"/>
                <w:szCs w:val="20"/>
                <w:lang w:val="es-ES"/>
              </w:rPr>
            </w:pPr>
            <w:r w:rsidRPr="007C2631">
              <w:rPr>
                <w:sz w:val="20"/>
                <w:szCs w:val="20"/>
                <w:lang w:val="es-ES"/>
              </w:rPr>
              <w:t>Banco Mundial</w:t>
            </w:r>
          </w:p>
        </w:tc>
        <w:tc>
          <w:tcPr>
            <w:tcW w:w="1043" w:type="dxa"/>
            <w:shd w:val="clear" w:color="auto" w:fill="auto"/>
            <w:noWrap/>
            <w:vAlign w:val="center"/>
            <w:hideMark/>
          </w:tcPr>
          <w:p w:rsidR="0069717E" w:rsidRPr="007C2631" w:rsidRDefault="0069717E" w:rsidP="006C6B34">
            <w:pPr>
              <w:keepNext/>
              <w:keepLines/>
              <w:jc w:val="right"/>
              <w:rPr>
                <w:sz w:val="20"/>
                <w:szCs w:val="20"/>
                <w:lang w:val="es-ES"/>
              </w:rPr>
            </w:pPr>
            <w:r w:rsidRPr="007C2631">
              <w:rPr>
                <w:sz w:val="20"/>
                <w:szCs w:val="20"/>
                <w:lang w:val="es-ES"/>
              </w:rPr>
              <w:t>95</w:t>
            </w:r>
          </w:p>
        </w:tc>
        <w:tc>
          <w:tcPr>
            <w:tcW w:w="1586"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1.373.519</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1.373.519</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657</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581</w:t>
            </w:r>
          </w:p>
        </w:tc>
      </w:tr>
      <w:tr w:rsidR="0069717E" w:rsidRPr="007C2631" w:rsidTr="0069717E">
        <w:tc>
          <w:tcPr>
            <w:tcW w:w="1241" w:type="dxa"/>
            <w:shd w:val="clear" w:color="auto" w:fill="auto"/>
            <w:noWrap/>
            <w:vAlign w:val="center"/>
            <w:hideMark/>
          </w:tcPr>
          <w:p w:rsidR="0069717E" w:rsidRPr="007C2631" w:rsidRDefault="0069717E" w:rsidP="0069717E">
            <w:pPr>
              <w:jc w:val="left"/>
              <w:rPr>
                <w:sz w:val="20"/>
                <w:szCs w:val="20"/>
                <w:lang w:val="es-ES"/>
              </w:rPr>
            </w:pPr>
            <w:r w:rsidRPr="007C2631">
              <w:rPr>
                <w:sz w:val="20"/>
                <w:szCs w:val="20"/>
                <w:lang w:val="es-ES"/>
              </w:rPr>
              <w:t>Bilaterales</w:t>
            </w:r>
          </w:p>
        </w:tc>
        <w:tc>
          <w:tcPr>
            <w:tcW w:w="1043"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17</w:t>
            </w:r>
          </w:p>
        </w:tc>
        <w:tc>
          <w:tcPr>
            <w:tcW w:w="1586"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227.901</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227.901</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0</w:t>
            </w:r>
          </w:p>
        </w:tc>
        <w:tc>
          <w:tcPr>
            <w:tcW w:w="1389"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223</w:t>
            </w:r>
          </w:p>
        </w:tc>
        <w:tc>
          <w:tcPr>
            <w:tcW w:w="1390" w:type="dxa"/>
            <w:shd w:val="clear" w:color="auto" w:fill="auto"/>
            <w:noWrap/>
            <w:vAlign w:val="cente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1241" w:type="dxa"/>
            <w:shd w:val="clear" w:color="auto" w:fill="auto"/>
            <w:noWrap/>
            <w:vAlign w:val="center"/>
            <w:hideMark/>
          </w:tcPr>
          <w:p w:rsidR="0069717E" w:rsidRPr="007C2631" w:rsidRDefault="0069717E" w:rsidP="0069717E">
            <w:pPr>
              <w:jc w:val="left"/>
              <w:rPr>
                <w:b/>
                <w:bCs/>
                <w:sz w:val="20"/>
                <w:szCs w:val="20"/>
                <w:lang w:val="es-ES"/>
              </w:rPr>
            </w:pPr>
            <w:r w:rsidRPr="007C2631">
              <w:rPr>
                <w:b/>
                <w:bCs/>
                <w:sz w:val="20"/>
                <w:szCs w:val="20"/>
                <w:lang w:val="es-ES"/>
              </w:rPr>
              <w:t>Total</w:t>
            </w:r>
          </w:p>
        </w:tc>
        <w:tc>
          <w:tcPr>
            <w:tcW w:w="1043" w:type="dxa"/>
            <w:shd w:val="clear" w:color="auto" w:fill="auto"/>
            <w:noWrap/>
            <w:vAlign w:val="center"/>
            <w:hideMark/>
          </w:tcPr>
          <w:p w:rsidR="0069717E" w:rsidRPr="007C2631" w:rsidRDefault="0069717E" w:rsidP="0069717E">
            <w:pPr>
              <w:jc w:val="right"/>
              <w:rPr>
                <w:b/>
                <w:bCs/>
                <w:sz w:val="20"/>
                <w:szCs w:val="20"/>
                <w:lang w:val="es-ES"/>
              </w:rPr>
            </w:pPr>
            <w:r w:rsidRPr="007C2631">
              <w:rPr>
                <w:b/>
                <w:bCs/>
                <w:sz w:val="20"/>
                <w:szCs w:val="20"/>
                <w:lang w:val="es-ES"/>
              </w:rPr>
              <w:t>274</w:t>
            </w:r>
          </w:p>
        </w:tc>
        <w:tc>
          <w:tcPr>
            <w:tcW w:w="1586" w:type="dxa"/>
            <w:shd w:val="clear" w:color="auto" w:fill="auto"/>
            <w:noWrap/>
            <w:vAlign w:val="center"/>
            <w:hideMark/>
          </w:tcPr>
          <w:p w:rsidR="0069717E" w:rsidRPr="007C2631" w:rsidRDefault="0069717E" w:rsidP="0069717E">
            <w:pPr>
              <w:jc w:val="right"/>
              <w:rPr>
                <w:b/>
                <w:bCs/>
                <w:sz w:val="20"/>
                <w:szCs w:val="20"/>
                <w:lang w:val="es-ES"/>
              </w:rPr>
            </w:pPr>
            <w:r w:rsidRPr="007C2631">
              <w:rPr>
                <w:b/>
                <w:bCs/>
                <w:sz w:val="20"/>
                <w:szCs w:val="20"/>
                <w:lang w:val="es-ES"/>
              </w:rPr>
              <w:t>15.122.876</w:t>
            </w:r>
          </w:p>
        </w:tc>
        <w:tc>
          <w:tcPr>
            <w:tcW w:w="1389" w:type="dxa"/>
            <w:shd w:val="clear" w:color="auto" w:fill="auto"/>
            <w:noWrap/>
            <w:vAlign w:val="center"/>
            <w:hideMark/>
          </w:tcPr>
          <w:p w:rsidR="0069717E" w:rsidRPr="007C2631" w:rsidRDefault="0069717E" w:rsidP="0069717E">
            <w:pPr>
              <w:jc w:val="right"/>
              <w:rPr>
                <w:b/>
                <w:bCs/>
                <w:sz w:val="20"/>
                <w:szCs w:val="20"/>
                <w:lang w:val="es-ES"/>
              </w:rPr>
            </w:pPr>
            <w:r w:rsidRPr="007C2631">
              <w:rPr>
                <w:b/>
                <w:bCs/>
                <w:sz w:val="20"/>
                <w:szCs w:val="20"/>
                <w:lang w:val="es-ES"/>
              </w:rPr>
              <w:t>14.865.618</w:t>
            </w:r>
          </w:p>
        </w:tc>
        <w:tc>
          <w:tcPr>
            <w:tcW w:w="1390" w:type="dxa"/>
            <w:shd w:val="clear" w:color="auto" w:fill="auto"/>
            <w:noWrap/>
            <w:vAlign w:val="center"/>
            <w:hideMark/>
          </w:tcPr>
          <w:p w:rsidR="0069717E" w:rsidRPr="007C2631" w:rsidRDefault="0069717E" w:rsidP="0069717E">
            <w:pPr>
              <w:jc w:val="right"/>
              <w:rPr>
                <w:b/>
                <w:bCs/>
                <w:sz w:val="20"/>
                <w:szCs w:val="20"/>
                <w:lang w:val="es-ES"/>
              </w:rPr>
            </w:pPr>
            <w:r w:rsidRPr="007C2631">
              <w:rPr>
                <w:b/>
                <w:bCs/>
                <w:sz w:val="20"/>
                <w:szCs w:val="20"/>
                <w:lang w:val="es-ES"/>
              </w:rPr>
              <w:t>257.258</w:t>
            </w:r>
          </w:p>
        </w:tc>
        <w:tc>
          <w:tcPr>
            <w:tcW w:w="1389" w:type="dxa"/>
            <w:shd w:val="clear" w:color="auto" w:fill="auto"/>
            <w:noWrap/>
            <w:vAlign w:val="center"/>
            <w:hideMark/>
          </w:tcPr>
          <w:p w:rsidR="0069717E" w:rsidRPr="007C2631" w:rsidRDefault="0069717E" w:rsidP="0069717E">
            <w:pPr>
              <w:jc w:val="right"/>
              <w:rPr>
                <w:b/>
                <w:bCs/>
                <w:sz w:val="20"/>
                <w:szCs w:val="20"/>
                <w:lang w:val="es-ES"/>
              </w:rPr>
            </w:pPr>
            <w:r w:rsidRPr="007C2631">
              <w:rPr>
                <w:b/>
                <w:bCs/>
                <w:sz w:val="20"/>
                <w:szCs w:val="20"/>
                <w:lang w:val="es-ES"/>
              </w:rPr>
              <w:t>3.373</w:t>
            </w:r>
          </w:p>
        </w:tc>
        <w:tc>
          <w:tcPr>
            <w:tcW w:w="1390" w:type="dxa"/>
            <w:shd w:val="clear" w:color="auto" w:fill="auto"/>
            <w:noWrap/>
            <w:vAlign w:val="center"/>
            <w:hideMark/>
          </w:tcPr>
          <w:p w:rsidR="0069717E" w:rsidRPr="007C2631" w:rsidRDefault="0069717E" w:rsidP="0069717E">
            <w:pPr>
              <w:jc w:val="right"/>
              <w:rPr>
                <w:b/>
                <w:bCs/>
                <w:sz w:val="20"/>
                <w:szCs w:val="20"/>
                <w:lang w:val="es-ES"/>
              </w:rPr>
            </w:pPr>
            <w:r w:rsidRPr="007C2631">
              <w:rPr>
                <w:b/>
                <w:bCs/>
                <w:sz w:val="20"/>
                <w:szCs w:val="20"/>
                <w:lang w:val="es-ES"/>
              </w:rPr>
              <w:t>1.595</w:t>
            </w:r>
          </w:p>
        </w:tc>
      </w:tr>
    </w:tbl>
    <w:p w:rsidR="0069717E" w:rsidRPr="007C2631" w:rsidRDefault="0069717E" w:rsidP="0069717E">
      <w:pPr>
        <w:pStyle w:val="a--"/>
        <w:keepNext/>
        <w:suppressAutoHyphens w:val="0"/>
        <w:rPr>
          <w:sz w:val="22"/>
          <w:szCs w:val="22"/>
        </w:rPr>
      </w:pPr>
    </w:p>
    <w:p w:rsidR="0069717E" w:rsidRPr="007C2631" w:rsidRDefault="0069717E" w:rsidP="0069717E">
      <w:pPr>
        <w:pStyle w:val="a--"/>
        <w:keepNext/>
        <w:suppressAutoHyphens w:val="0"/>
        <w:rPr>
          <w:sz w:val="22"/>
          <w:szCs w:val="22"/>
        </w:rPr>
      </w:pPr>
      <w:r w:rsidRPr="007C2631">
        <w:rPr>
          <w:sz w:val="22"/>
          <w:szCs w:val="22"/>
        </w:rPr>
        <w:t>ACTIVIDADES RELACIONADAS CON LOS HFC</w:t>
      </w:r>
    </w:p>
    <w:p w:rsidR="0069717E" w:rsidRPr="007C2631" w:rsidRDefault="0069717E" w:rsidP="0069717E">
      <w:pPr>
        <w:pStyle w:val="a--"/>
        <w:keepNext/>
        <w:suppressAutoHyphens w:val="0"/>
        <w:rPr>
          <w:sz w:val="22"/>
          <w:szCs w:val="22"/>
        </w:rPr>
      </w:pPr>
    </w:p>
    <w:p w:rsidR="0069717E" w:rsidRPr="007C2631" w:rsidRDefault="0069717E" w:rsidP="0069717E">
      <w:pPr>
        <w:pStyle w:val="Heading1"/>
        <w:rPr>
          <w:lang w:val="es-ES"/>
        </w:rPr>
      </w:pPr>
      <w:r w:rsidRPr="007C2631">
        <w:rPr>
          <w:lang w:val="es-ES"/>
        </w:rPr>
        <w:t>En el Cuadro 9 se presenta un resumen de los proyectos relacionados con los HFC aprobados con cargo a las contribuciones ordinarias.</w:t>
      </w:r>
    </w:p>
    <w:p w:rsidR="0069717E" w:rsidRPr="007C2631" w:rsidRDefault="0069717E" w:rsidP="0069717E">
      <w:pPr>
        <w:keepNext/>
        <w:rPr>
          <w:b/>
          <w:lang w:val="es-ES"/>
        </w:rPr>
      </w:pPr>
      <w:r w:rsidRPr="007C2631">
        <w:rPr>
          <w:b/>
          <w:lang w:val="es-ES"/>
        </w:rPr>
        <w:t>Cuadro 9. Proyectos relacionados con los HFC aprobados con cargo a las contribuciones ordinarias</w:t>
      </w:r>
    </w:p>
    <w:tbl>
      <w:tblPr>
        <w:tblW w:w="9639" w:type="dxa"/>
        <w:tblInd w:w="-5" w:type="dxa"/>
        <w:tblLayout w:type="fixed"/>
        <w:tblLook w:val="04A0" w:firstRow="1" w:lastRow="0" w:firstColumn="1" w:lastColumn="0" w:noHBand="0" w:noVBand="1"/>
      </w:tblPr>
      <w:tblGrid>
        <w:gridCol w:w="1890"/>
        <w:gridCol w:w="990"/>
        <w:gridCol w:w="1080"/>
        <w:gridCol w:w="1260"/>
        <w:gridCol w:w="990"/>
        <w:gridCol w:w="1080"/>
        <w:gridCol w:w="1080"/>
        <w:gridCol w:w="1269"/>
      </w:tblGrid>
      <w:tr w:rsidR="0069717E" w:rsidRPr="007C2631" w:rsidTr="0069717E">
        <w:trPr>
          <w:trHeight w:val="189"/>
          <w:tblHeader/>
        </w:trPr>
        <w:tc>
          <w:tcPr>
            <w:tcW w:w="1890" w:type="dxa"/>
            <w:vMerge w:val="restar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left"/>
              <w:rPr>
                <w:b/>
                <w:bCs/>
                <w:sz w:val="20"/>
                <w:szCs w:val="20"/>
                <w:lang w:val="es-ES"/>
              </w:rPr>
            </w:pPr>
            <w:r w:rsidRPr="007C2631">
              <w:rPr>
                <w:b/>
                <w:bCs/>
                <w:sz w:val="20"/>
                <w:szCs w:val="20"/>
                <w:lang w:val="es-ES"/>
              </w:rPr>
              <w:t>Tipo</w:t>
            </w:r>
          </w:p>
        </w:tc>
        <w:tc>
          <w:tcPr>
            <w:tcW w:w="3330" w:type="dxa"/>
            <w:gridSpan w:val="3"/>
            <w:tcBorders>
              <w:top w:val="single" w:sz="4" w:space="0" w:color="auto"/>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Número de proyectos</w:t>
            </w:r>
          </w:p>
        </w:tc>
        <w:tc>
          <w:tcPr>
            <w:tcW w:w="4419" w:type="dxa"/>
            <w:gridSpan w:val="4"/>
            <w:tcBorders>
              <w:top w:val="single" w:sz="4" w:space="0" w:color="auto"/>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Financiación ($EUA)*</w:t>
            </w:r>
          </w:p>
        </w:tc>
      </w:tr>
      <w:tr w:rsidR="0069717E" w:rsidRPr="007C2631" w:rsidTr="0069717E">
        <w:trPr>
          <w:trHeight w:val="188"/>
          <w:tblHeader/>
        </w:trPr>
        <w:tc>
          <w:tcPr>
            <w:tcW w:w="1890"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rsidR="0069717E" w:rsidRPr="007C2631" w:rsidRDefault="0069717E" w:rsidP="0069717E">
            <w:pPr>
              <w:keepNext/>
              <w:jc w:val="center"/>
              <w:rPr>
                <w:b/>
                <w:bCs/>
                <w:sz w:val="20"/>
                <w:szCs w:val="20"/>
                <w:lang w:val="es-ES" w:eastAsia="en-CA"/>
              </w:rPr>
            </w:pP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Aprobados</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Terminados</w:t>
            </w:r>
          </w:p>
        </w:tc>
        <w:tc>
          <w:tcPr>
            <w:tcW w:w="126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 terminados</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Aprobada</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Desembolsada</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Saldo</w:t>
            </w:r>
          </w:p>
        </w:tc>
        <w:tc>
          <w:tcPr>
            <w:tcW w:w="1269"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 desembolsado</w:t>
            </w:r>
          </w:p>
        </w:tc>
      </w:tr>
      <w:tr w:rsidR="0069717E" w:rsidRPr="007C2631" w:rsidTr="0069717E">
        <w:trPr>
          <w:trHeight w:val="125"/>
        </w:trPr>
        <w:tc>
          <w:tcPr>
            <w:tcW w:w="189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left"/>
              <w:rPr>
                <w:sz w:val="20"/>
                <w:szCs w:val="20"/>
                <w:lang w:val="es-ES"/>
              </w:rPr>
            </w:pPr>
            <w:r w:rsidRPr="007C2631">
              <w:rPr>
                <w:sz w:val="20"/>
                <w:szCs w:val="20"/>
                <w:lang w:val="es-ES"/>
              </w:rPr>
              <w:t>Inversión**</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right"/>
              <w:rPr>
                <w:sz w:val="20"/>
                <w:szCs w:val="20"/>
                <w:lang w:val="es-ES"/>
              </w:rPr>
            </w:pPr>
            <w:r w:rsidRPr="007C2631">
              <w:rPr>
                <w:sz w:val="20"/>
                <w:szCs w:val="20"/>
                <w:lang w:val="es-ES"/>
              </w:rPr>
              <w:t>7</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right"/>
              <w:rPr>
                <w:sz w:val="20"/>
                <w:szCs w:val="20"/>
                <w:lang w:val="es-ES"/>
              </w:rPr>
            </w:pPr>
            <w:r w:rsidRPr="007C2631">
              <w:rPr>
                <w:sz w:val="20"/>
                <w:szCs w:val="20"/>
                <w:lang w:val="es-ES"/>
              </w:rPr>
              <w:t>1</w:t>
            </w:r>
          </w:p>
        </w:tc>
        <w:tc>
          <w:tcPr>
            <w:tcW w:w="126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right"/>
              <w:rPr>
                <w:sz w:val="20"/>
                <w:szCs w:val="20"/>
                <w:lang w:val="es-ES"/>
              </w:rPr>
            </w:pPr>
            <w:r w:rsidRPr="007C2631">
              <w:rPr>
                <w:sz w:val="20"/>
                <w:szCs w:val="20"/>
                <w:lang w:val="es-ES"/>
              </w:rPr>
              <w:t>14</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right"/>
              <w:rPr>
                <w:sz w:val="20"/>
                <w:szCs w:val="20"/>
                <w:lang w:val="es-ES"/>
              </w:rPr>
            </w:pPr>
            <w:r w:rsidRPr="007C2631">
              <w:rPr>
                <w:sz w:val="20"/>
                <w:szCs w:val="20"/>
                <w:lang w:val="es-ES"/>
              </w:rPr>
              <w:t>4.894.389</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right"/>
              <w:rPr>
                <w:sz w:val="20"/>
                <w:szCs w:val="20"/>
                <w:lang w:val="es-ES"/>
              </w:rPr>
            </w:pPr>
            <w:r w:rsidRPr="007C2631">
              <w:rPr>
                <w:sz w:val="20"/>
                <w:szCs w:val="20"/>
                <w:lang w:val="es-ES"/>
              </w:rPr>
              <w:t>2311513,6</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right"/>
              <w:rPr>
                <w:sz w:val="20"/>
                <w:szCs w:val="20"/>
                <w:lang w:val="es-ES"/>
              </w:rPr>
            </w:pPr>
            <w:r w:rsidRPr="007C2631">
              <w:rPr>
                <w:sz w:val="20"/>
                <w:szCs w:val="20"/>
                <w:lang w:val="es-ES"/>
              </w:rPr>
              <w:t>2.582.875</w:t>
            </w:r>
          </w:p>
        </w:tc>
        <w:tc>
          <w:tcPr>
            <w:tcW w:w="126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keepNext/>
              <w:jc w:val="right"/>
              <w:rPr>
                <w:sz w:val="20"/>
                <w:szCs w:val="20"/>
                <w:lang w:val="es-ES"/>
              </w:rPr>
            </w:pPr>
            <w:r w:rsidRPr="007C2631">
              <w:rPr>
                <w:sz w:val="20"/>
                <w:szCs w:val="20"/>
                <w:lang w:val="es-ES"/>
              </w:rPr>
              <w:t>47</w:t>
            </w:r>
          </w:p>
        </w:tc>
      </w:tr>
      <w:tr w:rsidR="0069717E" w:rsidRPr="007C2631" w:rsidTr="0069717E">
        <w:trPr>
          <w:trHeight w:val="161"/>
        </w:trPr>
        <w:tc>
          <w:tcPr>
            <w:tcW w:w="189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jc w:val="left"/>
              <w:rPr>
                <w:sz w:val="20"/>
                <w:szCs w:val="20"/>
                <w:lang w:val="es-ES"/>
              </w:rPr>
            </w:pPr>
            <w:r w:rsidRPr="007C2631">
              <w:rPr>
                <w:sz w:val="20"/>
                <w:szCs w:val="20"/>
                <w:lang w:val="es-ES"/>
              </w:rPr>
              <w:t>Preparación de proyectos</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jc w:val="right"/>
              <w:rPr>
                <w:sz w:val="20"/>
                <w:szCs w:val="20"/>
                <w:lang w:val="es-ES"/>
              </w:rPr>
            </w:pPr>
            <w:r w:rsidRPr="007C2631">
              <w:rPr>
                <w:sz w:val="20"/>
                <w:szCs w:val="20"/>
                <w:lang w:val="es-ES"/>
              </w:rPr>
              <w:t>2</w:t>
            </w:r>
          </w:p>
        </w:tc>
        <w:tc>
          <w:tcPr>
            <w:tcW w:w="108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jc w:val="right"/>
              <w:rPr>
                <w:sz w:val="20"/>
                <w:szCs w:val="20"/>
                <w:lang w:val="es-ES"/>
              </w:rPr>
            </w:pPr>
            <w:r w:rsidRPr="007C2631">
              <w:rPr>
                <w:sz w:val="20"/>
                <w:szCs w:val="20"/>
                <w:lang w:val="es-ES"/>
              </w:rPr>
              <w:t>1</w:t>
            </w:r>
          </w:p>
        </w:tc>
        <w:tc>
          <w:tcPr>
            <w:tcW w:w="126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jc w:val="right"/>
              <w:rPr>
                <w:sz w:val="20"/>
                <w:szCs w:val="20"/>
                <w:lang w:val="es-ES"/>
              </w:rPr>
            </w:pPr>
            <w:r w:rsidRPr="007C2631">
              <w:rPr>
                <w:sz w:val="20"/>
                <w:szCs w:val="20"/>
                <w:lang w:val="es-ES"/>
              </w:rPr>
              <w:t>50</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jc w:val="right"/>
              <w:rPr>
                <w:sz w:val="20"/>
                <w:szCs w:val="20"/>
                <w:lang w:val="es-ES"/>
              </w:rPr>
            </w:pPr>
            <w:r w:rsidRPr="007C2631">
              <w:rPr>
                <w:sz w:val="20"/>
                <w:szCs w:val="20"/>
                <w:lang w:val="es-ES"/>
              </w:rPr>
              <w:t>130.000</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jc w:val="right"/>
              <w:rPr>
                <w:sz w:val="20"/>
                <w:szCs w:val="20"/>
                <w:lang w:val="es-ES"/>
              </w:rPr>
            </w:pPr>
            <w:r w:rsidRPr="007C2631">
              <w:rPr>
                <w:sz w:val="20"/>
                <w:szCs w:val="20"/>
                <w:lang w:val="es-ES"/>
              </w:rPr>
              <w:t>129598,45</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jc w:val="right"/>
              <w:rPr>
                <w:sz w:val="20"/>
                <w:szCs w:val="20"/>
                <w:lang w:val="es-ES"/>
              </w:rPr>
            </w:pPr>
            <w:r w:rsidRPr="007C2631">
              <w:rPr>
                <w:sz w:val="20"/>
                <w:szCs w:val="20"/>
                <w:lang w:val="es-ES"/>
              </w:rPr>
              <w:t>402</w:t>
            </w:r>
          </w:p>
        </w:tc>
        <w:tc>
          <w:tcPr>
            <w:tcW w:w="126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rPr>
          <w:trHeight w:val="188"/>
        </w:trPr>
        <w:tc>
          <w:tcPr>
            <w:tcW w:w="189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jc w:val="left"/>
              <w:rPr>
                <w:sz w:val="20"/>
                <w:szCs w:val="20"/>
                <w:lang w:val="es-ES"/>
              </w:rPr>
            </w:pPr>
            <w:r w:rsidRPr="007C2631">
              <w:rPr>
                <w:sz w:val="20"/>
                <w:szCs w:val="20"/>
                <w:lang w:val="es-ES"/>
              </w:rPr>
              <w:t>Asistencia técnica - Actividades de apoyo</w:t>
            </w:r>
          </w:p>
        </w:tc>
        <w:tc>
          <w:tcPr>
            <w:tcW w:w="990" w:type="dxa"/>
            <w:tcBorders>
              <w:top w:val="nil"/>
              <w:left w:val="nil"/>
              <w:bottom w:val="single" w:sz="4" w:space="0" w:color="auto"/>
              <w:right w:val="single" w:sz="4" w:space="0" w:color="auto"/>
            </w:tcBorders>
            <w:shd w:val="clear" w:color="auto" w:fill="auto"/>
            <w:noWrap/>
            <w:tcMar>
              <w:left w:w="43" w:type="dxa"/>
              <w:right w:w="43" w:type="dxa"/>
            </w:tcMar>
            <w:hideMark/>
          </w:tcPr>
          <w:p w:rsidR="0069717E" w:rsidRPr="007C2631" w:rsidRDefault="0069717E" w:rsidP="0069717E">
            <w:pPr>
              <w:jc w:val="right"/>
              <w:rPr>
                <w:sz w:val="20"/>
                <w:szCs w:val="20"/>
                <w:lang w:val="es-ES"/>
              </w:rPr>
            </w:pPr>
            <w:r w:rsidRPr="007C2631">
              <w:rPr>
                <w:sz w:val="20"/>
                <w:szCs w:val="20"/>
                <w:lang w:val="es-ES"/>
              </w:rPr>
              <w:t>24</w:t>
            </w:r>
          </w:p>
        </w:tc>
        <w:tc>
          <w:tcPr>
            <w:tcW w:w="1080" w:type="dxa"/>
            <w:tcBorders>
              <w:top w:val="nil"/>
              <w:left w:val="nil"/>
              <w:bottom w:val="single" w:sz="4" w:space="0" w:color="auto"/>
              <w:right w:val="single" w:sz="4" w:space="0" w:color="auto"/>
            </w:tcBorders>
            <w:shd w:val="clear" w:color="auto" w:fill="auto"/>
            <w:tcMar>
              <w:left w:w="43" w:type="dxa"/>
              <w:right w:w="4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60" w:type="dxa"/>
            <w:tcBorders>
              <w:top w:val="nil"/>
              <w:left w:val="nil"/>
              <w:bottom w:val="single" w:sz="4" w:space="0" w:color="auto"/>
              <w:right w:val="single" w:sz="4" w:space="0" w:color="auto"/>
            </w:tcBorders>
            <w:shd w:val="clear" w:color="auto" w:fill="auto"/>
            <w:noWrap/>
            <w:tcMar>
              <w:left w:w="43" w:type="dxa"/>
              <w:right w:w="4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990" w:type="dxa"/>
            <w:tcBorders>
              <w:top w:val="nil"/>
              <w:left w:val="nil"/>
              <w:bottom w:val="single" w:sz="4" w:space="0" w:color="auto"/>
              <w:right w:val="single" w:sz="4" w:space="0" w:color="auto"/>
            </w:tcBorders>
            <w:shd w:val="clear" w:color="auto" w:fill="auto"/>
            <w:tcMar>
              <w:left w:w="43" w:type="dxa"/>
              <w:right w:w="43" w:type="dxa"/>
            </w:tcMar>
            <w:hideMark/>
          </w:tcPr>
          <w:p w:rsidR="0069717E" w:rsidRPr="007C2631" w:rsidRDefault="0069717E" w:rsidP="0069717E">
            <w:pPr>
              <w:jc w:val="right"/>
              <w:rPr>
                <w:sz w:val="20"/>
                <w:szCs w:val="20"/>
                <w:lang w:val="es-ES"/>
              </w:rPr>
            </w:pPr>
            <w:r w:rsidRPr="007C2631">
              <w:rPr>
                <w:sz w:val="20"/>
                <w:szCs w:val="20"/>
                <w:lang w:val="es-ES"/>
              </w:rPr>
              <w:t>2.895.000</w:t>
            </w:r>
          </w:p>
        </w:tc>
        <w:tc>
          <w:tcPr>
            <w:tcW w:w="1080" w:type="dxa"/>
            <w:tcBorders>
              <w:top w:val="nil"/>
              <w:left w:val="nil"/>
              <w:bottom w:val="single" w:sz="4" w:space="0" w:color="auto"/>
              <w:right w:val="single" w:sz="4" w:space="0" w:color="auto"/>
            </w:tcBorders>
            <w:shd w:val="clear" w:color="auto" w:fill="auto"/>
            <w:tcMar>
              <w:left w:w="43" w:type="dxa"/>
              <w:right w:w="43" w:type="dxa"/>
            </w:tcMar>
            <w:hideMark/>
          </w:tcPr>
          <w:p w:rsidR="0069717E" w:rsidRPr="007C2631" w:rsidRDefault="0069717E" w:rsidP="0069717E">
            <w:pPr>
              <w:jc w:val="right"/>
              <w:rPr>
                <w:sz w:val="20"/>
                <w:szCs w:val="20"/>
                <w:lang w:val="es-ES"/>
              </w:rPr>
            </w:pPr>
            <w:r w:rsidRPr="007C2631">
              <w:rPr>
                <w:sz w:val="20"/>
                <w:szCs w:val="20"/>
                <w:lang w:val="es-ES"/>
              </w:rPr>
              <w:t>335.444</w:t>
            </w:r>
          </w:p>
        </w:tc>
        <w:tc>
          <w:tcPr>
            <w:tcW w:w="1080" w:type="dxa"/>
            <w:tcBorders>
              <w:top w:val="nil"/>
              <w:left w:val="nil"/>
              <w:bottom w:val="single" w:sz="4" w:space="0" w:color="auto"/>
              <w:right w:val="single" w:sz="4" w:space="0" w:color="auto"/>
            </w:tcBorders>
            <w:shd w:val="clear" w:color="auto" w:fill="auto"/>
            <w:tcMar>
              <w:left w:w="43" w:type="dxa"/>
              <w:right w:w="43" w:type="dxa"/>
            </w:tcMar>
            <w:hideMark/>
          </w:tcPr>
          <w:p w:rsidR="0069717E" w:rsidRPr="007C2631" w:rsidRDefault="0069717E" w:rsidP="0069717E">
            <w:pPr>
              <w:jc w:val="right"/>
              <w:rPr>
                <w:sz w:val="20"/>
                <w:szCs w:val="20"/>
                <w:lang w:val="es-ES"/>
              </w:rPr>
            </w:pPr>
            <w:r w:rsidRPr="007C2631">
              <w:rPr>
                <w:sz w:val="20"/>
                <w:szCs w:val="20"/>
                <w:lang w:val="es-ES"/>
              </w:rPr>
              <w:t>2.559.556</w:t>
            </w:r>
          </w:p>
        </w:tc>
        <w:tc>
          <w:tcPr>
            <w:tcW w:w="1269" w:type="dxa"/>
            <w:tcBorders>
              <w:top w:val="nil"/>
              <w:left w:val="nil"/>
              <w:bottom w:val="single" w:sz="4" w:space="0" w:color="auto"/>
              <w:right w:val="single" w:sz="4" w:space="0" w:color="auto"/>
            </w:tcBorders>
            <w:shd w:val="clear" w:color="auto" w:fill="auto"/>
            <w:noWrap/>
            <w:tcMar>
              <w:left w:w="43" w:type="dxa"/>
              <w:right w:w="43" w:type="dxa"/>
            </w:tcMar>
            <w:hideMark/>
          </w:tcPr>
          <w:p w:rsidR="0069717E" w:rsidRPr="007C2631" w:rsidRDefault="0069717E" w:rsidP="0069717E">
            <w:pPr>
              <w:jc w:val="right"/>
              <w:rPr>
                <w:sz w:val="20"/>
                <w:szCs w:val="20"/>
                <w:lang w:val="es-ES"/>
              </w:rPr>
            </w:pPr>
            <w:r w:rsidRPr="007C2631">
              <w:rPr>
                <w:sz w:val="20"/>
                <w:szCs w:val="20"/>
                <w:lang w:val="es-ES"/>
              </w:rPr>
              <w:t>12</w:t>
            </w:r>
          </w:p>
        </w:tc>
      </w:tr>
      <w:tr w:rsidR="0069717E" w:rsidRPr="007C2631" w:rsidTr="0069717E">
        <w:trPr>
          <w:trHeight w:val="43"/>
        </w:trPr>
        <w:tc>
          <w:tcPr>
            <w:tcW w:w="1890" w:type="dxa"/>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jc w:val="left"/>
              <w:rPr>
                <w:b/>
                <w:bCs/>
                <w:sz w:val="20"/>
                <w:szCs w:val="20"/>
                <w:lang w:val="es-ES"/>
              </w:rPr>
            </w:pPr>
            <w:r w:rsidRPr="007C2631">
              <w:rPr>
                <w:b/>
                <w:bCs/>
                <w:sz w:val="20"/>
                <w:szCs w:val="20"/>
                <w:lang w:val="es-ES"/>
              </w:rPr>
              <w:t>Total</w:t>
            </w:r>
          </w:p>
        </w:tc>
        <w:tc>
          <w:tcPr>
            <w:tcW w:w="990"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33</w:t>
            </w:r>
          </w:p>
        </w:tc>
        <w:tc>
          <w:tcPr>
            <w:tcW w:w="1080" w:type="dxa"/>
            <w:tcBorders>
              <w:top w:val="single" w:sz="4" w:space="0" w:color="999999"/>
              <w:left w:val="single" w:sz="4" w:space="0" w:color="999999"/>
              <w:bottom w:val="single" w:sz="4" w:space="0" w:color="999999"/>
              <w:right w:val="nil"/>
            </w:tcBorders>
            <w:shd w:val="clear" w:color="auto" w:fill="auto"/>
            <w:noWrap/>
            <w:tcMar>
              <w:left w:w="43" w:type="dxa"/>
              <w:right w:w="43" w:type="dxa"/>
            </w:tcMar>
            <w:vAlign w:val="bottom"/>
            <w:hideMark/>
          </w:tcPr>
          <w:p w:rsidR="0069717E" w:rsidRPr="007C2631" w:rsidRDefault="0069717E" w:rsidP="0069717E">
            <w:pPr>
              <w:jc w:val="right"/>
              <w:rPr>
                <w:b/>
                <w:bCs/>
                <w:sz w:val="20"/>
                <w:szCs w:val="20"/>
                <w:lang w:val="es-ES"/>
              </w:rPr>
            </w:pPr>
            <w:r w:rsidRPr="007C2631">
              <w:rPr>
                <w:b/>
                <w:bCs/>
                <w:sz w:val="20"/>
                <w:szCs w:val="20"/>
                <w:lang w:val="es-ES"/>
              </w:rPr>
              <w:t>2</w:t>
            </w:r>
          </w:p>
        </w:tc>
        <w:tc>
          <w:tcPr>
            <w:tcW w:w="1260" w:type="dxa"/>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6</w:t>
            </w:r>
          </w:p>
        </w:tc>
        <w:tc>
          <w:tcPr>
            <w:tcW w:w="99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7.919.389</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2.776.557</w:t>
            </w:r>
          </w:p>
        </w:tc>
        <w:tc>
          <w:tcPr>
            <w:tcW w:w="1080" w:type="dxa"/>
            <w:tcBorders>
              <w:top w:val="nil"/>
              <w:left w:val="nil"/>
              <w:bottom w:val="single" w:sz="4" w:space="0" w:color="auto"/>
              <w:right w:val="single" w:sz="4" w:space="0" w:color="auto"/>
            </w:tcBorders>
            <w:shd w:val="clear" w:color="auto" w:fill="auto"/>
            <w:tcMar>
              <w:left w:w="43" w:type="dxa"/>
              <w:right w:w="43" w:type="dxa"/>
            </w:tcMar>
            <w:vAlign w:val="center"/>
            <w:hideMark/>
          </w:tcPr>
          <w:p w:rsidR="0069717E" w:rsidRPr="007C2631" w:rsidRDefault="0069717E" w:rsidP="0069717E">
            <w:pPr>
              <w:jc w:val="right"/>
              <w:rPr>
                <w:b/>
                <w:bCs/>
                <w:sz w:val="20"/>
                <w:szCs w:val="20"/>
                <w:lang w:val="es-ES"/>
              </w:rPr>
            </w:pPr>
            <w:r w:rsidRPr="007C2631">
              <w:rPr>
                <w:b/>
                <w:bCs/>
                <w:sz w:val="20"/>
                <w:szCs w:val="20"/>
                <w:lang w:val="es-ES"/>
              </w:rPr>
              <w:t>5.142.832</w:t>
            </w:r>
          </w:p>
        </w:tc>
        <w:tc>
          <w:tcPr>
            <w:tcW w:w="1269" w:type="dxa"/>
            <w:tcBorders>
              <w:top w:val="nil"/>
              <w:left w:val="nil"/>
              <w:bottom w:val="single" w:sz="4" w:space="0" w:color="auto"/>
              <w:right w:val="single" w:sz="4" w:space="0" w:color="auto"/>
            </w:tcBorders>
            <w:shd w:val="clear" w:color="auto" w:fill="auto"/>
            <w:noWrap/>
            <w:tcMar>
              <w:left w:w="43" w:type="dxa"/>
              <w:right w:w="43" w:type="dxa"/>
            </w:tcMar>
            <w:vAlign w:val="center"/>
            <w:hideMark/>
          </w:tcPr>
          <w:p w:rsidR="0069717E" w:rsidRPr="007C2631" w:rsidRDefault="0069717E" w:rsidP="0069717E">
            <w:pPr>
              <w:jc w:val="right"/>
              <w:rPr>
                <w:b/>
                <w:sz w:val="20"/>
                <w:szCs w:val="20"/>
                <w:lang w:val="es-ES"/>
              </w:rPr>
            </w:pPr>
            <w:r w:rsidRPr="007C2631">
              <w:rPr>
                <w:b/>
                <w:sz w:val="20"/>
                <w:szCs w:val="20"/>
                <w:lang w:val="es-ES"/>
              </w:rPr>
              <w:t>35</w:t>
            </w:r>
          </w:p>
        </w:tc>
      </w:tr>
    </w:tbl>
    <w:p w:rsidR="0069717E" w:rsidRPr="007C2631" w:rsidRDefault="0069717E" w:rsidP="0069717E">
      <w:pPr>
        <w:rPr>
          <w:sz w:val="19"/>
          <w:szCs w:val="19"/>
          <w:lang w:val="es-ES"/>
        </w:rPr>
      </w:pPr>
      <w:r w:rsidRPr="007C2631">
        <w:rPr>
          <w:sz w:val="19"/>
          <w:szCs w:val="19"/>
          <w:lang w:val="es-ES"/>
        </w:rPr>
        <w:t xml:space="preserve">* Excluidos los gastos de apoyo del organismo. </w:t>
      </w:r>
    </w:p>
    <w:p w:rsidR="0069717E" w:rsidRPr="007C2631" w:rsidRDefault="0069717E" w:rsidP="0069717E">
      <w:pPr>
        <w:rPr>
          <w:sz w:val="19"/>
          <w:szCs w:val="19"/>
          <w:lang w:val="es-ES"/>
        </w:rPr>
      </w:pPr>
      <w:r w:rsidRPr="007C2631">
        <w:rPr>
          <w:sz w:val="19"/>
          <w:szCs w:val="19"/>
          <w:lang w:val="es-ES"/>
        </w:rPr>
        <w:t xml:space="preserve">** Eliminación de 335,5 </w:t>
      </w:r>
      <w:proofErr w:type="spellStart"/>
      <w:r w:rsidRPr="007C2631">
        <w:rPr>
          <w:sz w:val="19"/>
          <w:szCs w:val="19"/>
          <w:lang w:val="es-ES"/>
        </w:rPr>
        <w:t>tm</w:t>
      </w:r>
      <w:proofErr w:type="spellEnd"/>
      <w:r w:rsidRPr="007C2631">
        <w:rPr>
          <w:sz w:val="19"/>
          <w:szCs w:val="19"/>
          <w:lang w:val="es-ES"/>
        </w:rPr>
        <w:t xml:space="preserve"> (521.709 </w:t>
      </w:r>
      <w:proofErr w:type="spellStart"/>
      <w:r w:rsidRPr="007C2631">
        <w:rPr>
          <w:sz w:val="19"/>
          <w:szCs w:val="19"/>
          <w:lang w:val="es-ES"/>
        </w:rPr>
        <w:t>tm</w:t>
      </w:r>
      <w:proofErr w:type="spellEnd"/>
      <w:r w:rsidRPr="007C2631">
        <w:rPr>
          <w:sz w:val="19"/>
          <w:szCs w:val="19"/>
          <w:lang w:val="es-ES"/>
        </w:rPr>
        <w:t xml:space="preserve"> de </w:t>
      </w:r>
      <w:proofErr w:type="spellStart"/>
      <w:r w:rsidRPr="007C2631">
        <w:rPr>
          <w:sz w:val="19"/>
          <w:szCs w:val="19"/>
          <w:lang w:val="es-ES"/>
        </w:rPr>
        <w:t>eq</w:t>
      </w:r>
      <w:proofErr w:type="spellEnd"/>
      <w:r w:rsidRPr="007C2631">
        <w:rPr>
          <w:sz w:val="19"/>
          <w:szCs w:val="19"/>
          <w:lang w:val="es-ES"/>
        </w:rPr>
        <w:t>. de CO</w:t>
      </w:r>
      <w:r w:rsidRPr="007C2631">
        <w:rPr>
          <w:sz w:val="19"/>
          <w:szCs w:val="19"/>
          <w:vertAlign w:val="subscript"/>
          <w:lang w:val="es-ES"/>
        </w:rPr>
        <w:t>2</w:t>
      </w:r>
      <w:r w:rsidRPr="007C2631">
        <w:rPr>
          <w:sz w:val="19"/>
          <w:szCs w:val="19"/>
          <w:lang w:val="es-ES"/>
        </w:rPr>
        <w:t>) de HFC.</w:t>
      </w:r>
    </w:p>
    <w:p w:rsidR="0069717E" w:rsidRPr="007C2631" w:rsidRDefault="0069717E" w:rsidP="0069717E">
      <w:pPr>
        <w:rPr>
          <w:sz w:val="20"/>
          <w:szCs w:val="20"/>
          <w:lang w:val="es-ES"/>
        </w:rPr>
      </w:pPr>
    </w:p>
    <w:p w:rsidR="0069717E" w:rsidRPr="007C2631" w:rsidRDefault="0069717E" w:rsidP="0069717E">
      <w:pPr>
        <w:pStyle w:val="Heading1"/>
        <w:rPr>
          <w:lang w:val="es-ES"/>
        </w:rPr>
      </w:pPr>
      <w:r w:rsidRPr="007C2631">
        <w:rPr>
          <w:lang w:val="es-ES"/>
        </w:rPr>
        <w:t xml:space="preserve">Actualmente, hay 33 proyectos relacionados con los HFC (incluidos siete proyectos de inversión, dos preparaciones de propuesta de proyecto y 24 actividades de apoyo) aprobados con cargo a las contribuciones ordinarias, por un valor total de 7.919.389 $EUA, y ya se han desembolsado 2.776.557 $EUA de esos fondos. </w:t>
      </w:r>
    </w:p>
    <w:p w:rsidR="0069717E" w:rsidRPr="007C2631" w:rsidRDefault="0069717E" w:rsidP="0069717E">
      <w:pPr>
        <w:pStyle w:val="Heading1"/>
        <w:rPr>
          <w:lang w:val="es-ES"/>
        </w:rPr>
      </w:pPr>
      <w:r w:rsidRPr="007C2631">
        <w:rPr>
          <w:lang w:val="es-ES"/>
        </w:rPr>
        <w:t>De los 33 proyectos, se han terminado un proyecto de inversión y una preparación de propuesta de proyecto. La prórroga de las fechas de terminación de 21 actividades de apoyo se aprobó en la 84ª reunión (16 proyectos) y en la 85ª reunión (cinco proyectos). Las actividades de apoyo en curso continúan avanzando en diferentes etapas de ejecución y se prevé que se terminarán en 2020 y en 2021. Se espera que los restantes seis proyectos de inversión en curso se terminen entre 2020 y 2022 y se prevé que la preparación de proyectos restante en curso se termine en 2020.</w:t>
      </w:r>
    </w:p>
    <w:p w:rsidR="0069717E" w:rsidRPr="007C2631" w:rsidRDefault="0069717E" w:rsidP="0069717E">
      <w:pPr>
        <w:pStyle w:val="Heading1"/>
        <w:keepNext/>
        <w:keepLines/>
        <w:numPr>
          <w:ilvl w:val="0"/>
          <w:numId w:val="0"/>
        </w:numPr>
        <w:ind w:left="1418" w:hanging="1418"/>
        <w:rPr>
          <w:b/>
          <w:caps/>
          <w:lang w:val="es-ES"/>
        </w:rPr>
      </w:pPr>
      <w:r w:rsidRPr="007C2631">
        <w:rPr>
          <w:b/>
          <w:caps/>
          <w:lang w:val="es-ES"/>
        </w:rPr>
        <w:t>Parte II:</w:t>
      </w:r>
      <w:r w:rsidRPr="007C2631">
        <w:rPr>
          <w:b/>
          <w:caps/>
          <w:lang w:val="es-ES"/>
        </w:rPr>
        <w:tab/>
        <w:t>Proyectos aprobados con cargo a las contribuciones voluntarias adicionales para proporcionar ayuda a corto plazo para la reducción de los HFC.</w:t>
      </w:r>
    </w:p>
    <w:p w:rsidR="0069717E" w:rsidRPr="007C2631" w:rsidRDefault="0069717E" w:rsidP="0069717E">
      <w:pPr>
        <w:pStyle w:val="Heading1"/>
        <w:rPr>
          <w:lang w:val="es-ES"/>
        </w:rPr>
      </w:pPr>
      <w:r w:rsidRPr="007C2631">
        <w:rPr>
          <w:lang w:val="es-ES"/>
        </w:rPr>
        <w:t xml:space="preserve">A 31 de diciembre de 2019, el Comité Ejecutivo había aprobado 144 proyectos relacionados con los HFC con cargo a las contribuciones voluntarias adicionales por un valor de 23,94 millones de $EUA (excluidos los gastos de apoyo de los organismos). El estado de situación de estos proyectos se resume en el cuadro 10. </w:t>
      </w:r>
    </w:p>
    <w:p w:rsidR="0069717E" w:rsidRPr="007C2631" w:rsidRDefault="0069717E" w:rsidP="006C6B34">
      <w:pPr>
        <w:pStyle w:val="Heading1"/>
        <w:keepNext/>
        <w:keepLines/>
        <w:numPr>
          <w:ilvl w:val="0"/>
          <w:numId w:val="0"/>
        </w:numPr>
        <w:spacing w:after="0"/>
        <w:contextualSpacing/>
        <w:rPr>
          <w:b/>
          <w:lang w:val="es-ES"/>
        </w:rPr>
      </w:pPr>
      <w:r w:rsidRPr="007C2631">
        <w:rPr>
          <w:b/>
          <w:lang w:val="es-ES"/>
        </w:rPr>
        <w:lastRenderedPageBreak/>
        <w:t>Cuadro 10. Estado de los proyectos aprobados relacionados con los HFC a finales de 2019</w:t>
      </w:r>
    </w:p>
    <w:tbl>
      <w:tblPr>
        <w:tblW w:w="9360" w:type="dxa"/>
        <w:tblInd w:w="-5" w:type="dxa"/>
        <w:tblLayout w:type="fixed"/>
        <w:tblLook w:val="04A0" w:firstRow="1" w:lastRow="0" w:firstColumn="1" w:lastColumn="0" w:noHBand="0" w:noVBand="1"/>
      </w:tblPr>
      <w:tblGrid>
        <w:gridCol w:w="2070"/>
        <w:gridCol w:w="1005"/>
        <w:gridCol w:w="1006"/>
        <w:gridCol w:w="1006"/>
        <w:gridCol w:w="7"/>
        <w:gridCol w:w="1072"/>
        <w:gridCol w:w="1079"/>
        <w:gridCol w:w="1079"/>
        <w:gridCol w:w="1036"/>
      </w:tblGrid>
      <w:tr w:rsidR="0069717E" w:rsidRPr="007C2631" w:rsidTr="0069717E">
        <w:trPr>
          <w:trHeight w:val="125"/>
        </w:trPr>
        <w:tc>
          <w:tcPr>
            <w:tcW w:w="2070"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C6B34">
            <w:pPr>
              <w:keepNext/>
              <w:keepLines/>
              <w:jc w:val="left"/>
              <w:rPr>
                <w:b/>
                <w:bCs/>
                <w:sz w:val="20"/>
                <w:szCs w:val="20"/>
                <w:lang w:val="es-ES"/>
              </w:rPr>
            </w:pPr>
            <w:r w:rsidRPr="007C2631">
              <w:rPr>
                <w:b/>
                <w:bCs/>
                <w:sz w:val="20"/>
                <w:szCs w:val="20"/>
                <w:lang w:val="es-ES"/>
              </w:rPr>
              <w:t>Tipo</w:t>
            </w:r>
          </w:p>
        </w:tc>
        <w:tc>
          <w:tcPr>
            <w:tcW w:w="3024"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C6B34">
            <w:pPr>
              <w:keepNext/>
              <w:keepLines/>
              <w:jc w:val="center"/>
              <w:rPr>
                <w:b/>
                <w:bCs/>
                <w:sz w:val="20"/>
                <w:szCs w:val="20"/>
                <w:lang w:val="es-ES"/>
              </w:rPr>
            </w:pPr>
            <w:r w:rsidRPr="007C2631">
              <w:rPr>
                <w:b/>
                <w:bCs/>
                <w:sz w:val="20"/>
                <w:szCs w:val="20"/>
                <w:lang w:val="es-ES"/>
              </w:rPr>
              <w:t>Número de proyectos</w:t>
            </w:r>
          </w:p>
        </w:tc>
        <w:tc>
          <w:tcPr>
            <w:tcW w:w="4266"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Financiación ($EUA)*</w:t>
            </w:r>
          </w:p>
        </w:tc>
      </w:tr>
      <w:tr w:rsidR="0069717E" w:rsidRPr="007C2631" w:rsidTr="0069717E">
        <w:trPr>
          <w:trHeight w:val="127"/>
        </w:trPr>
        <w:tc>
          <w:tcPr>
            <w:tcW w:w="2070"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rsidR="0069717E" w:rsidRPr="007C2631" w:rsidRDefault="0069717E" w:rsidP="006C6B34">
            <w:pPr>
              <w:keepNext/>
              <w:keepLines/>
              <w:jc w:val="center"/>
              <w:rPr>
                <w:b/>
                <w:bCs/>
                <w:sz w:val="20"/>
                <w:szCs w:val="20"/>
                <w:lang w:val="es-ES" w:eastAsia="en-CA"/>
              </w:rPr>
            </w:pPr>
          </w:p>
        </w:tc>
        <w:tc>
          <w:tcPr>
            <w:tcW w:w="1005" w:type="dxa"/>
            <w:tcBorders>
              <w:top w:val="nil"/>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C6B34">
            <w:pPr>
              <w:keepNext/>
              <w:keepLines/>
              <w:jc w:val="center"/>
              <w:rPr>
                <w:b/>
                <w:bCs/>
                <w:sz w:val="20"/>
                <w:szCs w:val="20"/>
                <w:lang w:val="es-ES"/>
              </w:rPr>
            </w:pPr>
            <w:r w:rsidRPr="007C2631">
              <w:rPr>
                <w:b/>
                <w:bCs/>
                <w:sz w:val="20"/>
                <w:szCs w:val="20"/>
                <w:lang w:val="es-ES"/>
              </w:rPr>
              <w:t>Aprobados</w:t>
            </w:r>
          </w:p>
        </w:tc>
        <w:tc>
          <w:tcPr>
            <w:tcW w:w="1006" w:type="dxa"/>
            <w:tcBorders>
              <w:top w:val="nil"/>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C6B34">
            <w:pPr>
              <w:keepNext/>
              <w:keepLines/>
              <w:jc w:val="center"/>
              <w:rPr>
                <w:b/>
                <w:bCs/>
                <w:sz w:val="20"/>
                <w:szCs w:val="20"/>
                <w:lang w:val="es-ES"/>
              </w:rPr>
            </w:pPr>
            <w:r w:rsidRPr="007C2631">
              <w:rPr>
                <w:b/>
                <w:bCs/>
                <w:sz w:val="20"/>
                <w:szCs w:val="20"/>
                <w:lang w:val="es-ES"/>
              </w:rPr>
              <w:t>Terminados</w:t>
            </w:r>
          </w:p>
        </w:tc>
        <w:tc>
          <w:tcPr>
            <w:tcW w:w="1006" w:type="dxa"/>
            <w:tcBorders>
              <w:top w:val="nil"/>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C6B34">
            <w:pPr>
              <w:keepNext/>
              <w:keepLines/>
              <w:jc w:val="center"/>
              <w:rPr>
                <w:b/>
                <w:bCs/>
                <w:sz w:val="20"/>
                <w:szCs w:val="20"/>
                <w:lang w:val="es-ES"/>
              </w:rPr>
            </w:pPr>
            <w:r w:rsidRPr="007C2631">
              <w:rPr>
                <w:b/>
                <w:bCs/>
                <w:sz w:val="20"/>
                <w:szCs w:val="20"/>
                <w:lang w:val="es-ES"/>
              </w:rPr>
              <w:t>% terminados</w:t>
            </w:r>
          </w:p>
        </w:tc>
        <w:tc>
          <w:tcPr>
            <w:tcW w:w="1079" w:type="dxa"/>
            <w:gridSpan w:val="2"/>
            <w:tcBorders>
              <w:top w:val="nil"/>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Aprobada</w:t>
            </w:r>
          </w:p>
        </w:tc>
        <w:tc>
          <w:tcPr>
            <w:tcW w:w="1079" w:type="dxa"/>
            <w:tcBorders>
              <w:top w:val="nil"/>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Desembolsada</w:t>
            </w:r>
          </w:p>
        </w:tc>
        <w:tc>
          <w:tcPr>
            <w:tcW w:w="1079" w:type="dxa"/>
            <w:tcBorders>
              <w:top w:val="nil"/>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Saldo</w:t>
            </w:r>
          </w:p>
        </w:tc>
        <w:tc>
          <w:tcPr>
            <w:tcW w:w="1036" w:type="dxa"/>
            <w:tcBorders>
              <w:top w:val="nil"/>
              <w:left w:val="nil"/>
              <w:bottom w:val="single" w:sz="4" w:space="0" w:color="auto"/>
              <w:right w:val="single" w:sz="4" w:space="0" w:color="auto"/>
            </w:tcBorders>
            <w:shd w:val="clear" w:color="auto" w:fill="auto"/>
            <w:tcMar>
              <w:left w:w="0" w:type="dxa"/>
              <w:right w:w="0"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 desembolsado</w:t>
            </w:r>
          </w:p>
        </w:tc>
      </w:tr>
      <w:tr w:rsidR="0069717E" w:rsidRPr="007C2631" w:rsidTr="0069717E">
        <w:trPr>
          <w:trHeight w:val="121"/>
        </w:trPr>
        <w:tc>
          <w:tcPr>
            <w:tcW w:w="207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C6B34">
            <w:pPr>
              <w:keepNext/>
              <w:keepLines/>
              <w:jc w:val="left"/>
              <w:rPr>
                <w:sz w:val="20"/>
                <w:szCs w:val="20"/>
                <w:lang w:val="es-ES"/>
              </w:rPr>
            </w:pPr>
            <w:r w:rsidRPr="007C2631">
              <w:rPr>
                <w:sz w:val="20"/>
                <w:szCs w:val="20"/>
                <w:lang w:val="es-ES"/>
              </w:rPr>
              <w:t>Inversión**</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C6B34">
            <w:pPr>
              <w:keepNext/>
              <w:keepLines/>
              <w:jc w:val="right"/>
              <w:rPr>
                <w:sz w:val="20"/>
                <w:szCs w:val="20"/>
                <w:lang w:val="es-ES"/>
              </w:rPr>
            </w:pPr>
            <w:r w:rsidRPr="007C2631">
              <w:rPr>
                <w:sz w:val="20"/>
                <w:szCs w:val="20"/>
                <w:lang w:val="es-ES"/>
              </w:rPr>
              <w:t>6</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C6B34">
            <w:pPr>
              <w:keepNext/>
              <w:keepLines/>
              <w:jc w:val="right"/>
              <w:rPr>
                <w:sz w:val="20"/>
                <w:szCs w:val="20"/>
                <w:lang w:val="es-ES"/>
              </w:rPr>
            </w:pPr>
            <w:r w:rsidRPr="007C2631">
              <w:rPr>
                <w:sz w:val="20"/>
                <w:szCs w:val="20"/>
                <w:lang w:val="es-ES"/>
              </w:rPr>
              <w:t>1</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C6B34">
            <w:pPr>
              <w:keepNext/>
              <w:keepLines/>
              <w:jc w:val="right"/>
              <w:rPr>
                <w:sz w:val="20"/>
                <w:szCs w:val="20"/>
                <w:lang w:val="es-ES"/>
              </w:rPr>
            </w:pPr>
            <w:r w:rsidRPr="007C2631">
              <w:rPr>
                <w:sz w:val="20"/>
                <w:szCs w:val="20"/>
                <w:lang w:val="es-ES"/>
              </w:rPr>
              <w:t>17</w:t>
            </w:r>
          </w:p>
        </w:tc>
        <w:tc>
          <w:tcPr>
            <w:tcW w:w="1079" w:type="dxa"/>
            <w:gridSpan w:val="2"/>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8.502.860</w:t>
            </w:r>
          </w:p>
        </w:tc>
        <w:tc>
          <w:tcPr>
            <w:tcW w:w="1079"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5.667.780</w:t>
            </w:r>
          </w:p>
        </w:tc>
        <w:tc>
          <w:tcPr>
            <w:tcW w:w="1079"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2.835.080</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w:t>
            </w:r>
          </w:p>
        </w:tc>
      </w:tr>
      <w:tr w:rsidR="0069717E" w:rsidRPr="007C2631" w:rsidTr="0069717E">
        <w:trPr>
          <w:trHeight w:val="46"/>
        </w:trPr>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69717E" w:rsidRPr="007C2631" w:rsidRDefault="0069717E" w:rsidP="006C6B34">
            <w:pPr>
              <w:keepNext/>
              <w:keepLines/>
              <w:jc w:val="left"/>
              <w:rPr>
                <w:sz w:val="20"/>
                <w:szCs w:val="20"/>
                <w:lang w:val="es-ES"/>
              </w:rPr>
            </w:pPr>
            <w:r w:rsidRPr="007C2631">
              <w:rPr>
                <w:sz w:val="20"/>
                <w:szCs w:val="20"/>
                <w:lang w:val="es-ES"/>
              </w:rPr>
              <w:t>Preparación de proyectos</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C6B34">
            <w:pPr>
              <w:keepNext/>
              <w:keepLines/>
              <w:jc w:val="right"/>
              <w:rPr>
                <w:sz w:val="20"/>
                <w:szCs w:val="20"/>
                <w:lang w:val="es-ES"/>
              </w:rPr>
            </w:pPr>
            <w:r w:rsidRPr="007C2631">
              <w:rPr>
                <w:sz w:val="20"/>
                <w:szCs w:val="20"/>
                <w:lang w:val="es-ES"/>
              </w:rPr>
              <w:t>10</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C6B34">
            <w:pPr>
              <w:keepNext/>
              <w:keepLines/>
              <w:jc w:val="right"/>
              <w:rPr>
                <w:sz w:val="20"/>
                <w:szCs w:val="20"/>
                <w:lang w:val="es-ES"/>
              </w:rPr>
            </w:pPr>
            <w:r w:rsidRPr="007C2631">
              <w:rPr>
                <w:sz w:val="20"/>
                <w:szCs w:val="20"/>
                <w:lang w:val="es-ES"/>
              </w:rPr>
              <w:t>9</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C6B34">
            <w:pPr>
              <w:keepNext/>
              <w:keepLines/>
              <w:jc w:val="right"/>
              <w:rPr>
                <w:sz w:val="20"/>
                <w:szCs w:val="20"/>
                <w:lang w:val="es-ES"/>
              </w:rPr>
            </w:pPr>
            <w:r w:rsidRPr="007C2631">
              <w:rPr>
                <w:sz w:val="20"/>
                <w:szCs w:val="20"/>
                <w:lang w:val="es-ES"/>
              </w:rPr>
              <w:t>90</w:t>
            </w:r>
          </w:p>
        </w:tc>
        <w:tc>
          <w:tcPr>
            <w:tcW w:w="1079" w:type="dxa"/>
            <w:gridSpan w:val="2"/>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273.821</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201.718</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72.103</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74</w:t>
            </w:r>
          </w:p>
        </w:tc>
      </w:tr>
      <w:tr w:rsidR="0069717E" w:rsidRPr="007C2631" w:rsidTr="0069717E">
        <w:trPr>
          <w:trHeight w:val="46"/>
        </w:trPr>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69717E" w:rsidRPr="007C2631" w:rsidRDefault="0069717E" w:rsidP="006C6B34">
            <w:pPr>
              <w:keepNext/>
              <w:keepLines/>
              <w:jc w:val="left"/>
              <w:rPr>
                <w:sz w:val="20"/>
                <w:szCs w:val="20"/>
                <w:lang w:val="es-ES"/>
              </w:rPr>
            </w:pPr>
            <w:r w:rsidRPr="007C2631">
              <w:rPr>
                <w:sz w:val="20"/>
                <w:szCs w:val="20"/>
                <w:lang w:val="es-ES"/>
              </w:rPr>
              <w:t>Asistencia técnica - Actividades de apoyo</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C6B34">
            <w:pPr>
              <w:keepNext/>
              <w:keepLines/>
              <w:jc w:val="right"/>
              <w:rPr>
                <w:sz w:val="20"/>
                <w:szCs w:val="20"/>
                <w:lang w:val="es-ES"/>
              </w:rPr>
            </w:pPr>
            <w:r w:rsidRPr="007C2631">
              <w:rPr>
                <w:sz w:val="20"/>
                <w:szCs w:val="20"/>
                <w:lang w:val="es-ES"/>
              </w:rPr>
              <w:t>128</w:t>
            </w:r>
          </w:p>
        </w:tc>
        <w:tc>
          <w:tcPr>
            <w:tcW w:w="1006" w:type="dxa"/>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C6B34">
            <w:pPr>
              <w:keepNext/>
              <w:keepLines/>
              <w:jc w:val="right"/>
              <w:rPr>
                <w:sz w:val="20"/>
                <w:szCs w:val="20"/>
                <w:lang w:val="es-ES"/>
              </w:rPr>
            </w:pPr>
            <w:r w:rsidRPr="007C2631">
              <w:rPr>
                <w:sz w:val="20"/>
                <w:szCs w:val="20"/>
                <w:lang w:val="es-ES"/>
              </w:rPr>
              <w:t>12</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C6B34">
            <w:pPr>
              <w:keepNext/>
              <w:keepLines/>
              <w:jc w:val="right"/>
              <w:rPr>
                <w:sz w:val="20"/>
                <w:szCs w:val="20"/>
                <w:lang w:val="es-ES"/>
              </w:rPr>
            </w:pPr>
            <w:r w:rsidRPr="007C2631">
              <w:rPr>
                <w:sz w:val="20"/>
                <w:szCs w:val="20"/>
                <w:lang w:val="es-ES"/>
              </w:rPr>
              <w:t>9</w:t>
            </w:r>
          </w:p>
        </w:tc>
        <w:tc>
          <w:tcPr>
            <w:tcW w:w="1079" w:type="dxa"/>
            <w:gridSpan w:val="2"/>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15.160.943</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5.981.581</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9.179.362</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39</w:t>
            </w:r>
          </w:p>
        </w:tc>
      </w:tr>
      <w:tr w:rsidR="0069717E" w:rsidRPr="007C2631" w:rsidTr="0069717E">
        <w:trPr>
          <w:trHeight w:val="46"/>
        </w:trPr>
        <w:tc>
          <w:tcPr>
            <w:tcW w:w="2070"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rsidR="0069717E" w:rsidRPr="007C2631" w:rsidRDefault="0069717E" w:rsidP="0069717E">
            <w:pPr>
              <w:jc w:val="left"/>
              <w:rPr>
                <w:b/>
                <w:bCs/>
                <w:sz w:val="20"/>
                <w:szCs w:val="20"/>
                <w:lang w:val="es-ES"/>
              </w:rPr>
            </w:pPr>
            <w:r w:rsidRPr="007C2631">
              <w:rPr>
                <w:b/>
                <w:bCs/>
                <w:sz w:val="20"/>
                <w:szCs w:val="20"/>
                <w:lang w:val="es-ES"/>
              </w:rPr>
              <w:t>Total</w:t>
            </w:r>
          </w:p>
        </w:tc>
        <w:tc>
          <w:tcPr>
            <w:tcW w:w="1005"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144</w:t>
            </w:r>
          </w:p>
        </w:tc>
        <w:tc>
          <w:tcPr>
            <w:tcW w:w="1006" w:type="dxa"/>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22</w:t>
            </w:r>
          </w:p>
        </w:tc>
        <w:tc>
          <w:tcPr>
            <w:tcW w:w="100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15</w:t>
            </w:r>
          </w:p>
        </w:tc>
        <w:tc>
          <w:tcPr>
            <w:tcW w:w="1079" w:type="dxa"/>
            <w:gridSpan w:val="2"/>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23.937.624</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11.851.079</w:t>
            </w:r>
          </w:p>
        </w:tc>
        <w:tc>
          <w:tcPr>
            <w:tcW w:w="1079" w:type="dxa"/>
            <w:tcBorders>
              <w:top w:val="nil"/>
              <w:left w:val="nil"/>
              <w:bottom w:val="single" w:sz="4" w:space="0" w:color="auto"/>
              <w:right w:val="single" w:sz="4" w:space="0" w:color="auto"/>
            </w:tcBorders>
            <w:shd w:val="clear" w:color="auto" w:fill="auto"/>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12.086.545</w:t>
            </w:r>
          </w:p>
        </w:tc>
        <w:tc>
          <w:tcPr>
            <w:tcW w:w="103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50</w:t>
            </w:r>
          </w:p>
        </w:tc>
      </w:tr>
    </w:tbl>
    <w:p w:rsidR="0069717E" w:rsidRPr="007C2631" w:rsidRDefault="0069717E" w:rsidP="0069717E">
      <w:pPr>
        <w:rPr>
          <w:sz w:val="19"/>
          <w:szCs w:val="19"/>
          <w:lang w:val="es-ES"/>
        </w:rPr>
      </w:pPr>
      <w:r w:rsidRPr="007C2631">
        <w:rPr>
          <w:sz w:val="19"/>
          <w:szCs w:val="19"/>
          <w:lang w:val="es-ES"/>
        </w:rPr>
        <w:t xml:space="preserve">* Excluidos los gastos de apoyo del organismo. </w:t>
      </w:r>
    </w:p>
    <w:p w:rsidR="0069717E" w:rsidRPr="007C2631" w:rsidRDefault="0069717E" w:rsidP="0069717E">
      <w:pPr>
        <w:rPr>
          <w:sz w:val="20"/>
          <w:szCs w:val="20"/>
          <w:lang w:val="es-ES"/>
        </w:rPr>
      </w:pPr>
      <w:r w:rsidRPr="007C2631">
        <w:rPr>
          <w:sz w:val="20"/>
          <w:szCs w:val="20"/>
          <w:lang w:val="es-ES"/>
        </w:rPr>
        <w:t xml:space="preserve">** Eliminación de 754,5 </w:t>
      </w:r>
      <w:proofErr w:type="spellStart"/>
      <w:r w:rsidRPr="007C2631">
        <w:rPr>
          <w:sz w:val="20"/>
          <w:szCs w:val="20"/>
          <w:lang w:val="es-ES"/>
        </w:rPr>
        <w:t>tm</w:t>
      </w:r>
      <w:proofErr w:type="spellEnd"/>
      <w:r w:rsidRPr="007C2631">
        <w:rPr>
          <w:sz w:val="20"/>
          <w:szCs w:val="20"/>
          <w:lang w:val="es-ES"/>
        </w:rPr>
        <w:t xml:space="preserve"> (1.108.442 </w:t>
      </w:r>
      <w:proofErr w:type="spellStart"/>
      <w:r w:rsidRPr="007C2631">
        <w:rPr>
          <w:sz w:val="20"/>
          <w:szCs w:val="20"/>
          <w:lang w:val="es-ES"/>
        </w:rPr>
        <w:t>tm</w:t>
      </w:r>
      <w:proofErr w:type="spellEnd"/>
      <w:r w:rsidRPr="007C2631">
        <w:rPr>
          <w:sz w:val="20"/>
          <w:szCs w:val="20"/>
          <w:lang w:val="es-ES"/>
        </w:rPr>
        <w:t xml:space="preserve"> de </w:t>
      </w:r>
      <w:proofErr w:type="spellStart"/>
      <w:r w:rsidRPr="007C2631">
        <w:rPr>
          <w:sz w:val="20"/>
          <w:szCs w:val="20"/>
          <w:lang w:val="es-ES"/>
        </w:rPr>
        <w:t>eq</w:t>
      </w:r>
      <w:proofErr w:type="spellEnd"/>
      <w:r w:rsidRPr="007C2631">
        <w:rPr>
          <w:sz w:val="20"/>
          <w:szCs w:val="20"/>
          <w:lang w:val="es-ES"/>
        </w:rPr>
        <w:t>. de CO</w:t>
      </w:r>
      <w:r w:rsidRPr="007C2631">
        <w:rPr>
          <w:sz w:val="20"/>
          <w:szCs w:val="20"/>
          <w:vertAlign w:val="subscript"/>
          <w:lang w:val="es-ES"/>
        </w:rPr>
        <w:t>2</w:t>
      </w:r>
      <w:r w:rsidRPr="007C2631">
        <w:rPr>
          <w:sz w:val="20"/>
          <w:szCs w:val="20"/>
          <w:lang w:val="es-ES"/>
        </w:rPr>
        <w:t>) de HFC.</w:t>
      </w:r>
    </w:p>
    <w:p w:rsidR="0069717E" w:rsidRPr="007C2631" w:rsidRDefault="0069717E" w:rsidP="0069717E">
      <w:pPr>
        <w:rPr>
          <w:lang w:val="es-ES"/>
        </w:rPr>
      </w:pPr>
    </w:p>
    <w:p w:rsidR="0069717E" w:rsidRPr="007C2631" w:rsidRDefault="0069717E" w:rsidP="0069717E">
      <w:pPr>
        <w:pStyle w:val="Heading1"/>
        <w:rPr>
          <w:lang w:val="es-ES"/>
        </w:rPr>
      </w:pPr>
      <w:r w:rsidRPr="007C2631">
        <w:rPr>
          <w:lang w:val="es-ES"/>
        </w:rPr>
        <w:t>De los 144 proyectos aprobados hasta finales de 2019, se han terminado una actividad de inversión, nueve preparaciones de propuestas de proyecto y doce actividades de apoyo. La prórroga de las fechas de terminación de 113 de las 116 actividades de apoyo en curso se aprobó en la reunión 83ª (54 proyectos), en la reunión 84ª (54 proyectos) y en la reunión 85ª (cinco proyectos). Las actividades de apoyo en curso se encuentran en diferentes etapas de ejecución y se prevé que se terminarán entre 2020 y 2021.</w:t>
      </w:r>
    </w:p>
    <w:p w:rsidR="008439B4" w:rsidRDefault="0069717E" w:rsidP="00C05AF4">
      <w:pPr>
        <w:pStyle w:val="Heading1"/>
        <w:rPr>
          <w:lang w:val="es-ES"/>
        </w:rPr>
      </w:pPr>
      <w:r w:rsidRPr="008439B4">
        <w:rPr>
          <w:lang w:val="es-ES"/>
        </w:rPr>
        <w:t xml:space="preserve">Se espera que los restantes cinco proyectos de inversión en curso se terminen en 2020 y 2021 y se prevé que la preparación de proyectos restante en curso se termine en 2020. De forma acumulativa, se habían desembolsado 11.851.079 $EUA del total de 23.937.624 $EUA aprobados para el desembolso (se excluyen los gastos de apoyo de los organismos), lo cual representa una tasa de desembolso del 50 </w:t>
      </w:r>
      <w:r w:rsidR="008439B4" w:rsidRPr="008439B4">
        <w:rPr>
          <w:lang w:val="es-ES"/>
        </w:rPr>
        <w:t>por ciento.</w:t>
      </w:r>
    </w:p>
    <w:p w:rsidR="008439B4" w:rsidRPr="008439B4" w:rsidRDefault="008439B4" w:rsidP="008439B4">
      <w:pPr>
        <w:pStyle w:val="Heading1"/>
        <w:numPr>
          <w:ilvl w:val="0"/>
          <w:numId w:val="0"/>
        </w:numPr>
        <w:jc w:val="center"/>
        <w:rPr>
          <w:b/>
          <w:lang w:val="es-ES"/>
        </w:rPr>
        <w:sectPr w:rsidR="008439B4" w:rsidRPr="008439B4" w:rsidSect="008439B4">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code="1"/>
          <w:pgMar w:top="720" w:right="1440" w:bottom="864" w:left="1440" w:header="720" w:footer="475" w:gutter="0"/>
          <w:pgNumType w:start="1"/>
          <w:cols w:space="720"/>
          <w:titlePg/>
        </w:sectPr>
      </w:pPr>
    </w:p>
    <w:p w:rsidR="0069717E" w:rsidRPr="008439B4" w:rsidRDefault="0069717E" w:rsidP="008439B4">
      <w:pPr>
        <w:pStyle w:val="Heading1"/>
        <w:numPr>
          <w:ilvl w:val="0"/>
          <w:numId w:val="0"/>
        </w:numPr>
        <w:jc w:val="center"/>
        <w:rPr>
          <w:b/>
          <w:lang w:val="es-ES"/>
        </w:rPr>
      </w:pPr>
      <w:r w:rsidRPr="008439B4">
        <w:rPr>
          <w:b/>
          <w:lang w:val="es-ES"/>
        </w:rPr>
        <w:lastRenderedPageBreak/>
        <w:t>Apéndice I</w:t>
      </w:r>
    </w:p>
    <w:p w:rsidR="0069717E" w:rsidRPr="007C2631" w:rsidRDefault="0069717E" w:rsidP="0069717E">
      <w:pPr>
        <w:pStyle w:val="Title1"/>
        <w:rPr>
          <w:caps w:val="0"/>
          <w:lang w:val="es-ES"/>
        </w:rPr>
      </w:pPr>
      <w:r w:rsidRPr="007C2631">
        <w:rPr>
          <w:lang w:val="es-ES"/>
        </w:rPr>
        <w:t>EJECUCIÓN DE PROYECTOS EN 2019 POR PAÍS</w:t>
      </w:r>
    </w:p>
    <w:p w:rsidR="0069717E" w:rsidRPr="007C2631" w:rsidRDefault="0069717E" w:rsidP="0069717E">
      <w:pPr>
        <w:pStyle w:val="Title1"/>
        <w:rPr>
          <w:caps w:val="0"/>
          <w:lang w:val="es-ES"/>
        </w:rPr>
      </w:pPr>
    </w:p>
    <w:tbl>
      <w:tblPr>
        <w:tblW w:w="9720" w:type="dxa"/>
        <w:tblLook w:val="04A0" w:firstRow="1" w:lastRow="0" w:firstColumn="1" w:lastColumn="0" w:noHBand="0" w:noVBand="1"/>
      </w:tblPr>
      <w:tblGrid>
        <w:gridCol w:w="2790"/>
        <w:gridCol w:w="990"/>
        <w:gridCol w:w="1170"/>
        <w:gridCol w:w="1170"/>
        <w:gridCol w:w="1148"/>
        <w:gridCol w:w="1276"/>
        <w:gridCol w:w="1176"/>
      </w:tblGrid>
      <w:tr w:rsidR="0069717E" w:rsidRPr="009F5138" w:rsidTr="0069717E">
        <w:trPr>
          <w:tblHeader/>
        </w:trPr>
        <w:tc>
          <w:tcPr>
            <w:tcW w:w="2790"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left"/>
              <w:rPr>
                <w:b/>
                <w:bCs/>
                <w:sz w:val="20"/>
                <w:szCs w:val="20"/>
                <w:lang w:val="es-ES"/>
              </w:rPr>
            </w:pPr>
            <w:r w:rsidRPr="007C2631">
              <w:rPr>
                <w:b/>
                <w:bCs/>
                <w:sz w:val="20"/>
                <w:szCs w:val="20"/>
                <w:lang w:val="es-ES"/>
              </w:rPr>
              <w:t>País</w:t>
            </w:r>
          </w:p>
        </w:tc>
        <w:tc>
          <w:tcPr>
            <w:tcW w:w="99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Eliminación en 2019*</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Porcentaje de eliminación prevista lograda en 2019</w:t>
            </w:r>
          </w:p>
        </w:tc>
        <w:tc>
          <w:tcPr>
            <w:tcW w:w="117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Fondos estimados desembolsados en 2019 ($EUA)</w:t>
            </w:r>
          </w:p>
        </w:tc>
        <w:tc>
          <w:tcPr>
            <w:tcW w:w="114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Fondos desembolsados en 2019 ($EUA)</w:t>
            </w:r>
          </w:p>
        </w:tc>
        <w:tc>
          <w:tcPr>
            <w:tcW w:w="127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ind w:left="-112" w:right="-108"/>
              <w:jc w:val="center"/>
              <w:rPr>
                <w:b/>
                <w:bCs/>
                <w:sz w:val="20"/>
                <w:szCs w:val="20"/>
                <w:lang w:val="es-ES"/>
              </w:rPr>
            </w:pPr>
            <w:r w:rsidRPr="007C2631">
              <w:rPr>
                <w:b/>
                <w:bCs/>
                <w:sz w:val="20"/>
                <w:szCs w:val="20"/>
                <w:lang w:val="es-ES"/>
              </w:rPr>
              <w:t>Porcentaje de fondos desembolsados respecto a la estimación de 2019</w:t>
            </w:r>
          </w:p>
        </w:tc>
        <w:tc>
          <w:tcPr>
            <w:tcW w:w="117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Porcentaje de proyectos previstos terminados en 2019</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Afganistán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157.389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303.738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Albania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170.312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232.136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Argelia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282.700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78.344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Angola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161.696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200.844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Antigua y Barbuda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30.188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Argentina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604.619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751.865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Armenia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98.679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135.304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Bahamas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91.588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30.278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Bahrein</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279.819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281.197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Bangladesh</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678.463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281.357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Barbados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171.332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114.835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Belice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137.156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105.818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Benin</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106.028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91.801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Bhután</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55.332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54.615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Bolivia (Estado Plurinacional 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0,5</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77.554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63.317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Bosnia y Herzegovina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144.948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177.620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Botswana</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146.201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14.114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Brasil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104,3</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4.407.013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5.585.131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Brunei Darussalam</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140.099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117.264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Burkina Faso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142.285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118.227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Burundi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90.200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Camboya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80.113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156.054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Camerún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256.187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323.955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Cabo Verde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102.200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71.193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Centroafricana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Chad</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104.980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Chile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552.438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1.134.894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China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2.111,2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24.879.908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29.685.394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Colombia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10,8</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682.187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797.083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Comoras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61.792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57.775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Congo (el)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103 000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8.936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Islas Cook (las)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59.359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33.814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Costa Rica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65.985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185.239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Côte</w:t>
            </w:r>
            <w:proofErr w:type="spellEnd"/>
            <w:r w:rsidRPr="007C2631">
              <w:rPr>
                <w:sz w:val="20"/>
                <w:szCs w:val="20"/>
                <w:lang w:val="es-ES"/>
              </w:rPr>
              <w:t xml:space="preserve"> </w:t>
            </w:r>
            <w:proofErr w:type="spellStart"/>
            <w:r w:rsidRPr="007C2631">
              <w:rPr>
                <w:sz w:val="20"/>
                <w:szCs w:val="20"/>
                <w:lang w:val="es-ES"/>
              </w:rPr>
              <w:t>d'Ivoire</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195.244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290.538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Cuba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201.041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315.312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Popular Democrática de Corea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51.728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154.873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Democrática del Congo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93.068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121.155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Djibouti</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96.113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39.030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Dominica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125.295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17.372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Dominicana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448.357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522.549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Ecuador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325.589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222.205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Egipto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39,2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2.361.712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1.839.961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lastRenderedPageBreak/>
              <w:t>El Salvador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289.214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65.056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Guinea Ecuatorial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103.600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Eritrea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76.000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122.429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Eswatini</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61.505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60.300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Etiopía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111.001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Fiji</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122.611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109.961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Gabón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178.926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111.567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Gambia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153.500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193.826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Georgia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49.231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104.337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Ghana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121.521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179.562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Granada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130.485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80.369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Guatemala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201.237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157.711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Guinea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42.479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40.033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Guinea-Bissau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187.830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161.959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Guyana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134.755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117.528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Haití</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135.488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2.087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Honduras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202.898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137.063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India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35,0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5.564.943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3.660.365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Indonesia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1.313.869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790.249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63</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Irán (República Islámica del)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24,8</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1.095.606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1.852.545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Iraq</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857.015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452.999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Jamaica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138.469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76.499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Jordania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1.735.130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814.820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Kenya</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197.067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96.630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Kiribati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63.829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55.049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Kuwait</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720.070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104.084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Kirguistán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216.658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208.532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Democrática Popular Lao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100.782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59.784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Líbano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273.127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493.187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Lesotho</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141.000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92.225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Liberia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78.537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139.402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Libia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151.239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80.995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Madagascar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0,4</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207.745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163.740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Malawi</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100.953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116.575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Malasia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73,6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504.611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1.385.155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Maldivas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164.493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262.828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Malí</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85.221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122.090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Islas Marshall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67.636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52.809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Mauritania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138.400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Mauricio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163.000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132.416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México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176,6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1.814.459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2.479.735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Micronesia (Estados Federados 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56.402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37.225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Mongolia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99.494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58.350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Montenegro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23.801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Marruecos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285.000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221.077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Mozambique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203.562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129.961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Myanmar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125.222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121.280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Namibia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116.310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120.557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lastRenderedPageBreak/>
              <w:t>Nauru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47.975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19.236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Nepal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97.037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25.710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Nicaragua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101.529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58.253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Níger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77.475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110.787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Nigeria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812.860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329.167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Niue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74.725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Macedonia del Norte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62.001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91.324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Omán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198.085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82.157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41</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Pakistán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858.599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448.440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Palau</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65.675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90.303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Panamá</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226.792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260.629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Papúa Nueva Guinea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70.947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Paraguay</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207.360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96.419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Perú</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0,9</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217.915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124.198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Filipinas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66.090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15.965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Qatar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242.047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135.943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 xml:space="preserve">República de </w:t>
            </w:r>
            <w:proofErr w:type="spellStart"/>
            <w:r w:rsidRPr="007C2631">
              <w:rPr>
                <w:sz w:val="20"/>
                <w:szCs w:val="20"/>
                <w:lang w:val="es-ES"/>
              </w:rPr>
              <w:t>Moldova</w:t>
            </w:r>
            <w:proofErr w:type="spellEnd"/>
            <w:r w:rsidRPr="007C2631">
              <w:rPr>
                <w:sz w:val="20"/>
                <w:szCs w:val="20"/>
                <w:lang w:val="es-ES"/>
              </w:rPr>
              <w:t xml:space="preserve"> (la)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139.577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96.635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Rwanda</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104.120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60.533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 xml:space="preserve">Saint </w:t>
            </w:r>
            <w:proofErr w:type="spellStart"/>
            <w:r w:rsidRPr="007C2631">
              <w:rPr>
                <w:sz w:val="20"/>
                <w:szCs w:val="20"/>
                <w:lang w:val="es-ES"/>
              </w:rPr>
              <w:t>Kitts</w:t>
            </w:r>
            <w:proofErr w:type="spellEnd"/>
            <w:r w:rsidRPr="007C2631">
              <w:rPr>
                <w:sz w:val="20"/>
                <w:szCs w:val="20"/>
                <w:lang w:val="es-ES"/>
              </w:rPr>
              <w:t xml:space="preserve"> y </w:t>
            </w:r>
            <w:proofErr w:type="spellStart"/>
            <w:r w:rsidRPr="007C2631">
              <w:rPr>
                <w:sz w:val="20"/>
                <w:szCs w:val="20"/>
                <w:lang w:val="es-ES"/>
              </w:rPr>
              <w:t>Nevis</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180.700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135.942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Santa Lucía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165.418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62.165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San Vicente y las Granadinas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127.500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Samoa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89.900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82.430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Santo Tomé y Príncipe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159.600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87.378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Arabia Saudita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1.387.046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1.556.566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Senegal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192.666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274.689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Serbia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262.771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262.143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Seychelles</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67.390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4.590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Sierra Leona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132.368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73.081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Islas Salomón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84.300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68.889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Somalia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46.000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54.077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Sudáfrica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275.001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298.762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Sudán del Sur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67.500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15.000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Sri Lanka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46</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97.151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104.604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108</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Sudán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595.026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564.268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Suriname</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165.066</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71.564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Árabe Siria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12.876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Tailandia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4,2</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90.387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72.544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Timor-Leste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91.227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51.606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Togo</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0,3</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147.839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125.506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Tonga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57.273</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65.689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 xml:space="preserve">Trinidad y </w:t>
            </w:r>
            <w:proofErr w:type="spellStart"/>
            <w:r w:rsidRPr="007C2631">
              <w:rPr>
                <w:sz w:val="20"/>
                <w:szCs w:val="20"/>
                <w:lang w:val="es-ES"/>
              </w:rPr>
              <w:t>Tabago</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117.984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300.439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255</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Túnez</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434.172</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321.543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Turquía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1.419.338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670.212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Turkmenistán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88.901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115.074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Tuvalu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80.071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45.110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Uganda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122.750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90.696</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Unida de Tanzania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158.010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114.893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Uruguay</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179.784</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250.629</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Vanuatu</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63.158</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62.698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lastRenderedPageBreak/>
              <w:t>Venezuela (República Bolivariana de)</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160.469</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147.885</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92</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Viet</w:t>
            </w:r>
            <w:proofErr w:type="spellEnd"/>
            <w:r w:rsidRPr="007C2631">
              <w:rPr>
                <w:sz w:val="20"/>
                <w:szCs w:val="20"/>
                <w:lang w:val="es-ES"/>
              </w:rPr>
              <w:t xml:space="preserve"> </w:t>
            </w:r>
            <w:proofErr w:type="spellStart"/>
            <w:r w:rsidRPr="007C2631">
              <w:rPr>
                <w:sz w:val="20"/>
                <w:szCs w:val="20"/>
                <w:lang w:val="es-ES"/>
              </w:rPr>
              <w:t>Nam</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285.555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224.263</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Yemen</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85.000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Zambia</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87.941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94.130</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107</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Zimbabwe</w:t>
            </w:r>
            <w:proofErr w:type="spellEnd"/>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171.391</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108.322</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63</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Mundial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5.881.660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8.458.727</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Región: Asia y Pacífico Sur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281.930</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479.641</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Región: EUR</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left"/>
              <w:rPr>
                <w:sz w:val="20"/>
                <w:szCs w:val="20"/>
                <w:lang w:val="es-ES"/>
              </w:rPr>
            </w:pPr>
            <w:r w:rsidRPr="007C2631">
              <w:rPr>
                <w:sz w:val="20"/>
                <w:szCs w:val="20"/>
                <w:lang w:val="es-ES"/>
              </w:rPr>
              <w:t> </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202.895</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364.988</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180</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279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b/>
                <w:bCs/>
                <w:sz w:val="20"/>
                <w:szCs w:val="20"/>
                <w:lang w:val="es-ES"/>
              </w:rPr>
            </w:pPr>
            <w:r w:rsidRPr="007C2631">
              <w:rPr>
                <w:b/>
                <w:bCs/>
                <w:sz w:val="20"/>
                <w:szCs w:val="20"/>
                <w:lang w:val="es-ES"/>
              </w:rPr>
              <w:t>Total</w:t>
            </w:r>
          </w:p>
        </w:tc>
        <w:tc>
          <w:tcPr>
            <w:tcW w:w="99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2.680,5</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9</w:t>
            </w:r>
          </w:p>
        </w:tc>
        <w:tc>
          <w:tcPr>
            <w:tcW w:w="1170"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76.133.747</w:t>
            </w:r>
          </w:p>
        </w:tc>
        <w:tc>
          <w:tcPr>
            <w:tcW w:w="114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78.957.204</w:t>
            </w:r>
          </w:p>
        </w:tc>
        <w:tc>
          <w:tcPr>
            <w:tcW w:w="12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104</w:t>
            </w:r>
          </w:p>
        </w:tc>
        <w:tc>
          <w:tcPr>
            <w:tcW w:w="1176"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57</w:t>
            </w:r>
          </w:p>
        </w:tc>
      </w:tr>
    </w:tbl>
    <w:p w:rsidR="0069717E" w:rsidRPr="007C2631" w:rsidRDefault="0069717E" w:rsidP="0069717E">
      <w:pPr>
        <w:pStyle w:val="Title1"/>
        <w:keepNext/>
        <w:jc w:val="both"/>
        <w:rPr>
          <w:b w:val="0"/>
          <w:caps w:val="0"/>
          <w:sz w:val="20"/>
          <w:szCs w:val="20"/>
          <w:lang w:val="es-ES"/>
        </w:rPr>
      </w:pPr>
      <w:r w:rsidRPr="007C2631">
        <w:rPr>
          <w:b w:val="0"/>
          <w:caps w:val="0"/>
          <w:sz w:val="20"/>
          <w:szCs w:val="20"/>
          <w:lang w:val="es-ES"/>
        </w:rPr>
        <w:t xml:space="preserve">* Eliminación de 134,3 </w:t>
      </w:r>
      <w:proofErr w:type="spellStart"/>
      <w:r w:rsidRPr="007C2631">
        <w:rPr>
          <w:b w:val="0"/>
          <w:caps w:val="0"/>
          <w:sz w:val="20"/>
          <w:szCs w:val="20"/>
          <w:lang w:val="es-ES"/>
        </w:rPr>
        <w:t>tm</w:t>
      </w:r>
      <w:proofErr w:type="spellEnd"/>
      <w:r w:rsidRPr="007C2631">
        <w:rPr>
          <w:b w:val="0"/>
          <w:caps w:val="0"/>
          <w:sz w:val="20"/>
          <w:szCs w:val="20"/>
          <w:lang w:val="es-ES"/>
        </w:rPr>
        <w:t xml:space="preserve"> (192.272 </w:t>
      </w:r>
      <w:proofErr w:type="spellStart"/>
      <w:r w:rsidRPr="007C2631">
        <w:rPr>
          <w:b w:val="0"/>
          <w:caps w:val="0"/>
          <w:sz w:val="20"/>
          <w:szCs w:val="20"/>
          <w:lang w:val="es-ES"/>
        </w:rPr>
        <w:t>tm</w:t>
      </w:r>
      <w:proofErr w:type="spellEnd"/>
      <w:r w:rsidRPr="007C2631">
        <w:rPr>
          <w:b w:val="0"/>
          <w:caps w:val="0"/>
          <w:sz w:val="20"/>
          <w:szCs w:val="20"/>
          <w:lang w:val="es-ES"/>
        </w:rPr>
        <w:t xml:space="preserve"> de </w:t>
      </w:r>
      <w:proofErr w:type="spellStart"/>
      <w:r w:rsidRPr="007C2631">
        <w:rPr>
          <w:b w:val="0"/>
          <w:caps w:val="0"/>
          <w:sz w:val="20"/>
          <w:szCs w:val="20"/>
          <w:lang w:val="es-ES"/>
        </w:rPr>
        <w:t>eq</w:t>
      </w:r>
      <w:proofErr w:type="spellEnd"/>
      <w:r w:rsidRPr="007C2631">
        <w:rPr>
          <w:b w:val="0"/>
          <w:caps w:val="0"/>
          <w:sz w:val="20"/>
          <w:szCs w:val="20"/>
          <w:lang w:val="es-ES"/>
        </w:rPr>
        <w:t>. de CO</w:t>
      </w:r>
      <w:r w:rsidRPr="007C2631">
        <w:rPr>
          <w:b w:val="0"/>
          <w:caps w:val="0"/>
          <w:sz w:val="20"/>
          <w:szCs w:val="20"/>
          <w:vertAlign w:val="subscript"/>
          <w:lang w:val="es-ES"/>
        </w:rPr>
        <w:t>2</w:t>
      </w:r>
      <w:r w:rsidRPr="007C2631">
        <w:rPr>
          <w:b w:val="0"/>
          <w:caps w:val="0"/>
          <w:sz w:val="20"/>
          <w:szCs w:val="20"/>
          <w:lang w:val="es-ES"/>
        </w:rPr>
        <w:t>) en 2019 para proyectos relacionados con los HFC.</w:t>
      </w:r>
    </w:p>
    <w:p w:rsidR="006C6B34" w:rsidRDefault="006C6B34" w:rsidP="0069717E">
      <w:pPr>
        <w:pStyle w:val="Title1"/>
        <w:rPr>
          <w:caps w:val="0"/>
          <w:lang w:val="es-ES"/>
        </w:rPr>
        <w:sectPr w:rsidR="006C6B34" w:rsidSect="008439B4">
          <w:headerReference w:type="even" r:id="rId28"/>
          <w:headerReference w:type="default" r:id="rId29"/>
          <w:footerReference w:type="even" r:id="rId30"/>
          <w:headerReference w:type="first" r:id="rId31"/>
          <w:footerReference w:type="first" r:id="rId32"/>
          <w:footnotePr>
            <w:numRestart w:val="eachSect"/>
          </w:footnotePr>
          <w:pgSz w:w="12240" w:h="15840" w:code="1"/>
          <w:pgMar w:top="720" w:right="1440" w:bottom="864" w:left="1440" w:header="720" w:footer="475" w:gutter="0"/>
          <w:pgNumType w:start="1"/>
          <w:cols w:space="720"/>
          <w:titlePg/>
        </w:sectPr>
      </w:pPr>
    </w:p>
    <w:p w:rsidR="0069717E" w:rsidRPr="007C2631" w:rsidRDefault="0069717E" w:rsidP="0069717E">
      <w:pPr>
        <w:pStyle w:val="Title1"/>
        <w:rPr>
          <w:caps w:val="0"/>
          <w:lang w:val="es-ES"/>
        </w:rPr>
      </w:pPr>
      <w:r w:rsidRPr="007C2631">
        <w:rPr>
          <w:caps w:val="0"/>
          <w:lang w:val="es-ES"/>
        </w:rPr>
        <w:lastRenderedPageBreak/>
        <w:t>Apéndice II</w:t>
      </w:r>
    </w:p>
    <w:p w:rsidR="0069717E" w:rsidRPr="007C2631" w:rsidRDefault="0069717E" w:rsidP="0069717E">
      <w:pPr>
        <w:pStyle w:val="Title1"/>
        <w:rPr>
          <w:caps w:val="0"/>
          <w:lang w:val="es-ES"/>
        </w:rPr>
      </w:pPr>
    </w:p>
    <w:p w:rsidR="0069717E" w:rsidRPr="007C2631" w:rsidRDefault="0069717E" w:rsidP="0069717E">
      <w:pPr>
        <w:pStyle w:val="Title1"/>
        <w:rPr>
          <w:lang w:val="es-ES"/>
        </w:rPr>
      </w:pPr>
      <w:r w:rsidRPr="007C2631">
        <w:rPr>
          <w:lang w:val="es-ES"/>
        </w:rPr>
        <w:t>PLAN DE GESTIÓN DE ELIMINACIÓN DE HCFC POR PAÍS A 31 DE DICIEMBRE DE 2019</w:t>
      </w:r>
    </w:p>
    <w:p w:rsidR="0069717E" w:rsidRPr="007C2631" w:rsidRDefault="0069717E" w:rsidP="0069717E">
      <w:pPr>
        <w:pStyle w:val="Title1"/>
        <w:rPr>
          <w:lang w:val="es-ES"/>
        </w:rPr>
      </w:pPr>
    </w:p>
    <w:tbl>
      <w:tblPr>
        <w:tblW w:w="9535" w:type="dxa"/>
        <w:tblLayout w:type="fixed"/>
        <w:tblLook w:val="04A0" w:firstRow="1" w:lastRow="0" w:firstColumn="1" w:lastColumn="0" w:noHBand="0" w:noVBand="1"/>
      </w:tblPr>
      <w:tblGrid>
        <w:gridCol w:w="3145"/>
        <w:gridCol w:w="1278"/>
        <w:gridCol w:w="1278"/>
        <w:gridCol w:w="1278"/>
        <w:gridCol w:w="1278"/>
        <w:gridCol w:w="1278"/>
      </w:tblGrid>
      <w:tr w:rsidR="0069717E" w:rsidRPr="007C2631" w:rsidTr="0069717E">
        <w:trPr>
          <w:tblHeader/>
        </w:trPr>
        <w:tc>
          <w:tcPr>
            <w:tcW w:w="3145"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left"/>
              <w:rPr>
                <w:b/>
                <w:bCs/>
                <w:sz w:val="20"/>
                <w:szCs w:val="20"/>
                <w:lang w:val="es-ES"/>
              </w:rPr>
            </w:pPr>
            <w:r w:rsidRPr="007C2631">
              <w:rPr>
                <w:b/>
                <w:bCs/>
                <w:sz w:val="20"/>
                <w:szCs w:val="20"/>
                <w:lang w:val="es-ES"/>
              </w:rPr>
              <w:t>País</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7C2B79">
            <w:pPr>
              <w:ind w:left="-85" w:right="-111"/>
              <w:jc w:val="center"/>
              <w:rPr>
                <w:b/>
                <w:bCs/>
                <w:sz w:val="20"/>
                <w:szCs w:val="20"/>
                <w:lang w:val="es-ES"/>
              </w:rPr>
            </w:pPr>
            <w:r w:rsidRPr="007C2631">
              <w:rPr>
                <w:b/>
                <w:bCs/>
                <w:sz w:val="20"/>
                <w:szCs w:val="20"/>
                <w:lang w:val="es-ES"/>
              </w:rPr>
              <w:t>Eliminación aprobada (toneladas PAO)</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Fondos aprobados ($EUA)</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Fondos desembolsados ($EUA)</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Saldo ($EUA)</w:t>
            </w:r>
          </w:p>
        </w:tc>
        <w:tc>
          <w:tcPr>
            <w:tcW w:w="1278"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9717E" w:rsidRPr="007C2631" w:rsidRDefault="0069717E" w:rsidP="0069717E">
            <w:pPr>
              <w:jc w:val="center"/>
              <w:rPr>
                <w:b/>
                <w:bCs/>
                <w:sz w:val="20"/>
                <w:szCs w:val="20"/>
                <w:lang w:val="es-ES"/>
              </w:rPr>
            </w:pPr>
            <w:r w:rsidRPr="007C2631">
              <w:rPr>
                <w:b/>
                <w:bCs/>
                <w:sz w:val="20"/>
                <w:szCs w:val="20"/>
                <w:lang w:val="es-ES"/>
              </w:rPr>
              <w:t>Fondos desembolsados (%)</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Afganistán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604.725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455.988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148.737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Albania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281.813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281.813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Argelia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1.808.804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1.185.089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623.715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Angola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625.726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386.963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238.763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Antigua y Barbuda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27.235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27.235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Argentina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15.348.801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10.640.389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4.708.412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Armenia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656.936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600.852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56.084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Bahamas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277.050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183.178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93.873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Bahrein</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994.455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810.590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183.865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Bangladesh</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4.052.216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1.550.586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2.501.630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Barbados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252.000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179.770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72.230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Belice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236.000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236.000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Benin</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565.828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501.019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64.809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Bhután</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423.000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383.287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39.713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Bolivia (Estado Plurinacional 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283.344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264.964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18.380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94</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Bosnia y Herzegovina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908.645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849.932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58.713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94</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Botswana</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194.253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310.747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Brasil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41.490.199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27.523.169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13.967.030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Brunei Darussalam</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282.900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250.330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32.570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Burkina Faso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565.630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501.371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64.259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Burundi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296.844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146.910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149.934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Camboya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1.150.000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249.999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Camerún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1.690.013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1.158.965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531.048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Cabo Verde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143.834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127.911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15.922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Centroafricana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64.001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64.001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Chad</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489.542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464.522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25.020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Chile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4.965.403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3.493.488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1.471.915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China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3.463,9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369.859.236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318.263.864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51.595.372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Colombia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189,2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11.706.162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9.123.694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2.582.468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Comoras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144.000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113.777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30.223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Congo (el)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313.626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222.961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90.665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Islas Cook (las)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89 100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64.750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24.350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73</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Costa Rica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1.341.299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1.093.887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247.412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Côte</w:t>
            </w:r>
            <w:proofErr w:type="spellEnd"/>
            <w:r w:rsidRPr="007C2631">
              <w:rPr>
                <w:sz w:val="20"/>
                <w:szCs w:val="20"/>
                <w:lang w:val="es-ES"/>
              </w:rPr>
              <w:t xml:space="preserve"> </w:t>
            </w:r>
            <w:proofErr w:type="spellStart"/>
            <w:r w:rsidRPr="007C2631">
              <w:rPr>
                <w:sz w:val="20"/>
                <w:szCs w:val="20"/>
                <w:lang w:val="es-ES"/>
              </w:rPr>
              <w:t>d'Ivoire</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1.638.362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623.957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1.014.405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Croacia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804.104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804.104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Cuba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1.691.527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1.465.825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225.702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Popular Democrática de Corea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808.320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249.562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558.758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Democrática del Congo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474.324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Djibouti</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143.500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44.000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Dominica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148.050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138.024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Dominicana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3.021.598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2.615.461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406.137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Ecuador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2.323.792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1.860.907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462.885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Egipto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19.971.454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7.579.077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12.392.377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El Salvador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1.037.601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848.594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189.007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Guinea Ecuatorial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249.962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150.787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99.175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Eritrea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188.821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188.470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Eswatini</w:t>
            </w:r>
            <w:proofErr w:type="spellEnd"/>
            <w:r w:rsidRPr="007C2631">
              <w:rPr>
                <w:sz w:val="20"/>
                <w:szCs w:val="20"/>
                <w:lang w:val="es-ES"/>
              </w:rPr>
              <w:t xml:space="preserve"> </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852.099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821.931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30.168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Etiopía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279.771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157.191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122.580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lastRenderedPageBreak/>
              <w:t>Fiji</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283.500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258.584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24.916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Gabón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481.000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287.211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193.789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Gambia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188.497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152.958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35.539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Georgia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469.400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361.500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107.900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Ghana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1.356.311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1.118.531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237.780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Granada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189.000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172.470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16.530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Guatemala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392.063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320.763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71.300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Guinea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298.053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298.052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Guinea-Bissau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251.138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221.035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30.103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Guyana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413.430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226.739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186.691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Haití</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167.119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20.841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146.278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Honduras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558.497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446.659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111.838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India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48.020.085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26.964.350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21.055.735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Indonesia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15.389.041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10.947.674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4.441.367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Irán (República Islámica del)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269,2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16.701.022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11.715.399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4.985.623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Iraq</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1.180.000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383.826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796.174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Jamaica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583.537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486.301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97.236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Jordania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59,3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5.836.874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3.629.041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2.207.833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Kenya</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1.356.500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996.631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359.869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73</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Kiribati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98 100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79.269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18 831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Kuwait</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8.555.223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3.162.700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5.392.524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Kirguistán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738.722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557.270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181.452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Democrática Popular Lao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252.000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190.036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61.964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Líbano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6.019.109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5.366.536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652.573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Lesotho</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252.000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203.938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48.062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Liberia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283.500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256.541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26.959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Libia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1.161.310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682.756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478.554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Madagascar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502.434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400.688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101.746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Malawi</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313.750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298.631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15.120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Malasia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15.570.633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12.130.650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3.439.983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Maldivas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1.081.616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1.031.613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50.003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Malí</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500.830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434.723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66.107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Islas Marshall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101 700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86.545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15.155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Mauritania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Mauricio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621.200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359.476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261.724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México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27.045.795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21.440.422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5.605.373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Micronesia (Estados Federados 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100 800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79.227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21.573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Mongolia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320.769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308.615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12.154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Montenegro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380.889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362.209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18.680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Marruecos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1.284.159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1.080.515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203.644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84</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Mozambique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302.500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83.911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218.589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Myanmar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251.000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138.583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112.417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Namibia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810.000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552.539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257.461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Nauru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66 600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49.915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16.685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Nepal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189.000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162.641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26.359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Nicaragua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292.748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209.329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83.418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Níger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488.840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273.840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Nigeria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7.978.283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4.799.320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3.178.963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Niue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65 700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57.225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8.475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Macedonia del Norte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972.130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844.617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127.513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Omán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828.831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664.387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164.443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Pakistán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10.792.366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6.182.154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4.610.211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Palau</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108 000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103 000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lastRenderedPageBreak/>
              <w:t>Panamá</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985.141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534.554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450.587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Papúa Nueva Guinea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991.000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693.995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297.005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Paraguay</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567.000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467.794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99.206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Perú</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692.497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376.423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316.074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Filipinas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3.628.365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2.634.307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994.058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73</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Qatar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1.124.747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932.242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192.505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 xml:space="preserve">República de </w:t>
            </w:r>
            <w:proofErr w:type="spellStart"/>
            <w:r w:rsidRPr="007C2631">
              <w:rPr>
                <w:sz w:val="20"/>
                <w:szCs w:val="20"/>
                <w:lang w:val="es-ES"/>
              </w:rPr>
              <w:t>Moldova</w:t>
            </w:r>
            <w:proofErr w:type="spellEnd"/>
            <w:r w:rsidRPr="007C2631">
              <w:rPr>
                <w:sz w:val="20"/>
                <w:szCs w:val="20"/>
                <w:lang w:val="es-ES"/>
              </w:rPr>
              <w:t xml:space="preserve"> (la)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243.951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178.554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65.397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73</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Rwanda</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249.399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170.982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78.417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 xml:space="preserve">Saint </w:t>
            </w:r>
            <w:proofErr w:type="spellStart"/>
            <w:r w:rsidRPr="007C2631">
              <w:rPr>
                <w:sz w:val="20"/>
                <w:szCs w:val="20"/>
                <w:lang w:val="es-ES"/>
              </w:rPr>
              <w:t>Kitts</w:t>
            </w:r>
            <w:proofErr w:type="spellEnd"/>
            <w:r w:rsidRPr="007C2631">
              <w:rPr>
                <w:sz w:val="20"/>
                <w:szCs w:val="20"/>
                <w:lang w:val="es-ES"/>
              </w:rPr>
              <w:t xml:space="preserve"> y </w:t>
            </w:r>
            <w:proofErr w:type="spellStart"/>
            <w:r w:rsidRPr="007C2631">
              <w:rPr>
                <w:sz w:val="20"/>
                <w:szCs w:val="20"/>
                <w:lang w:val="es-ES"/>
              </w:rPr>
              <w:t>Nevis</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147.600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98.342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49.258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Santa Lucía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184.419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157.375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27.044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San Vicente y las Granadinas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318.951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178.951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Samoa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133 650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128 250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Santo Tomé y Príncipe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139.012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109.051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29.961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Arabia Saudita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353,5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9.682.575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6.429.146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3.253.429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Senegal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454.023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397.994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56.029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Serbia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966.506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919.470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47.036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Seychelles</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349.700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190.300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Sierra Leona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186.620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139.310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47.310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Islas Salomón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175 500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145 572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29.928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Somalia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353.746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299.857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53.889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Sudáfrica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6.354.796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4.902.358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1.452.438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Sudán del Sur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20 000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20 000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Sri Lanka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591.866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545.166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46.700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Sudán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4.166.680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1.978.863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2.187.817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Suriname</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186.742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113.609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73.133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Tailandia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18.424.008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16.924.008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1.500.000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92</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Timor-Leste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404.700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297.986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106.714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74</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Togo</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567.000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397.403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169.597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Tonga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114 300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88.063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26.237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 xml:space="preserve">Trinidad y </w:t>
            </w:r>
            <w:proofErr w:type="spellStart"/>
            <w:r w:rsidRPr="007C2631">
              <w:rPr>
                <w:sz w:val="20"/>
                <w:szCs w:val="20"/>
                <w:lang w:val="es-ES"/>
              </w:rPr>
              <w:t>Tabago</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1.374.733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1.231.827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142.906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Túnez</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1.837.922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701.037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1.136.885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Turquía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410,7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12.427.419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9.158.759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3.268.660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74</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Turkmenistán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614.547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589.023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25.524</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Tuvalu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82 800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65.473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17.327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Uganda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143.977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130.141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13.835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República Unida de Tanzania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187.875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129.371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58.503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69</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Uruguay</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1.373.893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747.498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626.395</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54</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Vanuatu</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133 650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117.109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16.541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88</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Venezuela (República Bolivariana de)</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2.488.281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2.273.928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214.352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91</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Viet</w:t>
            </w:r>
            <w:proofErr w:type="spellEnd"/>
            <w:r w:rsidRPr="007C2631">
              <w:rPr>
                <w:sz w:val="20"/>
                <w:szCs w:val="20"/>
                <w:lang w:val="es-ES"/>
              </w:rPr>
              <w:t xml:space="preserve"> </w:t>
            </w:r>
            <w:proofErr w:type="spellStart"/>
            <w:r w:rsidRPr="007C2631">
              <w:rPr>
                <w:sz w:val="20"/>
                <w:szCs w:val="20"/>
                <w:lang w:val="es-ES"/>
              </w:rPr>
              <w:t>Nam</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193,1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10.894.762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8.372.951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2.521.811</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77</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Yemen</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11,6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159.529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159.529</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Zambia</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1,7</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282.956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182.956</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65</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proofErr w:type="spellStart"/>
            <w:r w:rsidRPr="007C2631">
              <w:rPr>
                <w:sz w:val="20"/>
                <w:szCs w:val="20"/>
                <w:lang w:val="es-ES"/>
              </w:rPr>
              <w:t>Zimbabwe</w:t>
            </w:r>
            <w:proofErr w:type="spellEnd"/>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12,3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982.818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849.600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133.218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86</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sz w:val="20"/>
                <w:szCs w:val="20"/>
                <w:lang w:val="es-ES"/>
              </w:rPr>
            </w:pPr>
            <w:r w:rsidRPr="007C2631">
              <w:rPr>
                <w:sz w:val="20"/>
                <w:szCs w:val="20"/>
                <w:lang w:val="es-ES"/>
              </w:rPr>
              <w:t>Región: Asia y Pacífico Sur</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240 000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240 000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0</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sz w:val="20"/>
                <w:szCs w:val="20"/>
                <w:lang w:val="es-ES"/>
              </w:rPr>
            </w:pPr>
            <w:r w:rsidRPr="007C2631">
              <w:rPr>
                <w:sz w:val="20"/>
                <w:szCs w:val="20"/>
                <w:lang w:val="es-ES"/>
              </w:rPr>
              <w:t>100</w:t>
            </w:r>
          </w:p>
        </w:tc>
      </w:tr>
      <w:tr w:rsidR="0069717E" w:rsidRPr="007C2631" w:rsidTr="0069717E">
        <w:tc>
          <w:tcPr>
            <w:tcW w:w="314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69717E" w:rsidRPr="007C2631" w:rsidRDefault="0069717E" w:rsidP="0069717E">
            <w:pPr>
              <w:jc w:val="left"/>
              <w:rPr>
                <w:b/>
                <w:bCs/>
                <w:sz w:val="20"/>
                <w:szCs w:val="20"/>
                <w:lang w:val="es-ES"/>
              </w:rPr>
            </w:pPr>
            <w:r w:rsidRPr="007C2631">
              <w:rPr>
                <w:b/>
                <w:bCs/>
                <w:sz w:val="20"/>
                <w:szCs w:val="20"/>
                <w:lang w:val="es-ES"/>
              </w:rPr>
              <w:t>Total</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9.377,8</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764.597.883</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587.376.142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177.221.742</w:t>
            </w:r>
          </w:p>
        </w:tc>
        <w:tc>
          <w:tcPr>
            <w:tcW w:w="1278" w:type="dxa"/>
            <w:tcBorders>
              <w:top w:val="nil"/>
              <w:left w:val="nil"/>
              <w:bottom w:val="single" w:sz="4" w:space="0" w:color="auto"/>
              <w:right w:val="single" w:sz="4" w:space="0" w:color="auto"/>
            </w:tcBorders>
            <w:shd w:val="clear" w:color="auto" w:fill="auto"/>
            <w:noWrap/>
            <w:tcMar>
              <w:left w:w="0" w:type="dxa"/>
              <w:right w:w="173" w:type="dxa"/>
            </w:tcMar>
            <w:hideMark/>
          </w:tcPr>
          <w:p w:rsidR="0069717E" w:rsidRPr="007C2631" w:rsidRDefault="0069717E" w:rsidP="0069717E">
            <w:pPr>
              <w:jc w:val="right"/>
              <w:rPr>
                <w:b/>
                <w:bCs/>
                <w:sz w:val="20"/>
                <w:szCs w:val="20"/>
                <w:lang w:val="es-ES"/>
              </w:rPr>
            </w:pPr>
            <w:r w:rsidRPr="007C2631">
              <w:rPr>
                <w:b/>
                <w:bCs/>
                <w:sz w:val="20"/>
                <w:szCs w:val="20"/>
                <w:lang w:val="es-ES"/>
              </w:rPr>
              <w:t>77</w:t>
            </w:r>
          </w:p>
        </w:tc>
      </w:tr>
    </w:tbl>
    <w:p w:rsidR="006C6B34" w:rsidRDefault="006C6B34" w:rsidP="0069717E">
      <w:pPr>
        <w:pStyle w:val="Title1"/>
        <w:rPr>
          <w:lang w:val="es-ES"/>
        </w:rPr>
        <w:sectPr w:rsidR="006C6B34" w:rsidSect="000520E3">
          <w:headerReference w:type="even" r:id="rId33"/>
          <w:headerReference w:type="default" r:id="rId34"/>
          <w:footerReference w:type="even" r:id="rId35"/>
          <w:footerReference w:type="default" r:id="rId36"/>
          <w:headerReference w:type="first" r:id="rId37"/>
          <w:footerReference w:type="first" r:id="rId38"/>
          <w:footnotePr>
            <w:numRestart w:val="eachSect"/>
          </w:footnotePr>
          <w:pgSz w:w="12240" w:h="15840" w:code="1"/>
          <w:pgMar w:top="720" w:right="1440" w:bottom="864" w:left="1440" w:header="720" w:footer="475" w:gutter="0"/>
          <w:pgNumType w:start="1"/>
          <w:cols w:space="720"/>
          <w:titlePg/>
        </w:sectPr>
      </w:pPr>
    </w:p>
    <w:p w:rsidR="0069717E" w:rsidRPr="007C2631" w:rsidRDefault="0069717E" w:rsidP="0069717E">
      <w:pPr>
        <w:pStyle w:val="Title1"/>
        <w:rPr>
          <w:lang w:val="es-ES"/>
        </w:rPr>
      </w:pPr>
      <w:r w:rsidRPr="007C2631">
        <w:rPr>
          <w:lang w:val="es-ES"/>
        </w:rPr>
        <w:lastRenderedPageBreak/>
        <w:t>A</w:t>
      </w:r>
      <w:r w:rsidRPr="007C2631">
        <w:rPr>
          <w:caps w:val="0"/>
          <w:lang w:val="es-ES"/>
        </w:rPr>
        <w:t>nexo</w:t>
      </w:r>
      <w:r w:rsidRPr="007C2631">
        <w:rPr>
          <w:lang w:val="es-ES"/>
        </w:rPr>
        <w:t xml:space="preserve"> III</w:t>
      </w:r>
    </w:p>
    <w:p w:rsidR="0069717E" w:rsidRPr="007C2631" w:rsidRDefault="0069717E" w:rsidP="0069717E">
      <w:pPr>
        <w:pStyle w:val="Title1"/>
        <w:rPr>
          <w:lang w:val="es-ES"/>
        </w:rPr>
      </w:pPr>
    </w:p>
    <w:p w:rsidR="0069717E" w:rsidRPr="007C2631" w:rsidRDefault="0069717E" w:rsidP="0069717E">
      <w:pPr>
        <w:pStyle w:val="Title1"/>
        <w:rPr>
          <w:lang w:val="es-ES"/>
        </w:rPr>
      </w:pPr>
      <w:r w:rsidRPr="007C2631">
        <w:rPr>
          <w:lang w:val="es-ES"/>
        </w:rPr>
        <w:t>Informe sobre los proyectos de inversión relacionados con los HFC y las actividades de apoyo financiadas con las contribuciones adicionales de un grupo de 17 Partes que no operan al amparo del Artículo 5</w:t>
      </w:r>
    </w:p>
    <w:p w:rsidR="0069717E" w:rsidRPr="007C2631" w:rsidRDefault="0069717E" w:rsidP="0069717E">
      <w:pPr>
        <w:pStyle w:val="Title1"/>
        <w:rPr>
          <w:lang w:val="es-ES"/>
        </w:rPr>
      </w:pPr>
    </w:p>
    <w:p w:rsidR="0069717E" w:rsidRPr="007C2631" w:rsidRDefault="0069717E" w:rsidP="0069717E">
      <w:pPr>
        <w:pStyle w:val="StyleHeader4Para4Left0Firstline0"/>
        <w:numPr>
          <w:ilvl w:val="0"/>
          <w:numId w:val="0"/>
        </w:numPr>
        <w:rPr>
          <w:b/>
          <w:sz w:val="22"/>
          <w:lang w:val="es-ES"/>
        </w:rPr>
      </w:pPr>
      <w:r w:rsidRPr="007C2631">
        <w:rPr>
          <w:b/>
          <w:sz w:val="22"/>
          <w:lang w:val="es-ES"/>
        </w:rPr>
        <w:t>Antecedentes</w:t>
      </w:r>
    </w:p>
    <w:p w:rsidR="0069717E" w:rsidRPr="007C2631" w:rsidRDefault="0069717E" w:rsidP="0069717E">
      <w:pPr>
        <w:pStyle w:val="Heading1"/>
        <w:numPr>
          <w:ilvl w:val="0"/>
          <w:numId w:val="40"/>
        </w:numPr>
        <w:rPr>
          <w:lang w:val="es-ES"/>
        </w:rPr>
      </w:pPr>
      <w:r w:rsidRPr="007C2631">
        <w:rPr>
          <w:lang w:val="es-ES"/>
        </w:rPr>
        <w:t>En la 84ª reunión, teniendo en cuenta el Informe refundido sobre la marcha de las actividades del Fondo Multilateral a 31 de diciembre de 2018, el Comité Ejecutivo solicitó a la Secretaría presentar en la 85ª reunión un informe adicional sobre los proyectos de inversión relacionados con los HFC y las actividades de apoyo financiadas con cargo a las contribuciones adicionales de un grupo de 17 Partes que no operan al amparo del Artículo 5, en el que se identifiquen los países para los que se habían aprobado proyectos y se presente una reseña de los objetivos, la situación de la ejecución, las conclusiones clave y las lecciones aprendidas, las cantidades de HFC eliminadas si procediera, el nivel de fondos aprobados y desembolsados y las posibles dificultades para completar los proyectos y actividades, en el entendido de que se proporcionaría información en forma individual para los proyectos de inversión relacionados con los HFC y de forma totalizada para las actividades de apoyo relacionadas con los HFC (decisión 84/12(b)).</w:t>
      </w:r>
    </w:p>
    <w:p w:rsidR="0069717E" w:rsidRPr="007C2631" w:rsidRDefault="0069717E" w:rsidP="006C6B34">
      <w:pPr>
        <w:pStyle w:val="Heading1"/>
        <w:rPr>
          <w:lang w:val="es-ES"/>
        </w:rPr>
      </w:pPr>
      <w:r w:rsidRPr="007C2631">
        <w:rPr>
          <w:lang w:val="es-ES"/>
        </w:rPr>
        <w:t>En respuesta a la decisión 84/12(b), la Secretaría presentó a la 85ª reunión</w:t>
      </w:r>
      <w:r w:rsidRPr="007C2631">
        <w:rPr>
          <w:rStyle w:val="FootnoteReference"/>
          <w:lang w:val="es-ES"/>
        </w:rPr>
        <w:footnoteReference w:id="25"/>
      </w:r>
      <w:r w:rsidRPr="007C2631">
        <w:rPr>
          <w:lang w:val="es-ES"/>
        </w:rPr>
        <w:t xml:space="preserve"> el informe adicional sobre los proyectos de inversión relacionados con los HFC y las actividades de apoyo mediante el formato actualizado después de incorporar las sugerencias pertinentes de los organismos bilaterales y de ejecución. </w:t>
      </w:r>
    </w:p>
    <w:p w:rsidR="0069717E" w:rsidRPr="007C2631" w:rsidRDefault="0069717E" w:rsidP="0069717E">
      <w:pPr>
        <w:pStyle w:val="Heading1"/>
        <w:rPr>
          <w:lang w:val="es-ES"/>
        </w:rPr>
      </w:pPr>
      <w:r w:rsidRPr="007C2631">
        <w:rPr>
          <w:lang w:val="es-ES"/>
        </w:rPr>
        <w:t xml:space="preserve">A </w:t>
      </w:r>
      <w:proofErr w:type="gramStart"/>
      <w:r w:rsidRPr="007C2631">
        <w:rPr>
          <w:lang w:val="es-ES"/>
        </w:rPr>
        <w:t>continuación</w:t>
      </w:r>
      <w:proofErr w:type="gramEnd"/>
      <w:r w:rsidRPr="007C2631">
        <w:rPr>
          <w:lang w:val="es-ES"/>
        </w:rPr>
        <w:t xml:space="preserve"> se presenta información actualizada sobre los proyectos de inversión relacionados con los HFC y las actividades de apoyo mediante la información actualizada presentada por los organismos bilaterales y de ejecución.</w:t>
      </w:r>
    </w:p>
    <w:p w:rsidR="0069717E" w:rsidRPr="007C2631" w:rsidRDefault="0069717E" w:rsidP="0069717E">
      <w:pPr>
        <w:jc w:val="left"/>
        <w:rPr>
          <w:b/>
          <w:lang w:val="es-ES"/>
        </w:rPr>
      </w:pPr>
      <w:r w:rsidRPr="007C2631">
        <w:rPr>
          <w:b/>
          <w:lang w:val="es-ES"/>
        </w:rPr>
        <w:t>Informe sobre los proyectos de inversión relacionados con los HFC</w:t>
      </w:r>
    </w:p>
    <w:p w:rsidR="0069717E" w:rsidRPr="007C2631" w:rsidRDefault="0069717E" w:rsidP="0069717E">
      <w:pPr>
        <w:jc w:val="left"/>
        <w:rPr>
          <w:b/>
          <w:lang w:val="es-ES"/>
        </w:rPr>
      </w:pPr>
    </w:p>
    <w:p w:rsidR="0069717E" w:rsidRPr="007C2631" w:rsidRDefault="0069717E" w:rsidP="0069717E">
      <w:pPr>
        <w:pStyle w:val="Heading1"/>
        <w:rPr>
          <w:lang w:val="es-ES"/>
        </w:rPr>
      </w:pPr>
      <w:r w:rsidRPr="007C2631">
        <w:rPr>
          <w:lang w:val="es-ES"/>
        </w:rPr>
        <w:t xml:space="preserve">Los organismos de ejecución facilitaron informes de situación detallados sobre la ejecución de proyectos de inversión relacionados con los HFC para Argentina, Bangladesh, China, Líbano, México y Tailandia. En el Cuadro 1 se presenta un resumen de los proyectos individuales. </w:t>
      </w:r>
    </w:p>
    <w:p w:rsidR="0069717E" w:rsidRPr="007C2631" w:rsidRDefault="0069717E" w:rsidP="0069717E">
      <w:pPr>
        <w:keepNext/>
        <w:jc w:val="left"/>
        <w:rPr>
          <w:b/>
          <w:lang w:val="es-ES"/>
        </w:rPr>
      </w:pPr>
      <w:r w:rsidRPr="007C2631">
        <w:rPr>
          <w:b/>
          <w:lang w:val="es-ES"/>
        </w:rPr>
        <w:t>Cuadro 1. Resumen de los proyectos de inversión relacionados con los HFC</w:t>
      </w: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9"/>
        <w:gridCol w:w="865"/>
        <w:gridCol w:w="1422"/>
        <w:gridCol w:w="1602"/>
        <w:gridCol w:w="1424"/>
        <w:gridCol w:w="1011"/>
        <w:gridCol w:w="1011"/>
        <w:gridCol w:w="1011"/>
      </w:tblGrid>
      <w:tr w:rsidR="0069717E" w:rsidRPr="007C2631" w:rsidTr="0069717E">
        <w:trPr>
          <w:tblHeader/>
        </w:trPr>
        <w:tc>
          <w:tcPr>
            <w:tcW w:w="582" w:type="pct"/>
            <w:shd w:val="clear" w:color="auto" w:fill="auto"/>
            <w:noWrap/>
            <w:tcMar>
              <w:left w:w="29" w:type="dxa"/>
              <w:right w:w="29"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País</w:t>
            </w:r>
          </w:p>
        </w:tc>
        <w:tc>
          <w:tcPr>
            <w:tcW w:w="458" w:type="pct"/>
            <w:shd w:val="clear" w:color="auto" w:fill="auto"/>
            <w:noWrap/>
            <w:tcMar>
              <w:left w:w="29" w:type="dxa"/>
              <w:right w:w="29"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Organismo</w:t>
            </w:r>
          </w:p>
        </w:tc>
        <w:tc>
          <w:tcPr>
            <w:tcW w:w="753" w:type="pct"/>
            <w:shd w:val="clear" w:color="auto" w:fill="auto"/>
            <w:tcMar>
              <w:left w:w="29" w:type="dxa"/>
              <w:right w:w="29"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Productos</w:t>
            </w:r>
          </w:p>
        </w:tc>
        <w:tc>
          <w:tcPr>
            <w:tcW w:w="848" w:type="pct"/>
            <w:shd w:val="clear" w:color="auto" w:fill="auto"/>
            <w:tcMar>
              <w:left w:w="0" w:type="dxa"/>
              <w:right w:w="0"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HFC utilizado (</w:t>
            </w:r>
            <w:proofErr w:type="spellStart"/>
            <w:r w:rsidRPr="007C2631">
              <w:rPr>
                <w:b/>
                <w:bCs/>
                <w:sz w:val="20"/>
                <w:szCs w:val="20"/>
                <w:lang w:val="es-ES"/>
              </w:rPr>
              <w:t>tm</w:t>
            </w:r>
            <w:proofErr w:type="spellEnd"/>
            <w:r w:rsidRPr="007C2631">
              <w:rPr>
                <w:b/>
                <w:bCs/>
                <w:sz w:val="20"/>
                <w:szCs w:val="20"/>
                <w:lang w:val="es-ES"/>
              </w:rPr>
              <w:t>)</w:t>
            </w:r>
          </w:p>
        </w:tc>
        <w:tc>
          <w:tcPr>
            <w:tcW w:w="754" w:type="pct"/>
            <w:shd w:val="clear" w:color="auto" w:fill="auto"/>
            <w:tcMar>
              <w:left w:w="0" w:type="dxa"/>
              <w:right w:w="0"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Alternativa utilizada</w:t>
            </w:r>
          </w:p>
        </w:tc>
        <w:tc>
          <w:tcPr>
            <w:tcW w:w="535" w:type="pct"/>
            <w:shd w:val="clear" w:color="auto" w:fill="auto"/>
            <w:tcMar>
              <w:left w:w="0" w:type="dxa"/>
              <w:right w:w="0" w:type="dxa"/>
            </w:tcMar>
            <w:vAlign w:val="center"/>
            <w:hideMark/>
          </w:tcPr>
          <w:p w:rsidR="0069717E" w:rsidRPr="007C2631" w:rsidRDefault="0069717E" w:rsidP="0069717E">
            <w:pPr>
              <w:keepNext/>
              <w:jc w:val="center"/>
              <w:rPr>
                <w:b/>
                <w:bCs/>
                <w:sz w:val="20"/>
                <w:szCs w:val="20"/>
                <w:lang w:val="es-ES"/>
              </w:rPr>
            </w:pPr>
            <w:proofErr w:type="spellStart"/>
            <w:r w:rsidRPr="007C2631">
              <w:rPr>
                <w:b/>
                <w:bCs/>
                <w:sz w:val="20"/>
                <w:szCs w:val="20"/>
                <w:lang w:val="es-ES"/>
              </w:rPr>
              <w:t>tm</w:t>
            </w:r>
            <w:proofErr w:type="spellEnd"/>
            <w:r w:rsidRPr="007C2631">
              <w:rPr>
                <w:b/>
                <w:bCs/>
                <w:sz w:val="20"/>
                <w:szCs w:val="20"/>
                <w:lang w:val="es-ES"/>
              </w:rPr>
              <w:t xml:space="preserve"> de </w:t>
            </w:r>
            <w:proofErr w:type="spellStart"/>
            <w:r w:rsidRPr="007C2631">
              <w:rPr>
                <w:b/>
                <w:bCs/>
                <w:sz w:val="20"/>
                <w:szCs w:val="20"/>
                <w:lang w:val="es-ES"/>
              </w:rPr>
              <w:t>eq</w:t>
            </w:r>
            <w:proofErr w:type="spellEnd"/>
            <w:r w:rsidRPr="007C2631">
              <w:rPr>
                <w:b/>
                <w:bCs/>
                <w:sz w:val="20"/>
                <w:szCs w:val="20"/>
                <w:lang w:val="es-ES"/>
              </w:rPr>
              <w:t>. de CO</w:t>
            </w:r>
            <w:r w:rsidRPr="007C2631">
              <w:rPr>
                <w:b/>
                <w:bCs/>
                <w:sz w:val="20"/>
                <w:szCs w:val="20"/>
                <w:vertAlign w:val="subscript"/>
                <w:lang w:val="es-ES"/>
              </w:rPr>
              <w:t>2</w:t>
            </w:r>
          </w:p>
        </w:tc>
        <w:tc>
          <w:tcPr>
            <w:tcW w:w="535" w:type="pct"/>
            <w:shd w:val="clear" w:color="auto" w:fill="auto"/>
            <w:tcMar>
              <w:left w:w="0" w:type="dxa"/>
              <w:right w:w="0"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Fondos aprobados ($EUA)</w:t>
            </w:r>
          </w:p>
        </w:tc>
        <w:tc>
          <w:tcPr>
            <w:tcW w:w="535" w:type="pct"/>
            <w:shd w:val="clear" w:color="auto" w:fill="auto"/>
            <w:tcMar>
              <w:left w:w="0" w:type="dxa"/>
              <w:right w:w="0" w:type="dxa"/>
            </w:tcMar>
            <w:vAlign w:val="center"/>
            <w:hideMark/>
          </w:tcPr>
          <w:p w:rsidR="0069717E" w:rsidRPr="007C2631" w:rsidRDefault="0069717E" w:rsidP="0069717E">
            <w:pPr>
              <w:keepNext/>
              <w:jc w:val="center"/>
              <w:rPr>
                <w:b/>
                <w:bCs/>
                <w:sz w:val="20"/>
                <w:szCs w:val="20"/>
                <w:lang w:val="es-ES"/>
              </w:rPr>
            </w:pPr>
            <w:r w:rsidRPr="007C2631">
              <w:rPr>
                <w:b/>
                <w:bCs/>
                <w:sz w:val="20"/>
                <w:szCs w:val="20"/>
                <w:lang w:val="es-ES"/>
              </w:rPr>
              <w:t>Fondos desembolsados ($EUA)</w:t>
            </w:r>
          </w:p>
        </w:tc>
      </w:tr>
      <w:tr w:rsidR="0069717E" w:rsidRPr="007C2631" w:rsidTr="0069717E">
        <w:tc>
          <w:tcPr>
            <w:tcW w:w="582" w:type="pct"/>
            <w:shd w:val="clear" w:color="auto" w:fill="auto"/>
            <w:noWrap/>
            <w:tcMar>
              <w:left w:w="29" w:type="dxa"/>
              <w:right w:w="29" w:type="dxa"/>
            </w:tcMar>
            <w:hideMark/>
          </w:tcPr>
          <w:p w:rsidR="0069717E" w:rsidRPr="007C2631" w:rsidRDefault="0069717E" w:rsidP="0069717E">
            <w:pPr>
              <w:keepNext/>
              <w:jc w:val="left"/>
              <w:rPr>
                <w:sz w:val="20"/>
                <w:szCs w:val="20"/>
                <w:lang w:val="es-ES"/>
              </w:rPr>
            </w:pPr>
            <w:r w:rsidRPr="007C2631">
              <w:rPr>
                <w:sz w:val="20"/>
                <w:szCs w:val="20"/>
                <w:lang w:val="es-ES"/>
              </w:rPr>
              <w:t>Argentina</w:t>
            </w:r>
          </w:p>
        </w:tc>
        <w:tc>
          <w:tcPr>
            <w:tcW w:w="458" w:type="pct"/>
            <w:shd w:val="clear" w:color="auto" w:fill="auto"/>
            <w:noWrap/>
            <w:tcMar>
              <w:left w:w="29" w:type="dxa"/>
              <w:right w:w="29" w:type="dxa"/>
            </w:tcMar>
            <w:hideMark/>
          </w:tcPr>
          <w:p w:rsidR="0069717E" w:rsidRPr="007C2631" w:rsidRDefault="0069717E" w:rsidP="0069717E">
            <w:pPr>
              <w:keepNext/>
              <w:jc w:val="center"/>
              <w:rPr>
                <w:sz w:val="20"/>
                <w:szCs w:val="20"/>
                <w:lang w:val="es-ES"/>
              </w:rPr>
            </w:pPr>
            <w:r w:rsidRPr="007C2631">
              <w:rPr>
                <w:sz w:val="20"/>
                <w:szCs w:val="20"/>
                <w:lang w:val="es-ES"/>
              </w:rPr>
              <w:t>ONUDI</w:t>
            </w:r>
          </w:p>
        </w:tc>
        <w:tc>
          <w:tcPr>
            <w:tcW w:w="753" w:type="pct"/>
            <w:shd w:val="clear" w:color="auto" w:fill="auto"/>
            <w:tcMar>
              <w:left w:w="29" w:type="dxa"/>
              <w:right w:w="29" w:type="dxa"/>
            </w:tcMar>
            <w:hideMark/>
          </w:tcPr>
          <w:p w:rsidR="0069717E" w:rsidRPr="007C2631" w:rsidRDefault="0069717E" w:rsidP="0069717E">
            <w:pPr>
              <w:keepNext/>
              <w:jc w:val="left"/>
              <w:rPr>
                <w:sz w:val="20"/>
                <w:szCs w:val="20"/>
                <w:lang w:val="es-ES"/>
              </w:rPr>
            </w:pPr>
            <w:r w:rsidRPr="007C2631">
              <w:rPr>
                <w:sz w:val="20"/>
                <w:szCs w:val="20"/>
                <w:lang w:val="es-ES"/>
              </w:rPr>
              <w:t xml:space="preserve">Refrigeradores domésticos y comerciales </w:t>
            </w:r>
          </w:p>
        </w:tc>
        <w:tc>
          <w:tcPr>
            <w:tcW w:w="848" w:type="pct"/>
            <w:shd w:val="clear" w:color="auto" w:fill="auto"/>
            <w:noWrap/>
            <w:tcMar>
              <w:left w:w="29" w:type="dxa"/>
              <w:right w:w="29" w:type="dxa"/>
            </w:tcMar>
            <w:hideMark/>
          </w:tcPr>
          <w:p w:rsidR="0069717E" w:rsidRPr="007C2631" w:rsidRDefault="0069717E" w:rsidP="0069717E">
            <w:pPr>
              <w:keepNext/>
              <w:jc w:val="left"/>
              <w:rPr>
                <w:sz w:val="20"/>
                <w:szCs w:val="20"/>
                <w:lang w:val="es-ES"/>
              </w:rPr>
            </w:pPr>
            <w:r w:rsidRPr="007C2631">
              <w:rPr>
                <w:sz w:val="20"/>
                <w:szCs w:val="20"/>
                <w:lang w:val="es-ES"/>
              </w:rPr>
              <w:t>HFC-134a (96,60 </w:t>
            </w:r>
            <w:proofErr w:type="spellStart"/>
            <w:r w:rsidRPr="007C2631">
              <w:rPr>
                <w:sz w:val="20"/>
                <w:szCs w:val="20"/>
                <w:lang w:val="es-ES"/>
              </w:rPr>
              <w:t>tm</w:t>
            </w:r>
            <w:proofErr w:type="spellEnd"/>
            <w:r w:rsidRPr="007C2631">
              <w:rPr>
                <w:sz w:val="20"/>
                <w:szCs w:val="20"/>
                <w:lang w:val="es-ES"/>
              </w:rPr>
              <w:t>)</w:t>
            </w:r>
          </w:p>
        </w:tc>
        <w:tc>
          <w:tcPr>
            <w:tcW w:w="754" w:type="pct"/>
            <w:shd w:val="clear" w:color="auto" w:fill="auto"/>
            <w:noWrap/>
            <w:tcMar>
              <w:left w:w="29" w:type="dxa"/>
              <w:right w:w="29" w:type="dxa"/>
            </w:tcMar>
            <w:hideMark/>
          </w:tcPr>
          <w:p w:rsidR="0069717E" w:rsidRPr="007C2631" w:rsidRDefault="0069717E" w:rsidP="0069717E">
            <w:pPr>
              <w:keepNext/>
              <w:jc w:val="left"/>
              <w:rPr>
                <w:sz w:val="20"/>
                <w:szCs w:val="20"/>
                <w:lang w:val="es-ES"/>
              </w:rPr>
            </w:pPr>
            <w:r w:rsidRPr="007C2631">
              <w:rPr>
                <w:sz w:val="20"/>
                <w:szCs w:val="20"/>
                <w:lang w:val="es-ES"/>
              </w:rPr>
              <w:t>R-600a/R-290</w:t>
            </w:r>
          </w:p>
        </w:tc>
        <w:tc>
          <w:tcPr>
            <w:tcW w:w="535" w:type="pct"/>
            <w:shd w:val="clear" w:color="auto" w:fill="auto"/>
            <w:noWrap/>
            <w:tcMar>
              <w:left w:w="29" w:type="dxa"/>
              <w:right w:w="29" w:type="dxa"/>
            </w:tcMar>
            <w:hideMark/>
          </w:tcPr>
          <w:p w:rsidR="0069717E" w:rsidRPr="007C2631" w:rsidRDefault="0069717E" w:rsidP="0069717E">
            <w:pPr>
              <w:keepNext/>
              <w:jc w:val="right"/>
              <w:rPr>
                <w:bCs/>
                <w:sz w:val="20"/>
                <w:szCs w:val="20"/>
                <w:lang w:val="es-ES"/>
              </w:rPr>
            </w:pPr>
            <w:r w:rsidRPr="007C2631">
              <w:rPr>
                <w:bCs/>
                <w:sz w:val="20"/>
                <w:szCs w:val="20"/>
                <w:lang w:val="es-ES"/>
              </w:rPr>
              <w:t>138.069</w:t>
            </w:r>
          </w:p>
        </w:tc>
        <w:tc>
          <w:tcPr>
            <w:tcW w:w="535" w:type="pct"/>
            <w:shd w:val="clear" w:color="auto" w:fill="auto"/>
            <w:noWrap/>
            <w:tcMar>
              <w:left w:w="29" w:type="dxa"/>
              <w:right w:w="29" w:type="dxa"/>
            </w:tcMar>
            <w:hideMark/>
          </w:tcPr>
          <w:p w:rsidR="0069717E" w:rsidRPr="007C2631" w:rsidRDefault="0069717E" w:rsidP="0069717E">
            <w:pPr>
              <w:keepNext/>
              <w:jc w:val="right"/>
              <w:rPr>
                <w:sz w:val="20"/>
                <w:szCs w:val="20"/>
                <w:lang w:val="es-ES"/>
              </w:rPr>
            </w:pPr>
            <w:r w:rsidRPr="007C2631">
              <w:rPr>
                <w:sz w:val="20"/>
                <w:szCs w:val="20"/>
                <w:lang w:val="es-ES"/>
              </w:rPr>
              <w:t>1.840.755</w:t>
            </w:r>
          </w:p>
        </w:tc>
        <w:tc>
          <w:tcPr>
            <w:tcW w:w="535" w:type="pct"/>
            <w:shd w:val="clear" w:color="auto" w:fill="auto"/>
            <w:noWrap/>
            <w:tcMar>
              <w:left w:w="29" w:type="dxa"/>
              <w:right w:w="29" w:type="dxa"/>
            </w:tcMar>
          </w:tcPr>
          <w:p w:rsidR="0069717E" w:rsidRPr="007C2631" w:rsidRDefault="0069717E" w:rsidP="0069717E">
            <w:pPr>
              <w:keepNext/>
              <w:jc w:val="right"/>
              <w:rPr>
                <w:sz w:val="20"/>
                <w:szCs w:val="20"/>
                <w:lang w:val="es-ES"/>
              </w:rPr>
            </w:pPr>
            <w:r w:rsidRPr="007C2631">
              <w:rPr>
                <w:sz w:val="20"/>
                <w:szCs w:val="20"/>
                <w:lang w:val="es-ES"/>
              </w:rPr>
              <w:t>681.703</w:t>
            </w:r>
          </w:p>
        </w:tc>
      </w:tr>
      <w:tr w:rsidR="0069717E" w:rsidRPr="007C2631" w:rsidTr="0069717E">
        <w:tc>
          <w:tcPr>
            <w:tcW w:w="582"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Bangladesh</w:t>
            </w:r>
          </w:p>
        </w:tc>
        <w:tc>
          <w:tcPr>
            <w:tcW w:w="458" w:type="pct"/>
            <w:shd w:val="clear" w:color="auto" w:fill="auto"/>
            <w:noWrap/>
            <w:tcMar>
              <w:left w:w="29" w:type="dxa"/>
              <w:right w:w="29" w:type="dxa"/>
            </w:tcMar>
            <w:hideMark/>
          </w:tcPr>
          <w:p w:rsidR="0069717E" w:rsidRPr="007C2631" w:rsidRDefault="0069717E" w:rsidP="0069717E">
            <w:pPr>
              <w:jc w:val="center"/>
              <w:rPr>
                <w:sz w:val="20"/>
                <w:szCs w:val="20"/>
                <w:lang w:val="es-ES"/>
              </w:rPr>
            </w:pPr>
            <w:r w:rsidRPr="007C2631">
              <w:rPr>
                <w:sz w:val="20"/>
                <w:szCs w:val="20"/>
                <w:lang w:val="es-ES"/>
              </w:rPr>
              <w:t>PNUD</w:t>
            </w:r>
          </w:p>
        </w:tc>
        <w:tc>
          <w:tcPr>
            <w:tcW w:w="753" w:type="pct"/>
            <w:shd w:val="clear" w:color="auto" w:fill="auto"/>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Compresores y refrigeradores domésticos</w:t>
            </w:r>
          </w:p>
        </w:tc>
        <w:tc>
          <w:tcPr>
            <w:tcW w:w="848"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HFC-134a (230,63 </w:t>
            </w:r>
            <w:proofErr w:type="spellStart"/>
            <w:r w:rsidRPr="007C2631">
              <w:rPr>
                <w:sz w:val="20"/>
                <w:szCs w:val="20"/>
                <w:lang w:val="es-ES"/>
              </w:rPr>
              <w:t>tm</w:t>
            </w:r>
            <w:proofErr w:type="spellEnd"/>
            <w:r w:rsidRPr="007C2631">
              <w:rPr>
                <w:sz w:val="20"/>
                <w:szCs w:val="20"/>
                <w:lang w:val="es-ES"/>
              </w:rPr>
              <w:t>)</w:t>
            </w:r>
          </w:p>
        </w:tc>
        <w:tc>
          <w:tcPr>
            <w:tcW w:w="754"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R-600a </w:t>
            </w:r>
          </w:p>
        </w:tc>
        <w:tc>
          <w:tcPr>
            <w:tcW w:w="535" w:type="pct"/>
            <w:shd w:val="clear" w:color="auto" w:fill="auto"/>
            <w:noWrap/>
            <w:tcMar>
              <w:left w:w="29" w:type="dxa"/>
              <w:right w:w="29" w:type="dxa"/>
            </w:tcMar>
            <w:hideMark/>
          </w:tcPr>
          <w:p w:rsidR="0069717E" w:rsidRPr="007C2631" w:rsidRDefault="0069717E" w:rsidP="0069717E">
            <w:pPr>
              <w:jc w:val="right"/>
              <w:rPr>
                <w:bCs/>
                <w:sz w:val="20"/>
                <w:szCs w:val="20"/>
                <w:lang w:val="es-ES"/>
              </w:rPr>
            </w:pPr>
            <w:r w:rsidRPr="007C2631">
              <w:rPr>
                <w:bCs/>
                <w:sz w:val="20"/>
                <w:szCs w:val="20"/>
                <w:lang w:val="es-ES"/>
              </w:rPr>
              <w:t>329.801</w:t>
            </w:r>
          </w:p>
        </w:tc>
        <w:tc>
          <w:tcPr>
            <w:tcW w:w="535" w:type="pct"/>
            <w:shd w:val="clear" w:color="auto" w:fill="auto"/>
            <w:noWrap/>
            <w:tcMar>
              <w:left w:w="29" w:type="dxa"/>
              <w:right w:w="29" w:type="dxa"/>
            </w:tcMar>
            <w:hideMark/>
          </w:tcPr>
          <w:p w:rsidR="0069717E" w:rsidRPr="007C2631" w:rsidRDefault="0069717E" w:rsidP="0069717E">
            <w:pPr>
              <w:jc w:val="right"/>
              <w:rPr>
                <w:sz w:val="20"/>
                <w:szCs w:val="20"/>
                <w:lang w:val="es-ES"/>
              </w:rPr>
            </w:pPr>
            <w:r w:rsidRPr="007C2631">
              <w:rPr>
                <w:sz w:val="20"/>
                <w:szCs w:val="20"/>
                <w:lang w:val="es-ES"/>
              </w:rPr>
              <w:t>3.131.610</w:t>
            </w:r>
          </w:p>
        </w:tc>
        <w:tc>
          <w:tcPr>
            <w:tcW w:w="535" w:type="pct"/>
            <w:shd w:val="clear" w:color="auto" w:fill="auto"/>
            <w:noWrap/>
            <w:tcMar>
              <w:left w:w="29" w:type="dxa"/>
              <w:right w:w="29" w:type="dxa"/>
            </w:tcMar>
          </w:tcPr>
          <w:p w:rsidR="0069717E" w:rsidRPr="007C2631" w:rsidRDefault="0069717E" w:rsidP="0069717E">
            <w:pPr>
              <w:jc w:val="right"/>
              <w:rPr>
                <w:sz w:val="20"/>
                <w:szCs w:val="20"/>
                <w:lang w:val="es-ES"/>
              </w:rPr>
            </w:pPr>
            <w:r w:rsidRPr="007C2631">
              <w:rPr>
                <w:sz w:val="20"/>
                <w:szCs w:val="20"/>
                <w:lang w:val="es-ES"/>
              </w:rPr>
              <w:t>3.126.415</w:t>
            </w:r>
          </w:p>
        </w:tc>
      </w:tr>
      <w:tr w:rsidR="0069717E" w:rsidRPr="007C2631" w:rsidTr="0069717E">
        <w:tc>
          <w:tcPr>
            <w:tcW w:w="582"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China</w:t>
            </w:r>
          </w:p>
        </w:tc>
        <w:tc>
          <w:tcPr>
            <w:tcW w:w="458" w:type="pct"/>
            <w:shd w:val="clear" w:color="auto" w:fill="auto"/>
            <w:noWrap/>
            <w:tcMar>
              <w:left w:w="29" w:type="dxa"/>
              <w:right w:w="29" w:type="dxa"/>
            </w:tcMar>
            <w:hideMark/>
          </w:tcPr>
          <w:p w:rsidR="0069717E" w:rsidRPr="007C2631" w:rsidRDefault="0069717E" w:rsidP="0069717E">
            <w:pPr>
              <w:jc w:val="center"/>
              <w:rPr>
                <w:sz w:val="20"/>
                <w:szCs w:val="20"/>
                <w:lang w:val="es-ES"/>
              </w:rPr>
            </w:pPr>
            <w:r w:rsidRPr="007C2631">
              <w:rPr>
                <w:sz w:val="20"/>
                <w:szCs w:val="20"/>
                <w:lang w:val="es-ES"/>
              </w:rPr>
              <w:t>PNUD</w:t>
            </w:r>
          </w:p>
        </w:tc>
        <w:tc>
          <w:tcPr>
            <w:tcW w:w="753" w:type="pct"/>
            <w:shd w:val="clear" w:color="auto" w:fill="auto"/>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Espuma aislante para refrigeradores domésticos</w:t>
            </w:r>
          </w:p>
        </w:tc>
        <w:tc>
          <w:tcPr>
            <w:tcW w:w="848" w:type="pct"/>
            <w:shd w:val="clear" w:color="auto" w:fill="auto"/>
            <w:noWrap/>
            <w:tcMar>
              <w:left w:w="58" w:type="dxa"/>
              <w:right w:w="29" w:type="dxa"/>
            </w:tcMar>
            <w:hideMark/>
          </w:tcPr>
          <w:p w:rsidR="0069717E" w:rsidRPr="007C2631" w:rsidRDefault="0069717E" w:rsidP="0069717E">
            <w:pPr>
              <w:ind w:left="-49"/>
              <w:jc w:val="left"/>
              <w:rPr>
                <w:sz w:val="20"/>
                <w:szCs w:val="20"/>
                <w:lang w:val="es-ES"/>
              </w:rPr>
            </w:pPr>
            <w:proofErr w:type="spellStart"/>
            <w:r w:rsidRPr="007C2631">
              <w:rPr>
                <w:sz w:val="20"/>
                <w:szCs w:val="20"/>
                <w:lang w:val="es-ES"/>
              </w:rPr>
              <w:t>Ciclopentano</w:t>
            </w:r>
            <w:proofErr w:type="spellEnd"/>
            <w:r w:rsidRPr="007C2631">
              <w:rPr>
                <w:sz w:val="20"/>
                <w:szCs w:val="20"/>
                <w:lang w:val="es-ES"/>
              </w:rPr>
              <w:t xml:space="preserve"> + HFC-245fa (250,00 </w:t>
            </w:r>
            <w:proofErr w:type="spellStart"/>
            <w:r w:rsidRPr="007C2631">
              <w:rPr>
                <w:sz w:val="20"/>
                <w:szCs w:val="20"/>
                <w:lang w:val="es-ES"/>
              </w:rPr>
              <w:t>tm</w:t>
            </w:r>
            <w:proofErr w:type="spellEnd"/>
            <w:r w:rsidRPr="007C2631">
              <w:rPr>
                <w:sz w:val="20"/>
                <w:szCs w:val="20"/>
                <w:lang w:val="es-ES"/>
              </w:rPr>
              <w:t>)</w:t>
            </w:r>
          </w:p>
        </w:tc>
        <w:tc>
          <w:tcPr>
            <w:tcW w:w="754" w:type="pct"/>
            <w:shd w:val="clear" w:color="auto" w:fill="auto"/>
            <w:noWrap/>
            <w:tcMar>
              <w:left w:w="29" w:type="dxa"/>
              <w:right w:w="29" w:type="dxa"/>
            </w:tcMar>
            <w:hideMark/>
          </w:tcPr>
          <w:p w:rsidR="0069717E" w:rsidRPr="007C2631" w:rsidRDefault="0069717E" w:rsidP="0069717E">
            <w:pPr>
              <w:jc w:val="left"/>
              <w:rPr>
                <w:sz w:val="20"/>
                <w:szCs w:val="20"/>
                <w:lang w:val="es-ES"/>
              </w:rPr>
            </w:pPr>
            <w:proofErr w:type="spellStart"/>
            <w:r w:rsidRPr="007C2631">
              <w:rPr>
                <w:sz w:val="20"/>
                <w:szCs w:val="20"/>
                <w:lang w:val="es-ES"/>
              </w:rPr>
              <w:t>Ciclopentano</w:t>
            </w:r>
            <w:proofErr w:type="spellEnd"/>
            <w:r w:rsidRPr="007C2631">
              <w:rPr>
                <w:sz w:val="20"/>
                <w:szCs w:val="20"/>
                <w:lang w:val="es-ES"/>
              </w:rPr>
              <w:t xml:space="preserve"> + HFO-1233zd(E)</w:t>
            </w:r>
          </w:p>
        </w:tc>
        <w:tc>
          <w:tcPr>
            <w:tcW w:w="535" w:type="pct"/>
            <w:shd w:val="clear" w:color="auto" w:fill="auto"/>
            <w:noWrap/>
            <w:tcMar>
              <w:left w:w="29" w:type="dxa"/>
              <w:right w:w="29" w:type="dxa"/>
            </w:tcMar>
            <w:hideMark/>
          </w:tcPr>
          <w:p w:rsidR="0069717E" w:rsidRPr="007C2631" w:rsidRDefault="0069717E" w:rsidP="0069717E">
            <w:pPr>
              <w:jc w:val="right"/>
              <w:rPr>
                <w:bCs/>
                <w:sz w:val="20"/>
                <w:szCs w:val="20"/>
                <w:lang w:val="es-ES"/>
              </w:rPr>
            </w:pPr>
            <w:r w:rsidRPr="007C2631">
              <w:rPr>
                <w:bCs/>
                <w:sz w:val="20"/>
                <w:szCs w:val="20"/>
                <w:lang w:val="es-ES"/>
              </w:rPr>
              <w:t>257.500</w:t>
            </w:r>
          </w:p>
        </w:tc>
        <w:tc>
          <w:tcPr>
            <w:tcW w:w="535" w:type="pct"/>
            <w:shd w:val="clear" w:color="auto" w:fill="auto"/>
            <w:noWrap/>
            <w:tcMar>
              <w:left w:w="29" w:type="dxa"/>
              <w:right w:w="29" w:type="dxa"/>
            </w:tcMar>
            <w:hideMark/>
          </w:tcPr>
          <w:p w:rsidR="0069717E" w:rsidRPr="007C2631" w:rsidRDefault="0069717E" w:rsidP="0069717E">
            <w:pPr>
              <w:jc w:val="right"/>
              <w:rPr>
                <w:sz w:val="20"/>
                <w:szCs w:val="20"/>
                <w:lang w:val="es-ES"/>
              </w:rPr>
            </w:pPr>
            <w:r w:rsidRPr="007C2631">
              <w:rPr>
                <w:sz w:val="20"/>
                <w:szCs w:val="20"/>
                <w:lang w:val="es-ES"/>
              </w:rPr>
              <w:t>1.275.000</w:t>
            </w:r>
          </w:p>
        </w:tc>
        <w:tc>
          <w:tcPr>
            <w:tcW w:w="535" w:type="pct"/>
            <w:shd w:val="clear" w:color="auto" w:fill="auto"/>
            <w:noWrap/>
            <w:tcMar>
              <w:left w:w="29" w:type="dxa"/>
              <w:right w:w="29" w:type="dxa"/>
            </w:tcMar>
          </w:tcPr>
          <w:p w:rsidR="0069717E" w:rsidRPr="007C2631" w:rsidRDefault="0069717E" w:rsidP="0069717E">
            <w:pPr>
              <w:jc w:val="right"/>
              <w:rPr>
                <w:sz w:val="20"/>
                <w:szCs w:val="20"/>
                <w:lang w:val="es-ES"/>
              </w:rPr>
            </w:pPr>
            <w:r w:rsidRPr="007C2631">
              <w:rPr>
                <w:sz w:val="20"/>
                <w:szCs w:val="20"/>
                <w:lang w:val="es-ES"/>
              </w:rPr>
              <w:t>1.018.413</w:t>
            </w:r>
          </w:p>
        </w:tc>
      </w:tr>
      <w:tr w:rsidR="0069717E" w:rsidRPr="007C2631" w:rsidTr="0069717E">
        <w:tc>
          <w:tcPr>
            <w:tcW w:w="582"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Líbano</w:t>
            </w:r>
          </w:p>
        </w:tc>
        <w:tc>
          <w:tcPr>
            <w:tcW w:w="458" w:type="pct"/>
            <w:shd w:val="clear" w:color="auto" w:fill="auto"/>
            <w:noWrap/>
            <w:tcMar>
              <w:left w:w="29" w:type="dxa"/>
              <w:right w:w="29" w:type="dxa"/>
            </w:tcMar>
            <w:hideMark/>
          </w:tcPr>
          <w:p w:rsidR="0069717E" w:rsidRPr="007C2631" w:rsidRDefault="0069717E" w:rsidP="0069717E">
            <w:pPr>
              <w:jc w:val="center"/>
              <w:rPr>
                <w:sz w:val="20"/>
                <w:szCs w:val="20"/>
                <w:lang w:val="es-ES"/>
              </w:rPr>
            </w:pPr>
            <w:r w:rsidRPr="007C2631">
              <w:rPr>
                <w:sz w:val="20"/>
                <w:szCs w:val="20"/>
                <w:lang w:val="es-ES"/>
              </w:rPr>
              <w:t>ONUDI</w:t>
            </w:r>
          </w:p>
        </w:tc>
        <w:tc>
          <w:tcPr>
            <w:tcW w:w="753" w:type="pct"/>
            <w:shd w:val="clear" w:color="auto" w:fill="auto"/>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 xml:space="preserve">Refrigeradores domésticos y comerciales </w:t>
            </w:r>
          </w:p>
        </w:tc>
        <w:tc>
          <w:tcPr>
            <w:tcW w:w="848"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HFC-134a/ R</w:t>
            </w:r>
            <w:r w:rsidRPr="007C2631">
              <w:rPr>
                <w:sz w:val="20"/>
                <w:szCs w:val="20"/>
                <w:lang w:val="es-ES"/>
              </w:rPr>
              <w:noBreakHyphen/>
              <w:t>404A (112,58 </w:t>
            </w:r>
            <w:proofErr w:type="spellStart"/>
            <w:r w:rsidRPr="007C2631">
              <w:rPr>
                <w:sz w:val="20"/>
                <w:szCs w:val="20"/>
                <w:lang w:val="es-ES"/>
              </w:rPr>
              <w:t>tm</w:t>
            </w:r>
            <w:proofErr w:type="spellEnd"/>
            <w:r w:rsidRPr="007C2631">
              <w:rPr>
                <w:sz w:val="20"/>
                <w:szCs w:val="20"/>
                <w:lang w:val="es-ES"/>
              </w:rPr>
              <w:t>)</w:t>
            </w:r>
          </w:p>
        </w:tc>
        <w:tc>
          <w:tcPr>
            <w:tcW w:w="754"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R-600a/R-290</w:t>
            </w:r>
          </w:p>
        </w:tc>
        <w:tc>
          <w:tcPr>
            <w:tcW w:w="535" w:type="pct"/>
            <w:shd w:val="clear" w:color="auto" w:fill="auto"/>
            <w:noWrap/>
            <w:tcMar>
              <w:left w:w="29" w:type="dxa"/>
              <w:right w:w="29" w:type="dxa"/>
            </w:tcMar>
            <w:hideMark/>
          </w:tcPr>
          <w:p w:rsidR="0069717E" w:rsidRPr="007C2631" w:rsidRDefault="0069717E" w:rsidP="0069717E">
            <w:pPr>
              <w:jc w:val="right"/>
              <w:rPr>
                <w:sz w:val="20"/>
                <w:szCs w:val="20"/>
                <w:lang w:val="es-ES"/>
              </w:rPr>
            </w:pPr>
            <w:r w:rsidRPr="007C2631">
              <w:rPr>
                <w:sz w:val="20"/>
                <w:szCs w:val="20"/>
                <w:lang w:val="es-ES"/>
              </w:rPr>
              <w:t>245.860</w:t>
            </w:r>
          </w:p>
        </w:tc>
        <w:tc>
          <w:tcPr>
            <w:tcW w:w="535" w:type="pct"/>
            <w:shd w:val="clear" w:color="auto" w:fill="auto"/>
            <w:noWrap/>
            <w:tcMar>
              <w:left w:w="29" w:type="dxa"/>
              <w:right w:w="29" w:type="dxa"/>
            </w:tcMar>
            <w:hideMark/>
          </w:tcPr>
          <w:p w:rsidR="0069717E" w:rsidRPr="007C2631" w:rsidRDefault="0069717E" w:rsidP="0069717E">
            <w:pPr>
              <w:jc w:val="right"/>
              <w:rPr>
                <w:sz w:val="20"/>
                <w:szCs w:val="20"/>
                <w:lang w:val="es-ES"/>
              </w:rPr>
            </w:pPr>
            <w:r w:rsidRPr="007C2631">
              <w:rPr>
                <w:sz w:val="20"/>
                <w:szCs w:val="20"/>
                <w:lang w:val="es-ES"/>
              </w:rPr>
              <w:t>1.053.858</w:t>
            </w:r>
          </w:p>
        </w:tc>
        <w:tc>
          <w:tcPr>
            <w:tcW w:w="535" w:type="pct"/>
            <w:shd w:val="clear" w:color="auto" w:fill="auto"/>
            <w:noWrap/>
            <w:tcMar>
              <w:left w:w="29" w:type="dxa"/>
              <w:right w:w="29" w:type="dxa"/>
            </w:tcMar>
          </w:tcPr>
          <w:p w:rsidR="0069717E" w:rsidRPr="007C2631" w:rsidRDefault="0069717E" w:rsidP="0069717E">
            <w:pPr>
              <w:jc w:val="right"/>
              <w:rPr>
                <w:sz w:val="20"/>
                <w:szCs w:val="20"/>
                <w:lang w:val="es-ES"/>
              </w:rPr>
            </w:pPr>
            <w:r w:rsidRPr="007C2631">
              <w:rPr>
                <w:sz w:val="20"/>
                <w:szCs w:val="20"/>
                <w:lang w:val="es-ES"/>
              </w:rPr>
              <w:t>841.249</w:t>
            </w:r>
          </w:p>
        </w:tc>
      </w:tr>
      <w:tr w:rsidR="0069717E" w:rsidRPr="007C2631" w:rsidTr="0069717E">
        <w:tc>
          <w:tcPr>
            <w:tcW w:w="582"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México</w:t>
            </w:r>
          </w:p>
        </w:tc>
        <w:tc>
          <w:tcPr>
            <w:tcW w:w="458" w:type="pct"/>
            <w:shd w:val="clear" w:color="auto" w:fill="auto"/>
            <w:noWrap/>
            <w:tcMar>
              <w:left w:w="29" w:type="dxa"/>
              <w:right w:w="29" w:type="dxa"/>
            </w:tcMar>
            <w:hideMark/>
          </w:tcPr>
          <w:p w:rsidR="0069717E" w:rsidRPr="007C2631" w:rsidRDefault="0069717E" w:rsidP="0069717E">
            <w:pPr>
              <w:jc w:val="center"/>
              <w:rPr>
                <w:sz w:val="20"/>
                <w:szCs w:val="20"/>
                <w:lang w:val="es-ES"/>
              </w:rPr>
            </w:pPr>
            <w:r w:rsidRPr="007C2631">
              <w:rPr>
                <w:sz w:val="20"/>
                <w:szCs w:val="20"/>
                <w:lang w:val="es-ES"/>
              </w:rPr>
              <w:t>ONUDI</w:t>
            </w:r>
          </w:p>
        </w:tc>
        <w:tc>
          <w:tcPr>
            <w:tcW w:w="753" w:type="pct"/>
            <w:shd w:val="clear" w:color="auto" w:fill="auto"/>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Refrigeradores comerciales</w:t>
            </w:r>
          </w:p>
        </w:tc>
        <w:tc>
          <w:tcPr>
            <w:tcW w:w="848"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HFC-134a/ R</w:t>
            </w:r>
            <w:r w:rsidRPr="007C2631">
              <w:rPr>
                <w:sz w:val="20"/>
                <w:szCs w:val="20"/>
                <w:lang w:val="es-ES"/>
              </w:rPr>
              <w:noBreakHyphen/>
              <w:t xml:space="preserve">404A (56,04 </w:t>
            </w:r>
            <w:proofErr w:type="spellStart"/>
            <w:r w:rsidRPr="007C2631">
              <w:rPr>
                <w:sz w:val="20"/>
                <w:szCs w:val="20"/>
                <w:lang w:val="es-ES"/>
              </w:rPr>
              <w:t>tm</w:t>
            </w:r>
            <w:proofErr w:type="spellEnd"/>
            <w:r w:rsidRPr="007C2631">
              <w:rPr>
                <w:sz w:val="20"/>
                <w:szCs w:val="20"/>
                <w:lang w:val="es-ES"/>
              </w:rPr>
              <w:t>)</w:t>
            </w:r>
          </w:p>
        </w:tc>
        <w:tc>
          <w:tcPr>
            <w:tcW w:w="754"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R-600a/R-290</w:t>
            </w:r>
          </w:p>
        </w:tc>
        <w:tc>
          <w:tcPr>
            <w:tcW w:w="535" w:type="pct"/>
            <w:shd w:val="clear" w:color="auto" w:fill="auto"/>
            <w:noWrap/>
            <w:tcMar>
              <w:left w:w="29" w:type="dxa"/>
              <w:right w:w="29" w:type="dxa"/>
            </w:tcMar>
            <w:hideMark/>
          </w:tcPr>
          <w:p w:rsidR="0069717E" w:rsidRPr="007C2631" w:rsidRDefault="0069717E" w:rsidP="0069717E">
            <w:pPr>
              <w:jc w:val="right"/>
              <w:rPr>
                <w:bCs/>
                <w:sz w:val="20"/>
                <w:szCs w:val="20"/>
                <w:lang w:val="es-ES"/>
              </w:rPr>
            </w:pPr>
            <w:r w:rsidRPr="007C2631">
              <w:rPr>
                <w:bCs/>
                <w:sz w:val="20"/>
                <w:szCs w:val="20"/>
                <w:lang w:val="es-ES"/>
              </w:rPr>
              <w:t>90.878</w:t>
            </w:r>
          </w:p>
        </w:tc>
        <w:tc>
          <w:tcPr>
            <w:tcW w:w="535" w:type="pct"/>
            <w:shd w:val="clear" w:color="auto" w:fill="auto"/>
            <w:noWrap/>
            <w:tcMar>
              <w:left w:w="29" w:type="dxa"/>
              <w:right w:w="29" w:type="dxa"/>
            </w:tcMar>
            <w:hideMark/>
          </w:tcPr>
          <w:p w:rsidR="0069717E" w:rsidRPr="007C2631" w:rsidRDefault="0069717E" w:rsidP="0069717E">
            <w:pPr>
              <w:jc w:val="right"/>
              <w:rPr>
                <w:sz w:val="20"/>
                <w:szCs w:val="20"/>
                <w:lang w:val="es-ES"/>
              </w:rPr>
            </w:pPr>
            <w:r w:rsidRPr="007C2631">
              <w:rPr>
                <w:sz w:val="20"/>
                <w:szCs w:val="20"/>
                <w:lang w:val="es-ES"/>
              </w:rPr>
              <w:t>1.018.123</w:t>
            </w:r>
          </w:p>
        </w:tc>
        <w:tc>
          <w:tcPr>
            <w:tcW w:w="535" w:type="pct"/>
            <w:shd w:val="clear" w:color="auto" w:fill="auto"/>
            <w:noWrap/>
            <w:tcMar>
              <w:left w:w="29" w:type="dxa"/>
              <w:right w:w="29" w:type="dxa"/>
            </w:tcMar>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582"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lastRenderedPageBreak/>
              <w:t>Tailandia</w:t>
            </w:r>
            <w:r w:rsidRPr="007C2631">
              <w:rPr>
                <w:rStyle w:val="FootnoteReference"/>
                <w:lang w:val="es-ES" w:eastAsia="en-CA"/>
              </w:rPr>
              <w:footnoteReference w:id="26"/>
            </w:r>
          </w:p>
        </w:tc>
        <w:tc>
          <w:tcPr>
            <w:tcW w:w="458" w:type="pct"/>
            <w:shd w:val="clear" w:color="auto" w:fill="auto"/>
            <w:noWrap/>
            <w:tcMar>
              <w:left w:w="29" w:type="dxa"/>
              <w:right w:w="29" w:type="dxa"/>
            </w:tcMar>
            <w:hideMark/>
          </w:tcPr>
          <w:p w:rsidR="0069717E" w:rsidRPr="007C2631" w:rsidRDefault="0069717E" w:rsidP="0069717E">
            <w:pPr>
              <w:jc w:val="center"/>
              <w:rPr>
                <w:sz w:val="20"/>
                <w:szCs w:val="20"/>
                <w:lang w:val="es-ES"/>
              </w:rPr>
            </w:pPr>
            <w:r w:rsidRPr="007C2631">
              <w:rPr>
                <w:sz w:val="20"/>
                <w:szCs w:val="20"/>
                <w:lang w:val="es-ES"/>
              </w:rPr>
              <w:t>Banco Mundial</w:t>
            </w:r>
          </w:p>
        </w:tc>
        <w:tc>
          <w:tcPr>
            <w:tcW w:w="753" w:type="pct"/>
            <w:shd w:val="clear" w:color="auto" w:fill="auto"/>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Refrigeradores comerciales</w:t>
            </w:r>
          </w:p>
        </w:tc>
        <w:tc>
          <w:tcPr>
            <w:tcW w:w="848"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 xml:space="preserve">HFC-134a </w:t>
            </w:r>
          </w:p>
          <w:p w:rsidR="0069717E" w:rsidRPr="007C2631" w:rsidRDefault="0069717E" w:rsidP="0069717E">
            <w:pPr>
              <w:jc w:val="left"/>
              <w:rPr>
                <w:sz w:val="20"/>
                <w:szCs w:val="20"/>
                <w:lang w:val="es-ES"/>
              </w:rPr>
            </w:pPr>
            <w:r w:rsidRPr="007C2631">
              <w:rPr>
                <w:sz w:val="20"/>
                <w:szCs w:val="20"/>
                <w:lang w:val="es-ES"/>
              </w:rPr>
              <w:t>(8,78 </w:t>
            </w:r>
            <w:proofErr w:type="spellStart"/>
            <w:r w:rsidRPr="007C2631">
              <w:rPr>
                <w:sz w:val="20"/>
                <w:szCs w:val="20"/>
                <w:lang w:val="es-ES"/>
              </w:rPr>
              <w:t>tm</w:t>
            </w:r>
            <w:proofErr w:type="spellEnd"/>
            <w:r w:rsidRPr="007C2631">
              <w:rPr>
                <w:sz w:val="20"/>
                <w:szCs w:val="20"/>
                <w:lang w:val="es-ES"/>
              </w:rPr>
              <w:t>)</w:t>
            </w:r>
          </w:p>
        </w:tc>
        <w:tc>
          <w:tcPr>
            <w:tcW w:w="754" w:type="pct"/>
            <w:shd w:val="clear" w:color="auto" w:fill="auto"/>
            <w:noWrap/>
            <w:tcMar>
              <w:left w:w="29" w:type="dxa"/>
              <w:right w:w="29" w:type="dxa"/>
            </w:tcMar>
            <w:hideMark/>
          </w:tcPr>
          <w:p w:rsidR="0069717E" w:rsidRPr="007C2631" w:rsidRDefault="0069717E" w:rsidP="0069717E">
            <w:pPr>
              <w:jc w:val="left"/>
              <w:rPr>
                <w:sz w:val="20"/>
                <w:szCs w:val="20"/>
                <w:lang w:val="es-ES"/>
              </w:rPr>
            </w:pPr>
            <w:r w:rsidRPr="007C2631">
              <w:rPr>
                <w:sz w:val="20"/>
                <w:szCs w:val="20"/>
                <w:lang w:val="es-ES"/>
              </w:rPr>
              <w:t>R-600a</w:t>
            </w:r>
          </w:p>
        </w:tc>
        <w:tc>
          <w:tcPr>
            <w:tcW w:w="535" w:type="pct"/>
            <w:shd w:val="clear" w:color="auto" w:fill="auto"/>
            <w:noWrap/>
            <w:tcMar>
              <w:left w:w="29" w:type="dxa"/>
              <w:right w:w="29" w:type="dxa"/>
            </w:tcMar>
            <w:hideMark/>
          </w:tcPr>
          <w:p w:rsidR="0069717E" w:rsidRPr="007C2631" w:rsidRDefault="0069717E" w:rsidP="0069717E">
            <w:pPr>
              <w:jc w:val="right"/>
              <w:rPr>
                <w:bCs/>
                <w:sz w:val="20"/>
                <w:szCs w:val="20"/>
                <w:lang w:val="es-ES"/>
              </w:rPr>
            </w:pPr>
            <w:r w:rsidRPr="007C2631">
              <w:rPr>
                <w:bCs/>
                <w:sz w:val="20"/>
                <w:szCs w:val="20"/>
                <w:lang w:val="es-ES"/>
              </w:rPr>
              <w:t>12.555</w:t>
            </w:r>
          </w:p>
        </w:tc>
        <w:tc>
          <w:tcPr>
            <w:tcW w:w="535" w:type="pct"/>
            <w:shd w:val="clear" w:color="auto" w:fill="auto"/>
            <w:noWrap/>
            <w:tcMar>
              <w:left w:w="29" w:type="dxa"/>
              <w:right w:w="29" w:type="dxa"/>
            </w:tcMar>
            <w:hideMark/>
          </w:tcPr>
          <w:p w:rsidR="0069717E" w:rsidRPr="007C2631" w:rsidRDefault="0069717E" w:rsidP="0069717E">
            <w:pPr>
              <w:jc w:val="right"/>
              <w:rPr>
                <w:sz w:val="20"/>
                <w:szCs w:val="20"/>
                <w:lang w:val="es-ES"/>
              </w:rPr>
            </w:pPr>
            <w:r w:rsidRPr="007C2631">
              <w:rPr>
                <w:sz w:val="20"/>
                <w:szCs w:val="20"/>
                <w:lang w:val="es-ES"/>
              </w:rPr>
              <w:t>183.514</w:t>
            </w:r>
          </w:p>
        </w:tc>
        <w:tc>
          <w:tcPr>
            <w:tcW w:w="535" w:type="pct"/>
            <w:shd w:val="clear" w:color="auto" w:fill="auto"/>
            <w:noWrap/>
            <w:tcMar>
              <w:left w:w="29" w:type="dxa"/>
              <w:right w:w="29" w:type="dxa"/>
            </w:tcMar>
          </w:tcPr>
          <w:p w:rsidR="0069717E" w:rsidRPr="007C2631" w:rsidRDefault="0069717E" w:rsidP="0069717E">
            <w:pPr>
              <w:jc w:val="right"/>
              <w:rPr>
                <w:sz w:val="20"/>
                <w:szCs w:val="20"/>
                <w:lang w:val="es-ES"/>
              </w:rPr>
            </w:pPr>
            <w:r w:rsidRPr="007C2631">
              <w:rPr>
                <w:sz w:val="20"/>
                <w:szCs w:val="20"/>
                <w:lang w:val="es-ES"/>
              </w:rPr>
              <w:t>0</w:t>
            </w:r>
          </w:p>
        </w:tc>
      </w:tr>
      <w:tr w:rsidR="0069717E" w:rsidRPr="007C2631" w:rsidTr="0069717E">
        <w:tc>
          <w:tcPr>
            <w:tcW w:w="582" w:type="pct"/>
            <w:shd w:val="clear" w:color="auto" w:fill="auto"/>
            <w:noWrap/>
            <w:tcMar>
              <w:left w:w="29" w:type="dxa"/>
              <w:right w:w="29" w:type="dxa"/>
            </w:tcMar>
            <w:hideMark/>
          </w:tcPr>
          <w:p w:rsidR="0069717E" w:rsidRPr="007C2631" w:rsidRDefault="0069717E" w:rsidP="0069717E">
            <w:pPr>
              <w:jc w:val="left"/>
              <w:rPr>
                <w:b/>
                <w:sz w:val="20"/>
                <w:szCs w:val="20"/>
                <w:lang w:val="es-ES"/>
              </w:rPr>
            </w:pPr>
            <w:r w:rsidRPr="007C2631">
              <w:rPr>
                <w:b/>
                <w:sz w:val="20"/>
                <w:szCs w:val="20"/>
                <w:lang w:val="es-ES"/>
              </w:rPr>
              <w:t> Total</w:t>
            </w:r>
          </w:p>
        </w:tc>
        <w:tc>
          <w:tcPr>
            <w:tcW w:w="458" w:type="pct"/>
            <w:shd w:val="clear" w:color="auto" w:fill="auto"/>
            <w:noWrap/>
            <w:tcMar>
              <w:left w:w="29" w:type="dxa"/>
              <w:right w:w="29" w:type="dxa"/>
            </w:tcMar>
            <w:hideMark/>
          </w:tcPr>
          <w:p w:rsidR="0069717E" w:rsidRPr="007C2631" w:rsidRDefault="0069717E" w:rsidP="0069717E">
            <w:pPr>
              <w:jc w:val="center"/>
              <w:rPr>
                <w:b/>
                <w:sz w:val="20"/>
                <w:szCs w:val="20"/>
                <w:lang w:val="es-ES" w:eastAsia="en-CA"/>
              </w:rPr>
            </w:pPr>
          </w:p>
        </w:tc>
        <w:tc>
          <w:tcPr>
            <w:tcW w:w="753" w:type="pct"/>
            <w:shd w:val="clear" w:color="auto" w:fill="auto"/>
            <w:tcMar>
              <w:left w:w="29" w:type="dxa"/>
              <w:right w:w="29" w:type="dxa"/>
            </w:tcMar>
            <w:hideMark/>
          </w:tcPr>
          <w:p w:rsidR="0069717E" w:rsidRPr="007C2631" w:rsidRDefault="0069717E" w:rsidP="0069717E">
            <w:pPr>
              <w:jc w:val="right"/>
              <w:rPr>
                <w:b/>
                <w:sz w:val="20"/>
                <w:szCs w:val="20"/>
                <w:lang w:val="es-ES"/>
              </w:rPr>
            </w:pPr>
            <w:r w:rsidRPr="007C2631">
              <w:rPr>
                <w:b/>
                <w:sz w:val="20"/>
                <w:szCs w:val="20"/>
                <w:lang w:val="es-ES"/>
              </w:rPr>
              <w:t> </w:t>
            </w:r>
          </w:p>
        </w:tc>
        <w:tc>
          <w:tcPr>
            <w:tcW w:w="848" w:type="pct"/>
            <w:shd w:val="clear" w:color="auto" w:fill="auto"/>
            <w:noWrap/>
            <w:tcMar>
              <w:left w:w="29" w:type="dxa"/>
              <w:right w:w="29" w:type="dxa"/>
            </w:tcMar>
            <w:hideMark/>
          </w:tcPr>
          <w:p w:rsidR="0069717E" w:rsidRPr="007C2631" w:rsidRDefault="0069717E" w:rsidP="0069717E">
            <w:pPr>
              <w:jc w:val="right"/>
              <w:rPr>
                <w:b/>
                <w:sz w:val="20"/>
                <w:szCs w:val="20"/>
                <w:lang w:val="es-ES"/>
              </w:rPr>
            </w:pPr>
            <w:r w:rsidRPr="007C2631">
              <w:rPr>
                <w:b/>
                <w:sz w:val="20"/>
                <w:szCs w:val="20"/>
                <w:lang w:val="es-ES"/>
              </w:rPr>
              <w:t>754,64</w:t>
            </w:r>
          </w:p>
        </w:tc>
        <w:tc>
          <w:tcPr>
            <w:tcW w:w="754" w:type="pct"/>
            <w:shd w:val="clear" w:color="auto" w:fill="auto"/>
            <w:noWrap/>
            <w:tcMar>
              <w:left w:w="29" w:type="dxa"/>
              <w:right w:w="29" w:type="dxa"/>
            </w:tcMar>
            <w:hideMark/>
          </w:tcPr>
          <w:p w:rsidR="0069717E" w:rsidRPr="007C2631" w:rsidRDefault="0069717E" w:rsidP="0069717E">
            <w:pPr>
              <w:jc w:val="right"/>
              <w:rPr>
                <w:b/>
                <w:sz w:val="20"/>
                <w:szCs w:val="20"/>
                <w:lang w:val="es-ES"/>
              </w:rPr>
            </w:pPr>
            <w:r w:rsidRPr="007C2631">
              <w:rPr>
                <w:b/>
                <w:sz w:val="20"/>
                <w:szCs w:val="20"/>
                <w:lang w:val="es-ES"/>
              </w:rPr>
              <w:t> </w:t>
            </w:r>
          </w:p>
        </w:tc>
        <w:tc>
          <w:tcPr>
            <w:tcW w:w="535" w:type="pct"/>
            <w:shd w:val="clear" w:color="auto" w:fill="auto"/>
            <w:noWrap/>
            <w:tcMar>
              <w:left w:w="29" w:type="dxa"/>
              <w:right w:w="29" w:type="dxa"/>
            </w:tcMar>
            <w:hideMark/>
          </w:tcPr>
          <w:p w:rsidR="0069717E" w:rsidRPr="007C2631" w:rsidRDefault="0069717E" w:rsidP="0069717E">
            <w:pPr>
              <w:jc w:val="right"/>
              <w:rPr>
                <w:b/>
                <w:sz w:val="20"/>
                <w:szCs w:val="20"/>
                <w:lang w:val="es-ES"/>
              </w:rPr>
            </w:pPr>
            <w:r w:rsidRPr="007C2631">
              <w:rPr>
                <w:b/>
                <w:sz w:val="20"/>
                <w:szCs w:val="20"/>
                <w:lang w:val="es-ES"/>
              </w:rPr>
              <w:fldChar w:fldCharType="begin"/>
            </w:r>
            <w:r w:rsidRPr="007C2631">
              <w:rPr>
                <w:b/>
                <w:sz w:val="20"/>
                <w:szCs w:val="20"/>
                <w:lang w:val="es-ES"/>
              </w:rPr>
              <w:instrText xml:space="preserve"> =SUM(ABOVE) </w:instrText>
            </w:r>
            <w:r w:rsidRPr="007C2631">
              <w:rPr>
                <w:b/>
                <w:sz w:val="20"/>
                <w:szCs w:val="20"/>
                <w:lang w:val="es-ES"/>
              </w:rPr>
              <w:fldChar w:fldCharType="separate"/>
            </w:r>
            <w:r w:rsidRPr="007C2631">
              <w:rPr>
                <w:b/>
                <w:sz w:val="20"/>
                <w:szCs w:val="20"/>
                <w:lang w:val="es-ES"/>
              </w:rPr>
              <w:t>1074.663</w:t>
            </w:r>
            <w:r w:rsidRPr="007C2631">
              <w:rPr>
                <w:b/>
                <w:sz w:val="20"/>
                <w:szCs w:val="20"/>
                <w:lang w:val="es-ES"/>
              </w:rPr>
              <w:fldChar w:fldCharType="end"/>
            </w:r>
          </w:p>
        </w:tc>
        <w:tc>
          <w:tcPr>
            <w:tcW w:w="535" w:type="pct"/>
            <w:shd w:val="clear" w:color="auto" w:fill="auto"/>
            <w:noWrap/>
            <w:tcMar>
              <w:left w:w="29" w:type="dxa"/>
              <w:right w:w="29" w:type="dxa"/>
            </w:tcMar>
            <w:hideMark/>
          </w:tcPr>
          <w:p w:rsidR="0069717E" w:rsidRPr="007C2631" w:rsidRDefault="0069717E" w:rsidP="0069717E">
            <w:pPr>
              <w:jc w:val="right"/>
              <w:rPr>
                <w:b/>
                <w:sz w:val="20"/>
                <w:szCs w:val="20"/>
                <w:lang w:val="es-ES"/>
              </w:rPr>
            </w:pPr>
            <w:r w:rsidRPr="007C2631">
              <w:rPr>
                <w:b/>
                <w:sz w:val="20"/>
                <w:szCs w:val="20"/>
                <w:lang w:val="es-ES"/>
              </w:rPr>
              <w:t>8.502.860</w:t>
            </w:r>
          </w:p>
        </w:tc>
        <w:tc>
          <w:tcPr>
            <w:tcW w:w="535" w:type="pct"/>
            <w:shd w:val="clear" w:color="auto" w:fill="auto"/>
            <w:noWrap/>
            <w:tcMar>
              <w:left w:w="29" w:type="dxa"/>
              <w:right w:w="29" w:type="dxa"/>
            </w:tcMar>
          </w:tcPr>
          <w:p w:rsidR="0069717E" w:rsidRPr="007C2631" w:rsidRDefault="0069717E" w:rsidP="0069717E">
            <w:pPr>
              <w:jc w:val="right"/>
              <w:rPr>
                <w:b/>
                <w:sz w:val="20"/>
                <w:szCs w:val="20"/>
                <w:lang w:val="es-ES"/>
              </w:rPr>
            </w:pPr>
            <w:r w:rsidRPr="007C2631">
              <w:rPr>
                <w:b/>
                <w:bCs/>
                <w:sz w:val="20"/>
                <w:szCs w:val="20"/>
                <w:lang w:val="es-ES"/>
              </w:rPr>
              <w:t>5.667.780</w:t>
            </w:r>
          </w:p>
        </w:tc>
      </w:tr>
    </w:tbl>
    <w:p w:rsidR="0069717E" w:rsidRPr="007C2631" w:rsidRDefault="0069717E" w:rsidP="0069717E">
      <w:pPr>
        <w:jc w:val="left"/>
        <w:rPr>
          <w:lang w:val="es-ES"/>
        </w:rPr>
      </w:pPr>
      <w:r w:rsidRPr="007C2631">
        <w:rPr>
          <w:lang w:val="es-ES"/>
        </w:rPr>
        <w:t xml:space="preserve"> </w:t>
      </w:r>
    </w:p>
    <w:p w:rsidR="0069717E" w:rsidRPr="007C2631" w:rsidRDefault="0069717E" w:rsidP="0069717E">
      <w:pPr>
        <w:pStyle w:val="Heading1"/>
        <w:rPr>
          <w:lang w:val="es-ES"/>
        </w:rPr>
      </w:pPr>
      <w:r w:rsidRPr="007C2631">
        <w:rPr>
          <w:lang w:val="es-ES"/>
        </w:rPr>
        <w:t>Se terminó un proyecto (Bangladesh) y el PNUD proporcionó un informe detallado del mismo. Si bien los cinco proyectos restantes avanzan satisfactoriamente, y se espera que la mayoría de las actividades relacionadas con la instalación de equipos y la producción de prueba se complete antes del 31 de diciembre de 2020, la situación creada por el COVID-19 podría causar algunas demoras en su terminación.</w:t>
      </w:r>
    </w:p>
    <w:p w:rsidR="0069717E" w:rsidRPr="007C2631" w:rsidRDefault="0069717E" w:rsidP="0069717E">
      <w:pPr>
        <w:keepNext/>
        <w:spacing w:after="240"/>
        <w:jc w:val="left"/>
        <w:rPr>
          <w:b/>
          <w:lang w:val="es-ES"/>
        </w:rPr>
      </w:pPr>
      <w:r w:rsidRPr="007C2631">
        <w:rPr>
          <w:b/>
          <w:lang w:val="es-ES"/>
        </w:rPr>
        <w:t>Informe sobre las actividades de apoyo para la reducción de HFC</w:t>
      </w:r>
    </w:p>
    <w:p w:rsidR="0069717E" w:rsidRPr="007C2631" w:rsidRDefault="0069717E" w:rsidP="0069717E">
      <w:pPr>
        <w:pStyle w:val="Heading1"/>
        <w:rPr>
          <w:lang w:val="es-ES"/>
        </w:rPr>
      </w:pPr>
      <w:r w:rsidRPr="007C2631">
        <w:rPr>
          <w:lang w:val="es-ES"/>
        </w:rPr>
        <w:t xml:space="preserve">La lista de países que operan al amparo del Artículo 5 que recibieron financiación para actividades de apoyo para la reducción de HFC se enumeran en el Anexo I del presente documento, junto con la situación de la ratificación de la Enmienda de Kigali y la situación del sistema de concesión de licencias de HFC, según lo requiera el Artículo 4B. Los objetivos principales de las solicitudes de fondos para actividades de apoyo incluyeron, entre otros, la ayuda para la pronta ratificación de la Enmienda de Kigali, la ejecución de las actividades identificadas en el apartado 20 de la decisión XXVIII/2 dirigida a iniciar medidas institucionales de apoyo, el examen de los sistemas de concesión de licencias, presentación de datos sobre el consumo y la producción de HFC, y la demostración de actividades sin inversión, como la capacitación y divulgación de la información. </w:t>
      </w:r>
    </w:p>
    <w:p w:rsidR="0069717E" w:rsidRPr="007C2631" w:rsidRDefault="0069717E" w:rsidP="0069717E">
      <w:pPr>
        <w:keepNext/>
        <w:spacing w:after="240"/>
        <w:jc w:val="left"/>
        <w:rPr>
          <w:u w:val="single"/>
          <w:lang w:val="es-ES"/>
        </w:rPr>
      </w:pPr>
      <w:r w:rsidRPr="007C2631">
        <w:rPr>
          <w:u w:val="single"/>
          <w:lang w:val="es-ES"/>
        </w:rPr>
        <w:t>Panorama del progreso de la ejecución de proyectos</w:t>
      </w:r>
    </w:p>
    <w:p w:rsidR="0069717E" w:rsidRPr="007C2631" w:rsidRDefault="0069717E" w:rsidP="0069717E">
      <w:pPr>
        <w:pStyle w:val="Heading1"/>
        <w:keepNext/>
        <w:rPr>
          <w:lang w:val="es-ES"/>
        </w:rPr>
      </w:pPr>
      <w:r w:rsidRPr="007C2631">
        <w:rPr>
          <w:lang w:val="es-ES"/>
        </w:rPr>
        <w:t>Las actividades de apoyo están avanzando bien en casi todos los países. Hasta el momento, el PNUD,</w:t>
      </w:r>
      <w:r w:rsidRPr="007C2631">
        <w:rPr>
          <w:rStyle w:val="FootnoteReference"/>
          <w:lang w:val="es-ES"/>
        </w:rPr>
        <w:footnoteReference w:id="27"/>
      </w:r>
      <w:r w:rsidRPr="007C2631">
        <w:rPr>
          <w:lang w:val="es-ES"/>
        </w:rPr>
        <w:t xml:space="preserve"> el PNUMA</w:t>
      </w:r>
      <w:r w:rsidRPr="007C2631">
        <w:rPr>
          <w:rStyle w:val="FootnoteReference"/>
          <w:lang w:val="es-ES"/>
        </w:rPr>
        <w:footnoteReference w:id="28"/>
      </w:r>
      <w:r w:rsidRPr="007C2631">
        <w:rPr>
          <w:lang w:val="es-ES"/>
        </w:rPr>
        <w:t xml:space="preserve"> y la ONUDI</w:t>
      </w:r>
      <w:r w:rsidRPr="007C2631">
        <w:rPr>
          <w:rStyle w:val="FootnoteReference"/>
          <w:lang w:val="es-ES"/>
        </w:rPr>
        <w:footnoteReference w:id="29"/>
      </w:r>
      <w:r w:rsidRPr="007C2631">
        <w:rPr>
          <w:lang w:val="es-ES"/>
        </w:rPr>
        <w:t xml:space="preserve"> han terminado 17 proyectos relativos a las actividades de apoyo para 2020. </w:t>
      </w:r>
    </w:p>
    <w:p w:rsidR="0069717E" w:rsidRPr="007C2631" w:rsidRDefault="0069717E" w:rsidP="0069717E">
      <w:pPr>
        <w:pStyle w:val="Heading1"/>
        <w:rPr>
          <w:lang w:val="es-ES"/>
        </w:rPr>
      </w:pPr>
      <w:r w:rsidRPr="007C2631">
        <w:rPr>
          <w:lang w:val="es-ES"/>
        </w:rPr>
        <w:t xml:space="preserve">A </w:t>
      </w:r>
      <w:proofErr w:type="gramStart"/>
      <w:r w:rsidRPr="007C2631">
        <w:rPr>
          <w:lang w:val="es-ES"/>
        </w:rPr>
        <w:t>continuación</w:t>
      </w:r>
      <w:proofErr w:type="gramEnd"/>
      <w:r w:rsidRPr="007C2631">
        <w:rPr>
          <w:lang w:val="es-ES"/>
        </w:rPr>
        <w:t xml:space="preserve"> se presenta un resumen de las actividades notificadas:</w:t>
      </w:r>
    </w:p>
    <w:p w:rsidR="0069717E" w:rsidRPr="007C2631" w:rsidRDefault="0069717E" w:rsidP="0069717E">
      <w:pPr>
        <w:pStyle w:val="Heading2"/>
        <w:rPr>
          <w:lang w:val="es-ES"/>
        </w:rPr>
      </w:pPr>
      <w:r w:rsidRPr="007C2631">
        <w:rPr>
          <w:u w:val="single"/>
          <w:lang w:val="es-ES"/>
        </w:rPr>
        <w:t>Ratificación de la enmienda de Kigali</w:t>
      </w:r>
      <w:r w:rsidRPr="007C2631">
        <w:rPr>
          <w:lang w:val="es-ES"/>
        </w:rPr>
        <w:t>: Consultas con las partes interesadas sobre las disposiciones de la Enmienda de Kigali y las implicaciones de su ratificación; redacción de documentos jurídicos; coordinación y divulgación de información a las diferentes partes interesadas; evaluación de país sobre las tendencias de consumo de HFC y el efecto de la Enmienda sobre las diferentes partes interesadas; evaluación de las necesidades de capacitación para el sector de servicio y mantenimiento sobre la introducción de tecnologías sin HFC y uso seguro de tecnologías alternativas; y participación en un taller regional sobre la ratificación de la Enmienda de Kigali;</w:t>
      </w:r>
    </w:p>
    <w:p w:rsidR="0069717E" w:rsidRPr="007C2631" w:rsidRDefault="0069717E" w:rsidP="0069717E">
      <w:pPr>
        <w:pStyle w:val="Heading2"/>
        <w:rPr>
          <w:lang w:val="es-ES"/>
        </w:rPr>
      </w:pPr>
      <w:r w:rsidRPr="007C2631">
        <w:rPr>
          <w:u w:val="single"/>
          <w:lang w:val="es-ES"/>
        </w:rPr>
        <w:t>Desarrollo y aplicación del sistema de concesión de licencias y cupos</w:t>
      </w:r>
      <w:r w:rsidRPr="007C2631">
        <w:rPr>
          <w:lang w:val="es-ES"/>
        </w:rPr>
        <w:t xml:space="preserve">: Examen y/o revisión de las legislaciones y reglamentos, incluido el sistema de concesión de licencias y cupos </w:t>
      </w:r>
      <w:r w:rsidRPr="007C2631">
        <w:rPr>
          <w:lang w:val="es-ES"/>
        </w:rPr>
        <w:lastRenderedPageBreak/>
        <w:t>de importación/exportación, incluyendo las disposiciones de la Enmienda de Kigali; talleres consultivos sobre el desarrollo del sistema de concesión de licencias</w:t>
      </w:r>
      <w:r w:rsidRPr="007C2631">
        <w:rPr>
          <w:rStyle w:val="FootnoteReference"/>
          <w:lang w:val="es-ES"/>
        </w:rPr>
        <w:footnoteReference w:id="30"/>
      </w:r>
      <w:r w:rsidRPr="007C2631">
        <w:rPr>
          <w:lang w:val="es-ES"/>
        </w:rPr>
        <w:t xml:space="preserve"> y cupos; y consultas sobre los mecanismos para supervisar la oferta y el uso de HFC en cooperación con las aduanas y otras partes interesadas;</w:t>
      </w:r>
    </w:p>
    <w:p w:rsidR="0069717E" w:rsidRPr="007C2631" w:rsidRDefault="0069717E" w:rsidP="0069717E">
      <w:pPr>
        <w:pStyle w:val="Heading2"/>
        <w:rPr>
          <w:b/>
          <w:lang w:val="es-ES"/>
        </w:rPr>
      </w:pPr>
      <w:r w:rsidRPr="007C2631">
        <w:rPr>
          <w:u w:val="single"/>
          <w:lang w:val="es-ES"/>
        </w:rPr>
        <w:t>Apoyo para la aplicación del sistema de recopilación y supervisión de datos</w:t>
      </w:r>
      <w:r w:rsidRPr="007C2631">
        <w:rPr>
          <w:lang w:val="es-ES"/>
        </w:rPr>
        <w:t>:</w:t>
      </w:r>
      <w:r w:rsidRPr="007C2631">
        <w:rPr>
          <w:b/>
          <w:lang w:val="es-ES"/>
        </w:rPr>
        <w:t xml:space="preserve"> </w:t>
      </w:r>
      <w:r w:rsidRPr="007C2631">
        <w:rPr>
          <w:lang w:val="es-ES"/>
        </w:rPr>
        <w:t xml:space="preserve">Elaboración de un sistema de recopilación de datos para los HFC; consultas con los importadores, los comerciantes y otras partes interesadas sobre la recopilación de datos para los HFC y las mezclas de HFC; requisitos de presentación de informes y supervisión; actualización de los códigos del sistema armonizado para la supervisión de los HFC y de las mezclas de HFC; coordinación regional sobre el establecimiento de códigos del sistema armonizado para los HFC; y adquisición de equipos para la identificación de refrigerantes con HFC; </w:t>
      </w:r>
    </w:p>
    <w:p w:rsidR="0069717E" w:rsidRPr="007C2631" w:rsidRDefault="0069717E" w:rsidP="0069717E">
      <w:pPr>
        <w:pStyle w:val="Heading2"/>
        <w:rPr>
          <w:lang w:val="es-ES"/>
        </w:rPr>
      </w:pPr>
      <w:r w:rsidRPr="007C2631">
        <w:rPr>
          <w:u w:val="single"/>
          <w:lang w:val="es-ES"/>
        </w:rPr>
        <w:t>Ejecución de otras actividades, como demostración y capacitación</w:t>
      </w:r>
      <w:r w:rsidRPr="007C2631">
        <w:rPr>
          <w:lang w:val="es-ES"/>
        </w:rPr>
        <w:t>: Programas de capacitación para el uso de alternativas de bajo potencial de calentamiento atmosférico, incluidos refrigerantes inflamables con apoyo técnico de expertos; programas de divulgación para sensibilizar a la opinión pública sobre la Enmienda de Kigali, HFC y alternativas sin HFC utilizados en diferentes aplicaciones, uso de alternativas con bajo potencial de calentamiento atmosférico, controles regulatorios sobre el uso de HFC/alternativas sin HFC y supervisión del uso de HFC/sustancias sin HFC, para el sector de fabricación y/o el servicio y mantenimiento de equipos de refrigeración, las instituciones gubernamentales y técnicas, y el público; y tributación diferencial basada en el potencial de calentamiento atmosférico de los refrigerantes; y</w:t>
      </w:r>
    </w:p>
    <w:p w:rsidR="0069717E" w:rsidRPr="007C2631" w:rsidRDefault="0069717E" w:rsidP="0069717E">
      <w:pPr>
        <w:pStyle w:val="Heading2"/>
        <w:rPr>
          <w:lang w:val="es-ES"/>
        </w:rPr>
      </w:pPr>
      <w:r w:rsidRPr="007C2631">
        <w:rPr>
          <w:u w:val="single"/>
          <w:lang w:val="es-ES"/>
        </w:rPr>
        <w:t>Actividades relacionadas con la eficiencia energética (EE)</w:t>
      </w:r>
      <w:r w:rsidRPr="007C2631">
        <w:rPr>
          <w:lang w:val="es-ES"/>
        </w:rPr>
        <w:t>: Coordinación con las instituciones de EE para incluir las disposiciones de la Enmienda de Kigali durante la aplicación de medidas de eficiencia energética (p. ej., normas de rendimiento energético mínimo, programas de etiquetado, mejora de la EE para los equipos de refrigeración y climatización, participación en el desarrollo de planes de refrigeración para promover tecnologías con alta eficiencia energética y bajo potencial de calentamiento atmosférico, entradas durante el desarrollo de normas regionales sobre la adopción de tecnologías con alta eficiencia energética)</w:t>
      </w:r>
      <w:r w:rsidRPr="007C2631">
        <w:rPr>
          <w:rStyle w:val="FootnoteReference"/>
          <w:lang w:val="es-ES"/>
        </w:rPr>
        <w:footnoteReference w:id="31"/>
      </w:r>
      <w:r w:rsidRPr="007C2631">
        <w:rPr>
          <w:lang w:val="es-ES"/>
        </w:rPr>
        <w:t>; fomento de la participación de las partes interesadas en la EE en las reuniones relacionadas con la Enmienda de Kigali; promoción de la EE relativa a la refrigeración en las medidas de promoción de la EE sectorial; capacitación en tecnologías de refrigeración y aire acondicionado con alta eficiencia energética; demostración de ahorros para los usuarios mediante la adopción de equipos con alta eficiencia energética; y diseño de medidas y equipos de refrigeración y aire acondicionado con alta eficiencia energética para fomentar la adopción de tecnologías con alta eficiencia energética.</w:t>
      </w:r>
    </w:p>
    <w:p w:rsidR="0069717E" w:rsidRPr="007C2631" w:rsidRDefault="0069717E" w:rsidP="0069717E">
      <w:pPr>
        <w:keepNext/>
        <w:spacing w:after="240"/>
        <w:jc w:val="left"/>
        <w:rPr>
          <w:u w:val="single"/>
          <w:lang w:val="es-ES"/>
        </w:rPr>
      </w:pPr>
      <w:r w:rsidRPr="007C2631">
        <w:rPr>
          <w:u w:val="single"/>
          <w:lang w:val="es-ES"/>
        </w:rPr>
        <w:lastRenderedPageBreak/>
        <w:t>Resultados clave y lecciones aprendidas</w:t>
      </w:r>
    </w:p>
    <w:p w:rsidR="0069717E" w:rsidRPr="007C2631" w:rsidRDefault="0069717E" w:rsidP="0069717E">
      <w:pPr>
        <w:pStyle w:val="Heading1"/>
        <w:keepNext/>
        <w:rPr>
          <w:lang w:val="es-ES"/>
        </w:rPr>
      </w:pPr>
      <w:r w:rsidRPr="007C2631">
        <w:rPr>
          <w:lang w:val="es-ES"/>
        </w:rPr>
        <w:t xml:space="preserve">Durante la ejecución de actividades de apoyo, los países adquirieron experiencia en el proceso de ratificación de la Enmienda de Kigali y la ejecución de actividades de apoyo para la reducción de los HFC, como se resume a continuación: </w:t>
      </w:r>
    </w:p>
    <w:p w:rsidR="0069717E" w:rsidRPr="007C2631" w:rsidRDefault="0069717E" w:rsidP="0069717E">
      <w:pPr>
        <w:pStyle w:val="Heading2"/>
        <w:rPr>
          <w:lang w:val="es-ES"/>
        </w:rPr>
      </w:pPr>
      <w:r w:rsidRPr="007C2631">
        <w:rPr>
          <w:lang w:val="es-ES"/>
        </w:rPr>
        <w:t>El informe de evaluación de país para comprender las tendencias del consumo de HFC ayuda a las partes interesadas a identificar las medidas que se tomarán y sus responsabilidades en la ejecución de estas medidas; se prepararon directrices sobre metodologías de recopilación de datos y cuestionarios de encuesta y plantillas de informes estructurados, que se comunicaron a todas las partes interesadas involucradas; las actividades relacionadas con los planes de acción de refrigeración y la mejora de la EE con el apoyo de fuentes de financiación ajenas al Fondo Multilateral también suponen oportunidades de coordinación y colaboración para la ejecución de proyectos para la reducción de los HFC; y se asimilaron las interfaces con las actividades de los planes existentes y planificados de gestión de eliminación de los HCFC a través del análisis de los niveles de consumo de HCFC y HFC, y consultas con las partes interesadas del sector;</w:t>
      </w:r>
    </w:p>
    <w:p w:rsidR="0069717E" w:rsidRPr="007C2631" w:rsidRDefault="0069717E" w:rsidP="0069717E">
      <w:pPr>
        <w:pStyle w:val="Heading2"/>
        <w:rPr>
          <w:lang w:val="es-ES"/>
        </w:rPr>
      </w:pPr>
      <w:r w:rsidRPr="007C2631">
        <w:rPr>
          <w:lang w:val="es-ES"/>
        </w:rPr>
        <w:t>El fortalecimiento del sistema de concesión de licencias y cupos para incluir los HFC y las mezclas de HFC es una medida prioritaria para la supervisión y la presentación de informes, que requiere consultas detalladas con las instituciones pertinentes; la puesta en marcha de sistemas en línea es una medida apreciada por los oficiales de aduanas y los importadores, ya que les ahorra tiempo, costos y esfuerzos; la creación de capacidad y la capacitación de los funcionarios que manejan la recopilación de datos y supervisan son también una medida prioritaria; y la capacitación de oficiales de aduana y responsables de la aplicación de la reglamentación y el fortalecimiento de los puntos fronterizos de control con equipos de identificación son esenciales para impedir el comercio ilícito de HFC;</w:t>
      </w:r>
    </w:p>
    <w:p w:rsidR="0069717E" w:rsidRPr="007C2631" w:rsidRDefault="0069717E" w:rsidP="0069717E">
      <w:pPr>
        <w:pStyle w:val="Heading2"/>
        <w:rPr>
          <w:lang w:val="es-ES"/>
        </w:rPr>
      </w:pPr>
      <w:r w:rsidRPr="007C2631">
        <w:rPr>
          <w:lang w:val="es-ES"/>
        </w:rPr>
        <w:t xml:space="preserve">Es fundamental que la Dependencia Nacional del Ozono haga un seguimiento continuo con las autoridades encargadas de redactar, concluir y aprobar las políticas y reglamentos de los HFC. Dado que las actividades relacionadas con los HFC implican un nuevo conjunto de sustancias, que incluye mezclas y alternativas que requieren una manipulación segura, se necesitan esfuerzos adicionales para la creación de capacidad de las diferentes partes interesadas nacionales para la recopilación de datos, la supervisión y la presentación de informes; </w:t>
      </w:r>
    </w:p>
    <w:p w:rsidR="0069717E" w:rsidRPr="007C2631" w:rsidRDefault="0069717E" w:rsidP="0069717E">
      <w:pPr>
        <w:pStyle w:val="Heading2"/>
        <w:rPr>
          <w:lang w:val="es-ES"/>
        </w:rPr>
      </w:pPr>
      <w:r w:rsidRPr="007C2631">
        <w:rPr>
          <w:lang w:val="es-ES"/>
        </w:rPr>
        <w:t>Se requieren esfuerzos significativos para la aprobación de las reglamentaciones para adoptar los refrigerantes con bajo potencial de calentamiento atmosférico, especialmente referentes a los aspectos de seguridad; resulta esencial la creación de capacidad, inclusive la capacitación y la divulgación de la información técnica, para la adopción sostenible de los refrigerantes con bajo potencial de calentamiento atmosférico que son inflamables, tóxicos y funcionan a alta presión; así como la creación de capacidad en la capacitación y las instituciones técnicas, y la capacitación y acreditación de los técnicos de servicio para manejar los refrigerantes con bajo potencial de calentamiento atmosférico;</w:t>
      </w:r>
    </w:p>
    <w:p w:rsidR="0069717E" w:rsidRPr="007C2631" w:rsidRDefault="0069717E" w:rsidP="0069717E">
      <w:pPr>
        <w:pStyle w:val="Heading2"/>
        <w:rPr>
          <w:lang w:val="es-ES"/>
        </w:rPr>
      </w:pPr>
      <w:r w:rsidRPr="007C2631">
        <w:rPr>
          <w:lang w:val="es-ES"/>
        </w:rPr>
        <w:t xml:space="preserve">La aprobación de normas de eficiencia energética mínima, y un sistema progresivo de impuestos/aranceles basado en la EE de los equipos de refrigeración y aire acondicionado que no utilizan HFC, y las subidas de impuestos a los productos que utilizan refrigerantes con alto potencial de calentamiento atmosférico crean incentivos para que el sector transite hacia equipos con bajo potencial de calentamiento atmosférico y alta eficiencia energética; la importación de equipos de refrigeración y aire acondicionado de segunda mano con niveles más bajos de eficiencia energética afecta la aplicación de las medidas destinadas a mejorar la eficiencia energética, y se están ejecutando actividades de creación de capacidad </w:t>
      </w:r>
      <w:r w:rsidRPr="007C2631">
        <w:rPr>
          <w:lang w:val="es-ES"/>
        </w:rPr>
        <w:lastRenderedPageBreak/>
        <w:t>para minimizar dichas importaciones, incluyendo la divulgación de información diversa;</w:t>
      </w:r>
    </w:p>
    <w:p w:rsidR="0069717E" w:rsidRPr="007C2631" w:rsidRDefault="0069717E" w:rsidP="0069717E">
      <w:pPr>
        <w:pStyle w:val="Heading2"/>
        <w:rPr>
          <w:lang w:val="es-ES"/>
        </w:rPr>
      </w:pPr>
      <w:r w:rsidRPr="007C2631">
        <w:rPr>
          <w:lang w:val="es-ES"/>
        </w:rPr>
        <w:t>Identificación de expertos locales para emprender actividades que requieren la ayuda continua de la Dependencia Nacional del Ozono y para la creación de capacidad; y</w:t>
      </w:r>
    </w:p>
    <w:p w:rsidR="0069717E" w:rsidRPr="007C2631" w:rsidRDefault="0069717E" w:rsidP="0069717E">
      <w:pPr>
        <w:pStyle w:val="Heading2"/>
        <w:rPr>
          <w:lang w:val="es-ES"/>
        </w:rPr>
      </w:pPr>
      <w:r w:rsidRPr="007C2631">
        <w:rPr>
          <w:lang w:val="es-ES"/>
        </w:rPr>
        <w:t>Las actividades de sensibilización y divulgación a través de consultas y de comunicación frecuentes son esenciales para asegurar que las partes interesadas comprenden las implicaciones de la Enmienda de Kigali.</w:t>
      </w:r>
    </w:p>
    <w:p w:rsidR="0069717E" w:rsidRPr="007C2631" w:rsidRDefault="0069717E" w:rsidP="0069717E">
      <w:pPr>
        <w:spacing w:after="240"/>
        <w:jc w:val="left"/>
        <w:rPr>
          <w:u w:val="single"/>
          <w:lang w:val="es-ES"/>
        </w:rPr>
      </w:pPr>
      <w:r w:rsidRPr="007C2631">
        <w:rPr>
          <w:u w:val="single"/>
          <w:lang w:val="es-ES"/>
        </w:rPr>
        <w:t>Posibles dificultades</w:t>
      </w:r>
    </w:p>
    <w:p w:rsidR="0069717E" w:rsidRPr="007C2631" w:rsidRDefault="0069717E" w:rsidP="0069717E">
      <w:pPr>
        <w:pStyle w:val="Heading1"/>
        <w:rPr>
          <w:lang w:val="es-ES"/>
        </w:rPr>
      </w:pPr>
      <w:r w:rsidRPr="007C2631">
        <w:rPr>
          <w:lang w:val="es-ES"/>
        </w:rPr>
        <w:t xml:space="preserve">A </w:t>
      </w:r>
      <w:proofErr w:type="gramStart"/>
      <w:r w:rsidRPr="007C2631">
        <w:rPr>
          <w:lang w:val="es-ES"/>
        </w:rPr>
        <w:t>continuación</w:t>
      </w:r>
      <w:proofErr w:type="gramEnd"/>
      <w:r w:rsidRPr="007C2631">
        <w:rPr>
          <w:lang w:val="es-ES"/>
        </w:rPr>
        <w:t xml:space="preserve"> se indican algunas de las principales dificultades de la ejecución de las actividades de apoyo:</w:t>
      </w:r>
    </w:p>
    <w:p w:rsidR="0069717E" w:rsidRPr="007C2631" w:rsidRDefault="0069717E" w:rsidP="0069717E">
      <w:pPr>
        <w:pStyle w:val="Heading1"/>
        <w:numPr>
          <w:ilvl w:val="0"/>
          <w:numId w:val="39"/>
        </w:numPr>
        <w:ind w:left="1418" w:hanging="709"/>
        <w:rPr>
          <w:lang w:val="es-ES"/>
        </w:rPr>
      </w:pPr>
      <w:r w:rsidRPr="007C2631">
        <w:rPr>
          <w:lang w:val="es-ES"/>
        </w:rPr>
        <w:t>La pandemia del COVID-19 supuso una dificultad para terminar las actividades de apoyo dentro del plazo aprobado en muchos de los países que operan al amparo del Artículo 5, especialmente en relación a las consultas en persona con las partes interesadas para, entre otras cosas, el desarrollo y la aprobación de normativa relativa a los HFC, la ratificación de la Enmienda de Kigali, la terminación de los programas de capacitación previstos según el proyecto;</w:t>
      </w:r>
    </w:p>
    <w:p w:rsidR="0069717E" w:rsidRPr="007C2631" w:rsidRDefault="0069717E" w:rsidP="0069717E">
      <w:pPr>
        <w:pStyle w:val="Heading1"/>
        <w:numPr>
          <w:ilvl w:val="0"/>
          <w:numId w:val="39"/>
        </w:numPr>
        <w:ind w:left="1418" w:hanging="709"/>
        <w:rPr>
          <w:lang w:val="es-ES"/>
        </w:rPr>
      </w:pPr>
      <w:r w:rsidRPr="007C2631">
        <w:rPr>
          <w:lang w:val="es-ES"/>
        </w:rPr>
        <w:t>Las demoras en los despachos administrativos y el proceso de aprobación para la ratificación de la Enmienda de Kigali y la aprobación de las reglamentaciones plantearon problemas en ciertos países que operan al amparo del Artículo 5; el seguimiento estrecho, el apoyo de los responsables de la toma de decisiones del Gobierno y la creación de capacidad y la divulgación de información a los funcionarios gubernamentales fueron útiles para abordar las demoras;</w:t>
      </w:r>
    </w:p>
    <w:p w:rsidR="0069717E" w:rsidRPr="007C2631" w:rsidRDefault="0069717E" w:rsidP="0069717E">
      <w:pPr>
        <w:pStyle w:val="Heading1"/>
        <w:numPr>
          <w:ilvl w:val="0"/>
          <w:numId w:val="39"/>
        </w:numPr>
        <w:ind w:left="1418" w:hanging="709"/>
        <w:rPr>
          <w:lang w:val="es-ES"/>
        </w:rPr>
      </w:pPr>
      <w:r w:rsidRPr="007C2631">
        <w:rPr>
          <w:lang w:val="es-ES"/>
        </w:rPr>
        <w:t>La compleja situación política y de seguridad en algunos países que operan al amparo del Artículo 5 dio lugar a demoras en la ejecución de proyectos; y</w:t>
      </w:r>
    </w:p>
    <w:p w:rsidR="0069717E" w:rsidRPr="007C2631" w:rsidRDefault="0069717E" w:rsidP="0069717E">
      <w:pPr>
        <w:pStyle w:val="Heading1"/>
        <w:numPr>
          <w:ilvl w:val="0"/>
          <w:numId w:val="39"/>
        </w:numPr>
        <w:ind w:left="1418" w:hanging="709"/>
        <w:rPr>
          <w:lang w:val="es-ES"/>
        </w:rPr>
      </w:pPr>
      <w:r w:rsidRPr="007C2631">
        <w:rPr>
          <w:lang w:val="es-ES"/>
        </w:rPr>
        <w:t xml:space="preserve">Durante la ejecución, se celebraron consultas, entre otras cosas, sobre los requisitos de recopilación y presentación de datos de los HFC, el uso de los HFC y las alternativas sin HFC en diferentes aplicaciones (p. ej., refrigeración y aire acondicionado, espuma de poliuretano). Destacaron la importancia de la capacitación y el apoyo técnico a los técnicos de servicio y mantenimiento para la adopción segura de alternativas con bajo potencial de calentamiento atmosférico del sector de refrigeración y aire acondicionado. La ejecución de las actividades de capacitación que cubren el uso seguro de alternativas en el marco de los planes de gestión de eliminación de los HCFC ha proporcionado apoyo a los técnicos de servicio y mantenimiento de equipos que utilizan HCFC en el uso seguro de alternativas con bajo potencial de calentamiento atmosférico; la aplicación de normativa y otras medidas de apoyo para el uso seguro de equipos que utilizan refrigerantes con bajo potencial de calentamiento atmosférico (por ejemplo, normas nacionales para la importación y el uso de equipo de refrigeración y aire acondicionado, programas de incentivos para usuarios finales para promover equipos de refrigeración y aire acondicionado que utilizan refrigerantes con bajo potencial de calentamiento atmosférico, programas de certificación para técnicos de servicio y mantenimiento sobre prácticas seguras de servicio) y actividades de sensibilización y divulgación de información emprendidas durante el plan de gestión de eliminación de los HCFC sobre alternativas respetuosas con el medio ambiente con bajo potencial de calentamiento atmosférico han aumentado la sensibilización de las partes interesadas nacionales sobre las tecnologías con bajo potencial de calentamiento atmosférico, principalmente en el sector de refrigeración y aire acondicionado.  </w:t>
      </w:r>
    </w:p>
    <w:p w:rsidR="0069717E" w:rsidRPr="007C2631" w:rsidRDefault="0069717E" w:rsidP="0069717E">
      <w:pPr>
        <w:pStyle w:val="Heading1"/>
        <w:rPr>
          <w:lang w:val="es-ES"/>
        </w:rPr>
      </w:pPr>
      <w:r w:rsidRPr="007C2631">
        <w:rPr>
          <w:lang w:val="es-ES"/>
        </w:rPr>
        <w:lastRenderedPageBreak/>
        <w:t xml:space="preserve">Las actividades de apoyo han ayudado a los países que operan al amparo del Artículo 5 a iniciar consultas y ejecutar algunas actividades relacionadas con la supervisión del consumo de HFC y la adopción del uso de alternativas sin HFC. Las dificultades específicas que se deben abordar al ejecutar la reducción de HFC y las sinergias que se pueden aprovechar al ejecutar la eliminación de los HCFC y la reducción de los HFC en los próximos años estarán más claras cuando los países que operan al amparo del Artículo 5 preparen estrategias de reducción de HFC después de la aprobación de las directrices por parte del Comité Ejecutivo. </w:t>
      </w:r>
    </w:p>
    <w:p w:rsidR="0069717E" w:rsidRPr="007C2631" w:rsidRDefault="0069717E" w:rsidP="0069717E">
      <w:pPr>
        <w:keepNext/>
        <w:spacing w:after="240"/>
        <w:jc w:val="left"/>
        <w:rPr>
          <w:u w:val="single"/>
          <w:lang w:val="es-ES"/>
        </w:rPr>
      </w:pPr>
      <w:r w:rsidRPr="007C2631">
        <w:rPr>
          <w:u w:val="single"/>
          <w:lang w:val="es-ES"/>
        </w:rPr>
        <w:t>Fondos aprobados y desembolsados</w:t>
      </w:r>
    </w:p>
    <w:p w:rsidR="0069717E" w:rsidRPr="007C2631" w:rsidRDefault="0069717E" w:rsidP="0069717E">
      <w:pPr>
        <w:pStyle w:val="Heading1"/>
        <w:rPr>
          <w:lang w:val="es-ES"/>
        </w:rPr>
      </w:pPr>
      <w:r w:rsidRPr="007C2631">
        <w:rPr>
          <w:lang w:val="es-ES"/>
        </w:rPr>
        <w:t xml:space="preserve">A 31 de diciembre de 2019, el total de fondos aprobados para proyectos de inversión de HFC y actividades de apoyo en el marco de las contribuciones adicionales de un grupo de 17 países donantes ascendía a 23.663.803 $EUA, con un desembolso total de 11.649.361 $EUA. </w:t>
      </w:r>
    </w:p>
    <w:p w:rsidR="0087455A" w:rsidRPr="007C2631" w:rsidRDefault="0087455A">
      <w:pPr>
        <w:pStyle w:val="Title1"/>
        <w:rPr>
          <w:lang w:val="es-ES"/>
        </w:rPr>
      </w:pPr>
      <w:bookmarkStart w:id="0" w:name="_GoBack"/>
      <w:bookmarkEnd w:id="0"/>
    </w:p>
    <w:sectPr w:rsidR="0087455A" w:rsidRPr="007C2631" w:rsidSect="000520E3">
      <w:headerReference w:type="even" r:id="rId39"/>
      <w:headerReference w:type="default" r:id="rId40"/>
      <w:footerReference w:type="even" r:id="rId41"/>
      <w:footerReference w:type="default" r:id="rId42"/>
      <w:headerReference w:type="first" r:id="rId43"/>
      <w:footerReference w:type="first" r:id="rId4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89E" w:rsidRDefault="00D5489E">
      <w:r>
        <w:separator/>
      </w:r>
    </w:p>
  </w:endnote>
  <w:endnote w:type="continuationSeparator" w:id="0">
    <w:p w:rsidR="00D5489E" w:rsidRDefault="00D54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0166365"/>
      <w:docPartObj>
        <w:docPartGallery w:val="Page Numbers (Bottom of Page)"/>
        <w:docPartUnique/>
      </w:docPartObj>
    </w:sdtPr>
    <w:sdtEndPr>
      <w:rPr>
        <w:noProof/>
      </w:rPr>
    </w:sdtEndPr>
    <w:sdtContent>
      <w:p w:rsidR="00DE1395" w:rsidRDefault="00DE1395">
        <w:pPr>
          <w:pStyle w:val="Footer"/>
          <w:jc w:val="center"/>
        </w:pPr>
        <w:r>
          <w:fldChar w:fldCharType="begin"/>
        </w:r>
        <w:r>
          <w:instrText xml:space="preserve"> PAGE   \* MERGEFORMAT </w:instrText>
        </w:r>
        <w:r>
          <w:fldChar w:fldCharType="separate"/>
        </w:r>
        <w:r w:rsidR="00BB062D">
          <w:rPr>
            <w:noProof/>
          </w:rPr>
          <w:t>8</w:t>
        </w:r>
        <w:r>
          <w:rPr>
            <w:noProof/>
          </w:rPr>
          <w:fldChar w:fldCharType="end"/>
        </w:r>
      </w:p>
    </w:sdtContent>
  </w:sdt>
  <w:p w:rsidR="00DE1395" w:rsidRDefault="00DE139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94824"/>
      <w:docPartObj>
        <w:docPartGallery w:val="Page Numbers (Bottom of Page)"/>
        <w:docPartUnique/>
      </w:docPartObj>
    </w:sdtPr>
    <w:sdtEndPr>
      <w:rPr>
        <w:noProof/>
      </w:rPr>
    </w:sdtEndPr>
    <w:sdtContent>
      <w:p w:rsidR="00DE1395" w:rsidRDefault="00DE1395" w:rsidP="00DE1395">
        <w:pPr>
          <w:pStyle w:val="Footer"/>
          <w:jc w:val="center"/>
        </w:pPr>
        <w:r>
          <w:fldChar w:fldCharType="begin"/>
        </w:r>
        <w:r>
          <w:instrText xml:space="preserve"> PAGE   \* MERGEFORMAT </w:instrText>
        </w:r>
        <w:r>
          <w:fldChar w:fldCharType="separate"/>
        </w:r>
        <w:r w:rsidR="00BB062D">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0272896"/>
      <w:docPartObj>
        <w:docPartGallery w:val="Page Numbers (Bottom of Page)"/>
        <w:docPartUnique/>
      </w:docPartObj>
    </w:sdtPr>
    <w:sdtEndPr>
      <w:rPr>
        <w:noProof/>
      </w:rPr>
    </w:sdtEndPr>
    <w:sdtContent>
      <w:p w:rsidR="006C6B34" w:rsidRPr="00DE1395" w:rsidRDefault="00DE1395" w:rsidP="00DE1395">
        <w:pPr>
          <w:pBdr>
            <w:top w:val="single" w:sz="4" w:space="1" w:color="auto"/>
            <w:left w:val="single" w:sz="4" w:space="4" w:color="auto"/>
            <w:bottom w:val="single" w:sz="4" w:space="1" w:color="auto"/>
            <w:right w:val="single" w:sz="4" w:space="4" w:color="auto"/>
          </w:pBdr>
          <w:ind w:right="-180"/>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799185"/>
      <w:docPartObj>
        <w:docPartGallery w:val="Page Numbers (Bottom of Page)"/>
        <w:docPartUnique/>
      </w:docPartObj>
    </w:sdtPr>
    <w:sdtEndPr>
      <w:rPr>
        <w:noProof/>
      </w:rPr>
    </w:sdtEndPr>
    <w:sdtContent>
      <w:p w:rsidR="00DE1395" w:rsidRDefault="00DE1395" w:rsidP="00DE1395">
        <w:pPr>
          <w:pStyle w:val="Footer"/>
          <w:jc w:val="center"/>
        </w:pPr>
        <w:r>
          <w:fldChar w:fldCharType="begin"/>
        </w:r>
        <w:r>
          <w:instrText xml:space="preserve"> PAGE   \* MERGEFORMAT </w:instrText>
        </w:r>
        <w:r>
          <w:fldChar w:fldCharType="separate"/>
        </w:r>
        <w:r w:rsidR="00BB062D">
          <w:rPr>
            <w:noProof/>
          </w:rPr>
          <w:t>4</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1136973"/>
      <w:docPartObj>
        <w:docPartGallery w:val="Page Numbers (Bottom of Page)"/>
        <w:docPartUnique/>
      </w:docPartObj>
    </w:sdtPr>
    <w:sdtEndPr>
      <w:rPr>
        <w:noProof/>
      </w:rPr>
    </w:sdtEndPr>
    <w:sdtContent>
      <w:p w:rsidR="00DE1395" w:rsidRDefault="00DE1395" w:rsidP="00DE1395">
        <w:pPr>
          <w:pStyle w:val="Footer"/>
          <w:jc w:val="center"/>
        </w:pPr>
        <w:r>
          <w:fldChar w:fldCharType="begin"/>
        </w:r>
        <w:r>
          <w:instrText xml:space="preserve"> PAGE   \* MERGEFORMAT </w:instrText>
        </w:r>
        <w:r>
          <w:fldChar w:fldCharType="separate"/>
        </w:r>
        <w:r w:rsidR="00BB062D">
          <w:rPr>
            <w:noProof/>
          </w:rPr>
          <w:t>3</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8995534"/>
      <w:docPartObj>
        <w:docPartGallery w:val="Page Numbers (Bottom of Page)"/>
        <w:docPartUnique/>
      </w:docPartObj>
    </w:sdtPr>
    <w:sdtEndPr>
      <w:rPr>
        <w:noProof/>
      </w:rPr>
    </w:sdtEndPr>
    <w:sdtContent>
      <w:p w:rsidR="00DE1395" w:rsidRDefault="00DE1395" w:rsidP="00DE1395">
        <w:pPr>
          <w:pStyle w:val="Footer"/>
          <w:jc w:val="center"/>
        </w:pPr>
        <w:r>
          <w:fldChar w:fldCharType="begin"/>
        </w:r>
        <w:r>
          <w:instrText xml:space="preserve"> PAGE   \* MERGEFORMAT </w:instrText>
        </w:r>
        <w:r>
          <w:fldChar w:fldCharType="separate"/>
        </w:r>
        <w:r w:rsidR="00BB062D">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B4" w:rsidRPr="0033525D" w:rsidRDefault="008439B4">
    <w:pPr>
      <w:jc w:val="center"/>
    </w:pPr>
    <w:r>
      <w:fldChar w:fldCharType="begin"/>
    </w:r>
    <w:r>
      <w:instrText xml:space="preserve"> PAGE </w:instrText>
    </w:r>
    <w:r>
      <w:fldChar w:fldCharType="separate"/>
    </w:r>
    <w:r w:rsidR="00BB062D">
      <w:rPr>
        <w:noProof/>
      </w:rPr>
      <w:t>8</w:t>
    </w:r>
    <w: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B4" w:rsidRPr="0033525D" w:rsidRDefault="008439B4">
    <w:pPr>
      <w:jc w:val="center"/>
    </w:pPr>
    <w:r>
      <w:fldChar w:fldCharType="begin"/>
    </w:r>
    <w:r>
      <w:instrText xml:space="preserve"> PAGE </w:instrText>
    </w:r>
    <w:r>
      <w:fldChar w:fldCharType="separate"/>
    </w:r>
    <w:r w:rsidR="00BB062D">
      <w:rPr>
        <w:noProof/>
      </w:rPr>
      <w:t>3</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9126438"/>
      <w:docPartObj>
        <w:docPartGallery w:val="Page Numbers (Bottom of Page)"/>
        <w:docPartUnique/>
      </w:docPartObj>
    </w:sdtPr>
    <w:sdtEndPr>
      <w:rPr>
        <w:noProof/>
      </w:rPr>
    </w:sdtEndPr>
    <w:sdtContent>
      <w:p w:rsidR="008439B4" w:rsidRDefault="008439B4">
        <w:pPr>
          <w:pStyle w:val="Footer"/>
          <w:jc w:val="center"/>
        </w:pPr>
        <w:r>
          <w:fldChar w:fldCharType="begin"/>
        </w:r>
        <w:r>
          <w:instrText xml:space="preserve"> PAGE   \* MERGEFORMAT </w:instrText>
        </w:r>
        <w:r>
          <w:fldChar w:fldCharType="separate"/>
        </w:r>
        <w:r w:rsidR="00BB062D">
          <w:rPr>
            <w:noProof/>
          </w:rPr>
          <w:t>1</w:t>
        </w:r>
        <w:r>
          <w:rPr>
            <w:noProof/>
          </w:rPr>
          <w:fldChar w:fldCharType="end"/>
        </w:r>
      </w:p>
    </w:sdtContent>
  </w:sdt>
  <w:p w:rsidR="008439B4" w:rsidRDefault="008439B4">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B4" w:rsidRPr="0033525D" w:rsidRDefault="008439B4">
    <w:pPr>
      <w:jc w:val="center"/>
    </w:pPr>
    <w:r>
      <w:fldChar w:fldCharType="begin"/>
    </w:r>
    <w:r>
      <w:instrText xml:space="preserve"> PAGE </w:instrText>
    </w:r>
    <w:r>
      <w:fldChar w:fldCharType="separate"/>
    </w:r>
    <w:r w:rsidR="00BB062D">
      <w:rPr>
        <w:noProof/>
      </w:rPr>
      <w:t>4</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022960"/>
      <w:docPartObj>
        <w:docPartGallery w:val="Page Numbers (Bottom of Page)"/>
        <w:docPartUnique/>
      </w:docPartObj>
    </w:sdtPr>
    <w:sdtEndPr>
      <w:rPr>
        <w:noProof/>
      </w:rPr>
    </w:sdtEndPr>
    <w:sdtContent>
      <w:p w:rsidR="008439B4" w:rsidRDefault="008439B4">
        <w:pPr>
          <w:pStyle w:val="Footer"/>
          <w:jc w:val="center"/>
        </w:pPr>
        <w:r>
          <w:fldChar w:fldCharType="begin"/>
        </w:r>
        <w:r>
          <w:instrText xml:space="preserve"> PAGE   \* MERGEFORMAT </w:instrText>
        </w:r>
        <w:r>
          <w:fldChar w:fldCharType="separate"/>
        </w:r>
        <w:r w:rsidR="00BB062D">
          <w:rPr>
            <w:noProof/>
          </w:rPr>
          <w:t>1</w:t>
        </w:r>
        <w:r>
          <w:rPr>
            <w:noProof/>
          </w:rPr>
          <w:fldChar w:fldCharType="end"/>
        </w:r>
      </w:p>
    </w:sdtContent>
  </w:sdt>
  <w:p w:rsidR="008439B4" w:rsidRDefault="008439B4">
    <w:pPr>
      <w:pStyle w:val="Foo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0E3" w:rsidRPr="0033525D" w:rsidRDefault="000520E3">
    <w:pPr>
      <w:jc w:val="center"/>
    </w:pPr>
    <w:r>
      <w:fldChar w:fldCharType="begin"/>
    </w:r>
    <w:r>
      <w:instrText xml:space="preserve"> PAGE </w:instrText>
    </w:r>
    <w:r>
      <w:fldChar w:fldCharType="separate"/>
    </w:r>
    <w:r w:rsidR="00BB062D">
      <w:rPr>
        <w:noProof/>
      </w:rPr>
      <w:t>2</w:t>
    </w:r>
    <w: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0E3" w:rsidRPr="0033525D" w:rsidRDefault="000520E3">
    <w:pPr>
      <w:jc w:val="center"/>
    </w:pPr>
    <w:r>
      <w:fldChar w:fldCharType="begin"/>
    </w:r>
    <w:r>
      <w:instrText xml:space="preserve"> PAGE </w:instrText>
    </w:r>
    <w:r>
      <w:fldChar w:fldCharType="separate"/>
    </w:r>
    <w:r w:rsidR="00BB062D">
      <w:rPr>
        <w:noProof/>
      </w:rPr>
      <w:t>3</w:t>
    </w:r>
    <w: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298418"/>
      <w:docPartObj>
        <w:docPartGallery w:val="Page Numbers (Bottom of Page)"/>
        <w:docPartUnique/>
      </w:docPartObj>
    </w:sdtPr>
    <w:sdtEndPr>
      <w:rPr>
        <w:noProof/>
      </w:rPr>
    </w:sdtEndPr>
    <w:sdtContent>
      <w:p w:rsidR="006C6B34" w:rsidRDefault="006C6B34" w:rsidP="000520E3">
        <w:pPr>
          <w:pStyle w:val="Footer"/>
          <w:jc w:val="center"/>
        </w:pPr>
        <w:r>
          <w:fldChar w:fldCharType="begin"/>
        </w:r>
        <w:r>
          <w:instrText xml:space="preserve"> PAGE   \* MERGEFORMAT </w:instrText>
        </w:r>
        <w:r>
          <w:fldChar w:fldCharType="separate"/>
        </w:r>
        <w:r w:rsidR="00BB062D">
          <w:rPr>
            <w:noProof/>
          </w:rPr>
          <w:t>1</w:t>
        </w:r>
        <w:r>
          <w:rPr>
            <w:noProof/>
          </w:rPr>
          <w:fldChar w:fldCharType="end"/>
        </w:r>
      </w:p>
    </w:sdtContent>
  </w:sdt>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0E3" w:rsidRPr="0033525D" w:rsidRDefault="000520E3">
    <w:pPr>
      <w:jc w:val="center"/>
    </w:pPr>
    <w:r>
      <w:fldChar w:fldCharType="begin"/>
    </w:r>
    <w:r>
      <w:instrText xml:space="preserve"> PAGE </w:instrText>
    </w:r>
    <w:r>
      <w:fldChar w:fldCharType="separate"/>
    </w:r>
    <w:r w:rsidR="00BB062D">
      <w:rPr>
        <w:noProof/>
      </w:rPr>
      <w:t>6</w:t>
    </w:r>
    <w:r>
      <w:fldChar w:fldCharType="end"/>
    </w: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0E3" w:rsidRPr="0033525D" w:rsidRDefault="000520E3">
    <w:pPr>
      <w:jc w:val="center"/>
    </w:pPr>
    <w:r>
      <w:fldChar w:fldCharType="begin"/>
    </w:r>
    <w:r>
      <w:instrText xml:space="preserve"> PAGE </w:instrText>
    </w:r>
    <w:r>
      <w:fldChar w:fldCharType="separate"/>
    </w:r>
    <w:r w:rsidR="00BB062D">
      <w:rPr>
        <w:noProof/>
      </w:rPr>
      <w:t>5</w:t>
    </w:r>
    <w: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4425022"/>
      <w:docPartObj>
        <w:docPartGallery w:val="Page Numbers (Bottom of Page)"/>
        <w:docPartUnique/>
      </w:docPartObj>
    </w:sdtPr>
    <w:sdtEndPr>
      <w:rPr>
        <w:noProof/>
      </w:rPr>
    </w:sdtEndPr>
    <w:sdtContent>
      <w:p w:rsidR="000520E3" w:rsidRDefault="000520E3" w:rsidP="000520E3">
        <w:pPr>
          <w:pStyle w:val="Footer"/>
          <w:jc w:val="center"/>
        </w:pPr>
        <w:r>
          <w:fldChar w:fldCharType="begin"/>
        </w:r>
        <w:r>
          <w:instrText xml:space="preserve"> PAGE   \* MERGEFORMAT </w:instrText>
        </w:r>
        <w:r>
          <w:fldChar w:fldCharType="separate"/>
        </w:r>
        <w:r w:rsidR="00BB062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89E" w:rsidRDefault="00D5489E">
      <w:r>
        <w:separator/>
      </w:r>
    </w:p>
  </w:footnote>
  <w:footnote w:type="continuationSeparator" w:id="0">
    <w:p w:rsidR="00D5489E" w:rsidRDefault="00D5489E">
      <w:r>
        <w:continuationSeparator/>
      </w:r>
    </w:p>
  </w:footnote>
  <w:footnote w:id="1">
    <w:p w:rsidR="006C6B34" w:rsidRPr="00976769" w:rsidRDefault="006C6B34" w:rsidP="0069717E">
      <w:pPr>
        <w:pStyle w:val="FootnoteText"/>
        <w:spacing w:after="0"/>
      </w:pPr>
      <w:r>
        <w:rPr>
          <w:rStyle w:val="FootnoteReference"/>
          <w:lang w:val="en-CA"/>
        </w:rPr>
        <w:footnoteRef/>
      </w:r>
      <w:r>
        <w:t xml:space="preserve"> Debido al coronavirus (COVID-19)</w:t>
      </w:r>
    </w:p>
  </w:footnote>
  <w:footnote w:id="2">
    <w:p w:rsidR="006C6B34" w:rsidRPr="00976769" w:rsidRDefault="006C6B34" w:rsidP="0069717E">
      <w:pPr>
        <w:pStyle w:val="FootnoteText"/>
        <w:spacing w:after="0"/>
        <w:ind w:left="0" w:firstLine="0"/>
        <w:jc w:val="both"/>
      </w:pPr>
      <w:r>
        <w:rPr>
          <w:rStyle w:val="FootnoteReference"/>
          <w:lang w:val="en-CA"/>
        </w:rPr>
        <w:footnoteRef/>
      </w:r>
      <w:r>
        <w:t xml:space="preserve"> Los siguientes organismos presentaron informes sobre la marcha de las actividades: Australia, Canadá, Francia, Alemania, Italia, Japón, Federación de Rusia, España, el PNUD, el PNUMA, la ONUDI y el Banco Mundial (UNEP/</w:t>
      </w:r>
      <w:proofErr w:type="spellStart"/>
      <w:r>
        <w:t>OzL.Pro</w:t>
      </w:r>
      <w:proofErr w:type="spellEnd"/>
      <w:r>
        <w:t>/</w:t>
      </w:r>
      <w:proofErr w:type="spellStart"/>
      <w:r>
        <w:t>ExCom</w:t>
      </w:r>
      <w:proofErr w:type="spellEnd"/>
      <w:r>
        <w:t>/86/16 a 86/20).</w:t>
      </w:r>
    </w:p>
  </w:footnote>
  <w:footnote w:id="3">
    <w:p w:rsidR="006C6B34" w:rsidRPr="00976769" w:rsidRDefault="006C6B34" w:rsidP="0069717E">
      <w:pPr>
        <w:pStyle w:val="FootnoteText"/>
        <w:spacing w:after="0"/>
        <w:ind w:left="0" w:firstLine="0"/>
        <w:jc w:val="both"/>
      </w:pPr>
      <w:r>
        <w:rPr>
          <w:rStyle w:val="FootnoteReference"/>
          <w:lang w:val="en-CA"/>
        </w:rPr>
        <w:footnoteRef/>
      </w:r>
      <w:r>
        <w:t xml:space="preserve"> El Comité Ejecutivo pidió que se trasladara a los miembros del Comité información detallada proyecto por proyecto, con una copia impresa disponible bajo demanda (decisión 19/23). La base de datos para el Informe refundido sobre la marcha de las actividades también está disponible en la intranet del Comité Ejecutivo en el formato de hoja de cálculo Microsoft Excel.</w:t>
      </w:r>
    </w:p>
  </w:footnote>
  <w:footnote w:id="4">
    <w:p w:rsidR="00BB062D" w:rsidRDefault="006C6B34" w:rsidP="0069717E">
      <w:pPr>
        <w:pStyle w:val="FootnoteText"/>
        <w:spacing w:after="0"/>
        <w:ind w:left="0" w:firstLine="0"/>
        <w:jc w:val="both"/>
      </w:pPr>
      <w:r>
        <w:rPr>
          <w:rStyle w:val="FootnoteReference"/>
          <w:lang w:val="en-CA"/>
        </w:rPr>
        <w:footnoteRef/>
      </w:r>
      <w:r>
        <w:t xml:space="preserve"> En la reunión 77ª, el Comité Ejecutivo aceptó, con beneplácito, las contribuciones adicionales anunciadas por 17 Partes que no operan al amparo del Artículo 5 para proporcionar ayuda a corto plazo para la aplicación de la Enmienda de Kigali, observando que tal financiación era de naturaleza no recurrente y no desplazaría las contribuciones de los donantes. Las partes contribuyentes son Australia, Canadá, Dinamarca, Finlandia, Francia, Alemania, Irlanda, Italia, </w:t>
      </w:r>
    </w:p>
    <w:p w:rsidR="00BB062D" w:rsidRDefault="00BB062D" w:rsidP="0069717E">
      <w:pPr>
        <w:pStyle w:val="FootnoteText"/>
        <w:spacing w:after="0"/>
        <w:ind w:left="0" w:firstLine="0"/>
        <w:jc w:val="both"/>
      </w:pPr>
    </w:p>
    <w:p w:rsidR="006C6B34" w:rsidRPr="00976769" w:rsidRDefault="006C6B34" w:rsidP="0069717E">
      <w:pPr>
        <w:pStyle w:val="FootnoteText"/>
        <w:spacing w:after="0"/>
        <w:ind w:left="0" w:firstLine="0"/>
        <w:jc w:val="both"/>
      </w:pPr>
      <w:r>
        <w:t>Japón, Luxemburgo, Países Bajos, Nueva Zelandia, Noruega, Suecia, Suiza, el Reino Unido de Gran Bretaña e Irlanda del Norte y los Estados Unidos de América.</w:t>
      </w:r>
    </w:p>
  </w:footnote>
  <w:footnote w:id="5">
    <w:p w:rsidR="006C6B34" w:rsidRPr="00976769" w:rsidRDefault="006C6B34" w:rsidP="0069717E">
      <w:pPr>
        <w:pStyle w:val="FootnoteText"/>
        <w:spacing w:after="0"/>
        <w:ind w:left="0" w:firstLine="0"/>
        <w:jc w:val="both"/>
      </w:pPr>
      <w:r>
        <w:rPr>
          <w:rStyle w:val="FootnoteReference"/>
          <w:lang w:val="en-CA"/>
        </w:rPr>
        <w:footnoteRef/>
      </w:r>
      <w:r>
        <w:t xml:space="preserve"> Excluidos los que se consideran en los documentos de propuesta de proyecto pertinentes, en los informes sobre los proyectos con requisitos específicos de presentación de informes (UNEP/</w:t>
      </w:r>
      <w:proofErr w:type="spellStart"/>
      <w:r>
        <w:t>OzL.Pro</w:t>
      </w:r>
      <w:proofErr w:type="spellEnd"/>
      <w:r>
        <w:t>/</w:t>
      </w:r>
      <w:proofErr w:type="spellStart"/>
      <w:r>
        <w:t>ExCom</w:t>
      </w:r>
      <w:proofErr w:type="spellEnd"/>
      <w:r>
        <w:t>/86/21 y Add.1), o en relación con las demoras en la presentación de tramos (UNEP/</w:t>
      </w:r>
      <w:proofErr w:type="spellStart"/>
      <w:r>
        <w:t>OzL.Pro</w:t>
      </w:r>
      <w:proofErr w:type="spellEnd"/>
      <w:r>
        <w:t>/</w:t>
      </w:r>
      <w:proofErr w:type="spellStart"/>
      <w:r>
        <w:t>ExCom</w:t>
      </w:r>
      <w:proofErr w:type="spellEnd"/>
      <w:r>
        <w:t>/86/24).</w:t>
      </w:r>
    </w:p>
  </w:footnote>
  <w:footnote w:id="6">
    <w:p w:rsidR="006C6B34" w:rsidRPr="00976769" w:rsidRDefault="006C6B34" w:rsidP="0069717E">
      <w:pPr>
        <w:pStyle w:val="FootnoteText"/>
        <w:spacing w:after="0"/>
      </w:pPr>
      <w:r>
        <w:rPr>
          <w:rStyle w:val="FootnoteReference"/>
          <w:lang w:val="en-CA"/>
        </w:rPr>
        <w:footnoteRef/>
      </w:r>
      <w:r>
        <w:t xml:space="preserve"> Consumo en toneladas métricas (</w:t>
      </w:r>
      <w:proofErr w:type="spellStart"/>
      <w:r>
        <w:t>tm</w:t>
      </w:r>
      <w:proofErr w:type="spellEnd"/>
      <w:r>
        <w:t>) multiplicado por el potencial de calentamiento atmosférico de la sustancia.</w:t>
      </w:r>
    </w:p>
  </w:footnote>
  <w:footnote w:id="7">
    <w:p w:rsidR="006C6B34" w:rsidRPr="00976769" w:rsidRDefault="006C6B34" w:rsidP="0069717E">
      <w:pPr>
        <w:pStyle w:val="FootnoteText"/>
        <w:spacing w:after="0"/>
        <w:ind w:left="0" w:firstLine="0"/>
        <w:jc w:val="both"/>
      </w:pPr>
      <w:r>
        <w:rPr>
          <w:rStyle w:val="FootnoteReference"/>
          <w:lang w:val="en-CA"/>
        </w:rPr>
        <w:footnoteRef/>
      </w:r>
      <w:r>
        <w:t xml:space="preserve"> A la luz de la pandemia del COVID-19, el Comité Ejecutivo acordó posponer su 85ª reunión, originalmente programada del 25 al 29 de mayo de 2020, y celebrarla de forma consecutiva con la 86ª reunión en noviembre de 2020. A fin de garantizar la continuidad de las actividades relacionadas con el cumplimiento en los países que operan al amparo del Artículo 5, y de reducir su volumen de trabajo en la convocatoria, el Comité Ejecutivo decidió aplicar un proceso de aprobación en el periodo entre sesiones para los proyectos y actividades que se presentarían a la 85ª reunión; los temas del orden del día que no se consideraron en el periodo entre sesiones se incluirán en el orden del día de la 86ª</w:t>
      </w:r>
      <w:r w:rsidRPr="005572C0">
        <w:t> </w:t>
      </w:r>
      <w:r>
        <w:t>reunión. Dada la evolución de la pandemia, el Comité Ejecutivo aplazó de nuevo ambas reuniones hasta marzo de 2021, lo que condujo a un período de 15 meses entre las reuniones 84ª y 86ª. El proceso de aprobación en el periodo entre sesiones para la 85ª reunión comenzó el 4 de mayo de 2020 y terminó el 8 de junio de 2020; a lo largo de este proceso, el Comité examinó 42 documentos de reunión, a saber, los Informes sobre proyectos con requisitos específicos de presentación de informes, la Reseña de las cuestiones identificadas durante el examen de proyectos; propuestas de proyectos presentadas en el marco de la cooperación bilateral y los programas de trabajo de 2020 del PNUD, el PNUMA y la ONUDI; y las propuestas de proyectos en los 35 países que operan al amparo del Artículo 5 y los 12 países insulares del Pacífico (el informe sobre el proceso figura en el documento UNEP/</w:t>
      </w:r>
      <w:proofErr w:type="spellStart"/>
      <w:r>
        <w:t>OzL.Pro</w:t>
      </w:r>
      <w:proofErr w:type="spellEnd"/>
      <w:r>
        <w:t>/</w:t>
      </w:r>
      <w:proofErr w:type="spellStart"/>
      <w:r>
        <w:t>ExCom</w:t>
      </w:r>
      <w:proofErr w:type="spellEnd"/>
      <w:r>
        <w:t>/85/IAP/3).</w:t>
      </w:r>
    </w:p>
  </w:footnote>
  <w:footnote w:id="8">
    <w:p w:rsidR="006C6B34" w:rsidRPr="00976769" w:rsidRDefault="006C6B34" w:rsidP="0069717E">
      <w:pPr>
        <w:pStyle w:val="FootnoteText"/>
        <w:spacing w:after="0"/>
        <w:ind w:left="0" w:firstLine="0"/>
        <w:jc w:val="both"/>
      </w:pPr>
      <w:r>
        <w:rPr>
          <w:rStyle w:val="FootnoteReference"/>
          <w:lang w:val="en-CA"/>
        </w:rPr>
        <w:footnoteRef/>
      </w:r>
      <w:r>
        <w:t xml:space="preserve"> La decisión se incluirá en el Informe de la 85ª reunión.</w:t>
      </w:r>
    </w:p>
  </w:footnote>
  <w:footnote w:id="9">
    <w:p w:rsidR="006C6B34" w:rsidRPr="00976769" w:rsidRDefault="006C6B34" w:rsidP="0069717E">
      <w:pPr>
        <w:pStyle w:val="FootnoteText"/>
        <w:spacing w:after="0"/>
        <w:ind w:left="0" w:firstLine="0"/>
        <w:jc w:val="both"/>
      </w:pPr>
      <w:r>
        <w:rPr>
          <w:rStyle w:val="FootnoteReference"/>
          <w:lang w:val="en-CA"/>
        </w:rPr>
        <w:footnoteRef/>
      </w:r>
      <w:r>
        <w:t xml:space="preserve"> Los proyectos en curso son todos los proyectos que estaban en curso de ejecución a 31 de diciembre de 2019. Los indicadores principales del progreso comprenden: porcentaje de fondos desembolsados y porcentaje de proyectos que han comenzado a desembolsar fondos; financiación que se prevé desembolsar para finales de año como porcentaje de la financiación aprobada; duración media de la demora prevista en la ejecución; e información proporcionada en la columna de observaciones en la base de datos del informe sobre la marcha de las actividades.</w:t>
      </w:r>
    </w:p>
  </w:footnote>
  <w:footnote w:id="10">
    <w:p w:rsidR="006C6B34" w:rsidRPr="00976769" w:rsidRDefault="006C6B34" w:rsidP="0069717E">
      <w:pPr>
        <w:pStyle w:val="FootnoteText"/>
        <w:spacing w:after="0"/>
        <w:ind w:left="0" w:firstLine="0"/>
        <w:jc w:val="both"/>
      </w:pPr>
      <w:r>
        <w:rPr>
          <w:rStyle w:val="FootnoteReference"/>
          <w:lang w:val="en-CA"/>
        </w:rPr>
        <w:footnoteRef/>
      </w:r>
      <w:r>
        <w:t xml:space="preserve"> La eliminación incluye aprobaciones de proyectos de inversión de HFC de 335,5 </w:t>
      </w:r>
      <w:proofErr w:type="spellStart"/>
      <w:r>
        <w:t>tm</w:t>
      </w:r>
      <w:proofErr w:type="spellEnd"/>
      <w:r>
        <w:t xml:space="preserve"> (521.709 </w:t>
      </w:r>
      <w:proofErr w:type="spellStart"/>
      <w:r>
        <w:t>tm</w:t>
      </w:r>
      <w:proofErr w:type="spellEnd"/>
      <w:r>
        <w:t xml:space="preserve"> de </w:t>
      </w:r>
      <w:proofErr w:type="spellStart"/>
      <w:r>
        <w:t>eq</w:t>
      </w:r>
      <w:proofErr w:type="spellEnd"/>
      <w:r>
        <w:t>. de CO</w:t>
      </w:r>
      <w:r>
        <w:rPr>
          <w:vertAlign w:val="subscript"/>
        </w:rPr>
        <w:t>2</w:t>
      </w:r>
      <w:r>
        <w:t>).</w:t>
      </w:r>
    </w:p>
  </w:footnote>
  <w:footnote w:id="11">
    <w:p w:rsidR="006C6B34" w:rsidRPr="00976769" w:rsidRDefault="006C6B34" w:rsidP="0069717E">
      <w:pPr>
        <w:pStyle w:val="FootnoteText"/>
        <w:spacing w:after="0"/>
        <w:ind w:left="0" w:firstLine="0"/>
        <w:jc w:val="both"/>
      </w:pPr>
      <w:r>
        <w:rPr>
          <w:rStyle w:val="FootnoteReference"/>
          <w:lang w:val="en-CA"/>
        </w:rPr>
        <w:footnoteRef/>
      </w:r>
      <w:r>
        <w:t xml:space="preserve"> Incluyendo 335,5 </w:t>
      </w:r>
      <w:proofErr w:type="spellStart"/>
      <w:r>
        <w:t>tm</w:t>
      </w:r>
      <w:proofErr w:type="spellEnd"/>
      <w:r>
        <w:t xml:space="preserve"> de proyectos de inversión de HFC.</w:t>
      </w:r>
    </w:p>
  </w:footnote>
  <w:footnote w:id="12">
    <w:p w:rsidR="006C6B34" w:rsidRPr="0069717E" w:rsidRDefault="006C6B34" w:rsidP="0069717E">
      <w:pPr>
        <w:pStyle w:val="FootnoteText"/>
        <w:spacing w:after="0"/>
        <w:ind w:left="0" w:firstLine="0"/>
        <w:jc w:val="both"/>
      </w:pPr>
      <w:r>
        <w:rPr>
          <w:rStyle w:val="FootnoteReference"/>
          <w:lang w:val="en-CA"/>
        </w:rPr>
        <w:footnoteRef/>
      </w:r>
      <w:r>
        <w:rPr>
          <w:rStyle w:val="FootnoteReference"/>
        </w:rPr>
        <w:t xml:space="preserve"> </w:t>
      </w:r>
      <w:r w:rsidRPr="0069717E">
        <w:t xml:space="preserve">El </w:t>
      </w:r>
      <w:r>
        <w:t xml:space="preserve">valor de relación de </w:t>
      </w:r>
      <w:r w:rsidRPr="0069717E">
        <w:t xml:space="preserve">costo a eficacia más elevado para los proyectos en curso se debe en gran medida a los valores PAO más bajos de los HCFC, pero también a las formas de asignación de la eliminación por parte de los organismos. La relación de costo a eficacia de los </w:t>
      </w:r>
      <w:r>
        <w:t xml:space="preserve">acuerdos plurianuales para los planes de gestión de eliminación de los </w:t>
      </w:r>
      <w:r w:rsidRPr="0069717E">
        <w:t xml:space="preserve">HCFC es de 81,53 $EUA/kg PAO y para la etapa I del plan de </w:t>
      </w:r>
      <w:r>
        <w:t>gestión de eliminación de la producción de HCFC</w:t>
      </w:r>
      <w:r w:rsidRPr="0069717E">
        <w:t xml:space="preserve"> es de 23,93 $EUA/kg PAO. </w:t>
      </w:r>
    </w:p>
  </w:footnote>
  <w:footnote w:id="13">
    <w:p w:rsidR="006C6B34" w:rsidRPr="00976769" w:rsidRDefault="006C6B34" w:rsidP="0069717E">
      <w:pPr>
        <w:pStyle w:val="FootnoteText"/>
        <w:spacing w:after="0"/>
        <w:ind w:left="0" w:firstLine="0"/>
        <w:jc w:val="both"/>
      </w:pPr>
      <w:r>
        <w:rPr>
          <w:rStyle w:val="FootnoteReference"/>
          <w:lang w:val="en-CA"/>
        </w:rPr>
        <w:footnoteRef/>
      </w:r>
      <w:r>
        <w:t xml:space="preserve"> Proyectos aprobados durante más de 18 meses con un desembolso inferior al 1 por ciento, o proyectos que no se habían terminado 12 meses después de la fecha de terminación propuesta en el informe sobre la marcha de las actividades (decisión 22/61) (los proyectos de demostración, preparación de proyectos, y fortalecimiento institucional no están sujetos a dichos procedimientos). De conformidad con la decisión 84/45(c), los componentes de acuerdos plurianuales están sujetos al procedimiento de cancelación.</w:t>
      </w:r>
    </w:p>
  </w:footnote>
  <w:footnote w:id="14">
    <w:p w:rsidR="006C6B34" w:rsidRPr="00976769" w:rsidRDefault="006C6B34" w:rsidP="0069717E">
      <w:pPr>
        <w:pStyle w:val="FootnoteText"/>
        <w:spacing w:after="0"/>
        <w:ind w:left="431" w:hanging="431"/>
      </w:pPr>
      <w:r>
        <w:rPr>
          <w:rStyle w:val="FootnoteReference"/>
          <w:lang w:val="en-CA"/>
        </w:rPr>
        <w:footnoteRef/>
      </w:r>
      <w:r>
        <w:t xml:space="preserve"> UNEP/</w:t>
      </w:r>
      <w:proofErr w:type="spellStart"/>
      <w:r>
        <w:t>OzL.Pro</w:t>
      </w:r>
      <w:proofErr w:type="spellEnd"/>
      <w:r>
        <w:t>/</w:t>
      </w:r>
      <w:proofErr w:type="spellStart"/>
      <w:r>
        <w:t>ExCom</w:t>
      </w:r>
      <w:proofErr w:type="spellEnd"/>
      <w:r>
        <w:t>/86/70</w:t>
      </w:r>
    </w:p>
  </w:footnote>
  <w:footnote w:id="15">
    <w:p w:rsidR="006C6B34" w:rsidRPr="00976769" w:rsidRDefault="006C6B34" w:rsidP="0069717E">
      <w:pPr>
        <w:pStyle w:val="FootnoteText"/>
        <w:spacing w:after="0"/>
        <w:ind w:left="0" w:firstLine="0"/>
      </w:pPr>
      <w:r>
        <w:rPr>
          <w:rStyle w:val="FootnoteReference"/>
          <w:lang w:val="en-CA"/>
        </w:rPr>
        <w:footnoteRef/>
      </w:r>
      <w:r>
        <w:t xml:space="preserve"> UNEP/</w:t>
      </w:r>
      <w:proofErr w:type="spellStart"/>
      <w:r>
        <w:t>OzL.Pro</w:t>
      </w:r>
      <w:proofErr w:type="spellEnd"/>
      <w:r>
        <w:t>/</w:t>
      </w:r>
      <w:proofErr w:type="spellStart"/>
      <w:r>
        <w:t>ExCom</w:t>
      </w:r>
      <w:proofErr w:type="spellEnd"/>
      <w:r>
        <w:t>/86/21 y Add.1</w:t>
      </w:r>
    </w:p>
  </w:footnote>
  <w:footnote w:id="16">
    <w:p w:rsidR="006C6B34" w:rsidRPr="00976769" w:rsidRDefault="006C6B34" w:rsidP="0069717E">
      <w:pPr>
        <w:pStyle w:val="FootnoteText"/>
        <w:spacing w:after="0"/>
      </w:pPr>
      <w:r>
        <w:rPr>
          <w:rStyle w:val="FootnoteReference"/>
          <w:lang w:val="en-CA"/>
        </w:rPr>
        <w:footnoteRef/>
      </w:r>
      <w:r>
        <w:t xml:space="preserve"> UNEP/</w:t>
      </w:r>
      <w:proofErr w:type="spellStart"/>
      <w:r>
        <w:t>OzL.Pro</w:t>
      </w:r>
      <w:proofErr w:type="spellEnd"/>
      <w:r>
        <w:t>/</w:t>
      </w:r>
      <w:proofErr w:type="spellStart"/>
      <w:r>
        <w:t>ExCom</w:t>
      </w:r>
      <w:proofErr w:type="spellEnd"/>
      <w:r>
        <w:t>/86/24</w:t>
      </w:r>
    </w:p>
  </w:footnote>
  <w:footnote w:id="17">
    <w:p w:rsidR="006C6B34" w:rsidRPr="00976769" w:rsidRDefault="006C6B34" w:rsidP="0069717E">
      <w:pPr>
        <w:pStyle w:val="FootnoteText"/>
        <w:spacing w:after="0"/>
      </w:pPr>
      <w:r>
        <w:rPr>
          <w:rStyle w:val="FootnoteReference"/>
        </w:rPr>
        <w:footnoteRef/>
      </w:r>
      <w:r>
        <w:t xml:space="preserve"> UNEP/</w:t>
      </w:r>
      <w:proofErr w:type="spellStart"/>
      <w:r>
        <w:t>OzL.Pro</w:t>
      </w:r>
      <w:proofErr w:type="spellEnd"/>
      <w:r>
        <w:t>/</w:t>
      </w:r>
      <w:proofErr w:type="spellStart"/>
      <w:r>
        <w:t>ExCom</w:t>
      </w:r>
      <w:proofErr w:type="spellEnd"/>
      <w:r>
        <w:t>/86/18</w:t>
      </w:r>
    </w:p>
  </w:footnote>
  <w:footnote w:id="18">
    <w:p w:rsidR="006C6B34" w:rsidRPr="00976769" w:rsidRDefault="006C6B34" w:rsidP="0069717E">
      <w:pPr>
        <w:pStyle w:val="FootnoteText"/>
        <w:spacing w:after="0"/>
      </w:pPr>
      <w:r>
        <w:rPr>
          <w:rStyle w:val="FootnoteReference"/>
        </w:rPr>
        <w:footnoteRef/>
      </w:r>
      <w:r>
        <w:t xml:space="preserve"> UNEP/</w:t>
      </w:r>
      <w:proofErr w:type="spellStart"/>
      <w:r>
        <w:t>OzL.Pro</w:t>
      </w:r>
      <w:proofErr w:type="spellEnd"/>
      <w:r>
        <w:t>/</w:t>
      </w:r>
      <w:proofErr w:type="spellStart"/>
      <w:r>
        <w:t>ExCom</w:t>
      </w:r>
      <w:proofErr w:type="spellEnd"/>
      <w:r>
        <w:t>/86/19</w:t>
      </w:r>
    </w:p>
  </w:footnote>
  <w:footnote w:id="19">
    <w:p w:rsidR="006C6B34" w:rsidRPr="00976769" w:rsidRDefault="006C6B34" w:rsidP="0069717E">
      <w:pPr>
        <w:pStyle w:val="FootnoteText"/>
        <w:spacing w:after="0"/>
      </w:pPr>
      <w:r>
        <w:rPr>
          <w:rStyle w:val="FootnoteReference"/>
        </w:rPr>
        <w:footnoteRef/>
      </w:r>
      <w:r>
        <w:t xml:space="preserve"> UNEP/</w:t>
      </w:r>
      <w:proofErr w:type="spellStart"/>
      <w:r>
        <w:t>OzL.Pro</w:t>
      </w:r>
      <w:proofErr w:type="spellEnd"/>
      <w:r>
        <w:t>/</w:t>
      </w:r>
      <w:proofErr w:type="spellStart"/>
      <w:r>
        <w:t>ExCom</w:t>
      </w:r>
      <w:proofErr w:type="spellEnd"/>
      <w:r>
        <w:t>/86/18</w:t>
      </w:r>
    </w:p>
  </w:footnote>
  <w:footnote w:id="20">
    <w:p w:rsidR="006C6B34" w:rsidRPr="00976769" w:rsidRDefault="006C6B34" w:rsidP="0069717E">
      <w:pPr>
        <w:pStyle w:val="FootnoteText"/>
        <w:spacing w:after="0"/>
        <w:ind w:left="0" w:firstLine="0"/>
        <w:jc w:val="both"/>
      </w:pPr>
      <w:r>
        <w:rPr>
          <w:rStyle w:val="FootnoteReference"/>
          <w:lang w:val="en-CA"/>
        </w:rPr>
        <w:footnoteRef/>
      </w:r>
      <w:r>
        <w:t xml:space="preserve"> Se han aprobado otros 134,70 millones de $EUA para las reuniones del Comité Ejecutivo, el funcionamiento de la Secretaría y los honorarios del Tesorero.</w:t>
      </w:r>
    </w:p>
  </w:footnote>
  <w:footnote w:id="21">
    <w:p w:rsidR="006C6B34" w:rsidRPr="00976769" w:rsidRDefault="006C6B34" w:rsidP="0069717E">
      <w:pPr>
        <w:pStyle w:val="FootnoteText"/>
        <w:spacing w:after="0"/>
        <w:ind w:left="0" w:firstLine="0"/>
        <w:jc w:val="both"/>
      </w:pPr>
      <w:r>
        <w:rPr>
          <w:rStyle w:val="FootnoteReference"/>
          <w:lang w:val="en-CA"/>
        </w:rPr>
        <w:footnoteRef/>
      </w:r>
      <w:r>
        <w:t xml:space="preserve"> Los datos se presentan según el año en que el Comité Ejecutivo aprobó el proyecto. Todas las aprobaciones (proyectos de inversión y proyectos ajenos a la inversión) se tratan de igual manera (por ejemplo, un proyecto de inversión o un tramo de financiación de un acuerdo plurianual de 1 millón de $EUA se considera un proyecto, al igual que la preparación de un programa de país por 30.000 $EUA). Los indicadores principales del resumen anual son: el porcentaje de proyectos terminados, el PAO eliminado, y el porcentaje de fondos desembolsados. Hay tres tipos de desembolsos: durante la ejecución, después de la ejecución y para proyectos con financiación retroactiva. </w:t>
      </w:r>
    </w:p>
  </w:footnote>
  <w:footnote w:id="22">
    <w:p w:rsidR="006C6B34" w:rsidRPr="00976769" w:rsidRDefault="006C6B34" w:rsidP="0069717E">
      <w:pPr>
        <w:pStyle w:val="FootnoteText"/>
        <w:tabs>
          <w:tab w:val="left" w:pos="0"/>
        </w:tabs>
        <w:spacing w:after="0"/>
        <w:ind w:left="0" w:firstLine="0"/>
        <w:jc w:val="both"/>
      </w:pPr>
      <w:r>
        <w:rPr>
          <w:rStyle w:val="FootnoteReference"/>
          <w:lang w:val="en-CA"/>
        </w:rPr>
        <w:footnoteRef/>
      </w:r>
      <w:r>
        <w:t xml:space="preserve"> La eliminación total para el Fondo incluye 474.830 toneladas PAO de sustancias controladas de proyectos de inversión terminados, 14.411 toneladas PAO de proyectos terminados ajenos a la inversión terminados y 4.164 toneladas PAO de proyectos en curso.</w:t>
      </w:r>
    </w:p>
  </w:footnote>
  <w:footnote w:id="23">
    <w:p w:rsidR="006C6B34" w:rsidRPr="00976769" w:rsidRDefault="006C6B34" w:rsidP="0069717E">
      <w:pPr>
        <w:pStyle w:val="FootnoteText"/>
        <w:spacing w:after="0"/>
        <w:ind w:left="0" w:firstLine="0"/>
        <w:jc w:val="both"/>
      </w:pPr>
      <w:r>
        <w:rPr>
          <w:rStyle w:val="FootnoteReference"/>
          <w:lang w:val="en-CA"/>
        </w:rPr>
        <w:footnoteRef/>
      </w:r>
      <w:r>
        <w:t xml:space="preserve"> En las decisiones 17/22 y 19/23, los proyectos/actividades terminados o completados se definen como aquellos proyectos que ya se han ejecutado y en los que ya se han eliminado las SAO correspondientes. En otra decisión (decisión 28/2) se amplía la definición para abarcar aquellas situaciones en las que no hay pruebas del uso de CFC en los sectores cubiertos, donde se está produciendo un producto alternativo (o ha comenzado su producción) o donde los equipos que utilizan CFC se han destruido/desmantelado/inutilizado para el uso de SAO. Las actividades de los programas de trabajo sin eliminación de SAO se consideran terminadas cuando se finaliza la actividad (p. ej., para un taller, cuando se ha celebrado). Esta definición se ha aplicado a los proyectos relacionados con los HCFC. </w:t>
      </w:r>
    </w:p>
  </w:footnote>
  <w:footnote w:id="24">
    <w:p w:rsidR="006C6B34" w:rsidRPr="00976769" w:rsidRDefault="006C6B34" w:rsidP="0069717E">
      <w:pPr>
        <w:pStyle w:val="FootnoteText"/>
        <w:spacing w:after="0"/>
        <w:ind w:left="0" w:firstLine="0"/>
        <w:jc w:val="both"/>
      </w:pPr>
      <w:r>
        <w:rPr>
          <w:rStyle w:val="FootnoteReference"/>
          <w:lang w:val="en-CA"/>
        </w:rPr>
        <w:footnoteRef/>
      </w:r>
      <w:r>
        <w:t xml:space="preserve"> El motivo por el que no se ha desembolsado el 100 por ciento de los fondos para los proyectos terminados es que el cierre de los registros contables puede demorar entre seis meses y un año.</w:t>
      </w:r>
    </w:p>
  </w:footnote>
  <w:footnote w:id="25">
    <w:p w:rsidR="006C6B34" w:rsidRPr="00976769" w:rsidRDefault="006C6B34" w:rsidP="0069717E">
      <w:pPr>
        <w:pStyle w:val="FootnoteText"/>
      </w:pPr>
      <w:r>
        <w:rPr>
          <w:rStyle w:val="FootnoteReference"/>
          <w:lang w:val="en-CA"/>
        </w:rPr>
        <w:footnoteRef/>
      </w:r>
      <w:r>
        <w:t xml:space="preserve"> UNEP/</w:t>
      </w:r>
      <w:proofErr w:type="spellStart"/>
      <w:r>
        <w:t>OzL.Pro</w:t>
      </w:r>
      <w:proofErr w:type="spellEnd"/>
      <w:r>
        <w:t>/</w:t>
      </w:r>
      <w:proofErr w:type="spellStart"/>
      <w:r>
        <w:t>ExCom</w:t>
      </w:r>
      <w:proofErr w:type="spellEnd"/>
      <w:r>
        <w:t>/85/9</w:t>
      </w:r>
    </w:p>
  </w:footnote>
  <w:footnote w:id="26">
    <w:p w:rsidR="006C6B34" w:rsidRPr="007C2631" w:rsidRDefault="006C6B34" w:rsidP="0069717E">
      <w:pPr>
        <w:pStyle w:val="FootnoteText"/>
        <w:spacing w:after="0"/>
        <w:ind w:left="0" w:firstLine="0"/>
        <w:jc w:val="both"/>
        <w:rPr>
          <w:rStyle w:val="FootnoteReference"/>
          <w:sz w:val="20"/>
          <w:szCs w:val="20"/>
          <w:vertAlign w:val="baseline"/>
        </w:rPr>
      </w:pPr>
      <w:r w:rsidRPr="007C2631">
        <w:rPr>
          <w:rStyle w:val="FootnoteReference"/>
        </w:rPr>
        <w:footnoteRef/>
      </w:r>
      <w:r w:rsidRPr="007C2631">
        <w:rPr>
          <w:rStyle w:val="FootnoteReference"/>
        </w:rPr>
        <w:t xml:space="preserve"> </w:t>
      </w:r>
      <w:r w:rsidRPr="007C2631">
        <w:rPr>
          <w:rStyle w:val="FootnoteReference"/>
          <w:sz w:val="20"/>
          <w:szCs w:val="20"/>
          <w:vertAlign w:val="baseline"/>
        </w:rPr>
        <w:t>El equipo que se basa en la tecnología alternativa está en proceso de producción; los fondos se desembolsarán para el final de 2020 a la empresa beneficiaria de forma retroactiva, después de la firma del acuerdo entre el intermediario financiero y el beneficiario.</w:t>
      </w:r>
    </w:p>
  </w:footnote>
  <w:footnote w:id="27">
    <w:p w:rsidR="006C6B34" w:rsidRPr="007C2631" w:rsidRDefault="006C6B34" w:rsidP="0069717E">
      <w:pPr>
        <w:pStyle w:val="FootnoteText"/>
        <w:spacing w:after="0"/>
        <w:ind w:left="0" w:firstLine="0"/>
        <w:jc w:val="both"/>
        <w:rPr>
          <w:rStyle w:val="FootnoteReference"/>
          <w:sz w:val="20"/>
          <w:szCs w:val="20"/>
          <w:vertAlign w:val="baseline"/>
        </w:rPr>
      </w:pPr>
      <w:r w:rsidRPr="007C2631">
        <w:rPr>
          <w:rStyle w:val="FootnoteReference"/>
          <w:sz w:val="20"/>
          <w:szCs w:val="20"/>
          <w:vertAlign w:val="baseline"/>
        </w:rPr>
        <w:footnoteRef/>
      </w:r>
      <w:r w:rsidRPr="007C2631">
        <w:rPr>
          <w:rStyle w:val="FootnoteReference"/>
          <w:sz w:val="20"/>
          <w:szCs w:val="20"/>
          <w:vertAlign w:val="baseline"/>
        </w:rPr>
        <w:t xml:space="preserve"> Costa Rica, Perú.</w:t>
      </w:r>
    </w:p>
  </w:footnote>
  <w:footnote w:id="28">
    <w:p w:rsidR="006C6B34" w:rsidRPr="007C2631" w:rsidRDefault="006C6B34" w:rsidP="0069717E">
      <w:pPr>
        <w:pStyle w:val="FootnoteText"/>
        <w:spacing w:after="0"/>
        <w:ind w:left="0" w:firstLine="0"/>
        <w:jc w:val="both"/>
        <w:rPr>
          <w:rStyle w:val="FootnoteReference"/>
        </w:rPr>
      </w:pPr>
      <w:r w:rsidRPr="007C2631">
        <w:rPr>
          <w:rStyle w:val="FootnoteReference"/>
        </w:rPr>
        <w:footnoteRef/>
      </w:r>
      <w:r w:rsidRPr="007C2631">
        <w:rPr>
          <w:rStyle w:val="FootnoteReference"/>
        </w:rPr>
        <w:t xml:space="preserve"> </w:t>
      </w:r>
      <w:r w:rsidRPr="007C2631">
        <w:rPr>
          <w:rStyle w:val="FootnoteReference"/>
          <w:sz w:val="20"/>
          <w:szCs w:val="20"/>
          <w:vertAlign w:val="baseline"/>
        </w:rPr>
        <w:t>Bolivia</w:t>
      </w:r>
      <w:r w:rsidRPr="007C2631">
        <w:t xml:space="preserve"> (Estado </w:t>
      </w:r>
      <w:r w:rsidRPr="007C2631">
        <w:rPr>
          <w:rStyle w:val="FootnoteReference"/>
          <w:sz w:val="20"/>
          <w:szCs w:val="20"/>
          <w:vertAlign w:val="baseline"/>
        </w:rPr>
        <w:t xml:space="preserve">Plurinacional de), Ghana, Camboya, Kirguistán, </w:t>
      </w:r>
      <w:proofErr w:type="spellStart"/>
      <w:r w:rsidRPr="007C2631">
        <w:rPr>
          <w:rStyle w:val="FootnoteReference"/>
          <w:sz w:val="20"/>
          <w:szCs w:val="20"/>
          <w:vertAlign w:val="baseline"/>
        </w:rPr>
        <w:t>Lesotho</w:t>
      </w:r>
      <w:proofErr w:type="spellEnd"/>
      <w:r w:rsidRPr="007C2631">
        <w:rPr>
          <w:rStyle w:val="FootnoteReference"/>
          <w:sz w:val="20"/>
          <w:szCs w:val="20"/>
          <w:vertAlign w:val="baseline"/>
        </w:rPr>
        <w:t xml:space="preserve">, Tonga y </w:t>
      </w:r>
      <w:proofErr w:type="spellStart"/>
      <w:r w:rsidRPr="007C2631">
        <w:rPr>
          <w:rStyle w:val="FootnoteReference"/>
          <w:sz w:val="20"/>
          <w:szCs w:val="20"/>
          <w:vertAlign w:val="baseline"/>
        </w:rPr>
        <w:t>Zimbabwe</w:t>
      </w:r>
      <w:proofErr w:type="spellEnd"/>
      <w:r w:rsidRPr="007C2631">
        <w:rPr>
          <w:rStyle w:val="FootnoteReference"/>
          <w:sz w:val="20"/>
          <w:szCs w:val="20"/>
          <w:vertAlign w:val="baseline"/>
        </w:rPr>
        <w:t>.</w:t>
      </w:r>
    </w:p>
  </w:footnote>
  <w:footnote w:id="29">
    <w:p w:rsidR="006C6B34" w:rsidRPr="005572C0" w:rsidRDefault="006C6B34" w:rsidP="0069717E">
      <w:pPr>
        <w:pStyle w:val="FootnoteText"/>
        <w:spacing w:after="0"/>
        <w:ind w:left="0" w:firstLine="0"/>
        <w:jc w:val="both"/>
        <w:rPr>
          <w:rStyle w:val="FootnoteReference"/>
          <w:sz w:val="20"/>
          <w:szCs w:val="20"/>
          <w:vertAlign w:val="baseline"/>
          <w:lang w:val="en-CA"/>
        </w:rPr>
      </w:pPr>
      <w:r w:rsidRPr="007C2631">
        <w:rPr>
          <w:rStyle w:val="FootnoteReference"/>
        </w:rPr>
        <w:footnoteRef/>
      </w:r>
      <w:r w:rsidRPr="007C2631">
        <w:rPr>
          <w:rStyle w:val="FootnoteReference"/>
        </w:rPr>
        <w:t xml:space="preserve"> </w:t>
      </w:r>
      <w:r w:rsidRPr="007C2631">
        <w:rPr>
          <w:rStyle w:val="FootnoteReference"/>
          <w:sz w:val="20"/>
          <w:szCs w:val="20"/>
          <w:vertAlign w:val="baseline"/>
        </w:rPr>
        <w:t xml:space="preserve">Albania, Armenia, Granada, México, Montenegro, Sudáfrica, Sudán y </w:t>
      </w:r>
      <w:proofErr w:type="spellStart"/>
      <w:r w:rsidRPr="007C2631">
        <w:rPr>
          <w:rStyle w:val="FootnoteReference"/>
          <w:sz w:val="20"/>
          <w:szCs w:val="20"/>
          <w:vertAlign w:val="baseline"/>
        </w:rPr>
        <w:t>Viet</w:t>
      </w:r>
      <w:proofErr w:type="spellEnd"/>
      <w:r w:rsidRPr="007C2631">
        <w:rPr>
          <w:rStyle w:val="FootnoteReference"/>
          <w:sz w:val="20"/>
          <w:szCs w:val="20"/>
          <w:vertAlign w:val="baseline"/>
        </w:rPr>
        <w:t xml:space="preserve"> </w:t>
      </w:r>
      <w:proofErr w:type="spellStart"/>
      <w:r w:rsidRPr="007C2631">
        <w:rPr>
          <w:rStyle w:val="FootnoteReference"/>
          <w:sz w:val="20"/>
          <w:szCs w:val="20"/>
          <w:vertAlign w:val="baseline"/>
        </w:rPr>
        <w:t>Nam</w:t>
      </w:r>
      <w:proofErr w:type="spellEnd"/>
      <w:r w:rsidRPr="007C2631">
        <w:rPr>
          <w:rStyle w:val="FootnoteReference"/>
          <w:sz w:val="20"/>
          <w:szCs w:val="20"/>
          <w:vertAlign w:val="baseline"/>
        </w:rPr>
        <w:t>.</w:t>
      </w:r>
    </w:p>
  </w:footnote>
  <w:footnote w:id="30">
    <w:p w:rsidR="006C6B34" w:rsidRPr="00976769" w:rsidRDefault="006C6B34" w:rsidP="0069717E">
      <w:pPr>
        <w:pStyle w:val="FootnoteText"/>
        <w:spacing w:after="0"/>
        <w:ind w:left="0" w:firstLine="0"/>
        <w:jc w:val="both"/>
      </w:pPr>
      <w:r>
        <w:rPr>
          <w:rStyle w:val="FootnoteReference"/>
          <w:lang w:val="en-CA"/>
        </w:rPr>
        <w:footnoteRef/>
      </w:r>
      <w:r>
        <w:rPr>
          <w:rStyle w:val="FootnoteReference"/>
        </w:rPr>
        <w:t xml:space="preserve"> </w:t>
      </w:r>
      <w:r w:rsidRPr="00A94714">
        <w:t>Cada Parte, a más tardar en la fecha más tardía entre las siguientes, el 1 de enero de 2019 o dentro de los tres meses siguientes a la fecha de entrada en vigor del presente apartado, establecerá y aplicará un sistema de concesión de licencias para la importación y exportación de sustancias controladas nuevas, usadas, recicladas y recuperadas según el Anexo F. Cualquier Parte que opere con arreglo al apartado 1 del Artículo 5 que decida que</w:t>
      </w:r>
      <w:r>
        <w:t xml:space="preserve"> no está en condiciones de establecer y aplicar dicho sistema antes del 1 de enero de 2019 podrá demorar la adopción de dichas medidas hasta el 1 de enero de 2021.</w:t>
      </w:r>
    </w:p>
  </w:footnote>
  <w:footnote w:id="31">
    <w:p w:rsidR="006C6B34" w:rsidRPr="00A94714" w:rsidRDefault="006C6B34" w:rsidP="0069717E">
      <w:pPr>
        <w:pStyle w:val="FootnoteText"/>
        <w:spacing w:after="0"/>
        <w:ind w:left="0" w:firstLine="0"/>
        <w:jc w:val="both"/>
      </w:pPr>
      <w:r>
        <w:rPr>
          <w:rStyle w:val="FootnoteReference"/>
          <w:lang w:val="en-CA"/>
        </w:rPr>
        <w:footnoteRef/>
      </w:r>
      <w:r>
        <w:rPr>
          <w:rStyle w:val="FootnoteReference"/>
        </w:rPr>
        <w:t xml:space="preserve"> </w:t>
      </w:r>
      <w:r w:rsidRPr="00A94714">
        <w:t>Hay varias actividades nuevas sobre la mejora de la EE ejecutadas por los Gobiernos con/sin apoyo de fuentes ajenas al Fondo Multilateral. Estas actividades evolucionan según los requisitos nacionales. Por lo tanto, la información sobre los tipos de proyectos es ilustrativa y no exhaustiva.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34" w:rsidRPr="0033525D" w:rsidRDefault="006C6B34" w:rsidP="00DE1395">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6C6B34" w:rsidRDefault="006C6B34"/>
  <w:p w:rsidR="00DE1395" w:rsidRPr="0033525D" w:rsidRDefault="00DE139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34" w:rsidRPr="0033525D" w:rsidRDefault="006C6B34" w:rsidP="00DE139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6C6B34" w:rsidRDefault="006C6B34" w:rsidP="0069717E">
    <w:pPr>
      <w:pStyle w:val="Header"/>
      <w:jc w:val="right"/>
    </w:pPr>
  </w:p>
  <w:p w:rsidR="00DE1395" w:rsidRPr="0033525D" w:rsidRDefault="00DE1395" w:rsidP="0069717E">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34" w:rsidRDefault="006C6B34">
    <w:pPr>
      <w:pStyle w:val="Header"/>
    </w:pPr>
  </w:p>
  <w:p w:rsidR="00DE1395" w:rsidRDefault="00DE139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395" w:rsidRPr="0033525D" w:rsidRDefault="00DE1395" w:rsidP="00DE1395">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DE1395" w:rsidRDefault="00DE1395" w:rsidP="00DE1395">
    <w:pPr>
      <w:jc w:val="left"/>
    </w:pPr>
    <w:proofErr w:type="spellStart"/>
    <w:r>
      <w:t>Anexo</w:t>
    </w:r>
    <w:proofErr w:type="spellEnd"/>
    <w:r>
      <w:t xml:space="preserve"> I</w:t>
    </w:r>
  </w:p>
  <w:p w:rsidR="00DE1395" w:rsidRPr="0033525D" w:rsidRDefault="00DE1395"/>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395" w:rsidRPr="0033525D" w:rsidRDefault="00DE1395" w:rsidP="00DE139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DE1395" w:rsidRPr="0033525D" w:rsidRDefault="00DE1395" w:rsidP="00DE1395">
    <w:pPr>
      <w:jc w:val="right"/>
    </w:pPr>
    <w:proofErr w:type="spellStart"/>
    <w:r>
      <w:t>Anexo</w:t>
    </w:r>
    <w:proofErr w:type="spellEnd"/>
    <w:r>
      <w:t xml:space="preserve"> I</w:t>
    </w:r>
  </w:p>
  <w:p w:rsidR="00DE1395" w:rsidRPr="0033525D" w:rsidRDefault="00DE1395" w:rsidP="0069717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395" w:rsidRDefault="00DE139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fldChar w:fldCharType="end"/>
    </w:r>
    <w:r>
      <w:t>15</w:t>
    </w:r>
  </w:p>
  <w:p w:rsidR="00DE1395" w:rsidRDefault="00DE1395" w:rsidP="007C2B79">
    <w:pPr>
      <w:jc w:val="right"/>
    </w:pPr>
    <w:proofErr w:type="spellStart"/>
    <w:r>
      <w:t>Anexo</w:t>
    </w:r>
    <w:proofErr w:type="spellEnd"/>
    <w:r>
      <w:t xml:space="preserve"> I</w:t>
    </w:r>
  </w:p>
  <w:p w:rsidR="00DE1395" w:rsidRDefault="00DE1395">
    <w:pPr>
      <w:pStyle w:val="Heade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B4" w:rsidRPr="0033525D" w:rsidRDefault="008439B4" w:rsidP="00DE1395">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8439B4" w:rsidRDefault="00DE1395" w:rsidP="00DE1395">
    <w:pPr>
      <w:jc w:val="left"/>
    </w:pPr>
    <w:proofErr w:type="spellStart"/>
    <w:r>
      <w:t>Anexo</w:t>
    </w:r>
    <w:proofErr w:type="spellEnd"/>
    <w:r>
      <w:t xml:space="preserve"> </w:t>
    </w:r>
    <w:r w:rsidR="008439B4">
      <w:t>II</w:t>
    </w:r>
  </w:p>
  <w:p w:rsidR="008439B4" w:rsidRPr="0033525D" w:rsidRDefault="008439B4"/>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B4" w:rsidRPr="0033525D" w:rsidRDefault="008439B4" w:rsidP="00DE139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8439B4" w:rsidRPr="0033525D" w:rsidRDefault="00DE1395" w:rsidP="00DE1395">
    <w:pPr>
      <w:jc w:val="right"/>
    </w:pPr>
    <w:proofErr w:type="spellStart"/>
    <w:r>
      <w:t>Anexo</w:t>
    </w:r>
    <w:proofErr w:type="spellEnd"/>
    <w:r>
      <w:t xml:space="preserve"> I</w:t>
    </w:r>
    <w:r w:rsidR="008439B4">
      <w:t>I</w:t>
    </w:r>
  </w:p>
  <w:p w:rsidR="008439B4" w:rsidRPr="0033525D" w:rsidRDefault="008439B4" w:rsidP="0069717E">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B4" w:rsidRDefault="008439B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fldChar w:fldCharType="end"/>
    </w:r>
    <w:r>
      <w:t>15</w:t>
    </w:r>
  </w:p>
  <w:p w:rsidR="008439B4" w:rsidRDefault="00DE1395" w:rsidP="007C2B79">
    <w:pPr>
      <w:jc w:val="right"/>
    </w:pPr>
    <w:proofErr w:type="spellStart"/>
    <w:r>
      <w:t>Anexo</w:t>
    </w:r>
    <w:proofErr w:type="spellEnd"/>
    <w:r>
      <w:t xml:space="preserve"> I</w:t>
    </w:r>
    <w:r w:rsidR="008439B4">
      <w:t>I</w:t>
    </w:r>
  </w:p>
  <w:p w:rsidR="008439B4" w:rsidRDefault="008439B4">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B4" w:rsidRDefault="008439B4" w:rsidP="008439B4">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fldChar w:fldCharType="end"/>
    </w:r>
    <w:r>
      <w:t>15</w:t>
    </w:r>
  </w:p>
  <w:p w:rsidR="008439B4" w:rsidRDefault="008439B4" w:rsidP="008439B4">
    <w:pPr>
      <w:jc w:val="left"/>
    </w:pPr>
    <w:proofErr w:type="spellStart"/>
    <w:r>
      <w:t>Anexo</w:t>
    </w:r>
    <w:proofErr w:type="spellEnd"/>
    <w:r>
      <w:t xml:space="preserve"> II</w:t>
    </w:r>
  </w:p>
  <w:p w:rsidR="008439B4" w:rsidRDefault="008439B4" w:rsidP="008439B4">
    <w:pPr>
      <w:pStyle w:val="Header"/>
      <w:jc w:val="left"/>
    </w:pPr>
    <w:proofErr w:type="spellStart"/>
    <w:r>
      <w:t>Ap</w:t>
    </w:r>
    <w:proofErr w:type="spellEnd"/>
    <w:r>
      <w:rPr>
        <w:lang w:val="es-419"/>
      </w:rPr>
      <w:t>é</w:t>
    </w:r>
    <w:proofErr w:type="spellStart"/>
    <w:r>
      <w:t>ndice</w:t>
    </w:r>
    <w:proofErr w:type="spellEnd"/>
    <w:r>
      <w:t xml:space="preserve"> I</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B4" w:rsidRDefault="008439B4" w:rsidP="008439B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fldChar w:fldCharType="end"/>
    </w:r>
    <w:r>
      <w:t>15</w:t>
    </w:r>
  </w:p>
  <w:p w:rsidR="008439B4" w:rsidRDefault="008439B4" w:rsidP="008439B4">
    <w:pPr>
      <w:jc w:val="right"/>
    </w:pPr>
    <w:proofErr w:type="spellStart"/>
    <w:r>
      <w:t>Anexo</w:t>
    </w:r>
    <w:proofErr w:type="spellEnd"/>
    <w:r>
      <w:t xml:space="preserve"> II</w:t>
    </w:r>
  </w:p>
  <w:p w:rsidR="008439B4" w:rsidRPr="0033525D" w:rsidRDefault="008439B4" w:rsidP="008439B4">
    <w:pPr>
      <w:pStyle w:val="Header"/>
      <w:jc w:val="right"/>
    </w:pPr>
    <w:proofErr w:type="spellStart"/>
    <w:r>
      <w:t>Ap</w:t>
    </w:r>
    <w:proofErr w:type="spellEnd"/>
    <w:r>
      <w:rPr>
        <w:lang w:val="es-419"/>
      </w:rPr>
      <w:t>é</w:t>
    </w:r>
    <w:proofErr w:type="spellStart"/>
    <w:r>
      <w:t>ndice</w:t>
    </w:r>
    <w:proofErr w:type="spellEnd"/>
    <w:r>
      <w:t xml:space="preserve"> I</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B4" w:rsidRDefault="008439B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w:t>
    </w:r>
    <w:r>
      <w:fldChar w:fldCharType="end"/>
    </w:r>
    <w:r>
      <w:t>15</w:t>
    </w:r>
  </w:p>
  <w:p w:rsidR="008439B4" w:rsidRDefault="008439B4" w:rsidP="007C2B79">
    <w:pPr>
      <w:jc w:val="right"/>
    </w:pPr>
    <w:proofErr w:type="spellStart"/>
    <w:r>
      <w:t>Anexo</w:t>
    </w:r>
    <w:proofErr w:type="spellEnd"/>
    <w:r>
      <w:t xml:space="preserve"> II</w:t>
    </w:r>
  </w:p>
  <w:p w:rsidR="008439B4" w:rsidRDefault="008439B4" w:rsidP="008439B4">
    <w:pPr>
      <w:pStyle w:val="Header"/>
      <w:jc w:val="right"/>
    </w:pPr>
    <w:proofErr w:type="spellStart"/>
    <w:r>
      <w:t>Ap</w:t>
    </w:r>
    <w:proofErr w:type="spellEnd"/>
    <w:r>
      <w:rPr>
        <w:lang w:val="es-419"/>
      </w:rPr>
      <w:t>é</w:t>
    </w:r>
    <w:proofErr w:type="spellStart"/>
    <w:r>
      <w:t>ndice</w:t>
    </w:r>
    <w:proofErr w:type="spellEnd"/>
    <w:r>
      <w:t xml:space="preserve"> I</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0E3" w:rsidRPr="0033525D" w:rsidRDefault="000520E3" w:rsidP="000520E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0520E3" w:rsidRPr="0033525D" w:rsidRDefault="000520E3" w:rsidP="000520E3">
    <w:proofErr w:type="spellStart"/>
    <w:r>
      <w:t>Anexo</w:t>
    </w:r>
    <w:proofErr w:type="spellEnd"/>
    <w:r>
      <w:t xml:space="preserve"> II</w:t>
    </w:r>
  </w:p>
  <w:p w:rsidR="000520E3" w:rsidRPr="000520E3" w:rsidRDefault="000520E3" w:rsidP="000520E3">
    <w:proofErr w:type="spellStart"/>
    <w:r>
      <w:t>Apéndice</w:t>
    </w:r>
    <w:proofErr w:type="spellEnd"/>
    <w:r>
      <w:t xml:space="preserve"> II</w:t>
    </w: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0E3" w:rsidRPr="0033525D" w:rsidRDefault="000520E3" w:rsidP="000520E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0520E3" w:rsidRPr="0033525D" w:rsidRDefault="000520E3" w:rsidP="000520E3">
    <w:pPr>
      <w:jc w:val="right"/>
    </w:pPr>
    <w:proofErr w:type="spellStart"/>
    <w:r>
      <w:t>Anexo</w:t>
    </w:r>
    <w:proofErr w:type="spellEnd"/>
    <w:r>
      <w:t xml:space="preserve"> II</w:t>
    </w:r>
  </w:p>
  <w:p w:rsidR="000520E3" w:rsidRPr="0033525D" w:rsidRDefault="000520E3" w:rsidP="000520E3">
    <w:pPr>
      <w:jc w:val="right"/>
    </w:pPr>
    <w:proofErr w:type="spellStart"/>
    <w:r>
      <w:t>Apéndice</w:t>
    </w:r>
    <w:proofErr w:type="spellEnd"/>
    <w:r>
      <w:t xml:space="preserve"> II</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6B34" w:rsidRPr="0033525D" w:rsidRDefault="006C6B34" w:rsidP="006C6B3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6C6B34" w:rsidRPr="0033525D" w:rsidRDefault="006C6B34" w:rsidP="006C6B34">
    <w:pPr>
      <w:jc w:val="right"/>
    </w:pPr>
    <w:proofErr w:type="spellStart"/>
    <w:r>
      <w:t>Anexo</w:t>
    </w:r>
    <w:proofErr w:type="spellEnd"/>
    <w:r>
      <w:t xml:space="preserve"> II</w:t>
    </w:r>
  </w:p>
  <w:p w:rsidR="006C6B34" w:rsidRPr="006C6B34" w:rsidRDefault="006C6B34" w:rsidP="006C6B34">
    <w:pPr>
      <w:jc w:val="right"/>
    </w:pPr>
    <w:proofErr w:type="spellStart"/>
    <w:r>
      <w:t>Apéndice</w:t>
    </w:r>
    <w:proofErr w:type="spellEnd"/>
    <w:r>
      <w:t xml:space="preserve"> II</w:t>
    </w:r>
  </w:p>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0E3" w:rsidRPr="0033525D" w:rsidRDefault="000520E3" w:rsidP="000520E3">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0520E3" w:rsidRDefault="000520E3" w:rsidP="000520E3">
    <w:proofErr w:type="spellStart"/>
    <w:r>
      <w:t>Anexo</w:t>
    </w:r>
    <w:proofErr w:type="spellEnd"/>
    <w:r>
      <w:t xml:space="preserve"> III</w:t>
    </w:r>
  </w:p>
  <w:p w:rsidR="000520E3" w:rsidRPr="000520E3" w:rsidRDefault="000520E3" w:rsidP="000520E3"/>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0E3" w:rsidRPr="0033525D" w:rsidRDefault="000520E3" w:rsidP="000520E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0520E3" w:rsidRPr="0033525D" w:rsidRDefault="000520E3" w:rsidP="000520E3">
    <w:pPr>
      <w:jc w:val="right"/>
    </w:pPr>
    <w:proofErr w:type="spellStart"/>
    <w:r>
      <w:t>Anexo</w:t>
    </w:r>
    <w:proofErr w:type="spellEnd"/>
    <w:r>
      <w:t xml:space="preserve"> III</w:t>
    </w:r>
  </w:p>
  <w:p w:rsidR="000520E3" w:rsidRPr="0033525D" w:rsidRDefault="000520E3" w:rsidP="000520E3">
    <w:pPr>
      <w:jc w:val="righ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20E3" w:rsidRPr="0033525D" w:rsidRDefault="000520E3" w:rsidP="006C6B34">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/86/15</w:t>
    </w:r>
    <w:r>
      <w:fldChar w:fldCharType="end"/>
    </w:r>
  </w:p>
  <w:p w:rsidR="000520E3" w:rsidRPr="0033525D" w:rsidRDefault="000520E3" w:rsidP="006C6B34">
    <w:pPr>
      <w:jc w:val="right"/>
    </w:pPr>
    <w:proofErr w:type="spellStart"/>
    <w:r>
      <w:t>Anexo</w:t>
    </w:r>
    <w:proofErr w:type="spellEnd"/>
    <w:r>
      <w:t xml:space="preserve"> III</w:t>
    </w:r>
  </w:p>
  <w:p w:rsidR="000520E3" w:rsidRPr="006C6B34" w:rsidRDefault="000520E3" w:rsidP="006C6B34">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AEEBD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4D6DF4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8CA153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6265DD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280AA4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88C0A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59008E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0083DE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74D5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564BE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05AE2B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AF72C0"/>
    <w:multiLevelType w:val="hybridMultilevel"/>
    <w:tmpl w:val="F0F22C9C"/>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12" w15:restartNumberingAfterBreak="0">
    <w:nsid w:val="0FDA5DF3"/>
    <w:multiLevelType w:val="hybridMultilevel"/>
    <w:tmpl w:val="D80A9C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5A0827"/>
    <w:multiLevelType w:val="hybridMultilevel"/>
    <w:tmpl w:val="704C7F00"/>
    <w:lvl w:ilvl="0" w:tplc="9E2A378A">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5625ED9"/>
    <w:multiLevelType w:val="hybridMultilevel"/>
    <w:tmpl w:val="F4DAD552"/>
    <w:lvl w:ilvl="0" w:tplc="04090001">
      <w:start w:val="549"/>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5CD12AE"/>
    <w:multiLevelType w:val="hybridMultilevel"/>
    <w:tmpl w:val="3410D8A4"/>
    <w:lvl w:ilvl="0" w:tplc="AC1E84E6">
      <w:start w:val="1"/>
      <w:numFmt w:val="lowerLetter"/>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start w:val="1"/>
      <w:numFmt w:val="lowerLetter"/>
      <w:lvlText w:val="%5."/>
      <w:lvlJc w:val="left"/>
      <w:pPr>
        <w:ind w:left="3949" w:hanging="360"/>
      </w:pPr>
    </w:lvl>
    <w:lvl w:ilvl="5" w:tplc="0409001B">
      <w:start w:val="1"/>
      <w:numFmt w:val="lowerRoman"/>
      <w:lvlText w:val="%6."/>
      <w:lvlJc w:val="right"/>
      <w:pPr>
        <w:ind w:left="4669" w:hanging="180"/>
      </w:pPr>
    </w:lvl>
    <w:lvl w:ilvl="6" w:tplc="0409000F">
      <w:start w:val="1"/>
      <w:numFmt w:val="decimal"/>
      <w:lvlText w:val="%7."/>
      <w:lvlJc w:val="left"/>
      <w:pPr>
        <w:ind w:left="5389" w:hanging="360"/>
      </w:pPr>
    </w:lvl>
    <w:lvl w:ilvl="7" w:tplc="04090019">
      <w:start w:val="1"/>
      <w:numFmt w:val="lowerLetter"/>
      <w:lvlText w:val="%8."/>
      <w:lvlJc w:val="left"/>
      <w:pPr>
        <w:ind w:left="6109" w:hanging="360"/>
      </w:pPr>
    </w:lvl>
    <w:lvl w:ilvl="8" w:tplc="0409001B">
      <w:start w:val="1"/>
      <w:numFmt w:val="lowerRoman"/>
      <w:lvlText w:val="%9."/>
      <w:lvlJc w:val="right"/>
      <w:pPr>
        <w:ind w:left="6829"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DE555AE"/>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5E290FD8"/>
    <w:multiLevelType w:val="singleLevel"/>
    <w:tmpl w:val="5B9037CA"/>
    <w:lvl w:ilvl="0">
      <w:start w:val="1"/>
      <w:numFmt w:val="lowerLetter"/>
      <w:lvlText w:val="(%1)"/>
      <w:lvlJc w:val="left"/>
      <w:pPr>
        <w:tabs>
          <w:tab w:val="num" w:pos="1440"/>
        </w:tabs>
        <w:ind w:left="1440" w:hanging="792"/>
      </w:pPr>
    </w:lvl>
  </w:abstractNum>
  <w:abstractNum w:abstractNumId="22" w15:restartNumberingAfterBreak="0">
    <w:nsid w:val="627158DF"/>
    <w:multiLevelType w:val="hybridMultilevel"/>
    <w:tmpl w:val="547A47D0"/>
    <w:lvl w:ilvl="0" w:tplc="FE024456">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start w:val="1"/>
      <w:numFmt w:val="decimal"/>
      <w:lvlText w:val="%4."/>
      <w:lvlJc w:val="left"/>
      <w:pPr>
        <w:ind w:left="3240" w:hanging="360"/>
      </w:pPr>
    </w:lvl>
    <w:lvl w:ilvl="4" w:tplc="10090019">
      <w:start w:val="1"/>
      <w:numFmt w:val="lowerLetter"/>
      <w:lvlText w:val="%5."/>
      <w:lvlJc w:val="left"/>
      <w:pPr>
        <w:ind w:left="3960" w:hanging="360"/>
      </w:pPr>
    </w:lvl>
    <w:lvl w:ilvl="5" w:tplc="1009001B">
      <w:start w:val="1"/>
      <w:numFmt w:val="lowerRoman"/>
      <w:lvlText w:val="%6."/>
      <w:lvlJc w:val="right"/>
      <w:pPr>
        <w:ind w:left="4680" w:hanging="180"/>
      </w:pPr>
    </w:lvl>
    <w:lvl w:ilvl="6" w:tplc="1009000F">
      <w:start w:val="1"/>
      <w:numFmt w:val="decimal"/>
      <w:lvlText w:val="%7."/>
      <w:lvlJc w:val="left"/>
      <w:pPr>
        <w:ind w:left="5400" w:hanging="360"/>
      </w:pPr>
    </w:lvl>
    <w:lvl w:ilvl="7" w:tplc="10090019">
      <w:start w:val="1"/>
      <w:numFmt w:val="lowerLetter"/>
      <w:lvlText w:val="%8."/>
      <w:lvlJc w:val="left"/>
      <w:pPr>
        <w:ind w:left="6120" w:hanging="360"/>
      </w:pPr>
    </w:lvl>
    <w:lvl w:ilvl="8" w:tplc="1009001B">
      <w:start w:val="1"/>
      <w:numFmt w:val="lowerRoman"/>
      <w:lvlText w:val="%9."/>
      <w:lvlJc w:val="right"/>
      <w:pPr>
        <w:ind w:left="6840" w:hanging="180"/>
      </w:pPr>
    </w:lvl>
  </w:abstractNum>
  <w:abstractNum w:abstractNumId="23" w15:restartNumberingAfterBreak="0">
    <w:nsid w:val="64A55F2F"/>
    <w:multiLevelType w:val="hybridMultilevel"/>
    <w:tmpl w:val="962A426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56686F"/>
    <w:multiLevelType w:val="hybridMultilevel"/>
    <w:tmpl w:val="6C86C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340611"/>
    <w:multiLevelType w:val="hybridMultilevel"/>
    <w:tmpl w:val="C75EFC0A"/>
    <w:lvl w:ilvl="0" w:tplc="FE02445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8"/>
  </w:num>
  <w:num w:numId="18">
    <w:abstractNumId w:val="19"/>
  </w:num>
  <w:num w:numId="19">
    <w:abstractNumId w:val="27"/>
  </w:num>
  <w:num w:numId="20">
    <w:abstractNumId w:val="16"/>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25"/>
  </w:num>
  <w:num w:numId="26">
    <w:abstractNumId w:val="23"/>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num>
  <w:num w:numId="32">
    <w:abstractNumId w:val="20"/>
  </w:num>
  <w:num w:numId="33">
    <w:abstractNumId w:val="21"/>
  </w:num>
  <w:num w:numId="34">
    <w:abstractNumId w:val="13"/>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1"/>
  </w:num>
  <w:num w:numId="39">
    <w:abstractNumId w:val="26"/>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0E8"/>
    <w:rsid w:val="000520E3"/>
    <w:rsid w:val="00106F6E"/>
    <w:rsid w:val="00114CAA"/>
    <w:rsid w:val="001C2D22"/>
    <w:rsid w:val="001F4047"/>
    <w:rsid w:val="00235D4C"/>
    <w:rsid w:val="0024162E"/>
    <w:rsid w:val="00282F21"/>
    <w:rsid w:val="003863A4"/>
    <w:rsid w:val="003B7115"/>
    <w:rsid w:val="00455352"/>
    <w:rsid w:val="00476E28"/>
    <w:rsid w:val="005572C0"/>
    <w:rsid w:val="005A6CB8"/>
    <w:rsid w:val="006915A5"/>
    <w:rsid w:val="0069717E"/>
    <w:rsid w:val="006C6B34"/>
    <w:rsid w:val="007A3BF1"/>
    <w:rsid w:val="007A76AC"/>
    <w:rsid w:val="007C2631"/>
    <w:rsid w:val="007C2B79"/>
    <w:rsid w:val="00831BC5"/>
    <w:rsid w:val="008439B4"/>
    <w:rsid w:val="0087455A"/>
    <w:rsid w:val="008F18DC"/>
    <w:rsid w:val="009130E8"/>
    <w:rsid w:val="0092685B"/>
    <w:rsid w:val="009F5138"/>
    <w:rsid w:val="00A94714"/>
    <w:rsid w:val="00AB56E5"/>
    <w:rsid w:val="00AC4195"/>
    <w:rsid w:val="00B83FFA"/>
    <w:rsid w:val="00BB062D"/>
    <w:rsid w:val="00C14E67"/>
    <w:rsid w:val="00C40E04"/>
    <w:rsid w:val="00D5489E"/>
    <w:rsid w:val="00DB795B"/>
    <w:rsid w:val="00DE1395"/>
    <w:rsid w:val="00E17F97"/>
    <w:rsid w:val="00F10CD9"/>
    <w:rsid w:val="00F25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D1D06B0"/>
  <w15:docId w15:val="{4166FF05-FC0E-47B7-8D93-8382DB5F5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39B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paragraph" w:styleId="Date">
    <w:name w:val="Date"/>
    <w:basedOn w:val="Normal"/>
    <w:next w:val="Normal"/>
    <w:link w:val="DateChar"/>
    <w:uiPriority w:val="99"/>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semiHidden/>
    <w:unhideWhenUsed/>
    <w:rPr>
      <w:rFonts w:ascii="Tahoma" w:hAnsi="Tahoma" w:cs="Tahoma"/>
      <w:sz w:val="16"/>
      <w:szCs w:val="16"/>
    </w:rPr>
  </w:style>
  <w:style w:type="character" w:customStyle="1" w:styleId="BalloonTextChar">
    <w:name w:val="Balloon Text Char"/>
    <w:basedOn w:val="DefaultParagraphFont"/>
    <w:link w:val="BalloonText"/>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69717E"/>
    <w:rPr>
      <w:sz w:val="22"/>
      <w:szCs w:val="22"/>
      <w:lang w:val="en-GB"/>
    </w:rPr>
  </w:style>
  <w:style w:type="paragraph" w:customStyle="1" w:styleId="a--">
    <w:name w:val="a-(-)"/>
    <w:basedOn w:val="Normal"/>
    <w:rsid w:val="0069717E"/>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character" w:styleId="FootnoteReference">
    <w:name w:val="footnote reference"/>
    <w:aliases w:val="Footnote text,16 Point,Superscript 6 Point,Footnote Text1,Footnote Text2,-E Fußnotenzeichen,number,Footnote reference number,Footnote symbol,note TESI,SUPERS,stylish,ftref,Footnote Reference Superscript,-E Fuﬂnotenzeichen,fr"/>
    <w:link w:val="CharCharCharCharCarChar"/>
    <w:uiPriority w:val="99"/>
    <w:qFormat/>
    <w:rsid w:val="0069717E"/>
    <w:rPr>
      <w:sz w:val="24"/>
      <w:szCs w:val="24"/>
      <w:vertAlign w:val="superscript"/>
    </w:rPr>
  </w:style>
  <w:style w:type="paragraph" w:styleId="FootnoteText">
    <w:name w:val="footnote text"/>
    <w:aliases w:val="Fußnotentextf, Char1, Char1 Char Char,Char1,Char1 Char Char,Geneva 9,Font: Geneva 9,Boston 10,f,-E Fußnotentext,Fußnotentext Ursprung,-E Fußnotentext1,-E Fußnotentext2,-E Fußnotentext3,Fußnotentext Char1,Fußnotentext Char Char,FOOTNOTES"/>
    <w:basedOn w:val="Normal"/>
    <w:link w:val="FootnoteTextChar"/>
    <w:uiPriority w:val="99"/>
    <w:qFormat/>
    <w:rsid w:val="0069717E"/>
    <w:pPr>
      <w:spacing w:after="120"/>
      <w:ind w:left="432" w:hanging="432"/>
      <w:jc w:val="left"/>
    </w:pPr>
    <w:rPr>
      <w:sz w:val="20"/>
      <w:szCs w:val="20"/>
      <w:lang w:val="es-ES" w:eastAsia="fr-FR"/>
    </w:rPr>
  </w:style>
  <w:style w:type="character" w:customStyle="1" w:styleId="FootnoteTextChar">
    <w:name w:val="Footnote Text Char"/>
    <w:aliases w:val="Fußnotentextf Char, Char1 Char, Char1 Char Char Char,Char1 Char,Char1 Char Char Char,Geneva 9 Char,Font: Geneva 9 Char,Boston 10 Char,f Char,-E Fußnotentext Char,Fußnotentext Ursprung Char,-E Fußnotentext1 Char,-E Fußnotentext2 Char"/>
    <w:basedOn w:val="DefaultParagraphFont"/>
    <w:link w:val="FootnoteText"/>
    <w:uiPriority w:val="99"/>
    <w:rsid w:val="0069717E"/>
    <w:rPr>
      <w:lang w:val="es-ES" w:eastAsia="fr-FR"/>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69717E"/>
    <w:rPr>
      <w:sz w:val="22"/>
      <w:szCs w:val="22"/>
      <w:lang w:val="en-GB"/>
    </w:rPr>
  </w:style>
  <w:style w:type="character" w:customStyle="1" w:styleId="HeaderChar">
    <w:name w:val="Header Char"/>
    <w:link w:val="Header"/>
    <w:rsid w:val="0069717E"/>
    <w:rPr>
      <w:sz w:val="22"/>
      <w:szCs w:val="22"/>
      <w:lang w:val="en-GB"/>
    </w:rPr>
  </w:style>
  <w:style w:type="paragraph" w:styleId="ListParagraph">
    <w:name w:val="List Paragraph"/>
    <w:basedOn w:val="Normal"/>
    <w:uiPriority w:val="34"/>
    <w:qFormat/>
    <w:rsid w:val="0069717E"/>
    <w:pPr>
      <w:spacing w:after="200" w:line="276" w:lineRule="auto"/>
      <w:ind w:left="720"/>
      <w:contextualSpacing/>
      <w:jc w:val="left"/>
    </w:pPr>
    <w:rPr>
      <w:rFonts w:ascii="Calibri" w:hAnsi="Calibri" w:cs="Calibri"/>
      <w:lang w:val="es-ES"/>
    </w:rPr>
  </w:style>
  <w:style w:type="character" w:styleId="PageNumber">
    <w:name w:val="page number"/>
    <w:rsid w:val="0069717E"/>
    <w:rPr>
      <w:sz w:val="22"/>
      <w:szCs w:val="22"/>
    </w:rPr>
  </w:style>
  <w:style w:type="paragraph" w:styleId="BodyText">
    <w:name w:val="Body Text"/>
    <w:basedOn w:val="Normal"/>
    <w:link w:val="BodyTextChar"/>
    <w:semiHidden/>
    <w:rsid w:val="0069717E"/>
    <w:pPr>
      <w:spacing w:after="120"/>
    </w:pPr>
    <w:rPr>
      <w:lang w:val="es-ES"/>
    </w:rPr>
  </w:style>
  <w:style w:type="character" w:customStyle="1" w:styleId="BodyTextChar">
    <w:name w:val="Body Text Char"/>
    <w:basedOn w:val="DefaultParagraphFont"/>
    <w:link w:val="BodyText"/>
    <w:semiHidden/>
    <w:rsid w:val="0069717E"/>
    <w:rPr>
      <w:sz w:val="22"/>
      <w:szCs w:val="22"/>
      <w:lang w:val="es-ES"/>
    </w:rPr>
  </w:style>
  <w:style w:type="paragraph" w:styleId="BodyText2">
    <w:name w:val="Body Text 2"/>
    <w:basedOn w:val="Normal"/>
    <w:link w:val="BodyText2Char"/>
    <w:semiHidden/>
    <w:rsid w:val="0069717E"/>
    <w:pPr>
      <w:spacing w:after="120" w:line="480" w:lineRule="auto"/>
    </w:pPr>
    <w:rPr>
      <w:lang w:val="es-ES"/>
    </w:rPr>
  </w:style>
  <w:style w:type="character" w:customStyle="1" w:styleId="BodyText2Char">
    <w:name w:val="Body Text 2 Char"/>
    <w:basedOn w:val="DefaultParagraphFont"/>
    <w:link w:val="BodyText2"/>
    <w:semiHidden/>
    <w:rsid w:val="0069717E"/>
    <w:rPr>
      <w:sz w:val="22"/>
      <w:szCs w:val="22"/>
      <w:lang w:val="es-ES"/>
    </w:rPr>
  </w:style>
  <w:style w:type="paragraph" w:styleId="BodyTextFirstIndent">
    <w:name w:val="Body Text First Indent"/>
    <w:basedOn w:val="BodyText"/>
    <w:link w:val="BodyTextFirstIndentChar"/>
    <w:semiHidden/>
    <w:rsid w:val="0069717E"/>
    <w:pPr>
      <w:ind w:firstLine="210"/>
    </w:pPr>
  </w:style>
  <w:style w:type="character" w:customStyle="1" w:styleId="BodyTextFirstIndentChar">
    <w:name w:val="Body Text First Indent Char"/>
    <w:basedOn w:val="BodyTextChar"/>
    <w:link w:val="BodyTextFirstIndent"/>
    <w:semiHidden/>
    <w:rsid w:val="0069717E"/>
    <w:rPr>
      <w:sz w:val="22"/>
      <w:szCs w:val="22"/>
      <w:lang w:val="es-ES"/>
    </w:rPr>
  </w:style>
  <w:style w:type="paragraph" w:styleId="BodyTextIndent">
    <w:name w:val="Body Text Indent"/>
    <w:basedOn w:val="Normal"/>
    <w:link w:val="BodyTextIndentChar"/>
    <w:semiHidden/>
    <w:rsid w:val="0069717E"/>
    <w:pPr>
      <w:spacing w:after="120"/>
      <w:ind w:left="360"/>
    </w:pPr>
    <w:rPr>
      <w:lang w:val="es-ES"/>
    </w:rPr>
  </w:style>
  <w:style w:type="character" w:customStyle="1" w:styleId="BodyTextIndentChar">
    <w:name w:val="Body Text Indent Char"/>
    <w:basedOn w:val="DefaultParagraphFont"/>
    <w:link w:val="BodyTextIndent"/>
    <w:semiHidden/>
    <w:rsid w:val="0069717E"/>
    <w:rPr>
      <w:sz w:val="22"/>
      <w:szCs w:val="22"/>
      <w:lang w:val="es-ES"/>
    </w:rPr>
  </w:style>
  <w:style w:type="paragraph" w:styleId="BodyTextFirstIndent2">
    <w:name w:val="Body Text First Indent 2"/>
    <w:basedOn w:val="BodyTextIndent"/>
    <w:link w:val="BodyTextFirstIndent2Char"/>
    <w:semiHidden/>
    <w:rsid w:val="0069717E"/>
    <w:pPr>
      <w:ind w:firstLine="210"/>
    </w:pPr>
  </w:style>
  <w:style w:type="character" w:customStyle="1" w:styleId="BodyTextFirstIndent2Char">
    <w:name w:val="Body Text First Indent 2 Char"/>
    <w:basedOn w:val="BodyTextIndentChar"/>
    <w:link w:val="BodyTextFirstIndent2"/>
    <w:semiHidden/>
    <w:rsid w:val="0069717E"/>
    <w:rPr>
      <w:sz w:val="22"/>
      <w:szCs w:val="22"/>
      <w:lang w:val="es-ES"/>
    </w:rPr>
  </w:style>
  <w:style w:type="paragraph" w:styleId="BodyTextIndent2">
    <w:name w:val="Body Text Indent 2"/>
    <w:basedOn w:val="Normal"/>
    <w:link w:val="BodyTextIndent2Char"/>
    <w:semiHidden/>
    <w:rsid w:val="0069717E"/>
    <w:pPr>
      <w:spacing w:after="120" w:line="480" w:lineRule="auto"/>
      <w:ind w:left="360"/>
    </w:pPr>
    <w:rPr>
      <w:lang w:val="es-ES"/>
    </w:rPr>
  </w:style>
  <w:style w:type="character" w:customStyle="1" w:styleId="BodyTextIndent2Char">
    <w:name w:val="Body Text Indent 2 Char"/>
    <w:basedOn w:val="DefaultParagraphFont"/>
    <w:link w:val="BodyTextIndent2"/>
    <w:semiHidden/>
    <w:rsid w:val="0069717E"/>
    <w:rPr>
      <w:sz w:val="22"/>
      <w:szCs w:val="22"/>
      <w:lang w:val="es-ES"/>
    </w:rPr>
  </w:style>
  <w:style w:type="paragraph" w:styleId="Closing">
    <w:name w:val="Closing"/>
    <w:basedOn w:val="Normal"/>
    <w:link w:val="ClosingChar"/>
    <w:semiHidden/>
    <w:rsid w:val="0069717E"/>
    <w:pPr>
      <w:ind w:left="4320"/>
    </w:pPr>
    <w:rPr>
      <w:lang w:val="es-ES"/>
    </w:rPr>
  </w:style>
  <w:style w:type="character" w:customStyle="1" w:styleId="ClosingChar">
    <w:name w:val="Closing Char"/>
    <w:basedOn w:val="DefaultParagraphFont"/>
    <w:link w:val="Closing"/>
    <w:semiHidden/>
    <w:rsid w:val="0069717E"/>
    <w:rPr>
      <w:sz w:val="22"/>
      <w:szCs w:val="22"/>
      <w:lang w:val="es-ES"/>
    </w:rPr>
  </w:style>
  <w:style w:type="paragraph" w:styleId="E-mailSignature">
    <w:name w:val="E-mail Signature"/>
    <w:basedOn w:val="Normal"/>
    <w:link w:val="E-mailSignatureChar"/>
    <w:semiHidden/>
    <w:rsid w:val="0069717E"/>
    <w:rPr>
      <w:lang w:val="es-ES"/>
    </w:rPr>
  </w:style>
  <w:style w:type="character" w:customStyle="1" w:styleId="E-mailSignatureChar">
    <w:name w:val="E-mail Signature Char"/>
    <w:basedOn w:val="DefaultParagraphFont"/>
    <w:link w:val="E-mailSignature"/>
    <w:semiHidden/>
    <w:rsid w:val="0069717E"/>
    <w:rPr>
      <w:sz w:val="22"/>
      <w:szCs w:val="22"/>
      <w:lang w:val="es-ES"/>
    </w:rPr>
  </w:style>
  <w:style w:type="character" w:styleId="Emphasis">
    <w:name w:val="Emphasis"/>
    <w:qFormat/>
    <w:rsid w:val="0069717E"/>
    <w:rPr>
      <w:i/>
      <w:iCs/>
    </w:rPr>
  </w:style>
  <w:style w:type="paragraph" w:styleId="EnvelopeAddress">
    <w:name w:val="envelope address"/>
    <w:basedOn w:val="Normal"/>
    <w:semiHidden/>
    <w:rsid w:val="0069717E"/>
    <w:pPr>
      <w:framePr w:w="7920" w:h="1980" w:hRule="exact" w:hSpace="180" w:wrap="auto" w:hAnchor="page" w:xAlign="center" w:yAlign="bottom"/>
      <w:ind w:left="2880"/>
    </w:pPr>
    <w:rPr>
      <w:rFonts w:ascii="Arial" w:hAnsi="Arial" w:cs="Arial"/>
      <w:szCs w:val="24"/>
      <w:lang w:val="es-ES"/>
    </w:rPr>
  </w:style>
  <w:style w:type="paragraph" w:styleId="EnvelopeReturn">
    <w:name w:val="envelope return"/>
    <w:basedOn w:val="Normal"/>
    <w:semiHidden/>
    <w:rsid w:val="0069717E"/>
    <w:rPr>
      <w:rFonts w:ascii="Arial" w:hAnsi="Arial" w:cs="Arial"/>
      <w:sz w:val="20"/>
      <w:lang w:val="es-ES"/>
    </w:rPr>
  </w:style>
  <w:style w:type="character" w:styleId="FollowedHyperlink">
    <w:name w:val="FollowedHyperlink"/>
    <w:uiPriority w:val="99"/>
    <w:semiHidden/>
    <w:rsid w:val="0069717E"/>
    <w:rPr>
      <w:color w:val="800080"/>
      <w:u w:val="single"/>
    </w:rPr>
  </w:style>
  <w:style w:type="character" w:styleId="HTMLAcronym">
    <w:name w:val="HTML Acronym"/>
    <w:basedOn w:val="DefaultParagraphFont"/>
    <w:semiHidden/>
    <w:rsid w:val="0069717E"/>
  </w:style>
  <w:style w:type="paragraph" w:styleId="HTMLAddress">
    <w:name w:val="HTML Address"/>
    <w:basedOn w:val="Normal"/>
    <w:link w:val="HTMLAddressChar"/>
    <w:semiHidden/>
    <w:rsid w:val="0069717E"/>
    <w:rPr>
      <w:i/>
      <w:iCs/>
      <w:lang w:val="es-ES"/>
    </w:rPr>
  </w:style>
  <w:style w:type="character" w:customStyle="1" w:styleId="HTMLAddressChar">
    <w:name w:val="HTML Address Char"/>
    <w:basedOn w:val="DefaultParagraphFont"/>
    <w:link w:val="HTMLAddress"/>
    <w:semiHidden/>
    <w:rsid w:val="0069717E"/>
    <w:rPr>
      <w:i/>
      <w:iCs/>
      <w:sz w:val="22"/>
      <w:szCs w:val="22"/>
      <w:lang w:val="es-ES"/>
    </w:rPr>
  </w:style>
  <w:style w:type="character" w:styleId="HTMLCite">
    <w:name w:val="HTML Cite"/>
    <w:semiHidden/>
    <w:rsid w:val="0069717E"/>
    <w:rPr>
      <w:i/>
      <w:iCs/>
    </w:rPr>
  </w:style>
  <w:style w:type="character" w:styleId="HTMLCode">
    <w:name w:val="HTML Code"/>
    <w:semiHidden/>
    <w:rsid w:val="0069717E"/>
    <w:rPr>
      <w:rFonts w:ascii="Courier New" w:hAnsi="Courier New" w:cs="Courier New"/>
      <w:sz w:val="20"/>
      <w:szCs w:val="20"/>
    </w:rPr>
  </w:style>
  <w:style w:type="character" w:styleId="HTMLDefinition">
    <w:name w:val="HTML Definition"/>
    <w:semiHidden/>
    <w:rsid w:val="0069717E"/>
    <w:rPr>
      <w:i/>
      <w:iCs/>
    </w:rPr>
  </w:style>
  <w:style w:type="character" w:styleId="HTMLKeyboard">
    <w:name w:val="HTML Keyboard"/>
    <w:semiHidden/>
    <w:rsid w:val="0069717E"/>
    <w:rPr>
      <w:rFonts w:ascii="Courier New" w:hAnsi="Courier New" w:cs="Courier New"/>
      <w:sz w:val="20"/>
      <w:szCs w:val="20"/>
    </w:rPr>
  </w:style>
  <w:style w:type="paragraph" w:styleId="HTMLPreformatted">
    <w:name w:val="HTML Preformatted"/>
    <w:basedOn w:val="Normal"/>
    <w:link w:val="HTMLPreformattedChar"/>
    <w:semiHidden/>
    <w:rsid w:val="0069717E"/>
    <w:rPr>
      <w:rFonts w:ascii="Courier New" w:hAnsi="Courier New" w:cs="Courier New"/>
      <w:sz w:val="20"/>
      <w:lang w:val="es-ES"/>
    </w:rPr>
  </w:style>
  <w:style w:type="character" w:customStyle="1" w:styleId="HTMLPreformattedChar">
    <w:name w:val="HTML Preformatted Char"/>
    <w:basedOn w:val="DefaultParagraphFont"/>
    <w:link w:val="HTMLPreformatted"/>
    <w:semiHidden/>
    <w:rsid w:val="0069717E"/>
    <w:rPr>
      <w:rFonts w:ascii="Courier New" w:hAnsi="Courier New" w:cs="Courier New"/>
      <w:szCs w:val="22"/>
      <w:lang w:val="es-ES"/>
    </w:rPr>
  </w:style>
  <w:style w:type="character" w:styleId="HTMLSample">
    <w:name w:val="HTML Sample"/>
    <w:semiHidden/>
    <w:rsid w:val="0069717E"/>
    <w:rPr>
      <w:rFonts w:ascii="Courier New" w:hAnsi="Courier New" w:cs="Courier New"/>
    </w:rPr>
  </w:style>
  <w:style w:type="character" w:styleId="HTMLTypewriter">
    <w:name w:val="HTML Typewriter"/>
    <w:semiHidden/>
    <w:rsid w:val="0069717E"/>
    <w:rPr>
      <w:rFonts w:ascii="Courier New" w:hAnsi="Courier New" w:cs="Courier New"/>
      <w:sz w:val="20"/>
      <w:szCs w:val="20"/>
    </w:rPr>
  </w:style>
  <w:style w:type="character" w:styleId="HTMLVariable">
    <w:name w:val="HTML Variable"/>
    <w:semiHidden/>
    <w:rsid w:val="0069717E"/>
    <w:rPr>
      <w:i/>
      <w:iCs/>
    </w:rPr>
  </w:style>
  <w:style w:type="character" w:styleId="Hyperlink">
    <w:name w:val="Hyperlink"/>
    <w:uiPriority w:val="99"/>
    <w:semiHidden/>
    <w:rsid w:val="0069717E"/>
    <w:rPr>
      <w:color w:val="0000FF"/>
      <w:u w:val="single"/>
    </w:rPr>
  </w:style>
  <w:style w:type="character" w:styleId="LineNumber">
    <w:name w:val="line number"/>
    <w:basedOn w:val="DefaultParagraphFont"/>
    <w:semiHidden/>
    <w:rsid w:val="0069717E"/>
  </w:style>
  <w:style w:type="paragraph" w:styleId="List">
    <w:name w:val="List"/>
    <w:basedOn w:val="Normal"/>
    <w:semiHidden/>
    <w:rsid w:val="0069717E"/>
    <w:pPr>
      <w:ind w:left="360" w:hanging="360"/>
    </w:pPr>
    <w:rPr>
      <w:lang w:val="es-ES"/>
    </w:rPr>
  </w:style>
  <w:style w:type="paragraph" w:styleId="List2">
    <w:name w:val="List 2"/>
    <w:basedOn w:val="Normal"/>
    <w:semiHidden/>
    <w:rsid w:val="0069717E"/>
    <w:pPr>
      <w:ind w:left="720" w:hanging="360"/>
    </w:pPr>
    <w:rPr>
      <w:lang w:val="es-ES"/>
    </w:rPr>
  </w:style>
  <w:style w:type="paragraph" w:styleId="List3">
    <w:name w:val="List 3"/>
    <w:basedOn w:val="Normal"/>
    <w:semiHidden/>
    <w:rsid w:val="0069717E"/>
    <w:pPr>
      <w:ind w:left="1080" w:hanging="360"/>
    </w:pPr>
    <w:rPr>
      <w:lang w:val="es-ES"/>
    </w:rPr>
  </w:style>
  <w:style w:type="paragraph" w:styleId="List4">
    <w:name w:val="List 4"/>
    <w:basedOn w:val="Normal"/>
    <w:semiHidden/>
    <w:rsid w:val="0069717E"/>
    <w:pPr>
      <w:ind w:left="1440" w:hanging="360"/>
    </w:pPr>
    <w:rPr>
      <w:lang w:val="es-ES"/>
    </w:rPr>
  </w:style>
  <w:style w:type="paragraph" w:styleId="List5">
    <w:name w:val="List 5"/>
    <w:basedOn w:val="Normal"/>
    <w:semiHidden/>
    <w:rsid w:val="0069717E"/>
    <w:pPr>
      <w:ind w:left="1800" w:hanging="360"/>
    </w:pPr>
    <w:rPr>
      <w:lang w:val="es-ES"/>
    </w:rPr>
  </w:style>
  <w:style w:type="paragraph" w:styleId="ListBullet">
    <w:name w:val="List Bullet"/>
    <w:basedOn w:val="Normal"/>
    <w:autoRedefine/>
    <w:semiHidden/>
    <w:rsid w:val="0069717E"/>
    <w:pPr>
      <w:tabs>
        <w:tab w:val="num" w:pos="360"/>
      </w:tabs>
      <w:ind w:left="360" w:hanging="360"/>
    </w:pPr>
    <w:rPr>
      <w:lang w:val="es-ES"/>
    </w:rPr>
  </w:style>
  <w:style w:type="paragraph" w:styleId="ListBullet2">
    <w:name w:val="List Bullet 2"/>
    <w:basedOn w:val="Normal"/>
    <w:autoRedefine/>
    <w:semiHidden/>
    <w:rsid w:val="0069717E"/>
    <w:pPr>
      <w:tabs>
        <w:tab w:val="num" w:pos="720"/>
      </w:tabs>
      <w:ind w:left="720" w:hanging="360"/>
    </w:pPr>
    <w:rPr>
      <w:lang w:val="es-ES"/>
    </w:rPr>
  </w:style>
  <w:style w:type="paragraph" w:styleId="ListBullet3">
    <w:name w:val="List Bullet 3"/>
    <w:basedOn w:val="Normal"/>
    <w:autoRedefine/>
    <w:semiHidden/>
    <w:rsid w:val="0069717E"/>
    <w:pPr>
      <w:tabs>
        <w:tab w:val="num" w:pos="1080"/>
      </w:tabs>
      <w:ind w:left="1080" w:hanging="360"/>
    </w:pPr>
    <w:rPr>
      <w:lang w:val="es-ES"/>
    </w:rPr>
  </w:style>
  <w:style w:type="paragraph" w:styleId="ListBullet4">
    <w:name w:val="List Bullet 4"/>
    <w:basedOn w:val="Normal"/>
    <w:autoRedefine/>
    <w:semiHidden/>
    <w:rsid w:val="0069717E"/>
    <w:pPr>
      <w:tabs>
        <w:tab w:val="num" w:pos="1440"/>
      </w:tabs>
      <w:ind w:left="1440" w:hanging="360"/>
    </w:pPr>
    <w:rPr>
      <w:lang w:val="es-ES"/>
    </w:rPr>
  </w:style>
  <w:style w:type="paragraph" w:styleId="ListBullet5">
    <w:name w:val="List Bullet 5"/>
    <w:basedOn w:val="Normal"/>
    <w:autoRedefine/>
    <w:semiHidden/>
    <w:rsid w:val="0069717E"/>
    <w:pPr>
      <w:tabs>
        <w:tab w:val="num" w:pos="1800"/>
      </w:tabs>
      <w:ind w:left="1800" w:hanging="360"/>
    </w:pPr>
    <w:rPr>
      <w:lang w:val="es-ES"/>
    </w:rPr>
  </w:style>
  <w:style w:type="paragraph" w:styleId="ListContinue">
    <w:name w:val="List Continue"/>
    <w:basedOn w:val="Normal"/>
    <w:semiHidden/>
    <w:rsid w:val="0069717E"/>
    <w:pPr>
      <w:spacing w:after="120"/>
      <w:ind w:left="360"/>
    </w:pPr>
    <w:rPr>
      <w:lang w:val="es-ES"/>
    </w:rPr>
  </w:style>
  <w:style w:type="paragraph" w:styleId="ListContinue2">
    <w:name w:val="List Continue 2"/>
    <w:basedOn w:val="Normal"/>
    <w:semiHidden/>
    <w:rsid w:val="0069717E"/>
    <w:pPr>
      <w:spacing w:after="120"/>
      <w:ind w:left="720"/>
    </w:pPr>
    <w:rPr>
      <w:lang w:val="es-ES"/>
    </w:rPr>
  </w:style>
  <w:style w:type="paragraph" w:styleId="ListContinue3">
    <w:name w:val="List Continue 3"/>
    <w:basedOn w:val="Normal"/>
    <w:semiHidden/>
    <w:rsid w:val="0069717E"/>
    <w:pPr>
      <w:spacing w:after="120"/>
      <w:ind w:left="1080"/>
    </w:pPr>
    <w:rPr>
      <w:lang w:val="es-ES"/>
    </w:rPr>
  </w:style>
  <w:style w:type="paragraph" w:styleId="ListContinue4">
    <w:name w:val="List Continue 4"/>
    <w:basedOn w:val="Normal"/>
    <w:semiHidden/>
    <w:rsid w:val="0069717E"/>
    <w:pPr>
      <w:spacing w:after="120"/>
      <w:ind w:left="1440"/>
    </w:pPr>
    <w:rPr>
      <w:lang w:val="es-ES"/>
    </w:rPr>
  </w:style>
  <w:style w:type="paragraph" w:styleId="ListContinue5">
    <w:name w:val="List Continue 5"/>
    <w:basedOn w:val="Normal"/>
    <w:semiHidden/>
    <w:rsid w:val="0069717E"/>
    <w:pPr>
      <w:spacing w:after="120"/>
      <w:ind w:left="1800"/>
    </w:pPr>
    <w:rPr>
      <w:lang w:val="es-ES"/>
    </w:rPr>
  </w:style>
  <w:style w:type="paragraph" w:styleId="ListNumber">
    <w:name w:val="List Number"/>
    <w:basedOn w:val="Normal"/>
    <w:semiHidden/>
    <w:rsid w:val="0069717E"/>
    <w:pPr>
      <w:tabs>
        <w:tab w:val="num" w:pos="360"/>
      </w:tabs>
      <w:ind w:left="360" w:hanging="360"/>
    </w:pPr>
    <w:rPr>
      <w:lang w:val="es-ES"/>
    </w:rPr>
  </w:style>
  <w:style w:type="paragraph" w:styleId="ListNumber2">
    <w:name w:val="List Number 2"/>
    <w:basedOn w:val="Normal"/>
    <w:semiHidden/>
    <w:rsid w:val="0069717E"/>
    <w:pPr>
      <w:tabs>
        <w:tab w:val="num" w:pos="720"/>
      </w:tabs>
      <w:ind w:left="720" w:hanging="360"/>
    </w:pPr>
    <w:rPr>
      <w:lang w:val="es-ES"/>
    </w:rPr>
  </w:style>
  <w:style w:type="paragraph" w:styleId="ListNumber3">
    <w:name w:val="List Number 3"/>
    <w:basedOn w:val="Normal"/>
    <w:semiHidden/>
    <w:rsid w:val="0069717E"/>
    <w:pPr>
      <w:tabs>
        <w:tab w:val="num" w:pos="1080"/>
      </w:tabs>
      <w:ind w:left="1080" w:hanging="360"/>
    </w:pPr>
    <w:rPr>
      <w:lang w:val="es-ES"/>
    </w:rPr>
  </w:style>
  <w:style w:type="paragraph" w:styleId="ListNumber4">
    <w:name w:val="List Number 4"/>
    <w:basedOn w:val="Normal"/>
    <w:semiHidden/>
    <w:rsid w:val="0069717E"/>
    <w:pPr>
      <w:tabs>
        <w:tab w:val="num" w:pos="1440"/>
      </w:tabs>
      <w:ind w:left="1440" w:hanging="360"/>
    </w:pPr>
    <w:rPr>
      <w:lang w:val="es-ES"/>
    </w:rPr>
  </w:style>
  <w:style w:type="paragraph" w:styleId="ListNumber5">
    <w:name w:val="List Number 5"/>
    <w:basedOn w:val="Normal"/>
    <w:semiHidden/>
    <w:rsid w:val="0069717E"/>
    <w:pPr>
      <w:tabs>
        <w:tab w:val="num" w:pos="1800"/>
      </w:tabs>
      <w:ind w:left="1800" w:hanging="360"/>
    </w:pPr>
    <w:rPr>
      <w:lang w:val="es-ES"/>
    </w:rPr>
  </w:style>
  <w:style w:type="paragraph" w:styleId="MessageHeader">
    <w:name w:val="Message Header"/>
    <w:basedOn w:val="Normal"/>
    <w:link w:val="MessageHeaderChar"/>
    <w:semiHidden/>
    <w:rsid w:val="0069717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s-ES"/>
    </w:rPr>
  </w:style>
  <w:style w:type="character" w:customStyle="1" w:styleId="MessageHeaderChar">
    <w:name w:val="Message Header Char"/>
    <w:basedOn w:val="DefaultParagraphFont"/>
    <w:link w:val="MessageHeader"/>
    <w:semiHidden/>
    <w:rsid w:val="0069717E"/>
    <w:rPr>
      <w:rFonts w:ascii="Arial" w:hAnsi="Arial" w:cs="Arial"/>
      <w:sz w:val="22"/>
      <w:szCs w:val="24"/>
      <w:shd w:val="pct20" w:color="auto" w:fill="auto"/>
      <w:lang w:val="es-ES"/>
    </w:rPr>
  </w:style>
  <w:style w:type="paragraph" w:styleId="NormalWeb">
    <w:name w:val="Normal (Web)"/>
    <w:basedOn w:val="Normal"/>
    <w:semiHidden/>
    <w:rsid w:val="0069717E"/>
    <w:rPr>
      <w:szCs w:val="24"/>
      <w:lang w:val="es-ES"/>
    </w:rPr>
  </w:style>
  <w:style w:type="paragraph" w:styleId="NormalIndent">
    <w:name w:val="Normal Indent"/>
    <w:basedOn w:val="Normal"/>
    <w:semiHidden/>
    <w:rsid w:val="0069717E"/>
    <w:pPr>
      <w:ind w:left="720"/>
    </w:pPr>
    <w:rPr>
      <w:lang w:val="es-ES"/>
    </w:rPr>
  </w:style>
  <w:style w:type="paragraph" w:styleId="NoteHeading">
    <w:name w:val="Note Heading"/>
    <w:basedOn w:val="Normal"/>
    <w:next w:val="Normal"/>
    <w:link w:val="NoteHeadingChar"/>
    <w:semiHidden/>
    <w:rsid w:val="0069717E"/>
    <w:rPr>
      <w:lang w:val="es-ES"/>
    </w:rPr>
  </w:style>
  <w:style w:type="character" w:customStyle="1" w:styleId="NoteHeadingChar">
    <w:name w:val="Note Heading Char"/>
    <w:basedOn w:val="DefaultParagraphFont"/>
    <w:link w:val="NoteHeading"/>
    <w:semiHidden/>
    <w:rsid w:val="0069717E"/>
    <w:rPr>
      <w:sz w:val="22"/>
      <w:szCs w:val="22"/>
      <w:lang w:val="es-ES"/>
    </w:rPr>
  </w:style>
  <w:style w:type="paragraph" w:styleId="Salutation">
    <w:name w:val="Salutation"/>
    <w:basedOn w:val="Normal"/>
    <w:next w:val="Normal"/>
    <w:link w:val="SalutationChar"/>
    <w:semiHidden/>
    <w:rsid w:val="0069717E"/>
    <w:rPr>
      <w:lang w:val="es-ES"/>
    </w:rPr>
  </w:style>
  <w:style w:type="character" w:customStyle="1" w:styleId="SalutationChar">
    <w:name w:val="Salutation Char"/>
    <w:basedOn w:val="DefaultParagraphFont"/>
    <w:link w:val="Salutation"/>
    <w:semiHidden/>
    <w:rsid w:val="0069717E"/>
    <w:rPr>
      <w:sz w:val="22"/>
      <w:szCs w:val="22"/>
      <w:lang w:val="es-ES"/>
    </w:rPr>
  </w:style>
  <w:style w:type="paragraph" w:styleId="Signature">
    <w:name w:val="Signature"/>
    <w:basedOn w:val="Normal"/>
    <w:link w:val="SignatureChar"/>
    <w:semiHidden/>
    <w:rsid w:val="0069717E"/>
    <w:pPr>
      <w:ind w:left="4320"/>
    </w:pPr>
    <w:rPr>
      <w:lang w:val="es-ES"/>
    </w:rPr>
  </w:style>
  <w:style w:type="character" w:customStyle="1" w:styleId="SignatureChar">
    <w:name w:val="Signature Char"/>
    <w:basedOn w:val="DefaultParagraphFont"/>
    <w:link w:val="Signature"/>
    <w:semiHidden/>
    <w:rsid w:val="0069717E"/>
    <w:rPr>
      <w:sz w:val="22"/>
      <w:szCs w:val="22"/>
      <w:lang w:val="es-ES"/>
    </w:rPr>
  </w:style>
  <w:style w:type="character" w:styleId="Strong">
    <w:name w:val="Strong"/>
    <w:qFormat/>
    <w:rsid w:val="0069717E"/>
    <w:rPr>
      <w:b/>
      <w:bCs/>
    </w:rPr>
  </w:style>
  <w:style w:type="character" w:customStyle="1" w:styleId="Heading4Char">
    <w:name w:val="Heading 4 Char"/>
    <w:aliases w:val="Heading 11 Char,para 4 Char,Título 41 Char,heading 4 Char,Heading 41 Char,标题 41 Char"/>
    <w:link w:val="Heading4"/>
    <w:rsid w:val="0069717E"/>
    <w:rPr>
      <w:sz w:val="22"/>
      <w:szCs w:val="22"/>
      <w:lang w:val="en-GB"/>
    </w:rPr>
  </w:style>
  <w:style w:type="character" w:customStyle="1" w:styleId="Heading5Char">
    <w:name w:val="Heading 5 Char"/>
    <w:link w:val="Heading5"/>
    <w:uiPriority w:val="99"/>
    <w:rsid w:val="0069717E"/>
    <w:rPr>
      <w:sz w:val="22"/>
      <w:szCs w:val="22"/>
      <w:lang w:val="en-GB"/>
    </w:rPr>
  </w:style>
  <w:style w:type="character" w:customStyle="1" w:styleId="Heading6Char">
    <w:name w:val="Heading 6 Char"/>
    <w:link w:val="Heading6"/>
    <w:rsid w:val="0069717E"/>
    <w:rPr>
      <w:rFonts w:ascii="Arial" w:hAnsi="Arial"/>
      <w:i/>
      <w:sz w:val="22"/>
      <w:szCs w:val="22"/>
      <w:lang w:val="en-GB"/>
    </w:rPr>
  </w:style>
  <w:style w:type="character" w:customStyle="1" w:styleId="Heading7Char">
    <w:name w:val="Heading 7 Char"/>
    <w:link w:val="Heading7"/>
    <w:rsid w:val="0069717E"/>
    <w:rPr>
      <w:rFonts w:ascii="Arial" w:hAnsi="Arial"/>
      <w:sz w:val="22"/>
      <w:szCs w:val="22"/>
      <w:lang w:val="en-GB"/>
    </w:rPr>
  </w:style>
  <w:style w:type="character" w:customStyle="1" w:styleId="Heading8Char">
    <w:name w:val="Heading 8 Char"/>
    <w:link w:val="Heading8"/>
    <w:rsid w:val="0069717E"/>
    <w:rPr>
      <w:b/>
      <w:sz w:val="22"/>
      <w:szCs w:val="22"/>
      <w:lang w:val="en-GB"/>
    </w:rPr>
  </w:style>
  <w:style w:type="character" w:customStyle="1" w:styleId="Heading9Char">
    <w:name w:val="Heading 9 Char"/>
    <w:link w:val="Heading9"/>
    <w:rsid w:val="0069717E"/>
    <w:rPr>
      <w:rFonts w:ascii="Arial" w:hAnsi="Arial"/>
      <w:i/>
      <w:sz w:val="18"/>
      <w:szCs w:val="22"/>
      <w:lang w:val="en-GB"/>
    </w:rPr>
  </w:style>
  <w:style w:type="character" w:customStyle="1" w:styleId="BodyText3Char">
    <w:name w:val="Body Text 3 Char"/>
    <w:link w:val="BodyText3"/>
    <w:semiHidden/>
    <w:rsid w:val="0069717E"/>
    <w:rPr>
      <w:sz w:val="16"/>
      <w:szCs w:val="16"/>
      <w:lang w:val="en-GB"/>
    </w:rPr>
  </w:style>
  <w:style w:type="character" w:customStyle="1" w:styleId="BodyTextIndent3Char">
    <w:name w:val="Body Text Indent 3 Char"/>
    <w:link w:val="BodyTextIndent3"/>
    <w:semiHidden/>
    <w:rsid w:val="0069717E"/>
    <w:rPr>
      <w:sz w:val="16"/>
      <w:szCs w:val="16"/>
      <w:lang w:val="en-GB"/>
    </w:rPr>
  </w:style>
  <w:style w:type="character" w:customStyle="1" w:styleId="PlainTextChar">
    <w:name w:val="Plain Text Char"/>
    <w:link w:val="PlainText"/>
    <w:rsid w:val="0069717E"/>
    <w:rPr>
      <w:rFonts w:ascii="Courier New" w:hAnsi="Courier New" w:cs="Courier New"/>
      <w:szCs w:val="22"/>
      <w:lang w:val="en-GB"/>
    </w:rPr>
  </w:style>
  <w:style w:type="character" w:customStyle="1" w:styleId="SubtitleChar">
    <w:name w:val="Subtitle Char"/>
    <w:link w:val="Subtitle"/>
    <w:uiPriority w:val="99"/>
    <w:rsid w:val="0069717E"/>
    <w:rPr>
      <w:rFonts w:ascii="Arial" w:hAnsi="Arial" w:cs="Arial"/>
      <w:sz w:val="22"/>
      <w:szCs w:val="22"/>
      <w:lang w:val="en-GB"/>
    </w:rPr>
  </w:style>
  <w:style w:type="character" w:customStyle="1" w:styleId="TitleChar">
    <w:name w:val="Title Char"/>
    <w:link w:val="Title"/>
    <w:uiPriority w:val="99"/>
    <w:rsid w:val="0069717E"/>
    <w:rPr>
      <w:rFonts w:ascii="Arial" w:hAnsi="Arial" w:cs="Arial"/>
      <w:b/>
      <w:bCs/>
      <w:kern w:val="28"/>
      <w:sz w:val="22"/>
      <w:szCs w:val="22"/>
      <w:lang w:val="en-GB"/>
    </w:rPr>
  </w:style>
  <w:style w:type="character" w:customStyle="1" w:styleId="DateChar">
    <w:name w:val="Date Char"/>
    <w:link w:val="Date"/>
    <w:uiPriority w:val="99"/>
    <w:rsid w:val="0069717E"/>
    <w:rPr>
      <w:sz w:val="22"/>
      <w:szCs w:val="22"/>
      <w:lang w:val="en-GB"/>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69717E"/>
    <w:rPr>
      <w:sz w:val="24"/>
      <w:lang w:val="es-ES" w:eastAsia="en-US" w:bidi="ar-SA"/>
    </w:rPr>
  </w:style>
  <w:style w:type="paragraph" w:customStyle="1" w:styleId="Heading">
    <w:name w:val="Heading"/>
    <w:basedOn w:val="Header"/>
    <w:next w:val="Header"/>
    <w:rsid w:val="0069717E"/>
    <w:pPr>
      <w:tabs>
        <w:tab w:val="clear" w:pos="4320"/>
        <w:tab w:val="clear" w:pos="8640"/>
      </w:tabs>
    </w:pPr>
    <w:rPr>
      <w:b/>
      <w:sz w:val="24"/>
      <w:szCs w:val="20"/>
      <w:u w:val="single"/>
      <w:lang w:val="es-ES"/>
    </w:rPr>
  </w:style>
  <w:style w:type="paragraph" w:customStyle="1" w:styleId="ChapterNumber">
    <w:name w:val="ChapterNumber"/>
    <w:basedOn w:val="Normal"/>
    <w:next w:val="Normal"/>
    <w:rsid w:val="0069717E"/>
    <w:pPr>
      <w:spacing w:after="360"/>
      <w:jc w:val="left"/>
    </w:pPr>
    <w:rPr>
      <w:sz w:val="24"/>
      <w:szCs w:val="20"/>
      <w:lang w:val="es-ES" w:eastAsia="fr-FR"/>
    </w:rPr>
  </w:style>
  <w:style w:type="paragraph" w:customStyle="1" w:styleId="BankNormal">
    <w:name w:val="BankNormal"/>
    <w:basedOn w:val="Normal"/>
    <w:rsid w:val="0069717E"/>
    <w:pPr>
      <w:spacing w:after="240"/>
      <w:jc w:val="left"/>
    </w:pPr>
    <w:rPr>
      <w:sz w:val="24"/>
      <w:szCs w:val="20"/>
      <w:lang w:val="es-ES" w:eastAsia="fr-FR"/>
    </w:rPr>
  </w:style>
  <w:style w:type="paragraph" w:customStyle="1" w:styleId="subhead">
    <w:name w:val="subhead"/>
    <w:basedOn w:val="Normal"/>
    <w:next w:val="Normal"/>
    <w:rsid w:val="0069717E"/>
    <w:pPr>
      <w:tabs>
        <w:tab w:val="left" w:pos="-720"/>
        <w:tab w:val="left" w:pos="0"/>
        <w:tab w:val="left" w:pos="720"/>
        <w:tab w:val="left" w:pos="1440"/>
        <w:tab w:val="left" w:pos="2160"/>
        <w:tab w:val="left" w:pos="2880"/>
        <w:tab w:val="left" w:pos="3600"/>
      </w:tabs>
      <w:jc w:val="center"/>
    </w:pPr>
    <w:rPr>
      <w:sz w:val="24"/>
      <w:szCs w:val="20"/>
      <w:lang w:val="es-ES" w:eastAsia="fr-FR"/>
    </w:rPr>
  </w:style>
  <w:style w:type="paragraph" w:customStyle="1" w:styleId="a-a">
    <w:name w:val="a-(a)"/>
    <w:basedOn w:val="Normal"/>
    <w:next w:val="Normal"/>
    <w:rsid w:val="0069717E"/>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s-ES" w:eastAsia="fr-FR"/>
    </w:rPr>
  </w:style>
  <w:style w:type="paragraph" w:customStyle="1" w:styleId="a-agenda">
    <w:name w:val="a-agenda"/>
    <w:basedOn w:val="Normal"/>
    <w:next w:val="Normal"/>
    <w:rsid w:val="0069717E"/>
    <w:pPr>
      <w:keepNext/>
      <w:keepLines/>
      <w:tabs>
        <w:tab w:val="left" w:pos="-1440"/>
        <w:tab w:val="left" w:pos="-720"/>
        <w:tab w:val="left" w:pos="0"/>
        <w:tab w:val="left" w:pos="720"/>
        <w:tab w:val="left" w:pos="1440"/>
        <w:tab w:val="left" w:pos="2160"/>
        <w:tab w:val="left" w:pos="2880"/>
        <w:tab w:val="left" w:pos="3600"/>
      </w:tabs>
    </w:pPr>
    <w:rPr>
      <w:b/>
      <w:caps/>
      <w:sz w:val="24"/>
      <w:szCs w:val="20"/>
      <w:lang w:val="es-ES" w:eastAsia="fr-FR"/>
    </w:rPr>
  </w:style>
  <w:style w:type="paragraph" w:customStyle="1" w:styleId="a-smalla">
    <w:name w:val="a-small(a)"/>
    <w:basedOn w:val="Normal"/>
    <w:next w:val="Normal"/>
    <w:rsid w:val="0069717E"/>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s-ES" w:eastAsia="fr-FR"/>
    </w:rPr>
  </w:style>
  <w:style w:type="paragraph" w:customStyle="1" w:styleId="a-smalli">
    <w:name w:val="a-small(i)"/>
    <w:basedOn w:val="Normal"/>
    <w:next w:val="Normal"/>
    <w:rsid w:val="0069717E"/>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s-ES" w:eastAsia="fr-FR"/>
    </w:rPr>
  </w:style>
  <w:style w:type="paragraph" w:customStyle="1" w:styleId="a-smalla0">
    <w:name w:val="a-small.a."/>
    <w:basedOn w:val="a-smalli"/>
    <w:next w:val="Normal"/>
    <w:rsid w:val="0069717E"/>
    <w:pPr>
      <w:ind w:left="2880"/>
    </w:pPr>
  </w:style>
  <w:style w:type="character" w:customStyle="1" w:styleId="EquationCaption">
    <w:name w:val="_Equation Caption"/>
    <w:rsid w:val="0069717E"/>
  </w:style>
  <w:style w:type="paragraph" w:customStyle="1" w:styleId="Style1">
    <w:name w:val="Style1"/>
    <w:basedOn w:val="Normal"/>
    <w:rsid w:val="0069717E"/>
    <w:pPr>
      <w:spacing w:after="120"/>
      <w:jc w:val="left"/>
    </w:pPr>
    <w:rPr>
      <w:rFonts w:ascii="Symbol" w:hAnsi="Symbol"/>
      <w:sz w:val="24"/>
      <w:szCs w:val="20"/>
      <w:lang w:val="es-ES" w:eastAsia="fr-FR"/>
    </w:rPr>
  </w:style>
  <w:style w:type="paragraph" w:customStyle="1" w:styleId="wfxRecipient">
    <w:name w:val="wfxRecipient"/>
    <w:basedOn w:val="Normal"/>
    <w:rsid w:val="0069717E"/>
    <w:pPr>
      <w:spacing w:after="120"/>
      <w:jc w:val="left"/>
    </w:pPr>
    <w:rPr>
      <w:sz w:val="24"/>
      <w:szCs w:val="20"/>
      <w:lang w:val="es-ES" w:eastAsia="fr-FR"/>
    </w:rPr>
  </w:style>
  <w:style w:type="paragraph" w:customStyle="1" w:styleId="wfxFaxNum">
    <w:name w:val="wfxFaxNum"/>
    <w:basedOn w:val="Normal"/>
    <w:rsid w:val="0069717E"/>
    <w:pPr>
      <w:spacing w:after="120"/>
      <w:jc w:val="left"/>
    </w:pPr>
    <w:rPr>
      <w:sz w:val="24"/>
      <w:szCs w:val="20"/>
      <w:lang w:val="es-ES" w:eastAsia="fr-FR"/>
    </w:rPr>
  </w:style>
  <w:style w:type="paragraph" w:customStyle="1" w:styleId="FaxBod">
    <w:name w:val="FaxBod"/>
    <w:basedOn w:val="Heading5"/>
    <w:rsid w:val="0069717E"/>
    <w:pPr>
      <w:keepNext w:val="0"/>
      <w:numPr>
        <w:numId w:val="0"/>
      </w:numPr>
      <w:tabs>
        <w:tab w:val="left" w:pos="-540"/>
      </w:tabs>
      <w:ind w:left="450"/>
      <w:jc w:val="left"/>
      <w:outlineLvl w:val="9"/>
    </w:pPr>
    <w:rPr>
      <w:sz w:val="24"/>
      <w:szCs w:val="20"/>
      <w:lang w:val="es-ES"/>
    </w:rPr>
  </w:style>
  <w:style w:type="paragraph" w:customStyle="1" w:styleId="xl34">
    <w:name w:val="xl34"/>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5">
    <w:name w:val="xl35"/>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36">
    <w:name w:val="xl36"/>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7">
    <w:name w:val="xl37"/>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8">
    <w:name w:val="xl38"/>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fr-CA"/>
    </w:rPr>
  </w:style>
  <w:style w:type="paragraph" w:customStyle="1" w:styleId="xl39">
    <w:name w:val="xl39"/>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0">
    <w:name w:val="xl40"/>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1">
    <w:name w:val="xl41"/>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2">
    <w:name w:val="xl42"/>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3">
    <w:name w:val="xl43"/>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eastAsia="fr-CA"/>
    </w:rPr>
  </w:style>
  <w:style w:type="paragraph" w:customStyle="1" w:styleId="xl44">
    <w:name w:val="xl44"/>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5">
    <w:name w:val="xl45"/>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fr-CA"/>
    </w:rPr>
  </w:style>
  <w:style w:type="paragraph" w:customStyle="1" w:styleId="xl46">
    <w:name w:val="xl46"/>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7">
    <w:name w:val="xl47"/>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8">
    <w:name w:val="xl48"/>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xl49">
    <w:name w:val="xl49"/>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eastAsia="fr-CA"/>
    </w:rPr>
  </w:style>
  <w:style w:type="paragraph" w:customStyle="1" w:styleId="country">
    <w:name w:val="country"/>
    <w:basedOn w:val="Normal"/>
    <w:rsid w:val="0069717E"/>
    <w:pPr>
      <w:widowControl w:val="0"/>
      <w:tabs>
        <w:tab w:val="left" w:pos="3600"/>
      </w:tabs>
      <w:autoSpaceDE w:val="0"/>
      <w:autoSpaceDN w:val="0"/>
      <w:adjustRightInd w:val="0"/>
      <w:jc w:val="left"/>
    </w:pPr>
    <w:rPr>
      <w:b/>
      <w:sz w:val="28"/>
      <w:szCs w:val="28"/>
      <w:lang w:val="es-ES"/>
    </w:rPr>
  </w:style>
  <w:style w:type="paragraph" w:customStyle="1" w:styleId="Parastyle">
    <w:name w:val="Para style"/>
    <w:basedOn w:val="Normal"/>
    <w:rsid w:val="0069717E"/>
    <w:pPr>
      <w:widowControl w:val="0"/>
      <w:numPr>
        <w:numId w:val="22"/>
      </w:numPr>
      <w:tabs>
        <w:tab w:val="left" w:pos="90"/>
        <w:tab w:val="left" w:pos="2590"/>
        <w:tab w:val="left" w:pos="7654"/>
        <w:tab w:val="right" w:pos="9964"/>
      </w:tabs>
      <w:autoSpaceDE w:val="0"/>
      <w:autoSpaceDN w:val="0"/>
      <w:adjustRightInd w:val="0"/>
      <w:spacing w:before="377"/>
      <w:jc w:val="left"/>
    </w:pPr>
    <w:rPr>
      <w:sz w:val="24"/>
      <w:szCs w:val="20"/>
      <w:lang w:val="es-ES"/>
    </w:rPr>
  </w:style>
  <w:style w:type="paragraph" w:customStyle="1" w:styleId="xl50">
    <w:name w:val="xl50"/>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rPr>
  </w:style>
  <w:style w:type="paragraph" w:customStyle="1" w:styleId="xl76">
    <w:name w:val="xl76"/>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7">
    <w:name w:val="xl77"/>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8">
    <w:name w:val="xl78"/>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79">
    <w:name w:val="xl79"/>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rPr>
  </w:style>
  <w:style w:type="paragraph" w:customStyle="1" w:styleId="xl80">
    <w:name w:val="xl80"/>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1">
    <w:name w:val="xl81"/>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2">
    <w:name w:val="xl82"/>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3">
    <w:name w:val="xl83"/>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s-ES"/>
    </w:rPr>
  </w:style>
  <w:style w:type="paragraph" w:customStyle="1" w:styleId="xl84">
    <w:name w:val="xl84"/>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5">
    <w:name w:val="xl85"/>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6">
    <w:name w:val="xl86"/>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rPr>
  </w:style>
  <w:style w:type="paragraph" w:customStyle="1" w:styleId="xl87">
    <w:name w:val="xl87"/>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s-ES"/>
    </w:rPr>
  </w:style>
  <w:style w:type="paragraph" w:customStyle="1" w:styleId="xl88">
    <w:name w:val="xl88"/>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rPr>
  </w:style>
  <w:style w:type="paragraph" w:customStyle="1" w:styleId="xl89">
    <w:name w:val="xl89"/>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0">
    <w:name w:val="xl90"/>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1">
    <w:name w:val="xl91"/>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2">
    <w:name w:val="xl92"/>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s-ES"/>
    </w:rPr>
  </w:style>
  <w:style w:type="paragraph" w:customStyle="1" w:styleId="xl93">
    <w:name w:val="xl93"/>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4">
    <w:name w:val="xl94"/>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5">
    <w:name w:val="xl95"/>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6">
    <w:name w:val="xl96"/>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s-ES"/>
    </w:rPr>
  </w:style>
  <w:style w:type="paragraph" w:customStyle="1" w:styleId="xl97">
    <w:name w:val="xl97"/>
    <w:basedOn w:val="Normal"/>
    <w:rsid w:val="0069717E"/>
    <w:pPr>
      <w:spacing w:before="100" w:beforeAutospacing="1" w:after="100" w:afterAutospacing="1"/>
      <w:jc w:val="left"/>
    </w:pPr>
    <w:rPr>
      <w:b/>
      <w:bCs/>
      <w:sz w:val="16"/>
      <w:szCs w:val="16"/>
      <w:lang w:val="es-ES"/>
    </w:rPr>
  </w:style>
  <w:style w:type="paragraph" w:styleId="EndnoteText">
    <w:name w:val="endnote text"/>
    <w:basedOn w:val="Normal"/>
    <w:link w:val="EndnoteTextChar"/>
    <w:uiPriority w:val="99"/>
    <w:semiHidden/>
    <w:unhideWhenUsed/>
    <w:rsid w:val="0069717E"/>
    <w:rPr>
      <w:sz w:val="20"/>
      <w:szCs w:val="20"/>
      <w:lang w:val="es-ES"/>
    </w:rPr>
  </w:style>
  <w:style w:type="character" w:customStyle="1" w:styleId="EndnoteTextChar">
    <w:name w:val="Endnote Text Char"/>
    <w:basedOn w:val="DefaultParagraphFont"/>
    <w:link w:val="EndnoteText"/>
    <w:uiPriority w:val="99"/>
    <w:semiHidden/>
    <w:rsid w:val="0069717E"/>
    <w:rPr>
      <w:lang w:val="es-ES"/>
    </w:rPr>
  </w:style>
  <w:style w:type="character" w:styleId="EndnoteReference">
    <w:name w:val="endnote reference"/>
    <w:uiPriority w:val="99"/>
    <w:semiHidden/>
    <w:unhideWhenUsed/>
    <w:rsid w:val="0069717E"/>
    <w:rPr>
      <w:vertAlign w:val="superscript"/>
    </w:rPr>
  </w:style>
  <w:style w:type="paragraph" w:customStyle="1" w:styleId="xl75">
    <w:name w:val="xl75"/>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s-ES" w:eastAsia="en-CA"/>
    </w:rPr>
  </w:style>
  <w:style w:type="paragraph" w:customStyle="1" w:styleId="xl98">
    <w:name w:val="xl98"/>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ES" w:eastAsia="en-CA"/>
    </w:rPr>
  </w:style>
  <w:style w:type="paragraph" w:customStyle="1" w:styleId="xl99">
    <w:name w:val="xl99"/>
    <w:basedOn w:val="Normal"/>
    <w:rsid w:val="0069717E"/>
    <w:pPr>
      <w:spacing w:before="100" w:beforeAutospacing="1" w:after="100" w:afterAutospacing="1"/>
      <w:jc w:val="left"/>
    </w:pPr>
    <w:rPr>
      <w:b/>
      <w:bCs/>
      <w:sz w:val="24"/>
      <w:szCs w:val="24"/>
      <w:lang w:val="es-ES" w:eastAsia="en-CA"/>
    </w:rPr>
  </w:style>
  <w:style w:type="paragraph" w:customStyle="1" w:styleId="xl66">
    <w:name w:val="xl66"/>
    <w:basedOn w:val="Normal"/>
    <w:rsid w:val="0069717E"/>
    <w:pPr>
      <w:spacing w:before="100" w:beforeAutospacing="1" w:after="100" w:afterAutospacing="1"/>
      <w:jc w:val="center"/>
      <w:textAlignment w:val="top"/>
    </w:pPr>
    <w:rPr>
      <w:sz w:val="16"/>
      <w:szCs w:val="16"/>
      <w:lang w:val="es-ES" w:eastAsia="en-CA"/>
    </w:rPr>
  </w:style>
  <w:style w:type="paragraph" w:customStyle="1" w:styleId="xl67">
    <w:name w:val="xl67"/>
    <w:basedOn w:val="Normal"/>
    <w:rsid w:val="0069717E"/>
    <w:pPr>
      <w:spacing w:before="100" w:beforeAutospacing="1" w:after="100" w:afterAutospacing="1"/>
      <w:jc w:val="left"/>
    </w:pPr>
    <w:rPr>
      <w:sz w:val="16"/>
      <w:szCs w:val="16"/>
      <w:lang w:val="es-ES" w:eastAsia="en-CA"/>
    </w:rPr>
  </w:style>
  <w:style w:type="paragraph" w:customStyle="1" w:styleId="xl68">
    <w:name w:val="xl68"/>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69">
    <w:name w:val="xl69"/>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0">
    <w:name w:val="xl70"/>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1">
    <w:name w:val="xl71"/>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s-ES" w:eastAsia="en-CA"/>
    </w:rPr>
  </w:style>
  <w:style w:type="paragraph" w:customStyle="1" w:styleId="xl72">
    <w:name w:val="xl72"/>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xl73">
    <w:name w:val="xl73"/>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s-ES" w:eastAsia="en-CA"/>
    </w:rPr>
  </w:style>
  <w:style w:type="paragraph" w:customStyle="1" w:styleId="xl74">
    <w:name w:val="xl74"/>
    <w:basedOn w:val="Normal"/>
    <w:rsid w:val="0069717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s-ES" w:eastAsia="en-CA"/>
    </w:rPr>
  </w:style>
  <w:style w:type="paragraph" w:customStyle="1" w:styleId="font5">
    <w:name w:val="font5"/>
    <w:basedOn w:val="Normal"/>
    <w:rsid w:val="0069717E"/>
    <w:pPr>
      <w:spacing w:before="100" w:beforeAutospacing="1" w:after="100" w:afterAutospacing="1"/>
      <w:jc w:val="left"/>
    </w:pPr>
    <w:rPr>
      <w:sz w:val="16"/>
      <w:szCs w:val="16"/>
      <w:lang w:val="es-ES" w:eastAsia="en-CA"/>
    </w:rPr>
  </w:style>
  <w:style w:type="paragraph" w:customStyle="1" w:styleId="font6">
    <w:name w:val="font6"/>
    <w:basedOn w:val="Normal"/>
    <w:rsid w:val="0069717E"/>
    <w:pPr>
      <w:spacing w:before="100" w:beforeAutospacing="1" w:after="100" w:afterAutospacing="1"/>
      <w:jc w:val="left"/>
    </w:pPr>
    <w:rPr>
      <w:sz w:val="16"/>
      <w:szCs w:val="16"/>
      <w:lang w:val="es-ES" w:eastAsia="en-CA"/>
    </w:rPr>
  </w:style>
  <w:style w:type="paragraph" w:customStyle="1" w:styleId="xl63">
    <w:name w:val="xl63"/>
    <w:basedOn w:val="Normal"/>
    <w:rsid w:val="0069717E"/>
    <w:pPr>
      <w:spacing w:before="100" w:beforeAutospacing="1" w:after="100" w:afterAutospacing="1"/>
      <w:jc w:val="center"/>
      <w:textAlignment w:val="top"/>
    </w:pPr>
    <w:rPr>
      <w:b/>
      <w:bCs/>
      <w:sz w:val="16"/>
      <w:szCs w:val="16"/>
      <w:lang w:val="es-ES" w:eastAsia="en-CA"/>
    </w:rPr>
  </w:style>
  <w:style w:type="paragraph" w:customStyle="1" w:styleId="xl64">
    <w:name w:val="xl64"/>
    <w:basedOn w:val="Normal"/>
    <w:rsid w:val="0069717E"/>
    <w:pPr>
      <w:spacing w:before="100" w:beforeAutospacing="1" w:after="100" w:afterAutospacing="1"/>
      <w:jc w:val="center"/>
      <w:textAlignment w:val="top"/>
    </w:pPr>
    <w:rPr>
      <w:b/>
      <w:bCs/>
      <w:sz w:val="16"/>
      <w:szCs w:val="16"/>
      <w:lang w:val="es-ES" w:eastAsia="en-CA"/>
    </w:rPr>
  </w:style>
  <w:style w:type="paragraph" w:customStyle="1" w:styleId="xl65">
    <w:name w:val="xl65"/>
    <w:basedOn w:val="Normal"/>
    <w:rsid w:val="0069717E"/>
    <w:pPr>
      <w:spacing w:before="100" w:beforeAutospacing="1" w:after="100" w:afterAutospacing="1"/>
      <w:jc w:val="left"/>
      <w:textAlignment w:val="top"/>
    </w:pPr>
    <w:rPr>
      <w:sz w:val="16"/>
      <w:szCs w:val="16"/>
      <w:lang w:val="es-ES" w:eastAsia="en-CA"/>
    </w:rPr>
  </w:style>
  <w:style w:type="numbering" w:customStyle="1" w:styleId="NoList1">
    <w:name w:val="No List1"/>
    <w:next w:val="NoList"/>
    <w:uiPriority w:val="99"/>
    <w:semiHidden/>
    <w:unhideWhenUsed/>
    <w:rsid w:val="0069717E"/>
  </w:style>
  <w:style w:type="paragraph" w:customStyle="1" w:styleId="Formatvorlage1">
    <w:name w:val="Formatvorlage1"/>
    <w:basedOn w:val="Heading1"/>
    <w:next w:val="Normal"/>
    <w:autoRedefine/>
    <w:qFormat/>
    <w:rsid w:val="0069717E"/>
    <w:pPr>
      <w:numPr>
        <w:numId w:val="0"/>
      </w:numPr>
      <w:tabs>
        <w:tab w:val="num" w:pos="0"/>
      </w:tabs>
      <w:spacing w:after="120"/>
    </w:pPr>
    <w:rPr>
      <w:rFonts w:asciiTheme="minorHAnsi" w:hAnsiTheme="minorHAnsi"/>
      <w:bCs/>
      <w:sz w:val="24"/>
      <w:szCs w:val="24"/>
      <w:lang w:val="es-ES"/>
    </w:rPr>
  </w:style>
  <w:style w:type="paragraph" w:customStyle="1" w:styleId="CH4">
    <w:name w:val="CH4"/>
    <w:basedOn w:val="Normal"/>
    <w:next w:val="Normal"/>
    <w:rsid w:val="0069717E"/>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s-ES"/>
    </w:rPr>
  </w:style>
  <w:style w:type="paragraph" w:customStyle="1" w:styleId="Normalpool">
    <w:name w:val="Normal_pool"/>
    <w:link w:val="NormalpoolChar"/>
    <w:rsid w:val="0069717E"/>
    <w:pPr>
      <w:tabs>
        <w:tab w:val="left" w:pos="1247"/>
        <w:tab w:val="left" w:pos="1814"/>
        <w:tab w:val="left" w:pos="2381"/>
        <w:tab w:val="left" w:pos="2948"/>
        <w:tab w:val="left" w:pos="3515"/>
        <w:tab w:val="left" w:pos="4082"/>
      </w:tabs>
    </w:pPr>
    <w:rPr>
      <w:lang w:val="es-ES"/>
    </w:rPr>
  </w:style>
  <w:style w:type="character" w:customStyle="1" w:styleId="NormalpoolChar">
    <w:name w:val="Normal_pool Char"/>
    <w:link w:val="Normalpool"/>
    <w:locked/>
    <w:rsid w:val="0069717E"/>
    <w:rPr>
      <w:lang w:val="es-ES"/>
    </w:rPr>
  </w:style>
  <w:style w:type="paragraph" w:customStyle="1" w:styleId="msonormal0">
    <w:name w:val="msonormal"/>
    <w:basedOn w:val="Normal"/>
    <w:rsid w:val="0069717E"/>
    <w:pPr>
      <w:spacing w:before="100" w:beforeAutospacing="1" w:after="100" w:afterAutospacing="1"/>
      <w:jc w:val="left"/>
    </w:pPr>
    <w:rPr>
      <w:sz w:val="24"/>
      <w:szCs w:val="24"/>
      <w:lang w:val="es-ES"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9717E"/>
    <w:pPr>
      <w:spacing w:after="160" w:line="240" w:lineRule="exact"/>
    </w:pPr>
    <w:rPr>
      <w:sz w:val="24"/>
      <w:szCs w:val="24"/>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6.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6.xml"/><Relationship Id="rId47" Type="http://schemas.openxmlformats.org/officeDocument/2006/relationships/customXml" Target="../customXml/item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5.xml"/><Relationship Id="rId40" Type="http://schemas.openxmlformats.org/officeDocument/2006/relationships/header" Target="header17.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13.xml"/><Relationship Id="rId49"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footer" Target="footer1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oter" Target="footer10.xml"/><Relationship Id="rId35" Type="http://schemas.openxmlformats.org/officeDocument/2006/relationships/footer" Target="footer12.xml"/><Relationship Id="rId43" Type="http://schemas.openxmlformats.org/officeDocument/2006/relationships/header" Target="header18.xml"/><Relationship Id="rId48" Type="http://schemas.openxmlformats.org/officeDocument/2006/relationships/customXml" Target="../customXml/item3.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oter" Target="footer14.xml"/><Relationship Id="rId46" Type="http://schemas.openxmlformats.org/officeDocument/2006/relationships/theme" Target="theme/theme1.xml"/><Relationship Id="rId20" Type="http://schemas.openxmlformats.org/officeDocument/2006/relationships/header" Target="header6.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ive\Google%20Drive\Traducciones\202010%20ONU\plantillas\S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Document_x0020_Number xmlns="e6e1f9e0-8f48-4721-871b-80b3d7694360">UNEP/OzL.Pro/ExCom/86/15</Document_x0020_Number>
    <Posted_x0020_after_x0020_IAP xmlns="4aeb65a0-cd8f-45aa-a04d-ad1384b86dfc">true</Posted_x0020_after_x0020_IAP>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D0BB4E-EC92-4FBC-A605-038951996EEE}"/>
</file>

<file path=customXml/itemProps2.xml><?xml version="1.0" encoding="utf-8"?>
<ds:datastoreItem xmlns:ds="http://schemas.openxmlformats.org/officeDocument/2006/customXml" ds:itemID="{75225F75-973E-4D4D-8ABA-5DC30501E8D0}"/>
</file>

<file path=customXml/itemProps3.xml><?xml version="1.0" encoding="utf-8"?>
<ds:datastoreItem xmlns:ds="http://schemas.openxmlformats.org/officeDocument/2006/customXml" ds:itemID="{9CC0DB4D-A3C6-4E2A-9925-7C9858D5F9EA}"/>
</file>

<file path=customXml/itemProps4.xml><?xml version="1.0" encoding="utf-8"?>
<ds:datastoreItem xmlns:ds="http://schemas.openxmlformats.org/officeDocument/2006/customXml" ds:itemID="{C8C5F902-4FCF-4AF9-AA04-9185D06F1AF0}"/>
</file>

<file path=docProps/app.xml><?xml version="1.0" encoding="utf-8"?>
<Properties xmlns="http://schemas.openxmlformats.org/officeDocument/2006/extended-properties" xmlns:vt="http://schemas.openxmlformats.org/officeDocument/2006/docPropsVTypes">
  <Template>S86-template</Template>
  <TotalTime>221</TotalTime>
  <Pages>38</Pages>
  <Words>11984</Words>
  <Characters>68313</Characters>
  <Application>Microsoft Office Word</Application>
  <DocSecurity>0</DocSecurity>
  <Lines>569</Lines>
  <Paragraphs>160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refundido sobre la marcha de las actividades a 31 de diciembre de 2019</vt:lpstr>
      <vt:lpstr>Orden del dia provisional</vt:lpstr>
    </vt:vector>
  </TitlesOfParts>
  <Company>UNMFS</Company>
  <LinksUpToDate>false</LinksUpToDate>
  <CharactersWithSpaces>80137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sobre la marcha de las actividades a 31 de diciembre de 2019</dc:title>
  <dc:creator/>
  <cp:lastModifiedBy>HB</cp:lastModifiedBy>
  <cp:revision>11</cp:revision>
  <cp:lastPrinted>2001-05-26T16:40:00Z</cp:lastPrinted>
  <dcterms:created xsi:type="dcterms:W3CDTF">2020-11-05T14:26:00Z</dcterms:created>
  <dcterms:modified xsi:type="dcterms:W3CDTF">2020-11-18T22:28:00Z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UNEP/OzL.Pro/ExCom/86/15</vt:lpwstr>
  </property>
  <property fmtid="{D5CDD505-2E9C-101B-9397-08002B2CF9AE}" pid="3" name="Revision date">
    <vt:lpwstr>10/23/2020</vt:lpwstr>
  </property>
  <property fmtid="{D5CDD505-2E9C-101B-9397-08002B2CF9AE}" pid="4" name="ContentTypeId">
    <vt:lpwstr>0x0101009701D9FFF1782646B282AA80F917E68F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