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3005DD" w14:paraId="38A3C500" w14:textId="77777777" w:rsidTr="00EE02EA">
        <w:trPr>
          <w:trHeight w:val="720"/>
        </w:trPr>
        <w:tc>
          <w:tcPr>
            <w:tcW w:w="5961" w:type="dxa"/>
            <w:gridSpan w:val="2"/>
            <w:tcBorders>
              <w:bottom w:val="single" w:sz="18" w:space="0" w:color="auto"/>
            </w:tcBorders>
          </w:tcPr>
          <w:p w14:paraId="7CA80641" w14:textId="77777777" w:rsidR="00C15867" w:rsidRPr="003005D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5504EA77" w14:textId="77777777" w:rsidR="00C15867" w:rsidRPr="003005DD" w:rsidRDefault="00C15867" w:rsidP="009C59F7">
            <w:pPr>
              <w:jc w:val="right"/>
              <w:rPr>
                <w:sz w:val="52"/>
                <w:szCs w:val="52"/>
              </w:rPr>
            </w:pPr>
            <w:r>
              <w:rPr>
                <w:rFonts w:ascii="Univers Bold" w:hAnsi="Univers Bold"/>
                <w:b/>
                <w:sz w:val="72"/>
              </w:rPr>
              <w:t>EP</w:t>
            </w:r>
          </w:p>
        </w:tc>
      </w:tr>
      <w:tr w:rsidR="00C15867" w:rsidRPr="003005DD" w14:paraId="3EDA80E5" w14:textId="77777777" w:rsidTr="00EE02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DC96ECF" w14:textId="77777777" w:rsidR="00C15867" w:rsidRPr="003005DD"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1603FE2D" wp14:editId="323ABE3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6AA406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6C29141F" w14:textId="77777777" w:rsidR="00EE02EA" w:rsidRDefault="00EE02E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3ACE4ED" w14:textId="351E72DB" w:rsidR="00C15867" w:rsidRPr="003005D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0AD716F7" w14:textId="77777777" w:rsidR="00C15867" w:rsidRPr="003005D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7898C46A" w14:textId="77777777" w:rsidR="00C15867" w:rsidRPr="003005DD" w:rsidRDefault="00C15867" w:rsidP="00D455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17B409AD" w14:textId="77777777" w:rsidR="00C15867" w:rsidRPr="003005DD" w:rsidRDefault="00C15867" w:rsidP="009C59F7">
            <w:pPr>
              <w:spacing w:before="720"/>
              <w:ind w:left="158"/>
            </w:pPr>
          </w:p>
        </w:tc>
        <w:tc>
          <w:tcPr>
            <w:tcW w:w="4590" w:type="dxa"/>
            <w:tcBorders>
              <w:top w:val="nil"/>
              <w:left w:val="nil"/>
              <w:bottom w:val="single" w:sz="36" w:space="0" w:color="auto"/>
              <w:right w:val="nil"/>
            </w:tcBorders>
          </w:tcPr>
          <w:p w14:paraId="394F9FE5" w14:textId="77777777" w:rsidR="00EE02EA" w:rsidRDefault="00EE02EA" w:rsidP="009C59F7"/>
          <w:p w14:paraId="70E3EC5D" w14:textId="7EF5DDEC" w:rsidR="00C15867" w:rsidRPr="003005DD" w:rsidRDefault="00C15867" w:rsidP="009C59F7">
            <w:proofErr w:type="spellStart"/>
            <w:r>
              <w:t>Distr</w:t>
            </w:r>
            <w:proofErr w:type="spellEnd"/>
            <w:r>
              <w:t>.</w:t>
            </w:r>
          </w:p>
          <w:p w14:paraId="72EFA6AA" w14:textId="77777777" w:rsidR="00923540" w:rsidRPr="003005DD" w:rsidRDefault="00923540" w:rsidP="00923540">
            <w:r>
              <w:t>GENERAL</w:t>
            </w:r>
          </w:p>
          <w:p w14:paraId="6ED9C3C3" w14:textId="77777777" w:rsidR="00C15867" w:rsidRPr="003005DD" w:rsidRDefault="00C15867" w:rsidP="009C59F7"/>
          <w:p w14:paraId="195D57BA" w14:textId="00CF6EB7" w:rsidR="00D455E1" w:rsidRPr="003005DD" w:rsidRDefault="00784461" w:rsidP="00D455E1">
            <w:r>
              <w:fldChar w:fldCharType="begin"/>
            </w:r>
            <w:r>
              <w:instrText xml:space="preserve"> DOCPROPERTY "Document number"  \* MERGEFORMAT </w:instrText>
            </w:r>
            <w:r>
              <w:fldChar w:fldCharType="separate"/>
            </w:r>
            <w:r w:rsidR="00D455E1">
              <w:t>UNEP/</w:t>
            </w:r>
            <w:proofErr w:type="spellStart"/>
            <w:r w:rsidR="00D455E1">
              <w:t>OzL.Pro</w:t>
            </w:r>
            <w:proofErr w:type="spellEnd"/>
            <w:r w:rsidR="00D455E1">
              <w:t>/</w:t>
            </w:r>
            <w:proofErr w:type="spellStart"/>
            <w:r w:rsidR="00D455E1">
              <w:t>ExCom</w:t>
            </w:r>
            <w:proofErr w:type="spellEnd"/>
            <w:r w:rsidR="00D455E1">
              <w:t>/91/7</w:t>
            </w:r>
            <w:r>
              <w:fldChar w:fldCharType="end"/>
            </w:r>
          </w:p>
          <w:p w14:paraId="320011D0" w14:textId="7393865E" w:rsidR="00C15867" w:rsidRPr="003005DD" w:rsidRDefault="009A4852" w:rsidP="009C59F7">
            <w:r>
              <w:t>15 de noviembre de 2022</w:t>
            </w:r>
          </w:p>
          <w:p w14:paraId="47B825F7" w14:textId="3EB5E317" w:rsidR="00C15867" w:rsidRDefault="00C15867" w:rsidP="009C59F7">
            <w:pPr>
              <w:rPr>
                <w:caps/>
              </w:rPr>
            </w:pPr>
          </w:p>
          <w:p w14:paraId="777306F4" w14:textId="77777777" w:rsidR="00EE02EA" w:rsidRPr="006C7704" w:rsidRDefault="00EE02EA" w:rsidP="00EE02EA">
            <w:pPr>
              <w:rPr>
                <w:lang w:val="es-ES_tradnl"/>
              </w:rPr>
            </w:pPr>
            <w:r w:rsidRPr="006C7704">
              <w:rPr>
                <w:lang w:val="es-ES_tradnl"/>
              </w:rPr>
              <w:t xml:space="preserve">ESPAÑOL </w:t>
            </w:r>
          </w:p>
          <w:p w14:paraId="7E95408E" w14:textId="12DEC298" w:rsidR="00C15867" w:rsidRPr="003005DD" w:rsidRDefault="00EE02EA" w:rsidP="00EE02EA">
            <w:r w:rsidRPr="006C7704">
              <w:rPr>
                <w:lang w:val="es-ES_tradnl"/>
              </w:rPr>
              <w:t>ORIGINAL: INGLÉS</w:t>
            </w:r>
          </w:p>
        </w:tc>
      </w:tr>
    </w:tbl>
    <w:p w14:paraId="5F8FAE07" w14:textId="77777777" w:rsidR="00CA59FB" w:rsidRPr="003005DD" w:rsidRDefault="00C15867" w:rsidP="00CA59FB">
      <w:pPr>
        <w:jc w:val="left"/>
      </w:pPr>
      <w:r>
        <w:t>COMITÉ EJECUTIVO DEL FONDO MULTILATERAL</w:t>
      </w:r>
      <w:r>
        <w:br/>
        <w:t xml:space="preserve">  PARA LA APLICACIÓN DEL</w:t>
      </w:r>
      <w:r>
        <w:br/>
        <w:t xml:space="preserve">  PROTOCOLO DE MONTREAL</w:t>
      </w:r>
      <w:r>
        <w:br/>
        <w:t>Nonagésima primera reunión</w:t>
      </w:r>
    </w:p>
    <w:p w14:paraId="26141E68" w14:textId="588E0AD6" w:rsidR="00CA59FB" w:rsidRDefault="00CA59FB" w:rsidP="00CA59FB">
      <w:pPr>
        <w:jc w:val="left"/>
      </w:pPr>
      <w:r>
        <w:t>Montreal, 5-9 de diciembre de 2022</w:t>
      </w:r>
    </w:p>
    <w:p w14:paraId="5BCEE284" w14:textId="6E7B870B" w:rsidR="003021B1" w:rsidRDefault="005610F8" w:rsidP="003021B1">
      <w:pPr>
        <w:jc w:val="left"/>
      </w:pPr>
      <w:r>
        <w:t xml:space="preserve">Cuestión </w:t>
      </w:r>
      <w:r w:rsidR="003021B1">
        <w:t>4(d) del orden del día provisional</w:t>
      </w:r>
      <w:r w:rsidR="003021B1" w:rsidRPr="00512BEF">
        <w:rPr>
          <w:rStyle w:val="FootnoteReference"/>
        </w:rPr>
        <w:footnoteReference w:id="1"/>
      </w:r>
    </w:p>
    <w:p w14:paraId="5C429B7B" w14:textId="7E6ECC3A" w:rsidR="003021B1" w:rsidRDefault="003021B1" w:rsidP="00CA59FB">
      <w:pPr>
        <w:jc w:val="left"/>
      </w:pPr>
    </w:p>
    <w:p w14:paraId="7B9DC2EE" w14:textId="77777777" w:rsidR="00966083" w:rsidRPr="003005DD" w:rsidRDefault="00966083" w:rsidP="00CA59FB">
      <w:pPr>
        <w:jc w:val="left"/>
      </w:pPr>
    </w:p>
    <w:p w14:paraId="2D48D8FB" w14:textId="77777777" w:rsidR="007D7F0D" w:rsidRPr="00F61C70" w:rsidRDefault="007D7F0D" w:rsidP="00FB1218">
      <w:pPr>
        <w:jc w:val="left"/>
        <w:rPr>
          <w:sz w:val="24"/>
          <w:szCs w:val="24"/>
        </w:rPr>
      </w:pPr>
    </w:p>
    <w:p w14:paraId="1F50CFCD" w14:textId="77777777" w:rsidR="005610F8" w:rsidRDefault="00D455E1" w:rsidP="005610F8">
      <w:pPr>
        <w:jc w:val="center"/>
        <w:rPr>
          <w:b/>
          <w:sz w:val="24"/>
          <w:szCs w:val="24"/>
        </w:rPr>
      </w:pPr>
      <w:r>
        <w:rPr>
          <w:b/>
          <w:sz w:val="24"/>
          <w:szCs w:val="24"/>
        </w:rPr>
        <w:t>PRESUPUESTOS</w:t>
      </w:r>
      <w:r w:rsidR="005610F8">
        <w:rPr>
          <w:b/>
          <w:sz w:val="24"/>
          <w:szCs w:val="24"/>
        </w:rPr>
        <w:t xml:space="preserve"> </w:t>
      </w:r>
      <w:r w:rsidR="005610F8">
        <w:rPr>
          <w:b/>
          <w:sz w:val="24"/>
          <w:szCs w:val="24"/>
        </w:rPr>
        <w:t>DE LA SECRETARÍA DEL FONDO</w:t>
      </w:r>
    </w:p>
    <w:p w14:paraId="407084A9" w14:textId="39826944" w:rsidR="008F38A6" w:rsidRPr="00F61C70" w:rsidRDefault="00D455E1" w:rsidP="004408E9">
      <w:pPr>
        <w:jc w:val="center"/>
        <w:rPr>
          <w:b/>
          <w:sz w:val="24"/>
          <w:szCs w:val="24"/>
        </w:rPr>
      </w:pPr>
      <w:r>
        <w:rPr>
          <w:b/>
          <w:sz w:val="24"/>
          <w:szCs w:val="24"/>
        </w:rPr>
        <w:t xml:space="preserve"> REVISADOS PARA 2023 Y 2024</w:t>
      </w:r>
      <w:r w:rsidR="005610F8">
        <w:rPr>
          <w:b/>
          <w:sz w:val="24"/>
          <w:szCs w:val="24"/>
        </w:rPr>
        <w:t xml:space="preserve"> </w:t>
      </w:r>
      <w:r>
        <w:rPr>
          <w:b/>
          <w:sz w:val="24"/>
          <w:szCs w:val="24"/>
        </w:rPr>
        <w:t xml:space="preserve">Y </w:t>
      </w:r>
      <w:r w:rsidR="005610F8">
        <w:rPr>
          <w:b/>
          <w:sz w:val="24"/>
          <w:szCs w:val="24"/>
        </w:rPr>
        <w:t xml:space="preserve">PRESUPUESTO </w:t>
      </w:r>
      <w:r>
        <w:rPr>
          <w:b/>
          <w:sz w:val="24"/>
          <w:szCs w:val="24"/>
        </w:rPr>
        <w:t>PROPUEST</w:t>
      </w:r>
      <w:r w:rsidR="005610F8">
        <w:rPr>
          <w:b/>
          <w:sz w:val="24"/>
          <w:szCs w:val="24"/>
        </w:rPr>
        <w:t>O</w:t>
      </w:r>
      <w:r>
        <w:rPr>
          <w:b/>
          <w:sz w:val="24"/>
          <w:szCs w:val="24"/>
        </w:rPr>
        <w:t xml:space="preserve"> PARA 2025 </w:t>
      </w:r>
    </w:p>
    <w:p w14:paraId="597035BA" w14:textId="5B0D3516" w:rsidR="00FB1218" w:rsidRDefault="00FB1218" w:rsidP="00FB1218"/>
    <w:p w14:paraId="24BA6F9A" w14:textId="77777777" w:rsidR="005610F8" w:rsidRDefault="005610F8" w:rsidP="00FB1218"/>
    <w:p w14:paraId="0C478101" w14:textId="5883F33D" w:rsidR="000A55E7" w:rsidRPr="00EA170B" w:rsidRDefault="000A55E7" w:rsidP="00FB1218">
      <w:pPr>
        <w:rPr>
          <w:b/>
          <w:bCs/>
          <w:sz w:val="24"/>
          <w:szCs w:val="24"/>
        </w:rPr>
      </w:pPr>
      <w:r>
        <w:rPr>
          <w:b/>
          <w:bCs/>
          <w:sz w:val="24"/>
          <w:szCs w:val="24"/>
        </w:rPr>
        <w:t>Introducción</w:t>
      </w:r>
    </w:p>
    <w:p w14:paraId="751B49D7" w14:textId="77777777" w:rsidR="000A55E7" w:rsidRPr="003005DD" w:rsidRDefault="000A55E7" w:rsidP="00FB1218"/>
    <w:p w14:paraId="23BA303A" w14:textId="20E856F6" w:rsidR="00FB1218" w:rsidRDefault="00FB1218" w:rsidP="00C43AFB">
      <w:pPr>
        <w:pStyle w:val="Heading1"/>
        <w:spacing w:after="0"/>
      </w:pPr>
      <w:r>
        <w:t>El documento está formado por las siguientes secciones:</w:t>
      </w:r>
    </w:p>
    <w:p w14:paraId="0C5CDC8F" w14:textId="77777777" w:rsidR="004A113E" w:rsidRPr="004A113E" w:rsidRDefault="004A113E" w:rsidP="00EA170B"/>
    <w:p w14:paraId="659393F3" w14:textId="74BB59CD" w:rsidR="007D7F0D" w:rsidRPr="007E0579" w:rsidRDefault="007D7F0D" w:rsidP="007D7F0D">
      <w:pPr>
        <w:pStyle w:val="ListParagraph"/>
        <w:numPr>
          <w:ilvl w:val="0"/>
          <w:numId w:val="38"/>
        </w:numPr>
        <w:spacing w:line="360" w:lineRule="auto"/>
        <w:ind w:left="1565" w:hanging="777"/>
      </w:pPr>
      <w:r>
        <w:t>Presupuesto real de 2021</w:t>
      </w:r>
    </w:p>
    <w:p w14:paraId="699FC0D8" w14:textId="25EDA5E2" w:rsidR="007D7F0D" w:rsidRPr="007E0579" w:rsidRDefault="007D7F0D" w:rsidP="007D7F0D">
      <w:pPr>
        <w:pStyle w:val="ListParagraph"/>
        <w:numPr>
          <w:ilvl w:val="0"/>
          <w:numId w:val="38"/>
        </w:numPr>
        <w:spacing w:line="360" w:lineRule="auto"/>
        <w:ind w:left="1565" w:hanging="777"/>
      </w:pPr>
      <w:r>
        <w:t>Presupuesto revisado para 2023</w:t>
      </w:r>
    </w:p>
    <w:p w14:paraId="30B60A11" w14:textId="38AFA2CC" w:rsidR="007D7F0D" w:rsidRPr="007E0579" w:rsidRDefault="007D7F0D" w:rsidP="007D7F0D">
      <w:pPr>
        <w:pStyle w:val="ListParagraph"/>
        <w:numPr>
          <w:ilvl w:val="0"/>
          <w:numId w:val="38"/>
        </w:numPr>
        <w:spacing w:line="360" w:lineRule="auto"/>
        <w:ind w:left="1565" w:hanging="777"/>
      </w:pPr>
      <w:r>
        <w:t>Presupuesto revisado para 2024</w:t>
      </w:r>
    </w:p>
    <w:p w14:paraId="52AD01B8" w14:textId="7E30E0C4" w:rsidR="007D7F0D" w:rsidRPr="007E0579" w:rsidRDefault="007D7F0D" w:rsidP="007D7F0D">
      <w:pPr>
        <w:pStyle w:val="ListParagraph"/>
        <w:numPr>
          <w:ilvl w:val="0"/>
          <w:numId w:val="38"/>
        </w:numPr>
        <w:spacing w:line="360" w:lineRule="auto"/>
        <w:ind w:left="1565" w:hanging="777"/>
      </w:pPr>
      <w:r>
        <w:t>Presupuesto propuesto para 2025</w:t>
      </w:r>
    </w:p>
    <w:p w14:paraId="5227DDFD" w14:textId="222036FD" w:rsidR="007D7F0D" w:rsidRDefault="007D7F0D" w:rsidP="007D7F0D">
      <w:pPr>
        <w:pStyle w:val="ListParagraph"/>
        <w:numPr>
          <w:ilvl w:val="0"/>
          <w:numId w:val="38"/>
        </w:numPr>
        <w:spacing w:line="360" w:lineRule="auto"/>
        <w:ind w:left="1565" w:hanging="777"/>
      </w:pPr>
      <w:r>
        <w:t>Recursos adicionales propuestos</w:t>
      </w:r>
    </w:p>
    <w:p w14:paraId="48EA59A8" w14:textId="17BE2DC6" w:rsidR="007D7F0D" w:rsidRPr="007E0579" w:rsidRDefault="007D7F0D" w:rsidP="007D7F0D">
      <w:pPr>
        <w:pStyle w:val="ListParagraph"/>
        <w:numPr>
          <w:ilvl w:val="0"/>
          <w:numId w:val="38"/>
        </w:numPr>
        <w:spacing w:line="360" w:lineRule="auto"/>
        <w:ind w:left="1565" w:hanging="777"/>
      </w:pPr>
      <w:r>
        <w:t>Formato de presupuesto propuesto</w:t>
      </w:r>
    </w:p>
    <w:p w14:paraId="5E7C0D32" w14:textId="018BDB75" w:rsidR="007D7F0D" w:rsidRPr="007E0579" w:rsidRDefault="007D7F0D" w:rsidP="007D7F0D">
      <w:pPr>
        <w:pStyle w:val="ListParagraph"/>
        <w:numPr>
          <w:ilvl w:val="0"/>
          <w:numId w:val="38"/>
        </w:numPr>
        <w:spacing w:line="360" w:lineRule="auto"/>
        <w:ind w:left="1565" w:hanging="777"/>
      </w:pPr>
      <w:r>
        <w:t>Recomendación</w:t>
      </w:r>
    </w:p>
    <w:p w14:paraId="4D65E536" w14:textId="77777777" w:rsidR="00FB1218" w:rsidRPr="003005DD" w:rsidRDefault="00FB1218" w:rsidP="00FB1218">
      <w:pPr>
        <w:ind w:left="1440"/>
        <w:contextualSpacing/>
        <w:rPr>
          <w:color w:val="000000" w:themeColor="text1"/>
        </w:rPr>
      </w:pPr>
    </w:p>
    <w:p w14:paraId="3D4F4C63" w14:textId="5B9D823F" w:rsidR="00D61917" w:rsidRDefault="00FB1218" w:rsidP="009D1042">
      <w:pPr>
        <w:pStyle w:val="Heading1"/>
        <w:spacing w:after="0"/>
      </w:pPr>
      <w:r>
        <w:t xml:space="preserve">Las tablas de los presupuestos revisados para 2023 y 2024, y las propuestas de presupuestos para 2025 de la Secretaría del Fondo se presentan en el anexo I del presente documento. El anexo II presenta el organigrama actual de la Secretaría, mientras que el anexo III presenta una propuesta de formato presupuestario revisado. </w:t>
      </w:r>
    </w:p>
    <w:p w14:paraId="66B17E43" w14:textId="51F42840" w:rsidR="00966083" w:rsidRDefault="00966083">
      <w:pPr>
        <w:jc w:val="left"/>
        <w:rPr>
          <w:color w:val="000000" w:themeColor="text1"/>
        </w:rPr>
      </w:pPr>
      <w:r>
        <w:rPr>
          <w:color w:val="000000" w:themeColor="text1"/>
        </w:rPr>
        <w:br w:type="page"/>
      </w:r>
    </w:p>
    <w:p w14:paraId="1EB8F51F" w14:textId="77777777" w:rsidR="00FB1218" w:rsidRPr="003005DD" w:rsidRDefault="00FB1218" w:rsidP="00FB1218">
      <w:pPr>
        <w:ind w:left="1440"/>
        <w:contextualSpacing/>
        <w:rPr>
          <w:color w:val="000000" w:themeColor="text1"/>
        </w:rPr>
      </w:pPr>
    </w:p>
    <w:p w14:paraId="7F8860AE" w14:textId="5201B7A9" w:rsidR="00D23CE5" w:rsidRPr="000267FE" w:rsidRDefault="00D23CE5" w:rsidP="006E786E">
      <w:pPr>
        <w:pStyle w:val="ListParagraph"/>
        <w:numPr>
          <w:ilvl w:val="0"/>
          <w:numId w:val="35"/>
        </w:numPr>
        <w:ind w:left="709" w:hanging="709"/>
        <w:rPr>
          <w:b/>
          <w:bCs/>
          <w:sz w:val="24"/>
          <w:szCs w:val="24"/>
        </w:rPr>
      </w:pPr>
      <w:r>
        <w:rPr>
          <w:b/>
          <w:bCs/>
          <w:sz w:val="24"/>
          <w:szCs w:val="24"/>
        </w:rPr>
        <w:t>Presupuesto real de 2021</w:t>
      </w:r>
    </w:p>
    <w:p w14:paraId="34C4F9F2" w14:textId="573EC888" w:rsidR="00D23CE5" w:rsidRDefault="00D23CE5" w:rsidP="00FB1218">
      <w:pPr>
        <w:contextualSpacing/>
        <w:rPr>
          <w:b/>
          <w:bCs/>
        </w:rPr>
      </w:pPr>
    </w:p>
    <w:p w14:paraId="1E9FDE3A" w14:textId="5E6FA5C0" w:rsidR="00D23CE5" w:rsidRDefault="00D23CE5" w:rsidP="00D23CE5">
      <w:pPr>
        <w:pStyle w:val="Heading1"/>
      </w:pPr>
      <w:r>
        <w:t>El Tesorero ha presentado a la 91ª reunión las cuentas definitivas correspondientes a 2021</w:t>
      </w:r>
      <w:r>
        <w:rPr>
          <w:rStyle w:val="FootnoteReference"/>
        </w:rPr>
        <w:footnoteReference w:id="2"/>
      </w:r>
      <w:r>
        <w:t xml:space="preserve">. El cuadro 1.3 (gastos reales del presupuesto de la Secretaría en 2021) del documento, indica un saldo no gastado de 1 491 964 $EUA después de la reasignación de 264 136 $EUA (249 136 $EUA del presupuesto de la Secretaría y 15 000 $EUA del presupuesto del programa de trabajo de seguimiento y evaluación) al presupuesto aprobado para 2022. El saldo no utilizado se devolverá al Fondo Multilateral en la 91ª reunión. </w:t>
      </w:r>
    </w:p>
    <w:p w14:paraId="5C2073C4" w14:textId="522069CD" w:rsidR="00D61917" w:rsidRDefault="009B676B" w:rsidP="00A619BB">
      <w:pPr>
        <w:ind w:left="709" w:hanging="709"/>
        <w:contextualSpacing/>
        <w:rPr>
          <w:b/>
          <w:bCs/>
          <w:sz w:val="24"/>
          <w:szCs w:val="24"/>
        </w:rPr>
      </w:pPr>
      <w:r>
        <w:rPr>
          <w:b/>
          <w:bCs/>
          <w:sz w:val="24"/>
          <w:szCs w:val="24"/>
        </w:rPr>
        <w:t xml:space="preserve">II. </w:t>
      </w:r>
      <w:r>
        <w:rPr>
          <w:b/>
          <w:bCs/>
          <w:sz w:val="24"/>
          <w:szCs w:val="24"/>
        </w:rPr>
        <w:tab/>
        <w:t>Presupuesto revisado para 2023</w:t>
      </w:r>
    </w:p>
    <w:p w14:paraId="07BAE013" w14:textId="77777777" w:rsidR="00FB1218" w:rsidRPr="003005DD" w:rsidRDefault="00FB1218" w:rsidP="00FB1218">
      <w:pPr>
        <w:rPr>
          <w:b/>
          <w:bCs/>
        </w:rPr>
      </w:pPr>
    </w:p>
    <w:p w14:paraId="33BC0A53" w14:textId="40B030F0" w:rsidR="009534BE" w:rsidRPr="003005DD" w:rsidRDefault="001832B9" w:rsidP="00FB1218">
      <w:pPr>
        <w:pStyle w:val="Heading1"/>
        <w:spacing w:after="0"/>
      </w:pPr>
      <w:r>
        <w:t xml:space="preserve">En la 87ª reunión, el Comité Ejecutivo examinó y aprobó el presupuesto para 2023 (decisión 87/3(b)), basado en un aumento del 3% con respecto al presupuesto revisado de 2022, que incluía una reducción del 20% de los gastos de personal. Al preparar los futuros presupuestos, la Secretaría se comprometió </w:t>
      </w:r>
      <w:proofErr w:type="gramStart"/>
      <w:r>
        <w:t>a</w:t>
      </w:r>
      <w:proofErr w:type="gramEnd"/>
      <w:r>
        <w:t xml:space="preserve"> tener en cuenta los gastos reales de personal incurridos en las líneas presupuestarias de personal. </w:t>
      </w:r>
    </w:p>
    <w:p w14:paraId="0028A5C0" w14:textId="77777777" w:rsidR="009534BE" w:rsidRPr="003005DD" w:rsidRDefault="009534BE" w:rsidP="00A76BFD">
      <w:pPr>
        <w:pStyle w:val="Heading1"/>
        <w:numPr>
          <w:ilvl w:val="0"/>
          <w:numId w:val="0"/>
        </w:numPr>
        <w:spacing w:after="0"/>
      </w:pPr>
    </w:p>
    <w:p w14:paraId="443B196B" w14:textId="228E5DFE" w:rsidR="00625E37" w:rsidRPr="00A76BFD" w:rsidRDefault="00A0190F" w:rsidP="00FB1218">
      <w:pPr>
        <w:pStyle w:val="Heading1"/>
        <w:spacing w:after="0"/>
      </w:pPr>
      <w:r>
        <w:t>Al analizar sus gastos de personal reales mensuales durante los tres primeros trimestres de 2022, la Secretaría prevé un rebasamiento neto de 290 000 $EUA con respecto a sus líneas presupuestarias de personal a 31 de diciembre de 2022. El déficit previsto se desglosa en 443 000 $EUA en la categoría de personal profesional y se compensa parcialmente con 153 000 $EUA de ahorro en la categoría de personal de servicios generales. La tabla 1 siguiente presenta más detalles sobre los gastos de personal reales y previstos para 2022.</w:t>
      </w:r>
    </w:p>
    <w:p w14:paraId="40D0A5FF" w14:textId="045AA137" w:rsidR="009B0500" w:rsidRPr="00A76BFD" w:rsidRDefault="009B0500" w:rsidP="00625E37"/>
    <w:p w14:paraId="5D2A65F0" w14:textId="1E35A537" w:rsidR="009B0500" w:rsidRPr="003005DD" w:rsidRDefault="009B0500" w:rsidP="00403B9A">
      <w:pPr>
        <w:spacing w:after="80"/>
        <w:outlineLvl w:val="0"/>
        <w:rPr>
          <w:b/>
          <w:sz w:val="21"/>
          <w:szCs w:val="21"/>
        </w:rPr>
      </w:pPr>
      <w:r>
        <w:rPr>
          <w:b/>
          <w:sz w:val="21"/>
          <w:szCs w:val="21"/>
        </w:rPr>
        <w:t>Tabla 1: ejecución del presupuesto de personal en 2022, real y prevista ($EUA)</w:t>
      </w:r>
    </w:p>
    <w:p w14:paraId="2D71FE91" w14:textId="3AD7D10E" w:rsidR="009B0500" w:rsidRPr="003005DD" w:rsidRDefault="0012266E" w:rsidP="009B0500">
      <w:pPr>
        <w:outlineLvl w:val="0"/>
        <w:rPr>
          <w:b/>
          <w:sz w:val="21"/>
          <w:szCs w:val="21"/>
        </w:rPr>
      </w:pPr>
      <w:r>
        <w:rPr>
          <w:noProof/>
        </w:rPr>
        <w:drawing>
          <wp:inline distT="0" distB="0" distL="0" distR="0" wp14:anchorId="047BE5B3" wp14:editId="577CF399">
            <wp:extent cx="5943600" cy="756920"/>
            <wp:effectExtent l="0" t="0" r="0" b="5080"/>
            <wp:docPr id="6" name="Picture 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graphical user interface&#10;&#10;Description automatically generated"/>
                    <pic:cNvPicPr/>
                  </pic:nvPicPr>
                  <pic:blipFill>
                    <a:blip r:embed="rId15"/>
                    <a:stretch>
                      <a:fillRect/>
                    </a:stretch>
                  </pic:blipFill>
                  <pic:spPr>
                    <a:xfrm>
                      <a:off x="0" y="0"/>
                      <a:ext cx="5943600" cy="756920"/>
                    </a:xfrm>
                    <a:prstGeom prst="rect">
                      <a:avLst/>
                    </a:prstGeom>
                  </pic:spPr>
                </pic:pic>
              </a:graphicData>
            </a:graphic>
          </wp:inline>
        </w:drawing>
      </w:r>
    </w:p>
    <w:p w14:paraId="34B7C9C7" w14:textId="6BCEDBA5" w:rsidR="009B0500" w:rsidRDefault="009B0500" w:rsidP="009B0500">
      <w:pPr>
        <w:outlineLvl w:val="0"/>
        <w:rPr>
          <w:b/>
          <w:sz w:val="21"/>
          <w:szCs w:val="21"/>
          <w:lang w:val="en-GB"/>
        </w:rPr>
      </w:pPr>
    </w:p>
    <w:p w14:paraId="0A6BEE02" w14:textId="3BE585DA" w:rsidR="00840755" w:rsidRDefault="00625E37" w:rsidP="00FB1218">
      <w:pPr>
        <w:pStyle w:val="Heading1"/>
        <w:spacing w:after="0"/>
      </w:pPr>
      <w:r>
        <w:t>En consecuencia, la Secretaría presenta el presupuesto revisado para 2023, basado en los gastos de personal reales y previstos para 2022. La provisión tiene en cuenta el costo superior previsto para 2022, que asciende a 290 000 $EUA, pero excluye los costos no recurrentes relacionados con los derechos de instalación de los tres miembros del personal profesional contratados en 2022. El presupuesto global revisado para 2023 es de 7 624 640 $EUA, frente al presupuesto aprobado de 7 039 830 $EUA. Aunque esta revisión refleja un aumento de 584 811 $EUA, es decir, un 8,3%, si se excluye el rebasamiento de 2022, el aumento sería sólo de 294 588 $EUA, es decir, un 4%.</w:t>
      </w:r>
    </w:p>
    <w:p w14:paraId="7FBF8FD0" w14:textId="19D91A38" w:rsidR="00DA4357" w:rsidRDefault="00DA4357" w:rsidP="00DA4357"/>
    <w:p w14:paraId="5818B12F" w14:textId="6F26849C" w:rsidR="00D81915" w:rsidRDefault="00DD4922" w:rsidP="00DA4357">
      <w:pPr>
        <w:pStyle w:val="Heading1"/>
        <w:spacing w:after="0"/>
      </w:pPr>
      <w:r>
        <w:t xml:space="preserve">Las estimaciones presupuestarias no relacionadas con el personal no se han revisado en este documento. Sin embargo, dado el fuerte aumento de los precios provocado por las tasas de inflación mundiales, la Secretaría está analizando y poniendo a prueba sus actuales provisiones presupuestarias no relacionadas con el personal frente a los costos reales de 2022. Esto se refiere principalmente a los costos de los servicios de conferencias y reuniones, que han sido objeto de aumentos significativos en términos de alquiler de salas de conferencias, traducción, interpretación, redacción de informes y viajes. Para garantizar los datos más viables desde el punto de vista financiero, la evolución de los gastos de las tres reuniones celebradas en 2022 servirá de base para presentar un presupuesto revisado para el año 2023 y siguientes.  </w:t>
      </w:r>
    </w:p>
    <w:p w14:paraId="36E23055" w14:textId="1492E3F8" w:rsidR="00D61917" w:rsidRDefault="00D61917" w:rsidP="001F47E1">
      <w:pPr>
        <w:contextualSpacing/>
        <w:rPr>
          <w:b/>
          <w:bCs/>
          <w:sz w:val="24"/>
          <w:szCs w:val="24"/>
        </w:rPr>
      </w:pPr>
    </w:p>
    <w:p w14:paraId="5DA7A773" w14:textId="77504B23" w:rsidR="00625E37" w:rsidRPr="00925F2B" w:rsidRDefault="00D23CE5" w:rsidP="00966083">
      <w:pPr>
        <w:pStyle w:val="ListParagraph"/>
        <w:keepNext/>
        <w:keepLines/>
        <w:numPr>
          <w:ilvl w:val="0"/>
          <w:numId w:val="36"/>
        </w:numPr>
        <w:tabs>
          <w:tab w:val="left" w:pos="709"/>
        </w:tabs>
        <w:ind w:left="709" w:hanging="709"/>
        <w:rPr>
          <w:color w:val="000000" w:themeColor="text1"/>
          <w:sz w:val="24"/>
          <w:szCs w:val="24"/>
        </w:rPr>
      </w:pPr>
      <w:r>
        <w:rPr>
          <w:b/>
          <w:bCs/>
          <w:sz w:val="24"/>
          <w:szCs w:val="24"/>
        </w:rPr>
        <w:lastRenderedPageBreak/>
        <w:t xml:space="preserve">Presupuesto revisado para 2024  </w:t>
      </w:r>
    </w:p>
    <w:p w14:paraId="575A1269" w14:textId="77777777" w:rsidR="001F47E1" w:rsidRPr="00A76BFD" w:rsidRDefault="001F47E1" w:rsidP="00966083">
      <w:pPr>
        <w:keepNext/>
        <w:keepLines/>
        <w:contextualSpacing/>
        <w:rPr>
          <w:color w:val="000000" w:themeColor="text1"/>
        </w:rPr>
      </w:pPr>
    </w:p>
    <w:p w14:paraId="7DF839B7" w14:textId="3356658F" w:rsidR="00904287" w:rsidRPr="003005DD" w:rsidRDefault="00906F9D" w:rsidP="00966083">
      <w:pPr>
        <w:pStyle w:val="Heading1"/>
        <w:keepNext/>
        <w:keepLines/>
        <w:spacing w:after="0"/>
      </w:pPr>
      <w:r>
        <w:t xml:space="preserve">La Secretaría ajustó el presupuesto aprobado para 2024 para reflejar las estimaciones revisadas de 2023 y aplicó una tasa de inflación del 3%. El resto de las líneas presupuestarias se mantienen sin cambios. </w:t>
      </w:r>
    </w:p>
    <w:p w14:paraId="780028FB" w14:textId="77777777" w:rsidR="006E2148" w:rsidRPr="003005DD" w:rsidRDefault="006E2148" w:rsidP="00966083">
      <w:pPr>
        <w:keepNext/>
        <w:keepLines/>
      </w:pPr>
    </w:p>
    <w:p w14:paraId="4EA71898" w14:textId="2D228020" w:rsidR="00D80C64" w:rsidRPr="00925F2B" w:rsidRDefault="00D80C64" w:rsidP="00A619BB">
      <w:pPr>
        <w:pStyle w:val="ListParagraph"/>
        <w:numPr>
          <w:ilvl w:val="0"/>
          <w:numId w:val="36"/>
        </w:numPr>
        <w:ind w:left="709" w:hanging="709"/>
        <w:rPr>
          <w:b/>
          <w:bCs/>
          <w:sz w:val="24"/>
          <w:szCs w:val="24"/>
        </w:rPr>
      </w:pPr>
      <w:r>
        <w:rPr>
          <w:b/>
          <w:bCs/>
          <w:sz w:val="24"/>
          <w:szCs w:val="24"/>
        </w:rPr>
        <w:t>Presupuesto propuesto para 2025</w:t>
      </w:r>
    </w:p>
    <w:p w14:paraId="606DEB3D" w14:textId="77777777" w:rsidR="00904287" w:rsidRPr="003005DD" w:rsidRDefault="00904287" w:rsidP="00A76BFD">
      <w:pPr>
        <w:pStyle w:val="Heading1"/>
        <w:numPr>
          <w:ilvl w:val="0"/>
          <w:numId w:val="0"/>
        </w:numPr>
        <w:spacing w:after="0"/>
      </w:pPr>
    </w:p>
    <w:p w14:paraId="2327B018" w14:textId="62406AD2" w:rsidR="00EA40B6" w:rsidRPr="003005DD" w:rsidRDefault="00490E56" w:rsidP="007D7F0D">
      <w:pPr>
        <w:pStyle w:val="Heading1"/>
        <w:widowControl w:val="0"/>
        <w:spacing w:after="0"/>
      </w:pPr>
      <w:r>
        <w:t>El proyecto de presupuesto para 2025 se basa en el presupuesto revisado para 2024. Se consignan reservas para dos reuniones del Comité Ejecutivo, y se sigue aplicando una tasa de inflación del 3 % a los gastos de personal solamente.</w:t>
      </w:r>
    </w:p>
    <w:p w14:paraId="74AD04EB" w14:textId="5060D076" w:rsidR="00EA40B6" w:rsidRDefault="00EA40B6" w:rsidP="007D7F0D">
      <w:pPr>
        <w:pStyle w:val="Heading1"/>
        <w:widowControl w:val="0"/>
        <w:numPr>
          <w:ilvl w:val="0"/>
          <w:numId w:val="0"/>
        </w:numPr>
        <w:spacing w:after="0"/>
      </w:pPr>
    </w:p>
    <w:p w14:paraId="569C8C8A" w14:textId="234C71B0" w:rsidR="008C4B86" w:rsidRDefault="008C4B86" w:rsidP="005608EB">
      <w:pPr>
        <w:pStyle w:val="ListParagraph"/>
        <w:keepNext/>
        <w:numPr>
          <w:ilvl w:val="0"/>
          <w:numId w:val="36"/>
        </w:numPr>
        <w:ind w:left="706" w:hanging="709"/>
        <w:rPr>
          <w:b/>
          <w:bCs/>
          <w:sz w:val="24"/>
          <w:szCs w:val="24"/>
        </w:rPr>
      </w:pPr>
      <w:r>
        <w:rPr>
          <w:b/>
          <w:bCs/>
          <w:sz w:val="24"/>
          <w:szCs w:val="24"/>
        </w:rPr>
        <w:t xml:space="preserve">Recursos adicionales propuestos </w:t>
      </w:r>
    </w:p>
    <w:p w14:paraId="46B23D1C" w14:textId="77777777" w:rsidR="007D7F0D" w:rsidRDefault="007D7F0D" w:rsidP="005608EB">
      <w:pPr>
        <w:pStyle w:val="ListParagraph"/>
        <w:keepNext/>
        <w:ind w:left="706"/>
        <w:rPr>
          <w:b/>
          <w:bCs/>
          <w:sz w:val="24"/>
          <w:szCs w:val="24"/>
        </w:rPr>
      </w:pPr>
    </w:p>
    <w:p w14:paraId="0CD56CCB" w14:textId="650A8F7D" w:rsidR="00EC19CA" w:rsidRDefault="00B464E7" w:rsidP="005608EB">
      <w:pPr>
        <w:pStyle w:val="Heading1"/>
        <w:spacing w:after="0"/>
      </w:pPr>
      <w:r>
        <w:t>La Secretaría desea solicitar la orientación y aprobación del Comité Ejecutivo para las siguientes necesidades de recursos adicionales. Posteriormente, si se aprueba y en su caso, el presupuesto de 2023 en adelante se ajustará para reflejar las estimaciones de gastos asociados.</w:t>
      </w:r>
    </w:p>
    <w:p w14:paraId="612F95E2" w14:textId="77777777" w:rsidR="007D7F0D" w:rsidRPr="007D7F0D" w:rsidRDefault="007D7F0D" w:rsidP="007D7F0D"/>
    <w:p w14:paraId="6D6C8E79" w14:textId="5DE0936F" w:rsidR="007400E0" w:rsidRDefault="00047E4C" w:rsidP="007D7F0D">
      <w:pPr>
        <w:keepLines/>
        <w:rPr>
          <w:u w:val="single"/>
        </w:rPr>
      </w:pPr>
      <w:r>
        <w:rPr>
          <w:u w:val="single"/>
        </w:rPr>
        <w:t>Cambios de personal - 495 400 $EUA (a partir de 2023)</w:t>
      </w:r>
    </w:p>
    <w:p w14:paraId="7C1047ED" w14:textId="77777777" w:rsidR="00A84F34" w:rsidRPr="0063792B" w:rsidRDefault="00A84F34" w:rsidP="007D7F0D">
      <w:pPr>
        <w:keepLines/>
        <w:rPr>
          <w:u w:val="single"/>
        </w:rPr>
      </w:pPr>
    </w:p>
    <w:p w14:paraId="0C77B4F7" w14:textId="263FCE32" w:rsidR="00AC16F8" w:rsidRDefault="003E40FF" w:rsidP="007D7F0D">
      <w:pPr>
        <w:pStyle w:val="Heading1"/>
        <w:keepLines/>
      </w:pPr>
      <w:r>
        <w:t>Como se presentó en el análisis relacionado con la capacidad de las instituciones del Fondo Multilateral para abordar la eliminación de los HFC</w:t>
      </w:r>
      <w:r>
        <w:rPr>
          <w:rStyle w:val="FootnoteReference"/>
        </w:rPr>
        <w:footnoteReference w:id="3"/>
      </w:r>
      <w:r>
        <w:t>, se requieren ajustes para abordar nuevas áreas de trabajo y mejoras de las áreas existentes para la Secretaría, entre otras cosas, la reestructuración de las responsabilidades actuales de planificación de actividades y presentación de informes sobre la marcha de las actividades para centrarse en la inteligencia empresarial y las finanzas para mejorar el análisis de la gestión financiera del Fondo; el fortalecimiento de la capacidad de revisión de proyectos, incluida la creación de capacidad técnica sobre cuestiones relacionadas con la eficiencia energética y otras cuestiones emergentes; y la gestión del nuevo sistema de gestión del conocimiento Por lo tanto, la Secretaría presenta a la consideración del Comité Ejecutivo una solicitud de creación de dos puestos de trabajo de categoría P</w:t>
      </w:r>
      <w:r w:rsidR="00D455E1">
        <w:noBreakHyphen/>
      </w:r>
      <w:r>
        <w:t xml:space="preserve">4, a partir de 2023 y con una implicación presupuestaria de 247 700 $EUA cada uno. </w:t>
      </w:r>
    </w:p>
    <w:p w14:paraId="7A6EA237" w14:textId="7EF59E21" w:rsidR="00836987" w:rsidRDefault="007453B6" w:rsidP="00836987">
      <w:pPr>
        <w:rPr>
          <w:u w:val="single"/>
        </w:rPr>
      </w:pPr>
      <w:r>
        <w:rPr>
          <w:u w:val="single"/>
        </w:rPr>
        <w:t>Viajes y dietas para un delegado adicional del Artículo 5: 7 700 $EUA (a partir de 2023)</w:t>
      </w:r>
    </w:p>
    <w:p w14:paraId="04F1491D" w14:textId="77777777" w:rsidR="00A60733" w:rsidRPr="00836987" w:rsidRDefault="00A60733" w:rsidP="00F00E06"/>
    <w:p w14:paraId="75D24A18" w14:textId="1CC0B964" w:rsidR="00366BA2" w:rsidRDefault="001B1FB1" w:rsidP="001B1FB1">
      <w:pPr>
        <w:pStyle w:val="Heading1"/>
        <w:spacing w:after="0"/>
      </w:pPr>
      <w:r>
        <w:t>La decisión XXXIV/17 de las Partes solicitó al Comité Ejecutivo que estudiara la posibilidad de aumentar la financiación asignada a los viajes de las Partes que operan en virtud del párrafo 1 del Artículo 5 del Protocolo en el presupuesto de la Secretaría del Fondo, con el fin de apoyar la participación en las reuniones del Comité Ejecutivo de una Parte que opere en virtud del párrafo 1 del Artículo 5 del Protocolo y que no sea admisible a través del sistema de rotación existente para un puesto en el Comité Ejecutivo para el año en cuestión, en el entendimiento de que la Parte en cuestión podría ser cooptada por otra Parte que opere en virtud del párrafo 1 del Artículo 5 del Protocolo y que ocupe el puesto rotatorio para el año en cuestión. A la espera de la decisión del Comité Ejecutivo al respecto, los costos de un delegado adicional del Artículo 5 para participar en las reuniones bianuales del Comité Ejecutivo se estiman en 7 700 $EUA.</w:t>
      </w:r>
    </w:p>
    <w:p w14:paraId="3F2DC286" w14:textId="77777777" w:rsidR="002242C5" w:rsidRPr="002242C5" w:rsidRDefault="002242C5" w:rsidP="00B77585"/>
    <w:p w14:paraId="38849929" w14:textId="0571BB73" w:rsidR="00047E4C" w:rsidRPr="00527C66" w:rsidRDefault="003C3DD1" w:rsidP="00527C66">
      <w:pPr>
        <w:spacing w:after="240"/>
        <w:rPr>
          <w:u w:val="single"/>
        </w:rPr>
      </w:pPr>
      <w:r>
        <w:rPr>
          <w:u w:val="single"/>
        </w:rPr>
        <w:t>Sistema de gestión de conocimientos - 358 000 $EUA (2023) y 542 000 $EUA (2024)</w:t>
      </w:r>
    </w:p>
    <w:p w14:paraId="4ABBB74B" w14:textId="4859F472" w:rsidR="00194D53" w:rsidRPr="003005DD" w:rsidRDefault="00203FBE" w:rsidP="003F7813">
      <w:pPr>
        <w:pStyle w:val="Heading1"/>
      </w:pPr>
      <w:r>
        <w:rPr>
          <w:rStyle w:val="ListParagraph1"/>
          <w:b w:val="0"/>
          <w:bCs w:val="0"/>
        </w:rPr>
        <w:t>Como se presenta en la actualización de la estrategia de información del Fondo Multilateral</w:t>
      </w:r>
      <w:r w:rsidR="00100857">
        <w:rPr>
          <w:rStyle w:val="FootnoteReference"/>
        </w:rPr>
        <w:footnoteReference w:id="4"/>
      </w:r>
      <w:r>
        <w:t>, los costos estimados para la creación de la nueva gestión de conocimientos en tres etapas oscilarán entre 1</w:t>
      </w:r>
      <w:r w:rsidR="00D455E1">
        <w:t> </w:t>
      </w:r>
      <w:r>
        <w:t xml:space="preserve">millón y 1,3 millones $EUA. Las estimaciones de costos propuestas son actualmente sólo para la etapa 1 (250 000 a 350 000 $EUA) y la etapa 2 (450 000 a 550 000 $EUA), mientras que la etapa 3 se solicitará una vez que se implementen las etapas anteriores. En consonancia con el calendario y los hitos de los proyectos, el presupuesto de las etapas 1 y 2 se desglosará en dos años (2023 y 2024) para reflejar porciones </w:t>
      </w:r>
      <w:r>
        <w:lastRenderedPageBreak/>
        <w:t>iguales de 175 000 $EUA para la etapa 1, mientras que la etapa 2 se dotará de 183 000 $EUA (33%) en el primer año y de 367 000 $EUA (67%) en el segundo. Los presupuestos propuestos se ajustarán en el año siguiente para reflejar los servicios contractuales y comprometidos con mayor precisión.</w:t>
      </w:r>
    </w:p>
    <w:p w14:paraId="39857807" w14:textId="15FBEF48" w:rsidR="000960FA" w:rsidRPr="00527C66" w:rsidRDefault="000960FA" w:rsidP="00527C66">
      <w:pPr>
        <w:spacing w:after="240"/>
        <w:rPr>
          <w:u w:val="single"/>
        </w:rPr>
      </w:pPr>
      <w:r>
        <w:rPr>
          <w:u w:val="single"/>
        </w:rPr>
        <w:t xml:space="preserve">Apoyo a </w:t>
      </w:r>
      <w:proofErr w:type="spellStart"/>
      <w:r>
        <w:rPr>
          <w:u w:val="single"/>
        </w:rPr>
        <w:t>Umoja</w:t>
      </w:r>
      <w:proofErr w:type="spellEnd"/>
      <w:r>
        <w:rPr>
          <w:u w:val="single"/>
        </w:rPr>
        <w:t xml:space="preserve"> - 115 000 $EUA (2023) y 60 000 $EUA (2024 en adelante)</w:t>
      </w:r>
    </w:p>
    <w:p w14:paraId="15B0D279" w14:textId="402988C1" w:rsidR="00484056" w:rsidRPr="00A76BFD" w:rsidRDefault="00484056" w:rsidP="00A76BFD">
      <w:pPr>
        <w:pStyle w:val="Heading1"/>
      </w:pPr>
      <w:r>
        <w:t xml:space="preserve">En su resolución 63/262, la Asamblea General aprobó el acuerdo de reparto de costos para financiar el proyecto </w:t>
      </w:r>
      <w:proofErr w:type="spellStart"/>
      <w:r>
        <w:t>Umoja</w:t>
      </w:r>
      <w:proofErr w:type="spellEnd"/>
      <w:r>
        <w:t xml:space="preserve"> de planificación de recursos empresariales para la Secretaría de las Naciones Unidas en todo el mundo. Los costos corporativos comprenden el proyecto </w:t>
      </w:r>
      <w:proofErr w:type="spellStart"/>
      <w:r>
        <w:t>Umoja</w:t>
      </w:r>
      <w:proofErr w:type="spellEnd"/>
      <w:r>
        <w:t xml:space="preserve">, el mantenimiento de </w:t>
      </w:r>
      <w:proofErr w:type="spellStart"/>
      <w:r>
        <w:t>Umoja</w:t>
      </w:r>
      <w:proofErr w:type="spellEnd"/>
      <w:r>
        <w:t xml:space="preserve"> y el mantenimiento de los datos maestros de </w:t>
      </w:r>
      <w:proofErr w:type="spellStart"/>
      <w:r>
        <w:t>Umoja</w:t>
      </w:r>
      <w:proofErr w:type="spellEnd"/>
      <w:r>
        <w:t>. En 2022, los costos totales ascendieron a 30 645 700 $EUA, de los cuales 18 905 473 $EUA son pagados por las oficinas con sede en Nueva York, mientras que el monto restante de 11 740 227 $EUA es pagado por las Oficinas fuera de la Sede (OAH). La parte global del PNUMA en 2022 de estos costos corporativos es de 2 321 600 $EUA, de los cuales 54 260 $EUA se cargan a la Secretaría del Fondo Multilateral.</w:t>
      </w:r>
    </w:p>
    <w:p w14:paraId="4CBED51D" w14:textId="63B489CF" w:rsidR="00484056" w:rsidRPr="00A76BFD" w:rsidRDefault="00484056" w:rsidP="00A76BFD">
      <w:pPr>
        <w:pStyle w:val="Heading1"/>
      </w:pPr>
      <w:r>
        <w:t>Cabe señalar que antes de 2021, la metodología y el costo total del proyecto eran mucho más bajos, y el costo anual del Fondo Multilateral era de alrededor de 9 000 $EUA solamente. En 2021, con un cambio de metodología y un aumento de los costos totales, la parte de la Secretaría fue de 53 680 $EUA y fue absorbida excepcionalmente por el PNUMA. Sin embargo, mediante el memorando de referencia EO/CSD/BU/21/</w:t>
      </w:r>
      <w:proofErr w:type="spellStart"/>
      <w:r>
        <w:t>Umoja</w:t>
      </w:r>
      <w:proofErr w:type="spellEnd"/>
      <w:r>
        <w:t xml:space="preserve">, de fecha 10 de mayo de 2021, el PNUMA solicitó a las Convenciones y a los Acuerdos Ambientales Multilaterales que absorbieran estos costos y exploraran la opción de financiarlos con cargo a sus presupuestos básicos mediante consultas con sus Comités Ejecutivos/Conferencias/Reuniones de las Partes. </w:t>
      </w:r>
    </w:p>
    <w:p w14:paraId="0CF6A5E5" w14:textId="396764AD" w:rsidR="00484056" w:rsidRDefault="00484056" w:rsidP="00A76BFD">
      <w:pPr>
        <w:pStyle w:val="Heading1"/>
      </w:pPr>
      <w:r>
        <w:t xml:space="preserve">En consecuencia, la Secretaría solicita al Comité Ejecutivo que considere los costos de </w:t>
      </w:r>
      <w:proofErr w:type="spellStart"/>
      <w:r>
        <w:t>Umoja</w:t>
      </w:r>
      <w:proofErr w:type="spellEnd"/>
      <w:r>
        <w:t xml:space="preserve"> en los presupuestos anuales de la Secretaría del Fondo Multilateral. Para hacer frente a los cargos de 2022, la Secretaría solicita la cantidad de 115 000 $EUA en 2023 y la cantidad de 60 000 $EUA a partir de 2024. </w:t>
      </w:r>
    </w:p>
    <w:p w14:paraId="5A00D468" w14:textId="7E8F777D" w:rsidR="00100857" w:rsidRDefault="0035187E" w:rsidP="0035187E">
      <w:pPr>
        <w:pStyle w:val="Heading1"/>
      </w:pPr>
      <w:r>
        <w:t>La tabla 2 presenta las necesidades de recursos adicionales por partida para los años 2023-2025.</w:t>
      </w:r>
    </w:p>
    <w:p w14:paraId="6678401C" w14:textId="2EA95468" w:rsidR="002242C5" w:rsidRPr="004A1F65" w:rsidRDefault="002242C5" w:rsidP="004A1F65">
      <w:pPr>
        <w:rPr>
          <w:b/>
          <w:bCs/>
        </w:rPr>
      </w:pPr>
      <w:r>
        <w:rPr>
          <w:b/>
          <w:bCs/>
        </w:rPr>
        <w:t>Tabla 2. Necesidades de recursos adicionales por partida para los años 2023-2025 ($EUA)</w:t>
      </w:r>
    </w:p>
    <w:tbl>
      <w:tblPr>
        <w:tblStyle w:val="TableGrid"/>
        <w:tblW w:w="0" w:type="auto"/>
        <w:tblLook w:val="04A0" w:firstRow="1" w:lastRow="0" w:firstColumn="1" w:lastColumn="0" w:noHBand="0" w:noVBand="1"/>
      </w:tblPr>
      <w:tblGrid>
        <w:gridCol w:w="3685"/>
        <w:gridCol w:w="1828"/>
        <w:gridCol w:w="1918"/>
        <w:gridCol w:w="1919"/>
      </w:tblGrid>
      <w:tr w:rsidR="0035187E" w:rsidRPr="007400E0" w14:paraId="50210328" w14:textId="77777777" w:rsidTr="00903029">
        <w:tc>
          <w:tcPr>
            <w:tcW w:w="3685" w:type="dxa"/>
          </w:tcPr>
          <w:p w14:paraId="087613CB" w14:textId="4BF6FFC8" w:rsidR="0035187E" w:rsidRPr="004A1F65" w:rsidRDefault="00366BA2" w:rsidP="004A1F65">
            <w:pPr>
              <w:jc w:val="left"/>
              <w:rPr>
                <w:b/>
                <w:bCs/>
                <w:sz w:val="20"/>
                <w:szCs w:val="20"/>
              </w:rPr>
            </w:pPr>
            <w:r>
              <w:rPr>
                <w:b/>
                <w:bCs/>
                <w:sz w:val="20"/>
                <w:szCs w:val="20"/>
              </w:rPr>
              <w:t>Rubro</w:t>
            </w:r>
          </w:p>
        </w:tc>
        <w:tc>
          <w:tcPr>
            <w:tcW w:w="1828" w:type="dxa"/>
          </w:tcPr>
          <w:p w14:paraId="34E21236" w14:textId="01577C16" w:rsidR="0035187E" w:rsidRPr="004A1F65" w:rsidRDefault="00366BA2" w:rsidP="004A1F65">
            <w:pPr>
              <w:jc w:val="center"/>
              <w:rPr>
                <w:b/>
                <w:bCs/>
                <w:sz w:val="20"/>
                <w:szCs w:val="20"/>
              </w:rPr>
            </w:pPr>
            <w:r>
              <w:rPr>
                <w:b/>
                <w:bCs/>
                <w:sz w:val="20"/>
                <w:szCs w:val="20"/>
              </w:rPr>
              <w:t>2023</w:t>
            </w:r>
          </w:p>
        </w:tc>
        <w:tc>
          <w:tcPr>
            <w:tcW w:w="1918" w:type="dxa"/>
          </w:tcPr>
          <w:p w14:paraId="5FE175AF" w14:textId="05E35D90" w:rsidR="0035187E" w:rsidRPr="004A1F65" w:rsidRDefault="00366BA2" w:rsidP="004A1F65">
            <w:pPr>
              <w:jc w:val="center"/>
              <w:rPr>
                <w:b/>
                <w:bCs/>
                <w:sz w:val="20"/>
                <w:szCs w:val="20"/>
              </w:rPr>
            </w:pPr>
            <w:r>
              <w:rPr>
                <w:b/>
                <w:bCs/>
                <w:sz w:val="20"/>
                <w:szCs w:val="20"/>
              </w:rPr>
              <w:t>2024</w:t>
            </w:r>
          </w:p>
        </w:tc>
        <w:tc>
          <w:tcPr>
            <w:tcW w:w="1919" w:type="dxa"/>
          </w:tcPr>
          <w:p w14:paraId="676CB322" w14:textId="0C812A30" w:rsidR="0035187E" w:rsidRPr="004A1F65" w:rsidRDefault="00366BA2" w:rsidP="004A1F65">
            <w:pPr>
              <w:jc w:val="center"/>
              <w:rPr>
                <w:b/>
                <w:bCs/>
                <w:sz w:val="20"/>
                <w:szCs w:val="20"/>
              </w:rPr>
            </w:pPr>
            <w:r>
              <w:rPr>
                <w:b/>
                <w:bCs/>
                <w:sz w:val="20"/>
                <w:szCs w:val="20"/>
              </w:rPr>
              <w:t>2025</w:t>
            </w:r>
          </w:p>
        </w:tc>
      </w:tr>
      <w:tr w:rsidR="0035187E" w:rsidRPr="00366BA2" w14:paraId="305165ED" w14:textId="77777777" w:rsidTr="00903029">
        <w:tc>
          <w:tcPr>
            <w:tcW w:w="3685" w:type="dxa"/>
          </w:tcPr>
          <w:p w14:paraId="1D82ED46" w14:textId="05555100" w:rsidR="0035187E" w:rsidRPr="004A1F65" w:rsidRDefault="00366BA2" w:rsidP="004A1F65">
            <w:pPr>
              <w:jc w:val="left"/>
              <w:rPr>
                <w:sz w:val="20"/>
                <w:szCs w:val="20"/>
              </w:rPr>
            </w:pPr>
            <w:r>
              <w:rPr>
                <w:sz w:val="20"/>
                <w:szCs w:val="20"/>
              </w:rPr>
              <w:t>Cambios de personal</w:t>
            </w:r>
          </w:p>
        </w:tc>
        <w:tc>
          <w:tcPr>
            <w:tcW w:w="1828" w:type="dxa"/>
          </w:tcPr>
          <w:p w14:paraId="42D564CE" w14:textId="28F51BBF" w:rsidR="00366BA2" w:rsidRPr="004A1F65" w:rsidRDefault="00366BA2" w:rsidP="004A1F65">
            <w:pPr>
              <w:jc w:val="right"/>
              <w:rPr>
                <w:sz w:val="20"/>
                <w:szCs w:val="20"/>
              </w:rPr>
            </w:pPr>
            <w:r>
              <w:rPr>
                <w:sz w:val="20"/>
                <w:szCs w:val="20"/>
              </w:rPr>
              <w:t>495 400</w:t>
            </w:r>
          </w:p>
        </w:tc>
        <w:tc>
          <w:tcPr>
            <w:tcW w:w="1918" w:type="dxa"/>
          </w:tcPr>
          <w:p w14:paraId="0F890C87" w14:textId="5E5C05D8" w:rsidR="0035187E" w:rsidRPr="004A1F65" w:rsidRDefault="00366BA2" w:rsidP="004A1F65">
            <w:pPr>
              <w:jc w:val="right"/>
              <w:rPr>
                <w:sz w:val="20"/>
                <w:szCs w:val="20"/>
              </w:rPr>
            </w:pPr>
            <w:r>
              <w:rPr>
                <w:sz w:val="20"/>
                <w:szCs w:val="20"/>
              </w:rPr>
              <w:t>510 262</w:t>
            </w:r>
          </w:p>
        </w:tc>
        <w:tc>
          <w:tcPr>
            <w:tcW w:w="1919" w:type="dxa"/>
          </w:tcPr>
          <w:p w14:paraId="17B25AC8" w14:textId="723CC811" w:rsidR="0035187E" w:rsidRPr="004A1F65" w:rsidRDefault="00366BA2" w:rsidP="004A1F65">
            <w:pPr>
              <w:jc w:val="right"/>
              <w:rPr>
                <w:sz w:val="20"/>
                <w:szCs w:val="20"/>
              </w:rPr>
            </w:pPr>
            <w:r>
              <w:rPr>
                <w:sz w:val="20"/>
                <w:szCs w:val="20"/>
              </w:rPr>
              <w:t>525 569</w:t>
            </w:r>
          </w:p>
        </w:tc>
      </w:tr>
      <w:tr w:rsidR="0035187E" w:rsidRPr="00366BA2" w14:paraId="607840C0" w14:textId="77777777" w:rsidTr="00903029">
        <w:tc>
          <w:tcPr>
            <w:tcW w:w="3685" w:type="dxa"/>
          </w:tcPr>
          <w:p w14:paraId="3DC00293" w14:textId="0163BEC8" w:rsidR="0035187E" w:rsidRPr="004A1F65" w:rsidRDefault="00366BA2" w:rsidP="004A1F65">
            <w:pPr>
              <w:jc w:val="left"/>
              <w:rPr>
                <w:sz w:val="20"/>
                <w:szCs w:val="20"/>
              </w:rPr>
            </w:pPr>
            <w:bookmarkStart w:id="0" w:name="_Hlk119427690"/>
            <w:r>
              <w:t>Viaje y dietas para un delegado del Artículo 5</w:t>
            </w:r>
            <w:bookmarkEnd w:id="0"/>
            <w:r>
              <w:rPr>
                <w:sz w:val="20"/>
                <w:szCs w:val="20"/>
              </w:rPr>
              <w:t>*</w:t>
            </w:r>
          </w:p>
        </w:tc>
        <w:tc>
          <w:tcPr>
            <w:tcW w:w="1828" w:type="dxa"/>
          </w:tcPr>
          <w:p w14:paraId="0A2F9434" w14:textId="0585FA9C" w:rsidR="0035187E" w:rsidRPr="004A1F65" w:rsidRDefault="00CF7E82" w:rsidP="004A1F65">
            <w:pPr>
              <w:jc w:val="right"/>
              <w:rPr>
                <w:sz w:val="20"/>
                <w:szCs w:val="20"/>
              </w:rPr>
            </w:pPr>
            <w:r>
              <w:rPr>
                <w:sz w:val="20"/>
                <w:szCs w:val="20"/>
              </w:rPr>
              <w:t>7 700</w:t>
            </w:r>
          </w:p>
        </w:tc>
        <w:tc>
          <w:tcPr>
            <w:tcW w:w="1918" w:type="dxa"/>
          </w:tcPr>
          <w:p w14:paraId="5E55375A" w14:textId="193F2217" w:rsidR="0035187E" w:rsidRPr="004A1F65" w:rsidRDefault="00CF7E82" w:rsidP="004A1F65">
            <w:pPr>
              <w:jc w:val="right"/>
              <w:rPr>
                <w:sz w:val="20"/>
                <w:szCs w:val="20"/>
              </w:rPr>
            </w:pPr>
            <w:r>
              <w:rPr>
                <w:sz w:val="20"/>
                <w:szCs w:val="20"/>
              </w:rPr>
              <w:t>7 700</w:t>
            </w:r>
          </w:p>
        </w:tc>
        <w:tc>
          <w:tcPr>
            <w:tcW w:w="1919" w:type="dxa"/>
          </w:tcPr>
          <w:p w14:paraId="063954D6" w14:textId="23649258" w:rsidR="0035187E" w:rsidRPr="004A1F65" w:rsidRDefault="00CF7E82" w:rsidP="004A1F65">
            <w:pPr>
              <w:jc w:val="right"/>
              <w:rPr>
                <w:sz w:val="20"/>
                <w:szCs w:val="20"/>
              </w:rPr>
            </w:pPr>
            <w:r>
              <w:rPr>
                <w:sz w:val="20"/>
                <w:szCs w:val="20"/>
              </w:rPr>
              <w:t>7 700</w:t>
            </w:r>
          </w:p>
        </w:tc>
      </w:tr>
      <w:tr w:rsidR="0035187E" w:rsidRPr="00366BA2" w14:paraId="0B941C77" w14:textId="77777777" w:rsidTr="00903029">
        <w:tc>
          <w:tcPr>
            <w:tcW w:w="3685" w:type="dxa"/>
          </w:tcPr>
          <w:p w14:paraId="0058E9A2" w14:textId="2B2EB4B6" w:rsidR="0035187E" w:rsidRPr="004A1F65" w:rsidRDefault="00366BA2" w:rsidP="004A1F65">
            <w:pPr>
              <w:jc w:val="left"/>
              <w:rPr>
                <w:sz w:val="20"/>
                <w:szCs w:val="20"/>
              </w:rPr>
            </w:pPr>
            <w:r>
              <w:rPr>
                <w:sz w:val="20"/>
                <w:szCs w:val="20"/>
              </w:rPr>
              <w:t>Sistema de gestión de conocimientos</w:t>
            </w:r>
          </w:p>
        </w:tc>
        <w:tc>
          <w:tcPr>
            <w:tcW w:w="1828" w:type="dxa"/>
          </w:tcPr>
          <w:p w14:paraId="6E07A432" w14:textId="466D5841" w:rsidR="0035187E" w:rsidRPr="004A1F65" w:rsidRDefault="002242C5" w:rsidP="004A1F65">
            <w:pPr>
              <w:jc w:val="right"/>
              <w:rPr>
                <w:sz w:val="20"/>
                <w:szCs w:val="20"/>
              </w:rPr>
            </w:pPr>
            <w:r>
              <w:rPr>
                <w:sz w:val="20"/>
                <w:szCs w:val="20"/>
              </w:rPr>
              <w:t>358 000</w:t>
            </w:r>
          </w:p>
        </w:tc>
        <w:tc>
          <w:tcPr>
            <w:tcW w:w="1918" w:type="dxa"/>
          </w:tcPr>
          <w:p w14:paraId="363302C9" w14:textId="79FF6D47" w:rsidR="0035187E" w:rsidRPr="004A1F65" w:rsidRDefault="002242C5" w:rsidP="004A1F65">
            <w:pPr>
              <w:jc w:val="right"/>
              <w:rPr>
                <w:sz w:val="20"/>
                <w:szCs w:val="20"/>
              </w:rPr>
            </w:pPr>
            <w:r>
              <w:rPr>
                <w:sz w:val="20"/>
                <w:szCs w:val="20"/>
              </w:rPr>
              <w:t>542 000</w:t>
            </w:r>
          </w:p>
        </w:tc>
        <w:tc>
          <w:tcPr>
            <w:tcW w:w="1919" w:type="dxa"/>
          </w:tcPr>
          <w:p w14:paraId="5DFE9B2E" w14:textId="5D4A5E1C" w:rsidR="0035187E" w:rsidRPr="004A1F65" w:rsidRDefault="002242C5" w:rsidP="004A1F65">
            <w:pPr>
              <w:jc w:val="right"/>
              <w:rPr>
                <w:sz w:val="20"/>
                <w:szCs w:val="20"/>
              </w:rPr>
            </w:pPr>
            <w:r>
              <w:rPr>
                <w:sz w:val="20"/>
                <w:szCs w:val="20"/>
              </w:rPr>
              <w:t>0**</w:t>
            </w:r>
          </w:p>
        </w:tc>
      </w:tr>
      <w:tr w:rsidR="0035187E" w:rsidRPr="00366BA2" w14:paraId="19B40EED" w14:textId="77777777" w:rsidTr="00903029">
        <w:tc>
          <w:tcPr>
            <w:tcW w:w="3685" w:type="dxa"/>
          </w:tcPr>
          <w:p w14:paraId="4C14B229" w14:textId="66F61683" w:rsidR="0035187E" w:rsidRPr="004A1F65" w:rsidRDefault="00366BA2" w:rsidP="004A1F65">
            <w:pPr>
              <w:jc w:val="left"/>
              <w:rPr>
                <w:sz w:val="20"/>
                <w:szCs w:val="20"/>
              </w:rPr>
            </w:pPr>
            <w:r>
              <w:rPr>
                <w:sz w:val="20"/>
                <w:szCs w:val="20"/>
              </w:rPr>
              <w:t xml:space="preserve">Apoyo a </w:t>
            </w:r>
            <w:proofErr w:type="spellStart"/>
            <w:r>
              <w:rPr>
                <w:sz w:val="20"/>
                <w:szCs w:val="20"/>
              </w:rPr>
              <w:t>Umoja</w:t>
            </w:r>
            <w:proofErr w:type="spellEnd"/>
            <w:r>
              <w:rPr>
                <w:sz w:val="20"/>
                <w:szCs w:val="20"/>
              </w:rPr>
              <w:t xml:space="preserve"> </w:t>
            </w:r>
          </w:p>
        </w:tc>
        <w:tc>
          <w:tcPr>
            <w:tcW w:w="1828" w:type="dxa"/>
          </w:tcPr>
          <w:p w14:paraId="510399D2" w14:textId="2151FECE" w:rsidR="0035187E" w:rsidRPr="004A1F65" w:rsidRDefault="002242C5" w:rsidP="004A1F65">
            <w:pPr>
              <w:jc w:val="right"/>
              <w:rPr>
                <w:sz w:val="20"/>
                <w:szCs w:val="20"/>
              </w:rPr>
            </w:pPr>
            <w:r>
              <w:rPr>
                <w:sz w:val="20"/>
                <w:szCs w:val="20"/>
              </w:rPr>
              <w:t>115 000</w:t>
            </w:r>
          </w:p>
        </w:tc>
        <w:tc>
          <w:tcPr>
            <w:tcW w:w="1918" w:type="dxa"/>
          </w:tcPr>
          <w:p w14:paraId="1230FFB5" w14:textId="27D24BF7" w:rsidR="0035187E" w:rsidRPr="004A1F65" w:rsidRDefault="002242C5" w:rsidP="004A1F65">
            <w:pPr>
              <w:jc w:val="right"/>
              <w:rPr>
                <w:sz w:val="20"/>
                <w:szCs w:val="20"/>
              </w:rPr>
            </w:pPr>
            <w:r>
              <w:rPr>
                <w:sz w:val="20"/>
                <w:szCs w:val="20"/>
              </w:rPr>
              <w:t>60 000</w:t>
            </w:r>
          </w:p>
        </w:tc>
        <w:tc>
          <w:tcPr>
            <w:tcW w:w="1919" w:type="dxa"/>
          </w:tcPr>
          <w:p w14:paraId="7CCE843D" w14:textId="5C1CCF22" w:rsidR="0035187E" w:rsidRPr="004A1F65" w:rsidRDefault="002242C5" w:rsidP="004A1F65">
            <w:pPr>
              <w:jc w:val="right"/>
              <w:rPr>
                <w:sz w:val="20"/>
                <w:szCs w:val="20"/>
              </w:rPr>
            </w:pPr>
            <w:r>
              <w:rPr>
                <w:sz w:val="20"/>
                <w:szCs w:val="20"/>
              </w:rPr>
              <w:t>60 000</w:t>
            </w:r>
          </w:p>
        </w:tc>
      </w:tr>
      <w:tr w:rsidR="00366BA2" w:rsidRPr="00366BA2" w14:paraId="38153285" w14:textId="77777777" w:rsidTr="00903029">
        <w:tc>
          <w:tcPr>
            <w:tcW w:w="3685" w:type="dxa"/>
          </w:tcPr>
          <w:p w14:paraId="24C305FC" w14:textId="6A40FF62" w:rsidR="00366BA2" w:rsidRPr="004A1F65" w:rsidRDefault="00366BA2" w:rsidP="004A1F65">
            <w:pPr>
              <w:jc w:val="left"/>
              <w:rPr>
                <w:b/>
                <w:bCs/>
                <w:sz w:val="20"/>
                <w:szCs w:val="20"/>
              </w:rPr>
            </w:pPr>
            <w:r>
              <w:rPr>
                <w:b/>
                <w:bCs/>
                <w:sz w:val="20"/>
                <w:szCs w:val="20"/>
              </w:rPr>
              <w:t>Total</w:t>
            </w:r>
          </w:p>
        </w:tc>
        <w:tc>
          <w:tcPr>
            <w:tcW w:w="1828" w:type="dxa"/>
          </w:tcPr>
          <w:p w14:paraId="68C94D7D" w14:textId="269710B4" w:rsidR="00366BA2" w:rsidRPr="004A1F65" w:rsidRDefault="00C24FBA" w:rsidP="004A1F65">
            <w:pPr>
              <w:jc w:val="right"/>
              <w:rPr>
                <w:b/>
                <w:bCs/>
                <w:sz w:val="20"/>
                <w:szCs w:val="20"/>
              </w:rPr>
            </w:pPr>
            <w:r>
              <w:rPr>
                <w:b/>
                <w:bCs/>
                <w:sz w:val="20"/>
                <w:szCs w:val="20"/>
              </w:rPr>
              <w:t>976 100</w:t>
            </w:r>
          </w:p>
        </w:tc>
        <w:tc>
          <w:tcPr>
            <w:tcW w:w="1918" w:type="dxa"/>
          </w:tcPr>
          <w:p w14:paraId="0DAEB66A" w14:textId="7429CA25" w:rsidR="00366BA2" w:rsidRPr="004A1F65" w:rsidRDefault="00C24FBA" w:rsidP="004A1F65">
            <w:pPr>
              <w:jc w:val="right"/>
              <w:rPr>
                <w:b/>
                <w:bCs/>
                <w:sz w:val="20"/>
                <w:szCs w:val="20"/>
              </w:rPr>
            </w:pPr>
            <w:r>
              <w:rPr>
                <w:b/>
                <w:bCs/>
                <w:sz w:val="20"/>
                <w:szCs w:val="20"/>
              </w:rPr>
              <w:t>1 119 962</w:t>
            </w:r>
          </w:p>
        </w:tc>
        <w:tc>
          <w:tcPr>
            <w:tcW w:w="1919" w:type="dxa"/>
          </w:tcPr>
          <w:p w14:paraId="0298B99B" w14:textId="76338796" w:rsidR="00366BA2" w:rsidRPr="004A1F65" w:rsidRDefault="00C24FBA" w:rsidP="004A1F65">
            <w:pPr>
              <w:jc w:val="right"/>
              <w:rPr>
                <w:b/>
                <w:bCs/>
                <w:sz w:val="20"/>
                <w:szCs w:val="20"/>
              </w:rPr>
            </w:pPr>
            <w:r>
              <w:rPr>
                <w:b/>
                <w:bCs/>
                <w:sz w:val="20"/>
                <w:szCs w:val="20"/>
              </w:rPr>
              <w:t>593 269</w:t>
            </w:r>
          </w:p>
        </w:tc>
      </w:tr>
    </w:tbl>
    <w:p w14:paraId="5D1DE7BB" w14:textId="6E27141A" w:rsidR="00103502" w:rsidRDefault="00103502" w:rsidP="004A1F65">
      <w:pPr>
        <w:rPr>
          <w:sz w:val="18"/>
          <w:szCs w:val="18"/>
        </w:rPr>
      </w:pPr>
      <w:r>
        <w:rPr>
          <w:sz w:val="18"/>
          <w:szCs w:val="18"/>
        </w:rPr>
        <w:t>* El año en que no se aplique la financiación, se devolverá al Fondo el importe correspondiente.</w:t>
      </w:r>
    </w:p>
    <w:p w14:paraId="745DD14A" w14:textId="24C197DA" w:rsidR="0035187E" w:rsidRPr="004A1F65" w:rsidRDefault="001834C2" w:rsidP="004A1F65">
      <w:pPr>
        <w:rPr>
          <w:sz w:val="18"/>
          <w:szCs w:val="18"/>
        </w:rPr>
      </w:pPr>
      <w:r>
        <w:rPr>
          <w:sz w:val="18"/>
          <w:szCs w:val="18"/>
        </w:rPr>
        <w:t>** La etapa 3 (de 300 000 a 400 000 $EUA) se solicitará una vez que se hayan ejecutado las etapas anteriores.</w:t>
      </w:r>
    </w:p>
    <w:p w14:paraId="3B6D13C7" w14:textId="77777777" w:rsidR="001834C2" w:rsidRPr="006E786E" w:rsidRDefault="001834C2" w:rsidP="004A1F65">
      <w:pPr>
        <w:rPr>
          <w:sz w:val="24"/>
          <w:szCs w:val="24"/>
        </w:rPr>
      </w:pPr>
    </w:p>
    <w:p w14:paraId="31303786" w14:textId="644FD340" w:rsidR="00427152" w:rsidRPr="006E786E" w:rsidRDefault="00427152" w:rsidP="00A619BB">
      <w:pPr>
        <w:pStyle w:val="ListParagraph"/>
        <w:numPr>
          <w:ilvl w:val="0"/>
          <w:numId w:val="36"/>
        </w:numPr>
        <w:spacing w:after="240"/>
        <w:ind w:left="709" w:hanging="709"/>
        <w:rPr>
          <w:b/>
          <w:bCs/>
          <w:sz w:val="24"/>
          <w:szCs w:val="24"/>
        </w:rPr>
      </w:pPr>
      <w:r>
        <w:rPr>
          <w:b/>
          <w:bCs/>
          <w:sz w:val="24"/>
          <w:szCs w:val="24"/>
        </w:rPr>
        <w:t>Formato de presupuesto propuesto</w:t>
      </w:r>
    </w:p>
    <w:p w14:paraId="6367DBF1" w14:textId="77777777" w:rsidR="00D271D4" w:rsidRPr="003005DD" w:rsidRDefault="00D271D4" w:rsidP="00A76BFD">
      <w:pPr>
        <w:pStyle w:val="Heading1"/>
      </w:pPr>
      <w:r>
        <w:t xml:space="preserve">En la tercera reunión, dentro del punto 6 del orden del día "Presupuesto revisado de la Secretaría del Fondo para 1991", el Comité Ejecutivo decidió los componentes, subcomponentes y líneas presupuestarias, así como la medida en que el </w:t>
      </w:r>
      <w:proofErr w:type="gramStart"/>
      <w:r>
        <w:t>Director</w:t>
      </w:r>
      <w:proofErr w:type="gramEnd"/>
      <w:r>
        <w:t xml:space="preserve"> debería tener flexibilidad para cambiar los gastos entre las líneas presupuestarias. El formato de presupuesto y presentación permitió sincronizar la ejecución del presupuesto y la presentación de informes con la estructura y las capacidades del anterior sistema financiero "IMIS".</w:t>
      </w:r>
    </w:p>
    <w:p w14:paraId="226D9B5F" w14:textId="77777777" w:rsidR="00D271D4" w:rsidRPr="003005DD" w:rsidRDefault="00D271D4" w:rsidP="00A76BFD">
      <w:pPr>
        <w:pStyle w:val="Heading1"/>
      </w:pPr>
      <w:r>
        <w:t>En junio de 2015, en consonancia con la iniciativa corporativa de toda la Secretaría de las Naciones Unidas, el PNUMA la nueva solución de planificación de recursos empresariales "</w:t>
      </w:r>
      <w:proofErr w:type="spellStart"/>
      <w:r>
        <w:t>Umoja</w:t>
      </w:r>
      <w:proofErr w:type="spellEnd"/>
      <w:r>
        <w:t xml:space="preserve">". Además de varios módulos nuevos, el nuevo sistema introdujo un plan contable revisado, así como clasificaciones presupuestarias y una herramienta de información sobre inteligencia empresarial.  </w:t>
      </w:r>
    </w:p>
    <w:p w14:paraId="61EE57C9" w14:textId="77777777" w:rsidR="00D271D4" w:rsidRPr="00A76BFD" w:rsidRDefault="00D271D4" w:rsidP="00A76BFD">
      <w:pPr>
        <w:pStyle w:val="Heading1"/>
      </w:pPr>
      <w:r>
        <w:lastRenderedPageBreak/>
        <w:t xml:space="preserve">Desde el despliegue de </w:t>
      </w:r>
      <w:proofErr w:type="spellStart"/>
      <w:r>
        <w:t>Umoja</w:t>
      </w:r>
      <w:proofErr w:type="spellEnd"/>
      <w:r>
        <w:t xml:space="preserve">, el formato y las clasificaciones presupuestarias de la Secretaría del Fondo Multilateral no se han alineado completamente con la estructura del módulo financiero de </w:t>
      </w:r>
      <w:proofErr w:type="spellStart"/>
      <w:r>
        <w:t>Umoja</w:t>
      </w:r>
      <w:proofErr w:type="spellEnd"/>
      <w:r>
        <w:t xml:space="preserve">. Esto requirió ajustes manuales y métodos creativos para aplicar, supervisar e informar sobre los presupuestos aprobados. En consecuencia, en el anexo III, la Secretaría propone al Comité Ejecutivo, para su consideración y aprobación, un nuevo formato de presentación que equilibra la necesidad de mayor transparencia y responsabilidad con un proceso de preparación que es eficiente y sostenible y que permite la alineación con la estructura de </w:t>
      </w:r>
      <w:proofErr w:type="spellStart"/>
      <w:r>
        <w:t>Umoja</w:t>
      </w:r>
      <w:proofErr w:type="spellEnd"/>
      <w:r>
        <w:t xml:space="preserve">, así como con las realidades operativas del Fondo Multilateral. Las mejoras introducidas en el formato de presentación garantizan la coherencia y continuidad de los planes anteriores. También agrega las provisiones del presupuesto de personal para obtener una visión condensada que tenga en cuenta la privacidad de los miembros del personal en cuanto a sus salarios y derechos reales. Como excepción, para permitir la comparación con el formato actual y facilitar el funcionamiento del presupuesto, en el anexo IV se desglosan los presupuestos de personal por puestos, junto con la línea presupuestaria actual (código de 2 cifras).  </w:t>
      </w:r>
    </w:p>
    <w:p w14:paraId="6D789612" w14:textId="6FBE4685" w:rsidR="00887392" w:rsidRPr="00A76BFD" w:rsidRDefault="00D271D4" w:rsidP="00F01C2F">
      <w:pPr>
        <w:pStyle w:val="Heading1"/>
      </w:pPr>
      <w:r>
        <w:t xml:space="preserve">En cuanto a la responsabilidad y la flexibilidad de la gestión presupuestaria, la Secretaría no propone ningún cambio en el mecanismo actual. El </w:t>
      </w:r>
      <w:proofErr w:type="gramStart"/>
      <w:r>
        <w:t>Director</w:t>
      </w:r>
      <w:proofErr w:type="gramEnd"/>
      <w:r>
        <w:t xml:space="preserve"> seguirá teniendo total flexibilidad dentro de cada componente y hasta un límite del 20% para cambiar o redistribuir fondos entre componentes. Si la redistribución de fondos supera el límite del 20%, el </w:t>
      </w:r>
      <w:proofErr w:type="gramStart"/>
      <w:r>
        <w:t>Director General</w:t>
      </w:r>
      <w:proofErr w:type="gramEnd"/>
      <w:r>
        <w:t xml:space="preserve"> debe solicitar la aprobación del Comité Ejecutivo. Sin embargo, dado el nuevo formato y las clasificaciones propuestas, este mecanismo se aplicaría a los nuevos componentes. </w:t>
      </w:r>
    </w:p>
    <w:p w14:paraId="497C4970" w14:textId="30324C0A" w:rsidR="00427152" w:rsidRDefault="00D271D4" w:rsidP="00F01C2F">
      <w:pPr>
        <w:pStyle w:val="Heading1"/>
      </w:pPr>
      <w:r>
        <w:t xml:space="preserve">La tabla 3 que figura a continuación ofrece un cuadro de concordancia entre los componentes presupuestarios actuales y los propuestos, mientras que el anexo V ofrece una representación detallada de ambos formatos por línea presupuestaria. </w:t>
      </w:r>
    </w:p>
    <w:p w14:paraId="553D56B8" w14:textId="4CA194DC" w:rsidR="00283498" w:rsidRPr="00A76BFD" w:rsidRDefault="00283498" w:rsidP="00A76BFD">
      <w:pPr>
        <w:spacing w:after="120"/>
      </w:pPr>
      <w:r>
        <w:rPr>
          <w:b/>
        </w:rPr>
        <w:t>Tabla 3: Asignación de formatos presupuestarios por componentes</w:t>
      </w:r>
    </w:p>
    <w:p w14:paraId="213060F3" w14:textId="26A15C2A" w:rsidR="009D1970" w:rsidRPr="00A76BFD" w:rsidRDefault="004D3572" w:rsidP="00A76BFD">
      <w:r>
        <w:rPr>
          <w:noProof/>
        </w:rPr>
        <w:drawing>
          <wp:inline distT="0" distB="0" distL="0" distR="0" wp14:anchorId="17597201" wp14:editId="061BA855">
            <wp:extent cx="5943600" cy="1773555"/>
            <wp:effectExtent l="0" t="0" r="0" b="0"/>
            <wp:docPr id="8" name="Picture 8"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diagram&#10;&#10;Description automatically generated"/>
                    <pic:cNvPicPr/>
                  </pic:nvPicPr>
                  <pic:blipFill>
                    <a:blip r:embed="rId16"/>
                    <a:stretch>
                      <a:fillRect/>
                    </a:stretch>
                  </pic:blipFill>
                  <pic:spPr>
                    <a:xfrm>
                      <a:off x="0" y="0"/>
                      <a:ext cx="5943600" cy="1773555"/>
                    </a:xfrm>
                    <a:prstGeom prst="rect">
                      <a:avLst/>
                    </a:prstGeom>
                  </pic:spPr>
                </pic:pic>
              </a:graphicData>
            </a:graphic>
          </wp:inline>
        </w:drawing>
      </w:r>
    </w:p>
    <w:p w14:paraId="3799FC9A" w14:textId="1C9FD903" w:rsidR="000960FA" w:rsidRDefault="000960FA" w:rsidP="00422AEB"/>
    <w:p w14:paraId="62C51EDB" w14:textId="20795D79" w:rsidR="00FB1218" w:rsidRPr="004A1F65" w:rsidRDefault="00A619BB" w:rsidP="00A76BFD">
      <w:pPr>
        <w:contextualSpacing/>
        <w:rPr>
          <w:b/>
          <w:bCs/>
          <w:sz w:val="24"/>
          <w:szCs w:val="24"/>
        </w:rPr>
      </w:pPr>
      <w:r>
        <w:rPr>
          <w:b/>
          <w:bCs/>
          <w:sz w:val="24"/>
          <w:szCs w:val="24"/>
        </w:rPr>
        <w:t xml:space="preserve">VII. </w:t>
      </w:r>
      <w:r>
        <w:rPr>
          <w:b/>
          <w:bCs/>
          <w:sz w:val="24"/>
          <w:szCs w:val="24"/>
        </w:rPr>
        <w:tab/>
        <w:t>Recomendación</w:t>
      </w:r>
    </w:p>
    <w:p w14:paraId="3F3DADB9" w14:textId="77777777" w:rsidR="00FB1218" w:rsidRPr="00425EE6" w:rsidRDefault="00FB1218" w:rsidP="00FB1218">
      <w:pPr>
        <w:keepNext/>
        <w:keepLines/>
        <w:outlineLvl w:val="0"/>
        <w:rPr>
          <w:b/>
        </w:rPr>
      </w:pPr>
    </w:p>
    <w:p w14:paraId="3C3E56D8" w14:textId="56E584DC" w:rsidR="00FB1218" w:rsidRPr="00425EE6" w:rsidRDefault="00FB1218" w:rsidP="00FB1218">
      <w:pPr>
        <w:pStyle w:val="Heading1"/>
        <w:spacing w:after="0"/>
      </w:pPr>
      <w:r>
        <w:t xml:space="preserve">El Comité Ejecutivo puede considerar oportuno: </w:t>
      </w:r>
    </w:p>
    <w:p w14:paraId="3E965EA1" w14:textId="77777777" w:rsidR="00FB1218" w:rsidRPr="00425EE6" w:rsidRDefault="00FB1218" w:rsidP="00FB1218"/>
    <w:p w14:paraId="6E3E3DCC" w14:textId="3E26E322" w:rsidR="00861078" w:rsidRDefault="00B97EFF" w:rsidP="003B30C2">
      <w:pPr>
        <w:pStyle w:val="Heading2"/>
      </w:pPr>
      <w:r>
        <w:t>Tomar nota de lo siguiente:</w:t>
      </w:r>
    </w:p>
    <w:p w14:paraId="59C27F71" w14:textId="7E4DF73E" w:rsidR="004402E6" w:rsidRDefault="00861078" w:rsidP="00861078">
      <w:pPr>
        <w:pStyle w:val="Heading3"/>
      </w:pPr>
      <w:r>
        <w:t>El documento sobre el presupuesto revisado para 2023, 2024 y la propuesta de presupuesto para 2025 de la Secretaría del Fondo que figura en el documento UNEP/</w:t>
      </w:r>
      <w:proofErr w:type="spellStart"/>
      <w:r>
        <w:t>OzL.Pro</w:t>
      </w:r>
      <w:proofErr w:type="spellEnd"/>
      <w:r>
        <w:t>/</w:t>
      </w:r>
      <w:proofErr w:type="spellStart"/>
      <w:r>
        <w:t>ExCom</w:t>
      </w:r>
      <w:proofErr w:type="spellEnd"/>
      <w:r>
        <w:t>/91/6;</w:t>
      </w:r>
    </w:p>
    <w:p w14:paraId="502A7A30" w14:textId="45BC5689" w:rsidR="00861078" w:rsidRPr="00861078" w:rsidRDefault="00861078" w:rsidP="004A1F65">
      <w:pPr>
        <w:pStyle w:val="Heading3"/>
      </w:pPr>
      <w:r>
        <w:t>La devolución al Fondo Multilateral en la 91ª reunión, de 1 491 964 $EUA del presupuesto aprobado para 2021 de la Secretaría del Fondo;</w:t>
      </w:r>
    </w:p>
    <w:p w14:paraId="679057FA" w14:textId="39604452" w:rsidR="003B30C2" w:rsidRPr="00286ED9" w:rsidRDefault="003B30C2" w:rsidP="004A1F65">
      <w:pPr>
        <w:pStyle w:val="Heading2"/>
      </w:pPr>
      <w:r>
        <w:t>Examinar las siguientes necesidades adicionales y los costos conexos para la Secretaría:</w:t>
      </w:r>
    </w:p>
    <w:p w14:paraId="278C11CD" w14:textId="2999BD45" w:rsidR="003B30C2" w:rsidRDefault="003B30C2" w:rsidP="004A1F65">
      <w:pPr>
        <w:pStyle w:val="Heading3"/>
      </w:pPr>
      <w:r>
        <w:lastRenderedPageBreak/>
        <w:t>Creación de dos puestos de trabajo de categoría P-4, por un importe de 247 700</w:t>
      </w:r>
      <w:r w:rsidR="00D455E1">
        <w:t> </w:t>
      </w:r>
      <w:r>
        <w:t>$EUA cada uno, en 2023 y posteriormente con una tasa de inflación del 3%;</w:t>
      </w:r>
    </w:p>
    <w:p w14:paraId="4393A23D" w14:textId="368F077E" w:rsidR="003B30C2" w:rsidRPr="00B97EFF" w:rsidRDefault="00683011" w:rsidP="003B30C2">
      <w:pPr>
        <w:pStyle w:val="Heading3"/>
      </w:pPr>
      <w:r>
        <w:t>Viajes y dietas para un delegado adicional del Artículo 5 para las reuniones del Comité Ejecutivo, por un importe de 7 700 $EUA, en 2023 y en adelante;</w:t>
      </w:r>
    </w:p>
    <w:p w14:paraId="230B551C" w14:textId="366982ED" w:rsidR="003B30C2" w:rsidRDefault="003B30C2" w:rsidP="004A1F65">
      <w:pPr>
        <w:pStyle w:val="Heading3"/>
      </w:pPr>
      <w:r>
        <w:t xml:space="preserve">Sistema de gestión de conocimientos por un importe de 358 000 $EUA en 2023 y 542 000 $EUA en 2024; </w:t>
      </w:r>
    </w:p>
    <w:p w14:paraId="04CCE97E" w14:textId="08D0940B" w:rsidR="003B30C2" w:rsidRDefault="003B30C2" w:rsidP="004A1F65">
      <w:pPr>
        <w:pStyle w:val="Heading3"/>
      </w:pPr>
      <w:r>
        <w:t xml:space="preserve">Apoyo a </w:t>
      </w:r>
      <w:proofErr w:type="spellStart"/>
      <w:r>
        <w:t>Umoja</w:t>
      </w:r>
      <w:proofErr w:type="spellEnd"/>
      <w:r>
        <w:t>, por un importe de 115 000 $EUA en 2023 y 60 000 $</w:t>
      </w:r>
      <w:proofErr w:type="gramStart"/>
      <w:r>
        <w:t>EUA  en</w:t>
      </w:r>
      <w:proofErr w:type="gramEnd"/>
      <w:r>
        <w:t xml:space="preserve"> 2024 y en adelante.</w:t>
      </w:r>
    </w:p>
    <w:p w14:paraId="7A6E0AF4" w14:textId="02E726FA" w:rsidR="00861078" w:rsidRDefault="00861078" w:rsidP="00D05F68">
      <w:pPr>
        <w:pStyle w:val="Heading2"/>
      </w:pPr>
      <w:r>
        <w:t xml:space="preserve">Aprobar: </w:t>
      </w:r>
    </w:p>
    <w:p w14:paraId="166E2C06" w14:textId="27FCF6F9" w:rsidR="000874B3" w:rsidRDefault="00861078" w:rsidP="00D05F68">
      <w:pPr>
        <w:pStyle w:val="Heading3"/>
      </w:pPr>
      <w:r>
        <w:t xml:space="preserve">El presupuesto revisado para 2023 de [7 624 640 $EUA] que figura en el anexo I del presente informe, basado en los gastos de personal reales de 2022, incluido el rebasamiento previsto de 290 000 $EUA, y un aumento del 3% de los gastos de personal; [y [976 100 $EUA] de los gastos conexos derivados de las necesidades adicionales mencionadas en el apartado b) anterior]; </w:t>
      </w:r>
    </w:p>
    <w:p w14:paraId="434BCD03" w14:textId="2852D434" w:rsidR="00107F57" w:rsidRPr="00107F57" w:rsidRDefault="001B7259" w:rsidP="00107F57">
      <w:pPr>
        <w:pStyle w:val="Heading3"/>
      </w:pPr>
      <w:r>
        <w:t xml:space="preserve">El presupuesto revisado de 2024 de [7 444 138 $EUA] que figura en el anexo I del presente informe, basado en el presupuesto revisado de 2023, excluyendo el rebasamiento previsto para 2022; y un aumento del 3% de los gastos de personal [y [1 119 962 $EUA] de los gastos conexos derivados de las necesidades adicionales mencionadas en el apartado b) anterior]; </w:t>
      </w:r>
    </w:p>
    <w:p w14:paraId="2C50B7D1" w14:textId="1AE91569" w:rsidR="006F61EB" w:rsidRDefault="001B7259" w:rsidP="001B7259">
      <w:pPr>
        <w:pStyle w:val="Heading3"/>
      </w:pPr>
      <w:r>
        <w:t xml:space="preserve">El presupuesto propuesto para 2025, que asciende a 7 584 054 $EUA, tal y como figura en el anexo I del presente informe, basado en el presupuesto revisado de 2024; y un aumento del 3% en los gastos de personal; [y [593 269 $EUA] de los gastos conexos derivados de las necesidades adicionales mencionadas en el subpárrafo (b) anterior, señalando que la etapa 3 del sistema de gestión de los conocimientos no se ha incluido en él]; </w:t>
      </w:r>
    </w:p>
    <w:p w14:paraId="51D0F05A" w14:textId="65330FF7" w:rsidR="001B7259" w:rsidRDefault="001B7259" w:rsidP="00C43609">
      <w:pPr>
        <w:pStyle w:val="Heading2"/>
      </w:pPr>
      <w:r>
        <w:t>Aprobar el formato propuesto, que figura en el anexo III del presente documento, para presentar el presupuesto de la Secretaría del Fondo.</w:t>
      </w:r>
    </w:p>
    <w:p w14:paraId="72F86E50" w14:textId="3FACEF5E" w:rsidR="00F61C70" w:rsidRPr="0063792B" w:rsidRDefault="00F61C70" w:rsidP="00F61C70"/>
    <w:sectPr w:rsidR="00F61C70" w:rsidRPr="0063792B"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7932C" w14:textId="77777777" w:rsidR="005F4E69" w:rsidRDefault="005F4E69" w:rsidP="004A504B">
      <w:r>
        <w:separator/>
      </w:r>
    </w:p>
  </w:endnote>
  <w:endnote w:type="continuationSeparator" w:id="0">
    <w:p w14:paraId="624264C2" w14:textId="77777777" w:rsidR="005F4E69" w:rsidRDefault="005F4E6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AC7AC"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07F8C"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4CC80" w14:textId="3C05002C" w:rsidR="004E7F9C" w:rsidRPr="00966083" w:rsidRDefault="004E7F9C" w:rsidP="004E7F9C">
    <w:pPr>
      <w:pBdr>
        <w:top w:val="single" w:sz="4" w:space="1" w:color="auto"/>
        <w:left w:val="single" w:sz="4" w:space="4" w:color="auto"/>
        <w:bottom w:val="single" w:sz="4" w:space="1" w:color="auto"/>
        <w:right w:val="single" w:sz="4" w:space="4" w:color="auto"/>
      </w:pBdr>
      <w:jc w:val="center"/>
      <w:rPr>
        <w:sz w:val="16"/>
        <w:szCs w:val="16"/>
      </w:rPr>
    </w:pPr>
    <w:r w:rsidRPr="00966083">
      <w:rPr>
        <w:sz w:val="16"/>
        <w:szCs w:val="16"/>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966083">
      <w:rPr>
        <w:sz w:val="16"/>
        <w:szCs w:val="16"/>
      </w:rPr>
      <w:t>los mismos</w:t>
    </w:r>
    <w:proofErr w:type="gramEnd"/>
    <w:r w:rsidRPr="00966083">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21D55" w14:textId="77777777" w:rsidR="005F4E69" w:rsidRDefault="005F4E69" w:rsidP="004A504B">
      <w:r>
        <w:separator/>
      </w:r>
    </w:p>
  </w:footnote>
  <w:footnote w:type="continuationSeparator" w:id="0">
    <w:p w14:paraId="7637C4A7" w14:textId="77777777" w:rsidR="005F4E69" w:rsidRDefault="005F4E69" w:rsidP="004A504B">
      <w:r>
        <w:continuationSeparator/>
      </w:r>
    </w:p>
  </w:footnote>
  <w:footnote w:id="1">
    <w:p w14:paraId="2AD4BA13" w14:textId="38A05FE2" w:rsidR="003021B1" w:rsidRDefault="003021B1" w:rsidP="003021B1">
      <w:pPr>
        <w:pStyle w:val="FootnoteText"/>
      </w:pPr>
      <w:r>
        <w:rPr>
          <w:rStyle w:val="FootnoteReference"/>
        </w:rPr>
        <w:footnoteRef/>
      </w:r>
      <w:r>
        <w:t xml:space="preserve"> UNEP/</w:t>
      </w:r>
      <w:proofErr w:type="spellStart"/>
      <w:r>
        <w:t>OzL.Pro</w:t>
      </w:r>
      <w:proofErr w:type="spellEnd"/>
      <w:r>
        <w:t>/</w:t>
      </w:r>
      <w:proofErr w:type="spellStart"/>
      <w:r>
        <w:t>ExCom</w:t>
      </w:r>
      <w:proofErr w:type="spellEnd"/>
      <w:r>
        <w:t>//91/1</w:t>
      </w:r>
    </w:p>
    <w:p w14:paraId="7B8B2EB9" w14:textId="258C764E" w:rsidR="00966083" w:rsidRDefault="00966083" w:rsidP="003021B1">
      <w:pPr>
        <w:pStyle w:val="FootnoteText"/>
      </w:pPr>
    </w:p>
    <w:p w14:paraId="18A354FF" w14:textId="77777777" w:rsidR="00966083" w:rsidRPr="00B60240" w:rsidRDefault="00966083" w:rsidP="003021B1">
      <w:pPr>
        <w:pStyle w:val="FootnoteText"/>
      </w:pPr>
    </w:p>
  </w:footnote>
  <w:footnote w:id="2">
    <w:p w14:paraId="25E50768" w14:textId="28BB0EF5" w:rsidR="00D23CE5" w:rsidRPr="00C04B4F" w:rsidRDefault="00D23CE5">
      <w:pPr>
        <w:pStyle w:val="FootnoteText"/>
      </w:pPr>
      <w:r>
        <w:rPr>
          <w:rStyle w:val="FootnoteReference"/>
        </w:rPr>
        <w:footnoteRef/>
      </w:r>
      <w:r>
        <w:t xml:space="preserve"> UNEP/</w:t>
      </w:r>
      <w:proofErr w:type="spellStart"/>
      <w:r>
        <w:t>OzL.Pro</w:t>
      </w:r>
      <w:proofErr w:type="spellEnd"/>
      <w:r>
        <w:t>/</w:t>
      </w:r>
      <w:proofErr w:type="spellStart"/>
      <w:r>
        <w:t>ExCom</w:t>
      </w:r>
      <w:proofErr w:type="spellEnd"/>
      <w:r>
        <w:t>//91/5</w:t>
      </w:r>
    </w:p>
  </w:footnote>
  <w:footnote w:id="3">
    <w:p w14:paraId="4399597F" w14:textId="02ECD6E7" w:rsidR="003E40FF" w:rsidRPr="00527C66" w:rsidRDefault="003E40FF">
      <w:pPr>
        <w:pStyle w:val="FootnoteText"/>
      </w:pPr>
      <w:r>
        <w:rPr>
          <w:rStyle w:val="FootnoteReference"/>
        </w:rPr>
        <w:footnoteRef/>
      </w:r>
      <w:r>
        <w:t xml:space="preserve"> UNEP/</w:t>
      </w:r>
      <w:proofErr w:type="spellStart"/>
      <w:r>
        <w:t>OzL.Pro</w:t>
      </w:r>
      <w:proofErr w:type="spellEnd"/>
      <w:r>
        <w:t>/</w:t>
      </w:r>
      <w:proofErr w:type="spellStart"/>
      <w:r>
        <w:t>ExCom</w:t>
      </w:r>
      <w:proofErr w:type="spellEnd"/>
      <w:r>
        <w:t>//91/67</w:t>
      </w:r>
    </w:p>
  </w:footnote>
  <w:footnote w:id="4">
    <w:p w14:paraId="121D7914" w14:textId="3104187A" w:rsidR="00100857" w:rsidRPr="00C43609" w:rsidRDefault="00100857">
      <w:pPr>
        <w:pStyle w:val="FootnoteText"/>
      </w:pPr>
      <w:r>
        <w:rPr>
          <w:rStyle w:val="FootnoteReference"/>
        </w:rPr>
        <w:footnoteRef/>
      </w:r>
      <w:r>
        <w:t xml:space="preserve"> UNEP/</w:t>
      </w:r>
      <w:proofErr w:type="spellStart"/>
      <w:r>
        <w:t>OzL.Pro</w:t>
      </w:r>
      <w:proofErr w:type="spellEnd"/>
      <w:r>
        <w:t>/</w:t>
      </w:r>
      <w:proofErr w:type="spellStart"/>
      <w:r>
        <w:t>ExCom</w:t>
      </w:r>
      <w:proofErr w:type="spellEnd"/>
      <w:r>
        <w:t>//91/70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001F" w14:textId="2F797E4F" w:rsidR="00D455E1" w:rsidRPr="003005DD" w:rsidRDefault="00784461" w:rsidP="00D455E1">
    <w:r>
      <w:fldChar w:fldCharType="begin"/>
    </w:r>
    <w:r>
      <w:instrText xml:space="preserve"> DOCPROPERTY "Document number"  \* MERGEFORMAT </w:instrText>
    </w:r>
    <w:r>
      <w:fldChar w:fldCharType="separate"/>
    </w:r>
    <w:r w:rsidR="00D455E1">
      <w:t>UNEP/</w:t>
    </w:r>
    <w:proofErr w:type="spellStart"/>
    <w:r w:rsidR="00D455E1">
      <w:t>OzL.Pro</w:t>
    </w:r>
    <w:proofErr w:type="spellEnd"/>
    <w:r w:rsidR="00D455E1">
      <w:t>/</w:t>
    </w:r>
    <w:proofErr w:type="spellStart"/>
    <w:r w:rsidR="00D455E1">
      <w:t>ExCom</w:t>
    </w:r>
    <w:proofErr w:type="spellEnd"/>
    <w:r w:rsidR="00D455E1">
      <w:t>/91/7</w:t>
    </w:r>
    <w:r>
      <w:fldChar w:fldCharType="end"/>
    </w:r>
  </w:p>
  <w:p w14:paraId="042FA30E" w14:textId="77777777" w:rsidR="00DC6A10" w:rsidRPr="0033525D" w:rsidRDefault="00DC6A10"/>
  <w:p w14:paraId="328EF72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F769D" w14:textId="2A0F5EA6" w:rsidR="00D455E1" w:rsidRPr="003005DD" w:rsidRDefault="00784461" w:rsidP="00D455E1">
    <w:pPr>
      <w:jc w:val="right"/>
    </w:pPr>
    <w:r>
      <w:fldChar w:fldCharType="begin"/>
    </w:r>
    <w:r>
      <w:instrText xml:space="preserve"> DOCPROPERTY "Document number"  \* MERGEFORMAT </w:instrText>
    </w:r>
    <w:r>
      <w:fldChar w:fldCharType="separate"/>
    </w:r>
    <w:r w:rsidR="00D455E1">
      <w:t>UNEP/</w:t>
    </w:r>
    <w:proofErr w:type="spellStart"/>
    <w:r w:rsidR="00D455E1">
      <w:t>OzL.Pro</w:t>
    </w:r>
    <w:proofErr w:type="spellEnd"/>
    <w:r w:rsidR="00D455E1">
      <w:t>/</w:t>
    </w:r>
    <w:proofErr w:type="spellStart"/>
    <w:r w:rsidR="00D455E1">
      <w:t>ExCom</w:t>
    </w:r>
    <w:proofErr w:type="spellEnd"/>
    <w:r w:rsidR="00D455E1">
      <w:t>/91/7</w:t>
    </w:r>
    <w:r>
      <w:fldChar w:fldCharType="end"/>
    </w:r>
  </w:p>
  <w:p w14:paraId="19F4CBC2" w14:textId="77777777" w:rsidR="00DC6A10" w:rsidRPr="0033525D" w:rsidRDefault="00DC6A10"/>
  <w:p w14:paraId="5F39800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EC0361A"/>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A63BD5"/>
    <w:multiLevelType w:val="hybridMultilevel"/>
    <w:tmpl w:val="966C46BC"/>
    <w:lvl w:ilvl="0" w:tplc="6F40801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9EB0100"/>
    <w:multiLevelType w:val="hybridMultilevel"/>
    <w:tmpl w:val="2E12EE96"/>
    <w:lvl w:ilvl="0" w:tplc="10090013">
      <w:start w:val="1"/>
      <w:numFmt w:val="upperRoman"/>
      <w:lvlText w:val="%1."/>
      <w:lvlJc w:val="right"/>
      <w:pPr>
        <w:ind w:left="107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885C7A"/>
    <w:multiLevelType w:val="hybridMultilevel"/>
    <w:tmpl w:val="0404753C"/>
    <w:lvl w:ilvl="0" w:tplc="1D80164E">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836236A"/>
    <w:multiLevelType w:val="hybridMultilevel"/>
    <w:tmpl w:val="C5668918"/>
    <w:lvl w:ilvl="0" w:tplc="3990A7DA">
      <w:start w:val="3"/>
      <w:numFmt w:val="upperRoman"/>
      <w:lvlText w:val="%1."/>
      <w:lvlJc w:val="left"/>
      <w:pPr>
        <w:ind w:left="1800" w:hanging="720"/>
      </w:pPr>
      <w:rPr>
        <w:rFonts w:hint="default"/>
        <w:b/>
        <w:color w:val="auto"/>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7"/>
  </w:num>
  <w:num w:numId="18" w16cid:durableId="559828470">
    <w:abstractNumId w:val="18"/>
  </w:num>
  <w:num w:numId="19" w16cid:durableId="1488010068">
    <w:abstractNumId w:val="23"/>
  </w:num>
  <w:num w:numId="20" w16cid:durableId="444007775">
    <w:abstractNumId w:val="14"/>
  </w:num>
  <w:num w:numId="21" w16cid:durableId="1423647885">
    <w:abstractNumId w:val="21"/>
  </w:num>
  <w:num w:numId="22" w16cid:durableId="119735589">
    <w:abstractNumId w:val="22"/>
  </w:num>
  <w:num w:numId="23" w16cid:durableId="952321707">
    <w:abstractNumId w:val="16"/>
  </w:num>
  <w:num w:numId="24" w16cid:durableId="305595399">
    <w:abstractNumId w:val="10"/>
  </w:num>
  <w:num w:numId="25" w16cid:durableId="497304408">
    <w:abstractNumId w:val="10"/>
  </w:num>
  <w:num w:numId="26" w16cid:durableId="2055153216">
    <w:abstractNumId w:val="10"/>
  </w:num>
  <w:num w:numId="27" w16cid:durableId="1979451103">
    <w:abstractNumId w:val="15"/>
  </w:num>
  <w:num w:numId="28" w16cid:durableId="657001238">
    <w:abstractNumId w:val="10"/>
  </w:num>
  <w:num w:numId="29" w16cid:durableId="624392133">
    <w:abstractNumId w:val="10"/>
  </w:num>
  <w:num w:numId="30" w16cid:durableId="544950204">
    <w:abstractNumId w:val="10"/>
  </w:num>
  <w:num w:numId="31" w16cid:durableId="405498848">
    <w:abstractNumId w:val="10"/>
  </w:num>
  <w:num w:numId="32" w16cid:durableId="888496952">
    <w:abstractNumId w:val="10"/>
  </w:num>
  <w:num w:numId="33" w16cid:durableId="929002574">
    <w:abstractNumId w:val="10"/>
  </w:num>
  <w:num w:numId="34" w16cid:durableId="388845185">
    <w:abstractNumId w:val="10"/>
  </w:num>
  <w:num w:numId="35" w16cid:durableId="1376007145">
    <w:abstractNumId w:val="11"/>
  </w:num>
  <w:num w:numId="36" w16cid:durableId="1468161741">
    <w:abstractNumId w:val="20"/>
  </w:num>
  <w:num w:numId="37" w16cid:durableId="168908552">
    <w:abstractNumId w:val="12"/>
  </w:num>
  <w:num w:numId="38" w16cid:durableId="284196849">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C5CA2"/>
    <w:rsid w:val="00000FED"/>
    <w:rsid w:val="0000434E"/>
    <w:rsid w:val="00007BCF"/>
    <w:rsid w:val="00007E62"/>
    <w:rsid w:val="0001280B"/>
    <w:rsid w:val="000175D4"/>
    <w:rsid w:val="000211A9"/>
    <w:rsid w:val="00021238"/>
    <w:rsid w:val="000253BA"/>
    <w:rsid w:val="000267FE"/>
    <w:rsid w:val="00031260"/>
    <w:rsid w:val="00034C79"/>
    <w:rsid w:val="0003681A"/>
    <w:rsid w:val="00036F2E"/>
    <w:rsid w:val="000372B7"/>
    <w:rsid w:val="00047E4C"/>
    <w:rsid w:val="00050BBF"/>
    <w:rsid w:val="00050F6E"/>
    <w:rsid w:val="00061EC2"/>
    <w:rsid w:val="000625E2"/>
    <w:rsid w:val="00066CE8"/>
    <w:rsid w:val="00080ED0"/>
    <w:rsid w:val="00085B8F"/>
    <w:rsid w:val="00086964"/>
    <w:rsid w:val="000874B3"/>
    <w:rsid w:val="00090481"/>
    <w:rsid w:val="000960FA"/>
    <w:rsid w:val="000A1963"/>
    <w:rsid w:val="000A3826"/>
    <w:rsid w:val="000A55E7"/>
    <w:rsid w:val="000A6C26"/>
    <w:rsid w:val="000B1174"/>
    <w:rsid w:val="000B7CE1"/>
    <w:rsid w:val="000C6D71"/>
    <w:rsid w:val="000C7F86"/>
    <w:rsid w:val="000D52A4"/>
    <w:rsid w:val="000E0442"/>
    <w:rsid w:val="000E07BC"/>
    <w:rsid w:val="000F1CD4"/>
    <w:rsid w:val="000F4103"/>
    <w:rsid w:val="000F70A7"/>
    <w:rsid w:val="00100857"/>
    <w:rsid w:val="00103502"/>
    <w:rsid w:val="00105E24"/>
    <w:rsid w:val="00107F57"/>
    <w:rsid w:val="00113CCA"/>
    <w:rsid w:val="001169D8"/>
    <w:rsid w:val="00117285"/>
    <w:rsid w:val="0012266E"/>
    <w:rsid w:val="00122F25"/>
    <w:rsid w:val="00124540"/>
    <w:rsid w:val="00130325"/>
    <w:rsid w:val="00135980"/>
    <w:rsid w:val="0013786F"/>
    <w:rsid w:val="001404CF"/>
    <w:rsid w:val="00151E99"/>
    <w:rsid w:val="001563AF"/>
    <w:rsid w:val="0016042C"/>
    <w:rsid w:val="001634AC"/>
    <w:rsid w:val="00164719"/>
    <w:rsid w:val="00166FC4"/>
    <w:rsid w:val="001677AC"/>
    <w:rsid w:val="00170720"/>
    <w:rsid w:val="001804EA"/>
    <w:rsid w:val="00180F93"/>
    <w:rsid w:val="001832B9"/>
    <w:rsid w:val="001834C2"/>
    <w:rsid w:val="00190A61"/>
    <w:rsid w:val="00194D53"/>
    <w:rsid w:val="00195F1A"/>
    <w:rsid w:val="001A2215"/>
    <w:rsid w:val="001A3342"/>
    <w:rsid w:val="001A3E3D"/>
    <w:rsid w:val="001A7049"/>
    <w:rsid w:val="001B1E40"/>
    <w:rsid w:val="001B1FB1"/>
    <w:rsid w:val="001B7259"/>
    <w:rsid w:val="001C3B2E"/>
    <w:rsid w:val="001C5003"/>
    <w:rsid w:val="001C764E"/>
    <w:rsid w:val="001D0D17"/>
    <w:rsid w:val="001D2C7D"/>
    <w:rsid w:val="001D2E4A"/>
    <w:rsid w:val="001D698B"/>
    <w:rsid w:val="001E1052"/>
    <w:rsid w:val="001E21B1"/>
    <w:rsid w:val="001E2F93"/>
    <w:rsid w:val="001E4554"/>
    <w:rsid w:val="001E61E5"/>
    <w:rsid w:val="001F2159"/>
    <w:rsid w:val="001F47E1"/>
    <w:rsid w:val="001F53FD"/>
    <w:rsid w:val="001F56AE"/>
    <w:rsid w:val="00203FBE"/>
    <w:rsid w:val="00210B8B"/>
    <w:rsid w:val="00210D13"/>
    <w:rsid w:val="00214863"/>
    <w:rsid w:val="002156B4"/>
    <w:rsid w:val="002242C5"/>
    <w:rsid w:val="00224FCD"/>
    <w:rsid w:val="002350E3"/>
    <w:rsid w:val="002400AB"/>
    <w:rsid w:val="002404F4"/>
    <w:rsid w:val="00253222"/>
    <w:rsid w:val="002551E9"/>
    <w:rsid w:val="00260E44"/>
    <w:rsid w:val="00261C13"/>
    <w:rsid w:val="00262847"/>
    <w:rsid w:val="00266619"/>
    <w:rsid w:val="00274368"/>
    <w:rsid w:val="00281A93"/>
    <w:rsid w:val="00281BB2"/>
    <w:rsid w:val="002829FB"/>
    <w:rsid w:val="00283498"/>
    <w:rsid w:val="002857BD"/>
    <w:rsid w:val="00286ED9"/>
    <w:rsid w:val="00293490"/>
    <w:rsid w:val="002A03C3"/>
    <w:rsid w:val="002A149D"/>
    <w:rsid w:val="002A644F"/>
    <w:rsid w:val="002B254E"/>
    <w:rsid w:val="002B72E9"/>
    <w:rsid w:val="002C1CAA"/>
    <w:rsid w:val="002C2FAC"/>
    <w:rsid w:val="002C58F7"/>
    <w:rsid w:val="002C6F6E"/>
    <w:rsid w:val="002C7298"/>
    <w:rsid w:val="002C7998"/>
    <w:rsid w:val="002F1E53"/>
    <w:rsid w:val="002F2CAA"/>
    <w:rsid w:val="002F73DE"/>
    <w:rsid w:val="0030052C"/>
    <w:rsid w:val="003005DD"/>
    <w:rsid w:val="003021B1"/>
    <w:rsid w:val="00325440"/>
    <w:rsid w:val="003306E1"/>
    <w:rsid w:val="003320E4"/>
    <w:rsid w:val="00332757"/>
    <w:rsid w:val="00333061"/>
    <w:rsid w:val="0033525D"/>
    <w:rsid w:val="00336EB7"/>
    <w:rsid w:val="00336F1F"/>
    <w:rsid w:val="003414F3"/>
    <w:rsid w:val="00346105"/>
    <w:rsid w:val="00347D23"/>
    <w:rsid w:val="00351395"/>
    <w:rsid w:val="0035187E"/>
    <w:rsid w:val="0035569B"/>
    <w:rsid w:val="0035613E"/>
    <w:rsid w:val="00363846"/>
    <w:rsid w:val="00363EE9"/>
    <w:rsid w:val="00365D08"/>
    <w:rsid w:val="00366BA2"/>
    <w:rsid w:val="0036752A"/>
    <w:rsid w:val="00372027"/>
    <w:rsid w:val="0037316D"/>
    <w:rsid w:val="00376128"/>
    <w:rsid w:val="0037742E"/>
    <w:rsid w:val="003774A5"/>
    <w:rsid w:val="00377D56"/>
    <w:rsid w:val="0038245A"/>
    <w:rsid w:val="003840E6"/>
    <w:rsid w:val="00385CFC"/>
    <w:rsid w:val="0039337A"/>
    <w:rsid w:val="00394559"/>
    <w:rsid w:val="0039603A"/>
    <w:rsid w:val="003A1580"/>
    <w:rsid w:val="003A1E20"/>
    <w:rsid w:val="003A3189"/>
    <w:rsid w:val="003A3CA7"/>
    <w:rsid w:val="003B30C2"/>
    <w:rsid w:val="003B33BD"/>
    <w:rsid w:val="003B569D"/>
    <w:rsid w:val="003C3C0E"/>
    <w:rsid w:val="003C3DD1"/>
    <w:rsid w:val="003C643F"/>
    <w:rsid w:val="003D30E4"/>
    <w:rsid w:val="003D42A6"/>
    <w:rsid w:val="003D4F21"/>
    <w:rsid w:val="003D4FAC"/>
    <w:rsid w:val="003D6251"/>
    <w:rsid w:val="003D6FAE"/>
    <w:rsid w:val="003E40FF"/>
    <w:rsid w:val="003E7906"/>
    <w:rsid w:val="003F000F"/>
    <w:rsid w:val="003F3C50"/>
    <w:rsid w:val="003F7813"/>
    <w:rsid w:val="00403B9A"/>
    <w:rsid w:val="00406202"/>
    <w:rsid w:val="00406A6A"/>
    <w:rsid w:val="00406B22"/>
    <w:rsid w:val="00415ED5"/>
    <w:rsid w:val="00422AEB"/>
    <w:rsid w:val="00425B77"/>
    <w:rsid w:val="00427152"/>
    <w:rsid w:val="004328A7"/>
    <w:rsid w:val="00434C74"/>
    <w:rsid w:val="0043665F"/>
    <w:rsid w:val="004377AC"/>
    <w:rsid w:val="004402B9"/>
    <w:rsid w:val="004402E6"/>
    <w:rsid w:val="004408E9"/>
    <w:rsid w:val="00441557"/>
    <w:rsid w:val="00444015"/>
    <w:rsid w:val="004508EB"/>
    <w:rsid w:val="00456EB4"/>
    <w:rsid w:val="00457827"/>
    <w:rsid w:val="00463480"/>
    <w:rsid w:val="00463704"/>
    <w:rsid w:val="00470686"/>
    <w:rsid w:val="004718F3"/>
    <w:rsid w:val="00474E37"/>
    <w:rsid w:val="00475040"/>
    <w:rsid w:val="00475C7C"/>
    <w:rsid w:val="00480078"/>
    <w:rsid w:val="00482729"/>
    <w:rsid w:val="00483003"/>
    <w:rsid w:val="00484056"/>
    <w:rsid w:val="00490C06"/>
    <w:rsid w:val="00490E56"/>
    <w:rsid w:val="00493D40"/>
    <w:rsid w:val="00493EE3"/>
    <w:rsid w:val="0049553F"/>
    <w:rsid w:val="004967B6"/>
    <w:rsid w:val="00497FCC"/>
    <w:rsid w:val="004A113E"/>
    <w:rsid w:val="004A1F65"/>
    <w:rsid w:val="004A504B"/>
    <w:rsid w:val="004A6911"/>
    <w:rsid w:val="004B54E0"/>
    <w:rsid w:val="004B7384"/>
    <w:rsid w:val="004C4269"/>
    <w:rsid w:val="004C7B49"/>
    <w:rsid w:val="004D18AF"/>
    <w:rsid w:val="004D3572"/>
    <w:rsid w:val="004D6236"/>
    <w:rsid w:val="004D7F90"/>
    <w:rsid w:val="004E0C87"/>
    <w:rsid w:val="004E4DBB"/>
    <w:rsid w:val="004E4E41"/>
    <w:rsid w:val="004E73DB"/>
    <w:rsid w:val="004E7F9C"/>
    <w:rsid w:val="004F3493"/>
    <w:rsid w:val="004F5143"/>
    <w:rsid w:val="00500F74"/>
    <w:rsid w:val="00512B09"/>
    <w:rsid w:val="00514E98"/>
    <w:rsid w:val="005220ED"/>
    <w:rsid w:val="00527C66"/>
    <w:rsid w:val="00531173"/>
    <w:rsid w:val="00533796"/>
    <w:rsid w:val="005367AF"/>
    <w:rsid w:val="00537343"/>
    <w:rsid w:val="00550D98"/>
    <w:rsid w:val="00554259"/>
    <w:rsid w:val="00555D75"/>
    <w:rsid w:val="00555E01"/>
    <w:rsid w:val="005608EB"/>
    <w:rsid w:val="00560DF0"/>
    <w:rsid w:val="005610F8"/>
    <w:rsid w:val="0056759C"/>
    <w:rsid w:val="00584E1F"/>
    <w:rsid w:val="0059513E"/>
    <w:rsid w:val="005A46BB"/>
    <w:rsid w:val="005A61FB"/>
    <w:rsid w:val="005A6AA4"/>
    <w:rsid w:val="005A6D9F"/>
    <w:rsid w:val="005B2262"/>
    <w:rsid w:val="005B48FF"/>
    <w:rsid w:val="005C1E32"/>
    <w:rsid w:val="005D0F9A"/>
    <w:rsid w:val="005D2345"/>
    <w:rsid w:val="005D2DCF"/>
    <w:rsid w:val="005D329C"/>
    <w:rsid w:val="005D363F"/>
    <w:rsid w:val="005E444B"/>
    <w:rsid w:val="005F212A"/>
    <w:rsid w:val="005F4E69"/>
    <w:rsid w:val="005F5512"/>
    <w:rsid w:val="00604C15"/>
    <w:rsid w:val="00610A9D"/>
    <w:rsid w:val="00612A03"/>
    <w:rsid w:val="006158D5"/>
    <w:rsid w:val="006200F1"/>
    <w:rsid w:val="00620739"/>
    <w:rsid w:val="0062094A"/>
    <w:rsid w:val="006209FC"/>
    <w:rsid w:val="006227A9"/>
    <w:rsid w:val="006252C5"/>
    <w:rsid w:val="00625A40"/>
    <w:rsid w:val="00625D83"/>
    <w:rsid w:val="00625E37"/>
    <w:rsid w:val="006343F1"/>
    <w:rsid w:val="00636302"/>
    <w:rsid w:val="0063792B"/>
    <w:rsid w:val="006509AA"/>
    <w:rsid w:val="00651984"/>
    <w:rsid w:val="00656331"/>
    <w:rsid w:val="006623E7"/>
    <w:rsid w:val="00662B80"/>
    <w:rsid w:val="00665D91"/>
    <w:rsid w:val="00670F6C"/>
    <w:rsid w:val="00676E58"/>
    <w:rsid w:val="00683011"/>
    <w:rsid w:val="006852C7"/>
    <w:rsid w:val="006852CE"/>
    <w:rsid w:val="00685F71"/>
    <w:rsid w:val="00692D14"/>
    <w:rsid w:val="006B4520"/>
    <w:rsid w:val="006B5153"/>
    <w:rsid w:val="006B65C7"/>
    <w:rsid w:val="006C1727"/>
    <w:rsid w:val="006C32FD"/>
    <w:rsid w:val="006C39CE"/>
    <w:rsid w:val="006C4405"/>
    <w:rsid w:val="006D0FCC"/>
    <w:rsid w:val="006D21F5"/>
    <w:rsid w:val="006D3089"/>
    <w:rsid w:val="006D59D0"/>
    <w:rsid w:val="006D70DF"/>
    <w:rsid w:val="006E126D"/>
    <w:rsid w:val="006E1FC3"/>
    <w:rsid w:val="006E2148"/>
    <w:rsid w:val="006E2DB9"/>
    <w:rsid w:val="006E6346"/>
    <w:rsid w:val="006E786E"/>
    <w:rsid w:val="006F61EB"/>
    <w:rsid w:val="00704CE9"/>
    <w:rsid w:val="0070502B"/>
    <w:rsid w:val="0070616B"/>
    <w:rsid w:val="00706295"/>
    <w:rsid w:val="00706FDA"/>
    <w:rsid w:val="00711F9A"/>
    <w:rsid w:val="00713810"/>
    <w:rsid w:val="00720E83"/>
    <w:rsid w:val="00724B9B"/>
    <w:rsid w:val="007303A5"/>
    <w:rsid w:val="00730B3E"/>
    <w:rsid w:val="0073420B"/>
    <w:rsid w:val="00736367"/>
    <w:rsid w:val="007400E0"/>
    <w:rsid w:val="007453B6"/>
    <w:rsid w:val="0074760E"/>
    <w:rsid w:val="00750C85"/>
    <w:rsid w:val="00754ABA"/>
    <w:rsid w:val="00756C4D"/>
    <w:rsid w:val="007572F8"/>
    <w:rsid w:val="007642F1"/>
    <w:rsid w:val="00782B0D"/>
    <w:rsid w:val="007840F1"/>
    <w:rsid w:val="00784461"/>
    <w:rsid w:val="00786128"/>
    <w:rsid w:val="0079651C"/>
    <w:rsid w:val="007A1546"/>
    <w:rsid w:val="007A228C"/>
    <w:rsid w:val="007A368E"/>
    <w:rsid w:val="007A5868"/>
    <w:rsid w:val="007A73E1"/>
    <w:rsid w:val="007B04CE"/>
    <w:rsid w:val="007B1D38"/>
    <w:rsid w:val="007B6871"/>
    <w:rsid w:val="007B6EB1"/>
    <w:rsid w:val="007B7A2F"/>
    <w:rsid w:val="007C3D33"/>
    <w:rsid w:val="007C6697"/>
    <w:rsid w:val="007C7E4E"/>
    <w:rsid w:val="007D21D8"/>
    <w:rsid w:val="007D294A"/>
    <w:rsid w:val="007D4291"/>
    <w:rsid w:val="007D47D2"/>
    <w:rsid w:val="007D6EC0"/>
    <w:rsid w:val="007D7E1D"/>
    <w:rsid w:val="007D7F0D"/>
    <w:rsid w:val="007E2369"/>
    <w:rsid w:val="007E2B9C"/>
    <w:rsid w:val="00805315"/>
    <w:rsid w:val="00807BF0"/>
    <w:rsid w:val="00827410"/>
    <w:rsid w:val="00831979"/>
    <w:rsid w:val="0083696B"/>
    <w:rsid w:val="00836987"/>
    <w:rsid w:val="008376A5"/>
    <w:rsid w:val="00840755"/>
    <w:rsid w:val="00843D82"/>
    <w:rsid w:val="00851352"/>
    <w:rsid w:val="00854B0F"/>
    <w:rsid w:val="00857077"/>
    <w:rsid w:val="00861078"/>
    <w:rsid w:val="00863230"/>
    <w:rsid w:val="00865BD0"/>
    <w:rsid w:val="008717D8"/>
    <w:rsid w:val="0087215C"/>
    <w:rsid w:val="00875D25"/>
    <w:rsid w:val="00876DC3"/>
    <w:rsid w:val="00880E35"/>
    <w:rsid w:val="008828FC"/>
    <w:rsid w:val="0088293D"/>
    <w:rsid w:val="00887392"/>
    <w:rsid w:val="008875FE"/>
    <w:rsid w:val="00887F8E"/>
    <w:rsid w:val="00896234"/>
    <w:rsid w:val="008973F4"/>
    <w:rsid w:val="00897E43"/>
    <w:rsid w:val="008A05C5"/>
    <w:rsid w:val="008A2A30"/>
    <w:rsid w:val="008A3F8D"/>
    <w:rsid w:val="008A5D5F"/>
    <w:rsid w:val="008C222B"/>
    <w:rsid w:val="008C4B86"/>
    <w:rsid w:val="008C5738"/>
    <w:rsid w:val="008C7EAD"/>
    <w:rsid w:val="008D0CFE"/>
    <w:rsid w:val="008D6152"/>
    <w:rsid w:val="008D7DA5"/>
    <w:rsid w:val="008E0D14"/>
    <w:rsid w:val="008E1454"/>
    <w:rsid w:val="008E57EA"/>
    <w:rsid w:val="008E7BA9"/>
    <w:rsid w:val="008F0F81"/>
    <w:rsid w:val="008F27BF"/>
    <w:rsid w:val="008F38A6"/>
    <w:rsid w:val="00903029"/>
    <w:rsid w:val="009037F4"/>
    <w:rsid w:val="00904287"/>
    <w:rsid w:val="00906F9D"/>
    <w:rsid w:val="00913784"/>
    <w:rsid w:val="009142EC"/>
    <w:rsid w:val="009154C3"/>
    <w:rsid w:val="00923540"/>
    <w:rsid w:val="00924328"/>
    <w:rsid w:val="009248E9"/>
    <w:rsid w:val="00925F2B"/>
    <w:rsid w:val="00926767"/>
    <w:rsid w:val="009361D5"/>
    <w:rsid w:val="009428A4"/>
    <w:rsid w:val="00944B38"/>
    <w:rsid w:val="009534BE"/>
    <w:rsid w:val="009659F4"/>
    <w:rsid w:val="00966083"/>
    <w:rsid w:val="00970D60"/>
    <w:rsid w:val="009838C0"/>
    <w:rsid w:val="0099390E"/>
    <w:rsid w:val="009939A8"/>
    <w:rsid w:val="009960E5"/>
    <w:rsid w:val="0099630F"/>
    <w:rsid w:val="009A25F3"/>
    <w:rsid w:val="009A4852"/>
    <w:rsid w:val="009A7ADC"/>
    <w:rsid w:val="009B0500"/>
    <w:rsid w:val="009B0D30"/>
    <w:rsid w:val="009B676B"/>
    <w:rsid w:val="009C19B7"/>
    <w:rsid w:val="009C3E19"/>
    <w:rsid w:val="009C5ABB"/>
    <w:rsid w:val="009C5CA2"/>
    <w:rsid w:val="009D0F3C"/>
    <w:rsid w:val="009D1042"/>
    <w:rsid w:val="009D1970"/>
    <w:rsid w:val="009D5506"/>
    <w:rsid w:val="009D7801"/>
    <w:rsid w:val="009D7C51"/>
    <w:rsid w:val="009E0C1E"/>
    <w:rsid w:val="009E196C"/>
    <w:rsid w:val="009E3064"/>
    <w:rsid w:val="009E48AA"/>
    <w:rsid w:val="009E48BD"/>
    <w:rsid w:val="009E57B0"/>
    <w:rsid w:val="009F36BF"/>
    <w:rsid w:val="00A0190F"/>
    <w:rsid w:val="00A10FDF"/>
    <w:rsid w:val="00A111B6"/>
    <w:rsid w:val="00A215D1"/>
    <w:rsid w:val="00A2255A"/>
    <w:rsid w:val="00A2313B"/>
    <w:rsid w:val="00A26D27"/>
    <w:rsid w:val="00A31909"/>
    <w:rsid w:val="00A376EE"/>
    <w:rsid w:val="00A42A99"/>
    <w:rsid w:val="00A5151A"/>
    <w:rsid w:val="00A57E0A"/>
    <w:rsid w:val="00A60244"/>
    <w:rsid w:val="00A60733"/>
    <w:rsid w:val="00A619BB"/>
    <w:rsid w:val="00A6704B"/>
    <w:rsid w:val="00A67726"/>
    <w:rsid w:val="00A7154E"/>
    <w:rsid w:val="00A74478"/>
    <w:rsid w:val="00A75033"/>
    <w:rsid w:val="00A76BFD"/>
    <w:rsid w:val="00A823F6"/>
    <w:rsid w:val="00A84F34"/>
    <w:rsid w:val="00A8719E"/>
    <w:rsid w:val="00AA0A89"/>
    <w:rsid w:val="00AA5368"/>
    <w:rsid w:val="00AA6429"/>
    <w:rsid w:val="00AC01AA"/>
    <w:rsid w:val="00AC16F8"/>
    <w:rsid w:val="00AC4F72"/>
    <w:rsid w:val="00AD256F"/>
    <w:rsid w:val="00AF741A"/>
    <w:rsid w:val="00AF7878"/>
    <w:rsid w:val="00B01ADB"/>
    <w:rsid w:val="00B04161"/>
    <w:rsid w:val="00B056F9"/>
    <w:rsid w:val="00B11E3D"/>
    <w:rsid w:val="00B126C1"/>
    <w:rsid w:val="00B14D2C"/>
    <w:rsid w:val="00B14D5A"/>
    <w:rsid w:val="00B17E82"/>
    <w:rsid w:val="00B27E88"/>
    <w:rsid w:val="00B32E00"/>
    <w:rsid w:val="00B36FD1"/>
    <w:rsid w:val="00B4575A"/>
    <w:rsid w:val="00B464E7"/>
    <w:rsid w:val="00B528F9"/>
    <w:rsid w:val="00B53F21"/>
    <w:rsid w:val="00B575BA"/>
    <w:rsid w:val="00B71608"/>
    <w:rsid w:val="00B76429"/>
    <w:rsid w:val="00B77585"/>
    <w:rsid w:val="00B86471"/>
    <w:rsid w:val="00B956D4"/>
    <w:rsid w:val="00B97446"/>
    <w:rsid w:val="00B97EFF"/>
    <w:rsid w:val="00BA362A"/>
    <w:rsid w:val="00BA7432"/>
    <w:rsid w:val="00BB2764"/>
    <w:rsid w:val="00BB4027"/>
    <w:rsid w:val="00BC0859"/>
    <w:rsid w:val="00BC19B6"/>
    <w:rsid w:val="00BC1AA0"/>
    <w:rsid w:val="00BC2495"/>
    <w:rsid w:val="00BC314A"/>
    <w:rsid w:val="00BC7D95"/>
    <w:rsid w:val="00BC7EB9"/>
    <w:rsid w:val="00BD06BD"/>
    <w:rsid w:val="00BD2643"/>
    <w:rsid w:val="00BD4737"/>
    <w:rsid w:val="00BD56B1"/>
    <w:rsid w:val="00BD6558"/>
    <w:rsid w:val="00BD65CF"/>
    <w:rsid w:val="00BE70DF"/>
    <w:rsid w:val="00BF2AD7"/>
    <w:rsid w:val="00BF2F76"/>
    <w:rsid w:val="00BF3022"/>
    <w:rsid w:val="00BF3214"/>
    <w:rsid w:val="00BF5573"/>
    <w:rsid w:val="00BF5D6E"/>
    <w:rsid w:val="00C04978"/>
    <w:rsid w:val="00C04B4F"/>
    <w:rsid w:val="00C13BF5"/>
    <w:rsid w:val="00C1522C"/>
    <w:rsid w:val="00C15867"/>
    <w:rsid w:val="00C16A03"/>
    <w:rsid w:val="00C2296D"/>
    <w:rsid w:val="00C23155"/>
    <w:rsid w:val="00C24FBA"/>
    <w:rsid w:val="00C26123"/>
    <w:rsid w:val="00C3046D"/>
    <w:rsid w:val="00C319B8"/>
    <w:rsid w:val="00C3407D"/>
    <w:rsid w:val="00C40268"/>
    <w:rsid w:val="00C40C41"/>
    <w:rsid w:val="00C43609"/>
    <w:rsid w:val="00C45885"/>
    <w:rsid w:val="00C50F22"/>
    <w:rsid w:val="00C52334"/>
    <w:rsid w:val="00C57971"/>
    <w:rsid w:val="00C65BD7"/>
    <w:rsid w:val="00C66D7F"/>
    <w:rsid w:val="00C76BA4"/>
    <w:rsid w:val="00C802A2"/>
    <w:rsid w:val="00C817B6"/>
    <w:rsid w:val="00C83A48"/>
    <w:rsid w:val="00C85865"/>
    <w:rsid w:val="00C85E85"/>
    <w:rsid w:val="00C866B3"/>
    <w:rsid w:val="00C87E60"/>
    <w:rsid w:val="00CA2EAE"/>
    <w:rsid w:val="00CA4AC1"/>
    <w:rsid w:val="00CA59FB"/>
    <w:rsid w:val="00CA69AD"/>
    <w:rsid w:val="00CB0316"/>
    <w:rsid w:val="00CB0B11"/>
    <w:rsid w:val="00CB426A"/>
    <w:rsid w:val="00CB5354"/>
    <w:rsid w:val="00CB765A"/>
    <w:rsid w:val="00CC17B3"/>
    <w:rsid w:val="00CC32B6"/>
    <w:rsid w:val="00CC3C9E"/>
    <w:rsid w:val="00CC4060"/>
    <w:rsid w:val="00CC5131"/>
    <w:rsid w:val="00CC6A14"/>
    <w:rsid w:val="00CC70A3"/>
    <w:rsid w:val="00CD04C2"/>
    <w:rsid w:val="00CD1E5B"/>
    <w:rsid w:val="00CD4442"/>
    <w:rsid w:val="00CD53C3"/>
    <w:rsid w:val="00CD574E"/>
    <w:rsid w:val="00CE3B01"/>
    <w:rsid w:val="00CE4C22"/>
    <w:rsid w:val="00CE76E5"/>
    <w:rsid w:val="00CF2E9D"/>
    <w:rsid w:val="00CF34C1"/>
    <w:rsid w:val="00CF41EC"/>
    <w:rsid w:val="00CF5D04"/>
    <w:rsid w:val="00CF7E82"/>
    <w:rsid w:val="00D04DE4"/>
    <w:rsid w:val="00D05F68"/>
    <w:rsid w:val="00D063F1"/>
    <w:rsid w:val="00D109B9"/>
    <w:rsid w:val="00D14F22"/>
    <w:rsid w:val="00D23CE5"/>
    <w:rsid w:val="00D24566"/>
    <w:rsid w:val="00D26B5A"/>
    <w:rsid w:val="00D271D4"/>
    <w:rsid w:val="00D4327B"/>
    <w:rsid w:val="00D455E1"/>
    <w:rsid w:val="00D4741C"/>
    <w:rsid w:val="00D57918"/>
    <w:rsid w:val="00D61917"/>
    <w:rsid w:val="00D67CA0"/>
    <w:rsid w:val="00D73DC6"/>
    <w:rsid w:val="00D74C1A"/>
    <w:rsid w:val="00D754C1"/>
    <w:rsid w:val="00D77393"/>
    <w:rsid w:val="00D77A35"/>
    <w:rsid w:val="00D80C64"/>
    <w:rsid w:val="00D81915"/>
    <w:rsid w:val="00D81B3E"/>
    <w:rsid w:val="00D82F2B"/>
    <w:rsid w:val="00D90C5F"/>
    <w:rsid w:val="00D90C70"/>
    <w:rsid w:val="00D90E49"/>
    <w:rsid w:val="00D96ADE"/>
    <w:rsid w:val="00DA0904"/>
    <w:rsid w:val="00DA0CE2"/>
    <w:rsid w:val="00DA267C"/>
    <w:rsid w:val="00DA4357"/>
    <w:rsid w:val="00DB3377"/>
    <w:rsid w:val="00DB7715"/>
    <w:rsid w:val="00DC6A10"/>
    <w:rsid w:val="00DC795F"/>
    <w:rsid w:val="00DD0EEE"/>
    <w:rsid w:val="00DD4922"/>
    <w:rsid w:val="00DE657E"/>
    <w:rsid w:val="00DF4704"/>
    <w:rsid w:val="00E024AA"/>
    <w:rsid w:val="00E15438"/>
    <w:rsid w:val="00E15C77"/>
    <w:rsid w:val="00E22231"/>
    <w:rsid w:val="00E2300A"/>
    <w:rsid w:val="00E250F1"/>
    <w:rsid w:val="00E3550D"/>
    <w:rsid w:val="00E43186"/>
    <w:rsid w:val="00E51C00"/>
    <w:rsid w:val="00E52838"/>
    <w:rsid w:val="00E53822"/>
    <w:rsid w:val="00E5613F"/>
    <w:rsid w:val="00E614E0"/>
    <w:rsid w:val="00E73F7F"/>
    <w:rsid w:val="00E753E8"/>
    <w:rsid w:val="00E765B9"/>
    <w:rsid w:val="00E82569"/>
    <w:rsid w:val="00E85409"/>
    <w:rsid w:val="00EA170B"/>
    <w:rsid w:val="00EA40B6"/>
    <w:rsid w:val="00EA429F"/>
    <w:rsid w:val="00EA4F9E"/>
    <w:rsid w:val="00EA613E"/>
    <w:rsid w:val="00EA614B"/>
    <w:rsid w:val="00EA63CA"/>
    <w:rsid w:val="00EA6D3B"/>
    <w:rsid w:val="00EB00AD"/>
    <w:rsid w:val="00EB136C"/>
    <w:rsid w:val="00EB3AE1"/>
    <w:rsid w:val="00EB4436"/>
    <w:rsid w:val="00EB480E"/>
    <w:rsid w:val="00EB5EC6"/>
    <w:rsid w:val="00EB7FC9"/>
    <w:rsid w:val="00EC19CA"/>
    <w:rsid w:val="00EC3958"/>
    <w:rsid w:val="00ED27E8"/>
    <w:rsid w:val="00ED7137"/>
    <w:rsid w:val="00EE02EA"/>
    <w:rsid w:val="00EF06EA"/>
    <w:rsid w:val="00EF4D49"/>
    <w:rsid w:val="00F00E06"/>
    <w:rsid w:val="00F01C2F"/>
    <w:rsid w:val="00F0461B"/>
    <w:rsid w:val="00F21088"/>
    <w:rsid w:val="00F327E7"/>
    <w:rsid w:val="00F35746"/>
    <w:rsid w:val="00F42CAF"/>
    <w:rsid w:val="00F447C7"/>
    <w:rsid w:val="00F44AC1"/>
    <w:rsid w:val="00F459B4"/>
    <w:rsid w:val="00F5211B"/>
    <w:rsid w:val="00F554A9"/>
    <w:rsid w:val="00F61C70"/>
    <w:rsid w:val="00F65B51"/>
    <w:rsid w:val="00F716FD"/>
    <w:rsid w:val="00F76DC0"/>
    <w:rsid w:val="00F80355"/>
    <w:rsid w:val="00F80557"/>
    <w:rsid w:val="00F82A7D"/>
    <w:rsid w:val="00F87C43"/>
    <w:rsid w:val="00F94985"/>
    <w:rsid w:val="00F94CFA"/>
    <w:rsid w:val="00FA269C"/>
    <w:rsid w:val="00FA4CDD"/>
    <w:rsid w:val="00FA5722"/>
    <w:rsid w:val="00FA626E"/>
    <w:rsid w:val="00FB0C81"/>
    <w:rsid w:val="00FB1218"/>
    <w:rsid w:val="00FB40AF"/>
    <w:rsid w:val="00FB40CB"/>
    <w:rsid w:val="00FB762A"/>
    <w:rsid w:val="00FC2200"/>
    <w:rsid w:val="00FC2540"/>
    <w:rsid w:val="00FC2B8C"/>
    <w:rsid w:val="00FF0204"/>
    <w:rsid w:val="00FF2D2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B1015"/>
  <w15:docId w15:val="{8A46AAD8-77D6-4DD0-B0FA-ADFD47D87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E22231"/>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12A03"/>
    <w:rPr>
      <w:sz w:val="22"/>
      <w:szCs w:val="22"/>
      <w:lang w:val="es-ES"/>
    </w:rPr>
  </w:style>
  <w:style w:type="paragraph" w:styleId="ListParagraph">
    <w:name w:val="List Paragraph"/>
    <w:basedOn w:val="Normal"/>
    <w:uiPriority w:val="34"/>
    <w:qFormat/>
    <w:rsid w:val="004402E6"/>
    <w:pPr>
      <w:ind w:left="720"/>
      <w:contextualSpacing/>
    </w:pPr>
  </w:style>
  <w:style w:type="character" w:customStyle="1" w:styleId="ListParagraph1">
    <w:name w:val="List Paragraph 1"/>
    <w:basedOn w:val="DefaultParagraphFont"/>
    <w:rsid w:val="000960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9262301">
      <w:bodyDiv w:val="1"/>
      <w:marLeft w:val="0"/>
      <w:marRight w:val="0"/>
      <w:marTop w:val="0"/>
      <w:marBottom w:val="0"/>
      <w:divBdr>
        <w:top w:val="none" w:sz="0" w:space="0" w:color="auto"/>
        <w:left w:val="none" w:sz="0" w:space="0" w:color="auto"/>
        <w:bottom w:val="none" w:sz="0" w:space="0" w:color="auto"/>
        <w:right w:val="none" w:sz="0" w:space="0" w:color="auto"/>
      </w:divBdr>
    </w:div>
    <w:div w:id="69180947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59035135">
      <w:bodyDiv w:val="1"/>
      <w:marLeft w:val="0"/>
      <w:marRight w:val="0"/>
      <w:marTop w:val="0"/>
      <w:marBottom w:val="0"/>
      <w:divBdr>
        <w:top w:val="none" w:sz="0" w:space="0" w:color="auto"/>
        <w:left w:val="none" w:sz="0" w:space="0" w:color="auto"/>
        <w:bottom w:val="none" w:sz="0" w:space="0" w:color="auto"/>
        <w:right w:val="none" w:sz="0" w:space="0" w:color="auto"/>
      </w:divBdr>
    </w:div>
    <w:div w:id="1356152365">
      <w:bodyDiv w:val="1"/>
      <w:marLeft w:val="0"/>
      <w:marRight w:val="0"/>
      <w:marTop w:val="0"/>
      <w:marBottom w:val="0"/>
      <w:divBdr>
        <w:top w:val="none" w:sz="0" w:space="0" w:color="auto"/>
        <w:left w:val="none" w:sz="0" w:space="0" w:color="auto"/>
        <w:bottom w:val="none" w:sz="0" w:space="0" w:color="auto"/>
        <w:right w:val="none" w:sz="0" w:space="0" w:color="auto"/>
      </w:divBdr>
    </w:div>
    <w:div w:id="13632387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E8BD2BA9EB6F4ABC7E1F15F8D0EFA6" ma:contentTypeVersion="5" ma:contentTypeDescription="Create a new document." ma:contentTypeScope="" ma:versionID="ede3fa0710aab2e1a7b0e10b1b7ebcd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A42BBE57-5179-4D4E-BCD4-50B6E9BA8501}"/>
</file>

<file path=customXml/itemProps3.xml><?xml version="1.0" encoding="utf-8"?>
<ds:datastoreItem xmlns:ds="http://schemas.openxmlformats.org/officeDocument/2006/customXml" ds:itemID="{08602AE6-6F37-4A4E-8135-376577037DBD}"/>
</file>

<file path=customXml/itemProps4.xml><?xml version="1.0" encoding="utf-8"?>
<ds:datastoreItem xmlns:ds="http://schemas.openxmlformats.org/officeDocument/2006/customXml" ds:itemID="{E1E84E0C-5EBC-4230-BC5A-E660AC519BA7}"/>
</file>

<file path=docProps/app.xml><?xml version="1.0" encoding="utf-8"?>
<Properties xmlns="http://schemas.openxmlformats.org/officeDocument/2006/extended-properties" xmlns:vt="http://schemas.openxmlformats.org/officeDocument/2006/docPropsVTypes">
  <Template>Normal</Template>
  <TotalTime>4</TotalTime>
  <Pages>6</Pages>
  <Words>2665</Words>
  <Characters>13406</Characters>
  <Application>Microsoft Office Word</Application>
  <DocSecurity>0</DocSecurity>
  <Lines>111</Lines>
  <Paragraphs>32</Paragraphs>
  <ScaleCrop>false</ScaleCrop>
  <HeadingPairs>
    <vt:vector size="2" baseType="variant">
      <vt:variant>
        <vt:lpstr>Title</vt:lpstr>
      </vt:variant>
      <vt:variant>
        <vt:i4>1</vt:i4>
      </vt:variant>
    </vt:vector>
  </HeadingPairs>
  <TitlesOfParts>
    <vt:vector size="1" baseType="lpstr">
      <vt:lpstr>Presupuestos de la Secretaría del Fondo revisados para 2023 y 2024 y presupuesto propuesto para 2025</vt:lpstr>
    </vt:vector>
  </TitlesOfParts>
  <Company>UNMFS</Company>
  <LinksUpToDate>false</LinksUpToDate>
  <CharactersWithSpaces>16039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Presupuestos de la Secretaría del Fondo revisados para 2023 y 2024 y presupuesto propuesto para 2025                            .</dc:title>
  <dc:creator>Anthoula Dounavis</dc:creator>
  <cp:lastModifiedBy>HBE</cp:lastModifiedBy>
  <cp:revision>7</cp:revision>
  <cp:lastPrinted>2022-11-01T16:21:00Z</cp:lastPrinted>
  <dcterms:created xsi:type="dcterms:W3CDTF">2022-11-15T11:28:00Z</dcterms:created>
  <dcterms:modified xsi:type="dcterms:W3CDTF">2022-11-27T04:13:00Z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UNEP/OzL.Pro/ExCom/91/7</vt:lpwstr>
  </property>
  <property fmtid="{D5CDD505-2E9C-101B-9397-08002B2CF9AE}" pid="3" name="Revision date">
    <vt:lpwstr>11/15/2022</vt:lpwstr>
  </property>
  <property fmtid="{D5CDD505-2E9C-101B-9397-08002B2CF9AE}" pid="4" name="ContentTypeId">
    <vt:lpwstr>0x010100D3E8BD2BA9EB6F4ABC7E1F15F8D0EFA6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