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E7913">
        <w:trPr>
          <w:trHeight w:val="720"/>
        </w:trPr>
        <w:tc>
          <w:tcPr>
            <w:tcW w:w="6494" w:type="dxa"/>
            <w:gridSpan w:val="2"/>
            <w:tcBorders>
              <w:bottom w:val="single" w:sz="18" w:space="0" w:color="auto"/>
            </w:tcBorders>
          </w:tcPr>
          <w:p w:rsidR="0087455A" w:rsidRPr="00AE7913" w:rsidRDefault="0024162E" w:rsidP="003F2F76">
            <w:pPr>
              <w:rPr>
                <w:rFonts w:ascii="Univers" w:hAnsi="Univers"/>
                <w:b/>
                <w:sz w:val="28"/>
                <w:szCs w:val="28"/>
                <w:lang w:val="es-ES"/>
              </w:rPr>
            </w:pPr>
            <w:r w:rsidRPr="00AE7913">
              <w:rPr>
                <w:rFonts w:ascii="Univers" w:hAnsi="Univers"/>
                <w:b/>
                <w:sz w:val="28"/>
                <w:szCs w:val="28"/>
                <w:lang w:val="es-ES"/>
              </w:rPr>
              <w:t>NACIONES</w:t>
            </w:r>
          </w:p>
          <w:p w:rsidR="0087455A" w:rsidRPr="00AE7913" w:rsidRDefault="0024162E" w:rsidP="003F2F76">
            <w:pPr>
              <w:rPr>
                <w:rFonts w:ascii="Univers" w:hAnsi="Univers"/>
                <w:b/>
                <w:sz w:val="28"/>
                <w:szCs w:val="28"/>
                <w:lang w:val="es-ES"/>
              </w:rPr>
            </w:pPr>
            <w:r w:rsidRPr="00AE7913">
              <w:rPr>
                <w:rFonts w:ascii="Univers" w:hAnsi="Univers"/>
                <w:b/>
                <w:sz w:val="28"/>
                <w:szCs w:val="28"/>
                <w:lang w:val="es-ES"/>
              </w:rPr>
              <w:t>UNIDAS</w:t>
            </w:r>
          </w:p>
        </w:tc>
        <w:tc>
          <w:tcPr>
            <w:tcW w:w="4590" w:type="dxa"/>
            <w:tcBorders>
              <w:bottom w:val="single" w:sz="18" w:space="0" w:color="auto"/>
            </w:tcBorders>
          </w:tcPr>
          <w:p w:rsidR="0087455A" w:rsidRPr="00AE7913" w:rsidRDefault="0024162E" w:rsidP="003F2F76">
            <w:pPr>
              <w:jc w:val="right"/>
              <w:rPr>
                <w:rFonts w:asciiTheme="minorBidi" w:hAnsiTheme="minorBidi" w:cstheme="minorBidi"/>
                <w:sz w:val="52"/>
                <w:szCs w:val="52"/>
                <w:lang w:val="es-ES"/>
              </w:rPr>
            </w:pPr>
            <w:r w:rsidRPr="00AE7913">
              <w:rPr>
                <w:rFonts w:asciiTheme="minorBidi" w:hAnsiTheme="minorBidi" w:cstheme="minorBidi"/>
                <w:b/>
                <w:sz w:val="72"/>
                <w:lang w:val="es-ES"/>
              </w:rPr>
              <w:t>EP</w:t>
            </w:r>
          </w:p>
        </w:tc>
      </w:tr>
      <w:tr w:rsidR="0087455A" w:rsidRPr="00AE79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AE7913" w:rsidRDefault="0024162E" w:rsidP="003F2F76">
            <w:pPr>
              <w:spacing w:before="120"/>
              <w:rPr>
                <w:lang w:val="es-ES"/>
              </w:rPr>
            </w:pPr>
            <w:r w:rsidRPr="00AE7913">
              <w:rPr>
                <w:noProof/>
                <w:lang w:val="en-CA" w:eastAsia="en-CA"/>
              </w:rPr>
              <w:drawing>
                <wp:anchor distT="0" distB="0" distL="114300" distR="114300" simplePos="0" relativeHeight="251656192"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AE7913">
              <w:rPr>
                <w:noProof/>
                <w:lang w:val="en-CA" w:eastAsia="en-CA"/>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AE7913" w:rsidRDefault="0087455A" w:rsidP="003F2F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AE7913" w:rsidRDefault="0024162E" w:rsidP="003F2F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E7913">
              <w:rPr>
                <w:rFonts w:ascii="Univers" w:hAnsi="Univers"/>
                <w:b/>
                <w:sz w:val="32"/>
                <w:lang w:val="es-ES"/>
              </w:rPr>
              <w:t>Programa de las</w:t>
            </w:r>
          </w:p>
          <w:p w:rsidR="0087455A" w:rsidRPr="00AE7913" w:rsidRDefault="0024162E" w:rsidP="003F2F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E7913">
              <w:rPr>
                <w:rFonts w:ascii="Univers" w:hAnsi="Univers"/>
                <w:b/>
                <w:sz w:val="32"/>
                <w:lang w:val="es-ES"/>
              </w:rPr>
              <w:t>Naciones Unidas</w:t>
            </w:r>
          </w:p>
          <w:p w:rsidR="0087455A" w:rsidRPr="00AE7913" w:rsidRDefault="0024162E" w:rsidP="003F2F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AE7913">
              <w:rPr>
                <w:rFonts w:ascii="Univers" w:hAnsi="Univers"/>
                <w:b/>
                <w:sz w:val="32"/>
                <w:lang w:val="es-ES"/>
              </w:rPr>
              <w:t>para el Medio Ambiente</w:t>
            </w:r>
          </w:p>
          <w:p w:rsidR="0087455A" w:rsidRPr="00AE7913" w:rsidRDefault="0087455A" w:rsidP="003F2F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AE7913" w:rsidRDefault="0087455A" w:rsidP="003F2F76">
            <w:pPr>
              <w:spacing w:before="720"/>
              <w:ind w:left="158"/>
              <w:rPr>
                <w:lang w:val="es-ES"/>
              </w:rPr>
            </w:pPr>
          </w:p>
        </w:tc>
        <w:tc>
          <w:tcPr>
            <w:tcW w:w="4590" w:type="dxa"/>
            <w:tcBorders>
              <w:top w:val="nil"/>
              <w:left w:val="nil"/>
              <w:bottom w:val="single" w:sz="36" w:space="0" w:color="auto"/>
              <w:right w:val="nil"/>
            </w:tcBorders>
          </w:tcPr>
          <w:p w:rsidR="0087455A" w:rsidRPr="00AE7913" w:rsidRDefault="0087455A" w:rsidP="003F2F76">
            <w:pPr>
              <w:rPr>
                <w:lang w:val="es-ES"/>
              </w:rPr>
            </w:pPr>
          </w:p>
          <w:p w:rsidR="0087455A" w:rsidRPr="00AE7913" w:rsidRDefault="0024162E" w:rsidP="003F2F76">
            <w:pPr>
              <w:rPr>
                <w:lang w:val="es-ES"/>
              </w:rPr>
            </w:pPr>
            <w:r w:rsidRPr="00AE7913">
              <w:rPr>
                <w:lang w:val="es-ES"/>
              </w:rPr>
              <w:t>Distr.</w:t>
            </w:r>
          </w:p>
          <w:p w:rsidR="0087455A" w:rsidRPr="00AE7913" w:rsidRDefault="0024162E" w:rsidP="003F2F76">
            <w:pPr>
              <w:rPr>
                <w:lang w:val="es-ES"/>
              </w:rPr>
            </w:pPr>
            <w:r w:rsidRPr="00AE7913">
              <w:rPr>
                <w:lang w:val="es-ES"/>
              </w:rPr>
              <w:t>GENERAL</w:t>
            </w:r>
          </w:p>
          <w:p w:rsidR="0087455A" w:rsidRPr="00AE7913" w:rsidRDefault="0087455A" w:rsidP="003F2F76">
            <w:pPr>
              <w:rPr>
                <w:lang w:val="es-ES"/>
              </w:rPr>
            </w:pPr>
          </w:p>
          <w:p w:rsidR="0087455A" w:rsidRPr="00AE7913" w:rsidRDefault="0024162E" w:rsidP="003F2F76">
            <w:pPr>
              <w:rPr>
                <w:lang w:val="es-ES"/>
              </w:rPr>
            </w:pPr>
            <w:r w:rsidRPr="00AE7913">
              <w:rPr>
                <w:lang w:val="es-ES"/>
              </w:rPr>
              <w:fldChar w:fldCharType="begin"/>
            </w:r>
            <w:r w:rsidRPr="00AE7913">
              <w:rPr>
                <w:lang w:val="es-ES"/>
              </w:rPr>
              <w:instrText xml:space="preserve"> DOCPROPERTY "Document number"  \* MERGEFORMAT </w:instrText>
            </w:r>
            <w:r w:rsidRPr="00AE7913">
              <w:rPr>
                <w:lang w:val="es-ES"/>
              </w:rPr>
              <w:fldChar w:fldCharType="separate"/>
            </w:r>
            <w:r w:rsidR="003A6BB2" w:rsidRPr="00AE7913">
              <w:rPr>
                <w:lang w:val="es-ES"/>
              </w:rPr>
              <w:t>UNEP/OzL.Pro/ExCom/84/49</w:t>
            </w:r>
            <w:r w:rsidRPr="00AE7913">
              <w:rPr>
                <w:lang w:val="es-ES"/>
              </w:rPr>
              <w:fldChar w:fldCharType="end"/>
            </w:r>
          </w:p>
          <w:p w:rsidR="0087455A" w:rsidRPr="00AE7913" w:rsidRDefault="001C2D22" w:rsidP="003F2F76">
            <w:pPr>
              <w:rPr>
                <w:caps/>
                <w:lang w:val="es-ES"/>
              </w:rPr>
            </w:pPr>
            <w:r w:rsidRPr="00AE7913">
              <w:rPr>
                <w:caps/>
                <w:lang w:val="es-ES"/>
              </w:rPr>
              <w:t>2</w:t>
            </w:r>
            <w:r w:rsidR="00FC13A5" w:rsidRPr="00AE7913">
              <w:rPr>
                <w:caps/>
                <w:lang w:val="es-ES"/>
              </w:rPr>
              <w:t>9</w:t>
            </w:r>
            <w:r w:rsidR="00114CAA" w:rsidRPr="00AE7913">
              <w:rPr>
                <w:caps/>
                <w:lang w:val="es-ES"/>
              </w:rPr>
              <w:t xml:space="preserve"> </w:t>
            </w:r>
            <w:r w:rsidR="00114CAA" w:rsidRPr="00AE7913">
              <w:rPr>
                <w:lang w:val="es-ES"/>
              </w:rPr>
              <w:t xml:space="preserve">de </w:t>
            </w:r>
            <w:r w:rsidR="00FC13A5" w:rsidRPr="00AE7913">
              <w:rPr>
                <w:lang w:val="es-ES"/>
              </w:rPr>
              <w:t>noviembre</w:t>
            </w:r>
            <w:r w:rsidR="00114CAA" w:rsidRPr="00AE7913">
              <w:rPr>
                <w:lang w:val="es-ES"/>
              </w:rPr>
              <w:t xml:space="preserve"> de </w:t>
            </w:r>
            <w:r w:rsidRPr="00AE7913">
              <w:rPr>
                <w:caps/>
                <w:lang w:val="es-ES"/>
              </w:rPr>
              <w:t>2019</w:t>
            </w:r>
          </w:p>
          <w:p w:rsidR="00114CAA" w:rsidRPr="00AE7913" w:rsidRDefault="00114CAA" w:rsidP="003F2F76">
            <w:pPr>
              <w:rPr>
                <w:caps/>
                <w:lang w:val="es-ES"/>
              </w:rPr>
            </w:pPr>
          </w:p>
          <w:p w:rsidR="0087455A" w:rsidRPr="00AE7913" w:rsidRDefault="0024162E" w:rsidP="003F2F76">
            <w:pPr>
              <w:rPr>
                <w:lang w:val="es-ES"/>
              </w:rPr>
            </w:pPr>
            <w:r w:rsidRPr="00AE7913">
              <w:rPr>
                <w:lang w:val="es-ES"/>
              </w:rPr>
              <w:t xml:space="preserve">ESPAÑOL </w:t>
            </w:r>
          </w:p>
          <w:p w:rsidR="0087455A" w:rsidRPr="00AE7913" w:rsidRDefault="0024162E" w:rsidP="003F2F76">
            <w:pPr>
              <w:rPr>
                <w:lang w:val="es-ES"/>
              </w:rPr>
            </w:pPr>
            <w:r w:rsidRPr="00AE7913">
              <w:rPr>
                <w:lang w:val="es-ES"/>
              </w:rPr>
              <w:t>ORIGINAL: INGLÉS</w:t>
            </w:r>
          </w:p>
        </w:tc>
      </w:tr>
    </w:tbl>
    <w:p w:rsidR="0087455A" w:rsidRPr="00AE7913" w:rsidRDefault="0087455A" w:rsidP="003F2F76">
      <w:pPr>
        <w:jc w:val="left"/>
        <w:rPr>
          <w:lang w:val="es-ES"/>
        </w:rPr>
      </w:pPr>
    </w:p>
    <w:p w:rsidR="0087455A" w:rsidRPr="00AE7913" w:rsidRDefault="0024162E" w:rsidP="003F2F76">
      <w:pPr>
        <w:jc w:val="left"/>
        <w:rPr>
          <w:lang w:val="es-ES"/>
        </w:rPr>
      </w:pPr>
      <w:r w:rsidRPr="00AE7913">
        <w:rPr>
          <w:lang w:val="es-ES"/>
        </w:rPr>
        <w:t>COMITÉ EJECUTIVO DEL FONDO MULTILATERAL</w:t>
      </w:r>
      <w:r w:rsidRPr="00AE7913">
        <w:rPr>
          <w:lang w:val="es-ES"/>
        </w:rPr>
        <w:br/>
        <w:t xml:space="preserve">  PARA LA APLICACIÓN DEL</w:t>
      </w:r>
      <w:r w:rsidRPr="00AE7913">
        <w:rPr>
          <w:lang w:val="es-ES"/>
        </w:rPr>
        <w:br/>
        <w:t xml:space="preserve">  PROTOCOLO DE MONTREAL</w:t>
      </w:r>
    </w:p>
    <w:p w:rsidR="00106F6E" w:rsidRPr="00AE7913" w:rsidRDefault="00106F6E" w:rsidP="003F2F76">
      <w:pPr>
        <w:jc w:val="left"/>
        <w:rPr>
          <w:lang w:val="es-ES"/>
        </w:rPr>
      </w:pPr>
      <w:r w:rsidRPr="00AE7913">
        <w:rPr>
          <w:lang w:val="es-ES"/>
        </w:rPr>
        <w:t xml:space="preserve">Octogésima </w:t>
      </w:r>
      <w:r w:rsidR="003863A4" w:rsidRPr="00AE7913">
        <w:rPr>
          <w:lang w:val="es-ES"/>
        </w:rPr>
        <w:t>cuarta Reunión</w:t>
      </w:r>
      <w:r w:rsidR="003863A4" w:rsidRPr="00AE7913">
        <w:rPr>
          <w:lang w:val="es-ES"/>
        </w:rPr>
        <w:br/>
        <w:t xml:space="preserve">Montreal, 16 </w:t>
      </w:r>
      <w:r w:rsidRPr="00AE7913">
        <w:rPr>
          <w:lang w:val="es-ES"/>
        </w:rPr>
        <w:t xml:space="preserve">– </w:t>
      </w:r>
      <w:r w:rsidR="003863A4" w:rsidRPr="00AE7913">
        <w:rPr>
          <w:lang w:val="es-ES"/>
        </w:rPr>
        <w:t>20</w:t>
      </w:r>
      <w:r w:rsidRPr="00AE7913">
        <w:rPr>
          <w:lang w:val="es-ES"/>
        </w:rPr>
        <w:t xml:space="preserve"> de </w:t>
      </w:r>
      <w:r w:rsidR="001F4047" w:rsidRPr="00AE7913">
        <w:rPr>
          <w:lang w:val="es-ES"/>
        </w:rPr>
        <w:t>diciembre</w:t>
      </w:r>
      <w:r w:rsidR="001C2D22" w:rsidRPr="00AE7913">
        <w:rPr>
          <w:lang w:val="es-ES"/>
        </w:rPr>
        <w:t xml:space="preserve"> de 2019</w:t>
      </w:r>
    </w:p>
    <w:p w:rsidR="00106F6E" w:rsidRDefault="00106F6E" w:rsidP="003F2F76">
      <w:pPr>
        <w:jc w:val="left"/>
        <w:rPr>
          <w:lang w:val="es-ES"/>
        </w:rPr>
      </w:pPr>
    </w:p>
    <w:p w:rsidR="00702B6C" w:rsidRDefault="00702B6C" w:rsidP="003F2F76">
      <w:pPr>
        <w:jc w:val="left"/>
        <w:rPr>
          <w:lang w:val="es-ES"/>
        </w:rPr>
      </w:pPr>
    </w:p>
    <w:p w:rsidR="00702B6C" w:rsidRPr="00AE7913" w:rsidRDefault="00702B6C" w:rsidP="003F2F76">
      <w:pPr>
        <w:jc w:val="left"/>
        <w:rPr>
          <w:lang w:val="es-ES"/>
        </w:rPr>
      </w:pPr>
    </w:p>
    <w:p w:rsidR="003F2F76" w:rsidRPr="00AE7913" w:rsidRDefault="003F2F76" w:rsidP="003F2F76">
      <w:pPr>
        <w:jc w:val="center"/>
        <w:rPr>
          <w:b/>
          <w:lang w:val="es-ES"/>
        </w:rPr>
      </w:pPr>
      <w:r w:rsidRPr="00AE7913">
        <w:rPr>
          <w:b/>
          <w:lang w:val="es-ES"/>
        </w:rPr>
        <w:t>PROPUESTAS DE PROYECTOS: EGIPTO</w:t>
      </w:r>
    </w:p>
    <w:p w:rsidR="003F2F76" w:rsidRPr="00AE7913" w:rsidRDefault="003F2F76" w:rsidP="003F2F76">
      <w:pPr>
        <w:rPr>
          <w:lang w:val="es-ES"/>
        </w:rPr>
      </w:pPr>
    </w:p>
    <w:p w:rsidR="003F2F76" w:rsidRDefault="003F2F76" w:rsidP="003F2F76">
      <w:pPr>
        <w:rPr>
          <w:lang w:val="es-ES"/>
        </w:rPr>
      </w:pPr>
    </w:p>
    <w:p w:rsidR="00702B6C" w:rsidRPr="00AE7913" w:rsidRDefault="00702B6C" w:rsidP="003F2F76">
      <w:pPr>
        <w:rPr>
          <w:lang w:val="es-ES"/>
        </w:rPr>
      </w:pPr>
    </w:p>
    <w:p w:rsidR="003F2F76" w:rsidRPr="00AE7913" w:rsidRDefault="003F2F76" w:rsidP="003F2F76">
      <w:pPr>
        <w:ind w:firstLine="720"/>
        <w:rPr>
          <w:lang w:val="es-ES"/>
        </w:rPr>
      </w:pPr>
      <w:r w:rsidRPr="00AE7913">
        <w:rPr>
          <w:lang w:val="es-ES"/>
        </w:rPr>
        <w:t xml:space="preserve">Este documento consta de las observaciones y recomendaciones de la Secretaría del Fondo acerca de las siguientes propuestas de proyectos: </w:t>
      </w:r>
    </w:p>
    <w:p w:rsidR="003F2F76" w:rsidRPr="00AE7913" w:rsidRDefault="003F2F76" w:rsidP="003F2F76">
      <w:pPr>
        <w:rPr>
          <w:lang w:val="es-ES"/>
        </w:rPr>
      </w:pPr>
    </w:p>
    <w:p w:rsidR="003F2F76" w:rsidRPr="00AE7913" w:rsidRDefault="003F2F76" w:rsidP="003F2F76">
      <w:pPr>
        <w:rPr>
          <w:u w:val="single"/>
          <w:lang w:val="es-ES"/>
        </w:rPr>
      </w:pPr>
      <w:r w:rsidRPr="00AE7913">
        <w:rPr>
          <w:u w:val="single"/>
          <w:lang w:val="es-ES"/>
        </w:rPr>
        <w:t>Eliminación</w:t>
      </w:r>
    </w:p>
    <w:p w:rsidR="003F2F76" w:rsidRPr="00AE7913" w:rsidRDefault="003F2F76" w:rsidP="003F2F76">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2780"/>
      </w:tblGrid>
      <w:tr w:rsidR="003F2F76" w:rsidRPr="00AE7913" w:rsidTr="003F2F76">
        <w:tc>
          <w:tcPr>
            <w:tcW w:w="6570" w:type="dxa"/>
          </w:tcPr>
          <w:p w:rsidR="003F2F76" w:rsidRPr="00AE7913" w:rsidRDefault="003F2F76" w:rsidP="003F2F76">
            <w:pPr>
              <w:pStyle w:val="ListParagraph"/>
              <w:numPr>
                <w:ilvl w:val="0"/>
                <w:numId w:val="22"/>
              </w:numPr>
              <w:ind w:hanging="830"/>
            </w:pPr>
            <w:r w:rsidRPr="00AE7913">
              <w:t>Plan de gestión de eliminación de HCFC (etapa I, informe final sobre la marcha de las actividades)</w:t>
            </w:r>
          </w:p>
          <w:p w:rsidR="003F2F76" w:rsidRPr="00AE7913" w:rsidRDefault="003F2F76" w:rsidP="003F2F76">
            <w:pPr>
              <w:rPr>
                <w:lang w:val="es-ES"/>
              </w:rPr>
            </w:pPr>
          </w:p>
          <w:p w:rsidR="003F2F76" w:rsidRPr="00AE7913" w:rsidRDefault="003F2F76" w:rsidP="003F2F76">
            <w:pPr>
              <w:rPr>
                <w:lang w:val="es-ES"/>
              </w:rPr>
            </w:pPr>
          </w:p>
          <w:p w:rsidR="003F2F76" w:rsidRPr="00AE7913" w:rsidRDefault="003F2F76" w:rsidP="003F2F76">
            <w:pPr>
              <w:ind w:left="720"/>
              <w:rPr>
                <w:lang w:val="es-ES"/>
              </w:rPr>
            </w:pPr>
          </w:p>
        </w:tc>
        <w:tc>
          <w:tcPr>
            <w:tcW w:w="2780" w:type="dxa"/>
          </w:tcPr>
          <w:p w:rsidR="003F2F76" w:rsidRPr="00AE7913" w:rsidRDefault="003F2F76" w:rsidP="003F2F76">
            <w:pPr>
              <w:jc w:val="right"/>
              <w:rPr>
                <w:lang w:val="es-ES"/>
              </w:rPr>
            </w:pPr>
            <w:r w:rsidRPr="00AE7913">
              <w:rPr>
                <w:lang w:val="es-ES"/>
              </w:rPr>
              <w:t>ONUDI y PNUD</w:t>
            </w:r>
          </w:p>
          <w:p w:rsidR="003F2F76" w:rsidRPr="00AE7913" w:rsidRDefault="003F2F76" w:rsidP="003F2F76">
            <w:pPr>
              <w:jc w:val="right"/>
              <w:rPr>
                <w:lang w:val="es-ES"/>
              </w:rPr>
            </w:pPr>
          </w:p>
          <w:p w:rsidR="003F2F76" w:rsidRPr="00AE7913" w:rsidRDefault="003F2F76" w:rsidP="003F2F76">
            <w:pPr>
              <w:jc w:val="right"/>
              <w:rPr>
                <w:lang w:val="es-ES"/>
              </w:rPr>
            </w:pPr>
          </w:p>
        </w:tc>
      </w:tr>
      <w:tr w:rsidR="003F2F76" w:rsidRPr="00702B6C" w:rsidTr="003F2F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570" w:type="dxa"/>
            <w:tcBorders>
              <w:top w:val="nil"/>
              <w:left w:val="nil"/>
              <w:bottom w:val="nil"/>
              <w:right w:val="nil"/>
            </w:tcBorders>
          </w:tcPr>
          <w:p w:rsidR="003F2F76" w:rsidRPr="00AE7913" w:rsidRDefault="003F2F76" w:rsidP="003F2F76">
            <w:pPr>
              <w:pStyle w:val="ListParagraph"/>
              <w:numPr>
                <w:ilvl w:val="0"/>
                <w:numId w:val="22"/>
              </w:numPr>
              <w:ind w:hanging="830"/>
            </w:pPr>
            <w:r w:rsidRPr="00AE7913">
              <w:t>Plan de gestión de eliminación de HCFC (etapa II, segundo tramo)</w:t>
            </w:r>
          </w:p>
          <w:p w:rsidR="003F2F76" w:rsidRPr="00AE7913" w:rsidRDefault="003F2F76" w:rsidP="003F2F76">
            <w:pPr>
              <w:rPr>
                <w:lang w:val="es-ES"/>
              </w:rPr>
            </w:pPr>
          </w:p>
          <w:p w:rsidR="003F2F76" w:rsidRPr="00AE7913" w:rsidRDefault="003F2F76" w:rsidP="003F2F76">
            <w:pPr>
              <w:rPr>
                <w:lang w:val="es-ES"/>
              </w:rPr>
            </w:pPr>
          </w:p>
          <w:p w:rsidR="003F2F76" w:rsidRPr="00AE7913" w:rsidRDefault="003F2F76" w:rsidP="003F2F76">
            <w:pPr>
              <w:ind w:left="720"/>
              <w:rPr>
                <w:lang w:val="es-ES"/>
              </w:rPr>
            </w:pPr>
          </w:p>
        </w:tc>
        <w:tc>
          <w:tcPr>
            <w:tcW w:w="2780" w:type="dxa"/>
            <w:tcBorders>
              <w:top w:val="nil"/>
              <w:left w:val="nil"/>
              <w:bottom w:val="nil"/>
              <w:right w:val="nil"/>
            </w:tcBorders>
          </w:tcPr>
          <w:p w:rsidR="003F2F76" w:rsidRPr="00AE7913" w:rsidRDefault="003F2F76" w:rsidP="003F2F76">
            <w:pPr>
              <w:jc w:val="right"/>
              <w:rPr>
                <w:lang w:val="es-ES"/>
              </w:rPr>
            </w:pPr>
            <w:r w:rsidRPr="00AE7913">
              <w:rPr>
                <w:lang w:val="es-ES"/>
              </w:rPr>
              <w:t>ONUDI, PNUD, PNUMA y el Gobierno de Alemania</w:t>
            </w:r>
          </w:p>
          <w:p w:rsidR="003F2F76" w:rsidRPr="00AE7913" w:rsidRDefault="003F2F76" w:rsidP="003F2F76">
            <w:pPr>
              <w:jc w:val="right"/>
              <w:rPr>
                <w:lang w:val="es-ES"/>
              </w:rPr>
            </w:pPr>
          </w:p>
        </w:tc>
      </w:tr>
    </w:tbl>
    <w:p w:rsidR="003F2F76" w:rsidRPr="00AE7913" w:rsidRDefault="003F2F76" w:rsidP="003F2F76">
      <w:pPr>
        <w:rPr>
          <w:lang w:val="es-ES"/>
        </w:rPr>
      </w:pPr>
    </w:p>
    <w:p w:rsidR="003F2F76" w:rsidRPr="00AE7913" w:rsidRDefault="003F2F76" w:rsidP="003F2F76">
      <w:pPr>
        <w:rPr>
          <w:lang w:val="es-ES"/>
        </w:rPr>
      </w:pPr>
    </w:p>
    <w:p w:rsidR="003F2F76" w:rsidRPr="00AE7913" w:rsidRDefault="003F2F76" w:rsidP="003F2F76">
      <w:pPr>
        <w:rPr>
          <w:lang w:val="es-ES"/>
        </w:rPr>
      </w:pPr>
      <w:r w:rsidRPr="00AE7913">
        <w:rPr>
          <w:lang w:val="es-ES"/>
        </w:rPr>
        <w:br w:type="page"/>
      </w:r>
    </w:p>
    <w:p w:rsidR="003F2F76" w:rsidRPr="00AE7913" w:rsidRDefault="003F2F76" w:rsidP="003F2F76">
      <w:pPr>
        <w:rPr>
          <w:lang w:val="es-ES"/>
        </w:rPr>
      </w:pPr>
      <w:r w:rsidRPr="00AE7913">
        <w:rPr>
          <w:u w:val="single"/>
          <w:lang w:val="es-ES"/>
        </w:rPr>
        <w:lastRenderedPageBreak/>
        <w:t>Etapa I del plan de gestión de eliminación de HCFC para Egipto</w:t>
      </w:r>
      <w:r w:rsidRPr="00AE7913">
        <w:rPr>
          <w:lang w:val="es-ES"/>
        </w:rPr>
        <w:t xml:space="preserve"> (informe final sobre la marcha de las actividades) (ONUDI y PNUD)</w:t>
      </w:r>
    </w:p>
    <w:p w:rsidR="003F2F76" w:rsidRPr="00AE7913" w:rsidRDefault="003F2F76" w:rsidP="003F2F76">
      <w:pPr>
        <w:rPr>
          <w:lang w:val="es-ES"/>
        </w:rPr>
      </w:pPr>
    </w:p>
    <w:p w:rsidR="003F2F76" w:rsidRPr="00AE7913" w:rsidRDefault="003F2F76" w:rsidP="003F2F76">
      <w:pPr>
        <w:keepNext/>
        <w:keepLines/>
        <w:rPr>
          <w:b/>
          <w:lang w:val="es-ES"/>
        </w:rPr>
      </w:pPr>
      <w:r w:rsidRPr="00AE7913">
        <w:rPr>
          <w:b/>
          <w:lang w:val="es-ES"/>
        </w:rPr>
        <w:t>Antecedentes</w:t>
      </w:r>
    </w:p>
    <w:p w:rsidR="003F2F76" w:rsidRPr="00AE7913" w:rsidRDefault="003F2F76" w:rsidP="003F2F76">
      <w:pPr>
        <w:keepNext/>
        <w:keepLines/>
        <w:rPr>
          <w:lang w:val="es-ES"/>
        </w:rPr>
      </w:pPr>
    </w:p>
    <w:p w:rsidR="003F2F76" w:rsidRPr="00AE7913" w:rsidRDefault="003F2F76" w:rsidP="003F2F76">
      <w:pPr>
        <w:pStyle w:val="Heading1"/>
        <w:rPr>
          <w:lang w:val="es-ES"/>
        </w:rPr>
      </w:pPr>
      <w:r w:rsidRPr="00AE7913">
        <w:rPr>
          <w:lang w:val="es-ES"/>
        </w:rPr>
        <w:t>En nombre del Gobierno de Egipto, la ONUDI, en su calidad de organismo de ejecución principal, ha presentado lo siguiente:</w:t>
      </w:r>
    </w:p>
    <w:p w:rsidR="003F2F76" w:rsidRPr="00AE7913" w:rsidRDefault="003F2F76" w:rsidP="003F2F76">
      <w:pPr>
        <w:pStyle w:val="Heading2"/>
        <w:widowControl/>
        <w:rPr>
          <w:lang w:val="es-ES"/>
        </w:rPr>
      </w:pPr>
      <w:r w:rsidRPr="00AE7913">
        <w:rPr>
          <w:lang w:val="es-ES"/>
        </w:rPr>
        <w:t>El informe sobre la marcha de las actividades relativo a la ejecución del tercer tramo de la etapa I del plan de gestión de eliminación de HCFC (PGEH) para Egipto;</w:t>
      </w:r>
    </w:p>
    <w:p w:rsidR="003F2F76" w:rsidRPr="00AE7913" w:rsidRDefault="003F2F76" w:rsidP="003F2F76">
      <w:pPr>
        <w:pStyle w:val="Heading2"/>
        <w:widowControl/>
        <w:rPr>
          <w:lang w:val="es-ES"/>
        </w:rPr>
      </w:pPr>
      <w:r w:rsidRPr="00AE7913">
        <w:rPr>
          <w:lang w:val="es-ES"/>
        </w:rPr>
        <w:t>El informe sobre la situación de la conversión de los proveedores de sistemas, las 81 empresas pequeñas y medianas (EPM) y los 350 microusuarios, y el informe sobre el uso de la tecnología provisional (decisiones 82/72 b) i) y iv)); y</w:t>
      </w:r>
    </w:p>
    <w:p w:rsidR="003F2F76" w:rsidRPr="00AE7913" w:rsidRDefault="003F2F76" w:rsidP="003F2F76">
      <w:pPr>
        <w:pStyle w:val="Heading2"/>
        <w:widowControl/>
        <w:rPr>
          <w:lang w:val="es-ES"/>
        </w:rPr>
      </w:pPr>
      <w:r w:rsidRPr="00AE7913">
        <w:rPr>
          <w:lang w:val="es-ES"/>
        </w:rPr>
        <w:t xml:space="preserve">El informe sobre el proyecto para la promoción de refrigerantes de bajo potencial de calentamiento atmosférico (PCA) para la industria del aire acondicionado en Egipto (EGYPRA). </w:t>
      </w:r>
    </w:p>
    <w:p w:rsidR="003F2F76" w:rsidRPr="00AE7913" w:rsidRDefault="003F2F76" w:rsidP="003F2F76">
      <w:pPr>
        <w:keepNext/>
        <w:keepLines/>
        <w:rPr>
          <w:b/>
          <w:lang w:val="es-ES"/>
        </w:rPr>
      </w:pPr>
      <w:r w:rsidRPr="00AE7913">
        <w:rPr>
          <w:b/>
          <w:lang w:val="es-ES"/>
        </w:rPr>
        <w:t>Antecedentes sobre la etapa I del PGEH</w:t>
      </w:r>
    </w:p>
    <w:p w:rsidR="003F2F76" w:rsidRPr="00AE7913" w:rsidRDefault="003F2F76" w:rsidP="003F2F76">
      <w:pPr>
        <w:keepNext/>
        <w:keepLines/>
        <w:rPr>
          <w:b/>
          <w:lang w:val="es-ES"/>
        </w:rPr>
      </w:pPr>
    </w:p>
    <w:p w:rsidR="003F2F76" w:rsidRPr="00AE7913" w:rsidRDefault="003F2F76" w:rsidP="003F2F76">
      <w:pPr>
        <w:keepNext/>
        <w:keepLines/>
        <w:rPr>
          <w:i/>
          <w:lang w:val="es-ES"/>
        </w:rPr>
      </w:pPr>
      <w:r w:rsidRPr="00AE7913">
        <w:rPr>
          <w:i/>
          <w:lang w:val="es-ES"/>
        </w:rPr>
        <w:t>Sector de fabricación</w:t>
      </w:r>
    </w:p>
    <w:p w:rsidR="003F2F76" w:rsidRPr="00AE7913" w:rsidRDefault="003F2F76" w:rsidP="003F2F76">
      <w:pPr>
        <w:keepNext/>
        <w:keepLines/>
        <w:rPr>
          <w:lang w:val="es-ES"/>
        </w:rPr>
      </w:pPr>
    </w:p>
    <w:p w:rsidR="003F2F76" w:rsidRPr="00AE7913" w:rsidRDefault="003F2F76" w:rsidP="003F2F76">
      <w:pPr>
        <w:pStyle w:val="Heading1"/>
        <w:keepNext/>
        <w:keepLines/>
        <w:rPr>
          <w:lang w:val="es-ES"/>
        </w:rPr>
      </w:pPr>
      <w:r w:rsidRPr="00AE7913">
        <w:rPr>
          <w:lang w:val="es-ES"/>
        </w:rPr>
        <w:t>Las nueve empresas fabricantes de espumas de poliuretano (PU) incluidas en la etapa I</w:t>
      </w:r>
      <w:r w:rsidRPr="00AE7913">
        <w:rPr>
          <w:rStyle w:val="FootnoteReference"/>
          <w:lang w:val="es-ES"/>
        </w:rPr>
        <w:footnoteReference w:id="1"/>
      </w:r>
      <w:r w:rsidRPr="00AE7913">
        <w:rPr>
          <w:lang w:val="es-ES"/>
        </w:rPr>
        <w:t xml:space="preserve"> completaron la conversión con la eliminación total de 92,1 toneladas PAO de HC</w:t>
      </w:r>
      <w:r w:rsidR="0013300C">
        <w:rPr>
          <w:lang w:val="es-ES"/>
        </w:rPr>
        <w:t>FC</w:t>
      </w:r>
      <w:r w:rsidR="0013300C">
        <w:rPr>
          <w:lang w:val="es-ES"/>
        </w:rPr>
        <w:noBreakHyphen/>
      </w:r>
      <w:r w:rsidRPr="00AE7913">
        <w:rPr>
          <w:lang w:val="es-ES"/>
        </w:rPr>
        <w:t>141b. La etapa I del PGEH también incluyó un proyecto para convertir 81 EPM y 350 microusuarios a formiato de metilo (MF) u otra tecnología de bajo PCA (que se seleccionaría durante la ejecución), con apoyo de sus proveedores de sistemas y distribuidores, para eliminar 75,74 toneladas PAO de HC</w:t>
      </w:r>
      <w:r w:rsidR="0013300C">
        <w:rPr>
          <w:lang w:val="es-ES"/>
        </w:rPr>
        <w:t>FC</w:t>
      </w:r>
      <w:r w:rsidR="0013300C">
        <w:rPr>
          <w:lang w:val="es-ES"/>
        </w:rPr>
        <w:noBreakHyphen/>
      </w:r>
      <w:r w:rsidRPr="00AE7913">
        <w:rPr>
          <w:lang w:val="es-ES"/>
        </w:rPr>
        <w:t xml:space="preserve">141b. Se aprobó financiación para la conversión de equipos en dos proveedores de sistemas de propiedad de países que operan al amparo del artículo 5, y esta incluyó asistencia técnica (AT) para todos los proveedores de sistemas y distribuidores y para la conversión de las EPM. </w:t>
      </w:r>
    </w:p>
    <w:p w:rsidR="003F2F76" w:rsidRPr="00AE7913" w:rsidRDefault="003F2F76" w:rsidP="003F2F76">
      <w:pPr>
        <w:pStyle w:val="Heading1"/>
        <w:tabs>
          <w:tab w:val="num" w:pos="710"/>
        </w:tabs>
        <w:rPr>
          <w:lang w:val="es-ES"/>
        </w:rPr>
      </w:pPr>
      <w:r w:rsidRPr="00AE7913">
        <w:rPr>
          <w:lang w:val="es-ES"/>
        </w:rPr>
        <w:t>En la 82ª reunión, se informó que un proveedor de sistemas local (Technocom) y un proveedor de sistemas (Dow) de propiedad de un país que no opera al amparo del artículo 5 habían realizado la conversión. No se proporcionó a Dow financiación del Fondo Multilateral para la conversión de los equipos; no obstante, se financió la asistencia técnica para la introducción de agentes espumantes alternativos en las empresas transformadoras. Uno de los proveedores de sistemas se retiró del proyecto (Obeigi) y se tenía previsto firmar un memorando de acuerdo</w:t>
      </w:r>
      <w:r w:rsidRPr="00AE7913">
        <w:rPr>
          <w:rStyle w:val="FootnoteReference"/>
          <w:lang w:val="es-ES"/>
        </w:rPr>
        <w:footnoteReference w:id="2"/>
      </w:r>
      <w:r w:rsidRPr="00AE7913">
        <w:rPr>
          <w:lang w:val="es-ES"/>
        </w:rPr>
        <w:t xml:space="preserve"> con otro proveedor de sistemas (Baalbaki). En total, 24 empresas transformadoras habían recibido asistencia. Se tenía previsto terminar la conversión de las 57 empresas transformadoras restantes para finales de 2019. </w:t>
      </w:r>
    </w:p>
    <w:p w:rsidR="003F2F76" w:rsidRPr="00AE7913" w:rsidRDefault="003F2F76" w:rsidP="003F2F76">
      <w:pPr>
        <w:pStyle w:val="Heading1"/>
        <w:rPr>
          <w:lang w:val="es-ES"/>
        </w:rPr>
      </w:pPr>
      <w:r w:rsidRPr="00AE7913">
        <w:rPr>
          <w:lang w:val="es-ES"/>
        </w:rPr>
        <w:t>También en la 82ª reunión, se informó que dos proveedores de sistemas (Dow y Technocom) estaban desarrollando fórmulas de bajo PCA con agua e hidrofluoroolefinas (HFO), y también con H</w:t>
      </w:r>
      <w:r w:rsidR="0013300C">
        <w:rPr>
          <w:lang w:val="es-ES"/>
        </w:rPr>
        <w:t>FC</w:t>
      </w:r>
      <w:r w:rsidR="0013300C">
        <w:rPr>
          <w:lang w:val="es-ES"/>
        </w:rPr>
        <w:noBreakHyphen/>
      </w:r>
      <w:r w:rsidRPr="00AE7913">
        <w:rPr>
          <w:lang w:val="es-ES"/>
        </w:rPr>
        <w:t>245fa, H</w:t>
      </w:r>
      <w:r w:rsidR="0013300C">
        <w:rPr>
          <w:lang w:val="es-ES"/>
        </w:rPr>
        <w:t>FC</w:t>
      </w:r>
      <w:r w:rsidR="0013300C">
        <w:rPr>
          <w:lang w:val="es-ES"/>
        </w:rPr>
        <w:noBreakHyphen/>
      </w:r>
      <w:r w:rsidRPr="00AE7913">
        <w:rPr>
          <w:lang w:val="es-ES"/>
        </w:rPr>
        <w:t>365mfc y H</w:t>
      </w:r>
      <w:r w:rsidR="0013300C">
        <w:rPr>
          <w:lang w:val="es-ES"/>
        </w:rPr>
        <w:t>FC</w:t>
      </w:r>
      <w:r w:rsidR="0013300C">
        <w:rPr>
          <w:lang w:val="es-ES"/>
        </w:rPr>
        <w:noBreakHyphen/>
      </w:r>
      <w:r w:rsidRPr="00AE7913">
        <w:rPr>
          <w:lang w:val="es-ES"/>
        </w:rPr>
        <w:t xml:space="preserve">227ea, sustancias controladas en virtud de la Enmienda de Kigali, independientemente de que se esperaba que el uso de alternativas de alto PCA fuera provisional y que su uso se eliminara a más tardar en 2015. El PNUD confirmó que no se solicitaría ninguna otra asistencia para las empresas transformadoras que habían recibido asistencia en el marco de la etapa I del proyecto </w:t>
      </w:r>
      <w:r w:rsidRPr="00AE7913">
        <w:rPr>
          <w:lang w:val="es-ES"/>
        </w:rPr>
        <w:lastRenderedPageBreak/>
        <w:t>para los proveedores de sistemas, dado que habían acordado realizar la conversión a tecnologías de bajo PCA. El PNUD también confirmó que no se han proporcionado ni se proporcionarán costos adicionales de explotación a los clientes a menos que se use una tecnología de bajo PCA, en consonancia con la decisión 77/35 a) vi).</w:t>
      </w:r>
    </w:p>
    <w:p w:rsidR="003F2F76" w:rsidRPr="00AE7913" w:rsidRDefault="003F2F76" w:rsidP="003F2F76">
      <w:pPr>
        <w:pStyle w:val="Heading1"/>
        <w:keepNext/>
        <w:keepLines/>
        <w:rPr>
          <w:lang w:val="es-ES"/>
        </w:rPr>
      </w:pPr>
      <w:r w:rsidRPr="00AE7913">
        <w:rPr>
          <w:lang w:val="es-ES"/>
        </w:rPr>
        <w:t>En la 83ª reunión, se informó que se había firmado el memorando de acuerdo con Baalbaki para realizar la conversión de ocho clientes y eliminar 53,7 mt de HC</w:t>
      </w:r>
      <w:r w:rsidR="0013300C">
        <w:rPr>
          <w:lang w:val="es-ES"/>
        </w:rPr>
        <w:t>FC</w:t>
      </w:r>
      <w:r w:rsidR="0013300C">
        <w:rPr>
          <w:lang w:val="es-ES"/>
        </w:rPr>
        <w:noBreakHyphen/>
      </w:r>
      <w:r w:rsidRPr="00AE7913">
        <w:rPr>
          <w:lang w:val="es-ES"/>
        </w:rPr>
        <w:t>141b. Se había preparado una adición al memorando de acuerdo con Technocom a fin de realizar la conversión de otros 12 clientes para eliminar 11,37 toneladas PAO de HC</w:t>
      </w:r>
      <w:r w:rsidR="0013300C">
        <w:rPr>
          <w:lang w:val="es-ES"/>
        </w:rPr>
        <w:t>FC</w:t>
      </w:r>
      <w:r w:rsidR="0013300C">
        <w:rPr>
          <w:lang w:val="es-ES"/>
        </w:rPr>
        <w:noBreakHyphen/>
      </w:r>
      <w:r w:rsidRPr="00AE7913">
        <w:rPr>
          <w:lang w:val="es-ES"/>
        </w:rPr>
        <w:t xml:space="preserve">141b; se tenía previsto firmar ese memorando de acuerdo a finales de mayo de 2019 a más tardar. Las tecnologías alternativas para Baalbaki incluyen agua y MF, aunque para Technocom incluyen sistemas a base de agua y HFO; en ambos casos, se prevé usar HFC en forma provisional. En ese momento, todavía no se había realizado la conversión de ningún microusuario; se tenía previsto comenzar esas conversiones en el segundo semestre de 2019. </w:t>
      </w:r>
    </w:p>
    <w:p w:rsidR="003F2F76" w:rsidRPr="00AE7913" w:rsidRDefault="003F2F76" w:rsidP="003F2F76">
      <w:pPr>
        <w:pStyle w:val="Heading1"/>
        <w:rPr>
          <w:lang w:val="es-ES"/>
        </w:rPr>
      </w:pPr>
      <w:r w:rsidRPr="00AE7913">
        <w:rPr>
          <w:lang w:val="es-ES"/>
        </w:rPr>
        <w:t xml:space="preserve">En lo que respecta a la situación del uso de la tecnología, el PNUD informó que los sistemas a base de agua habían sido introducidos por Dow y Technocom y aprobados por los clientes para determinadas aplicaciones, y que se requerían otros estudios sobre el rendimiento de las HFO en los polioles, dado que algunos proveedores de sistemas habían informado acerca de problemas para preparar los sistemas, como su estabilidad. El PNUD continuó supervisando la situación y se tenía previsto llevar a cabo consultas con la dependencia nacional del ozono (DNO) en relación con los obstáculos para la introducción de tecnologías de bajo PCA en mayo de 2019. </w:t>
      </w:r>
    </w:p>
    <w:p w:rsidR="003F2F76" w:rsidRPr="00AE7913" w:rsidRDefault="003F2F76" w:rsidP="003F2F76">
      <w:pPr>
        <w:keepNext/>
        <w:keepLines/>
        <w:rPr>
          <w:i/>
          <w:lang w:val="es-ES"/>
        </w:rPr>
      </w:pPr>
      <w:r w:rsidRPr="00AE7913">
        <w:rPr>
          <w:i/>
          <w:lang w:val="es-ES"/>
        </w:rPr>
        <w:t>Actividades de apoyo en el sector de refrigeración y aire acondicionado</w:t>
      </w:r>
    </w:p>
    <w:p w:rsidR="003F2F76" w:rsidRPr="00AE7913" w:rsidRDefault="003F2F76" w:rsidP="003F2F76">
      <w:pPr>
        <w:keepNext/>
        <w:keepLines/>
        <w:rPr>
          <w:lang w:val="es-ES"/>
        </w:rPr>
      </w:pPr>
    </w:p>
    <w:p w:rsidR="003F2F76" w:rsidRPr="00AE7913" w:rsidRDefault="003F2F76" w:rsidP="003F2F76">
      <w:pPr>
        <w:pStyle w:val="Heading1"/>
        <w:keepNext/>
        <w:keepLines/>
        <w:rPr>
          <w:lang w:val="es-ES"/>
        </w:rPr>
      </w:pPr>
      <w:r w:rsidRPr="00AE7913">
        <w:rPr>
          <w:lang w:val="es-ES"/>
        </w:rPr>
        <w:t>En 2014, se presentó la iniciativa EGYPRA para evaluar alternativas de bajo PCA en el sector de aire acondicionado doméstico y comercial, mediante la construcción y la prueba de prototipos utilizando diferentes alternativas a los HCFC a fin de comparar el rendimiento y la eficiencia de esas alternativas, incluso a alta temperatura ambiente. En el proyecto, se probaron prototipos de unidades de A/A divididas (</w:t>
      </w:r>
      <w:r w:rsidRPr="00AE7913">
        <w:rPr>
          <w:i/>
          <w:lang w:val="es-ES"/>
        </w:rPr>
        <w:t>split</w:t>
      </w:r>
      <w:r w:rsidRPr="00AE7913">
        <w:rPr>
          <w:lang w:val="es-ES"/>
        </w:rPr>
        <w:t>) hechas de medida, con capacidades entre 12 000 BTU/h y 24 000 BTU/h</w:t>
      </w:r>
      <w:r w:rsidRPr="00AE7913">
        <w:rPr>
          <w:rStyle w:val="FootnoteReference"/>
          <w:lang w:val="es-ES"/>
        </w:rPr>
        <w:footnoteReference w:id="3"/>
      </w:r>
      <w:r w:rsidRPr="00AE7913">
        <w:rPr>
          <w:lang w:val="es-ES"/>
        </w:rPr>
        <w:t xml:space="preserve"> y prototipos de unidades centrales, con una capacidad de refrigeración de 120 000 BTU/h</w:t>
      </w:r>
      <w:r w:rsidRPr="00AE7913">
        <w:rPr>
          <w:rStyle w:val="FootnoteReference"/>
          <w:lang w:val="es-ES"/>
        </w:rPr>
        <w:footnoteReference w:id="4"/>
      </w:r>
      <w:r w:rsidRPr="00AE7913">
        <w:rPr>
          <w:lang w:val="es-ES"/>
        </w:rPr>
        <w:t>, para el funcionamiento con refrigerantes alternativos, y se comparó su rendimiento con las unidades originales de HC</w:t>
      </w:r>
      <w:r w:rsidR="0013300C">
        <w:rPr>
          <w:lang w:val="es-ES"/>
        </w:rPr>
        <w:t>FC</w:t>
      </w:r>
      <w:r w:rsidR="0013300C">
        <w:rPr>
          <w:lang w:val="es-ES"/>
        </w:rPr>
        <w:noBreakHyphen/>
      </w:r>
      <w:r w:rsidRPr="00AE7913">
        <w:rPr>
          <w:lang w:val="es-ES"/>
        </w:rPr>
        <w:t xml:space="preserve">22 y </w:t>
      </w:r>
      <w:r w:rsidR="0013300C">
        <w:rPr>
          <w:lang w:val="es-ES"/>
        </w:rPr>
        <w:t>R</w:t>
      </w:r>
      <w:r w:rsidR="0013300C">
        <w:rPr>
          <w:lang w:val="es-ES"/>
        </w:rPr>
        <w:noBreakHyphen/>
      </w:r>
      <w:r w:rsidRPr="00AE7913">
        <w:rPr>
          <w:lang w:val="es-ES"/>
        </w:rPr>
        <w:t xml:space="preserve">410A. </w:t>
      </w:r>
    </w:p>
    <w:p w:rsidR="003F2F76" w:rsidRPr="00AE7913" w:rsidRDefault="003F2F76" w:rsidP="003F2F76">
      <w:pPr>
        <w:rPr>
          <w:u w:val="single"/>
          <w:lang w:val="es-ES"/>
        </w:rPr>
      </w:pPr>
      <w:r w:rsidRPr="00AE7913">
        <w:rPr>
          <w:u w:val="single"/>
          <w:lang w:val="es-ES"/>
        </w:rPr>
        <w:t>Informe sobre el consumo de HCFC</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Gobierno de Egipto informó un consumo de 287,45 toneladas PAO de HCFC en 2018, que es 26% inferior al nivel básico de HCFC para el cumplimiento. En el Cuadro 1 se muestra el consumo de HCFC para el período 2014-2018.</w:t>
      </w:r>
    </w:p>
    <w:p w:rsidR="003F2F76" w:rsidRPr="00AE7913" w:rsidRDefault="003F2F76" w:rsidP="003F2F76">
      <w:pPr>
        <w:rPr>
          <w:b/>
          <w:lang w:val="es-ES"/>
        </w:rPr>
      </w:pPr>
      <w:r w:rsidRPr="00AE7913">
        <w:rPr>
          <w:b/>
          <w:lang w:val="es-ES"/>
        </w:rPr>
        <w:t>Cuadro 1. Consumo de HCFC en Egipto (datos de 2014-2018 con arreglo al artículo 7)</w:t>
      </w:r>
    </w:p>
    <w:tbl>
      <w:tblPr>
        <w:tblW w:w="5000" w:type="pct"/>
        <w:jc w:val="right"/>
        <w:tblLayout w:type="fixed"/>
        <w:tblLook w:val="04A0" w:firstRow="1" w:lastRow="0" w:firstColumn="1" w:lastColumn="0" w:noHBand="0" w:noVBand="1"/>
      </w:tblPr>
      <w:tblGrid>
        <w:gridCol w:w="3383"/>
        <w:gridCol w:w="1022"/>
        <w:gridCol w:w="1022"/>
        <w:gridCol w:w="1021"/>
        <w:gridCol w:w="1021"/>
        <w:gridCol w:w="1021"/>
        <w:gridCol w:w="1021"/>
      </w:tblGrid>
      <w:tr w:rsidR="003F2F76" w:rsidRPr="00AE7913" w:rsidTr="003F2F76">
        <w:trPr>
          <w:tblHeade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b/>
                <w:bCs/>
                <w:color w:val="000000"/>
                <w:sz w:val="20"/>
                <w:szCs w:val="20"/>
                <w:lang w:val="es-ES"/>
              </w:rPr>
            </w:pPr>
            <w:r w:rsidRPr="00AE7913">
              <w:rPr>
                <w:b/>
                <w:bCs/>
                <w:color w:val="000000"/>
                <w:sz w:val="20"/>
                <w:szCs w:val="20"/>
                <w:lang w:val="es-ES"/>
              </w:rPr>
              <w:t>HCFC</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center"/>
              <w:rPr>
                <w:b/>
                <w:bCs/>
                <w:color w:val="000000"/>
                <w:sz w:val="20"/>
                <w:szCs w:val="20"/>
                <w:lang w:val="es-ES"/>
              </w:rPr>
            </w:pPr>
            <w:r w:rsidRPr="00AE7913">
              <w:rPr>
                <w:b/>
                <w:bCs/>
                <w:color w:val="000000"/>
                <w:sz w:val="20"/>
                <w:szCs w:val="20"/>
                <w:lang w:val="es-ES"/>
              </w:rPr>
              <w:t>2014</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r w:rsidRPr="00AE7913">
              <w:rPr>
                <w:b/>
                <w:bCs/>
                <w:color w:val="000000"/>
                <w:sz w:val="20"/>
                <w:szCs w:val="20"/>
                <w:lang w:val="es-ES"/>
              </w:rPr>
              <w:t>2015</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r w:rsidRPr="00AE7913">
              <w:rPr>
                <w:b/>
                <w:bCs/>
                <w:color w:val="000000"/>
                <w:sz w:val="20"/>
                <w:szCs w:val="20"/>
                <w:lang w:val="es-ES"/>
              </w:rPr>
              <w:t>2016</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r w:rsidRPr="00AE7913">
              <w:rPr>
                <w:b/>
                <w:bCs/>
                <w:color w:val="000000"/>
                <w:sz w:val="20"/>
                <w:szCs w:val="20"/>
                <w:lang w:val="es-ES"/>
              </w:rPr>
              <w:t>2017</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r w:rsidRPr="00AE7913">
              <w:rPr>
                <w:b/>
                <w:bCs/>
                <w:color w:val="000000"/>
                <w:sz w:val="20"/>
                <w:szCs w:val="20"/>
                <w:lang w:val="es-ES"/>
              </w:rPr>
              <w:t>2018</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Nivel básico</w:t>
            </w:r>
          </w:p>
        </w:tc>
      </w:tr>
      <w:tr w:rsidR="003F2F76" w:rsidRPr="00AE7913" w:rsidTr="003F2F76">
        <w:trPr>
          <w:tblHeade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3F2F76" w:rsidRPr="00AE7913" w:rsidRDefault="003F2F76" w:rsidP="003F2F76">
            <w:pPr>
              <w:jc w:val="left"/>
              <w:rPr>
                <w:b/>
                <w:bCs/>
                <w:color w:val="000000"/>
                <w:sz w:val="20"/>
                <w:szCs w:val="20"/>
                <w:lang w:val="es-ES"/>
              </w:rPr>
            </w:pPr>
            <w:r w:rsidRPr="00AE7913">
              <w:rPr>
                <w:b/>
                <w:bCs/>
                <w:color w:val="000000"/>
                <w:sz w:val="20"/>
                <w:szCs w:val="20"/>
                <w:lang w:val="es-ES"/>
              </w:rPr>
              <w:t>Toneladas métricas</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center"/>
              <w:rPr>
                <w:b/>
                <w:bCs/>
                <w:color w:val="000000"/>
                <w:sz w:val="20"/>
                <w:szCs w:val="20"/>
                <w:lang w:val="es-ES"/>
              </w:rPr>
            </w:pP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bCs/>
                <w:color w:val="000000"/>
                <w:sz w:val="20"/>
                <w:szCs w:val="20"/>
                <w:lang w:val="es-ES"/>
              </w:rPr>
            </w:pP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2F76" w:rsidRPr="00AE7913" w:rsidRDefault="003F2F76" w:rsidP="003F2F76">
            <w:pPr>
              <w:jc w:val="center"/>
              <w:rPr>
                <w:b/>
                <w:bCs/>
                <w:color w:val="000000"/>
                <w:sz w:val="20"/>
                <w:szCs w:val="20"/>
                <w:lang w:val="es-ES"/>
              </w:rPr>
            </w:pP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22</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3 172,59</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4 038,97</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4 767,59</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4 472,52</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3 919,38</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4 367,16</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123</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9,07</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5,00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1,64</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2,00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5,25</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124</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0,27</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2,70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0,00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2,09</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0</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141b</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1 118,78</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1 072,75</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731,53</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871,01</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629,47</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1 178,26</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142b</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146,49</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42,04</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57,53</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70,54</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40,02</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251,69</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F2F76" w:rsidRPr="00AE7913" w:rsidRDefault="003F2F76" w:rsidP="003F2F76">
            <w:pPr>
              <w:jc w:val="left"/>
              <w:rPr>
                <w:rFonts w:eastAsiaTheme="minorHAnsi"/>
                <w:b/>
                <w:color w:val="000000"/>
                <w:sz w:val="20"/>
                <w:szCs w:val="20"/>
                <w:lang w:val="es-ES"/>
              </w:rPr>
            </w:pPr>
            <w:r w:rsidRPr="00AE7913">
              <w:rPr>
                <w:b/>
                <w:color w:val="000000"/>
                <w:sz w:val="20"/>
                <w:szCs w:val="20"/>
                <w:lang w:val="es-ES"/>
              </w:rPr>
              <w:t>Total (tm)</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b/>
                <w:color w:val="000000"/>
                <w:sz w:val="20"/>
                <w:szCs w:val="20"/>
                <w:lang w:val="es-ES"/>
              </w:rPr>
            </w:pPr>
            <w:r w:rsidRPr="00AE7913">
              <w:rPr>
                <w:b/>
                <w:color w:val="000000"/>
                <w:sz w:val="20"/>
                <w:szCs w:val="20"/>
                <w:lang w:val="es-ES"/>
              </w:rPr>
              <w:fldChar w:fldCharType="begin"/>
            </w:r>
            <w:r w:rsidRPr="00AE7913">
              <w:rPr>
                <w:b/>
                <w:color w:val="000000"/>
                <w:sz w:val="20"/>
                <w:szCs w:val="20"/>
                <w:lang w:val="es-ES"/>
              </w:rPr>
              <w:instrText xml:space="preserve"> =SUM(ABOVE) </w:instrText>
            </w:r>
            <w:r w:rsidRPr="00AE7913">
              <w:rPr>
                <w:b/>
                <w:color w:val="000000"/>
                <w:sz w:val="20"/>
                <w:szCs w:val="20"/>
                <w:lang w:val="es-ES"/>
              </w:rPr>
              <w:fldChar w:fldCharType="separate"/>
            </w:r>
            <w:r w:rsidRPr="00AE7913">
              <w:rPr>
                <w:b/>
                <w:color w:val="000000"/>
                <w:sz w:val="20"/>
                <w:szCs w:val="20"/>
                <w:lang w:val="es-ES"/>
              </w:rPr>
              <w:t>4 438,13</w:t>
            </w:r>
            <w:r w:rsidRPr="00AE7913">
              <w:rPr>
                <w:b/>
                <w:color w:val="000000"/>
                <w:sz w:val="20"/>
                <w:szCs w:val="20"/>
                <w:lang w:val="es-ES"/>
              </w:rPr>
              <w:fldChar w:fldCharType="end"/>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color w:val="000000"/>
                <w:sz w:val="20"/>
                <w:szCs w:val="20"/>
                <w:lang w:val="es-ES"/>
              </w:rPr>
            </w:pPr>
            <w:r w:rsidRPr="00AE7913">
              <w:rPr>
                <w:b/>
                <w:color w:val="000000"/>
                <w:sz w:val="20"/>
                <w:szCs w:val="20"/>
                <w:lang w:val="es-ES"/>
              </w:rPr>
              <w:t>5 165,53</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color w:val="000000"/>
                <w:sz w:val="20"/>
                <w:szCs w:val="20"/>
                <w:lang w:val="es-ES"/>
              </w:rPr>
            </w:pPr>
            <w:r w:rsidRPr="00AE7913">
              <w:rPr>
                <w:b/>
                <w:color w:val="000000"/>
                <w:sz w:val="20"/>
                <w:szCs w:val="20"/>
                <w:lang w:val="es-ES"/>
              </w:rPr>
              <w:t>5 561,66</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color w:val="000000"/>
                <w:sz w:val="20"/>
                <w:szCs w:val="20"/>
                <w:lang w:val="es-ES"/>
              </w:rPr>
            </w:pPr>
            <w:r w:rsidRPr="00AE7913">
              <w:rPr>
                <w:b/>
                <w:color w:val="000000"/>
                <w:sz w:val="20"/>
                <w:szCs w:val="20"/>
                <w:lang w:val="es-ES"/>
              </w:rPr>
              <w:t>5 417,80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bCs/>
                <w:color w:val="000000"/>
                <w:sz w:val="20"/>
                <w:szCs w:val="20"/>
                <w:lang w:val="es-ES"/>
              </w:rPr>
            </w:pPr>
            <w:r w:rsidRPr="00AE7913">
              <w:rPr>
                <w:b/>
                <w:bCs/>
                <w:color w:val="000000"/>
                <w:sz w:val="20"/>
                <w:szCs w:val="20"/>
                <w:lang w:val="es-ES"/>
              </w:rPr>
              <w:t>4 590,87</w:t>
            </w:r>
          </w:p>
        </w:tc>
        <w:tc>
          <w:tcPr>
            <w:tcW w:w="537" w:type="pct"/>
            <w:tcBorders>
              <w:top w:val="nil"/>
              <w:left w:val="single" w:sz="4" w:space="0" w:color="auto"/>
              <w:bottom w:val="single" w:sz="4" w:space="0" w:color="auto"/>
              <w:right w:val="single" w:sz="4" w:space="0" w:color="auto"/>
            </w:tcBorders>
            <w:shd w:val="clear" w:color="auto" w:fill="auto"/>
            <w:noWrap/>
            <w:vAlign w:val="center"/>
          </w:tcPr>
          <w:p w:rsidR="003F2F76" w:rsidRPr="00AE7913" w:rsidRDefault="00D45D4E" w:rsidP="003F2F76">
            <w:pPr>
              <w:jc w:val="right"/>
              <w:rPr>
                <w:b/>
                <w:color w:val="000000"/>
                <w:sz w:val="20"/>
                <w:szCs w:val="20"/>
                <w:lang w:val="es-ES"/>
              </w:rPr>
            </w:pPr>
            <w:r w:rsidRPr="001F1E0E">
              <w:rPr>
                <w:b/>
                <w:color w:val="000000"/>
                <w:sz w:val="20"/>
                <w:szCs w:val="20"/>
                <w:lang w:val="en-CA"/>
              </w:rPr>
              <w:fldChar w:fldCharType="begin"/>
            </w:r>
            <w:r w:rsidRPr="001F1E0E">
              <w:rPr>
                <w:b/>
                <w:color w:val="000000"/>
                <w:sz w:val="20"/>
                <w:szCs w:val="20"/>
                <w:lang w:val="en-CA"/>
              </w:rPr>
              <w:instrText xml:space="preserve"> =SUM(ABOVE) </w:instrText>
            </w:r>
            <w:r w:rsidRPr="001F1E0E">
              <w:rPr>
                <w:b/>
                <w:color w:val="000000"/>
                <w:sz w:val="20"/>
                <w:szCs w:val="20"/>
                <w:lang w:val="en-CA"/>
              </w:rPr>
              <w:fldChar w:fldCharType="separate"/>
            </w:r>
            <w:r w:rsidRPr="001F1E0E">
              <w:rPr>
                <w:b/>
                <w:color w:val="000000"/>
                <w:sz w:val="20"/>
                <w:szCs w:val="20"/>
                <w:lang w:val="en-CA"/>
              </w:rPr>
              <w:t>5,</w:t>
            </w:r>
            <w:r w:rsidRPr="001F1E0E">
              <w:rPr>
                <w:b/>
                <w:color w:val="000000"/>
                <w:sz w:val="20"/>
                <w:szCs w:val="20"/>
                <w:lang w:val="en-CA"/>
              </w:rPr>
              <w:fldChar w:fldCharType="end"/>
            </w:r>
            <w:r w:rsidRPr="001F1E0E">
              <w:rPr>
                <w:b/>
                <w:color w:val="000000"/>
                <w:sz w:val="20"/>
                <w:szCs w:val="20"/>
                <w:lang w:val="en-CA"/>
              </w:rPr>
              <w:t>802.36</w:t>
            </w:r>
          </w:p>
        </w:tc>
      </w:tr>
      <w:tr w:rsidR="003F2F76" w:rsidRPr="00AE7913" w:rsidTr="005D053E">
        <w:trPr>
          <w:cantSplit/>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F2F76" w:rsidRPr="00AE7913" w:rsidRDefault="003F2F76" w:rsidP="003F2F76">
            <w:pPr>
              <w:jc w:val="left"/>
              <w:rPr>
                <w:b/>
                <w:bCs/>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141b en polioles premezclados importados</w:t>
            </w:r>
          </w:p>
        </w:tc>
        <w:tc>
          <w:tcPr>
            <w:tcW w:w="537" w:type="pct"/>
            <w:tcBorders>
              <w:top w:val="single" w:sz="4" w:space="0" w:color="auto"/>
              <w:left w:val="nil"/>
              <w:bottom w:val="single" w:sz="4" w:space="0" w:color="auto"/>
              <w:right w:val="single" w:sz="4" w:space="0" w:color="auto"/>
            </w:tcBorders>
            <w:shd w:val="clear" w:color="auto" w:fill="auto"/>
          </w:tcPr>
          <w:p w:rsidR="003F2F76" w:rsidRPr="00AE7913" w:rsidRDefault="003F2F76" w:rsidP="003F2F76">
            <w:pPr>
              <w:jc w:val="right"/>
              <w:rPr>
                <w:sz w:val="20"/>
                <w:szCs w:val="20"/>
                <w:lang w:val="es-ES"/>
              </w:rPr>
            </w:pPr>
            <w:r w:rsidRPr="00AE7913">
              <w:rPr>
                <w:sz w:val="20"/>
                <w:szCs w:val="20"/>
                <w:lang w:val="es-ES"/>
              </w:rPr>
              <w:t>120,00</w:t>
            </w:r>
          </w:p>
        </w:tc>
        <w:tc>
          <w:tcPr>
            <w:tcW w:w="537" w:type="pct"/>
            <w:tcBorders>
              <w:top w:val="nil"/>
              <w:left w:val="single" w:sz="4" w:space="0" w:color="auto"/>
              <w:bottom w:val="single" w:sz="4" w:space="0" w:color="auto"/>
              <w:right w:val="single" w:sz="4" w:space="0" w:color="auto"/>
            </w:tcBorders>
            <w:shd w:val="clear" w:color="auto" w:fill="auto"/>
          </w:tcPr>
          <w:p w:rsidR="003F2F76" w:rsidRPr="00AE7913" w:rsidRDefault="003F2F76" w:rsidP="003F2F76">
            <w:pPr>
              <w:jc w:val="right"/>
              <w:rPr>
                <w:sz w:val="20"/>
                <w:szCs w:val="20"/>
                <w:lang w:val="es-ES"/>
              </w:rPr>
            </w:pPr>
            <w:r w:rsidRPr="00AE7913">
              <w:rPr>
                <w:sz w:val="20"/>
                <w:szCs w:val="20"/>
                <w:lang w:val="es-ES"/>
              </w:rPr>
              <w:t>100,00</w:t>
            </w:r>
          </w:p>
        </w:tc>
        <w:tc>
          <w:tcPr>
            <w:tcW w:w="537" w:type="pct"/>
            <w:tcBorders>
              <w:top w:val="nil"/>
              <w:left w:val="single" w:sz="4" w:space="0" w:color="auto"/>
              <w:bottom w:val="single" w:sz="4" w:space="0" w:color="auto"/>
              <w:right w:val="single" w:sz="4" w:space="0" w:color="auto"/>
            </w:tcBorders>
            <w:shd w:val="clear" w:color="auto" w:fill="auto"/>
          </w:tcPr>
          <w:p w:rsidR="003F2F76" w:rsidRPr="00AE7913" w:rsidRDefault="003F2F76" w:rsidP="003F2F76">
            <w:pPr>
              <w:jc w:val="right"/>
              <w:rPr>
                <w:sz w:val="20"/>
                <w:szCs w:val="20"/>
                <w:lang w:val="es-ES"/>
              </w:rPr>
            </w:pPr>
            <w:r w:rsidRPr="00AE7913">
              <w:rPr>
                <w:sz w:val="20"/>
                <w:szCs w:val="20"/>
                <w:lang w:val="es-ES"/>
              </w:rPr>
              <w:t>177,80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87,95</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0</w:t>
            </w:r>
          </w:p>
        </w:tc>
        <w:tc>
          <w:tcPr>
            <w:tcW w:w="537" w:type="pct"/>
            <w:tcBorders>
              <w:top w:val="nil"/>
              <w:left w:val="single" w:sz="4" w:space="0" w:color="auto"/>
              <w:bottom w:val="single" w:sz="4" w:space="0" w:color="auto"/>
              <w:right w:val="single" w:sz="4" w:space="0" w:color="auto"/>
            </w:tcBorders>
            <w:shd w:val="clear" w:color="auto" w:fill="auto"/>
            <w:noWrap/>
          </w:tcPr>
          <w:p w:rsidR="003F2F76" w:rsidRPr="00AE7913" w:rsidRDefault="003F2F76" w:rsidP="003F2F76">
            <w:pPr>
              <w:jc w:val="right"/>
              <w:rPr>
                <w:sz w:val="20"/>
                <w:szCs w:val="20"/>
                <w:lang w:val="es-ES"/>
              </w:rPr>
            </w:pPr>
            <w:r w:rsidRPr="00AE7913">
              <w:rPr>
                <w:sz w:val="20"/>
                <w:szCs w:val="20"/>
                <w:lang w:val="es-ES"/>
              </w:rPr>
              <w:t>894,00*</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3F2F76" w:rsidRPr="00AE7913" w:rsidRDefault="003F2F76" w:rsidP="003F2F76">
            <w:pPr>
              <w:jc w:val="left"/>
              <w:rPr>
                <w:b/>
                <w:color w:val="000000"/>
                <w:sz w:val="20"/>
                <w:szCs w:val="20"/>
                <w:lang w:val="es-ES"/>
              </w:rPr>
            </w:pPr>
            <w:r w:rsidRPr="00AE7913">
              <w:rPr>
                <w:b/>
                <w:color w:val="000000"/>
                <w:sz w:val="20"/>
                <w:szCs w:val="20"/>
                <w:lang w:val="es-ES"/>
              </w:rPr>
              <w:lastRenderedPageBreak/>
              <w:t>Toneladas PAO</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b/>
                <w:sz w:val="20"/>
                <w:szCs w:val="20"/>
                <w:lang w:val="es-ES"/>
              </w:rPr>
            </w:pP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sz w:val="20"/>
                <w:szCs w:val="20"/>
                <w:lang w:val="es-ES"/>
              </w:rPr>
            </w:pP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sz w:val="20"/>
                <w:szCs w:val="20"/>
                <w:lang w:val="es-ES"/>
              </w:rPr>
            </w:pP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color w:val="000000"/>
                <w:sz w:val="20"/>
                <w:szCs w:val="20"/>
                <w:lang w:val="es-ES"/>
              </w:rPr>
            </w:pP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b/>
                <w:color w:val="000000"/>
                <w:sz w:val="20"/>
                <w:szCs w:val="20"/>
                <w:lang w:val="es-ES"/>
              </w:rPr>
            </w:pPr>
          </w:p>
        </w:tc>
        <w:tc>
          <w:tcPr>
            <w:tcW w:w="537" w:type="pct"/>
            <w:tcBorders>
              <w:top w:val="nil"/>
              <w:left w:val="single" w:sz="4" w:space="0" w:color="auto"/>
              <w:bottom w:val="single" w:sz="4" w:space="0" w:color="auto"/>
              <w:right w:val="single" w:sz="4" w:space="0" w:color="auto"/>
            </w:tcBorders>
            <w:shd w:val="clear" w:color="auto" w:fill="auto"/>
            <w:noWrap/>
          </w:tcPr>
          <w:p w:rsidR="003F2F76" w:rsidRPr="00AE7913" w:rsidRDefault="003F2F76" w:rsidP="003F2F76">
            <w:pPr>
              <w:jc w:val="right"/>
              <w:rPr>
                <w:b/>
                <w:color w:val="000000"/>
                <w:sz w:val="20"/>
                <w:szCs w:val="20"/>
                <w:lang w:val="es-ES"/>
              </w:rPr>
            </w:pP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22</w:t>
            </w:r>
          </w:p>
        </w:tc>
        <w:tc>
          <w:tcPr>
            <w:tcW w:w="537" w:type="pct"/>
            <w:tcBorders>
              <w:top w:val="single" w:sz="4" w:space="0" w:color="auto"/>
              <w:left w:val="nil"/>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174,49</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222,14</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262,22</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245,99</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215,57</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240,19</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123</w:t>
            </w:r>
          </w:p>
        </w:tc>
        <w:tc>
          <w:tcPr>
            <w:tcW w:w="537" w:type="pct"/>
            <w:tcBorders>
              <w:top w:val="single" w:sz="4" w:space="0" w:color="auto"/>
              <w:left w:val="nil"/>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0</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0,18</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0,10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0,03</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0,04</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0,11</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124</w:t>
            </w:r>
          </w:p>
        </w:tc>
        <w:tc>
          <w:tcPr>
            <w:tcW w:w="537" w:type="pct"/>
            <w:tcBorders>
              <w:top w:val="single" w:sz="4" w:space="0" w:color="auto"/>
              <w:left w:val="nil"/>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0,01</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0,06</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0,00</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0,05</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0,00</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141b</w:t>
            </w:r>
          </w:p>
        </w:tc>
        <w:tc>
          <w:tcPr>
            <w:tcW w:w="537" w:type="pct"/>
            <w:tcBorders>
              <w:top w:val="single" w:sz="4" w:space="0" w:color="auto"/>
              <w:left w:val="nil"/>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123,07</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118,00</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80,47</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95,81</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69,24</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129,61</w:t>
            </w:r>
          </w:p>
        </w:tc>
      </w:tr>
      <w:tr w:rsidR="003F2F76" w:rsidRPr="00AE7913" w:rsidTr="003F2F76">
        <w:trPr>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142b</w:t>
            </w:r>
          </w:p>
        </w:tc>
        <w:tc>
          <w:tcPr>
            <w:tcW w:w="537" w:type="pct"/>
            <w:tcBorders>
              <w:top w:val="single" w:sz="4" w:space="0" w:color="auto"/>
              <w:left w:val="nil"/>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9,52</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2,73</w:t>
            </w:r>
          </w:p>
        </w:tc>
        <w:tc>
          <w:tcPr>
            <w:tcW w:w="537" w:type="pct"/>
            <w:tcBorders>
              <w:top w:val="nil"/>
              <w:left w:val="single" w:sz="4" w:space="0" w:color="auto"/>
              <w:bottom w:val="single" w:sz="4" w:space="0" w:color="auto"/>
              <w:right w:val="single" w:sz="4" w:space="0" w:color="auto"/>
            </w:tcBorders>
            <w:vAlign w:val="bottom"/>
          </w:tcPr>
          <w:p w:rsidR="003F2F76" w:rsidRPr="00AE7913" w:rsidRDefault="003F2F76" w:rsidP="003F2F76">
            <w:pPr>
              <w:jc w:val="right"/>
              <w:rPr>
                <w:color w:val="000000"/>
                <w:sz w:val="20"/>
                <w:szCs w:val="20"/>
                <w:lang w:val="es-ES"/>
              </w:rPr>
            </w:pPr>
            <w:r w:rsidRPr="00AE7913">
              <w:rPr>
                <w:color w:val="000000"/>
                <w:sz w:val="20"/>
                <w:szCs w:val="20"/>
                <w:lang w:val="es-ES"/>
              </w:rPr>
              <w:t>3,74</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color w:val="000000"/>
                <w:sz w:val="20"/>
                <w:szCs w:val="20"/>
                <w:lang w:val="es-ES"/>
              </w:rPr>
            </w:pPr>
            <w:r w:rsidRPr="00AE7913">
              <w:rPr>
                <w:color w:val="000000"/>
                <w:sz w:val="20"/>
                <w:szCs w:val="20"/>
                <w:lang w:val="es-ES"/>
              </w:rPr>
              <w:t>4,59</w:t>
            </w:r>
          </w:p>
        </w:tc>
        <w:tc>
          <w:tcPr>
            <w:tcW w:w="537" w:type="pct"/>
            <w:tcBorders>
              <w:top w:val="nil"/>
              <w:left w:val="single" w:sz="4" w:space="0" w:color="auto"/>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2,60</w:t>
            </w:r>
          </w:p>
        </w:tc>
        <w:tc>
          <w:tcPr>
            <w:tcW w:w="537" w:type="pct"/>
            <w:tcBorders>
              <w:top w:val="nil"/>
              <w:left w:val="single" w:sz="4" w:space="0" w:color="auto"/>
              <w:bottom w:val="single" w:sz="4" w:space="0" w:color="auto"/>
              <w:right w:val="single" w:sz="4" w:space="0" w:color="auto"/>
            </w:tcBorders>
            <w:shd w:val="clear" w:color="auto" w:fill="auto"/>
            <w:noWrap/>
            <w:vAlign w:val="bottom"/>
          </w:tcPr>
          <w:p w:rsidR="003F2F76" w:rsidRPr="00AE7913" w:rsidRDefault="003F2F76" w:rsidP="003F2F76">
            <w:pPr>
              <w:jc w:val="right"/>
              <w:rPr>
                <w:color w:val="000000"/>
                <w:sz w:val="20"/>
                <w:szCs w:val="20"/>
                <w:lang w:val="es-ES"/>
              </w:rPr>
            </w:pPr>
            <w:r w:rsidRPr="00AE7913">
              <w:rPr>
                <w:color w:val="000000"/>
                <w:sz w:val="20"/>
                <w:szCs w:val="20"/>
                <w:lang w:val="es-ES"/>
              </w:rPr>
              <w:t>16,36</w:t>
            </w:r>
          </w:p>
        </w:tc>
      </w:tr>
      <w:tr w:rsidR="003F2F76" w:rsidRPr="00AE7913" w:rsidTr="003F2F76">
        <w:trP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F2F76" w:rsidRPr="00AE7913" w:rsidRDefault="003F2F76" w:rsidP="003F2F76">
            <w:pPr>
              <w:jc w:val="left"/>
              <w:rPr>
                <w:rFonts w:eastAsiaTheme="minorHAnsi"/>
                <w:b/>
                <w:sz w:val="20"/>
                <w:szCs w:val="20"/>
                <w:lang w:val="es-ES"/>
              </w:rPr>
            </w:pPr>
            <w:r w:rsidRPr="00AE7913">
              <w:rPr>
                <w:b/>
                <w:sz w:val="20"/>
                <w:szCs w:val="20"/>
                <w:lang w:val="es-ES"/>
              </w:rPr>
              <w:t>Total (toneladas PAO)</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b/>
                <w:color w:val="000000"/>
                <w:sz w:val="20"/>
                <w:szCs w:val="20"/>
                <w:lang w:val="es-ES"/>
              </w:rPr>
            </w:pPr>
            <w:r w:rsidRPr="00AE7913">
              <w:rPr>
                <w:b/>
                <w:color w:val="000000"/>
                <w:sz w:val="20"/>
                <w:szCs w:val="20"/>
                <w:lang w:val="es-ES"/>
              </w:rPr>
              <w:fldChar w:fldCharType="begin"/>
            </w:r>
            <w:r w:rsidRPr="00AE7913">
              <w:rPr>
                <w:b/>
                <w:color w:val="000000"/>
                <w:sz w:val="20"/>
                <w:szCs w:val="20"/>
                <w:lang w:val="es-ES"/>
              </w:rPr>
              <w:instrText xml:space="preserve"> =SUM(ABOVE) </w:instrText>
            </w:r>
            <w:r w:rsidRPr="00AE7913">
              <w:rPr>
                <w:b/>
                <w:color w:val="000000"/>
                <w:sz w:val="20"/>
                <w:szCs w:val="20"/>
                <w:lang w:val="es-ES"/>
              </w:rPr>
              <w:fldChar w:fldCharType="separate"/>
            </w:r>
            <w:r w:rsidRPr="00AE7913">
              <w:rPr>
                <w:b/>
                <w:color w:val="000000"/>
                <w:sz w:val="20"/>
                <w:szCs w:val="20"/>
                <w:lang w:val="es-ES"/>
              </w:rPr>
              <w:t>307,09</w:t>
            </w:r>
            <w:r w:rsidRPr="00AE7913">
              <w:rPr>
                <w:b/>
                <w:color w:val="000000"/>
                <w:sz w:val="20"/>
                <w:szCs w:val="20"/>
                <w:lang w:val="es-ES"/>
              </w:rPr>
              <w:fldChar w:fldCharType="end"/>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b/>
                <w:color w:val="000000"/>
                <w:sz w:val="20"/>
                <w:szCs w:val="20"/>
                <w:lang w:val="es-ES"/>
              </w:rPr>
            </w:pPr>
            <w:r w:rsidRPr="00AE7913">
              <w:rPr>
                <w:b/>
                <w:color w:val="000000"/>
                <w:sz w:val="20"/>
                <w:szCs w:val="20"/>
                <w:lang w:val="es-ES"/>
              </w:rPr>
              <w:t>343,12</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rFonts w:eastAsiaTheme="minorHAnsi"/>
                <w:b/>
                <w:color w:val="000000"/>
                <w:sz w:val="20"/>
                <w:szCs w:val="20"/>
                <w:lang w:val="es-ES"/>
              </w:rPr>
            </w:pPr>
            <w:r w:rsidRPr="00AE7913">
              <w:rPr>
                <w:rFonts w:eastAsiaTheme="minorHAnsi"/>
                <w:b/>
                <w:color w:val="000000"/>
                <w:sz w:val="20"/>
                <w:szCs w:val="20"/>
                <w:lang w:val="es-ES"/>
              </w:rPr>
              <w:fldChar w:fldCharType="begin"/>
            </w:r>
            <w:r w:rsidRPr="00AE7913">
              <w:rPr>
                <w:rFonts w:eastAsiaTheme="minorHAnsi"/>
                <w:b/>
                <w:color w:val="000000"/>
                <w:sz w:val="20"/>
                <w:szCs w:val="20"/>
                <w:lang w:val="es-ES"/>
              </w:rPr>
              <w:instrText xml:space="preserve"> =SUM(ABOVE) </w:instrText>
            </w:r>
            <w:r w:rsidRPr="00AE7913">
              <w:rPr>
                <w:rFonts w:eastAsiaTheme="minorHAnsi"/>
                <w:b/>
                <w:color w:val="000000"/>
                <w:sz w:val="20"/>
                <w:szCs w:val="20"/>
                <w:lang w:val="es-ES"/>
              </w:rPr>
              <w:fldChar w:fldCharType="separate"/>
            </w:r>
            <w:r w:rsidRPr="00AE7913">
              <w:rPr>
                <w:rFonts w:eastAsiaTheme="minorHAnsi"/>
                <w:b/>
                <w:color w:val="000000"/>
                <w:sz w:val="20"/>
                <w:szCs w:val="20"/>
                <w:lang w:val="es-ES"/>
              </w:rPr>
              <w:t>346,53</w:t>
            </w:r>
            <w:r w:rsidRPr="00AE7913">
              <w:rPr>
                <w:rFonts w:eastAsiaTheme="minorHAnsi"/>
                <w:b/>
                <w:color w:val="000000"/>
                <w:sz w:val="20"/>
                <w:szCs w:val="20"/>
                <w:lang w:val="es-ES"/>
              </w:rPr>
              <w:fldChar w:fldCharType="end"/>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rFonts w:eastAsiaTheme="minorHAnsi"/>
                <w:b/>
                <w:color w:val="000000"/>
                <w:sz w:val="20"/>
                <w:szCs w:val="20"/>
                <w:lang w:val="es-ES"/>
              </w:rPr>
            </w:pPr>
            <w:r w:rsidRPr="00AE7913">
              <w:rPr>
                <w:b/>
                <w:color w:val="000000"/>
                <w:sz w:val="20"/>
                <w:szCs w:val="20"/>
                <w:lang w:val="es-ES"/>
              </w:rPr>
              <w:t>346,46</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b/>
                <w:sz w:val="20"/>
                <w:szCs w:val="20"/>
                <w:lang w:val="es-ES"/>
              </w:rPr>
            </w:pPr>
            <w:r w:rsidRPr="00AE7913">
              <w:rPr>
                <w:b/>
                <w:sz w:val="20"/>
                <w:szCs w:val="20"/>
                <w:lang w:val="es-ES"/>
              </w:rPr>
              <w:t>287,45</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rsidR="003F2F76" w:rsidRPr="00AE7913" w:rsidRDefault="003F2F76" w:rsidP="003F2F76">
            <w:pPr>
              <w:jc w:val="right"/>
              <w:rPr>
                <w:rFonts w:eastAsiaTheme="minorHAnsi"/>
                <w:b/>
                <w:color w:val="000000"/>
                <w:sz w:val="20"/>
                <w:szCs w:val="20"/>
                <w:lang w:val="es-ES"/>
              </w:rPr>
            </w:pPr>
            <w:r w:rsidRPr="00AE7913">
              <w:rPr>
                <w:b/>
                <w:color w:val="000000"/>
                <w:sz w:val="20"/>
                <w:szCs w:val="20"/>
                <w:lang w:val="es-ES"/>
              </w:rPr>
              <w:t>386,27</w:t>
            </w:r>
          </w:p>
        </w:tc>
      </w:tr>
      <w:tr w:rsidR="003F2F76" w:rsidRPr="00AE7913" w:rsidTr="003F2F76">
        <w:trP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F2F76" w:rsidRPr="00AE7913" w:rsidRDefault="003F2F76" w:rsidP="003F2F76">
            <w:pPr>
              <w:jc w:val="left"/>
              <w:rPr>
                <w:color w:val="000000"/>
                <w:sz w:val="20"/>
                <w:szCs w:val="20"/>
                <w:lang w:val="es-ES"/>
              </w:rPr>
            </w:pPr>
            <w:r w:rsidRPr="00AE7913">
              <w:rPr>
                <w:color w:val="000000"/>
                <w:sz w:val="20"/>
                <w:szCs w:val="20"/>
                <w:lang w:val="es-ES"/>
              </w:rPr>
              <w:t>HC</w:t>
            </w:r>
            <w:r w:rsidR="0013300C">
              <w:rPr>
                <w:color w:val="000000"/>
                <w:sz w:val="20"/>
                <w:szCs w:val="20"/>
                <w:lang w:val="es-ES"/>
              </w:rPr>
              <w:t>FC</w:t>
            </w:r>
            <w:r w:rsidR="0013300C">
              <w:rPr>
                <w:color w:val="000000"/>
                <w:sz w:val="20"/>
                <w:szCs w:val="20"/>
                <w:lang w:val="es-ES"/>
              </w:rPr>
              <w:noBreakHyphen/>
            </w:r>
            <w:r w:rsidRPr="00AE7913">
              <w:rPr>
                <w:color w:val="000000"/>
                <w:sz w:val="20"/>
                <w:szCs w:val="20"/>
                <w:lang w:val="es-ES"/>
              </w:rPr>
              <w:t>141b en polioles premezclados importados</w:t>
            </w:r>
          </w:p>
        </w:tc>
        <w:tc>
          <w:tcPr>
            <w:tcW w:w="537" w:type="pct"/>
            <w:tcBorders>
              <w:top w:val="single" w:sz="4" w:space="0" w:color="auto"/>
              <w:left w:val="nil"/>
              <w:bottom w:val="single" w:sz="4" w:space="0" w:color="auto"/>
              <w:right w:val="single" w:sz="4" w:space="0" w:color="auto"/>
            </w:tcBorders>
          </w:tcPr>
          <w:p w:rsidR="003F2F76" w:rsidRPr="00AE7913" w:rsidRDefault="003F2F76" w:rsidP="003F2F76">
            <w:pPr>
              <w:jc w:val="right"/>
              <w:rPr>
                <w:sz w:val="20"/>
                <w:szCs w:val="20"/>
                <w:lang w:val="es-ES"/>
              </w:rPr>
            </w:pPr>
            <w:r w:rsidRPr="00AE7913">
              <w:rPr>
                <w:sz w:val="20"/>
                <w:szCs w:val="20"/>
                <w:lang w:val="es-ES"/>
              </w:rPr>
              <w:t>13,20</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rFonts w:eastAsiaTheme="minorHAnsi"/>
                <w:color w:val="000000"/>
                <w:sz w:val="20"/>
                <w:szCs w:val="20"/>
                <w:lang w:val="es-ES"/>
              </w:rPr>
            </w:pPr>
            <w:r w:rsidRPr="00AE7913">
              <w:rPr>
                <w:color w:val="000000"/>
                <w:sz w:val="20"/>
                <w:szCs w:val="20"/>
                <w:lang w:val="es-ES"/>
              </w:rPr>
              <w:t>11,00</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rFonts w:eastAsiaTheme="minorHAnsi"/>
                <w:color w:val="000000"/>
                <w:sz w:val="20"/>
                <w:szCs w:val="20"/>
                <w:lang w:val="es-ES"/>
              </w:rPr>
            </w:pPr>
            <w:r w:rsidRPr="00AE7913">
              <w:rPr>
                <w:color w:val="000000"/>
                <w:sz w:val="20"/>
                <w:szCs w:val="20"/>
                <w:lang w:val="es-ES"/>
              </w:rPr>
              <w:t>19,56</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rFonts w:eastAsiaTheme="minorHAnsi"/>
                <w:color w:val="000000"/>
                <w:sz w:val="20"/>
                <w:szCs w:val="20"/>
                <w:lang w:val="es-ES"/>
              </w:rPr>
            </w:pPr>
            <w:r w:rsidRPr="00AE7913">
              <w:rPr>
                <w:color w:val="000000"/>
                <w:sz w:val="20"/>
                <w:szCs w:val="20"/>
                <w:lang w:val="es-ES"/>
              </w:rPr>
              <w:t>9,67</w:t>
            </w:r>
          </w:p>
        </w:tc>
        <w:tc>
          <w:tcPr>
            <w:tcW w:w="537" w:type="pc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right"/>
              <w:rPr>
                <w:rFonts w:eastAsiaTheme="minorHAnsi"/>
                <w:color w:val="000000"/>
                <w:sz w:val="20"/>
                <w:szCs w:val="20"/>
                <w:lang w:val="es-ES"/>
              </w:rPr>
            </w:pPr>
            <w:r w:rsidRPr="00AE7913">
              <w:rPr>
                <w:color w:val="000000"/>
                <w:sz w:val="20"/>
                <w:szCs w:val="20"/>
                <w:lang w:val="es-ES"/>
              </w:rPr>
              <w:t>0</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rsidR="003F2F76" w:rsidRPr="00AE7913" w:rsidRDefault="003F2F76" w:rsidP="003F2F76">
            <w:pPr>
              <w:jc w:val="right"/>
              <w:rPr>
                <w:rFonts w:eastAsiaTheme="minorHAnsi"/>
                <w:color w:val="000000"/>
                <w:sz w:val="20"/>
                <w:szCs w:val="20"/>
                <w:lang w:val="es-ES"/>
              </w:rPr>
            </w:pPr>
            <w:r w:rsidRPr="00AE7913">
              <w:rPr>
                <w:color w:val="000000"/>
                <w:sz w:val="20"/>
                <w:szCs w:val="20"/>
                <w:lang w:val="es-ES"/>
              </w:rPr>
              <w:t>98,34*</w:t>
            </w:r>
          </w:p>
        </w:tc>
      </w:tr>
    </w:tbl>
    <w:p w:rsidR="003F2F76" w:rsidRPr="00AE7913" w:rsidRDefault="003F2F76" w:rsidP="003F2F76">
      <w:pPr>
        <w:rPr>
          <w:sz w:val="16"/>
          <w:szCs w:val="16"/>
          <w:lang w:val="es-ES"/>
        </w:rPr>
      </w:pPr>
      <w:r w:rsidRPr="00AE7913">
        <w:rPr>
          <w:sz w:val="16"/>
          <w:szCs w:val="16"/>
          <w:lang w:val="es-ES"/>
        </w:rPr>
        <w:t>* Consumo medio en 2007-2009.</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Se usa HC</w:t>
      </w:r>
      <w:r w:rsidR="0013300C">
        <w:rPr>
          <w:lang w:val="es-ES"/>
        </w:rPr>
        <w:t>FC</w:t>
      </w:r>
      <w:r w:rsidR="0013300C">
        <w:rPr>
          <w:lang w:val="es-ES"/>
        </w:rPr>
        <w:noBreakHyphen/>
      </w:r>
      <w:r w:rsidRPr="00AE7913">
        <w:rPr>
          <w:lang w:val="es-ES"/>
        </w:rPr>
        <w:t>22 en la fabricación y el servicio y mantenimiento de equipos de refrigeración y aire acondicionado y para la fabricación de espumas de poliestireno extruido (XPS). El consumo de HC</w:t>
      </w:r>
      <w:r w:rsidR="0013300C">
        <w:rPr>
          <w:lang w:val="es-ES"/>
        </w:rPr>
        <w:t>FC</w:t>
      </w:r>
      <w:r w:rsidR="0013300C">
        <w:rPr>
          <w:lang w:val="es-ES"/>
        </w:rPr>
        <w:noBreakHyphen/>
      </w:r>
      <w:r w:rsidRPr="00AE7913">
        <w:rPr>
          <w:lang w:val="es-ES"/>
        </w:rPr>
        <w:t>22 disminuyó tanto en la fabricación como en el servicio y mantenimiento de equipos de refrigeración y aire acondicionado debido a que se redujeron las exportaciones de unidades de A/A a base de HC</w:t>
      </w:r>
      <w:r w:rsidR="0013300C">
        <w:rPr>
          <w:lang w:val="es-ES"/>
        </w:rPr>
        <w:t>FC</w:t>
      </w:r>
      <w:r w:rsidR="0013300C">
        <w:rPr>
          <w:lang w:val="es-ES"/>
        </w:rPr>
        <w:noBreakHyphen/>
      </w:r>
      <w:r w:rsidRPr="00AE7913">
        <w:rPr>
          <w:lang w:val="es-ES"/>
        </w:rPr>
        <w:t>22 y se mejoraron las prácticas de servicio y mantenimiento. Dado que se están realizando conversiones en el sector de fabricación de espumas de PU, el HC</w:t>
      </w:r>
      <w:r w:rsidR="0013300C">
        <w:rPr>
          <w:lang w:val="es-ES"/>
        </w:rPr>
        <w:t>FC</w:t>
      </w:r>
      <w:r w:rsidR="0013300C">
        <w:rPr>
          <w:lang w:val="es-ES"/>
        </w:rPr>
        <w:noBreakHyphen/>
      </w:r>
      <w:r w:rsidRPr="00AE7913">
        <w:rPr>
          <w:lang w:val="es-ES"/>
        </w:rPr>
        <w:t>141b (puro) sigue disminuyendo, de acuerdo con la prohibición establecida en 2018, mientras que no se informó ningún HC</w:t>
      </w:r>
      <w:r w:rsidR="0013300C">
        <w:rPr>
          <w:lang w:val="es-ES"/>
        </w:rPr>
        <w:t>FC</w:t>
      </w:r>
      <w:r w:rsidR="0013300C">
        <w:rPr>
          <w:lang w:val="es-ES"/>
        </w:rPr>
        <w:noBreakHyphen/>
      </w:r>
      <w:r w:rsidRPr="00AE7913">
        <w:rPr>
          <w:lang w:val="es-ES"/>
        </w:rPr>
        <w:t>141b contenido en polioles premezclados importados en 2018. Se usa HC</w:t>
      </w:r>
      <w:r w:rsidR="0013300C">
        <w:rPr>
          <w:lang w:val="es-ES"/>
        </w:rPr>
        <w:t>FC</w:t>
      </w:r>
      <w:r w:rsidR="0013300C">
        <w:rPr>
          <w:lang w:val="es-ES"/>
        </w:rPr>
        <w:noBreakHyphen/>
      </w:r>
      <w:r w:rsidRPr="00AE7913">
        <w:rPr>
          <w:lang w:val="es-ES"/>
        </w:rPr>
        <w:t xml:space="preserve">142b en la fabricación de espumas de XPS y este se importa como un componente del </w:t>
      </w:r>
      <w:r w:rsidR="0013300C">
        <w:rPr>
          <w:lang w:val="es-ES"/>
        </w:rPr>
        <w:t>R</w:t>
      </w:r>
      <w:r w:rsidR="0013300C">
        <w:rPr>
          <w:lang w:val="es-ES"/>
        </w:rPr>
        <w:noBreakHyphen/>
      </w:r>
      <w:r w:rsidRPr="00AE7913">
        <w:rPr>
          <w:lang w:val="es-ES"/>
        </w:rPr>
        <w:t>406A, una mezcla de uso inmediato para los equipos a base de C</w:t>
      </w:r>
      <w:r w:rsidR="0013300C">
        <w:rPr>
          <w:lang w:val="es-ES"/>
        </w:rPr>
        <w:t>FC</w:t>
      </w:r>
      <w:r w:rsidR="0013300C">
        <w:rPr>
          <w:lang w:val="es-ES"/>
        </w:rPr>
        <w:noBreakHyphen/>
      </w:r>
      <w:r w:rsidRPr="00AE7913">
        <w:rPr>
          <w:lang w:val="es-ES"/>
        </w:rPr>
        <w:t xml:space="preserve">12. </w:t>
      </w:r>
    </w:p>
    <w:p w:rsidR="003F2F76" w:rsidRPr="00AE7913" w:rsidRDefault="003F2F76" w:rsidP="003F2F76">
      <w:pPr>
        <w:rPr>
          <w:i/>
          <w:lang w:val="es-ES"/>
        </w:rPr>
      </w:pPr>
      <w:r w:rsidRPr="00AE7913">
        <w:rPr>
          <w:i/>
          <w:lang w:val="es-ES"/>
        </w:rPr>
        <w:t>Informe de ejecución del programa de país</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Gobierno de Egipto presentó datos de consumo de HCFC en el sector en el informe de ejecución del programa de país de 2018 que guardan conformidad con los datos notificados con arreglo al artículo 7 del Protocolo de Montreal.</w:t>
      </w:r>
    </w:p>
    <w:p w:rsidR="003F2F76" w:rsidRPr="00AE7913" w:rsidRDefault="003F2F76" w:rsidP="003F2F76">
      <w:pPr>
        <w:rPr>
          <w:u w:val="single"/>
          <w:lang w:val="es-ES"/>
        </w:rPr>
      </w:pPr>
      <w:r w:rsidRPr="00AE7913">
        <w:rPr>
          <w:u w:val="single"/>
          <w:lang w:val="es-ES"/>
        </w:rPr>
        <w:t>Informe sobre la marcha de las actividades relativo a la ejecución del tercer tramo del PGEH</w:t>
      </w:r>
    </w:p>
    <w:p w:rsidR="003F2F76" w:rsidRPr="00AE7913" w:rsidRDefault="003F2F76" w:rsidP="003F2F76">
      <w:pPr>
        <w:rPr>
          <w:lang w:val="es-ES"/>
        </w:rPr>
      </w:pPr>
    </w:p>
    <w:p w:rsidR="003F2F76" w:rsidRPr="00AE7913" w:rsidRDefault="003F2F76" w:rsidP="003F2F76">
      <w:pPr>
        <w:rPr>
          <w:i/>
          <w:lang w:val="es-ES"/>
        </w:rPr>
      </w:pPr>
      <w:r w:rsidRPr="00AE7913">
        <w:rPr>
          <w:i/>
          <w:lang w:val="es-ES"/>
        </w:rPr>
        <w:t>Marco jurídico</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sistema de concesión de licencias y cupos para los HCFC (excepto para el HC</w:t>
      </w:r>
      <w:r w:rsidR="0013300C">
        <w:rPr>
          <w:lang w:val="es-ES"/>
        </w:rPr>
        <w:t>FC</w:t>
      </w:r>
      <w:r w:rsidR="0013300C">
        <w:rPr>
          <w:lang w:val="es-ES"/>
        </w:rPr>
        <w:noBreakHyphen/>
      </w:r>
      <w:r w:rsidRPr="00AE7913">
        <w:rPr>
          <w:lang w:val="es-ES"/>
        </w:rPr>
        <w:t>141b en polioles premezclados importados) entró en vigor en 2013. El Gobierno ha prohibido la importación de HC</w:t>
      </w:r>
      <w:r w:rsidR="0013300C">
        <w:rPr>
          <w:lang w:val="es-ES"/>
        </w:rPr>
        <w:t>FC</w:t>
      </w:r>
      <w:r w:rsidR="0013300C">
        <w:rPr>
          <w:lang w:val="es-ES"/>
        </w:rPr>
        <w:noBreakHyphen/>
      </w:r>
      <w:r w:rsidRPr="00AE7913">
        <w:rPr>
          <w:lang w:val="es-ES"/>
        </w:rPr>
        <w:t>141b en polioles premezclados a partir del 1 de enero de 2018. La prohibición se aplica por medio de la cooperación entre el Organismo de Asuntos Ambientales de Egipto y la autoridad aduanera; esta verifica toda las importaciones según el código general del Sistema Armonizado para los polioles, con la asistencia de la DNO. De conformidad con la decisión 79/34 c) ii), el Gobierno prohibirá la importación, el uso y la exportación de HC</w:t>
      </w:r>
      <w:r w:rsidR="0013300C">
        <w:rPr>
          <w:lang w:val="es-ES"/>
        </w:rPr>
        <w:t>FC</w:t>
      </w:r>
      <w:r w:rsidR="0013300C">
        <w:rPr>
          <w:lang w:val="es-ES"/>
        </w:rPr>
        <w:noBreakHyphen/>
      </w:r>
      <w:r w:rsidRPr="00AE7913">
        <w:rPr>
          <w:lang w:val="es-ES"/>
        </w:rPr>
        <w:t>141b a granel y la exportación de HC</w:t>
      </w:r>
      <w:r w:rsidR="0013300C">
        <w:rPr>
          <w:lang w:val="es-ES"/>
        </w:rPr>
        <w:t>FC</w:t>
      </w:r>
      <w:r w:rsidR="0013300C">
        <w:rPr>
          <w:lang w:val="es-ES"/>
        </w:rPr>
        <w:noBreakHyphen/>
      </w:r>
      <w:r w:rsidRPr="00AE7913">
        <w:rPr>
          <w:lang w:val="es-ES"/>
        </w:rPr>
        <w:t>141b contenido en polioles premezclados importados a partir del 1 de enero de 2020.</w:t>
      </w:r>
    </w:p>
    <w:p w:rsidR="003F2F76" w:rsidRPr="00AE7913" w:rsidRDefault="003F2F76" w:rsidP="003F2F76">
      <w:pPr>
        <w:pStyle w:val="Heading1"/>
        <w:numPr>
          <w:ilvl w:val="0"/>
          <w:numId w:val="0"/>
        </w:numPr>
        <w:rPr>
          <w:lang w:val="es-ES"/>
        </w:rPr>
      </w:pPr>
      <w:r w:rsidRPr="00AE7913">
        <w:rPr>
          <w:i/>
          <w:lang w:val="es-ES"/>
        </w:rPr>
        <w:t>Sector de fabricación</w:t>
      </w:r>
    </w:p>
    <w:p w:rsidR="003F2F76" w:rsidRPr="00AE7913" w:rsidRDefault="003F2F76" w:rsidP="003F2F76">
      <w:pPr>
        <w:pStyle w:val="Heading1"/>
        <w:rPr>
          <w:lang w:val="es-ES"/>
        </w:rPr>
      </w:pPr>
      <w:r w:rsidRPr="00AE7913">
        <w:rPr>
          <w:lang w:val="es-ES"/>
        </w:rPr>
        <w:t xml:space="preserve">El proyecto para la conversión de 81 EPM a una tecnología de bajo PCA está progresando, y se ha firmado un memorando de acuerdo con los tres proveedores de sistemas (Baalbaki, Dow y Technocom) para realizar la conversión de 64 empresas transformadoras clientes; se tiene previsto firmar una adición del memorando de acuerdo con Baalbaki para la conversión de otros seis clientes a más tardar el 30 de noviembre de 2019. De las 64 empresas transformadoras clientes, 44 han realizado la conversión y han firmado un compromiso de cesar el uso de sistemas a base de HCFC; otros tres clientes han realizado la conversión y la firma de su compromiso está en proceso y se prevé para finales de 2019. El número exacto de empresas transformadoras clientes restantes se confirmará durante la ejecución; se tiene </w:t>
      </w:r>
      <w:r w:rsidRPr="00AE7913">
        <w:rPr>
          <w:lang w:val="es-ES"/>
        </w:rPr>
        <w:lastRenderedPageBreak/>
        <w:t xml:space="preserve">previsto terminar la conversión de todas las empresas transformadoras clientes a más tardar a finales de 2019. </w:t>
      </w:r>
    </w:p>
    <w:p w:rsidR="003F2F76" w:rsidRPr="00AE7913" w:rsidRDefault="003F2F76" w:rsidP="003F2F76">
      <w:pPr>
        <w:pStyle w:val="Heading1"/>
        <w:rPr>
          <w:lang w:val="es-ES"/>
        </w:rPr>
      </w:pPr>
      <w:r w:rsidRPr="00AE7913">
        <w:rPr>
          <w:lang w:val="es-ES"/>
        </w:rPr>
        <w:t>La mayoría de los microususarios compran sistemas en forma irregular y a través de distribuidores, en lugar de directamente a través de los proveedores de sistemas, por lo que puede resultar difícil identificarlos. En septiembre de 2019 se llevó a cabo un taller de sensibilización para identificar a todos los microusuarios y garantizar que completen la conversión a alternativas que no utilizan HCFC a más tardar el 1 de enero de 2020. Hasta la fecha, no se ha realizado la conversión de ningún microusuario con asistencia del proyecto.</w:t>
      </w:r>
    </w:p>
    <w:p w:rsidR="003F2F76" w:rsidRPr="00AE7913" w:rsidRDefault="003F2F76" w:rsidP="003F2F76">
      <w:pPr>
        <w:rPr>
          <w:i/>
          <w:lang w:val="es-ES"/>
        </w:rPr>
      </w:pPr>
      <w:r w:rsidRPr="00AE7913">
        <w:rPr>
          <w:i/>
          <w:lang w:val="es-ES"/>
        </w:rPr>
        <w:t>Informe sobre la situación del uso de la tecnología provisional</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Los tres proveedores de sistemas, Baalbaki, Dow y Technocom, han facilitado exitosamente la conversión de las empresas transformadoras clientes a alternativas de bajo PCA, como agua, HFO y MF. Los proveedores de sistemas también producen sistemas de alto PCA y venden esos sistemas a empresas transformadoras clientes, pero no a aquellas que recibieron asistencia dentro del proyecto.</w:t>
      </w:r>
    </w:p>
    <w:p w:rsidR="003F2F76" w:rsidRPr="00AE7913" w:rsidRDefault="003F2F76" w:rsidP="003F2F76">
      <w:pPr>
        <w:pStyle w:val="Heading1"/>
        <w:rPr>
          <w:lang w:val="es-ES"/>
        </w:rPr>
      </w:pPr>
      <w:r w:rsidRPr="00AE7913">
        <w:rPr>
          <w:lang w:val="es-ES"/>
        </w:rPr>
        <w:t xml:space="preserve">Uno de los proveedores de sistemas había notificado anteriormente problemas de procesamiento con una HFO. En forma provisional, el proveedor de sistemas había cambiado a una HFO diferente que había resuelto el problema; no obstante, esa HFO es más cara y, considerando que se la introdujo en la región recientemente, la entrega sin interrupciones era motivo de preocupación. El PNUD sigue supervisando la situación y espera que el proveedor de sistemas pueda resolver los problemas de procesamiento que encontró con la HFO original, como los resolvieron los otros dos proveedores de sistemas. </w:t>
      </w:r>
    </w:p>
    <w:p w:rsidR="003F2F76" w:rsidRPr="00AE7913" w:rsidRDefault="003F2F76" w:rsidP="003F2F76">
      <w:pPr>
        <w:rPr>
          <w:i/>
          <w:lang w:val="es-ES"/>
        </w:rPr>
      </w:pPr>
      <w:r w:rsidRPr="00AE7913">
        <w:rPr>
          <w:i/>
          <w:lang w:val="es-ES"/>
        </w:rPr>
        <w:t xml:space="preserve">Actividades de apoyo en el sector de refrigeración y aire acondicionado </w:t>
      </w:r>
    </w:p>
    <w:p w:rsidR="003F2F76" w:rsidRPr="00AE7913" w:rsidRDefault="003F2F76" w:rsidP="003F2F76">
      <w:pPr>
        <w:rPr>
          <w:i/>
          <w:lang w:val="es-ES"/>
        </w:rPr>
      </w:pPr>
    </w:p>
    <w:p w:rsidR="003F2F76" w:rsidRPr="00AE7913" w:rsidRDefault="003F2F76" w:rsidP="003F2F76">
      <w:pPr>
        <w:pStyle w:val="Heading1"/>
        <w:rPr>
          <w:lang w:val="es-ES"/>
        </w:rPr>
      </w:pPr>
      <w:r w:rsidRPr="00AE7913">
        <w:rPr>
          <w:lang w:val="es-ES"/>
        </w:rPr>
        <w:t>Se probaron diecinueve prototipos de unidades divididas (</w:t>
      </w:r>
      <w:r w:rsidRPr="00AE7913">
        <w:rPr>
          <w:i/>
          <w:lang w:val="es-ES"/>
        </w:rPr>
        <w:t>split</w:t>
      </w:r>
      <w:r w:rsidRPr="00AE7913">
        <w:rPr>
          <w:lang w:val="es-ES"/>
        </w:rPr>
        <w:t>) hechas de medida con compresores especializados provistos por varias empresas en laboratorios locales acreditados, con refrigerantes provistos por Arkema, Chemours, Daikin y Honeywell. Los detalles de los resultados de las pruebas figuran en el Anexo I del presente documento. Los resultados del programa EGYPRA fundamentaron la selección de alternativas de bajo PCA por las empresas del sector de fabricación de equipos de A/A residencial.</w:t>
      </w:r>
    </w:p>
    <w:p w:rsidR="003F2F76" w:rsidRPr="00AE7913" w:rsidRDefault="003F2F76" w:rsidP="003F2F76">
      <w:pPr>
        <w:pStyle w:val="Heading1"/>
        <w:numPr>
          <w:ilvl w:val="0"/>
          <w:numId w:val="0"/>
        </w:numPr>
        <w:rPr>
          <w:u w:val="single"/>
          <w:lang w:val="es-ES"/>
        </w:rPr>
      </w:pPr>
      <w:r w:rsidRPr="00AE7913">
        <w:rPr>
          <w:u w:val="single"/>
          <w:lang w:val="es-ES"/>
        </w:rPr>
        <w:t>Nivel de desembolso de fondos</w:t>
      </w:r>
    </w:p>
    <w:p w:rsidR="003F2F76" w:rsidRPr="00AE7913" w:rsidRDefault="003F2F76" w:rsidP="003F2F76">
      <w:pPr>
        <w:pStyle w:val="Heading1"/>
        <w:rPr>
          <w:lang w:val="es-ES"/>
        </w:rPr>
      </w:pPr>
      <w:r w:rsidRPr="00AE7913">
        <w:rPr>
          <w:lang w:val="es-ES"/>
        </w:rPr>
        <w:t>A octubre de 2019, de los 6 148 975 $EUA</w:t>
      </w:r>
      <w:r w:rsidRPr="00AE7913">
        <w:rPr>
          <w:rStyle w:val="FootnoteReference"/>
          <w:lang w:val="es-ES"/>
        </w:rPr>
        <w:footnoteReference w:id="5"/>
      </w:r>
      <w:r w:rsidRPr="00AE7913">
        <w:rPr>
          <w:lang w:val="es-ES"/>
        </w:rPr>
        <w:t xml:space="preserve"> aprobados hasta ahora, se habían desembolsado 4 265 938 $EUA (1 255 818 $EUA para la ONUDI y 3 010 120 $EUA para el PNUD) como se indica en el Cuadro 2. El saldo de 1 883 037 $EUA se desembolsará en 2019 y 2020.</w:t>
      </w:r>
    </w:p>
    <w:p w:rsidR="003F2F76" w:rsidRPr="00AE7913" w:rsidRDefault="003F2F76" w:rsidP="003F2F76">
      <w:pPr>
        <w:keepNext/>
        <w:rPr>
          <w:b/>
          <w:lang w:val="es-ES"/>
        </w:rPr>
      </w:pPr>
      <w:r w:rsidRPr="00AE7913">
        <w:rPr>
          <w:b/>
          <w:lang w:val="es-ES"/>
        </w:rPr>
        <w:t>Cuadro 2. Informe financiero de la etapa I del PGEH para Egipto ($EUA)</w:t>
      </w:r>
    </w:p>
    <w:tbl>
      <w:tblPr>
        <w:tblW w:w="935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66"/>
        <w:gridCol w:w="1701"/>
        <w:gridCol w:w="1134"/>
        <w:gridCol w:w="1134"/>
        <w:gridCol w:w="1275"/>
        <w:gridCol w:w="2443"/>
      </w:tblGrid>
      <w:tr w:rsidR="003F2F76" w:rsidRPr="00AE7913" w:rsidTr="00214B14">
        <w:trPr>
          <w:trHeight w:val="152"/>
          <w:tblHeader/>
        </w:trPr>
        <w:tc>
          <w:tcPr>
            <w:tcW w:w="3367" w:type="dxa"/>
            <w:gridSpan w:val="2"/>
            <w:noWrap/>
            <w:tcMar>
              <w:top w:w="0" w:type="dxa"/>
              <w:left w:w="108" w:type="dxa"/>
              <w:bottom w:w="0" w:type="dxa"/>
              <w:right w:w="108" w:type="dxa"/>
            </w:tcMar>
            <w:vAlign w:val="center"/>
            <w:hideMark/>
          </w:tcPr>
          <w:p w:rsidR="003F2F76" w:rsidRPr="00AE7913" w:rsidRDefault="003F2F76" w:rsidP="003F2F76">
            <w:pPr>
              <w:rPr>
                <w:b/>
                <w:bCs/>
                <w:color w:val="000000"/>
                <w:sz w:val="20"/>
                <w:szCs w:val="20"/>
                <w:lang w:val="es-ES"/>
              </w:rPr>
            </w:pPr>
            <w:r w:rsidRPr="00AE7913">
              <w:rPr>
                <w:b/>
                <w:bCs/>
                <w:color w:val="000000"/>
                <w:sz w:val="20"/>
                <w:szCs w:val="20"/>
                <w:lang w:val="es-ES"/>
              </w:rPr>
              <w:t>Tramo</w:t>
            </w:r>
          </w:p>
        </w:tc>
        <w:tc>
          <w:tcPr>
            <w:tcW w:w="1134" w:type="dxa"/>
            <w:noWrap/>
            <w:tcMar>
              <w:top w:w="0" w:type="dxa"/>
              <w:left w:w="108" w:type="dxa"/>
              <w:bottom w:w="0" w:type="dxa"/>
              <w:right w:w="108" w:type="dxa"/>
            </w:tcMar>
            <w:vAlign w:val="center"/>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ONUDI</w:t>
            </w:r>
          </w:p>
        </w:tc>
        <w:tc>
          <w:tcPr>
            <w:tcW w:w="1134" w:type="dxa"/>
            <w:tcMar>
              <w:top w:w="0" w:type="dxa"/>
              <w:left w:w="108" w:type="dxa"/>
              <w:bottom w:w="0" w:type="dxa"/>
              <w:right w:w="108" w:type="dxa"/>
            </w:tcMar>
            <w:vAlign w:val="center"/>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PNUD</w:t>
            </w:r>
          </w:p>
        </w:tc>
        <w:tc>
          <w:tcPr>
            <w:tcW w:w="1275" w:type="dxa"/>
            <w:noWrap/>
            <w:tcMar>
              <w:top w:w="0" w:type="dxa"/>
              <w:left w:w="108" w:type="dxa"/>
              <w:bottom w:w="0" w:type="dxa"/>
              <w:right w:w="108" w:type="dxa"/>
            </w:tcMar>
            <w:vAlign w:val="center"/>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Total</w:t>
            </w:r>
          </w:p>
        </w:tc>
        <w:tc>
          <w:tcPr>
            <w:tcW w:w="2443" w:type="dxa"/>
            <w:noWrap/>
            <w:tcMar>
              <w:top w:w="0" w:type="dxa"/>
              <w:left w:w="108" w:type="dxa"/>
              <w:bottom w:w="0" w:type="dxa"/>
              <w:right w:w="108" w:type="dxa"/>
            </w:tcMar>
            <w:vAlign w:val="center"/>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Tasa de desembolso (%)</w:t>
            </w:r>
          </w:p>
        </w:tc>
      </w:tr>
      <w:tr w:rsidR="003F2F76" w:rsidRPr="00AE7913" w:rsidTr="00214B14">
        <w:trPr>
          <w:trHeight w:val="188"/>
        </w:trPr>
        <w:tc>
          <w:tcPr>
            <w:tcW w:w="1666" w:type="dxa"/>
            <w:vMerge w:val="restart"/>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Primer tramo</w:t>
            </w:r>
          </w:p>
        </w:tc>
        <w:tc>
          <w:tcPr>
            <w:tcW w:w="1701" w:type="dxa"/>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Aprobado </w:t>
            </w:r>
          </w:p>
        </w:tc>
        <w:tc>
          <w:tcPr>
            <w:tcW w:w="1134"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950 000</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2 000 000</w:t>
            </w:r>
          </w:p>
        </w:tc>
        <w:tc>
          <w:tcPr>
            <w:tcW w:w="1275"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2 950 000</w:t>
            </w:r>
          </w:p>
        </w:tc>
        <w:tc>
          <w:tcPr>
            <w:tcW w:w="2443" w:type="dxa"/>
            <w:vMerge w:val="restart"/>
            <w:noWrap/>
            <w:tcMar>
              <w:top w:w="0" w:type="dxa"/>
              <w:left w:w="108" w:type="dxa"/>
              <w:bottom w:w="0" w:type="dxa"/>
              <w:right w:w="108" w:type="dxa"/>
            </w:tcMar>
            <w:vAlign w:val="center"/>
            <w:hideMark/>
          </w:tcPr>
          <w:p w:rsidR="003F2F76" w:rsidRPr="00AE7913" w:rsidRDefault="003F2F76" w:rsidP="003F2F76">
            <w:pPr>
              <w:jc w:val="center"/>
              <w:rPr>
                <w:color w:val="000000"/>
                <w:sz w:val="20"/>
                <w:szCs w:val="20"/>
                <w:lang w:val="es-ES"/>
              </w:rPr>
            </w:pPr>
            <w:r w:rsidRPr="00AE7913">
              <w:rPr>
                <w:color w:val="000000"/>
                <w:sz w:val="20"/>
                <w:szCs w:val="20"/>
                <w:lang w:val="es-ES"/>
              </w:rPr>
              <w:t>98</w:t>
            </w:r>
          </w:p>
        </w:tc>
      </w:tr>
      <w:tr w:rsidR="003F2F76" w:rsidRPr="00AE7913" w:rsidTr="00214B14">
        <w:trPr>
          <w:trHeight w:val="125"/>
        </w:trPr>
        <w:tc>
          <w:tcPr>
            <w:tcW w:w="1666" w:type="dxa"/>
            <w:vMerge/>
            <w:vAlign w:val="center"/>
            <w:hideMark/>
          </w:tcPr>
          <w:p w:rsidR="003F2F76" w:rsidRPr="00AE7913" w:rsidRDefault="003F2F76" w:rsidP="003F2F76">
            <w:pPr>
              <w:rPr>
                <w:rFonts w:eastAsiaTheme="minorHAnsi"/>
                <w:color w:val="000000"/>
                <w:sz w:val="20"/>
                <w:szCs w:val="20"/>
                <w:lang w:val="es-ES"/>
              </w:rPr>
            </w:pPr>
          </w:p>
        </w:tc>
        <w:tc>
          <w:tcPr>
            <w:tcW w:w="1701" w:type="dxa"/>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Desembolsado </w:t>
            </w:r>
          </w:p>
        </w:tc>
        <w:tc>
          <w:tcPr>
            <w:tcW w:w="1134"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950 000</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 xml:space="preserve">1 954 628 </w:t>
            </w:r>
          </w:p>
        </w:tc>
        <w:tc>
          <w:tcPr>
            <w:tcW w:w="1275"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 xml:space="preserve">2 904 628 </w:t>
            </w:r>
          </w:p>
        </w:tc>
        <w:tc>
          <w:tcPr>
            <w:tcW w:w="2443" w:type="dxa"/>
            <w:vMerge/>
            <w:vAlign w:val="center"/>
            <w:hideMark/>
          </w:tcPr>
          <w:p w:rsidR="003F2F76" w:rsidRPr="00AE7913" w:rsidRDefault="003F2F76" w:rsidP="003F2F76">
            <w:pPr>
              <w:rPr>
                <w:rFonts w:eastAsiaTheme="minorHAnsi"/>
                <w:color w:val="000000"/>
                <w:sz w:val="20"/>
                <w:szCs w:val="20"/>
                <w:lang w:val="es-ES"/>
              </w:rPr>
            </w:pPr>
          </w:p>
        </w:tc>
      </w:tr>
      <w:tr w:rsidR="003F2F76" w:rsidRPr="00AE7913" w:rsidTr="00214B14">
        <w:trPr>
          <w:cantSplit/>
          <w:trHeight w:val="71"/>
        </w:trPr>
        <w:tc>
          <w:tcPr>
            <w:tcW w:w="1666" w:type="dxa"/>
            <w:vMerge w:val="restart"/>
            <w:noWrap/>
            <w:tcMar>
              <w:top w:w="0" w:type="dxa"/>
              <w:left w:w="108" w:type="dxa"/>
              <w:bottom w:w="0" w:type="dxa"/>
              <w:right w:w="108" w:type="dxa"/>
            </w:tcMar>
            <w:vAlign w:val="center"/>
            <w:hideMark/>
          </w:tcPr>
          <w:p w:rsidR="003F2F76" w:rsidRPr="00AE7913" w:rsidRDefault="003F2F76" w:rsidP="005D053E">
            <w:pPr>
              <w:keepNext/>
              <w:rPr>
                <w:color w:val="000000"/>
                <w:sz w:val="20"/>
                <w:szCs w:val="20"/>
                <w:lang w:val="es-ES"/>
              </w:rPr>
            </w:pPr>
            <w:r w:rsidRPr="00AE7913">
              <w:rPr>
                <w:color w:val="000000"/>
                <w:sz w:val="20"/>
                <w:szCs w:val="20"/>
                <w:lang w:val="es-ES"/>
              </w:rPr>
              <w:t>Segundo tramo</w:t>
            </w:r>
          </w:p>
        </w:tc>
        <w:tc>
          <w:tcPr>
            <w:tcW w:w="1701" w:type="dxa"/>
            <w:noWrap/>
            <w:tcMar>
              <w:top w:w="0" w:type="dxa"/>
              <w:left w:w="108" w:type="dxa"/>
              <w:bottom w:w="0" w:type="dxa"/>
              <w:right w:w="108" w:type="dxa"/>
            </w:tcMar>
            <w:vAlign w:val="center"/>
            <w:hideMark/>
          </w:tcPr>
          <w:p w:rsidR="003F2F76" w:rsidRPr="00AE7913" w:rsidRDefault="003F2F76" w:rsidP="005D053E">
            <w:pPr>
              <w:keepNext/>
              <w:rPr>
                <w:color w:val="000000"/>
                <w:sz w:val="20"/>
                <w:szCs w:val="20"/>
                <w:lang w:val="es-ES"/>
              </w:rPr>
            </w:pPr>
            <w:r w:rsidRPr="00AE7913">
              <w:rPr>
                <w:color w:val="000000"/>
                <w:sz w:val="20"/>
                <w:szCs w:val="20"/>
                <w:lang w:val="es-ES"/>
              </w:rPr>
              <w:t xml:space="preserve">Aprobado </w:t>
            </w:r>
          </w:p>
        </w:tc>
        <w:tc>
          <w:tcPr>
            <w:tcW w:w="1134" w:type="dxa"/>
            <w:noWrap/>
            <w:tcMar>
              <w:top w:w="0" w:type="dxa"/>
              <w:left w:w="108" w:type="dxa"/>
              <w:bottom w:w="0" w:type="dxa"/>
              <w:right w:w="108" w:type="dxa"/>
            </w:tcMar>
            <w:vAlign w:val="center"/>
            <w:hideMark/>
          </w:tcPr>
          <w:p w:rsidR="003F2F76" w:rsidRPr="00AE7913" w:rsidRDefault="003F2F76" w:rsidP="005D053E">
            <w:pPr>
              <w:keepNext/>
              <w:jc w:val="right"/>
              <w:rPr>
                <w:color w:val="000000"/>
                <w:sz w:val="20"/>
                <w:szCs w:val="20"/>
                <w:lang w:val="es-ES"/>
              </w:rPr>
            </w:pPr>
            <w:r w:rsidRPr="00AE7913">
              <w:rPr>
                <w:color w:val="000000"/>
                <w:sz w:val="20"/>
                <w:szCs w:val="20"/>
                <w:lang w:val="es-ES"/>
              </w:rPr>
              <w:t>250 000</w:t>
            </w:r>
          </w:p>
        </w:tc>
        <w:tc>
          <w:tcPr>
            <w:tcW w:w="1134" w:type="dxa"/>
            <w:tcMar>
              <w:top w:w="0" w:type="dxa"/>
              <w:left w:w="108" w:type="dxa"/>
              <w:bottom w:w="0" w:type="dxa"/>
              <w:right w:w="108" w:type="dxa"/>
            </w:tcMar>
            <w:vAlign w:val="center"/>
            <w:hideMark/>
          </w:tcPr>
          <w:p w:rsidR="003F2F76" w:rsidRPr="00AE7913" w:rsidRDefault="003F2F76" w:rsidP="005D053E">
            <w:pPr>
              <w:keepNext/>
              <w:jc w:val="right"/>
              <w:rPr>
                <w:color w:val="000000"/>
                <w:sz w:val="20"/>
                <w:szCs w:val="20"/>
                <w:lang w:val="es-ES"/>
              </w:rPr>
            </w:pPr>
            <w:r w:rsidRPr="00AE7913">
              <w:rPr>
                <w:color w:val="000000"/>
                <w:sz w:val="20"/>
                <w:szCs w:val="20"/>
                <w:lang w:val="es-ES"/>
              </w:rPr>
              <w:t>2 000 000</w:t>
            </w:r>
          </w:p>
        </w:tc>
        <w:tc>
          <w:tcPr>
            <w:tcW w:w="1275" w:type="dxa"/>
            <w:noWrap/>
            <w:tcMar>
              <w:top w:w="0" w:type="dxa"/>
              <w:left w:w="108" w:type="dxa"/>
              <w:bottom w:w="0" w:type="dxa"/>
              <w:right w:w="108" w:type="dxa"/>
            </w:tcMar>
            <w:vAlign w:val="center"/>
            <w:hideMark/>
          </w:tcPr>
          <w:p w:rsidR="003F2F76" w:rsidRPr="00AE7913" w:rsidRDefault="003F2F76" w:rsidP="005D053E">
            <w:pPr>
              <w:keepNext/>
              <w:jc w:val="right"/>
              <w:rPr>
                <w:color w:val="000000"/>
                <w:sz w:val="20"/>
                <w:szCs w:val="20"/>
                <w:lang w:val="es-ES"/>
              </w:rPr>
            </w:pPr>
            <w:r w:rsidRPr="00AE7913">
              <w:rPr>
                <w:color w:val="000000"/>
                <w:sz w:val="20"/>
                <w:szCs w:val="20"/>
                <w:lang w:val="es-ES"/>
              </w:rPr>
              <w:t>2 250 000</w:t>
            </w:r>
          </w:p>
        </w:tc>
        <w:tc>
          <w:tcPr>
            <w:tcW w:w="2443" w:type="dxa"/>
            <w:vMerge w:val="restart"/>
            <w:noWrap/>
            <w:tcMar>
              <w:top w:w="0" w:type="dxa"/>
              <w:left w:w="108" w:type="dxa"/>
              <w:bottom w:w="0" w:type="dxa"/>
              <w:right w:w="108" w:type="dxa"/>
            </w:tcMar>
            <w:vAlign w:val="center"/>
            <w:hideMark/>
          </w:tcPr>
          <w:p w:rsidR="003F2F76" w:rsidRPr="00AE7913" w:rsidRDefault="003F2F76" w:rsidP="005D053E">
            <w:pPr>
              <w:keepNext/>
              <w:jc w:val="center"/>
              <w:rPr>
                <w:color w:val="000000"/>
                <w:sz w:val="20"/>
                <w:szCs w:val="20"/>
                <w:lang w:val="es-ES"/>
              </w:rPr>
            </w:pPr>
            <w:r w:rsidRPr="00AE7913">
              <w:rPr>
                <w:color w:val="000000"/>
                <w:sz w:val="20"/>
                <w:szCs w:val="20"/>
                <w:lang w:val="es-ES"/>
              </w:rPr>
              <w:t>58</w:t>
            </w:r>
          </w:p>
        </w:tc>
      </w:tr>
      <w:tr w:rsidR="003F2F76" w:rsidRPr="00AE7913" w:rsidTr="00214B14">
        <w:trPr>
          <w:cantSplit/>
          <w:trHeight w:val="89"/>
        </w:trPr>
        <w:tc>
          <w:tcPr>
            <w:tcW w:w="1666" w:type="dxa"/>
            <w:vMerge/>
            <w:vAlign w:val="center"/>
            <w:hideMark/>
          </w:tcPr>
          <w:p w:rsidR="003F2F76" w:rsidRPr="00AE7913" w:rsidRDefault="003F2F76" w:rsidP="003F2F76">
            <w:pPr>
              <w:rPr>
                <w:rFonts w:eastAsiaTheme="minorHAnsi"/>
                <w:color w:val="000000"/>
                <w:sz w:val="20"/>
                <w:szCs w:val="20"/>
                <w:lang w:val="es-ES"/>
              </w:rPr>
            </w:pPr>
          </w:p>
        </w:tc>
        <w:tc>
          <w:tcPr>
            <w:tcW w:w="1701" w:type="dxa"/>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Desembolsado </w:t>
            </w:r>
          </w:p>
        </w:tc>
        <w:tc>
          <w:tcPr>
            <w:tcW w:w="1134"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250 000</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 xml:space="preserve">1 055 492 </w:t>
            </w:r>
          </w:p>
        </w:tc>
        <w:tc>
          <w:tcPr>
            <w:tcW w:w="1275"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 xml:space="preserve">1 305 492 </w:t>
            </w:r>
          </w:p>
        </w:tc>
        <w:tc>
          <w:tcPr>
            <w:tcW w:w="2443" w:type="dxa"/>
            <w:vMerge/>
            <w:vAlign w:val="center"/>
            <w:hideMark/>
          </w:tcPr>
          <w:p w:rsidR="003F2F76" w:rsidRPr="00AE7913" w:rsidRDefault="003F2F76" w:rsidP="003F2F76">
            <w:pPr>
              <w:rPr>
                <w:rFonts w:eastAsiaTheme="minorHAnsi"/>
                <w:color w:val="000000"/>
                <w:sz w:val="20"/>
                <w:szCs w:val="20"/>
                <w:lang w:val="es-ES"/>
              </w:rPr>
            </w:pPr>
          </w:p>
        </w:tc>
      </w:tr>
      <w:tr w:rsidR="003F2F76" w:rsidRPr="00AE7913" w:rsidTr="00214B14">
        <w:trPr>
          <w:trHeight w:val="41"/>
        </w:trPr>
        <w:tc>
          <w:tcPr>
            <w:tcW w:w="1666" w:type="dxa"/>
            <w:vMerge w:val="restart"/>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Tercer tramo</w:t>
            </w:r>
          </w:p>
        </w:tc>
        <w:tc>
          <w:tcPr>
            <w:tcW w:w="1701" w:type="dxa"/>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Aprobado </w:t>
            </w:r>
          </w:p>
        </w:tc>
        <w:tc>
          <w:tcPr>
            <w:tcW w:w="1134"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232 575</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716 400</w:t>
            </w:r>
          </w:p>
        </w:tc>
        <w:tc>
          <w:tcPr>
            <w:tcW w:w="1275"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948 975</w:t>
            </w:r>
          </w:p>
        </w:tc>
        <w:tc>
          <w:tcPr>
            <w:tcW w:w="2443" w:type="dxa"/>
            <w:vMerge w:val="restart"/>
            <w:noWrap/>
            <w:tcMar>
              <w:top w:w="0" w:type="dxa"/>
              <w:left w:w="108" w:type="dxa"/>
              <w:bottom w:w="0" w:type="dxa"/>
              <w:right w:w="108" w:type="dxa"/>
            </w:tcMar>
            <w:vAlign w:val="center"/>
            <w:hideMark/>
          </w:tcPr>
          <w:p w:rsidR="003F2F76" w:rsidRPr="00AE7913" w:rsidRDefault="003F2F76" w:rsidP="003F2F76">
            <w:pPr>
              <w:jc w:val="center"/>
              <w:rPr>
                <w:color w:val="000000"/>
                <w:sz w:val="20"/>
                <w:szCs w:val="20"/>
                <w:lang w:val="es-ES"/>
              </w:rPr>
            </w:pPr>
            <w:r w:rsidRPr="00AE7913">
              <w:rPr>
                <w:color w:val="000000"/>
                <w:sz w:val="20"/>
                <w:szCs w:val="20"/>
                <w:lang w:val="es-ES"/>
              </w:rPr>
              <w:t>6</w:t>
            </w:r>
          </w:p>
        </w:tc>
      </w:tr>
      <w:tr w:rsidR="003F2F76" w:rsidRPr="00AE7913" w:rsidTr="00214B14">
        <w:trPr>
          <w:trHeight w:val="134"/>
        </w:trPr>
        <w:tc>
          <w:tcPr>
            <w:tcW w:w="1666" w:type="dxa"/>
            <w:vMerge/>
            <w:vAlign w:val="center"/>
            <w:hideMark/>
          </w:tcPr>
          <w:p w:rsidR="003F2F76" w:rsidRPr="00AE7913" w:rsidRDefault="003F2F76" w:rsidP="003F2F76">
            <w:pPr>
              <w:rPr>
                <w:rFonts w:eastAsiaTheme="minorHAnsi"/>
                <w:color w:val="000000"/>
                <w:sz w:val="20"/>
                <w:szCs w:val="20"/>
                <w:lang w:val="es-ES"/>
              </w:rPr>
            </w:pPr>
          </w:p>
        </w:tc>
        <w:tc>
          <w:tcPr>
            <w:tcW w:w="1701" w:type="dxa"/>
            <w:noWrap/>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Desembolsado </w:t>
            </w:r>
          </w:p>
        </w:tc>
        <w:tc>
          <w:tcPr>
            <w:tcW w:w="1134"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55 818</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0</w:t>
            </w:r>
          </w:p>
        </w:tc>
        <w:tc>
          <w:tcPr>
            <w:tcW w:w="1275" w:type="dxa"/>
            <w:noWrap/>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 xml:space="preserve">55 818 </w:t>
            </w:r>
          </w:p>
        </w:tc>
        <w:tc>
          <w:tcPr>
            <w:tcW w:w="2443" w:type="dxa"/>
            <w:vMerge/>
            <w:vAlign w:val="center"/>
            <w:hideMark/>
          </w:tcPr>
          <w:p w:rsidR="003F2F76" w:rsidRPr="00AE7913" w:rsidRDefault="003F2F76" w:rsidP="003F2F76">
            <w:pPr>
              <w:rPr>
                <w:rFonts w:eastAsiaTheme="minorHAnsi"/>
                <w:color w:val="000000"/>
                <w:sz w:val="20"/>
                <w:szCs w:val="20"/>
                <w:lang w:val="es-ES"/>
              </w:rPr>
            </w:pPr>
          </w:p>
        </w:tc>
      </w:tr>
      <w:tr w:rsidR="003F2F76" w:rsidRPr="00AE7913" w:rsidTr="00214B14">
        <w:trPr>
          <w:trHeight w:val="98"/>
        </w:trPr>
        <w:tc>
          <w:tcPr>
            <w:tcW w:w="1666" w:type="dxa"/>
            <w:vMerge w:val="restart"/>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Total</w:t>
            </w:r>
          </w:p>
        </w:tc>
        <w:tc>
          <w:tcPr>
            <w:tcW w:w="1701" w:type="dxa"/>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Aprobado </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1 432 575</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4 716 400</w:t>
            </w:r>
          </w:p>
        </w:tc>
        <w:tc>
          <w:tcPr>
            <w:tcW w:w="1275"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6 148 975</w:t>
            </w:r>
          </w:p>
        </w:tc>
        <w:tc>
          <w:tcPr>
            <w:tcW w:w="2443" w:type="dxa"/>
            <w:vMerge w:val="restart"/>
            <w:noWrap/>
            <w:tcMar>
              <w:top w:w="0" w:type="dxa"/>
              <w:left w:w="108" w:type="dxa"/>
              <w:bottom w:w="0" w:type="dxa"/>
              <w:right w:w="108" w:type="dxa"/>
            </w:tcMar>
            <w:vAlign w:val="center"/>
            <w:hideMark/>
          </w:tcPr>
          <w:p w:rsidR="003F2F76" w:rsidRPr="00AE7913" w:rsidRDefault="003F2F76" w:rsidP="003F2F76">
            <w:pPr>
              <w:jc w:val="center"/>
              <w:rPr>
                <w:color w:val="000000"/>
                <w:sz w:val="20"/>
                <w:szCs w:val="20"/>
                <w:lang w:val="es-ES"/>
              </w:rPr>
            </w:pPr>
            <w:r w:rsidRPr="00AE7913">
              <w:rPr>
                <w:color w:val="000000"/>
                <w:sz w:val="20"/>
                <w:szCs w:val="20"/>
                <w:lang w:val="es-ES"/>
              </w:rPr>
              <w:t>69</w:t>
            </w:r>
          </w:p>
        </w:tc>
      </w:tr>
      <w:tr w:rsidR="003F2F76" w:rsidRPr="00AE7913" w:rsidTr="00214B14">
        <w:trPr>
          <w:trHeight w:val="125"/>
        </w:trPr>
        <w:tc>
          <w:tcPr>
            <w:tcW w:w="1666" w:type="dxa"/>
            <w:vMerge/>
            <w:vAlign w:val="center"/>
            <w:hideMark/>
          </w:tcPr>
          <w:p w:rsidR="003F2F76" w:rsidRPr="00AE7913" w:rsidRDefault="003F2F76" w:rsidP="003F2F76">
            <w:pPr>
              <w:rPr>
                <w:rFonts w:eastAsiaTheme="minorHAnsi"/>
                <w:color w:val="000000"/>
                <w:sz w:val="20"/>
                <w:szCs w:val="20"/>
                <w:lang w:val="es-ES"/>
              </w:rPr>
            </w:pPr>
          </w:p>
        </w:tc>
        <w:tc>
          <w:tcPr>
            <w:tcW w:w="1701" w:type="dxa"/>
            <w:tcMar>
              <w:top w:w="0" w:type="dxa"/>
              <w:left w:w="108" w:type="dxa"/>
              <w:bottom w:w="0" w:type="dxa"/>
              <w:right w:w="108" w:type="dxa"/>
            </w:tcMar>
            <w:vAlign w:val="center"/>
            <w:hideMark/>
          </w:tcPr>
          <w:p w:rsidR="003F2F76" w:rsidRPr="00AE7913" w:rsidRDefault="003F2F76" w:rsidP="003F2F76">
            <w:pPr>
              <w:rPr>
                <w:color w:val="000000"/>
                <w:sz w:val="20"/>
                <w:szCs w:val="20"/>
                <w:lang w:val="es-ES"/>
              </w:rPr>
            </w:pPr>
            <w:r w:rsidRPr="00AE7913">
              <w:rPr>
                <w:color w:val="000000"/>
                <w:sz w:val="20"/>
                <w:szCs w:val="20"/>
                <w:lang w:val="es-ES"/>
              </w:rPr>
              <w:t xml:space="preserve">Desembolsado </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1 255 818</w:t>
            </w:r>
          </w:p>
        </w:tc>
        <w:tc>
          <w:tcPr>
            <w:tcW w:w="1134"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3 010 120</w:t>
            </w:r>
          </w:p>
        </w:tc>
        <w:tc>
          <w:tcPr>
            <w:tcW w:w="1275" w:type="dxa"/>
            <w:tcMar>
              <w:top w:w="0" w:type="dxa"/>
              <w:left w:w="108" w:type="dxa"/>
              <w:bottom w:w="0" w:type="dxa"/>
              <w:right w:w="108" w:type="dxa"/>
            </w:tcMar>
            <w:vAlign w:val="center"/>
            <w:hideMark/>
          </w:tcPr>
          <w:p w:rsidR="003F2F76" w:rsidRPr="00AE7913" w:rsidRDefault="003F2F76" w:rsidP="003F2F76">
            <w:pPr>
              <w:jc w:val="right"/>
              <w:rPr>
                <w:color w:val="000000"/>
                <w:sz w:val="20"/>
                <w:szCs w:val="20"/>
                <w:lang w:val="es-ES"/>
              </w:rPr>
            </w:pPr>
            <w:r w:rsidRPr="00AE7913">
              <w:rPr>
                <w:color w:val="000000"/>
                <w:sz w:val="20"/>
                <w:szCs w:val="20"/>
                <w:lang w:val="es-ES"/>
              </w:rPr>
              <w:t>4 265 938</w:t>
            </w:r>
          </w:p>
        </w:tc>
        <w:tc>
          <w:tcPr>
            <w:tcW w:w="2443" w:type="dxa"/>
            <w:vMerge/>
            <w:vAlign w:val="center"/>
            <w:hideMark/>
          </w:tcPr>
          <w:p w:rsidR="003F2F76" w:rsidRPr="00AE7913" w:rsidRDefault="003F2F76" w:rsidP="003F2F76">
            <w:pPr>
              <w:rPr>
                <w:rFonts w:eastAsiaTheme="minorHAnsi"/>
                <w:color w:val="000000"/>
                <w:sz w:val="20"/>
                <w:szCs w:val="20"/>
                <w:lang w:val="es-ES"/>
              </w:rPr>
            </w:pPr>
          </w:p>
        </w:tc>
      </w:tr>
    </w:tbl>
    <w:p w:rsidR="003F2F76" w:rsidRPr="00AE7913" w:rsidRDefault="003F2F76" w:rsidP="003F2F76">
      <w:pPr>
        <w:keepNext/>
        <w:keepLines/>
        <w:rPr>
          <w:b/>
          <w:lang w:val="es-ES"/>
        </w:rPr>
      </w:pPr>
      <w:r w:rsidRPr="00AE7913">
        <w:rPr>
          <w:b/>
          <w:lang w:val="es-ES"/>
        </w:rPr>
        <w:lastRenderedPageBreak/>
        <w:t>Observaciones de la Secretaría</w:t>
      </w:r>
    </w:p>
    <w:p w:rsidR="003F2F76" w:rsidRPr="00AE7913" w:rsidRDefault="003F2F76" w:rsidP="003F2F76">
      <w:pPr>
        <w:keepNext/>
        <w:keepLines/>
        <w:rPr>
          <w:lang w:val="es-ES"/>
        </w:rPr>
      </w:pPr>
    </w:p>
    <w:p w:rsidR="003F2F76" w:rsidRPr="00AE7913" w:rsidRDefault="003F2F76" w:rsidP="003F2F76">
      <w:pPr>
        <w:rPr>
          <w:u w:val="single"/>
          <w:lang w:val="es-ES"/>
        </w:rPr>
      </w:pPr>
      <w:r w:rsidRPr="00AE7913">
        <w:rPr>
          <w:u w:val="single"/>
          <w:lang w:val="es-ES"/>
        </w:rPr>
        <w:t xml:space="preserve">Observaciones sobre el informe anual sobre la etapa I del PGEH </w:t>
      </w:r>
    </w:p>
    <w:p w:rsidR="003F2F76" w:rsidRPr="00AE7913" w:rsidRDefault="003F2F76" w:rsidP="003F2F76">
      <w:pPr>
        <w:rPr>
          <w:lang w:val="es-ES"/>
        </w:rPr>
      </w:pPr>
    </w:p>
    <w:p w:rsidR="003F2F76" w:rsidRPr="00AE7913" w:rsidRDefault="003F2F76" w:rsidP="003F2F76">
      <w:pPr>
        <w:rPr>
          <w:i/>
          <w:lang w:val="es-ES"/>
        </w:rPr>
      </w:pPr>
      <w:r w:rsidRPr="00AE7913">
        <w:rPr>
          <w:i/>
          <w:lang w:val="es-ES"/>
        </w:rPr>
        <w:t>Marco jurídico</w:t>
      </w:r>
    </w:p>
    <w:p w:rsidR="003F2F76" w:rsidRPr="00AE7913" w:rsidRDefault="003F2F76" w:rsidP="003F2F76">
      <w:pPr>
        <w:rPr>
          <w:i/>
          <w:lang w:val="es-ES"/>
        </w:rPr>
      </w:pPr>
    </w:p>
    <w:p w:rsidR="003F2F76" w:rsidRPr="00AE7913" w:rsidRDefault="003F2F76" w:rsidP="003F2F76">
      <w:pPr>
        <w:pStyle w:val="Heading1"/>
        <w:rPr>
          <w:lang w:val="es-ES"/>
        </w:rPr>
      </w:pPr>
      <w:r w:rsidRPr="00AE7913">
        <w:rPr>
          <w:lang w:val="es-ES"/>
        </w:rPr>
        <w:t xml:space="preserve">El Gobierno de Egipto ha expedido los cupos de importación de HCFC para 2019, para 289,7 toneladas PAO, una cifra inferior a los objetivos de control del Protocolo de Montreal y conforme a los objetivos establecido en el Acuerdo entre el país y el Comité Ejecutivo. </w:t>
      </w:r>
    </w:p>
    <w:p w:rsidR="003F2F76" w:rsidRPr="00AE7913" w:rsidRDefault="003F2F76" w:rsidP="003F2F76">
      <w:pPr>
        <w:rPr>
          <w:i/>
          <w:lang w:val="es-ES"/>
        </w:rPr>
      </w:pPr>
      <w:r w:rsidRPr="00AE7913">
        <w:rPr>
          <w:i/>
          <w:lang w:val="es-ES"/>
        </w:rPr>
        <w:t>Informe sobre la situación del uso de la tecnología provisional</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Aunque los tres proveedores de sistemas han facilitado exitosamente la conversión de las empresas transformadoras clientes a alternativas de bajo PCA, como agua, HFO y MF, los proveedores de sistemas también producen sistemas de alto PCA, que venden a empresas transformadoras clientes diferentes de aquellas que recibieron asistencia dentro del proyecto. A fin de garantizar el uso sostenido de alternativas de bajo PCA en las empresas transformadoras clientes después de la terminación del proyecto, el procedimiento del protocolo de traspaso del PNUD no permitirá que los proveedores de sistemas usen alternativas de alto PCA en las empresas transformadoras clientes que participaron en el proyecto</w:t>
      </w:r>
      <w:r w:rsidR="00E71452">
        <w:rPr>
          <w:lang w:val="es-ES"/>
        </w:rPr>
        <w:t xml:space="preserve">. </w:t>
      </w:r>
    </w:p>
    <w:p w:rsidR="003F2F76" w:rsidRPr="00AE7913" w:rsidRDefault="003F2F76" w:rsidP="003F2F76">
      <w:pPr>
        <w:keepNext/>
        <w:keepLines/>
        <w:rPr>
          <w:i/>
          <w:lang w:val="es-ES"/>
        </w:rPr>
      </w:pPr>
      <w:r w:rsidRPr="00AE7913">
        <w:rPr>
          <w:i/>
          <w:lang w:val="es-ES"/>
        </w:rPr>
        <w:t xml:space="preserve">Actividades de apoyo en el sector de refrigeración y aire acondicionado </w:t>
      </w:r>
    </w:p>
    <w:p w:rsidR="003F2F76" w:rsidRPr="00AE7913" w:rsidRDefault="003F2F76" w:rsidP="003F2F76">
      <w:pPr>
        <w:keepNext/>
        <w:keepLines/>
        <w:rPr>
          <w:lang w:val="es-ES"/>
        </w:rPr>
      </w:pPr>
    </w:p>
    <w:p w:rsidR="003F2F76" w:rsidRPr="00AE7913" w:rsidRDefault="003F2F76" w:rsidP="003F2F76">
      <w:pPr>
        <w:pStyle w:val="Heading1"/>
        <w:keepNext/>
        <w:keepLines/>
        <w:rPr>
          <w:lang w:val="es-ES"/>
        </w:rPr>
      </w:pPr>
      <w:r w:rsidRPr="00AE7913">
        <w:rPr>
          <w:lang w:val="es-ES"/>
        </w:rPr>
        <w:t xml:space="preserve">La Secretaría tomó nota con aprecio del exhaustivo informe del programa EGYPRA. Aunque se han completado las pruebas de las unidades divididas, se requiere más tiempo para completar las pruebas para las unidades centrales, que ya se han construido, para redactar el informe final, que se presentará a la 86ª reunión y para completar el trabajo relacionado con una herramienta de modelización que pueden usar los fabricantes locales. Por consiguiente, la ONUDI solicitó la prórroga de la fecha de terminación para la etapa I del PGEH hasta el 30 de junio de 2020, señalando que todos los demás componentes de la etapa I se habrían terminado a más tardar el 31 de diciembre de 2019, que el informe de terminación de proyecto se presentaría a la 87ª reunión y que la ONUDI devolvería todos los saldos a más tardar el 30 de junio de 2020, mientras que el PNUD devolvería los saldos a más tardar el 31 de diciembre de 2020 (en consonancia con la fecha de terminación financiera para el sector de espumas de PU). </w:t>
      </w:r>
    </w:p>
    <w:p w:rsidR="003F2F76" w:rsidRPr="00AE7913" w:rsidRDefault="003F2F76" w:rsidP="003F2F76">
      <w:pPr>
        <w:pStyle w:val="Heading1"/>
        <w:rPr>
          <w:lang w:val="es-ES"/>
        </w:rPr>
      </w:pPr>
      <w:r w:rsidRPr="00AE7913">
        <w:rPr>
          <w:lang w:val="es-ES"/>
        </w:rPr>
        <w:t>Considerando su importancia para la selección de alternativas de bajo PCA en el sector de fabricación de equipos de A/A, se adjuntan al presente documento el resumen del informe del EGYPRA preparado por la Secretaría, así como el informe en sí mismo. Las conclusiones del EGYPRA fundamentaron de manera directa la selección de tecnología para el proyecto destinado a la conversión de seis fabricantes de equipos de A/A residencial a alternativas de bajo PCA que se presenta a esta reunión, de conformidad con la decisión 79/34 d). El informe final, cuando esté disponible, se agregará al sitio web del Fondo Multilateral</w:t>
      </w:r>
      <w:r w:rsidRPr="00AE7913">
        <w:rPr>
          <w:rStyle w:val="FootnoteReference"/>
          <w:lang w:val="es-ES"/>
        </w:rPr>
        <w:footnoteReference w:id="6"/>
      </w:r>
      <w:r w:rsidRPr="00AE7913">
        <w:rPr>
          <w:lang w:val="es-ES"/>
        </w:rPr>
        <w:t>.</w:t>
      </w:r>
    </w:p>
    <w:p w:rsidR="003F2F76" w:rsidRPr="00AE7913" w:rsidRDefault="003F2F76" w:rsidP="003F2F76">
      <w:pPr>
        <w:pStyle w:val="Heading1"/>
        <w:rPr>
          <w:lang w:val="es-ES"/>
        </w:rPr>
      </w:pPr>
      <w:r w:rsidRPr="00AE7913">
        <w:rPr>
          <w:lang w:val="es-ES"/>
        </w:rPr>
        <w:t>La Secretaría pidió que se aclarase si los resultados y conclusiones del programa EGYPRA fueron los mismos que los de otros programas de prueba con los que se probaron de forma similar alternativas de bajo PCA en el sector de fabricación de equipos de A/A, tales como los proyectos de demostración financiados por el Fondo Multilateral. El EGYPRA no se comparó con el informe final sobre el proyecto de demostración en los fabricantes de A/A para desarrollar unidades de aire acondicionado de ventana y autocontenidas que usan refrigerantes con bajo PCA en la Arabia Saudita ni con el informe final sobre el proyecto de demostración para la eliminación del HC</w:t>
      </w:r>
      <w:r w:rsidR="0013300C">
        <w:rPr>
          <w:lang w:val="es-ES"/>
        </w:rPr>
        <w:t>FC</w:t>
      </w:r>
      <w:r w:rsidR="0013300C">
        <w:rPr>
          <w:lang w:val="es-ES"/>
        </w:rPr>
        <w:noBreakHyphen/>
      </w:r>
      <w:r w:rsidRPr="00AE7913">
        <w:rPr>
          <w:lang w:val="es-ES"/>
        </w:rPr>
        <w:t xml:space="preserve">22 en la fabricación de equipos de aire acondicionado comercial en Industrias Thermotar Ltda. en Colombia; sin embargo, se </w:t>
      </w:r>
      <w:r w:rsidRPr="00AE7913">
        <w:rPr>
          <w:lang w:val="es-ES"/>
        </w:rPr>
        <w:lastRenderedPageBreak/>
        <w:t>comparó con tres programas de prueba: AREP</w:t>
      </w:r>
      <w:r w:rsidRPr="00AE7913">
        <w:rPr>
          <w:lang w:val="es-ES"/>
        </w:rPr>
        <w:noBreakHyphen/>
        <w:t>II,</w:t>
      </w:r>
      <w:r w:rsidRPr="00AE7913">
        <w:rPr>
          <w:rStyle w:val="FootnoteReference"/>
          <w:lang w:val="es-ES"/>
        </w:rPr>
        <w:footnoteReference w:id="7"/>
      </w:r>
      <w:r w:rsidRPr="00AE7913">
        <w:rPr>
          <w:lang w:val="es-ES"/>
        </w:rPr>
        <w:t xml:space="preserve"> ORNL</w:t>
      </w:r>
      <w:r w:rsidRPr="00AE7913">
        <w:rPr>
          <w:rStyle w:val="FootnoteReference"/>
          <w:lang w:val="es-ES"/>
        </w:rPr>
        <w:footnoteReference w:id="8"/>
      </w:r>
      <w:r w:rsidRPr="00AE7913">
        <w:rPr>
          <w:lang w:val="es-ES"/>
        </w:rPr>
        <w:t xml:space="preserve"> y PRAHA.</w:t>
      </w:r>
      <w:r w:rsidRPr="00AE7913">
        <w:rPr>
          <w:rStyle w:val="FootnoteReference"/>
          <w:lang w:val="es-ES"/>
        </w:rPr>
        <w:footnoteReference w:id="9"/>
      </w:r>
      <w:r w:rsidRPr="00AE7913">
        <w:rPr>
          <w:lang w:val="es-ES"/>
        </w:rPr>
        <w:t xml:space="preserve"> En el Anexo I del presente documento se incluye una descripción de las características distintivas del EGYPRA y una comparación con los tres programas de prueba.</w:t>
      </w:r>
    </w:p>
    <w:p w:rsidR="003F2F76" w:rsidRPr="00AE7913" w:rsidRDefault="003F2F76" w:rsidP="003F2F76">
      <w:pPr>
        <w:pStyle w:val="Heading1"/>
        <w:numPr>
          <w:ilvl w:val="0"/>
          <w:numId w:val="0"/>
        </w:numPr>
        <w:rPr>
          <w:u w:val="single"/>
          <w:lang w:val="es-ES"/>
        </w:rPr>
      </w:pPr>
      <w:r w:rsidRPr="00AE7913">
        <w:rPr>
          <w:u w:val="single"/>
          <w:lang w:val="es-ES"/>
        </w:rPr>
        <w:t xml:space="preserve">Conclusión </w:t>
      </w:r>
    </w:p>
    <w:p w:rsidR="003F2F76" w:rsidRPr="00AE7913" w:rsidRDefault="003F2F76" w:rsidP="003F2F76">
      <w:pPr>
        <w:pStyle w:val="Heading1"/>
        <w:rPr>
          <w:lang w:val="es-ES"/>
        </w:rPr>
      </w:pPr>
      <w:r w:rsidRPr="00AE7913">
        <w:rPr>
          <w:lang w:val="es-ES"/>
        </w:rPr>
        <w:t>El Gobierno está aplicando un sistema de concesión de licencias y cupos para la importación y exportación de HCFC y el consumo de 2018 es inferior a los objetivos de control del Protocolo de Montreal y aquellos establecidos en el Acuerdo con el Comité Ejecutivo. La prohibición de la importación de HC</w:t>
      </w:r>
      <w:r w:rsidR="0013300C">
        <w:rPr>
          <w:lang w:val="es-ES"/>
        </w:rPr>
        <w:t>FC</w:t>
      </w:r>
      <w:r w:rsidR="0013300C">
        <w:rPr>
          <w:lang w:val="es-ES"/>
        </w:rPr>
        <w:noBreakHyphen/>
      </w:r>
      <w:r w:rsidRPr="00AE7913">
        <w:rPr>
          <w:lang w:val="es-ES"/>
        </w:rPr>
        <w:t>141b en polioles premezclados está en vigor desde el 1 de enero de 2018 y la prohibición de la importación, el uso y la exportación de HC</w:t>
      </w:r>
      <w:r w:rsidR="0013300C">
        <w:rPr>
          <w:lang w:val="es-ES"/>
        </w:rPr>
        <w:t>FC</w:t>
      </w:r>
      <w:r w:rsidR="0013300C">
        <w:rPr>
          <w:lang w:val="es-ES"/>
        </w:rPr>
        <w:noBreakHyphen/>
      </w:r>
      <w:r w:rsidRPr="00AE7913">
        <w:rPr>
          <w:lang w:val="es-ES"/>
        </w:rPr>
        <w:t>141b a granel y la exportación de HC</w:t>
      </w:r>
      <w:r w:rsidR="0013300C">
        <w:rPr>
          <w:lang w:val="es-ES"/>
        </w:rPr>
        <w:t>FC</w:t>
      </w:r>
      <w:r w:rsidR="0013300C">
        <w:rPr>
          <w:lang w:val="es-ES"/>
        </w:rPr>
        <w:noBreakHyphen/>
      </w:r>
      <w:r w:rsidRPr="00AE7913">
        <w:rPr>
          <w:lang w:val="es-ES"/>
        </w:rPr>
        <w:t>141b contenido en polioles premezclados se establecerá a más tardar el 1 de enero de 2020. La relación de desembolso general es del 69%. Las actividades de asistencia técnica en el sector de refrigeración y aire acondicionado se están ejecutando exitosamente, y se han construido prototipos de A/A doméstico y comercial, aunque se requiere un plazo adicional para probar las unidades de A/A centrales, que ya se han construido; por lo tanto, se requiere una prórroga hasta el 30 de junio de 2020. Los tres proveedores de sistemas han facilitado exitosamente la conversión de las empresas transformadoras clientes a alternativas de bajo PCA y en el sector de espumas se completará la conversión a más tardar el 31 de diciembre de 2019</w:t>
      </w:r>
      <w:r w:rsidR="00E71452">
        <w:rPr>
          <w:lang w:val="es-ES"/>
        </w:rPr>
        <w:t xml:space="preserve">. </w:t>
      </w:r>
    </w:p>
    <w:p w:rsidR="003F2F76" w:rsidRPr="00AE7913" w:rsidRDefault="003F2F76" w:rsidP="003F2F76">
      <w:pPr>
        <w:keepNext/>
        <w:keepLines/>
        <w:rPr>
          <w:b/>
          <w:lang w:val="es-ES"/>
        </w:rPr>
      </w:pPr>
      <w:r w:rsidRPr="00AE7913">
        <w:rPr>
          <w:b/>
          <w:lang w:val="es-ES"/>
        </w:rPr>
        <w:t>Recomendación de la Secretaría</w:t>
      </w:r>
    </w:p>
    <w:p w:rsidR="003F2F76" w:rsidRPr="00AE7913" w:rsidRDefault="003F2F76" w:rsidP="003F2F76">
      <w:pPr>
        <w:keepNext/>
        <w:keepLines/>
        <w:rPr>
          <w:lang w:val="es-ES"/>
        </w:rPr>
      </w:pPr>
    </w:p>
    <w:p w:rsidR="003F2F76" w:rsidRPr="00AE7913" w:rsidRDefault="003F2F76" w:rsidP="003F2F76">
      <w:pPr>
        <w:pStyle w:val="Heading1"/>
        <w:keepNext/>
        <w:keepLines/>
        <w:rPr>
          <w:lang w:val="es-ES"/>
        </w:rPr>
      </w:pPr>
      <w:r w:rsidRPr="00AE7913">
        <w:rPr>
          <w:lang w:val="es-ES"/>
        </w:rPr>
        <w:t>El Comité Ejecutivo tal vez desee:</w:t>
      </w:r>
    </w:p>
    <w:p w:rsidR="003F2F76" w:rsidRPr="00AE7913" w:rsidRDefault="003F2F76" w:rsidP="003F2F76">
      <w:pPr>
        <w:pStyle w:val="Heading2"/>
        <w:keepNext/>
        <w:keepLines/>
        <w:widowControl/>
        <w:tabs>
          <w:tab w:val="num" w:pos="557"/>
        </w:tabs>
        <w:rPr>
          <w:lang w:val="es-ES"/>
        </w:rPr>
      </w:pPr>
      <w:r w:rsidRPr="00AE7913">
        <w:rPr>
          <w:lang w:val="es-ES"/>
        </w:rPr>
        <w:t>Tomar nota de los documentos siguientes preparados por la ONUDI, que figuran en el documento UNEP/OzL.Pro/ExCom/84/49:</w:t>
      </w:r>
    </w:p>
    <w:p w:rsidR="003F2F76" w:rsidRPr="00AE7913" w:rsidRDefault="003F2F76" w:rsidP="003F2F76">
      <w:pPr>
        <w:pStyle w:val="Heading3"/>
        <w:widowControl/>
        <w:rPr>
          <w:lang w:val="es-ES"/>
        </w:rPr>
      </w:pPr>
      <w:r w:rsidRPr="00AE7913">
        <w:rPr>
          <w:lang w:val="es-ES"/>
        </w:rPr>
        <w:t>Informe sobre la marcha de las actividades relativo a la ejecución del tercer tramo de la etapa I del plan de gestión de eliminación de HCFC (PGEH) para Egipto;</w:t>
      </w:r>
    </w:p>
    <w:p w:rsidR="003F2F76" w:rsidRPr="00AE7913" w:rsidRDefault="003F2F76" w:rsidP="003F2F76">
      <w:pPr>
        <w:pStyle w:val="Heading3"/>
        <w:widowControl/>
        <w:rPr>
          <w:lang w:val="es-ES"/>
        </w:rPr>
      </w:pPr>
      <w:r w:rsidRPr="00AE7913">
        <w:rPr>
          <w:lang w:val="es-ES"/>
        </w:rPr>
        <w:t>Informe sobre el proyecto para la promoción de refrigerantes de bajo potencial de calentamiento atmosférico para la industria del aire acondicionado en Egipto (EGYPRA);</w:t>
      </w:r>
    </w:p>
    <w:p w:rsidR="003F2F76" w:rsidRPr="00AE7913" w:rsidRDefault="003F2F76" w:rsidP="003F2F76">
      <w:pPr>
        <w:pStyle w:val="Heading3"/>
        <w:widowControl/>
        <w:rPr>
          <w:lang w:val="es-ES"/>
        </w:rPr>
      </w:pPr>
      <w:r w:rsidRPr="00AE7913">
        <w:rPr>
          <w:lang w:val="es-ES"/>
        </w:rPr>
        <w:t xml:space="preserve">Informe sobre la situación de la conversión de los proveedores de sistemas, las 81 empresas pequeñas y medianas y los 350 microusuarios, </w:t>
      </w:r>
      <w:r w:rsidR="00EB6346">
        <w:rPr>
          <w:lang w:val="es-ES"/>
        </w:rPr>
        <w:t>e</w:t>
      </w:r>
      <w:r w:rsidRPr="00AE7913">
        <w:rPr>
          <w:lang w:val="es-ES"/>
        </w:rPr>
        <w:t xml:space="preserve"> informe sobre el uso de la tecnología provisional;</w:t>
      </w:r>
    </w:p>
    <w:p w:rsidR="003F2F76" w:rsidRPr="00AE7913" w:rsidRDefault="003F2F76" w:rsidP="003F2F76">
      <w:pPr>
        <w:pStyle w:val="Heading2"/>
        <w:widowControl/>
        <w:rPr>
          <w:lang w:val="es-ES"/>
        </w:rPr>
      </w:pPr>
      <w:r w:rsidRPr="00AE7913">
        <w:rPr>
          <w:lang w:val="es-ES"/>
        </w:rPr>
        <w:t xml:space="preserve">Tomar nota de que todas las actividades para la etapa I del plan de gestión de eliminación de HCFC para Egipto se terminarán a más tardar el 31 de diciembre de 2019 y de que los saldos restantes que hubiera se devolverán a más tardar el 31 de diciembre de 2020, excepto para el componente de la ONUDI para el sector de servicio y mantenimiento, que se terminará a más tardar el 30 de junio de 2020; </w:t>
      </w:r>
    </w:p>
    <w:p w:rsidR="003F2F76" w:rsidRPr="00AE7913" w:rsidRDefault="003F2F76" w:rsidP="003F2F76">
      <w:pPr>
        <w:pStyle w:val="Heading2"/>
        <w:widowControl/>
        <w:rPr>
          <w:lang w:val="es-ES"/>
        </w:rPr>
      </w:pPr>
      <w:r w:rsidRPr="00AE7913">
        <w:rPr>
          <w:lang w:val="es-ES"/>
        </w:rPr>
        <w:lastRenderedPageBreak/>
        <w:t xml:space="preserve">Aprobar la prórroga de la etapa I hasta el 30 de junio de 2020 a fin de permitir que se terminen las actividades señaladas en el apartado b); </w:t>
      </w:r>
    </w:p>
    <w:p w:rsidR="003F2F76" w:rsidRPr="00AE7913" w:rsidRDefault="003F2F76" w:rsidP="003F2F76">
      <w:pPr>
        <w:pStyle w:val="Heading2"/>
        <w:widowControl/>
        <w:rPr>
          <w:lang w:val="es-ES"/>
        </w:rPr>
      </w:pPr>
      <w:r w:rsidRPr="00AE7913">
        <w:rPr>
          <w:lang w:val="es-ES"/>
        </w:rPr>
        <w:t>Pedir al Gobierno de Egipto y la ONUDI que presenten el informe final sobre el EGYPRA a la 86ª reunión; y</w:t>
      </w:r>
    </w:p>
    <w:p w:rsidR="003F2F76" w:rsidRPr="00AE7913" w:rsidRDefault="003F2F76" w:rsidP="003F2F76">
      <w:pPr>
        <w:pStyle w:val="Heading2"/>
        <w:widowControl/>
        <w:rPr>
          <w:lang w:val="es-ES"/>
        </w:rPr>
      </w:pPr>
      <w:r w:rsidRPr="00AE7913">
        <w:rPr>
          <w:lang w:val="es-ES"/>
        </w:rPr>
        <w:t xml:space="preserve">Pedir al Gobierno de Egipto y la ONUDI que presenten anualmente informes sobre la marcha de las actividades en relación con la ejecución del programa de trabajo relacionado con el último tramo de la etapa I, hasta la terminación del proyecto, y el informe de terminación de proyecto a la 87ª reunión. </w:t>
      </w:r>
    </w:p>
    <w:p w:rsidR="003F2F76" w:rsidRPr="00AE7913" w:rsidRDefault="003F2F76" w:rsidP="003F2F76">
      <w:pPr>
        <w:jc w:val="left"/>
        <w:rPr>
          <w:b/>
          <w:lang w:val="es-ES"/>
        </w:rPr>
      </w:pPr>
    </w:p>
    <w:p w:rsidR="003F2F76" w:rsidRPr="00AE7913" w:rsidRDefault="003F2F76" w:rsidP="003F2F76">
      <w:pPr>
        <w:jc w:val="left"/>
        <w:rPr>
          <w:b/>
          <w:lang w:val="es-ES"/>
        </w:rPr>
      </w:pPr>
      <w:r w:rsidRPr="00AE7913">
        <w:rPr>
          <w:lang w:val="es-ES"/>
        </w:rPr>
        <w:br w:type="page"/>
      </w:r>
    </w:p>
    <w:p w:rsidR="003F2F76" w:rsidRPr="00AE7913" w:rsidRDefault="003F2F76" w:rsidP="003F2F76">
      <w:pPr>
        <w:jc w:val="center"/>
        <w:rPr>
          <w:b/>
          <w:lang w:val="es-ES"/>
        </w:rPr>
      </w:pPr>
    </w:p>
    <w:p w:rsidR="003F2F76" w:rsidRPr="00AE7913" w:rsidRDefault="003F2F76" w:rsidP="003F2F76">
      <w:pPr>
        <w:jc w:val="center"/>
        <w:rPr>
          <w:b/>
          <w:lang w:val="es-ES"/>
        </w:rPr>
      </w:pPr>
    </w:p>
    <w:p w:rsidR="003F2F76" w:rsidRPr="00AE7913" w:rsidRDefault="003F2F76" w:rsidP="003F2F76">
      <w:pPr>
        <w:jc w:val="center"/>
        <w:rPr>
          <w:b/>
          <w:lang w:val="es-ES"/>
        </w:rPr>
      </w:pPr>
      <w:r w:rsidRPr="00AE7913">
        <w:rPr>
          <w:b/>
          <w:lang w:val="es-ES"/>
        </w:rPr>
        <w:t>HOJA DE EVALUACIÓN DE PROYECTO – PROYECTOS PLURIANUALES</w:t>
      </w:r>
    </w:p>
    <w:p w:rsidR="003F2F76" w:rsidRPr="00AE7913" w:rsidRDefault="003F2F76" w:rsidP="003F2F76">
      <w:pPr>
        <w:jc w:val="center"/>
        <w:rPr>
          <w:lang w:val="es-ES"/>
        </w:rPr>
      </w:pPr>
    </w:p>
    <w:p w:rsidR="003F2F76" w:rsidRPr="00AE7913" w:rsidRDefault="003F2F76" w:rsidP="003F2F76">
      <w:pPr>
        <w:jc w:val="center"/>
        <w:rPr>
          <w:b/>
          <w:lang w:val="es-ES"/>
        </w:rPr>
      </w:pPr>
      <w:r w:rsidRPr="00AE7913">
        <w:rPr>
          <w:b/>
          <w:lang w:val="es-ES"/>
        </w:rPr>
        <w:t>Egipto</w:t>
      </w:r>
    </w:p>
    <w:p w:rsidR="003F2F76" w:rsidRPr="00AE7913" w:rsidRDefault="003F2F76" w:rsidP="003F2F76">
      <w:pPr>
        <w:spacing w:after="80"/>
        <w:jc w:val="center"/>
        <w:rPr>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00"/>
        <w:gridCol w:w="5000"/>
      </w:tblGrid>
      <w:tr w:rsidR="003F2F76" w:rsidRPr="00AE7913" w:rsidTr="003F2F76">
        <w:trPr>
          <w:trHeight w:val="240"/>
          <w:jc w:val="center"/>
        </w:trPr>
        <w:tc>
          <w:tcPr>
            <w:tcW w:w="4788" w:type="dxa"/>
            <w:shd w:val="clear" w:color="auto" w:fill="auto"/>
          </w:tcPr>
          <w:p w:rsidR="003F2F76" w:rsidRPr="00AE7913" w:rsidRDefault="003F2F76" w:rsidP="003F2F76">
            <w:pPr>
              <w:spacing w:after="80"/>
              <w:jc w:val="left"/>
              <w:rPr>
                <w:b/>
                <w:sz w:val="18"/>
                <w:szCs w:val="18"/>
                <w:lang w:val="es-ES"/>
              </w:rPr>
            </w:pPr>
            <w:r w:rsidRPr="00AE7913">
              <w:rPr>
                <w:b/>
                <w:sz w:val="18"/>
                <w:szCs w:val="18"/>
                <w:lang w:val="es-ES"/>
              </w:rPr>
              <w:t>I) TÍTULO DEL PROYECTO</w:t>
            </w:r>
          </w:p>
        </w:tc>
        <w:tc>
          <w:tcPr>
            <w:tcW w:w="4788" w:type="dxa"/>
            <w:shd w:val="clear" w:color="auto" w:fill="auto"/>
          </w:tcPr>
          <w:p w:rsidR="003F2F76" w:rsidRPr="00AE7913" w:rsidRDefault="003F2F76" w:rsidP="003F2F76">
            <w:pPr>
              <w:spacing w:after="80"/>
              <w:jc w:val="center"/>
              <w:rPr>
                <w:b/>
                <w:sz w:val="18"/>
                <w:szCs w:val="18"/>
                <w:lang w:val="es-ES"/>
              </w:rPr>
            </w:pPr>
            <w:r w:rsidRPr="00AE7913">
              <w:rPr>
                <w:b/>
                <w:sz w:val="18"/>
                <w:szCs w:val="18"/>
                <w:lang w:val="es-ES"/>
              </w:rPr>
              <w:t>ORGANISMO</w:t>
            </w:r>
          </w:p>
        </w:tc>
      </w:tr>
      <w:tr w:rsidR="003F2F76" w:rsidRPr="00702B6C" w:rsidTr="003F2F76">
        <w:trPr>
          <w:trHeight w:val="240"/>
          <w:jc w:val="center"/>
        </w:trPr>
        <w:tc>
          <w:tcPr>
            <w:tcW w:w="4788" w:type="dxa"/>
            <w:shd w:val="clear" w:color="auto" w:fill="auto"/>
          </w:tcPr>
          <w:p w:rsidR="003F2F76" w:rsidRPr="00AE7913" w:rsidRDefault="003F2F76" w:rsidP="003F2F76">
            <w:pPr>
              <w:spacing w:after="80"/>
              <w:jc w:val="center"/>
              <w:rPr>
                <w:sz w:val="18"/>
                <w:szCs w:val="18"/>
                <w:lang w:val="es-ES"/>
              </w:rPr>
            </w:pPr>
            <w:r w:rsidRPr="00AE7913">
              <w:rPr>
                <w:sz w:val="18"/>
                <w:szCs w:val="18"/>
                <w:lang w:val="es-ES"/>
              </w:rPr>
              <w:t>Plan de gestión de eliminación de HCFC (Etapa II)</w:t>
            </w:r>
          </w:p>
        </w:tc>
        <w:tc>
          <w:tcPr>
            <w:tcW w:w="4788" w:type="dxa"/>
            <w:shd w:val="clear" w:color="auto" w:fill="auto"/>
          </w:tcPr>
          <w:p w:rsidR="003F2F76" w:rsidRPr="00AE7913" w:rsidRDefault="003F2F76" w:rsidP="003F2F76">
            <w:pPr>
              <w:spacing w:after="80"/>
              <w:jc w:val="center"/>
              <w:rPr>
                <w:sz w:val="18"/>
                <w:szCs w:val="18"/>
                <w:lang w:val="es-ES"/>
              </w:rPr>
            </w:pPr>
            <w:r w:rsidRPr="00AE7913">
              <w:rPr>
                <w:sz w:val="18"/>
                <w:lang w:val="es-ES"/>
              </w:rPr>
              <w:t>ONUDI (Principal), PNUD, PNUMA, Alemania</w:t>
            </w:r>
          </w:p>
        </w:tc>
      </w:tr>
    </w:tbl>
    <w:p w:rsidR="003F2F76" w:rsidRPr="00AE7913" w:rsidRDefault="003F2F76" w:rsidP="003F2F76">
      <w:pPr>
        <w:spacing w:after="60"/>
        <w:jc w:val="center"/>
        <w:rPr>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F2F76" w:rsidRPr="00AE7913" w:rsidTr="003F2F76">
        <w:trPr>
          <w:trHeight w:val="240"/>
          <w:jc w:val="center"/>
        </w:trPr>
        <w:tc>
          <w:tcPr>
            <w:tcW w:w="5200" w:type="dxa"/>
            <w:shd w:val="clear" w:color="auto" w:fill="auto"/>
          </w:tcPr>
          <w:p w:rsidR="003F2F76" w:rsidRPr="00AE7913" w:rsidRDefault="003F2F76" w:rsidP="003F2F76">
            <w:pPr>
              <w:spacing w:after="60"/>
              <w:jc w:val="left"/>
              <w:rPr>
                <w:b/>
                <w:sz w:val="18"/>
                <w:lang w:val="es-ES"/>
              </w:rPr>
            </w:pPr>
            <w:r w:rsidRPr="00AE7913">
              <w:rPr>
                <w:b/>
                <w:sz w:val="18"/>
                <w:lang w:val="es-ES"/>
              </w:rPr>
              <w:t>II) DATOS MÁS RECIENTES CON ARREGLO AL ARTÍCULO 7 (Anexo C, Grupo l)</w:t>
            </w:r>
          </w:p>
        </w:tc>
        <w:tc>
          <w:tcPr>
            <w:tcW w:w="2400" w:type="dxa"/>
            <w:shd w:val="clear" w:color="auto" w:fill="auto"/>
          </w:tcPr>
          <w:p w:rsidR="003F2F76" w:rsidRPr="00AE7913" w:rsidRDefault="003F2F76" w:rsidP="003F2F76">
            <w:pPr>
              <w:spacing w:after="60"/>
              <w:jc w:val="center"/>
              <w:rPr>
                <w:sz w:val="18"/>
                <w:lang w:val="es-ES"/>
              </w:rPr>
            </w:pPr>
            <w:r w:rsidRPr="00AE7913">
              <w:rPr>
                <w:sz w:val="18"/>
                <w:lang w:val="es-ES"/>
              </w:rPr>
              <w:t>Año: 2018</w:t>
            </w:r>
          </w:p>
        </w:tc>
        <w:tc>
          <w:tcPr>
            <w:tcW w:w="2400" w:type="dxa"/>
            <w:shd w:val="clear" w:color="auto" w:fill="auto"/>
          </w:tcPr>
          <w:p w:rsidR="003F2F76" w:rsidRPr="00AE7913" w:rsidRDefault="003F2F76" w:rsidP="003F2F76">
            <w:pPr>
              <w:spacing w:after="60"/>
              <w:jc w:val="right"/>
              <w:rPr>
                <w:sz w:val="18"/>
                <w:lang w:val="es-ES"/>
              </w:rPr>
            </w:pPr>
            <w:r w:rsidRPr="00AE7913">
              <w:rPr>
                <w:sz w:val="18"/>
                <w:lang w:val="es-ES"/>
              </w:rPr>
              <w:t>287,45 (toneladas PAO)</w:t>
            </w:r>
          </w:p>
        </w:tc>
      </w:tr>
    </w:tbl>
    <w:p w:rsidR="003F2F76" w:rsidRPr="00AE7913" w:rsidRDefault="003F2F76" w:rsidP="003F2F76">
      <w:pPr>
        <w:spacing w:after="60"/>
        <w:jc w:val="center"/>
        <w:rPr>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6"/>
        <w:gridCol w:w="936"/>
        <w:gridCol w:w="866"/>
        <w:gridCol w:w="999"/>
        <w:gridCol w:w="1066"/>
        <w:gridCol w:w="1369"/>
        <w:gridCol w:w="1066"/>
        <w:gridCol w:w="926"/>
        <w:gridCol w:w="556"/>
        <w:gridCol w:w="1010"/>
      </w:tblGrid>
      <w:tr w:rsidR="003F2F76" w:rsidRPr="00AE7913" w:rsidTr="003F2F76">
        <w:trPr>
          <w:trHeight w:val="240"/>
          <w:jc w:val="center"/>
        </w:trPr>
        <w:tc>
          <w:tcPr>
            <w:tcW w:w="0" w:type="auto"/>
            <w:gridSpan w:val="8"/>
            <w:shd w:val="clear" w:color="auto" w:fill="auto"/>
          </w:tcPr>
          <w:p w:rsidR="003F2F76" w:rsidRPr="00AE7913" w:rsidRDefault="003F2F76" w:rsidP="003F2F76">
            <w:pPr>
              <w:spacing w:after="60"/>
              <w:jc w:val="left"/>
              <w:rPr>
                <w:b/>
                <w:sz w:val="18"/>
                <w:lang w:val="es-ES"/>
              </w:rPr>
            </w:pPr>
            <w:r w:rsidRPr="00AE7913">
              <w:rPr>
                <w:b/>
                <w:sz w:val="18"/>
                <w:lang w:val="es-ES"/>
              </w:rPr>
              <w:t>III) DATOS SECTORIALES DEL PROGRAMA DE PAÍS MÁS RECIENTES (toneladas PAO)</w:t>
            </w:r>
          </w:p>
        </w:tc>
        <w:tc>
          <w:tcPr>
            <w:tcW w:w="0" w:type="auto"/>
            <w:gridSpan w:val="2"/>
            <w:shd w:val="clear" w:color="auto" w:fill="auto"/>
          </w:tcPr>
          <w:p w:rsidR="003F2F76" w:rsidRPr="00AE7913" w:rsidRDefault="003F2F76" w:rsidP="003F2F76">
            <w:pPr>
              <w:spacing w:after="60"/>
              <w:jc w:val="right"/>
              <w:rPr>
                <w:b/>
                <w:sz w:val="18"/>
                <w:lang w:val="es-ES"/>
              </w:rPr>
            </w:pPr>
            <w:r w:rsidRPr="00AE7913">
              <w:rPr>
                <w:b/>
                <w:sz w:val="18"/>
                <w:lang w:val="es-ES"/>
              </w:rPr>
              <w:t>Año: 2018</w:t>
            </w:r>
          </w:p>
        </w:tc>
      </w:tr>
      <w:tr w:rsidR="003F2F76" w:rsidRPr="00AE7913" w:rsidTr="003F2F76">
        <w:trPr>
          <w:trHeight w:val="240"/>
          <w:jc w:val="center"/>
        </w:trPr>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Sustancia química</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Aerosoles</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Espumas</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Lucha contra incendios</w:t>
            </w:r>
          </w:p>
        </w:tc>
        <w:tc>
          <w:tcPr>
            <w:tcW w:w="0" w:type="auto"/>
            <w:gridSpan w:val="2"/>
            <w:shd w:val="clear" w:color="auto" w:fill="auto"/>
          </w:tcPr>
          <w:p w:rsidR="003F2F76" w:rsidRPr="00AE7913" w:rsidRDefault="003F2F76" w:rsidP="003F2F76">
            <w:pPr>
              <w:spacing w:after="60"/>
              <w:jc w:val="center"/>
              <w:rPr>
                <w:sz w:val="18"/>
                <w:lang w:val="es-ES"/>
              </w:rPr>
            </w:pPr>
            <w:r w:rsidRPr="00AE7913">
              <w:rPr>
                <w:sz w:val="18"/>
                <w:lang w:val="es-ES"/>
              </w:rPr>
              <w:t>Refrigeración</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Disolventes</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Agentes de procesos</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Uso en lab.</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Consumo total del sector</w:t>
            </w:r>
          </w:p>
        </w:tc>
      </w:tr>
      <w:tr w:rsidR="003F2F76" w:rsidRPr="00AE7913" w:rsidTr="003F2F76">
        <w:trPr>
          <w:trHeight w:val="240"/>
          <w:jc w:val="center"/>
        </w:trPr>
        <w:tc>
          <w:tcPr>
            <w:tcW w:w="0" w:type="auto"/>
            <w:gridSpan w:val="4"/>
            <w:shd w:val="clear" w:color="auto" w:fill="auto"/>
          </w:tcPr>
          <w:p w:rsidR="003F2F76" w:rsidRPr="00AE7913" w:rsidRDefault="003F2F76" w:rsidP="003F2F76">
            <w:pPr>
              <w:spacing w:after="60"/>
              <w:jc w:val="center"/>
              <w:rPr>
                <w:sz w:val="18"/>
                <w:lang w:val="es-ES"/>
              </w:rPr>
            </w:pPr>
            <w:r w:rsidRPr="00AE7913">
              <w:rPr>
                <w:sz w:val="18"/>
                <w:lang w:val="es-ES"/>
              </w:rPr>
              <w:t xml:space="preserve"> </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Fabricación</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Servicio y mantenimiento</w:t>
            </w:r>
          </w:p>
        </w:tc>
        <w:tc>
          <w:tcPr>
            <w:tcW w:w="0" w:type="auto"/>
            <w:gridSpan w:val="4"/>
            <w:shd w:val="clear" w:color="auto" w:fill="auto"/>
          </w:tcPr>
          <w:p w:rsidR="003F2F76" w:rsidRPr="00AE7913" w:rsidRDefault="003F2F76" w:rsidP="003F2F76">
            <w:pPr>
              <w:spacing w:after="60"/>
              <w:jc w:val="center"/>
              <w:rPr>
                <w:sz w:val="18"/>
                <w:lang w:val="es-ES"/>
              </w:rPr>
            </w:pPr>
          </w:p>
        </w:tc>
      </w:tr>
      <w:tr w:rsidR="003F2F76" w:rsidRPr="00AE7913" w:rsidTr="003F2F76">
        <w:trPr>
          <w:trHeight w:val="240"/>
          <w:jc w:val="center"/>
        </w:trPr>
        <w:tc>
          <w:tcPr>
            <w:tcW w:w="1200" w:type="dxa"/>
            <w:tcBorders>
              <w:bottom w:val="single" w:sz="4" w:space="0" w:color="5F497A" w:themeColor="accent4" w:themeShade="BF"/>
            </w:tcBorders>
            <w:shd w:val="clear" w:color="auto" w:fill="auto"/>
          </w:tcPr>
          <w:p w:rsidR="003F2F76" w:rsidRPr="00AE7913" w:rsidRDefault="003F2F76" w:rsidP="003F2F76">
            <w:pPr>
              <w:spacing w:after="60"/>
              <w:jc w:val="left"/>
              <w:rPr>
                <w:sz w:val="18"/>
                <w:lang w:val="es-ES"/>
              </w:rPr>
            </w:pPr>
            <w:r w:rsidRPr="00AE7913">
              <w:rPr>
                <w:sz w:val="18"/>
                <w:lang w:val="es-ES"/>
              </w:rPr>
              <w:t>HC</w:t>
            </w:r>
            <w:r w:rsidR="0013300C">
              <w:rPr>
                <w:sz w:val="18"/>
                <w:lang w:val="es-ES"/>
              </w:rPr>
              <w:t>FC</w:t>
            </w:r>
            <w:r w:rsidR="0013300C">
              <w:rPr>
                <w:sz w:val="18"/>
                <w:lang w:val="es-ES"/>
              </w:rPr>
              <w:noBreakHyphen/>
            </w:r>
            <w:r w:rsidRPr="00AE7913">
              <w:rPr>
                <w:sz w:val="18"/>
                <w:lang w:val="es-ES"/>
              </w:rPr>
              <w:t>22</w:t>
            </w: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r w:rsidRPr="00AE7913">
              <w:rPr>
                <w:sz w:val="18"/>
                <w:lang w:val="es-ES"/>
              </w:rPr>
              <w:t>32,19</w:t>
            </w: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r w:rsidRPr="00AE7913">
              <w:rPr>
                <w:sz w:val="18"/>
                <w:lang w:val="es-ES"/>
              </w:rPr>
              <w:t>85,83</w:t>
            </w: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r w:rsidRPr="00AE7913">
              <w:rPr>
                <w:sz w:val="18"/>
                <w:lang w:val="es-ES"/>
              </w:rPr>
              <w:t>97,54</w:t>
            </w: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p>
        </w:tc>
        <w:tc>
          <w:tcPr>
            <w:tcW w:w="0" w:type="auto"/>
            <w:tcBorders>
              <w:bottom w:val="single" w:sz="4" w:space="0" w:color="5F497A" w:themeColor="accent4" w:themeShade="BF"/>
            </w:tcBorders>
            <w:shd w:val="clear" w:color="auto" w:fill="auto"/>
          </w:tcPr>
          <w:p w:rsidR="003F2F76" w:rsidRPr="00AE7913" w:rsidRDefault="003F2F76" w:rsidP="003F2F76">
            <w:pPr>
              <w:spacing w:after="60"/>
              <w:jc w:val="right"/>
              <w:rPr>
                <w:sz w:val="18"/>
                <w:lang w:val="es-ES"/>
              </w:rPr>
            </w:pPr>
            <w:r w:rsidRPr="00AE7913">
              <w:rPr>
                <w:sz w:val="18"/>
                <w:lang w:val="es-ES"/>
              </w:rPr>
              <w:t>215,57</w:t>
            </w:r>
          </w:p>
        </w:tc>
      </w:tr>
      <w:tr w:rsidR="003F2F76" w:rsidRPr="00AE7913" w:rsidTr="003F2F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left"/>
              <w:rPr>
                <w:sz w:val="18"/>
                <w:lang w:val="es-ES"/>
              </w:rPr>
            </w:pPr>
            <w:r w:rsidRPr="00AE7913">
              <w:rPr>
                <w:sz w:val="18"/>
                <w:lang w:val="es-ES"/>
              </w:rPr>
              <w:t>HC</w:t>
            </w:r>
            <w:r w:rsidR="0013300C">
              <w:rPr>
                <w:sz w:val="18"/>
                <w:lang w:val="es-ES"/>
              </w:rPr>
              <w:t>FC</w:t>
            </w:r>
            <w:r w:rsidR="0013300C">
              <w:rPr>
                <w:sz w:val="18"/>
                <w:lang w:val="es-ES"/>
              </w:rPr>
              <w:noBreakHyphen/>
            </w:r>
            <w:r w:rsidRPr="00AE7913">
              <w:rPr>
                <w:sz w:val="18"/>
                <w:lang w:val="es-ES"/>
              </w:rPr>
              <w:t>123</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0,04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bottom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0,04</w:t>
            </w:r>
          </w:p>
        </w:tc>
      </w:tr>
      <w:tr w:rsidR="003F2F76" w:rsidRPr="00AE7913" w:rsidTr="003F2F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left"/>
              <w:rPr>
                <w:sz w:val="18"/>
                <w:lang w:val="es-ES"/>
              </w:rPr>
            </w:pPr>
            <w:r w:rsidRPr="00AE7913">
              <w:rPr>
                <w:sz w:val="18"/>
                <w:lang w:val="es-ES"/>
              </w:rPr>
              <w:t>HC</w:t>
            </w:r>
            <w:r w:rsidR="0013300C">
              <w:rPr>
                <w:sz w:val="18"/>
                <w:lang w:val="es-ES"/>
              </w:rPr>
              <w:t>FC</w:t>
            </w:r>
            <w:r w:rsidR="0013300C">
              <w:rPr>
                <w:sz w:val="18"/>
                <w:lang w:val="es-ES"/>
              </w:rPr>
              <w:noBreakHyphen/>
            </w:r>
            <w:r w:rsidRPr="00AE7913">
              <w:rPr>
                <w:sz w:val="18"/>
                <w:lang w:val="es-ES"/>
              </w:rPr>
              <w:t>141b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69,24</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69,24</w:t>
            </w:r>
          </w:p>
        </w:tc>
      </w:tr>
      <w:tr w:rsidR="003F2F76" w:rsidRPr="00AE7913" w:rsidTr="003F2F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left"/>
              <w:rPr>
                <w:sz w:val="18"/>
                <w:lang w:val="es-ES"/>
              </w:rPr>
            </w:pPr>
            <w:r w:rsidRPr="00AE7913">
              <w:rPr>
                <w:sz w:val="18"/>
                <w:lang w:val="es-ES"/>
              </w:rPr>
              <w:t>HC</w:t>
            </w:r>
            <w:r w:rsidR="0013300C">
              <w:rPr>
                <w:sz w:val="18"/>
                <w:lang w:val="es-ES"/>
              </w:rPr>
              <w:t>FC</w:t>
            </w:r>
            <w:r w:rsidR="0013300C">
              <w:rPr>
                <w:sz w:val="18"/>
                <w:lang w:val="es-ES"/>
              </w:rPr>
              <w:noBreakHyphen/>
            </w:r>
            <w:r w:rsidRPr="00AE7913">
              <w:rPr>
                <w:sz w:val="18"/>
                <w:lang w:val="es-ES"/>
              </w:rPr>
              <w:t>142b</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2,60</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2,60</w:t>
            </w:r>
          </w:p>
        </w:tc>
      </w:tr>
      <w:tr w:rsidR="003F2F76" w:rsidRPr="00AE7913" w:rsidTr="003F2F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left"/>
              <w:rPr>
                <w:sz w:val="18"/>
                <w:lang w:val="es-ES"/>
              </w:rPr>
            </w:pPr>
            <w:r w:rsidRPr="00AE7913">
              <w:rPr>
                <w:sz w:val="18"/>
                <w:lang w:val="es-ES"/>
              </w:rPr>
              <w:t>HC</w:t>
            </w:r>
            <w:r w:rsidR="0013300C">
              <w:rPr>
                <w:sz w:val="18"/>
                <w:lang w:val="es-ES"/>
              </w:rPr>
              <w:t>FC</w:t>
            </w:r>
            <w:r w:rsidR="0013300C">
              <w:rPr>
                <w:sz w:val="18"/>
                <w:lang w:val="es-ES"/>
              </w:rPr>
              <w:noBreakHyphen/>
            </w:r>
            <w:r w:rsidRPr="00AE7913">
              <w:rPr>
                <w:sz w:val="18"/>
                <w:lang w:val="es-ES"/>
              </w:rPr>
              <w:t>141b en polioles premezclados importados</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0</w:t>
            </w: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p>
        </w:tc>
        <w:tc>
          <w:tcPr>
            <w:tcW w:w="0" w:type="auto"/>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rsidR="003F2F76" w:rsidRPr="00AE7913" w:rsidRDefault="003F2F76" w:rsidP="003F2F76">
            <w:pPr>
              <w:spacing w:after="60"/>
              <w:jc w:val="right"/>
              <w:rPr>
                <w:sz w:val="18"/>
                <w:lang w:val="es-ES"/>
              </w:rPr>
            </w:pPr>
            <w:r w:rsidRPr="00AE7913">
              <w:rPr>
                <w:sz w:val="18"/>
                <w:lang w:val="es-ES"/>
              </w:rPr>
              <w:t>0</w:t>
            </w:r>
          </w:p>
        </w:tc>
      </w:tr>
    </w:tbl>
    <w:p w:rsidR="003F2F76" w:rsidRPr="00AE7913" w:rsidRDefault="003F2F76" w:rsidP="003F2F76">
      <w:pPr>
        <w:spacing w:after="60"/>
        <w:rPr>
          <w:lang w:val="es-ES"/>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55"/>
        <w:gridCol w:w="851"/>
        <w:gridCol w:w="5543"/>
        <w:gridCol w:w="851"/>
      </w:tblGrid>
      <w:tr w:rsidR="003F2F76" w:rsidRPr="00702B6C" w:rsidTr="003F2F76">
        <w:trPr>
          <w:trHeight w:val="240"/>
          <w:jc w:val="center"/>
        </w:trPr>
        <w:tc>
          <w:tcPr>
            <w:tcW w:w="0" w:type="auto"/>
            <w:gridSpan w:val="4"/>
            <w:shd w:val="clear" w:color="auto" w:fill="auto"/>
          </w:tcPr>
          <w:p w:rsidR="003F2F76" w:rsidRPr="00AE7913" w:rsidRDefault="003F2F76" w:rsidP="003F2F76">
            <w:pPr>
              <w:spacing w:after="60"/>
              <w:jc w:val="left"/>
              <w:rPr>
                <w:b/>
                <w:sz w:val="18"/>
                <w:lang w:val="es-ES"/>
              </w:rPr>
            </w:pPr>
            <w:r w:rsidRPr="00AE7913">
              <w:rPr>
                <w:b/>
                <w:sz w:val="18"/>
                <w:lang w:val="es-ES"/>
              </w:rPr>
              <w:t>IV) DATOS SOBRE EL CONSUMO (toneladas PAO)</w:t>
            </w:r>
          </w:p>
        </w:tc>
      </w:tr>
      <w:tr w:rsidR="003F2F76" w:rsidRPr="00AE7913" w:rsidTr="003F2F76">
        <w:trPr>
          <w:trHeight w:val="240"/>
          <w:jc w:val="center"/>
        </w:trPr>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Nivel básico de 2009 - 2010:</w:t>
            </w:r>
          </w:p>
        </w:tc>
        <w:tc>
          <w:tcPr>
            <w:tcW w:w="0" w:type="auto"/>
            <w:shd w:val="clear" w:color="auto" w:fill="auto"/>
          </w:tcPr>
          <w:p w:rsidR="003F2F76" w:rsidRPr="00AE7913" w:rsidRDefault="003F2F76" w:rsidP="003F2F76">
            <w:pPr>
              <w:spacing w:after="60"/>
              <w:jc w:val="right"/>
              <w:rPr>
                <w:sz w:val="18"/>
                <w:lang w:val="es-ES"/>
              </w:rPr>
            </w:pPr>
            <w:r w:rsidRPr="00AE7913">
              <w:rPr>
                <w:sz w:val="18"/>
                <w:lang w:val="es-ES"/>
              </w:rPr>
              <w:t>386,3</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Punto de partida para las reducciones acumuladas sostenidas:</w:t>
            </w:r>
          </w:p>
        </w:tc>
        <w:tc>
          <w:tcPr>
            <w:tcW w:w="0" w:type="auto"/>
            <w:shd w:val="clear" w:color="auto" w:fill="auto"/>
          </w:tcPr>
          <w:p w:rsidR="003F2F76" w:rsidRPr="00AE7913" w:rsidRDefault="003F2F76" w:rsidP="003F2F76">
            <w:pPr>
              <w:spacing w:after="60"/>
              <w:jc w:val="right"/>
              <w:rPr>
                <w:sz w:val="18"/>
                <w:lang w:val="es-ES"/>
              </w:rPr>
            </w:pPr>
            <w:r w:rsidRPr="00AE7913">
              <w:rPr>
                <w:sz w:val="18"/>
                <w:lang w:val="es-ES"/>
              </w:rPr>
              <w:t>484,61</w:t>
            </w:r>
          </w:p>
        </w:tc>
      </w:tr>
      <w:tr w:rsidR="003F2F76" w:rsidRPr="00702B6C" w:rsidTr="003F2F76">
        <w:trPr>
          <w:trHeight w:val="240"/>
          <w:jc w:val="center"/>
        </w:trPr>
        <w:tc>
          <w:tcPr>
            <w:tcW w:w="0" w:type="auto"/>
            <w:gridSpan w:val="4"/>
            <w:shd w:val="clear" w:color="auto" w:fill="auto"/>
          </w:tcPr>
          <w:p w:rsidR="003F2F76" w:rsidRPr="00AE7913" w:rsidRDefault="003F2F76" w:rsidP="003F2F76">
            <w:pPr>
              <w:spacing w:after="60"/>
              <w:jc w:val="center"/>
              <w:rPr>
                <w:b/>
                <w:sz w:val="18"/>
                <w:lang w:val="es-ES"/>
              </w:rPr>
            </w:pPr>
            <w:r w:rsidRPr="00AE7913">
              <w:rPr>
                <w:b/>
                <w:sz w:val="18"/>
                <w:lang w:val="es-ES"/>
              </w:rPr>
              <w:t>CONSUMO ADMISIBLE PARA LA FINANCIACIÓN (toneladas PAO)</w:t>
            </w:r>
          </w:p>
        </w:tc>
      </w:tr>
      <w:tr w:rsidR="003F2F76" w:rsidRPr="00AE7913" w:rsidTr="003F2F76">
        <w:trPr>
          <w:trHeight w:val="240"/>
          <w:jc w:val="center"/>
        </w:trPr>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Ya aprobado:</w:t>
            </w:r>
          </w:p>
        </w:tc>
        <w:tc>
          <w:tcPr>
            <w:tcW w:w="0" w:type="auto"/>
            <w:shd w:val="clear" w:color="auto" w:fill="auto"/>
          </w:tcPr>
          <w:p w:rsidR="003F2F76" w:rsidRPr="00AE7913" w:rsidRDefault="003F2F76" w:rsidP="003F2F76">
            <w:pPr>
              <w:spacing w:after="60"/>
              <w:jc w:val="right"/>
              <w:rPr>
                <w:sz w:val="18"/>
                <w:lang w:val="es-ES"/>
              </w:rPr>
            </w:pPr>
            <w:r w:rsidRPr="00AE7913">
              <w:rPr>
                <w:sz w:val="18"/>
                <w:lang w:val="es-ES"/>
              </w:rPr>
              <w:t>174,00</w:t>
            </w:r>
          </w:p>
        </w:tc>
        <w:tc>
          <w:tcPr>
            <w:tcW w:w="0" w:type="auto"/>
            <w:shd w:val="clear" w:color="auto" w:fill="auto"/>
          </w:tcPr>
          <w:p w:rsidR="003F2F76" w:rsidRPr="00AE7913" w:rsidRDefault="003F2F76" w:rsidP="003F2F76">
            <w:pPr>
              <w:spacing w:after="60"/>
              <w:jc w:val="center"/>
              <w:rPr>
                <w:sz w:val="18"/>
                <w:lang w:val="es-ES"/>
              </w:rPr>
            </w:pPr>
            <w:r w:rsidRPr="00AE7913">
              <w:rPr>
                <w:sz w:val="18"/>
                <w:lang w:val="es-ES"/>
              </w:rPr>
              <w:t>Restante:</w:t>
            </w:r>
          </w:p>
        </w:tc>
        <w:tc>
          <w:tcPr>
            <w:tcW w:w="0" w:type="auto"/>
            <w:shd w:val="clear" w:color="auto" w:fill="auto"/>
          </w:tcPr>
          <w:p w:rsidR="003F2F76" w:rsidRPr="00AE7913" w:rsidRDefault="003F2F76" w:rsidP="003F2F76">
            <w:pPr>
              <w:spacing w:after="60"/>
              <w:jc w:val="right"/>
              <w:rPr>
                <w:sz w:val="18"/>
                <w:lang w:val="es-ES"/>
              </w:rPr>
            </w:pPr>
            <w:r w:rsidRPr="00AE7913">
              <w:rPr>
                <w:sz w:val="18"/>
                <w:lang w:val="es-ES"/>
              </w:rPr>
              <w:t>310,61</w:t>
            </w:r>
          </w:p>
        </w:tc>
      </w:tr>
    </w:tbl>
    <w:p w:rsidR="003F2F76" w:rsidRPr="00AE7913" w:rsidRDefault="003F2F76" w:rsidP="003F2F76">
      <w:pPr>
        <w:spacing w:after="60"/>
        <w:jc w:val="center"/>
        <w:rPr>
          <w:lang w:val="es-ES"/>
        </w:rPr>
      </w:pPr>
    </w:p>
    <w:tbl>
      <w:tblPr>
        <w:tblStyle w:val="TableGrid"/>
        <w:tblW w:w="99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28"/>
        <w:gridCol w:w="2430"/>
        <w:gridCol w:w="1165"/>
        <w:gridCol w:w="1165"/>
        <w:gridCol w:w="1166"/>
        <w:gridCol w:w="1165"/>
        <w:gridCol w:w="1166"/>
      </w:tblGrid>
      <w:tr w:rsidR="003F2F76" w:rsidRPr="00AE7913" w:rsidTr="003F2F76">
        <w:trPr>
          <w:trHeight w:val="240"/>
          <w:jc w:val="center"/>
        </w:trPr>
        <w:tc>
          <w:tcPr>
            <w:tcW w:w="4158" w:type="dxa"/>
            <w:gridSpan w:val="2"/>
            <w:shd w:val="clear" w:color="auto" w:fill="auto"/>
          </w:tcPr>
          <w:p w:rsidR="003F2F76" w:rsidRPr="00AE7913" w:rsidRDefault="003F2F76" w:rsidP="003F2F76">
            <w:pPr>
              <w:spacing w:after="60"/>
              <w:jc w:val="left"/>
              <w:rPr>
                <w:b/>
                <w:sz w:val="18"/>
                <w:lang w:val="es-ES"/>
              </w:rPr>
            </w:pPr>
            <w:r w:rsidRPr="00AE7913">
              <w:rPr>
                <w:b/>
                <w:sz w:val="18"/>
                <w:lang w:val="es-ES"/>
              </w:rPr>
              <w:t>V) PLAN ADMINISTRATIVO</w:t>
            </w:r>
          </w:p>
        </w:tc>
        <w:tc>
          <w:tcPr>
            <w:tcW w:w="1165" w:type="dxa"/>
            <w:shd w:val="clear" w:color="auto" w:fill="auto"/>
          </w:tcPr>
          <w:p w:rsidR="003F2F76" w:rsidRPr="00AE7913" w:rsidRDefault="003F2F76" w:rsidP="003F2F76">
            <w:pPr>
              <w:spacing w:after="60"/>
              <w:jc w:val="center"/>
              <w:rPr>
                <w:b/>
                <w:sz w:val="18"/>
                <w:lang w:val="es-ES"/>
              </w:rPr>
            </w:pPr>
            <w:r w:rsidRPr="00AE7913">
              <w:rPr>
                <w:b/>
                <w:sz w:val="18"/>
                <w:lang w:val="es-ES"/>
              </w:rPr>
              <w:t>2019</w:t>
            </w:r>
          </w:p>
        </w:tc>
        <w:tc>
          <w:tcPr>
            <w:tcW w:w="1165" w:type="dxa"/>
            <w:shd w:val="clear" w:color="auto" w:fill="auto"/>
          </w:tcPr>
          <w:p w:rsidR="003F2F76" w:rsidRPr="00AE7913" w:rsidRDefault="003F2F76" w:rsidP="003F2F76">
            <w:pPr>
              <w:spacing w:after="60"/>
              <w:jc w:val="center"/>
              <w:rPr>
                <w:b/>
                <w:sz w:val="18"/>
                <w:lang w:val="es-ES"/>
              </w:rPr>
            </w:pPr>
            <w:r w:rsidRPr="00AE7913">
              <w:rPr>
                <w:b/>
                <w:sz w:val="18"/>
                <w:lang w:val="es-ES"/>
              </w:rPr>
              <w:t>2020</w:t>
            </w:r>
          </w:p>
        </w:tc>
        <w:tc>
          <w:tcPr>
            <w:tcW w:w="1166" w:type="dxa"/>
            <w:shd w:val="clear" w:color="auto" w:fill="auto"/>
          </w:tcPr>
          <w:p w:rsidR="003F2F76" w:rsidRPr="00AE7913" w:rsidRDefault="003F2F76" w:rsidP="003F2F76">
            <w:pPr>
              <w:spacing w:after="60"/>
              <w:jc w:val="center"/>
              <w:rPr>
                <w:b/>
                <w:sz w:val="18"/>
                <w:lang w:val="es-ES"/>
              </w:rPr>
            </w:pPr>
            <w:r w:rsidRPr="00AE7913">
              <w:rPr>
                <w:b/>
                <w:sz w:val="18"/>
                <w:lang w:val="es-ES"/>
              </w:rPr>
              <w:t>2021</w:t>
            </w:r>
          </w:p>
        </w:tc>
        <w:tc>
          <w:tcPr>
            <w:tcW w:w="1165" w:type="dxa"/>
            <w:shd w:val="clear" w:color="auto" w:fill="auto"/>
          </w:tcPr>
          <w:p w:rsidR="003F2F76" w:rsidRPr="00AE7913" w:rsidRDefault="003F2F76" w:rsidP="003F2F76">
            <w:pPr>
              <w:spacing w:after="60"/>
              <w:jc w:val="center"/>
              <w:rPr>
                <w:b/>
                <w:sz w:val="18"/>
                <w:lang w:val="es-ES"/>
              </w:rPr>
            </w:pPr>
            <w:r w:rsidRPr="00AE7913">
              <w:rPr>
                <w:b/>
                <w:sz w:val="18"/>
                <w:lang w:val="es-ES"/>
              </w:rPr>
              <w:t>Después de 2021</w:t>
            </w:r>
          </w:p>
        </w:tc>
        <w:tc>
          <w:tcPr>
            <w:tcW w:w="1166" w:type="dxa"/>
            <w:shd w:val="clear" w:color="auto" w:fill="auto"/>
          </w:tcPr>
          <w:p w:rsidR="003F2F76" w:rsidRPr="00AE7913" w:rsidRDefault="003F2F76" w:rsidP="003F2F76">
            <w:pPr>
              <w:spacing w:after="60"/>
              <w:jc w:val="center"/>
              <w:rPr>
                <w:b/>
                <w:sz w:val="18"/>
                <w:lang w:val="es-ES"/>
              </w:rPr>
            </w:pPr>
            <w:r w:rsidRPr="00AE7913">
              <w:rPr>
                <w:b/>
                <w:sz w:val="18"/>
                <w:lang w:val="es-ES"/>
              </w:rPr>
              <w:t>Total</w:t>
            </w:r>
          </w:p>
        </w:tc>
      </w:tr>
      <w:tr w:rsidR="003F2F76" w:rsidRPr="00AE7913" w:rsidTr="003F2F76">
        <w:trPr>
          <w:trHeight w:val="240"/>
          <w:jc w:val="center"/>
        </w:trPr>
        <w:tc>
          <w:tcPr>
            <w:tcW w:w="1728" w:type="dxa"/>
            <w:vMerge w:val="restart"/>
            <w:shd w:val="clear" w:color="auto" w:fill="auto"/>
          </w:tcPr>
          <w:p w:rsidR="003F2F76" w:rsidRPr="00AE7913" w:rsidRDefault="003F2F76" w:rsidP="003F2F76">
            <w:pPr>
              <w:spacing w:after="60"/>
              <w:jc w:val="center"/>
              <w:rPr>
                <w:sz w:val="18"/>
                <w:lang w:val="es-ES"/>
              </w:rPr>
            </w:pPr>
            <w:r w:rsidRPr="00AE7913">
              <w:rPr>
                <w:sz w:val="18"/>
                <w:lang w:val="es-ES"/>
              </w:rPr>
              <w:t>ONUDI</w:t>
            </w: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Eliminación de SAO (toneladas PAO)</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10,13</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12,54</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12,75</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35,42</w:t>
            </w:r>
            <w:r w:rsidRPr="00AE7913">
              <w:rPr>
                <w:sz w:val="18"/>
                <w:lang w:val="es-ES"/>
              </w:rPr>
              <w:fldChar w:fldCharType="end"/>
            </w:r>
          </w:p>
        </w:tc>
      </w:tr>
      <w:tr w:rsidR="003F2F76" w:rsidRPr="00AE7913" w:rsidTr="003F2F76">
        <w:trPr>
          <w:trHeight w:val="240"/>
          <w:jc w:val="center"/>
        </w:trPr>
        <w:tc>
          <w:tcPr>
            <w:tcW w:w="1728" w:type="dxa"/>
            <w:vMerge/>
            <w:shd w:val="clear" w:color="auto" w:fill="auto"/>
          </w:tcPr>
          <w:p w:rsidR="003F2F76" w:rsidRPr="00AE7913" w:rsidRDefault="003F2F76" w:rsidP="003F2F76">
            <w:pPr>
              <w:spacing w:after="60"/>
              <w:jc w:val="center"/>
              <w:rPr>
                <w:sz w:val="18"/>
                <w:lang w:val="es-ES"/>
              </w:rPr>
            </w:pP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Financiación ($EUA)</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807 850</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1 000 450</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1 016 714</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2 825 014</w:t>
            </w:r>
            <w:r w:rsidRPr="00AE7913">
              <w:rPr>
                <w:sz w:val="18"/>
                <w:lang w:val="es-ES"/>
              </w:rPr>
              <w:fldChar w:fldCharType="end"/>
            </w:r>
          </w:p>
        </w:tc>
      </w:tr>
      <w:tr w:rsidR="003F2F76" w:rsidRPr="00AE7913" w:rsidTr="003F2F76">
        <w:trPr>
          <w:trHeight w:val="240"/>
          <w:jc w:val="center"/>
        </w:trPr>
        <w:tc>
          <w:tcPr>
            <w:tcW w:w="1728" w:type="dxa"/>
            <w:vMerge w:val="restart"/>
            <w:shd w:val="clear" w:color="auto" w:fill="auto"/>
          </w:tcPr>
          <w:p w:rsidR="003F2F76" w:rsidRPr="00AE7913" w:rsidRDefault="003F2F76" w:rsidP="003F2F76">
            <w:pPr>
              <w:spacing w:after="60"/>
              <w:jc w:val="center"/>
              <w:rPr>
                <w:sz w:val="18"/>
                <w:lang w:val="es-ES"/>
              </w:rPr>
            </w:pPr>
            <w:r w:rsidRPr="00AE7913">
              <w:rPr>
                <w:sz w:val="18"/>
                <w:lang w:val="es-ES"/>
              </w:rPr>
              <w:t>PNUD</w:t>
            </w: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Eliminación de SAO (toneladas PAO)</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24,62</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10,96</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35,58</w:t>
            </w:r>
            <w:r w:rsidRPr="00AE7913">
              <w:rPr>
                <w:sz w:val="18"/>
                <w:lang w:val="es-ES"/>
              </w:rPr>
              <w:fldChar w:fldCharType="end"/>
            </w:r>
          </w:p>
        </w:tc>
      </w:tr>
      <w:tr w:rsidR="003F2F76" w:rsidRPr="00AE7913" w:rsidTr="003F2F76">
        <w:trPr>
          <w:trHeight w:val="240"/>
          <w:jc w:val="center"/>
        </w:trPr>
        <w:tc>
          <w:tcPr>
            <w:tcW w:w="1728" w:type="dxa"/>
            <w:vMerge/>
            <w:shd w:val="clear" w:color="auto" w:fill="auto"/>
          </w:tcPr>
          <w:p w:rsidR="003F2F76" w:rsidRPr="00AE7913" w:rsidRDefault="003F2F76" w:rsidP="003F2F76">
            <w:pPr>
              <w:spacing w:after="60"/>
              <w:jc w:val="center"/>
              <w:rPr>
                <w:sz w:val="18"/>
                <w:lang w:val="es-ES"/>
              </w:rPr>
            </w:pP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Financiación ($EUA)</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1 965 323</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873 783</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2 839 106</w:t>
            </w:r>
            <w:r w:rsidRPr="00AE7913">
              <w:rPr>
                <w:sz w:val="18"/>
                <w:lang w:val="es-ES"/>
              </w:rPr>
              <w:fldChar w:fldCharType="end"/>
            </w:r>
          </w:p>
        </w:tc>
      </w:tr>
      <w:tr w:rsidR="003F2F76" w:rsidRPr="00AE7913" w:rsidTr="003F2F76">
        <w:trPr>
          <w:trHeight w:val="240"/>
          <w:jc w:val="center"/>
        </w:trPr>
        <w:tc>
          <w:tcPr>
            <w:tcW w:w="1728" w:type="dxa"/>
            <w:vMerge w:val="restart"/>
            <w:shd w:val="clear" w:color="auto" w:fill="auto"/>
          </w:tcPr>
          <w:p w:rsidR="003F2F76" w:rsidRPr="00AE7913" w:rsidRDefault="003F2F76" w:rsidP="003F2F76">
            <w:pPr>
              <w:spacing w:after="60"/>
              <w:jc w:val="center"/>
              <w:rPr>
                <w:sz w:val="18"/>
                <w:lang w:val="es-ES"/>
              </w:rPr>
            </w:pPr>
            <w:r w:rsidRPr="00AE7913">
              <w:rPr>
                <w:sz w:val="18"/>
                <w:lang w:val="es-ES"/>
              </w:rPr>
              <w:t>PNUMA</w:t>
            </w: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Eliminación de SAO (toneladas PAO)</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3,75</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3,49</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3,83</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11,07</w:t>
            </w:r>
            <w:r w:rsidRPr="00AE7913">
              <w:rPr>
                <w:sz w:val="18"/>
                <w:lang w:val="es-ES"/>
              </w:rPr>
              <w:fldChar w:fldCharType="end"/>
            </w:r>
          </w:p>
        </w:tc>
      </w:tr>
      <w:tr w:rsidR="003F2F76" w:rsidRPr="00AE7913" w:rsidTr="003F2F76">
        <w:trPr>
          <w:trHeight w:val="240"/>
          <w:jc w:val="center"/>
        </w:trPr>
        <w:tc>
          <w:tcPr>
            <w:tcW w:w="1728" w:type="dxa"/>
            <w:vMerge/>
            <w:shd w:val="clear" w:color="auto" w:fill="auto"/>
          </w:tcPr>
          <w:p w:rsidR="003F2F76" w:rsidRPr="00AE7913" w:rsidRDefault="003F2F76" w:rsidP="003F2F76">
            <w:pPr>
              <w:spacing w:after="60"/>
              <w:jc w:val="center"/>
              <w:rPr>
                <w:sz w:val="18"/>
                <w:lang w:val="es-ES"/>
              </w:rPr>
            </w:pP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Financiación ($EUA)</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312 894</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291 064</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319 611</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923 569</w:t>
            </w:r>
            <w:r w:rsidRPr="00AE7913">
              <w:rPr>
                <w:sz w:val="18"/>
                <w:lang w:val="es-ES"/>
              </w:rPr>
              <w:fldChar w:fldCharType="end"/>
            </w:r>
          </w:p>
        </w:tc>
      </w:tr>
      <w:tr w:rsidR="003F2F76" w:rsidRPr="00AE7913" w:rsidTr="003F2F76">
        <w:trPr>
          <w:trHeight w:val="240"/>
          <w:jc w:val="center"/>
        </w:trPr>
        <w:tc>
          <w:tcPr>
            <w:tcW w:w="1728" w:type="dxa"/>
            <w:vMerge w:val="restart"/>
            <w:shd w:val="clear" w:color="auto" w:fill="auto"/>
          </w:tcPr>
          <w:p w:rsidR="003F2F76" w:rsidRPr="00AE7913" w:rsidRDefault="003F2F76" w:rsidP="003F2F76">
            <w:pPr>
              <w:spacing w:after="60"/>
              <w:jc w:val="center"/>
              <w:rPr>
                <w:sz w:val="18"/>
                <w:lang w:val="es-ES"/>
              </w:rPr>
            </w:pPr>
            <w:r w:rsidRPr="00AE7913">
              <w:rPr>
                <w:sz w:val="18"/>
                <w:lang w:val="es-ES"/>
              </w:rPr>
              <w:t>Alemania</w:t>
            </w: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Eliminación de SAO (toneladas PAO)</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2,78</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2,78</w:t>
            </w:r>
            <w:r w:rsidRPr="00AE7913">
              <w:rPr>
                <w:sz w:val="18"/>
                <w:lang w:val="es-ES"/>
              </w:rPr>
              <w:fldChar w:fldCharType="end"/>
            </w:r>
          </w:p>
        </w:tc>
      </w:tr>
      <w:tr w:rsidR="003F2F76" w:rsidRPr="00AE7913" w:rsidTr="003F2F76">
        <w:trPr>
          <w:trHeight w:val="240"/>
          <w:jc w:val="center"/>
        </w:trPr>
        <w:tc>
          <w:tcPr>
            <w:tcW w:w="1728" w:type="dxa"/>
            <w:vMerge/>
            <w:shd w:val="clear" w:color="auto" w:fill="auto"/>
          </w:tcPr>
          <w:p w:rsidR="003F2F76" w:rsidRPr="00AE7913" w:rsidRDefault="003F2F76" w:rsidP="003F2F76">
            <w:pPr>
              <w:spacing w:after="60"/>
              <w:jc w:val="center"/>
              <w:rPr>
                <w:sz w:val="18"/>
                <w:lang w:val="es-ES"/>
              </w:rPr>
            </w:pPr>
          </w:p>
        </w:tc>
        <w:tc>
          <w:tcPr>
            <w:tcW w:w="2430" w:type="dxa"/>
            <w:shd w:val="clear" w:color="auto" w:fill="auto"/>
          </w:tcPr>
          <w:p w:rsidR="003F2F76" w:rsidRPr="00AE7913" w:rsidRDefault="003F2F76" w:rsidP="003F2F76">
            <w:pPr>
              <w:spacing w:after="60"/>
              <w:jc w:val="left"/>
              <w:rPr>
                <w:sz w:val="18"/>
                <w:lang w:val="es-ES"/>
              </w:rPr>
            </w:pPr>
            <w:r w:rsidRPr="00AE7913">
              <w:rPr>
                <w:sz w:val="18"/>
                <w:lang w:val="es-ES"/>
              </w:rPr>
              <w:t>Financiación ($EUA)</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234 249</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5" w:type="dxa"/>
            <w:shd w:val="clear" w:color="auto" w:fill="auto"/>
          </w:tcPr>
          <w:p w:rsidR="003F2F76" w:rsidRPr="00AE7913" w:rsidRDefault="003F2F76" w:rsidP="003F2F76">
            <w:pPr>
              <w:spacing w:after="60"/>
              <w:jc w:val="right"/>
              <w:rPr>
                <w:sz w:val="18"/>
                <w:lang w:val="es-ES"/>
              </w:rPr>
            </w:pPr>
            <w:r w:rsidRPr="00AE7913">
              <w:rPr>
                <w:sz w:val="18"/>
                <w:lang w:val="es-ES"/>
              </w:rPr>
              <w:t>0</w:t>
            </w:r>
          </w:p>
        </w:tc>
        <w:tc>
          <w:tcPr>
            <w:tcW w:w="1166" w:type="dxa"/>
            <w:shd w:val="clear" w:color="auto" w:fill="auto"/>
          </w:tcPr>
          <w:p w:rsidR="003F2F76" w:rsidRPr="00AE7913" w:rsidRDefault="003F2F76" w:rsidP="003F2F76">
            <w:pPr>
              <w:spacing w:after="60"/>
              <w:jc w:val="right"/>
              <w:rPr>
                <w:sz w:val="18"/>
                <w:lang w:val="es-ES"/>
              </w:rPr>
            </w:pPr>
            <w:r w:rsidRPr="00AE7913">
              <w:rPr>
                <w:sz w:val="18"/>
                <w:lang w:val="es-ES"/>
              </w:rPr>
              <w:fldChar w:fldCharType="begin"/>
            </w:r>
            <w:r w:rsidRPr="00AE7913">
              <w:rPr>
                <w:sz w:val="18"/>
                <w:lang w:val="es-ES"/>
              </w:rPr>
              <w:instrText xml:space="preserve"> =SUM(left) </w:instrText>
            </w:r>
            <w:r w:rsidRPr="00AE7913">
              <w:rPr>
                <w:sz w:val="18"/>
                <w:lang w:val="es-ES"/>
              </w:rPr>
              <w:fldChar w:fldCharType="separate"/>
            </w:r>
            <w:r w:rsidRPr="00AE7913">
              <w:rPr>
                <w:sz w:val="18"/>
                <w:lang w:val="es-ES"/>
              </w:rPr>
              <w:t>234 249</w:t>
            </w:r>
            <w:r w:rsidRPr="00AE7913">
              <w:rPr>
                <w:sz w:val="18"/>
                <w:lang w:val="es-ES"/>
              </w:rPr>
              <w:fldChar w:fldCharType="end"/>
            </w:r>
          </w:p>
        </w:tc>
      </w:tr>
    </w:tbl>
    <w:p w:rsidR="003F2F76" w:rsidRPr="00AE7913" w:rsidRDefault="003F2F76" w:rsidP="003F2F76">
      <w:pPr>
        <w:spacing w:after="60"/>
        <w:jc w:val="center"/>
        <w:rPr>
          <w:lang w:val="es-ES"/>
        </w:rPr>
      </w:pPr>
    </w:p>
    <w:p w:rsidR="003F2F76" w:rsidRPr="00AE7913" w:rsidRDefault="003F2F76" w:rsidP="003F2F76">
      <w:pPr>
        <w:jc w:val="left"/>
        <w:rPr>
          <w:lang w:val="es-ES"/>
        </w:rPr>
      </w:pPr>
      <w:r w:rsidRPr="00AE7913">
        <w:rPr>
          <w:lang w:val="es-ES"/>
        </w:rPr>
        <w:br w:type="page"/>
      </w:r>
    </w:p>
    <w:p w:rsidR="003F2F76" w:rsidRPr="00AE7913" w:rsidRDefault="003F2F76" w:rsidP="003F2F76">
      <w:pPr>
        <w:spacing w:after="60"/>
        <w:rPr>
          <w:lang w:val="es-ES"/>
        </w:rPr>
      </w:pPr>
    </w:p>
    <w:tbl>
      <w:tblPr>
        <w:tblStyle w:val="TableGrid"/>
        <w:tblW w:w="1127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7"/>
        <w:gridCol w:w="939"/>
        <w:gridCol w:w="847"/>
        <w:gridCol w:w="936"/>
        <w:gridCol w:w="760"/>
        <w:gridCol w:w="936"/>
        <w:gridCol w:w="760"/>
        <w:gridCol w:w="810"/>
        <w:gridCol w:w="760"/>
        <w:gridCol w:w="810"/>
        <w:gridCol w:w="760"/>
        <w:gridCol w:w="859"/>
        <w:gridCol w:w="948"/>
      </w:tblGrid>
      <w:tr w:rsidR="003F2F76" w:rsidRPr="00AE7913" w:rsidTr="003F2F76">
        <w:trPr>
          <w:jc w:val="center"/>
        </w:trPr>
        <w:tc>
          <w:tcPr>
            <w:tcW w:w="2580" w:type="dxa"/>
            <w:gridSpan w:val="3"/>
            <w:shd w:val="clear" w:color="auto" w:fill="auto"/>
          </w:tcPr>
          <w:p w:rsidR="003F2F76" w:rsidRPr="00AE7913" w:rsidRDefault="003F2F76" w:rsidP="003F2F76">
            <w:pPr>
              <w:spacing w:after="60"/>
              <w:jc w:val="left"/>
              <w:rPr>
                <w:b/>
                <w:sz w:val="18"/>
                <w:szCs w:val="18"/>
                <w:lang w:val="es-ES"/>
              </w:rPr>
            </w:pPr>
            <w:r w:rsidRPr="00AE7913">
              <w:rPr>
                <w:b/>
                <w:sz w:val="18"/>
                <w:szCs w:val="18"/>
                <w:lang w:val="es-ES"/>
              </w:rPr>
              <w:t>VI) DATOS DEL PROYECTO</w:t>
            </w:r>
          </w:p>
        </w:tc>
        <w:tc>
          <w:tcPr>
            <w:tcW w:w="936"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2017</w:t>
            </w:r>
          </w:p>
        </w:tc>
        <w:tc>
          <w:tcPr>
            <w:tcW w:w="821"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2018</w:t>
            </w:r>
          </w:p>
        </w:tc>
        <w:tc>
          <w:tcPr>
            <w:tcW w:w="936"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2019</w:t>
            </w:r>
          </w:p>
        </w:tc>
        <w:tc>
          <w:tcPr>
            <w:tcW w:w="821"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2020</w:t>
            </w:r>
          </w:p>
        </w:tc>
        <w:tc>
          <w:tcPr>
            <w:tcW w:w="821"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2021</w:t>
            </w:r>
          </w:p>
        </w:tc>
        <w:tc>
          <w:tcPr>
            <w:tcW w:w="821"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2022</w:t>
            </w:r>
          </w:p>
        </w:tc>
        <w:tc>
          <w:tcPr>
            <w:tcW w:w="821" w:type="dxa"/>
          </w:tcPr>
          <w:p w:rsidR="003F2F76" w:rsidRPr="00AE7913" w:rsidRDefault="003F2F76" w:rsidP="003F2F76">
            <w:pPr>
              <w:spacing w:after="60"/>
              <w:jc w:val="center"/>
              <w:rPr>
                <w:b/>
                <w:sz w:val="18"/>
                <w:szCs w:val="18"/>
                <w:lang w:val="es-ES"/>
              </w:rPr>
            </w:pPr>
            <w:r w:rsidRPr="00AE7913">
              <w:rPr>
                <w:b/>
                <w:sz w:val="18"/>
                <w:szCs w:val="18"/>
                <w:lang w:val="es-ES"/>
              </w:rPr>
              <w:t>2023</w:t>
            </w:r>
          </w:p>
        </w:tc>
        <w:tc>
          <w:tcPr>
            <w:tcW w:w="821" w:type="dxa"/>
          </w:tcPr>
          <w:p w:rsidR="003F2F76" w:rsidRPr="00AE7913" w:rsidRDefault="003F2F76" w:rsidP="003F2F76">
            <w:pPr>
              <w:spacing w:after="60"/>
              <w:jc w:val="center"/>
              <w:rPr>
                <w:b/>
                <w:sz w:val="18"/>
                <w:szCs w:val="18"/>
                <w:lang w:val="es-ES"/>
              </w:rPr>
            </w:pPr>
            <w:r w:rsidRPr="00AE7913">
              <w:rPr>
                <w:b/>
                <w:sz w:val="18"/>
                <w:szCs w:val="18"/>
                <w:lang w:val="es-ES"/>
              </w:rPr>
              <w:t>2024</w:t>
            </w:r>
          </w:p>
        </w:tc>
        <w:tc>
          <w:tcPr>
            <w:tcW w:w="931" w:type="dxa"/>
          </w:tcPr>
          <w:p w:rsidR="003F2F76" w:rsidRPr="00AE7913" w:rsidRDefault="003F2F76" w:rsidP="003F2F76">
            <w:pPr>
              <w:spacing w:after="60"/>
              <w:jc w:val="center"/>
              <w:rPr>
                <w:b/>
                <w:sz w:val="18"/>
                <w:szCs w:val="18"/>
                <w:lang w:val="es-ES"/>
              </w:rPr>
            </w:pPr>
            <w:r w:rsidRPr="00AE7913">
              <w:rPr>
                <w:b/>
                <w:sz w:val="18"/>
                <w:szCs w:val="18"/>
                <w:lang w:val="es-ES"/>
              </w:rPr>
              <w:t>2025</w:t>
            </w:r>
          </w:p>
        </w:tc>
        <w:tc>
          <w:tcPr>
            <w:tcW w:w="963" w:type="dxa"/>
            <w:shd w:val="clear" w:color="auto" w:fill="auto"/>
          </w:tcPr>
          <w:p w:rsidR="003F2F76" w:rsidRPr="00AE7913" w:rsidRDefault="003F2F76" w:rsidP="003F2F76">
            <w:pPr>
              <w:spacing w:after="60"/>
              <w:jc w:val="center"/>
              <w:rPr>
                <w:b/>
                <w:sz w:val="18"/>
                <w:szCs w:val="18"/>
                <w:lang w:val="es-ES"/>
              </w:rPr>
            </w:pPr>
            <w:r w:rsidRPr="00AE7913">
              <w:rPr>
                <w:b/>
                <w:sz w:val="18"/>
                <w:szCs w:val="18"/>
                <w:lang w:val="es-ES"/>
              </w:rPr>
              <w:t>Total</w:t>
            </w:r>
          </w:p>
        </w:tc>
      </w:tr>
      <w:tr w:rsidR="003F2F76" w:rsidRPr="00AE7913" w:rsidTr="003F2F76">
        <w:trPr>
          <w:trHeight w:val="359"/>
          <w:jc w:val="center"/>
        </w:trPr>
        <w:tc>
          <w:tcPr>
            <w:tcW w:w="2580" w:type="dxa"/>
            <w:gridSpan w:val="3"/>
            <w:shd w:val="clear" w:color="auto" w:fill="auto"/>
          </w:tcPr>
          <w:p w:rsidR="003F2F76" w:rsidRPr="00AE7913" w:rsidRDefault="003F2F76" w:rsidP="003F2F76">
            <w:pPr>
              <w:spacing w:after="60"/>
              <w:jc w:val="left"/>
              <w:rPr>
                <w:sz w:val="18"/>
                <w:szCs w:val="18"/>
                <w:lang w:val="es-ES"/>
              </w:rPr>
            </w:pPr>
            <w:r w:rsidRPr="00AE7913">
              <w:rPr>
                <w:sz w:val="18"/>
                <w:szCs w:val="18"/>
                <w:lang w:val="es-ES"/>
              </w:rPr>
              <w:t>Límites de consumo establecidos en el Protocolo de Montreal</w:t>
            </w:r>
          </w:p>
        </w:tc>
        <w:tc>
          <w:tcPr>
            <w:tcW w:w="936" w:type="dxa"/>
            <w:shd w:val="clear" w:color="auto" w:fill="auto"/>
          </w:tcPr>
          <w:p w:rsidR="003F2F76" w:rsidRPr="00AE7913" w:rsidRDefault="003F2F76" w:rsidP="003F2F76">
            <w:pPr>
              <w:jc w:val="right"/>
              <w:rPr>
                <w:sz w:val="18"/>
                <w:szCs w:val="18"/>
                <w:lang w:val="es-ES"/>
              </w:rPr>
            </w:pPr>
            <w:r w:rsidRPr="00AE7913">
              <w:rPr>
                <w:sz w:val="18"/>
                <w:szCs w:val="18"/>
                <w:lang w:val="es-ES"/>
              </w:rPr>
              <w:t>347,64</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347,64</w:t>
            </w:r>
          </w:p>
        </w:tc>
        <w:tc>
          <w:tcPr>
            <w:tcW w:w="936" w:type="dxa"/>
            <w:shd w:val="clear" w:color="auto" w:fill="auto"/>
          </w:tcPr>
          <w:p w:rsidR="003F2F76" w:rsidRPr="00AE7913" w:rsidRDefault="003F2F76" w:rsidP="003F2F76">
            <w:pPr>
              <w:jc w:val="right"/>
              <w:rPr>
                <w:sz w:val="18"/>
                <w:szCs w:val="18"/>
                <w:lang w:val="es-ES"/>
              </w:rPr>
            </w:pPr>
            <w:r w:rsidRPr="00AE7913">
              <w:rPr>
                <w:sz w:val="18"/>
                <w:szCs w:val="18"/>
                <w:lang w:val="es-ES"/>
              </w:rPr>
              <w:t>347,64</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251,08</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251,08</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251,08</w:t>
            </w:r>
          </w:p>
        </w:tc>
        <w:tc>
          <w:tcPr>
            <w:tcW w:w="821" w:type="dxa"/>
          </w:tcPr>
          <w:p w:rsidR="003F2F76" w:rsidRPr="00AE7913" w:rsidRDefault="003F2F76" w:rsidP="003F2F76">
            <w:pPr>
              <w:jc w:val="right"/>
              <w:rPr>
                <w:sz w:val="18"/>
                <w:szCs w:val="18"/>
                <w:lang w:val="es-ES"/>
              </w:rPr>
            </w:pPr>
            <w:r w:rsidRPr="00AE7913">
              <w:rPr>
                <w:sz w:val="18"/>
                <w:szCs w:val="18"/>
                <w:lang w:val="es-ES"/>
              </w:rPr>
              <w:t>251,08</w:t>
            </w:r>
          </w:p>
        </w:tc>
        <w:tc>
          <w:tcPr>
            <w:tcW w:w="821" w:type="dxa"/>
          </w:tcPr>
          <w:p w:rsidR="003F2F76" w:rsidRPr="00AE7913" w:rsidRDefault="003F2F76" w:rsidP="003F2F76">
            <w:pPr>
              <w:jc w:val="right"/>
              <w:rPr>
                <w:sz w:val="18"/>
                <w:szCs w:val="18"/>
                <w:lang w:val="es-ES"/>
              </w:rPr>
            </w:pPr>
            <w:r w:rsidRPr="00AE7913">
              <w:rPr>
                <w:sz w:val="18"/>
                <w:szCs w:val="18"/>
                <w:lang w:val="es-ES"/>
              </w:rPr>
              <w:t>251,08</w:t>
            </w:r>
          </w:p>
        </w:tc>
        <w:tc>
          <w:tcPr>
            <w:tcW w:w="931" w:type="dxa"/>
          </w:tcPr>
          <w:p w:rsidR="003F2F76" w:rsidRPr="00AE7913" w:rsidRDefault="003F2F76" w:rsidP="003F2F76">
            <w:pPr>
              <w:jc w:val="right"/>
              <w:rPr>
                <w:sz w:val="18"/>
                <w:szCs w:val="18"/>
                <w:lang w:val="es-ES"/>
              </w:rPr>
            </w:pPr>
            <w:r w:rsidRPr="00AE7913">
              <w:rPr>
                <w:sz w:val="18"/>
                <w:szCs w:val="18"/>
                <w:lang w:val="es-ES"/>
              </w:rPr>
              <w:t>125,54</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n/a</w:t>
            </w:r>
          </w:p>
        </w:tc>
      </w:tr>
      <w:tr w:rsidR="003F2F76" w:rsidRPr="00AE7913" w:rsidTr="003F2F76">
        <w:trPr>
          <w:jc w:val="center"/>
        </w:trPr>
        <w:tc>
          <w:tcPr>
            <w:tcW w:w="2580" w:type="dxa"/>
            <w:gridSpan w:val="3"/>
            <w:shd w:val="clear" w:color="auto" w:fill="auto"/>
          </w:tcPr>
          <w:p w:rsidR="003F2F76" w:rsidRPr="00AE7913" w:rsidRDefault="003F2F76" w:rsidP="003F2F76">
            <w:pPr>
              <w:spacing w:after="60"/>
              <w:jc w:val="left"/>
              <w:rPr>
                <w:sz w:val="18"/>
                <w:szCs w:val="18"/>
                <w:lang w:val="es-ES"/>
              </w:rPr>
            </w:pPr>
            <w:r w:rsidRPr="00AE7913">
              <w:rPr>
                <w:sz w:val="18"/>
                <w:szCs w:val="18"/>
                <w:lang w:val="es-ES"/>
              </w:rPr>
              <w:t>Consumo máximo permitido (toneladas PAO)</w:t>
            </w:r>
          </w:p>
        </w:tc>
        <w:tc>
          <w:tcPr>
            <w:tcW w:w="936" w:type="dxa"/>
            <w:shd w:val="clear" w:color="auto" w:fill="auto"/>
          </w:tcPr>
          <w:p w:rsidR="003F2F76" w:rsidRPr="00AE7913" w:rsidRDefault="003F2F76" w:rsidP="003F2F76">
            <w:pPr>
              <w:jc w:val="right"/>
              <w:rPr>
                <w:sz w:val="18"/>
                <w:szCs w:val="18"/>
                <w:lang w:val="es-ES"/>
              </w:rPr>
            </w:pPr>
            <w:r w:rsidRPr="00AE7913">
              <w:rPr>
                <w:sz w:val="18"/>
                <w:szCs w:val="18"/>
                <w:lang w:val="es-ES"/>
              </w:rPr>
              <w:t>347,64</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289,70</w:t>
            </w:r>
          </w:p>
        </w:tc>
        <w:tc>
          <w:tcPr>
            <w:tcW w:w="936" w:type="dxa"/>
            <w:shd w:val="clear" w:color="auto" w:fill="auto"/>
          </w:tcPr>
          <w:p w:rsidR="003F2F76" w:rsidRPr="00AE7913" w:rsidRDefault="003F2F76" w:rsidP="003F2F76">
            <w:pPr>
              <w:jc w:val="right"/>
              <w:rPr>
                <w:sz w:val="18"/>
                <w:szCs w:val="18"/>
                <w:lang w:val="es-ES"/>
              </w:rPr>
            </w:pPr>
            <w:r w:rsidRPr="00AE7913">
              <w:rPr>
                <w:sz w:val="18"/>
                <w:szCs w:val="18"/>
                <w:lang w:val="es-ES"/>
              </w:rPr>
              <w:t>289,70</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251,08</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251,08</w:t>
            </w:r>
          </w:p>
        </w:tc>
        <w:tc>
          <w:tcPr>
            <w:tcW w:w="821" w:type="dxa"/>
            <w:shd w:val="clear" w:color="auto" w:fill="auto"/>
          </w:tcPr>
          <w:p w:rsidR="003F2F76" w:rsidRPr="00AE7913" w:rsidRDefault="003F2F76" w:rsidP="003F2F76">
            <w:pPr>
              <w:jc w:val="right"/>
              <w:rPr>
                <w:sz w:val="18"/>
                <w:szCs w:val="18"/>
                <w:lang w:val="es-ES"/>
              </w:rPr>
            </w:pPr>
            <w:r w:rsidRPr="00AE7913">
              <w:rPr>
                <w:sz w:val="18"/>
                <w:szCs w:val="18"/>
                <w:lang w:val="es-ES"/>
              </w:rPr>
              <w:t>251,08</w:t>
            </w:r>
          </w:p>
        </w:tc>
        <w:tc>
          <w:tcPr>
            <w:tcW w:w="821" w:type="dxa"/>
          </w:tcPr>
          <w:p w:rsidR="003F2F76" w:rsidRPr="00AE7913" w:rsidRDefault="003F2F76" w:rsidP="003F2F76">
            <w:pPr>
              <w:jc w:val="right"/>
              <w:rPr>
                <w:sz w:val="18"/>
                <w:szCs w:val="18"/>
                <w:lang w:val="es-ES"/>
              </w:rPr>
            </w:pPr>
            <w:r w:rsidRPr="00AE7913">
              <w:rPr>
                <w:sz w:val="18"/>
                <w:szCs w:val="18"/>
                <w:lang w:val="es-ES"/>
              </w:rPr>
              <w:t>251,08</w:t>
            </w:r>
          </w:p>
        </w:tc>
        <w:tc>
          <w:tcPr>
            <w:tcW w:w="821" w:type="dxa"/>
          </w:tcPr>
          <w:p w:rsidR="003F2F76" w:rsidRPr="00AE7913" w:rsidRDefault="003F2F76" w:rsidP="003F2F76">
            <w:pPr>
              <w:jc w:val="right"/>
              <w:rPr>
                <w:sz w:val="18"/>
                <w:szCs w:val="18"/>
                <w:lang w:val="es-ES"/>
              </w:rPr>
            </w:pPr>
            <w:r w:rsidRPr="00AE7913">
              <w:rPr>
                <w:sz w:val="18"/>
                <w:szCs w:val="18"/>
                <w:lang w:val="es-ES"/>
              </w:rPr>
              <w:t>251,08</w:t>
            </w:r>
          </w:p>
        </w:tc>
        <w:tc>
          <w:tcPr>
            <w:tcW w:w="931" w:type="dxa"/>
          </w:tcPr>
          <w:p w:rsidR="003F2F76" w:rsidRPr="00AE7913" w:rsidRDefault="003F2F76" w:rsidP="003F2F76">
            <w:pPr>
              <w:jc w:val="right"/>
              <w:rPr>
                <w:sz w:val="18"/>
                <w:szCs w:val="18"/>
                <w:lang w:val="es-ES"/>
              </w:rPr>
            </w:pPr>
            <w:r w:rsidRPr="00AE7913">
              <w:rPr>
                <w:sz w:val="18"/>
                <w:szCs w:val="18"/>
                <w:lang w:val="es-ES"/>
              </w:rPr>
              <w:t>125,54*</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n/a</w:t>
            </w:r>
          </w:p>
        </w:tc>
      </w:tr>
      <w:tr w:rsidR="003F2F76" w:rsidRPr="00AE7913" w:rsidTr="003F2F76">
        <w:trPr>
          <w:jc w:val="center"/>
        </w:trPr>
        <w:tc>
          <w:tcPr>
            <w:tcW w:w="814" w:type="dxa"/>
            <w:vMerge w:val="restart"/>
            <w:shd w:val="clear" w:color="auto" w:fill="auto"/>
          </w:tcPr>
          <w:p w:rsidR="003F2F76" w:rsidRPr="00AE7913" w:rsidRDefault="003F2F76" w:rsidP="003F2F76">
            <w:pPr>
              <w:spacing w:after="60"/>
              <w:jc w:val="left"/>
              <w:rPr>
                <w:sz w:val="18"/>
                <w:szCs w:val="18"/>
                <w:lang w:val="es-ES"/>
              </w:rPr>
            </w:pPr>
            <w:r w:rsidRPr="00AE7913">
              <w:rPr>
                <w:sz w:val="18"/>
                <w:szCs w:val="18"/>
                <w:lang w:val="es-ES"/>
              </w:rPr>
              <w:t>Financiación convenida ($EUA)</w:t>
            </w:r>
          </w:p>
        </w:tc>
        <w:tc>
          <w:tcPr>
            <w:tcW w:w="966" w:type="dxa"/>
            <w:vMerge w:val="restart"/>
            <w:shd w:val="clear" w:color="auto" w:fill="auto"/>
          </w:tcPr>
          <w:p w:rsidR="003F2F76" w:rsidRPr="00AE7913" w:rsidRDefault="003F2F76" w:rsidP="003F2F76">
            <w:pPr>
              <w:spacing w:after="60"/>
              <w:jc w:val="center"/>
              <w:rPr>
                <w:sz w:val="18"/>
                <w:szCs w:val="18"/>
                <w:lang w:val="es-ES"/>
              </w:rPr>
            </w:pPr>
            <w:r w:rsidRPr="00AE7913">
              <w:rPr>
                <w:sz w:val="18"/>
                <w:szCs w:val="18"/>
                <w:lang w:val="es-ES"/>
              </w:rPr>
              <w:t>ONUDI</w:t>
            </w: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Costos del proyecto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3 356 641</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755 000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935 000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755 200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195 000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5.996.841</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shd w:val="clear" w:color="auto" w:fill="auto"/>
          </w:tcPr>
          <w:p w:rsidR="003F2F76" w:rsidRPr="00AE7913" w:rsidRDefault="003F2F76" w:rsidP="003F2F76">
            <w:pPr>
              <w:spacing w:after="60"/>
              <w:jc w:val="center"/>
              <w:rPr>
                <w:sz w:val="18"/>
                <w:szCs w:val="18"/>
                <w:lang w:val="es-ES"/>
              </w:rPr>
            </w:pP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Gastos de apoyo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234 965</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52 850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65 450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52 864</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13 650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419.779</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val="restart"/>
            <w:shd w:val="clear" w:color="auto" w:fill="auto"/>
          </w:tcPr>
          <w:p w:rsidR="003F2F76" w:rsidRPr="00AE7913" w:rsidRDefault="003F2F76" w:rsidP="003F2F76">
            <w:pPr>
              <w:spacing w:after="60"/>
              <w:jc w:val="center"/>
              <w:rPr>
                <w:sz w:val="18"/>
                <w:szCs w:val="18"/>
                <w:lang w:val="es-ES"/>
              </w:rPr>
            </w:pPr>
            <w:r w:rsidRPr="00AE7913">
              <w:rPr>
                <w:sz w:val="18"/>
                <w:szCs w:val="18"/>
                <w:lang w:val="es-ES"/>
              </w:rPr>
              <w:t>PNUD</w:t>
            </w: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Costos del proyecto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1 042 352</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1 836 750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816 620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3.695.722</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shd w:val="clear" w:color="auto" w:fill="auto"/>
          </w:tcPr>
          <w:p w:rsidR="003F2F76" w:rsidRPr="00AE7913" w:rsidRDefault="003F2F76" w:rsidP="003F2F76">
            <w:pPr>
              <w:spacing w:after="60"/>
              <w:jc w:val="center"/>
              <w:rPr>
                <w:sz w:val="18"/>
                <w:szCs w:val="18"/>
                <w:lang w:val="es-ES"/>
              </w:rPr>
            </w:pP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Gastos de apoyo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72 965</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128 573</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57 163</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258.701</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val="restart"/>
            <w:shd w:val="clear" w:color="auto" w:fill="auto"/>
          </w:tcPr>
          <w:p w:rsidR="003F2F76" w:rsidRPr="00AE7913" w:rsidRDefault="003F2F76" w:rsidP="003F2F76">
            <w:pPr>
              <w:spacing w:after="60"/>
              <w:jc w:val="center"/>
              <w:rPr>
                <w:sz w:val="18"/>
                <w:szCs w:val="18"/>
                <w:lang w:val="es-ES"/>
              </w:rPr>
            </w:pPr>
            <w:r w:rsidRPr="00AE7913">
              <w:rPr>
                <w:sz w:val="18"/>
                <w:szCs w:val="18"/>
                <w:lang w:val="es-ES"/>
              </w:rPr>
              <w:t xml:space="preserve">PNUMA </w:t>
            </w: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Costos del proyecto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230 000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279 500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260 000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180 000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105 500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1.055.000</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shd w:val="clear" w:color="auto" w:fill="auto"/>
          </w:tcPr>
          <w:p w:rsidR="003F2F76" w:rsidRPr="00AE7913" w:rsidRDefault="003F2F76" w:rsidP="003F2F76">
            <w:pPr>
              <w:spacing w:after="60"/>
              <w:jc w:val="center"/>
              <w:rPr>
                <w:sz w:val="18"/>
                <w:szCs w:val="18"/>
                <w:lang w:val="es-ES"/>
              </w:rPr>
            </w:pP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Gastos de apoyo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27 480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33 394</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31 064</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21 506</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12 605</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126.050</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val="restart"/>
            <w:shd w:val="clear" w:color="auto" w:fill="auto"/>
          </w:tcPr>
          <w:p w:rsidR="003F2F76" w:rsidRPr="00AE7913" w:rsidRDefault="003F2F76" w:rsidP="003F2F76">
            <w:pPr>
              <w:spacing w:after="60"/>
              <w:jc w:val="center"/>
              <w:rPr>
                <w:sz w:val="18"/>
                <w:szCs w:val="18"/>
                <w:lang w:val="es-ES"/>
              </w:rPr>
            </w:pPr>
            <w:r w:rsidRPr="00AE7913">
              <w:rPr>
                <w:sz w:val="18"/>
                <w:szCs w:val="18"/>
                <w:lang w:val="es-ES"/>
              </w:rPr>
              <w:t>Alemania</w:t>
            </w: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Costos del proyecto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207 300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207.300</w:t>
            </w:r>
          </w:p>
        </w:tc>
      </w:tr>
      <w:tr w:rsidR="003F2F76" w:rsidRPr="00AE7913" w:rsidTr="003F2F76">
        <w:trPr>
          <w:jc w:val="center"/>
        </w:trPr>
        <w:tc>
          <w:tcPr>
            <w:tcW w:w="814" w:type="dxa"/>
            <w:vMerge/>
            <w:shd w:val="clear" w:color="auto" w:fill="auto"/>
          </w:tcPr>
          <w:p w:rsidR="003F2F76" w:rsidRPr="00AE7913" w:rsidRDefault="003F2F76" w:rsidP="003F2F76">
            <w:pPr>
              <w:spacing w:after="60"/>
              <w:jc w:val="center"/>
              <w:rPr>
                <w:sz w:val="18"/>
                <w:szCs w:val="18"/>
                <w:lang w:val="es-ES"/>
              </w:rPr>
            </w:pPr>
          </w:p>
        </w:tc>
        <w:tc>
          <w:tcPr>
            <w:tcW w:w="966" w:type="dxa"/>
            <w:vMerge/>
            <w:shd w:val="clear" w:color="auto" w:fill="auto"/>
          </w:tcPr>
          <w:p w:rsidR="003F2F76" w:rsidRPr="00AE7913" w:rsidRDefault="003F2F76" w:rsidP="003F2F76">
            <w:pPr>
              <w:spacing w:after="60"/>
              <w:jc w:val="center"/>
              <w:rPr>
                <w:sz w:val="18"/>
                <w:szCs w:val="18"/>
                <w:lang w:val="es-ES"/>
              </w:rPr>
            </w:pP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Gastos de apoyo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26 949</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1" w:type="dxa"/>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26.949</w:t>
            </w:r>
          </w:p>
        </w:tc>
      </w:tr>
      <w:tr w:rsidR="003F2F76" w:rsidRPr="00AE7913" w:rsidTr="003F2F76">
        <w:trPr>
          <w:jc w:val="center"/>
        </w:trPr>
        <w:tc>
          <w:tcPr>
            <w:tcW w:w="1780" w:type="dxa"/>
            <w:gridSpan w:val="2"/>
            <w:vMerge w:val="restart"/>
            <w:shd w:val="clear" w:color="auto" w:fill="auto"/>
          </w:tcPr>
          <w:p w:rsidR="003F2F76" w:rsidRPr="00AE7913" w:rsidRDefault="003F2F76" w:rsidP="003F2F76">
            <w:pPr>
              <w:spacing w:after="60"/>
              <w:jc w:val="left"/>
              <w:rPr>
                <w:sz w:val="18"/>
                <w:szCs w:val="18"/>
                <w:lang w:val="es-ES"/>
              </w:rPr>
            </w:pPr>
            <w:r w:rsidRPr="00AE7913">
              <w:rPr>
                <w:sz w:val="18"/>
                <w:szCs w:val="18"/>
                <w:lang w:val="es-ES"/>
              </w:rPr>
              <w:t>Fondos aprobados por el Comité Ejecutivo ($EUA)</w:t>
            </w: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Costos del proyecto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4 628 993</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tcPr>
          <w:p w:rsidR="003F2F76" w:rsidRPr="00AE7913" w:rsidRDefault="003F2F76" w:rsidP="003F2F76">
            <w:pPr>
              <w:jc w:val="right"/>
              <w:rPr>
                <w:color w:val="000000"/>
                <w:sz w:val="18"/>
                <w:szCs w:val="18"/>
                <w:lang w:val="es-ES"/>
              </w:rPr>
            </w:pPr>
          </w:p>
        </w:tc>
        <w:tc>
          <w:tcPr>
            <w:tcW w:w="821" w:type="dxa"/>
          </w:tcPr>
          <w:p w:rsidR="003F2F76" w:rsidRPr="00AE7913" w:rsidRDefault="003F2F76" w:rsidP="003F2F76">
            <w:pPr>
              <w:jc w:val="right"/>
              <w:rPr>
                <w:color w:val="000000"/>
                <w:sz w:val="18"/>
                <w:szCs w:val="18"/>
                <w:lang w:val="es-ES"/>
              </w:rPr>
            </w:pPr>
          </w:p>
        </w:tc>
        <w:tc>
          <w:tcPr>
            <w:tcW w:w="931" w:type="dxa"/>
          </w:tcPr>
          <w:p w:rsidR="003F2F76" w:rsidRPr="00AE7913" w:rsidRDefault="003F2F76" w:rsidP="003F2F76">
            <w:pPr>
              <w:jc w:val="right"/>
              <w:rPr>
                <w:color w:val="000000"/>
                <w:sz w:val="18"/>
                <w:szCs w:val="18"/>
                <w:lang w:val="es-ES"/>
              </w:rPr>
            </w:pP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4 628 993</w:t>
            </w:r>
          </w:p>
        </w:tc>
      </w:tr>
      <w:tr w:rsidR="003F2F76" w:rsidRPr="00AE7913" w:rsidTr="003F2F76">
        <w:trPr>
          <w:jc w:val="center"/>
        </w:trPr>
        <w:tc>
          <w:tcPr>
            <w:tcW w:w="1780" w:type="dxa"/>
            <w:gridSpan w:val="2"/>
            <w:vMerge/>
            <w:shd w:val="clear" w:color="auto" w:fill="auto"/>
          </w:tcPr>
          <w:p w:rsidR="003F2F76" w:rsidRPr="00AE7913" w:rsidRDefault="003F2F76" w:rsidP="003F2F76">
            <w:pPr>
              <w:spacing w:after="60"/>
              <w:jc w:val="center"/>
              <w:rPr>
                <w:sz w:val="18"/>
                <w:szCs w:val="18"/>
                <w:lang w:val="es-ES"/>
              </w:rPr>
            </w:pP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Gastos de apoyo</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335 410</w:t>
            </w:r>
          </w:p>
        </w:tc>
        <w:tc>
          <w:tcPr>
            <w:tcW w:w="821"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0</w:t>
            </w: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tcPr>
          <w:p w:rsidR="003F2F76" w:rsidRPr="00AE7913" w:rsidRDefault="003F2F76" w:rsidP="003F2F76">
            <w:pPr>
              <w:jc w:val="right"/>
              <w:rPr>
                <w:color w:val="000000"/>
                <w:sz w:val="18"/>
                <w:szCs w:val="18"/>
                <w:lang w:val="es-ES"/>
              </w:rPr>
            </w:pPr>
          </w:p>
        </w:tc>
        <w:tc>
          <w:tcPr>
            <w:tcW w:w="821" w:type="dxa"/>
          </w:tcPr>
          <w:p w:rsidR="003F2F76" w:rsidRPr="00AE7913" w:rsidRDefault="003F2F76" w:rsidP="003F2F76">
            <w:pPr>
              <w:jc w:val="right"/>
              <w:rPr>
                <w:color w:val="000000"/>
                <w:sz w:val="18"/>
                <w:szCs w:val="18"/>
                <w:lang w:val="es-ES"/>
              </w:rPr>
            </w:pPr>
          </w:p>
        </w:tc>
        <w:tc>
          <w:tcPr>
            <w:tcW w:w="931" w:type="dxa"/>
          </w:tcPr>
          <w:p w:rsidR="003F2F76" w:rsidRPr="00AE7913" w:rsidRDefault="003F2F76" w:rsidP="003F2F76">
            <w:pPr>
              <w:jc w:val="right"/>
              <w:rPr>
                <w:color w:val="000000"/>
                <w:sz w:val="18"/>
                <w:szCs w:val="18"/>
                <w:lang w:val="es-ES"/>
              </w:rPr>
            </w:pP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335 410</w:t>
            </w:r>
          </w:p>
        </w:tc>
      </w:tr>
      <w:tr w:rsidR="003F2F76" w:rsidRPr="00AE7913" w:rsidTr="003F2F76">
        <w:trPr>
          <w:jc w:val="center"/>
        </w:trPr>
        <w:tc>
          <w:tcPr>
            <w:tcW w:w="1780" w:type="dxa"/>
            <w:gridSpan w:val="2"/>
            <w:vMerge w:val="restart"/>
            <w:shd w:val="clear" w:color="auto" w:fill="auto"/>
          </w:tcPr>
          <w:p w:rsidR="003F2F76" w:rsidRPr="00AE7913" w:rsidRDefault="003F2F76" w:rsidP="003F2F76">
            <w:pPr>
              <w:spacing w:after="60"/>
              <w:jc w:val="left"/>
              <w:rPr>
                <w:sz w:val="18"/>
                <w:szCs w:val="18"/>
                <w:lang w:val="es-ES"/>
              </w:rPr>
            </w:pPr>
            <w:r w:rsidRPr="00AE7913">
              <w:rPr>
                <w:sz w:val="18"/>
                <w:szCs w:val="18"/>
                <w:lang w:val="es-ES"/>
              </w:rPr>
              <w:t>Total de fondos solicitados para aprobación en esta reunión ($EUA)</w:t>
            </w:r>
          </w:p>
        </w:tc>
        <w:tc>
          <w:tcPr>
            <w:tcW w:w="800" w:type="dxa"/>
            <w:shd w:val="clear" w:color="auto" w:fill="auto"/>
          </w:tcPr>
          <w:p w:rsidR="003F2F76" w:rsidRPr="00AE7913" w:rsidRDefault="003F2F76" w:rsidP="003F2F76">
            <w:pPr>
              <w:spacing w:after="60"/>
              <w:jc w:val="left"/>
              <w:rPr>
                <w:sz w:val="18"/>
                <w:szCs w:val="18"/>
                <w:lang w:val="es-ES"/>
              </w:rPr>
            </w:pPr>
            <w:r w:rsidRPr="00AE7913">
              <w:rPr>
                <w:sz w:val="18"/>
                <w:szCs w:val="18"/>
                <w:lang w:val="es-ES"/>
              </w:rPr>
              <w:t>Costos del proyecto</w:t>
            </w:r>
          </w:p>
        </w:tc>
        <w:tc>
          <w:tcPr>
            <w:tcW w:w="936"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936"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3 078 550</w:t>
            </w: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shd w:val="clear" w:color="auto" w:fill="auto"/>
          </w:tcPr>
          <w:p w:rsidR="003F2F76" w:rsidRPr="00AE7913" w:rsidRDefault="003F2F76" w:rsidP="003F2F76">
            <w:pPr>
              <w:jc w:val="right"/>
              <w:rPr>
                <w:color w:val="000000"/>
                <w:sz w:val="18"/>
                <w:szCs w:val="18"/>
                <w:lang w:val="es-ES"/>
              </w:rPr>
            </w:pPr>
          </w:p>
        </w:tc>
        <w:tc>
          <w:tcPr>
            <w:tcW w:w="821" w:type="dxa"/>
          </w:tcPr>
          <w:p w:rsidR="003F2F76" w:rsidRPr="00AE7913" w:rsidRDefault="003F2F76" w:rsidP="003F2F76">
            <w:pPr>
              <w:jc w:val="right"/>
              <w:rPr>
                <w:color w:val="000000"/>
                <w:sz w:val="18"/>
                <w:szCs w:val="18"/>
                <w:lang w:val="es-ES"/>
              </w:rPr>
            </w:pPr>
          </w:p>
        </w:tc>
        <w:tc>
          <w:tcPr>
            <w:tcW w:w="821" w:type="dxa"/>
          </w:tcPr>
          <w:p w:rsidR="003F2F76" w:rsidRPr="00AE7913" w:rsidRDefault="003F2F76" w:rsidP="003F2F76">
            <w:pPr>
              <w:jc w:val="right"/>
              <w:rPr>
                <w:color w:val="000000"/>
                <w:sz w:val="18"/>
                <w:szCs w:val="18"/>
                <w:lang w:val="es-ES"/>
              </w:rPr>
            </w:pPr>
          </w:p>
        </w:tc>
        <w:tc>
          <w:tcPr>
            <w:tcW w:w="931" w:type="dxa"/>
          </w:tcPr>
          <w:p w:rsidR="003F2F76" w:rsidRPr="00AE7913" w:rsidRDefault="003F2F76" w:rsidP="003F2F76">
            <w:pPr>
              <w:jc w:val="right"/>
              <w:rPr>
                <w:color w:val="000000"/>
                <w:sz w:val="18"/>
                <w:szCs w:val="18"/>
                <w:lang w:val="es-ES"/>
              </w:rPr>
            </w:pPr>
          </w:p>
        </w:tc>
        <w:tc>
          <w:tcPr>
            <w:tcW w:w="963" w:type="dxa"/>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3 078 550</w:t>
            </w:r>
          </w:p>
        </w:tc>
      </w:tr>
      <w:tr w:rsidR="003F2F76" w:rsidRPr="00AE7913" w:rsidTr="003F2F76">
        <w:trPr>
          <w:jc w:val="center"/>
        </w:trPr>
        <w:tc>
          <w:tcPr>
            <w:tcW w:w="1780" w:type="dxa"/>
            <w:gridSpan w:val="2"/>
            <w:vMerge/>
            <w:tcBorders>
              <w:bottom w:val="single" w:sz="4" w:space="0" w:color="auto"/>
            </w:tcBorders>
            <w:shd w:val="clear" w:color="auto" w:fill="auto"/>
          </w:tcPr>
          <w:p w:rsidR="003F2F76" w:rsidRPr="00AE7913" w:rsidRDefault="003F2F76" w:rsidP="003F2F76">
            <w:pPr>
              <w:spacing w:after="60"/>
              <w:jc w:val="center"/>
              <w:rPr>
                <w:sz w:val="18"/>
                <w:szCs w:val="18"/>
                <w:lang w:val="es-ES"/>
              </w:rPr>
            </w:pPr>
          </w:p>
        </w:tc>
        <w:tc>
          <w:tcPr>
            <w:tcW w:w="800" w:type="dxa"/>
            <w:tcBorders>
              <w:bottom w:val="single" w:sz="4" w:space="0" w:color="auto"/>
            </w:tcBorders>
            <w:shd w:val="clear" w:color="auto" w:fill="auto"/>
          </w:tcPr>
          <w:p w:rsidR="003F2F76" w:rsidRPr="00AE7913" w:rsidRDefault="003F2F76" w:rsidP="003F2F76">
            <w:pPr>
              <w:spacing w:after="60"/>
              <w:jc w:val="left"/>
              <w:rPr>
                <w:sz w:val="18"/>
                <w:szCs w:val="18"/>
                <w:lang w:val="es-ES"/>
              </w:rPr>
            </w:pPr>
            <w:r w:rsidRPr="00AE7913">
              <w:rPr>
                <w:sz w:val="18"/>
                <w:szCs w:val="18"/>
                <w:lang w:val="es-ES"/>
              </w:rPr>
              <w:t>Gastos de apoyo</w:t>
            </w:r>
          </w:p>
        </w:tc>
        <w:tc>
          <w:tcPr>
            <w:tcW w:w="936"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p>
        </w:tc>
        <w:tc>
          <w:tcPr>
            <w:tcW w:w="821"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p>
        </w:tc>
        <w:tc>
          <w:tcPr>
            <w:tcW w:w="936"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241 766</w:t>
            </w:r>
          </w:p>
        </w:tc>
        <w:tc>
          <w:tcPr>
            <w:tcW w:w="821"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p>
        </w:tc>
        <w:tc>
          <w:tcPr>
            <w:tcW w:w="821"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p>
        </w:tc>
        <w:tc>
          <w:tcPr>
            <w:tcW w:w="821"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p>
        </w:tc>
        <w:tc>
          <w:tcPr>
            <w:tcW w:w="821" w:type="dxa"/>
            <w:tcBorders>
              <w:bottom w:val="single" w:sz="4" w:space="0" w:color="auto"/>
            </w:tcBorders>
          </w:tcPr>
          <w:p w:rsidR="003F2F76" w:rsidRPr="00AE7913" w:rsidRDefault="003F2F76" w:rsidP="003F2F76">
            <w:pPr>
              <w:jc w:val="right"/>
              <w:rPr>
                <w:color w:val="000000"/>
                <w:sz w:val="18"/>
                <w:szCs w:val="18"/>
                <w:lang w:val="es-ES"/>
              </w:rPr>
            </w:pPr>
          </w:p>
        </w:tc>
        <w:tc>
          <w:tcPr>
            <w:tcW w:w="821" w:type="dxa"/>
            <w:tcBorders>
              <w:bottom w:val="single" w:sz="4" w:space="0" w:color="auto"/>
            </w:tcBorders>
          </w:tcPr>
          <w:p w:rsidR="003F2F76" w:rsidRPr="00AE7913" w:rsidRDefault="003F2F76" w:rsidP="003F2F76">
            <w:pPr>
              <w:jc w:val="right"/>
              <w:rPr>
                <w:color w:val="000000"/>
                <w:sz w:val="18"/>
                <w:szCs w:val="18"/>
                <w:lang w:val="es-ES"/>
              </w:rPr>
            </w:pPr>
          </w:p>
        </w:tc>
        <w:tc>
          <w:tcPr>
            <w:tcW w:w="931" w:type="dxa"/>
            <w:tcBorders>
              <w:bottom w:val="single" w:sz="4" w:space="0" w:color="auto"/>
            </w:tcBorders>
          </w:tcPr>
          <w:p w:rsidR="003F2F76" w:rsidRPr="00AE7913" w:rsidRDefault="003F2F76" w:rsidP="003F2F76">
            <w:pPr>
              <w:jc w:val="right"/>
              <w:rPr>
                <w:color w:val="000000"/>
                <w:sz w:val="18"/>
                <w:szCs w:val="18"/>
                <w:lang w:val="es-ES"/>
              </w:rPr>
            </w:pPr>
          </w:p>
        </w:tc>
        <w:tc>
          <w:tcPr>
            <w:tcW w:w="963" w:type="dxa"/>
            <w:tcBorders>
              <w:bottom w:val="single" w:sz="4" w:space="0" w:color="auto"/>
            </w:tcBorders>
            <w:shd w:val="clear" w:color="auto" w:fill="auto"/>
          </w:tcPr>
          <w:p w:rsidR="003F2F76" w:rsidRPr="00AE7913" w:rsidRDefault="003F2F76" w:rsidP="003F2F76">
            <w:pPr>
              <w:jc w:val="right"/>
              <w:rPr>
                <w:color w:val="000000"/>
                <w:sz w:val="18"/>
                <w:szCs w:val="18"/>
                <w:lang w:val="es-ES"/>
              </w:rPr>
            </w:pPr>
            <w:r w:rsidRPr="00AE7913">
              <w:rPr>
                <w:color w:val="000000"/>
                <w:sz w:val="18"/>
                <w:szCs w:val="18"/>
                <w:lang w:val="es-ES"/>
              </w:rPr>
              <w:t>241 766</w:t>
            </w:r>
          </w:p>
        </w:tc>
      </w:tr>
      <w:tr w:rsidR="003F2F76" w:rsidRPr="00702B6C" w:rsidTr="003F2F76">
        <w:trPr>
          <w:jc w:val="center"/>
        </w:trPr>
        <w:tc>
          <w:tcPr>
            <w:tcW w:w="11272" w:type="dxa"/>
            <w:gridSpan w:val="13"/>
            <w:tcBorders>
              <w:top w:val="single" w:sz="4" w:space="0" w:color="auto"/>
              <w:left w:val="nil"/>
              <w:bottom w:val="nil"/>
              <w:right w:val="nil"/>
            </w:tcBorders>
            <w:shd w:val="clear" w:color="auto" w:fill="auto"/>
          </w:tcPr>
          <w:p w:rsidR="003F2F76" w:rsidRPr="00AE7913" w:rsidRDefault="003F2F76" w:rsidP="003F2F76">
            <w:pPr>
              <w:jc w:val="left"/>
              <w:rPr>
                <w:sz w:val="16"/>
                <w:szCs w:val="16"/>
                <w:lang w:val="es-ES"/>
              </w:rPr>
            </w:pPr>
            <w:r w:rsidRPr="00AE7913">
              <w:rPr>
                <w:sz w:val="16"/>
                <w:szCs w:val="16"/>
                <w:lang w:val="es-ES"/>
              </w:rPr>
              <w:t>* El consumo máximo permitido total de sustancias del Grupo I del Anexo C se reduciría otras 10 toneladas PAO como máximo al aprobarse un plan para el sector de aire</w:t>
            </w:r>
            <w:r w:rsidR="00AE7913">
              <w:rPr>
                <w:sz w:val="16"/>
                <w:szCs w:val="16"/>
                <w:lang w:val="es-ES"/>
              </w:rPr>
              <w:t xml:space="preserve"> </w:t>
            </w:r>
            <w:r w:rsidRPr="00AE7913">
              <w:rPr>
                <w:sz w:val="16"/>
                <w:szCs w:val="16"/>
                <w:lang w:val="es-ES"/>
              </w:rPr>
              <w:t>acondicionado doméstico como parte de la etapa II</w:t>
            </w:r>
          </w:p>
          <w:p w:rsidR="003F2F76" w:rsidRPr="00AE7913" w:rsidRDefault="003F2F76" w:rsidP="003F2F76">
            <w:pPr>
              <w:jc w:val="left"/>
              <w:rPr>
                <w:color w:val="000000"/>
                <w:sz w:val="16"/>
                <w:szCs w:val="16"/>
                <w:lang w:val="es-ES"/>
              </w:rPr>
            </w:pPr>
            <w:r w:rsidRPr="00AE7913">
              <w:rPr>
                <w:color w:val="000000"/>
                <w:sz w:val="16"/>
                <w:szCs w:val="16"/>
                <w:lang w:val="es-ES"/>
              </w:rPr>
              <w:t>Nota: El acuerdo revisado se considerará en la 84ª reunión.</w:t>
            </w:r>
          </w:p>
        </w:tc>
      </w:tr>
    </w:tbl>
    <w:p w:rsidR="003F2F76" w:rsidRPr="00AE7913" w:rsidRDefault="003F2F76" w:rsidP="003F2F76">
      <w:pPr>
        <w:spacing w:after="60"/>
        <w:rPr>
          <w:sz w:val="16"/>
          <w:szCs w:val="16"/>
          <w:lang w:val="es-ES"/>
        </w:rPr>
      </w:pPr>
    </w:p>
    <w:p w:rsidR="003F2F76" w:rsidRPr="00AE7913" w:rsidRDefault="003F2F76" w:rsidP="003F2F76">
      <w:pPr>
        <w:spacing w:after="60"/>
        <w:rPr>
          <w:sz w:val="16"/>
          <w:szCs w:val="16"/>
          <w:lang w:val="es-ES"/>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3F2F76" w:rsidRPr="00AE7913" w:rsidTr="003F2F76">
        <w:trPr>
          <w:trHeight w:val="240"/>
        </w:trPr>
        <w:tc>
          <w:tcPr>
            <w:tcW w:w="3714" w:type="dxa"/>
            <w:shd w:val="clear" w:color="auto" w:fill="auto"/>
          </w:tcPr>
          <w:p w:rsidR="003F2F76" w:rsidRPr="00AE7913" w:rsidRDefault="003F2F76" w:rsidP="003F2F76">
            <w:pPr>
              <w:spacing w:after="60"/>
              <w:jc w:val="left"/>
              <w:rPr>
                <w:b/>
                <w:sz w:val="18"/>
                <w:lang w:val="es-ES"/>
              </w:rPr>
            </w:pPr>
            <w:r w:rsidRPr="00AE7913">
              <w:rPr>
                <w:b/>
                <w:sz w:val="18"/>
                <w:lang w:val="es-ES"/>
              </w:rPr>
              <w:t>Recomendación de la Secretaría:</w:t>
            </w:r>
          </w:p>
        </w:tc>
        <w:tc>
          <w:tcPr>
            <w:tcW w:w="7278" w:type="dxa"/>
            <w:shd w:val="clear" w:color="auto" w:fill="auto"/>
          </w:tcPr>
          <w:p w:rsidR="003F2F76" w:rsidRPr="00AE7913" w:rsidRDefault="003F2F76" w:rsidP="003F2F76">
            <w:pPr>
              <w:spacing w:after="60"/>
              <w:jc w:val="center"/>
              <w:rPr>
                <w:sz w:val="18"/>
                <w:lang w:val="es-ES"/>
              </w:rPr>
            </w:pPr>
            <w:r w:rsidRPr="00AE7913">
              <w:rPr>
                <w:sz w:val="18"/>
                <w:lang w:val="es-ES"/>
              </w:rPr>
              <w:t>Para consideración individual</w:t>
            </w:r>
          </w:p>
        </w:tc>
      </w:tr>
    </w:tbl>
    <w:p w:rsidR="003F2F76" w:rsidRPr="00AE7913" w:rsidRDefault="003F2F76" w:rsidP="003F2F76">
      <w:pPr>
        <w:rPr>
          <w:lang w:val="es-ES"/>
        </w:rPr>
      </w:pPr>
    </w:p>
    <w:p w:rsidR="003F2F76" w:rsidRPr="00AE7913" w:rsidRDefault="003F2F76" w:rsidP="003F2F76">
      <w:pPr>
        <w:rPr>
          <w:lang w:val="es-ES"/>
        </w:rPr>
      </w:pPr>
    </w:p>
    <w:p w:rsidR="003F2F76" w:rsidRPr="00AE7913" w:rsidRDefault="003F2F76" w:rsidP="003F2F76">
      <w:pPr>
        <w:rPr>
          <w:lang w:val="es-ES"/>
        </w:rPr>
      </w:pPr>
    </w:p>
    <w:p w:rsidR="003F2F76" w:rsidRPr="00AE7913" w:rsidRDefault="003F2F76" w:rsidP="003F2F76">
      <w:pPr>
        <w:rPr>
          <w:lang w:val="es-ES"/>
        </w:rPr>
      </w:pPr>
      <w:r w:rsidRPr="00AE7913">
        <w:rPr>
          <w:lang w:val="es-ES"/>
        </w:rPr>
        <w:br w:type="page"/>
      </w:r>
    </w:p>
    <w:p w:rsidR="003F2F76" w:rsidRPr="00AE7913" w:rsidRDefault="003F2F76" w:rsidP="00E71452">
      <w:pPr>
        <w:keepNext/>
        <w:jc w:val="center"/>
        <w:rPr>
          <w:b/>
          <w:lang w:val="es-ES"/>
        </w:rPr>
      </w:pPr>
      <w:r w:rsidRPr="00AE7913">
        <w:rPr>
          <w:b/>
          <w:lang w:val="es-ES"/>
        </w:rPr>
        <w:lastRenderedPageBreak/>
        <w:t>DESCRIPCIÓN DEL PROYECTO</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En nombre del Gobierno de Egipto, la ONUDI, en su calidad de organismo de ejecución principal, ha presentado una solicitud de financiación del segundo tramo de la etapa I del plan de gestión de eliminación de HCFC (PGEH), con un costo total de 3 320 316 $EUA, que comprenden 755 000 $EUA, más gastos de apoyo del organismo de 52 850 $EUA para la ONUDI, 1 836 750 $EUA, más gastos de apoyo del organismo de 128,573 para el PNUD, 279 500 $EUA, más gastos de apoyo del organismo de 33 394 $EUA para el PNUMA y 207 300 $EUA, más gastos de apoyo del organismo de 26 949 $EUA para el Gobierno de Alemania</w:t>
      </w:r>
      <w:r w:rsidRPr="00AE7913">
        <w:rPr>
          <w:rStyle w:val="FootnoteReference"/>
          <w:lang w:val="es-ES"/>
        </w:rPr>
        <w:footnoteReference w:id="10"/>
      </w:r>
      <w:r w:rsidRPr="00AE7913">
        <w:rPr>
          <w:lang w:val="es-ES"/>
        </w:rPr>
        <w:t>. La comunicación incluye un informe de los progresos realizados en la ejecución del primer tramo, el informe de verificación del consumo de HCFC para 2018 y el plan de ejecución del tramo para el período de 2019 a 2021.</w:t>
      </w:r>
    </w:p>
    <w:p w:rsidR="003F2F76" w:rsidRPr="00AE7913" w:rsidRDefault="003F2F76" w:rsidP="003F2F76">
      <w:pPr>
        <w:pStyle w:val="Heading1"/>
        <w:rPr>
          <w:lang w:val="es-ES"/>
        </w:rPr>
      </w:pPr>
      <w:r w:rsidRPr="00AE7913">
        <w:rPr>
          <w:lang w:val="es-ES"/>
        </w:rPr>
        <w:t>En la 79ª reunión, el Comité Ejecutivo decidió invitar al Gobierno de Egipto, en forma excepcional, a que, una vez escogida la tecnología, presente, antes del 1 de enero de 2020, y como parte de la etapa II, una propuesta para la conversión del sector de aire acondicionado doméstico a alternativas de bajo potencial de calentamiento atmosférico (decisión 79/34 d))</w:t>
      </w:r>
      <w:r w:rsidR="00E71452">
        <w:rPr>
          <w:lang w:val="es-ES"/>
        </w:rPr>
        <w:t xml:space="preserve">. </w:t>
      </w:r>
      <w:r w:rsidRPr="00AE7913">
        <w:rPr>
          <w:lang w:val="es-ES"/>
        </w:rPr>
        <w:t>En nombre del Gobierno de Egipto, la ONUDI ha presentado un proyecto para convertir el sector de fabricación de equipos de aire acondicionado residencial a base de HC</w:t>
      </w:r>
      <w:r w:rsidR="0013300C">
        <w:rPr>
          <w:lang w:val="es-ES"/>
        </w:rPr>
        <w:t>FC</w:t>
      </w:r>
      <w:r w:rsidR="0013300C">
        <w:rPr>
          <w:lang w:val="es-ES"/>
        </w:rPr>
        <w:noBreakHyphen/>
      </w:r>
      <w:r w:rsidRPr="00AE7913">
        <w:rPr>
          <w:lang w:val="es-ES"/>
        </w:rPr>
        <w:t>22, por un monto de 11 710 018 $EUA, más gastos de apoyo del organismo de 819 701 $EUA, según lo presentado. El proyecto, en el caso de que sea aprobado, se incorporará en el Acuerdo con el Comité Ejecutivo para la etapa II del PGEH</w:t>
      </w:r>
      <w:r w:rsidRPr="00AE7913">
        <w:rPr>
          <w:rStyle w:val="FootnoteReference"/>
          <w:lang w:val="es-ES"/>
        </w:rPr>
        <w:footnoteReference w:id="11"/>
      </w:r>
      <w:r w:rsidRPr="00AE7913">
        <w:rPr>
          <w:lang w:val="es-ES"/>
        </w:rPr>
        <w:t>.</w:t>
      </w:r>
    </w:p>
    <w:p w:rsidR="003F2F76" w:rsidRPr="00AE7913" w:rsidRDefault="003F2F76" w:rsidP="003F2F76">
      <w:pPr>
        <w:rPr>
          <w:u w:val="single"/>
          <w:lang w:val="es-ES"/>
        </w:rPr>
      </w:pPr>
      <w:r w:rsidRPr="00AE7913">
        <w:rPr>
          <w:u w:val="single"/>
          <w:lang w:val="es-ES"/>
        </w:rPr>
        <w:t>Informe sobre el consumo de HCFC</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 xml:space="preserve">Como se describe en el párrafo 8 del presente documento, el Gobierno notificó un consumo de HCFC de 287,45 toneladas PAO en 2018, cifra inferior al objetivo especificado en el Acuerdo del país con el Comité Ejecutivo para 2018, y 26% inferior al nivel básico de HCFC para el cumplimiento. </w:t>
      </w:r>
    </w:p>
    <w:p w:rsidR="003F2F76" w:rsidRPr="00AE7913" w:rsidRDefault="003F2F76" w:rsidP="003F2F76">
      <w:pPr>
        <w:rPr>
          <w:i/>
          <w:lang w:val="es-ES"/>
        </w:rPr>
      </w:pPr>
      <w:r w:rsidRPr="00AE7913">
        <w:rPr>
          <w:i/>
          <w:lang w:val="es-ES"/>
        </w:rPr>
        <w:t>Informe de verificación</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informe de verificación confirmó que el Gobierno está aplicando un sistema de concesión de licencias y cupos para las importaciones y exportaciones de HCFC y que el consumo total de HCFC para 2018 fue de 287,48 toneladas PAO. En la verificación, se concluyó que Egipto ha cumplido el consumo máximo permitido en 2018 para todas las sustancias del Grupo I del Anexo C, como se indica en su Acuerdo con el Comité Ejecutivo, y que el consumo verificado y el consumo notificado con arreglo al artículo 7 del Protocolo de Montreal una vez redondeadas las cifras. En el informe se señala que los envíos sospechosos de sustancias controladas que se encuentran en el puerto de entrada son detenidos por la autoridad aduanera, y se informa a la DNO y la Organización General de Control de Importación y Exportación. Una vez que se confirma que el envío no guarda conformidad con la licencia expedida, y el importador ha tenido oportunidad de solicitar otra verificación, el importador debe devolver el envío al exportador con cargo al importador; además, se informa al país exportador a través del Mecanismo Informal de Consentimiento Fundamentado Previo (iPIC) y este debe dar su aprobación para la reimportación del envío. Se siguió este proceso para dos envíos de SAO sospechosos en 2010; desde ese entonces, no se han identificado envíos sospechosos, incluidos envíos de C</w:t>
      </w:r>
      <w:r w:rsidR="0013300C">
        <w:rPr>
          <w:lang w:val="es-ES"/>
        </w:rPr>
        <w:t>FC</w:t>
      </w:r>
      <w:r w:rsidR="0013300C">
        <w:rPr>
          <w:lang w:val="es-ES"/>
        </w:rPr>
        <w:noBreakHyphen/>
      </w:r>
      <w:r w:rsidRPr="00AE7913">
        <w:rPr>
          <w:lang w:val="es-ES"/>
        </w:rPr>
        <w:t>11 o C</w:t>
      </w:r>
      <w:r w:rsidR="0013300C">
        <w:rPr>
          <w:lang w:val="es-ES"/>
        </w:rPr>
        <w:t>FC</w:t>
      </w:r>
      <w:r w:rsidR="0013300C">
        <w:rPr>
          <w:lang w:val="es-ES"/>
        </w:rPr>
        <w:noBreakHyphen/>
      </w:r>
      <w:r w:rsidRPr="00AE7913">
        <w:rPr>
          <w:lang w:val="es-ES"/>
        </w:rPr>
        <w:t>12. Tras la enmienda de la ley de desechos peligrosos introducida en 2009, las sanciones por la contravención de los reglamentos de importación del país para las sustancias controladas pueden incluir encarcelamiento (hasta cinco años) y una multa de entre 20 000 y 40 000 libras egipcias (entre 1 240 y 2 842 $EUA).</w:t>
      </w:r>
    </w:p>
    <w:p w:rsidR="003F2F76" w:rsidRPr="00AE7913" w:rsidRDefault="003F2F76" w:rsidP="003F2F76">
      <w:pPr>
        <w:keepNext/>
        <w:keepLines/>
        <w:rPr>
          <w:u w:val="single"/>
          <w:lang w:val="es-ES"/>
        </w:rPr>
      </w:pPr>
      <w:r w:rsidRPr="00AE7913">
        <w:rPr>
          <w:u w:val="single"/>
          <w:lang w:val="es-ES"/>
        </w:rPr>
        <w:lastRenderedPageBreak/>
        <w:t>Informe sobre la marcha de las actividades relativo a la ejecución del primer tramo del plan de gestión de eliminación de HCFC</w:t>
      </w:r>
    </w:p>
    <w:p w:rsidR="003F2F76" w:rsidRPr="00AE7913" w:rsidRDefault="003F2F76" w:rsidP="003F2F76">
      <w:pPr>
        <w:keepNext/>
        <w:keepLines/>
        <w:rPr>
          <w:lang w:val="es-ES"/>
        </w:rPr>
      </w:pPr>
    </w:p>
    <w:p w:rsidR="003F2F76" w:rsidRPr="00AE7913" w:rsidRDefault="003F2F76" w:rsidP="003F2F76">
      <w:pPr>
        <w:keepNext/>
        <w:keepLines/>
        <w:spacing w:after="240"/>
        <w:outlineLvl w:val="0"/>
        <w:rPr>
          <w:u w:val="single"/>
          <w:lang w:val="es-ES"/>
        </w:rPr>
      </w:pPr>
      <w:r w:rsidRPr="00AE7913">
        <w:rPr>
          <w:u w:val="single"/>
          <w:lang w:val="es-ES"/>
        </w:rPr>
        <w:t>Actividades en el sector de fabricación</w:t>
      </w:r>
    </w:p>
    <w:p w:rsidR="003F2F76" w:rsidRPr="00AE7913" w:rsidRDefault="003F2F76" w:rsidP="003F2F76">
      <w:pPr>
        <w:keepNext/>
        <w:keepLines/>
        <w:spacing w:after="240"/>
        <w:outlineLvl w:val="0"/>
        <w:rPr>
          <w:i/>
          <w:lang w:val="es-ES"/>
        </w:rPr>
      </w:pPr>
      <w:r w:rsidRPr="00AE7913">
        <w:rPr>
          <w:i/>
          <w:lang w:val="es-ES"/>
        </w:rPr>
        <w:t>Sector de fabricación de espumas de PU</w:t>
      </w:r>
    </w:p>
    <w:p w:rsidR="003F2F76" w:rsidRPr="00AE7913" w:rsidRDefault="003F2F76" w:rsidP="003F2F76">
      <w:pPr>
        <w:pStyle w:val="Heading1"/>
        <w:rPr>
          <w:lang w:val="es-ES"/>
        </w:rPr>
      </w:pPr>
      <w:r w:rsidRPr="00AE7913">
        <w:rPr>
          <w:lang w:val="es-ES"/>
        </w:rPr>
        <w:t>El sector de la fabricación de espumas de PU incluyó: la conversión de las restantes ocho empresas que fabrican refrigeradores domésticos a ciclopentano (Bahgat, Fresh, Ocean, Siltal, Star, Top Maker y Tredco, con asistencia del Fondo Multilateral; la empresa Everest financiaría su conversión con sus propios recursos); la conversión de dos empresas (Electrostar y Kiriazi) que fabrican calentadores de agua eléctricos a ciclopentano; un proyecto grupal, a través de Beta Technical and Trading Bureau, un proveedor de sistemas, para la conversión de 38 empresas pequeñas y medianas (EPM) a formiato de metilo (MF), con financiación del Fondo Multilateral para 28 EPM; las 10 EPM restantes realizarían la conversión con sus propios recursos. La eliminación total de HC</w:t>
      </w:r>
      <w:r w:rsidR="0013300C">
        <w:rPr>
          <w:lang w:val="es-ES"/>
        </w:rPr>
        <w:t>FC</w:t>
      </w:r>
      <w:r w:rsidR="0013300C">
        <w:rPr>
          <w:lang w:val="es-ES"/>
        </w:rPr>
        <w:noBreakHyphen/>
      </w:r>
      <w:r w:rsidRPr="00AE7913">
        <w:rPr>
          <w:lang w:val="es-ES"/>
        </w:rPr>
        <w:t xml:space="preserve">141b para la que se aprobó financiación en el subsector de fabricación de equipos de refrigeración doméstica fue de 422,50 tm (46,48 toneladas PAO) y 49,79 tm (5,48 toneladas PAO) en el subsector de espumas de aislamiento de PU, por lo que el total asciende a 472,29 tm (51,95 toneladas PAO). Everest y las otras 10 EPM eliminarían otras 114,43 tm (12,59 toneladas PAO) con sus propios recursos. El Comité Ejecutivo tomó nota de que el Gobierno de Egipto tendría flexibilidad para asignar fondos a las empresas admisibles del sector de espumas de PU para las cuales no se había solicitado financiación, si así se estimaba necesario durante la ejecución (decisión 79/34 e)). </w:t>
      </w:r>
    </w:p>
    <w:p w:rsidR="003F2F76" w:rsidRPr="00AE7913" w:rsidRDefault="003F2F76" w:rsidP="003F2F76">
      <w:pPr>
        <w:pStyle w:val="Heading1"/>
        <w:rPr>
          <w:lang w:val="es-ES"/>
        </w:rPr>
      </w:pPr>
      <w:r w:rsidRPr="00AE7913">
        <w:rPr>
          <w:lang w:val="es-ES"/>
        </w:rPr>
        <w:t>Se visitaron las ocho empresas que fabrican refrigeradores domésticos, se firmó un acuerdo de trabajo</w:t>
      </w:r>
      <w:r w:rsidRPr="00AE7913">
        <w:rPr>
          <w:rStyle w:val="FootnoteReference"/>
          <w:lang w:val="es-ES"/>
        </w:rPr>
        <w:footnoteReference w:id="12"/>
      </w:r>
      <w:r w:rsidRPr="00AE7913">
        <w:rPr>
          <w:lang w:val="es-ES"/>
        </w:rPr>
        <w:t xml:space="preserve"> con cada una de ellas y se prepararon los mandatos. Se completó la licitación para las siete empresas para las que se aprobó financiación del Fondo Multilateral, se seleccionaron los proveedores de equipos y se expidieron las órdenes de compra. Se habían entregado los equipos a tres empresas (Bahgat, Fresh y Star) y se está llevando a cabo la instalación y puesta en servicio; la entrega de los equipos para otras dos empresas (Siltal y Tredco) estaba prevista para octubre y se tenía previsto completar la instalación y puesta en servicio a más tardar el 31 de diciembre de 2019. Se prevé que los equipos para Ocean y Top Maker se entregarán a más tardar el 31 de diciembre de 2019 y se prevé que la instalación y puesta en servicio se habrá completado en el primer trimestre de 2020. Ambas empresas dejarán de fabricar espumas a base de HCFC a partir del 1 de enero de 2020. Se prevé que los equipos para Everest, la empresa para la que no se aprobó financiación, se entreguen a más tardar a finales de 2019, y se prevé que la instalación y puesta en servicio se habrá completado en el primer trimestre de 2020. La empresa se ha comprometido a dejar de fabricar espumas a base de HCFC a partir del 1 de enero de 2020.</w:t>
      </w:r>
    </w:p>
    <w:p w:rsidR="003F2F76" w:rsidRPr="00AE7913" w:rsidRDefault="003F2F76" w:rsidP="003F2F76">
      <w:pPr>
        <w:pStyle w:val="Heading1"/>
        <w:rPr>
          <w:lang w:val="es-ES"/>
        </w:rPr>
      </w:pPr>
      <w:r w:rsidRPr="00AE7913">
        <w:rPr>
          <w:lang w:val="es-ES"/>
        </w:rPr>
        <w:t>Se han firmado memorandos de acuerdo</w:t>
      </w:r>
      <w:r w:rsidRPr="00AE7913">
        <w:rPr>
          <w:rStyle w:val="FootnoteReference"/>
          <w:lang w:val="es-ES"/>
        </w:rPr>
        <w:footnoteReference w:id="13"/>
      </w:r>
      <w:r w:rsidRPr="00AE7913">
        <w:rPr>
          <w:lang w:val="es-ES"/>
        </w:rPr>
        <w:t xml:space="preserve"> con las dos empresas que fabrican calentadores de agua eléctricos (Electrostar y Kiriazi). Se ha completado la licitación internacional, se han seleccionado los proveedores de equipos y se han expedido las órdenes de compra. Se prevé que los equipos se entregarán a más tardar el 31 de diciembre de 2019 y se prevé que la instalación y puesta en servicio se habrá completado en el primer trimestre de 2020. Ambas empresas dejarán de fabricar espumas a base de HCFC a partir del 1 de enero de 2020. </w:t>
      </w:r>
    </w:p>
    <w:p w:rsidR="003F2F76" w:rsidRPr="00AE7913" w:rsidRDefault="003F2F76" w:rsidP="003F2F76">
      <w:pPr>
        <w:pStyle w:val="Heading1"/>
        <w:rPr>
          <w:lang w:val="es-ES"/>
        </w:rPr>
      </w:pPr>
      <w:r w:rsidRPr="00AE7913">
        <w:rPr>
          <w:lang w:val="es-ES"/>
        </w:rPr>
        <w:t xml:space="preserve">Se ha firmado el memorando de acuerdo con Beta Technical and Trading Bureau y se han completado los ensayos con MF en 24 EPM; esos clientes han firmado una declaración de terminación y un compromiso de dejar de fabricar espumas a base de HCFC. Los ensayos en las otras cuatro EPM para las que se proporcionó financiación están en curso; se prevé que la conversión a MF se habrá finalizado a más tardar el 31 de diciembre de 2019. El PNUD confirmó que las 28 empresas son admisibles para la financiación. Se determinó que las restantes 10 EPM no son admisibles para la financiación; aunque se </w:t>
      </w:r>
      <w:r w:rsidRPr="00AE7913">
        <w:rPr>
          <w:lang w:val="es-ES"/>
        </w:rPr>
        <w:lastRenderedPageBreak/>
        <w:t>desconoce el estado de su conversión y la(s) alternativa(s) seleccionada(s), su conversión se habrá completado a más tardar el 31 de diciembre de 2019, en consonancia con la prohibición que entrará en vigor el 1 de enero de 2020.</w:t>
      </w:r>
    </w:p>
    <w:p w:rsidR="003F2F76" w:rsidRPr="00AE7913" w:rsidRDefault="003F2F76" w:rsidP="003F2F76">
      <w:pPr>
        <w:keepNext/>
        <w:keepLines/>
        <w:rPr>
          <w:i/>
          <w:lang w:val="es-ES"/>
        </w:rPr>
      </w:pPr>
      <w:r w:rsidRPr="00AE7913">
        <w:rPr>
          <w:i/>
          <w:lang w:val="es-ES"/>
        </w:rPr>
        <w:t>Asistencia técnica para el sector de fabricación de equipos de A/A residencial</w:t>
      </w:r>
    </w:p>
    <w:p w:rsidR="003F2F76" w:rsidRPr="00AE7913" w:rsidRDefault="003F2F76" w:rsidP="003F2F76">
      <w:pPr>
        <w:keepNext/>
        <w:keepLines/>
        <w:rPr>
          <w:lang w:val="es-ES"/>
        </w:rPr>
      </w:pPr>
    </w:p>
    <w:p w:rsidR="003F2F76" w:rsidRPr="00AE7913" w:rsidRDefault="003F2F76" w:rsidP="003F2F76">
      <w:pPr>
        <w:pStyle w:val="Heading1"/>
        <w:keepNext/>
        <w:keepLines/>
        <w:rPr>
          <w:lang w:val="es-ES"/>
        </w:rPr>
      </w:pPr>
      <w:r w:rsidRPr="00AE7913">
        <w:rPr>
          <w:lang w:val="es-ES"/>
        </w:rPr>
        <w:t>Según los datos proporcionados por cinco fabricantes de equipos de A/A (El-Araby, Fresh, Miraco, Power y Unionaire) acerca de las unidades originales y la conversión planificada, se evaluaron el cambio de refrigerante y los datos de rendimiento para la validación. El consultor internacional realizó amplias tareas de modelización, validación y optimización de rendimiento para los diferentes fabricantes. Se han desarrollado y validado modelos para los equipos de base. Se han realizado simulaciones usando los refrigerantes alternativos sugeridos tanto para uso inmediato como con una optimización liviana para coincidir con la capacidad básica. Se organizaron visitas a los sitios, en las que se impartió capacitación sobre la herramienta de simulación del sistema (Modelo de diseño de bomba de calor de ORNL), así como se organizó un taller para mejorar aún más el rendimiento del sistema al cambiar el refrigerante del sistema a un refrigerante de PCA más bajo.</w:t>
      </w:r>
    </w:p>
    <w:p w:rsidR="003F2F76" w:rsidRPr="00AE7913" w:rsidRDefault="003F2F76" w:rsidP="003F2F76">
      <w:pPr>
        <w:rPr>
          <w:u w:val="single"/>
          <w:lang w:val="es-ES"/>
        </w:rPr>
      </w:pPr>
      <w:r w:rsidRPr="00AE7913">
        <w:rPr>
          <w:u w:val="single"/>
          <w:lang w:val="es-ES"/>
        </w:rPr>
        <w:t>Actividades en el sector de servicio y mantenimiento de refrigeración</w:t>
      </w:r>
    </w:p>
    <w:p w:rsidR="003F2F76" w:rsidRPr="00AE7913" w:rsidRDefault="003F2F76" w:rsidP="003F2F76">
      <w:pPr>
        <w:rPr>
          <w:u w:val="single"/>
          <w:lang w:val="es-ES"/>
        </w:rPr>
      </w:pPr>
    </w:p>
    <w:p w:rsidR="003F2F76" w:rsidRPr="00AE7913" w:rsidRDefault="003F2F76" w:rsidP="003F2F76">
      <w:pPr>
        <w:pStyle w:val="Heading1"/>
        <w:rPr>
          <w:lang w:val="es-ES"/>
        </w:rPr>
      </w:pPr>
      <w:r w:rsidRPr="00AE7913">
        <w:rPr>
          <w:lang w:val="es-ES"/>
        </w:rPr>
        <w:t>Se completaron las actividades siguientes:</w:t>
      </w:r>
    </w:p>
    <w:p w:rsidR="003F2F76" w:rsidRPr="00AE7913" w:rsidRDefault="003F2F76" w:rsidP="003F2F76">
      <w:pPr>
        <w:pStyle w:val="Heading2"/>
        <w:widowControl/>
        <w:rPr>
          <w:lang w:val="es-ES"/>
        </w:rPr>
      </w:pPr>
      <w:r w:rsidRPr="00AE7913">
        <w:rPr>
          <w:lang w:val="es-ES"/>
        </w:rPr>
        <w:t>Se firmó un protocolo entre el Organismo de Asuntos Ambientales de Egipto y el Organismo de Protección del Consumidor a fin de supervisar y reducir los productos refrigerantes falsificados en el mercado local; se redactó el mandato para un estudio sobre los efectos socioeconómicos de la eliminación de los HCFC y el uso de alternativas en el sector de refrigeración y aire acondicionado;</w:t>
      </w:r>
    </w:p>
    <w:p w:rsidR="003F2F76" w:rsidRPr="00AE7913" w:rsidRDefault="003F2F76" w:rsidP="003F2F76">
      <w:pPr>
        <w:pStyle w:val="Heading2"/>
        <w:widowControl/>
        <w:rPr>
          <w:lang w:val="es-ES"/>
        </w:rPr>
      </w:pPr>
      <w:r w:rsidRPr="00AE7913">
        <w:rPr>
          <w:lang w:val="es-ES"/>
        </w:rPr>
        <w:t>Se llevó a cabo un taller de capacitación de instructores para 30 inspectores del Organismo de Protección del Consumidor y ocho talleres para capacitar a 140 inspectores de ese Organismo, y se tiene previsto impartir otros 10 talleres para capacitar a 175 inspectores del organismo en las provincias restantes en octubre de 2019</w:t>
      </w:r>
      <w:r w:rsidR="00E71452">
        <w:rPr>
          <w:lang w:val="es-ES"/>
        </w:rPr>
        <w:t xml:space="preserve">. </w:t>
      </w:r>
      <w:r w:rsidRPr="00AE7913">
        <w:rPr>
          <w:lang w:val="es-ES"/>
        </w:rPr>
        <w:t xml:space="preserve">Entre los temas se incluyeron la legislación y la supervisión del suministro y el uso de HCFC; </w:t>
      </w:r>
    </w:p>
    <w:p w:rsidR="003F2F76" w:rsidRPr="00AE7913" w:rsidRDefault="003F2F76" w:rsidP="003F2F76">
      <w:pPr>
        <w:pStyle w:val="Heading2"/>
        <w:widowControl/>
        <w:rPr>
          <w:lang w:val="es-ES"/>
        </w:rPr>
      </w:pPr>
      <w:r w:rsidRPr="00AE7913">
        <w:rPr>
          <w:lang w:val="es-ES"/>
        </w:rPr>
        <w:t>Se firmó un protocolo con el Ministerio de Industria y Comercio a fin de examinar los reglamentos y políticas e introducir medidas para intensificar la vigilancia de las sustancias controladas; se actualizaron los códigos aduaneros para las sustancias controladas conforme a las actualizaciones de la Organización Mundial de Aduanas;</w:t>
      </w:r>
    </w:p>
    <w:p w:rsidR="003F2F76" w:rsidRPr="00AE7913" w:rsidRDefault="003F2F76" w:rsidP="003F2F76">
      <w:pPr>
        <w:pStyle w:val="Heading2"/>
        <w:widowControl/>
        <w:rPr>
          <w:lang w:val="es-ES"/>
        </w:rPr>
      </w:pPr>
      <w:r w:rsidRPr="00AE7913">
        <w:rPr>
          <w:lang w:val="es-ES"/>
        </w:rPr>
        <w:t>Se realizó la compra de 10 identificadores de refrigerantes para los inspectores de aduanas y el Organismo de Protección del Consumidor y se impartió capacitación sobre su uso a 180 inspectores;</w:t>
      </w:r>
    </w:p>
    <w:p w:rsidR="003F2F76" w:rsidRPr="00AE7913" w:rsidRDefault="003F2F76" w:rsidP="003F2F76">
      <w:pPr>
        <w:pStyle w:val="Heading2"/>
        <w:widowControl/>
        <w:rPr>
          <w:lang w:val="es-ES"/>
        </w:rPr>
      </w:pPr>
      <w:r w:rsidRPr="00AE7913">
        <w:rPr>
          <w:lang w:val="es-ES"/>
        </w:rPr>
        <w:t>El 25 de julio de 2019 se publicó una decisión ministerial que actualiza la lista de sustancias controladas e incluye todas las mezclas de HCFC importadas; la autoridad aduanera publicó en 2019 una norma para prohibir la importación de HC</w:t>
      </w:r>
      <w:r w:rsidR="0013300C">
        <w:rPr>
          <w:lang w:val="es-ES"/>
        </w:rPr>
        <w:t>FC</w:t>
      </w:r>
      <w:r w:rsidR="0013300C">
        <w:rPr>
          <w:lang w:val="es-ES"/>
        </w:rPr>
        <w:noBreakHyphen/>
      </w:r>
      <w:r w:rsidRPr="00AE7913">
        <w:rPr>
          <w:lang w:val="es-ES"/>
        </w:rPr>
        <w:t>141b a partir del 1 de enero de 2020; se actualizaron los permisos de importación de HC</w:t>
      </w:r>
      <w:r w:rsidR="0013300C">
        <w:rPr>
          <w:lang w:val="es-ES"/>
        </w:rPr>
        <w:t>FC</w:t>
      </w:r>
      <w:r w:rsidR="0013300C">
        <w:rPr>
          <w:lang w:val="es-ES"/>
        </w:rPr>
        <w:noBreakHyphen/>
      </w:r>
      <w:r w:rsidRPr="00AE7913">
        <w:rPr>
          <w:lang w:val="es-ES"/>
        </w:rPr>
        <w:t>22 para limitar las importaciones a 40 tm;</w:t>
      </w:r>
    </w:p>
    <w:p w:rsidR="003F2F76" w:rsidRPr="00AE7913" w:rsidRDefault="003F2F76" w:rsidP="003F2F76">
      <w:pPr>
        <w:pStyle w:val="Heading2"/>
        <w:widowControl/>
        <w:rPr>
          <w:lang w:val="es-ES"/>
        </w:rPr>
      </w:pPr>
      <w:r w:rsidRPr="00AE7913">
        <w:rPr>
          <w:lang w:val="es-ES"/>
        </w:rPr>
        <w:t xml:space="preserve">Se han iniciado las actividades para establecer el programa de vigilancia del mercado de refrigerantes, entre las que se incluye la enmienda de los procedimientos operativos de la Ley de protección al consumidor de Egipto (181/2018) para incluir las sustancias controladas en esos procedimientos, y se elaboraron materiales de una campaña de </w:t>
      </w:r>
      <w:r w:rsidRPr="00AE7913">
        <w:rPr>
          <w:lang w:val="es-ES"/>
        </w:rPr>
        <w:lastRenderedPageBreak/>
        <w:t xml:space="preserve">sensibilización dirigida a comerciantes, minoristas y consumidores acerca de los productos fraudulentos; se prevé que la campaña comenzará en enero de 2020; </w:t>
      </w:r>
    </w:p>
    <w:p w:rsidR="003F2F76" w:rsidRPr="00AE7913" w:rsidRDefault="003F2F76" w:rsidP="003F2F76">
      <w:pPr>
        <w:pStyle w:val="Heading2"/>
        <w:keepNext/>
        <w:keepLines/>
        <w:widowControl/>
        <w:rPr>
          <w:lang w:val="es-ES"/>
        </w:rPr>
      </w:pPr>
      <w:r w:rsidRPr="00AE7913">
        <w:rPr>
          <w:lang w:val="es-ES"/>
        </w:rPr>
        <w:t>Se firmaron protocolos de cooperación con los dos centros de capacitación vocacional para armar un programa nacional de certificación y el borrador del sistema de certificación está en examen; se firmó un protocolo de cooperación con la Organización de Normas y Calidad de Egipto, que comenzó a preparar directrices que el Ministerio de Trabajo aplicará para expedir la certificación a los centros de servicio y mantenimiento y a los técnicos</w:t>
      </w:r>
      <w:r w:rsidRPr="00AE7913">
        <w:rPr>
          <w:rStyle w:val="FootnoteReference"/>
          <w:lang w:val="es-ES"/>
        </w:rPr>
        <w:footnoteReference w:id="14"/>
      </w:r>
      <w:r w:rsidRPr="00AE7913">
        <w:rPr>
          <w:lang w:val="es-ES"/>
        </w:rPr>
        <w:t xml:space="preserve">; y se ha publicado una convocatoria de presentación de propuestas para un centro piloto de servicio de recuperación y regeneración de refrigerante; </w:t>
      </w:r>
    </w:p>
    <w:p w:rsidR="003F2F76" w:rsidRPr="00AE7913" w:rsidRDefault="003F2F76" w:rsidP="003F2F76">
      <w:pPr>
        <w:pStyle w:val="Heading2"/>
        <w:widowControl/>
        <w:rPr>
          <w:lang w:val="es-ES"/>
        </w:rPr>
      </w:pPr>
      <w:r w:rsidRPr="00AE7913">
        <w:rPr>
          <w:lang w:val="es-ES"/>
        </w:rPr>
        <w:t xml:space="preserve">Se redactaron las actualizaciones de los programas de estudios de educación técnica y vocacional y se han evaluado los equipos y herramientas necesarios para la capacitación; se está realizando el examen final de la actualización y evaluación; </w:t>
      </w:r>
    </w:p>
    <w:p w:rsidR="003F2F76" w:rsidRPr="00AE7913" w:rsidRDefault="003F2F76" w:rsidP="003F2F76">
      <w:pPr>
        <w:pStyle w:val="Heading2"/>
        <w:widowControl/>
        <w:rPr>
          <w:lang w:val="es-ES"/>
        </w:rPr>
      </w:pPr>
      <w:r w:rsidRPr="00AE7913">
        <w:rPr>
          <w:lang w:val="es-ES"/>
        </w:rPr>
        <w:t>Se firmó un protocolo de cooperación con el Centro de Vivienda e Investigación de la Construcción para actualizar los códigos nacionales y facilitar la introducción de alternativas de bajo PCA; y</w:t>
      </w:r>
    </w:p>
    <w:p w:rsidR="003F2F76" w:rsidRPr="00AE7913" w:rsidRDefault="003F2F76" w:rsidP="003F2F76">
      <w:pPr>
        <w:pStyle w:val="Heading2"/>
        <w:widowControl/>
        <w:rPr>
          <w:lang w:val="es-ES"/>
        </w:rPr>
      </w:pPr>
      <w:r w:rsidRPr="00AE7913">
        <w:rPr>
          <w:lang w:val="es-ES"/>
        </w:rPr>
        <w:t>Se diseñó una campaña de sensibilización sobre alternativas de bajo PCA, con tres talleres para 188 participantes y un seminario técnico sobre alternativas de bajo PCA para aproximadamente 50 investigadores en el Instituto de Estudios e Investigación sobre el Medio Ambiente de la Universidad Ain Shams.</w:t>
      </w:r>
    </w:p>
    <w:p w:rsidR="003F2F76" w:rsidRPr="00AE7913" w:rsidRDefault="003F2F76" w:rsidP="003F2F76">
      <w:pPr>
        <w:rPr>
          <w:i/>
          <w:lang w:val="es-ES"/>
        </w:rPr>
      </w:pPr>
      <w:r w:rsidRPr="00AE7913">
        <w:rPr>
          <w:i/>
          <w:lang w:val="es-ES"/>
        </w:rPr>
        <w:t>Dependencia de ejecución y supervisión del proyecto (DGP)</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 xml:space="preserve">La gestión del proyecto se dividió en dos componentes, uno relacionado con la ONUDI y el otro con el PNUD, para gestionar las respectivas actividades del proyecto. El primero de estos organismos supervisa todas las actividades del proyecto y la coordinación general. La ONUDI contrató a consultores nacionales para coordinar y supervisar la ejecución del proyecto, lo que incluye visitas a los beneficiarios y a los interesados directos, la organización de talleres, reuniones y eventos; y la redacción y distribución de documentación de apoyo y materiales de sensibilización (89 397 $EUA). El PNUD contrató a un administrador de proyecto para hacer visitas a los beneficiarios, prestar apoyo técnico para la especificación de los equipos e informar acerca de los progresos en la ejecución, elaborar contratos para los beneficiarios, en consulta con la DNO y el PNUD y gestionar la ejecución cotidiana de las actividades del PGEH y el control financiero (14 314 $EUA). </w:t>
      </w:r>
    </w:p>
    <w:p w:rsidR="003F2F76" w:rsidRPr="00AE7913" w:rsidRDefault="003F2F76" w:rsidP="003F2F76">
      <w:pPr>
        <w:rPr>
          <w:u w:val="single"/>
          <w:lang w:val="es-ES"/>
        </w:rPr>
      </w:pPr>
      <w:r w:rsidRPr="00AE7913">
        <w:rPr>
          <w:u w:val="single"/>
          <w:lang w:val="es-ES"/>
        </w:rPr>
        <w:t>Nivel de desembolso de fondos</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A septiembre de 2019, de los 4 628 993 $EUA aprobados hasta ahora (3 356 641 $EUA para la ONUDI, 1 042 352 $EUA para el PNUD y 230 000 $EUA para el PNUMA), se habían desembolsado 1 523 242 $EUA (33%) (895 028 $EUA para la ONUDI, 465 314 $EUA para el PNUD y 162 900 $EUA para el PNUMA). El saldo de 3 105 751 $EUA se desembolsará en 2020-2021.</w:t>
      </w:r>
    </w:p>
    <w:p w:rsidR="003F2F76" w:rsidRPr="00AE7913" w:rsidRDefault="003F2F76" w:rsidP="00E71452">
      <w:pPr>
        <w:keepNext/>
        <w:rPr>
          <w:u w:val="single"/>
          <w:lang w:val="es-ES"/>
        </w:rPr>
      </w:pPr>
      <w:r w:rsidRPr="00AE7913">
        <w:rPr>
          <w:u w:val="single"/>
          <w:lang w:val="es-ES"/>
        </w:rPr>
        <w:lastRenderedPageBreak/>
        <w:t>Plan de ejecución para el segundo tramo del PGEH</w:t>
      </w:r>
    </w:p>
    <w:p w:rsidR="003F2F76" w:rsidRPr="00AE7913" w:rsidRDefault="003F2F76" w:rsidP="00E71452">
      <w:pPr>
        <w:keepNext/>
        <w:rPr>
          <w:lang w:val="es-ES"/>
        </w:rPr>
      </w:pPr>
    </w:p>
    <w:p w:rsidR="003F2F76" w:rsidRPr="00AE7913" w:rsidRDefault="003F2F76" w:rsidP="00E71452">
      <w:pPr>
        <w:pStyle w:val="Heading1"/>
        <w:keepNext/>
        <w:rPr>
          <w:lang w:val="es-ES"/>
        </w:rPr>
      </w:pPr>
      <w:r w:rsidRPr="00AE7913">
        <w:rPr>
          <w:lang w:val="es-ES"/>
        </w:rPr>
        <w:t>Las actividades siguientes se ejecutarán entre enero de 2020 y diciembre de 2022:</w:t>
      </w:r>
    </w:p>
    <w:p w:rsidR="003F2F76" w:rsidRPr="00AE7913" w:rsidRDefault="003F2F76" w:rsidP="003F2F76">
      <w:pPr>
        <w:pStyle w:val="Heading2"/>
        <w:widowControl/>
        <w:rPr>
          <w:lang w:val="es-ES"/>
        </w:rPr>
      </w:pPr>
      <w:r w:rsidRPr="00AE7913">
        <w:rPr>
          <w:lang w:val="es-ES"/>
        </w:rPr>
        <w:t>Se seguirá con la elaboración de políticas, la observancia y la supervisión, así como con la capacitación, incluso sobre el programa de vigilancia del mercado de refrigerantes; se seguirá desarrollando el sistema de certificación de técnicos, se actualizarán los programas de estudios de la educación técnica y vocacional y se presentará un programa de certificación piloto (PNUMA) (140 000 $EUA);</w:t>
      </w:r>
    </w:p>
    <w:p w:rsidR="003F2F76" w:rsidRPr="00AE7913" w:rsidRDefault="003F2F76" w:rsidP="003F2F76">
      <w:pPr>
        <w:pStyle w:val="Heading2"/>
        <w:keepNext/>
        <w:keepLines/>
        <w:widowControl/>
        <w:rPr>
          <w:lang w:val="es-ES"/>
        </w:rPr>
      </w:pPr>
      <w:r w:rsidRPr="00AE7913">
        <w:rPr>
          <w:lang w:val="es-ES"/>
        </w:rPr>
        <w:t>Se seguirá colaborando con el Centro de Vivienda e Investigación de la Construcción para actualizar los códigos nacionales, examinar las normas locales para los equipos y contenedores y ofrecer capacitación y extensión sobre los códigos y normas (PNUMA) (79 500 $EUA);</w:t>
      </w:r>
    </w:p>
    <w:p w:rsidR="003F2F76" w:rsidRPr="00AE7913" w:rsidRDefault="003F2F76" w:rsidP="003F2F76">
      <w:pPr>
        <w:pStyle w:val="Heading2"/>
        <w:widowControl/>
        <w:rPr>
          <w:lang w:val="es-ES"/>
        </w:rPr>
      </w:pPr>
      <w:r w:rsidRPr="00AE7913">
        <w:rPr>
          <w:lang w:val="es-ES"/>
        </w:rPr>
        <w:t>Capacitación sobre adquisiciones verdes para el sector público, el grupo asesor y los consultores (PNUMA) (60 000 $EUA);</w:t>
      </w:r>
    </w:p>
    <w:p w:rsidR="003F2F76" w:rsidRPr="00AE7913" w:rsidRDefault="003F2F76" w:rsidP="003F2F76">
      <w:pPr>
        <w:pStyle w:val="Heading2"/>
        <w:widowControl/>
        <w:rPr>
          <w:lang w:val="es-ES"/>
        </w:rPr>
      </w:pPr>
      <w:r w:rsidRPr="00AE7913">
        <w:rPr>
          <w:lang w:val="es-ES"/>
        </w:rPr>
        <w:t>Compra de aproximadamente 15 identificadores de refrigerantes (60 000 $EUA) y establecer dos centros maestros de capacitación (60 000 $EUA) (ONUDI);</w:t>
      </w:r>
    </w:p>
    <w:p w:rsidR="003F2F76" w:rsidRPr="00AE7913" w:rsidRDefault="003F2F76" w:rsidP="003F2F76">
      <w:pPr>
        <w:pStyle w:val="Heading2"/>
        <w:widowControl/>
        <w:rPr>
          <w:lang w:val="es-ES"/>
        </w:rPr>
      </w:pPr>
      <w:r w:rsidRPr="00AE7913">
        <w:rPr>
          <w:lang w:val="es-ES"/>
        </w:rPr>
        <w:t>Se establecerá un centro de regeneración local, que incluirá un laboratorio de prueba independiente local (150 000 $EUA) y construir la red de recuperación y regeneración por medio del suministro de unidades de recuperación y cilindros (150 000 $EUA) (ONUDI);</w:t>
      </w:r>
    </w:p>
    <w:p w:rsidR="003F2F76" w:rsidRPr="00AE7913" w:rsidRDefault="003F2F76" w:rsidP="003F2F76">
      <w:pPr>
        <w:pStyle w:val="Heading2"/>
        <w:widowControl/>
        <w:rPr>
          <w:lang w:val="es-ES"/>
        </w:rPr>
      </w:pPr>
      <w:r w:rsidRPr="00AE7913">
        <w:rPr>
          <w:lang w:val="es-ES"/>
        </w:rPr>
        <w:t>Dos talleres sobre refrigerantes inflamables para interesados directos en un centro de capacitación vocacional; selección de un centro de capacitación vocacional y evaluación de la capacidad y las carencias relacionadas; cuatro cursos de capacitación para instructores (con inclusión de herramientas y equipos para refrigerantes A2, A2L y A3; competencias de soldadura fuerte y métodos de unión de tuberías por compresión; manipulación de circuitos de refrigerante; recuperación, venteo y destrucción de refrigerantes; presentación de informes, libro de registro y evaluación); y compra de equipos, herramientas, equipos de protección personal y unidades de capacitación para el centro de capacitación vocacional (Gobierno de Alemania) (207 300 $EUA);</w:t>
      </w:r>
    </w:p>
    <w:p w:rsidR="003F2F76" w:rsidRPr="00AE7913" w:rsidRDefault="003F2F76" w:rsidP="003F2F76">
      <w:pPr>
        <w:pStyle w:val="Heading2"/>
        <w:widowControl/>
        <w:rPr>
          <w:lang w:val="es-ES"/>
        </w:rPr>
      </w:pPr>
      <w:r w:rsidRPr="00AE7913">
        <w:rPr>
          <w:lang w:val="es-ES"/>
        </w:rPr>
        <w:t>Se seguirá desarrollando un software de modelización simplificado y de uso gratuito que puede ser utilizado por los fabricantes de equipos de A/A residencial para el desarrollo de productos (ONUDI) (100 000 $EUA);</w:t>
      </w:r>
    </w:p>
    <w:p w:rsidR="003F2F76" w:rsidRPr="00AE7913" w:rsidRDefault="003F2F76" w:rsidP="003F2F76">
      <w:pPr>
        <w:pStyle w:val="Heading2"/>
        <w:widowControl/>
        <w:rPr>
          <w:lang w:val="es-ES"/>
        </w:rPr>
      </w:pPr>
      <w:r w:rsidRPr="00AE7913">
        <w:rPr>
          <w:lang w:val="es-ES"/>
        </w:rPr>
        <w:t>Se prestará asistencia técnica y se construirán prototipos en tres fabricantes de equipos de A/A comerciales con bajo PCA para aplicaciones con una capacidad menor de 10 toneladas de refrigeración (TR) y refrigeración por evaporación indirecta y expansión directa combinadas (de la alternativa de bajo PCA) para aplicaciones con una capacidad de entre 12 y 40 TR (ONUDI) (110 000 $EUA);</w:t>
      </w:r>
    </w:p>
    <w:p w:rsidR="003F2F76" w:rsidRPr="00AE7913" w:rsidRDefault="003F2F76" w:rsidP="003F2F76">
      <w:pPr>
        <w:pStyle w:val="Heading2"/>
        <w:widowControl/>
        <w:rPr>
          <w:lang w:val="es-ES"/>
        </w:rPr>
      </w:pPr>
      <w:r w:rsidRPr="00AE7913">
        <w:rPr>
          <w:lang w:val="es-ES"/>
        </w:rPr>
        <w:t>Conversión de cuatro fabricantes de espumas de poliestireno extruido (XPS) a una mezcla al 60%/40% de HFO</w:t>
      </w:r>
      <w:r w:rsidRPr="00AE7913">
        <w:rPr>
          <w:lang w:val="es-ES"/>
        </w:rPr>
        <w:noBreakHyphen/>
        <w:t>1234ze y éter dimetílico (PNUD) (1 761 750 $EUA); y</w:t>
      </w:r>
    </w:p>
    <w:p w:rsidR="003F2F76" w:rsidRPr="00AE7913" w:rsidRDefault="003F2F76" w:rsidP="003F2F76">
      <w:pPr>
        <w:pStyle w:val="Heading2"/>
        <w:widowControl/>
        <w:rPr>
          <w:lang w:val="es-ES"/>
        </w:rPr>
      </w:pPr>
      <w:r w:rsidRPr="00AE7913">
        <w:rPr>
          <w:lang w:val="es-ES"/>
        </w:rPr>
        <w:t xml:space="preserve">La DGP continuará coordinando y supervisando la ejecución de las actividades de inversión y ajenas a la inversión, entre las que se incluyen visitas a los beneficiarios e interesados directos, y organizando talleres y reuniones (ONUDI) (125 000 $EUA); iniciará la conversión de las empresas de espumas de XPS, lo que incluirá visitas </w:t>
      </w:r>
      <w:r w:rsidRPr="00AE7913">
        <w:rPr>
          <w:lang w:val="es-ES"/>
        </w:rPr>
        <w:lastRenderedPageBreak/>
        <w:t>periódicas a los beneficiarios, la elaboración de especificaciones técnicas, apoyo técnico, presentación de informes y control financiero de los fondos (PNUD) (75 000 $EUA).</w:t>
      </w:r>
    </w:p>
    <w:p w:rsidR="003F2F76" w:rsidRPr="00AE7913" w:rsidRDefault="003F2F76" w:rsidP="003F2F76">
      <w:pPr>
        <w:rPr>
          <w:u w:val="single"/>
          <w:lang w:val="es-ES"/>
        </w:rPr>
      </w:pPr>
      <w:r w:rsidRPr="00AE7913">
        <w:rPr>
          <w:u w:val="single"/>
          <w:lang w:val="es-ES"/>
        </w:rPr>
        <w:t>Conversión de HC</w:t>
      </w:r>
      <w:r w:rsidR="0013300C">
        <w:rPr>
          <w:u w:val="single"/>
          <w:lang w:val="es-ES"/>
        </w:rPr>
        <w:t>FC</w:t>
      </w:r>
      <w:r w:rsidR="0013300C">
        <w:rPr>
          <w:u w:val="single"/>
          <w:lang w:val="es-ES"/>
        </w:rPr>
        <w:noBreakHyphen/>
      </w:r>
      <w:r w:rsidRPr="00AE7913">
        <w:rPr>
          <w:u w:val="single"/>
          <w:lang w:val="es-ES"/>
        </w:rPr>
        <w:t>22 en la fabricación de unidades de aire acondicionado residencial</w:t>
      </w:r>
    </w:p>
    <w:p w:rsidR="003F2F76" w:rsidRPr="00AE7913" w:rsidRDefault="003F2F76" w:rsidP="003F2F76">
      <w:pPr>
        <w:rPr>
          <w:lang w:val="es-ES"/>
        </w:rPr>
      </w:pPr>
    </w:p>
    <w:p w:rsidR="003F2F76" w:rsidRPr="00AE7913" w:rsidRDefault="003F2F76" w:rsidP="003F2F76">
      <w:pPr>
        <w:rPr>
          <w:b/>
          <w:lang w:val="es-ES"/>
        </w:rPr>
      </w:pPr>
      <w:r w:rsidRPr="00AE7913">
        <w:rPr>
          <w:b/>
          <w:lang w:val="es-ES"/>
        </w:rPr>
        <w:t>Antecedentes</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La ONUDI presentó una propuesta de proyecto para la conversión del HC</w:t>
      </w:r>
      <w:r w:rsidR="0013300C">
        <w:rPr>
          <w:lang w:val="es-ES"/>
        </w:rPr>
        <w:t>FC</w:t>
      </w:r>
      <w:r w:rsidR="0013300C">
        <w:rPr>
          <w:lang w:val="es-ES"/>
        </w:rPr>
        <w:noBreakHyphen/>
      </w:r>
      <w:r w:rsidRPr="00AE7913">
        <w:rPr>
          <w:lang w:val="es-ES"/>
        </w:rPr>
        <w:t>22 en la fabricación de unidades de aire acondicionado residencial a H</w:t>
      </w:r>
      <w:r w:rsidR="0013300C">
        <w:rPr>
          <w:lang w:val="es-ES"/>
        </w:rPr>
        <w:t>FC</w:t>
      </w:r>
      <w:r w:rsidR="0013300C">
        <w:rPr>
          <w:lang w:val="es-ES"/>
        </w:rPr>
        <w:noBreakHyphen/>
      </w:r>
      <w:r w:rsidRPr="00AE7913">
        <w:rPr>
          <w:lang w:val="es-ES"/>
        </w:rPr>
        <w:t xml:space="preserve">32 y </w:t>
      </w:r>
      <w:r w:rsidR="0013300C">
        <w:rPr>
          <w:lang w:val="es-ES"/>
        </w:rPr>
        <w:t>R</w:t>
      </w:r>
      <w:r w:rsidR="0013300C">
        <w:rPr>
          <w:lang w:val="es-ES"/>
        </w:rPr>
        <w:noBreakHyphen/>
      </w:r>
      <w:r w:rsidRPr="00AE7913">
        <w:rPr>
          <w:lang w:val="es-ES"/>
        </w:rPr>
        <w:t>454B, por el monto de 11 710 018 $EUA, más gastos de apoyo del organismo de 819 701 $EUA, según lo presentado.</w:t>
      </w:r>
    </w:p>
    <w:p w:rsidR="003F2F76" w:rsidRPr="00AE7913" w:rsidRDefault="003F2F76" w:rsidP="003F2F76">
      <w:pPr>
        <w:pStyle w:val="Heading1"/>
        <w:keepNext/>
        <w:keepLines/>
        <w:rPr>
          <w:lang w:val="es-ES"/>
        </w:rPr>
      </w:pPr>
      <w:r w:rsidRPr="00AE7913">
        <w:rPr>
          <w:lang w:val="es-ES"/>
        </w:rPr>
        <w:t>El objetivo del proyecto es eliminar el HC</w:t>
      </w:r>
      <w:r w:rsidR="0013300C">
        <w:rPr>
          <w:lang w:val="es-ES"/>
        </w:rPr>
        <w:t>FC</w:t>
      </w:r>
      <w:r w:rsidR="0013300C">
        <w:rPr>
          <w:lang w:val="es-ES"/>
        </w:rPr>
        <w:noBreakHyphen/>
      </w:r>
      <w:r w:rsidRPr="00AE7913">
        <w:rPr>
          <w:lang w:val="es-ES"/>
        </w:rPr>
        <w:t xml:space="preserve">22 en el sector de fabricación de equipos de A/A residencial por medio de lo siguiente: </w:t>
      </w:r>
    </w:p>
    <w:p w:rsidR="003F2F76" w:rsidRPr="00AE7913" w:rsidRDefault="003F2F76" w:rsidP="003F2F76">
      <w:pPr>
        <w:pStyle w:val="Heading2"/>
        <w:keepNext/>
        <w:keepLines/>
        <w:widowControl/>
        <w:rPr>
          <w:lang w:val="es-ES"/>
        </w:rPr>
      </w:pPr>
      <w:r w:rsidRPr="00AE7913">
        <w:rPr>
          <w:lang w:val="es-ES"/>
        </w:rPr>
        <w:t xml:space="preserve">Adaptación y rediseño de los equipos de A/A para usar un refrigerante alternativo de bajo PCA; </w:t>
      </w:r>
    </w:p>
    <w:p w:rsidR="003F2F76" w:rsidRPr="00AE7913" w:rsidRDefault="003F2F76" w:rsidP="003F2F76">
      <w:pPr>
        <w:pStyle w:val="Heading2"/>
        <w:keepNext/>
        <w:keepLines/>
        <w:widowControl/>
        <w:rPr>
          <w:lang w:val="es-ES"/>
        </w:rPr>
      </w:pPr>
      <w:r w:rsidRPr="00AE7913">
        <w:rPr>
          <w:lang w:val="es-ES"/>
        </w:rPr>
        <w:t>Conversión de las empresas fabricantes a los refrigerantes alternativos por medio de lo siguiente:</w:t>
      </w:r>
    </w:p>
    <w:p w:rsidR="003F2F76" w:rsidRPr="00AE7913" w:rsidRDefault="003F2F76" w:rsidP="003F2F76">
      <w:pPr>
        <w:pStyle w:val="Heading3"/>
        <w:widowControl/>
        <w:rPr>
          <w:lang w:val="es-ES"/>
        </w:rPr>
      </w:pPr>
      <w:r w:rsidRPr="00AE7913">
        <w:rPr>
          <w:lang w:val="es-ES"/>
        </w:rPr>
        <w:t xml:space="preserve">Adquisición de nuevos equipos de fabricación cuando sea necesario, sin aumentar la capacidad de producción; </w:t>
      </w:r>
    </w:p>
    <w:p w:rsidR="003F2F76" w:rsidRPr="00AE7913" w:rsidRDefault="003F2F76" w:rsidP="003F2F76">
      <w:pPr>
        <w:pStyle w:val="Heading3"/>
        <w:widowControl/>
        <w:rPr>
          <w:lang w:val="es-ES"/>
        </w:rPr>
      </w:pPr>
      <w:r w:rsidRPr="00AE7913">
        <w:rPr>
          <w:lang w:val="es-ES"/>
        </w:rPr>
        <w:t xml:space="preserve">Implementación de sistemas de seguridad para el almacenamiento y el manejo de refrigerantes inflamables en condiciones de seguridad; </w:t>
      </w:r>
    </w:p>
    <w:p w:rsidR="003F2F76" w:rsidRPr="00AE7913" w:rsidRDefault="003F2F76" w:rsidP="003F2F76">
      <w:pPr>
        <w:pStyle w:val="Heading3"/>
        <w:widowControl/>
        <w:rPr>
          <w:lang w:val="es-ES"/>
        </w:rPr>
      </w:pPr>
      <w:r w:rsidRPr="00AE7913">
        <w:rPr>
          <w:lang w:val="es-ES"/>
        </w:rPr>
        <w:t>Prestación de asistencia financiera para el rediseño de los equipos nuevos a fin de mantener o aumentar la eficiencia energética;</w:t>
      </w:r>
    </w:p>
    <w:p w:rsidR="003F2F76" w:rsidRPr="00AE7913" w:rsidRDefault="003F2F76" w:rsidP="003F2F76">
      <w:pPr>
        <w:pStyle w:val="Heading3"/>
        <w:widowControl/>
        <w:rPr>
          <w:lang w:val="es-ES"/>
        </w:rPr>
      </w:pPr>
      <w:r w:rsidRPr="00AE7913">
        <w:rPr>
          <w:lang w:val="es-ES"/>
        </w:rPr>
        <w:t>Prestación de asistencia técnica para el rediseño de los equipos nuevos a fin de garantizar que se cumplan las normas de seguridad internacionales pertinentes;</w:t>
      </w:r>
    </w:p>
    <w:p w:rsidR="003F2F76" w:rsidRPr="00AE7913" w:rsidRDefault="003F2F76" w:rsidP="003F2F76">
      <w:pPr>
        <w:pStyle w:val="Heading3"/>
        <w:widowControl/>
        <w:rPr>
          <w:lang w:val="es-ES"/>
        </w:rPr>
      </w:pPr>
      <w:r w:rsidRPr="00AE7913">
        <w:rPr>
          <w:lang w:val="es-ES"/>
        </w:rPr>
        <w:t>Implementación de procedimientos de trabajo para el manejo de refrigerantes inflamables en condiciones de seguridad; y</w:t>
      </w:r>
    </w:p>
    <w:p w:rsidR="003F2F76" w:rsidRPr="00AE7913" w:rsidRDefault="003F2F76" w:rsidP="003F2F76">
      <w:pPr>
        <w:pStyle w:val="Heading3"/>
        <w:widowControl/>
        <w:rPr>
          <w:lang w:val="es-ES"/>
        </w:rPr>
      </w:pPr>
      <w:r w:rsidRPr="00AE7913">
        <w:rPr>
          <w:lang w:val="es-ES"/>
        </w:rPr>
        <w:t>Obtención de una certificación de seguridad de acuerdo con las normas internacionales actuales (por ejemplo, directivas de la Unión Europea).</w:t>
      </w:r>
    </w:p>
    <w:p w:rsidR="003F2F76" w:rsidRPr="00AE7913" w:rsidRDefault="003F2F76" w:rsidP="003F2F76">
      <w:pPr>
        <w:rPr>
          <w:b/>
          <w:lang w:val="es-ES"/>
        </w:rPr>
      </w:pPr>
      <w:r w:rsidRPr="00AE7913">
        <w:rPr>
          <w:b/>
          <w:lang w:val="es-ES"/>
        </w:rPr>
        <w:t>Descripción del proyecto</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Cinco fabricantes (El-Araby, Fresh, Miraco, Power y Unionaire), que son los únicos fabricantes de equipos de A/A residencial del país y que participaron en el programa EGYPRA, eliminarán el uso de HC</w:t>
      </w:r>
      <w:r w:rsidR="0013300C">
        <w:rPr>
          <w:lang w:val="es-ES"/>
        </w:rPr>
        <w:t>FC</w:t>
      </w:r>
      <w:r w:rsidR="0013300C">
        <w:rPr>
          <w:lang w:val="es-ES"/>
        </w:rPr>
        <w:noBreakHyphen/>
      </w:r>
      <w:r w:rsidRPr="00AE7913">
        <w:rPr>
          <w:lang w:val="es-ES"/>
        </w:rPr>
        <w:t>22 en sus fábricas. Si bien la mayoría de sus equipos de A/A residencial se vende localmente, las empresas también exportan a las regiones del Golfo y Norte de África; no exportan a países que no operan al amparo del artículo 5. Los cinco fabricantes son 100% de propiedad de países que operan al amparo del artículo 5, excepto en el caso de Miraco, que tiene 37% de propiedad de un país que no opera al amparo del artículo 5. Algunos fabricantes tienen un acuerdo con proveedores mundiales de A/A y por lo tanto están vinculados a ellos en la selección del diseño y componentes, lo que también afecta la selección de la tecnología del refrigerante. Cada fabricante tiene una fábrica y todos producen una gama completa de equipos y aparatos de A/A residencial. Los cinco usan HC</w:t>
      </w:r>
      <w:r w:rsidR="0013300C">
        <w:rPr>
          <w:lang w:val="es-ES"/>
        </w:rPr>
        <w:t>FC</w:t>
      </w:r>
      <w:r w:rsidR="0013300C">
        <w:rPr>
          <w:lang w:val="es-ES"/>
        </w:rPr>
        <w:noBreakHyphen/>
      </w:r>
      <w:r w:rsidRPr="00AE7913">
        <w:rPr>
          <w:lang w:val="es-ES"/>
        </w:rPr>
        <w:t xml:space="preserve">22 y </w:t>
      </w:r>
      <w:r w:rsidR="0013300C">
        <w:rPr>
          <w:lang w:val="es-ES"/>
        </w:rPr>
        <w:t>R</w:t>
      </w:r>
      <w:r w:rsidR="0013300C">
        <w:rPr>
          <w:lang w:val="es-ES"/>
        </w:rPr>
        <w:noBreakHyphen/>
      </w:r>
      <w:r w:rsidRPr="00AE7913">
        <w:rPr>
          <w:lang w:val="es-ES"/>
        </w:rPr>
        <w:t>410A, excepto Power, que usa solo HC</w:t>
      </w:r>
      <w:r w:rsidR="0013300C">
        <w:rPr>
          <w:lang w:val="es-ES"/>
        </w:rPr>
        <w:t>FC</w:t>
      </w:r>
      <w:r w:rsidR="0013300C">
        <w:rPr>
          <w:lang w:val="es-ES"/>
        </w:rPr>
        <w:noBreakHyphen/>
      </w:r>
      <w:r w:rsidRPr="00AE7913">
        <w:rPr>
          <w:lang w:val="es-ES"/>
        </w:rPr>
        <w:t>22. Ninguno de los fabricantes había recibido anteriormente financiación para la conversión a tecnologías de HCFC. En el Cuadro 3 se resume la situación de fabricación en las cinco empresas y el consumo desde 2016 hasta 2018.</w:t>
      </w:r>
    </w:p>
    <w:p w:rsidR="003F2F76" w:rsidRPr="00AE7913" w:rsidRDefault="003F2F76" w:rsidP="003F2F76">
      <w:pPr>
        <w:rPr>
          <w:b/>
          <w:lang w:val="es-ES"/>
        </w:rPr>
      </w:pPr>
      <w:r w:rsidRPr="00AE7913">
        <w:rPr>
          <w:b/>
          <w:lang w:val="es-ES"/>
        </w:rPr>
        <w:lastRenderedPageBreak/>
        <w:t>Cuadro 3.  Situación de la fabricación y el consumo de HC</w:t>
      </w:r>
      <w:r w:rsidR="0013300C">
        <w:rPr>
          <w:b/>
          <w:lang w:val="es-ES"/>
        </w:rPr>
        <w:t>FC</w:t>
      </w:r>
      <w:r w:rsidR="0013300C">
        <w:rPr>
          <w:b/>
          <w:lang w:val="es-ES"/>
        </w:rPr>
        <w:noBreakHyphen/>
      </w:r>
      <w:r w:rsidRPr="00AE7913">
        <w:rPr>
          <w:b/>
          <w:lang w:val="es-ES"/>
        </w:rPr>
        <w:t>22 en las cinco empresas (tm)</w:t>
      </w:r>
    </w:p>
    <w:tbl>
      <w:tblPr>
        <w:tblStyle w:val="TableGrid"/>
        <w:tblW w:w="9350" w:type="dxa"/>
        <w:tblLook w:val="04A0" w:firstRow="1" w:lastRow="0" w:firstColumn="1" w:lastColumn="0" w:noHBand="0" w:noVBand="1"/>
      </w:tblPr>
      <w:tblGrid>
        <w:gridCol w:w="1423"/>
        <w:gridCol w:w="705"/>
        <w:gridCol w:w="5100"/>
        <w:gridCol w:w="707"/>
        <w:gridCol w:w="708"/>
        <w:gridCol w:w="707"/>
      </w:tblGrid>
      <w:tr w:rsidR="003F2F76" w:rsidRPr="00AE7913" w:rsidTr="003F2F76">
        <w:trPr>
          <w:tblHeader/>
        </w:trPr>
        <w:tc>
          <w:tcPr>
            <w:tcW w:w="142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Fabricante</w:t>
            </w:r>
          </w:p>
        </w:tc>
        <w:tc>
          <w:tcPr>
            <w:tcW w:w="651" w:type="dxa"/>
            <w:tcBorders>
              <w:top w:val="single" w:sz="4" w:space="0" w:color="auto"/>
              <w:left w:val="single" w:sz="4" w:space="0" w:color="auto"/>
              <w:bottom w:val="single" w:sz="4" w:space="0" w:color="auto"/>
              <w:right w:val="single" w:sz="4" w:space="0" w:color="auto"/>
            </w:tcBorders>
            <w:hideMark/>
          </w:tcPr>
          <w:p w:rsidR="003F2F76" w:rsidRPr="00AE7913" w:rsidRDefault="00E71452" w:rsidP="003F2F76">
            <w:pPr>
              <w:jc w:val="center"/>
              <w:rPr>
                <w:b/>
                <w:sz w:val="20"/>
                <w:szCs w:val="20"/>
                <w:lang w:val="es-ES"/>
              </w:rPr>
            </w:pPr>
            <w:r>
              <w:rPr>
                <w:b/>
                <w:sz w:val="20"/>
                <w:szCs w:val="20"/>
                <w:lang w:val="es-ES"/>
              </w:rPr>
              <w:t>Núm.</w:t>
            </w:r>
            <w:r w:rsidR="003F2F76" w:rsidRPr="00AE7913">
              <w:rPr>
                <w:b/>
                <w:sz w:val="20"/>
                <w:szCs w:val="20"/>
                <w:lang w:val="es-ES"/>
              </w:rPr>
              <w:t xml:space="preserve"> de líneas</w:t>
            </w:r>
          </w:p>
        </w:tc>
        <w:tc>
          <w:tcPr>
            <w:tcW w:w="514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Detalles de la producción</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2016</w:t>
            </w:r>
          </w:p>
        </w:tc>
        <w:tc>
          <w:tcPr>
            <w:tcW w:w="709"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2017</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2018</w:t>
            </w:r>
          </w:p>
        </w:tc>
      </w:tr>
      <w:tr w:rsidR="003F2F76" w:rsidRPr="00AE7913" w:rsidTr="003F2F76">
        <w:tc>
          <w:tcPr>
            <w:tcW w:w="142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El-Araby</w:t>
            </w:r>
          </w:p>
        </w:tc>
        <w:tc>
          <w:tcPr>
            <w:tcW w:w="651"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2</w:t>
            </w:r>
          </w:p>
        </w:tc>
        <w:tc>
          <w:tcPr>
            <w:tcW w:w="514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Las dos líneas de producción funcionan con velocidad y duración de ciclo diferentes. La prueba de fugas para las unidades de interiores se hace cargando una pequeña cantidad de HC</w:t>
            </w:r>
            <w:r w:rsidR="0013300C">
              <w:rPr>
                <w:sz w:val="20"/>
                <w:szCs w:val="20"/>
                <w:lang w:val="es-ES"/>
              </w:rPr>
              <w:t>FC</w:t>
            </w:r>
            <w:r w:rsidR="0013300C">
              <w:rPr>
                <w:sz w:val="20"/>
                <w:szCs w:val="20"/>
                <w:lang w:val="es-ES"/>
              </w:rPr>
              <w:noBreakHyphen/>
            </w:r>
            <w:r w:rsidRPr="00AE7913">
              <w:rPr>
                <w:sz w:val="20"/>
                <w:szCs w:val="20"/>
                <w:lang w:val="es-ES"/>
              </w:rPr>
              <w:t>22 y usando un detector de fugas halógeno.</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275</w:t>
            </w:r>
          </w:p>
        </w:tc>
        <w:tc>
          <w:tcPr>
            <w:tcW w:w="709"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198</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212</w:t>
            </w:r>
          </w:p>
        </w:tc>
      </w:tr>
      <w:tr w:rsidR="003F2F76" w:rsidRPr="00AE7913" w:rsidTr="003F2F76">
        <w:tc>
          <w:tcPr>
            <w:tcW w:w="142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Fresh</w:t>
            </w:r>
          </w:p>
        </w:tc>
        <w:tc>
          <w:tcPr>
            <w:tcW w:w="651"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2</w:t>
            </w:r>
          </w:p>
        </w:tc>
        <w:tc>
          <w:tcPr>
            <w:tcW w:w="514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Las dos líneas de producción tienen la misma velocidad y duración de ciclo. Fresh usa cámaras de prueba de fugas de helio para las unidades de interiores.</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136</w:t>
            </w:r>
          </w:p>
        </w:tc>
        <w:tc>
          <w:tcPr>
            <w:tcW w:w="709"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142</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147</w:t>
            </w:r>
          </w:p>
        </w:tc>
      </w:tr>
      <w:tr w:rsidR="003F2F76" w:rsidRPr="00AE7913" w:rsidTr="003F2F76">
        <w:tc>
          <w:tcPr>
            <w:tcW w:w="142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Miraco</w:t>
            </w:r>
          </w:p>
        </w:tc>
        <w:tc>
          <w:tcPr>
            <w:tcW w:w="651"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3</w:t>
            </w:r>
          </w:p>
        </w:tc>
        <w:tc>
          <w:tcPr>
            <w:tcW w:w="514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Las tres líneas de producción tienen la misma velocidad y duración de ciclo. Miraco usa cámaras de prueba de fugas de helio para las unidades de interiores.</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396</w:t>
            </w:r>
          </w:p>
        </w:tc>
        <w:tc>
          <w:tcPr>
            <w:tcW w:w="709"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359</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366</w:t>
            </w:r>
          </w:p>
        </w:tc>
      </w:tr>
      <w:tr w:rsidR="003F2F76" w:rsidRPr="00AE7913" w:rsidTr="003F2F76">
        <w:tc>
          <w:tcPr>
            <w:tcW w:w="142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keepNext/>
              <w:rPr>
                <w:sz w:val="20"/>
                <w:szCs w:val="20"/>
                <w:lang w:val="es-ES"/>
              </w:rPr>
            </w:pPr>
            <w:r w:rsidRPr="00AE7913">
              <w:rPr>
                <w:sz w:val="20"/>
                <w:szCs w:val="20"/>
                <w:lang w:val="es-ES"/>
              </w:rPr>
              <w:t>Power</w:t>
            </w:r>
          </w:p>
        </w:tc>
        <w:tc>
          <w:tcPr>
            <w:tcW w:w="651"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keepNext/>
              <w:rPr>
                <w:sz w:val="20"/>
                <w:szCs w:val="20"/>
                <w:lang w:val="es-ES"/>
              </w:rPr>
            </w:pPr>
            <w:r w:rsidRPr="00AE7913">
              <w:rPr>
                <w:sz w:val="20"/>
                <w:szCs w:val="20"/>
                <w:lang w:val="es-ES"/>
              </w:rPr>
              <w:t>1</w:t>
            </w:r>
          </w:p>
        </w:tc>
        <w:tc>
          <w:tcPr>
            <w:tcW w:w="514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keepNext/>
              <w:rPr>
                <w:sz w:val="20"/>
                <w:szCs w:val="20"/>
                <w:lang w:val="es-ES"/>
              </w:rPr>
            </w:pPr>
            <w:r w:rsidRPr="00AE7913">
              <w:rPr>
                <w:sz w:val="20"/>
                <w:szCs w:val="20"/>
                <w:lang w:val="es-ES"/>
              </w:rPr>
              <w:t>La línea de producción funciona con una duración de ciclo de 70 s aproximadamente. Se usa la misma línea para la producción de unidades de interiores y exteriores. La prueba de fugas para las unidades de interiores se hace cargando una pequeña cantidad de HC</w:t>
            </w:r>
            <w:r w:rsidR="0013300C">
              <w:rPr>
                <w:sz w:val="20"/>
                <w:szCs w:val="20"/>
                <w:lang w:val="es-ES"/>
              </w:rPr>
              <w:t>FC</w:t>
            </w:r>
            <w:r w:rsidR="0013300C">
              <w:rPr>
                <w:sz w:val="20"/>
                <w:szCs w:val="20"/>
                <w:lang w:val="es-ES"/>
              </w:rPr>
              <w:noBreakHyphen/>
            </w:r>
            <w:r w:rsidRPr="00AE7913">
              <w:rPr>
                <w:sz w:val="20"/>
                <w:szCs w:val="20"/>
                <w:lang w:val="es-ES"/>
              </w:rPr>
              <w:t>22 y usando un detector de fugas halógeno</w:t>
            </w:r>
            <w:r w:rsidR="00E71452">
              <w:rPr>
                <w:sz w:val="20"/>
                <w:szCs w:val="20"/>
                <w:lang w:val="es-ES"/>
              </w:rPr>
              <w:t xml:space="preserve">. </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keepNext/>
              <w:jc w:val="right"/>
              <w:rPr>
                <w:sz w:val="20"/>
                <w:szCs w:val="20"/>
                <w:lang w:val="es-ES"/>
              </w:rPr>
            </w:pPr>
            <w:r w:rsidRPr="00AE7913">
              <w:rPr>
                <w:sz w:val="20"/>
                <w:szCs w:val="20"/>
                <w:lang w:val="es-ES"/>
              </w:rPr>
              <w:t>50</w:t>
            </w:r>
          </w:p>
        </w:tc>
        <w:tc>
          <w:tcPr>
            <w:tcW w:w="709"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keepNext/>
              <w:jc w:val="right"/>
              <w:rPr>
                <w:sz w:val="20"/>
                <w:szCs w:val="20"/>
                <w:lang w:val="es-ES"/>
              </w:rPr>
            </w:pPr>
            <w:r w:rsidRPr="00AE7913">
              <w:rPr>
                <w:sz w:val="20"/>
                <w:szCs w:val="20"/>
                <w:lang w:val="es-ES"/>
              </w:rPr>
              <w:t>43</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keepNext/>
              <w:jc w:val="right"/>
              <w:rPr>
                <w:sz w:val="20"/>
                <w:szCs w:val="20"/>
                <w:lang w:val="es-ES"/>
              </w:rPr>
            </w:pPr>
            <w:r w:rsidRPr="00AE7913">
              <w:rPr>
                <w:sz w:val="20"/>
                <w:szCs w:val="20"/>
                <w:lang w:val="es-ES"/>
              </w:rPr>
              <w:t>45</w:t>
            </w:r>
          </w:p>
        </w:tc>
      </w:tr>
      <w:tr w:rsidR="003F2F76" w:rsidRPr="00AE7913" w:rsidTr="003F2F76">
        <w:tc>
          <w:tcPr>
            <w:tcW w:w="142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Unionaire</w:t>
            </w:r>
          </w:p>
        </w:tc>
        <w:tc>
          <w:tcPr>
            <w:tcW w:w="651"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2</w:t>
            </w:r>
          </w:p>
        </w:tc>
        <w:tc>
          <w:tcPr>
            <w:tcW w:w="5147"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La línea de producción funciona con una duración de ciclo de 40 s aproximadamente. La prueba de fugas para las unidades de interiores se hace cargando una pequeña cantidad de HC</w:t>
            </w:r>
            <w:r w:rsidR="0013300C">
              <w:rPr>
                <w:sz w:val="20"/>
                <w:szCs w:val="20"/>
                <w:lang w:val="es-ES"/>
              </w:rPr>
              <w:t>FC</w:t>
            </w:r>
            <w:r w:rsidR="0013300C">
              <w:rPr>
                <w:sz w:val="20"/>
                <w:szCs w:val="20"/>
                <w:lang w:val="es-ES"/>
              </w:rPr>
              <w:noBreakHyphen/>
            </w:r>
            <w:r w:rsidRPr="00AE7913">
              <w:rPr>
                <w:sz w:val="20"/>
                <w:szCs w:val="20"/>
                <w:lang w:val="es-ES"/>
              </w:rPr>
              <w:t>22 y usando un detector de fugas halógeno.</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600</w:t>
            </w:r>
          </w:p>
        </w:tc>
        <w:tc>
          <w:tcPr>
            <w:tcW w:w="709"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360</w:t>
            </w:r>
          </w:p>
        </w:tc>
        <w:tc>
          <w:tcPr>
            <w:tcW w:w="708" w:type="dxa"/>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240</w:t>
            </w:r>
          </w:p>
        </w:tc>
      </w:tr>
    </w:tbl>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Las siguientes áreas de proceso y prueba de la planta de fabricación serán afectadas por la conversión a refrigerantes inflamables: detección de fugas (línea de producción de unidades de interiores), sistemas de vacío (línea de producción de unidades de exteriores), sistemas de almacenamiento y suministro de refrigerante, sistemas de carga de refrigerante (línea de producción de exteriores), equipos de soldadura (línea de producción de exteriores), detección de fugas final (línea de producción de exteriores), áreas de prueba de funcionamiento (línea de producción de exteriores) y cámaras de prueba de laboratorio. La infraestructura general de la fábrica, como el apoyo para los sistemas de ventilación, conexión eléctrica a tierra y protección antiestática, se consideraron bajo la responsabilidad de cada fabricante.</w:t>
      </w:r>
    </w:p>
    <w:p w:rsidR="003F2F76" w:rsidRPr="00AE7913" w:rsidRDefault="003F2F76" w:rsidP="003F2F76">
      <w:pPr>
        <w:rPr>
          <w:b/>
          <w:lang w:val="es-ES"/>
        </w:rPr>
      </w:pPr>
      <w:r w:rsidRPr="00AE7913">
        <w:rPr>
          <w:b/>
          <w:lang w:val="es-ES"/>
        </w:rPr>
        <w:t>Costos del proyecto</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Cuadro 4 muestra el resumen de los equipos solicitados para la conversión y los costos adicionales de capital para cada fabricante. El total de los costos adicionales de capital es 5 085 410 $EUA, sin ningún costo asociado con las modificaciones del intercambiador de calor a cargo de los fabricantes.</w:t>
      </w:r>
    </w:p>
    <w:p w:rsidR="003F2F76" w:rsidRPr="00AE7913" w:rsidRDefault="003F2F76" w:rsidP="003F2F76">
      <w:pPr>
        <w:rPr>
          <w:b/>
          <w:lang w:val="es-ES"/>
        </w:rPr>
      </w:pPr>
      <w:r w:rsidRPr="00AE7913">
        <w:rPr>
          <w:b/>
          <w:lang w:val="es-ES"/>
        </w:rPr>
        <w:t>Cuadro 4. Costos adicionales de capital para las cinco empresas, según lo presentado ($EUA)</w:t>
      </w:r>
    </w:p>
    <w:tbl>
      <w:tblPr>
        <w:tblStyle w:val="TableGrid"/>
        <w:tblW w:w="5000" w:type="pct"/>
        <w:tblLook w:val="04A0" w:firstRow="1" w:lastRow="0" w:firstColumn="1" w:lastColumn="0" w:noHBand="0" w:noVBand="1"/>
      </w:tblPr>
      <w:tblGrid>
        <w:gridCol w:w="3190"/>
        <w:gridCol w:w="1029"/>
        <w:gridCol w:w="1028"/>
        <w:gridCol w:w="1028"/>
        <w:gridCol w:w="1028"/>
        <w:gridCol w:w="1120"/>
        <w:gridCol w:w="1153"/>
      </w:tblGrid>
      <w:tr w:rsidR="003F2F76" w:rsidRPr="00AE7913" w:rsidTr="003F2F76">
        <w:trPr>
          <w:tblHeader/>
        </w:trPr>
        <w:tc>
          <w:tcPr>
            <w:tcW w:w="1665" w:type="pct"/>
            <w:vMerge w:val="restar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sz w:val="20"/>
                <w:szCs w:val="20"/>
                <w:lang w:val="es-ES"/>
              </w:rPr>
            </w:pPr>
          </w:p>
          <w:p w:rsidR="003F2F76" w:rsidRPr="00AE7913" w:rsidRDefault="003F2F76" w:rsidP="003F2F76">
            <w:pPr>
              <w:jc w:val="center"/>
              <w:rPr>
                <w:b/>
                <w:sz w:val="20"/>
                <w:szCs w:val="20"/>
                <w:lang w:val="es-ES"/>
              </w:rPr>
            </w:pPr>
            <w:r w:rsidRPr="00AE7913">
              <w:rPr>
                <w:b/>
                <w:sz w:val="20"/>
                <w:szCs w:val="20"/>
                <w:lang w:val="es-ES"/>
              </w:rPr>
              <w:t>Área de proceso y equipos</w:t>
            </w:r>
          </w:p>
        </w:tc>
        <w:tc>
          <w:tcPr>
            <w:tcW w:w="2733" w:type="pct"/>
            <w:gridSpan w:val="5"/>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Fabricante</w:t>
            </w:r>
          </w:p>
        </w:tc>
        <w:tc>
          <w:tcPr>
            <w:tcW w:w="602" w:type="pct"/>
            <w:vMerge w:val="restar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sz w:val="20"/>
                <w:szCs w:val="20"/>
                <w:lang w:val="es-ES"/>
              </w:rPr>
            </w:pPr>
          </w:p>
          <w:p w:rsidR="003F2F76" w:rsidRPr="00AE7913" w:rsidRDefault="003F2F76" w:rsidP="003F2F76">
            <w:pPr>
              <w:jc w:val="center"/>
              <w:rPr>
                <w:b/>
                <w:sz w:val="20"/>
                <w:szCs w:val="20"/>
                <w:lang w:val="es-ES"/>
              </w:rPr>
            </w:pPr>
            <w:r w:rsidRPr="00AE7913">
              <w:rPr>
                <w:b/>
                <w:sz w:val="20"/>
                <w:szCs w:val="20"/>
                <w:lang w:val="es-ES"/>
              </w:rPr>
              <w:t>Total</w:t>
            </w:r>
          </w:p>
        </w:tc>
      </w:tr>
      <w:tr w:rsidR="003F2F76" w:rsidRPr="00AE7913" w:rsidTr="003F2F76">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F2F76" w:rsidRPr="00AE7913" w:rsidRDefault="003F2F76" w:rsidP="003F2F76">
            <w:pPr>
              <w:rPr>
                <w:b/>
                <w:sz w:val="20"/>
                <w:szCs w:val="20"/>
                <w:lang w:val="es-ES"/>
              </w:rPr>
            </w:pP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El-Araby</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Fresh</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Miraco*</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Power</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Unionaire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2F76" w:rsidRPr="00AE7913" w:rsidRDefault="003F2F76" w:rsidP="003F2F76">
            <w:pPr>
              <w:rPr>
                <w:b/>
                <w:sz w:val="20"/>
                <w:szCs w:val="20"/>
                <w:lang w:val="es-ES"/>
              </w:rPr>
            </w:pP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Sistema de suministro de refrigerante (bomba de suministro, tubería o tuberías de suministro y sensores de gas)</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8"/>
              <w:jc w:val="right"/>
              <w:rPr>
                <w:sz w:val="20"/>
                <w:szCs w:val="20"/>
                <w:lang w:val="es-ES"/>
              </w:rPr>
            </w:pPr>
            <w:r w:rsidRPr="00AE7913">
              <w:rPr>
                <w:sz w:val="20"/>
                <w:szCs w:val="20"/>
                <w:lang w:val="es-ES"/>
              </w:rPr>
              <w:t xml:space="preserve">81 000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8"/>
              <w:jc w:val="right"/>
              <w:rPr>
                <w:sz w:val="20"/>
                <w:szCs w:val="20"/>
                <w:lang w:val="es-ES"/>
              </w:rPr>
            </w:pPr>
            <w:r w:rsidRPr="00AE7913">
              <w:rPr>
                <w:sz w:val="20"/>
                <w:szCs w:val="20"/>
                <w:lang w:val="es-ES"/>
              </w:rPr>
              <w:t xml:space="preserve">118 000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74 340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76 000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118 000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467 340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Línea de fabricación de interiores (equipos de carga, estación de recuperación de refrigerante, sistemas de seguridad y ventilación)</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84 000</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0</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0</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0</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168 000</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252 000</w:t>
            </w:r>
          </w:p>
        </w:tc>
      </w:tr>
      <w:tr w:rsidR="003F2F76" w:rsidRPr="00AE7913" w:rsidTr="003F2F76">
        <w:trPr>
          <w:cantSplit/>
        </w:trPr>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lastRenderedPageBreak/>
              <w:t>Línea de fabricación de exteriores (equipos de carga, estación de recuperación de refrigerante, sistemas de seguridad y ventilación, detección de fugas y acopladores de proceso)</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473 500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405 000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494 550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248 000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535 000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2 156 050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Área de prueba de funcionamiento (modificaciones del compartimiento de prueba, sistemas de seguridad y ventilación)</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122 000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82 000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77 490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30 000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100 000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411 490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Cámaras de laboratorio (estación de recuperación de refrigerante, sistemas de seguridad y ventilación)</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183 000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61 000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38 430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61 000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61 000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404 430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General (repuestos)</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8"/>
              <w:jc w:val="right"/>
              <w:rPr>
                <w:sz w:val="20"/>
                <w:szCs w:val="20"/>
                <w:lang w:val="es-ES"/>
              </w:rPr>
            </w:pPr>
            <w:r w:rsidRPr="00AE7913">
              <w:rPr>
                <w:sz w:val="20"/>
                <w:szCs w:val="20"/>
                <w:lang w:val="es-ES"/>
              </w:rPr>
              <w:t xml:space="preserve">30 000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8"/>
              <w:jc w:val="right"/>
              <w:rPr>
                <w:sz w:val="20"/>
                <w:szCs w:val="20"/>
                <w:lang w:val="es-ES"/>
              </w:rPr>
            </w:pPr>
            <w:r w:rsidRPr="00AE7913">
              <w:rPr>
                <w:sz w:val="20"/>
                <w:szCs w:val="20"/>
                <w:lang w:val="es-ES"/>
              </w:rPr>
              <w:t xml:space="preserve">30 000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28 350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7 500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30 000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125 850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Ingeniería, instalación, certificación y capacitación</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143 000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98 000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118 440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77 000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138 000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574 440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Asistencia técnica</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50 000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50 000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31 500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50 000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50 000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231 500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jc w:val="left"/>
              <w:rPr>
                <w:sz w:val="20"/>
                <w:szCs w:val="20"/>
                <w:lang w:val="es-ES"/>
              </w:rPr>
            </w:pPr>
            <w:r w:rsidRPr="00AE7913">
              <w:rPr>
                <w:sz w:val="20"/>
                <w:szCs w:val="20"/>
                <w:lang w:val="es-ES"/>
              </w:rPr>
              <w:t xml:space="preserve">Imprevistos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116 650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84 400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86 310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54 950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right"/>
              <w:rPr>
                <w:sz w:val="20"/>
                <w:szCs w:val="20"/>
                <w:lang w:val="es-ES"/>
              </w:rPr>
            </w:pPr>
            <w:r w:rsidRPr="00AE7913">
              <w:rPr>
                <w:sz w:val="20"/>
                <w:szCs w:val="20"/>
                <w:lang w:val="es-ES"/>
              </w:rPr>
              <w:t xml:space="preserve">120 000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sz w:val="20"/>
                <w:szCs w:val="20"/>
                <w:lang w:val="es-ES"/>
              </w:rPr>
            </w:pPr>
            <w:r w:rsidRPr="00AE7913">
              <w:rPr>
                <w:sz w:val="20"/>
                <w:szCs w:val="20"/>
                <w:lang w:val="es-ES"/>
              </w:rPr>
              <w:t>462 310</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b/>
                <w:sz w:val="20"/>
                <w:szCs w:val="20"/>
                <w:lang w:val="es-ES"/>
              </w:rPr>
            </w:pPr>
            <w:r w:rsidRPr="00AE7913">
              <w:rPr>
                <w:b/>
                <w:sz w:val="20"/>
                <w:szCs w:val="20"/>
                <w:lang w:val="es-ES"/>
              </w:rPr>
              <w:t>Total</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11"/>
              <w:jc w:val="center"/>
              <w:rPr>
                <w:b/>
                <w:sz w:val="20"/>
                <w:szCs w:val="20"/>
                <w:lang w:val="es-ES"/>
              </w:rPr>
            </w:pPr>
            <w:r w:rsidRPr="00AE7913">
              <w:rPr>
                <w:b/>
                <w:sz w:val="20"/>
                <w:szCs w:val="20"/>
                <w:lang w:val="es-ES"/>
              </w:rPr>
              <w:t xml:space="preserve">1 283 150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center"/>
              <w:rPr>
                <w:b/>
                <w:sz w:val="20"/>
                <w:szCs w:val="20"/>
                <w:lang w:val="es-ES"/>
              </w:rPr>
            </w:pPr>
            <w:r w:rsidRPr="00AE7913">
              <w:rPr>
                <w:b/>
                <w:sz w:val="20"/>
                <w:szCs w:val="20"/>
                <w:lang w:val="es-ES"/>
              </w:rPr>
              <w:t xml:space="preserve">928 400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center"/>
              <w:rPr>
                <w:b/>
                <w:sz w:val="20"/>
                <w:szCs w:val="20"/>
                <w:lang w:val="es-ES"/>
              </w:rPr>
            </w:pPr>
            <w:r w:rsidRPr="00AE7913">
              <w:rPr>
                <w:b/>
                <w:sz w:val="20"/>
                <w:szCs w:val="20"/>
                <w:lang w:val="es-ES"/>
              </w:rPr>
              <w:t xml:space="preserve">949 410 </w:t>
            </w:r>
          </w:p>
        </w:tc>
        <w:tc>
          <w:tcPr>
            <w:tcW w:w="537"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9"/>
              <w:jc w:val="center"/>
              <w:rPr>
                <w:b/>
                <w:sz w:val="20"/>
                <w:szCs w:val="20"/>
                <w:lang w:val="es-ES"/>
              </w:rPr>
            </w:pPr>
            <w:r w:rsidRPr="00AE7913">
              <w:rPr>
                <w:b/>
                <w:sz w:val="20"/>
                <w:szCs w:val="20"/>
                <w:lang w:val="es-ES"/>
              </w:rPr>
              <w:t xml:space="preserve">604 450 </w:t>
            </w:r>
          </w:p>
        </w:tc>
        <w:tc>
          <w:tcPr>
            <w:tcW w:w="584"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right="12"/>
              <w:jc w:val="center"/>
              <w:rPr>
                <w:b/>
                <w:sz w:val="20"/>
                <w:szCs w:val="20"/>
                <w:lang w:val="es-ES"/>
              </w:rPr>
            </w:pPr>
            <w:r w:rsidRPr="00AE7913">
              <w:rPr>
                <w:b/>
                <w:sz w:val="20"/>
                <w:szCs w:val="20"/>
                <w:lang w:val="es-ES"/>
              </w:rPr>
              <w:t xml:space="preserve">1 320 000 </w:t>
            </w:r>
          </w:p>
        </w:tc>
        <w:tc>
          <w:tcPr>
            <w:tcW w:w="602"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right"/>
              <w:rPr>
                <w:b/>
                <w:sz w:val="20"/>
                <w:szCs w:val="20"/>
                <w:lang w:val="es-ES"/>
              </w:rPr>
            </w:pPr>
            <w:r w:rsidRPr="00AE7913">
              <w:rPr>
                <w:b/>
                <w:sz w:val="20"/>
                <w:szCs w:val="20"/>
                <w:lang w:val="es-ES"/>
              </w:rPr>
              <w:t>5 085 410</w:t>
            </w:r>
          </w:p>
        </w:tc>
      </w:tr>
    </w:tbl>
    <w:p w:rsidR="003F2F76" w:rsidRPr="00AE7913" w:rsidRDefault="003F2F76" w:rsidP="003F2F76">
      <w:pPr>
        <w:rPr>
          <w:sz w:val="16"/>
          <w:szCs w:val="16"/>
          <w:lang w:val="es-ES"/>
        </w:rPr>
      </w:pPr>
      <w:r w:rsidRPr="00AE7913">
        <w:rPr>
          <w:sz w:val="16"/>
          <w:szCs w:val="16"/>
          <w:lang w:val="es-ES"/>
        </w:rPr>
        <w:t>* Después de tener en cuenta el 37% de propiedad de un país que no opera al amparo del artículo 5</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Los costos adicionales de explotación basados en un año de funcionamiento con el refrigerante nuevo se calcularon teniendo en cuenta el consumo admisible de la empresa, calculado como el consumo medio de 2016</w:t>
      </w:r>
      <w:r w:rsidRPr="00AE7913">
        <w:rPr>
          <w:lang w:val="es-ES"/>
        </w:rPr>
        <w:noBreakHyphen/>
        <w:t xml:space="preserve">2018, y el umbral de costo adicional de explotación de 6,30 $EUA/kg especificado en la decisión 74/50. </w:t>
      </w:r>
    </w:p>
    <w:p w:rsidR="003F2F76" w:rsidRPr="00AE7913" w:rsidRDefault="003F2F76" w:rsidP="003F2F76">
      <w:pPr>
        <w:pStyle w:val="Heading1"/>
        <w:numPr>
          <w:ilvl w:val="0"/>
          <w:numId w:val="0"/>
        </w:numPr>
        <w:tabs>
          <w:tab w:val="left" w:pos="708"/>
        </w:tabs>
        <w:spacing w:after="0"/>
        <w:rPr>
          <w:b/>
          <w:lang w:val="es-ES"/>
        </w:rPr>
      </w:pPr>
      <w:r w:rsidRPr="00AE7913">
        <w:rPr>
          <w:b/>
          <w:lang w:val="es-ES"/>
        </w:rPr>
        <w:t>Cuadro 5. Costo total de la conversión en los cinco fabricantes ($EUA)</w:t>
      </w:r>
    </w:p>
    <w:tbl>
      <w:tblPr>
        <w:tblW w:w="5000" w:type="pct"/>
        <w:tblLook w:val="04A0" w:firstRow="1" w:lastRow="0" w:firstColumn="1" w:lastColumn="0" w:noHBand="0" w:noVBand="1"/>
      </w:tblPr>
      <w:tblGrid>
        <w:gridCol w:w="1301"/>
        <w:gridCol w:w="1341"/>
        <w:gridCol w:w="1567"/>
        <w:gridCol w:w="1341"/>
        <w:gridCol w:w="1341"/>
        <w:gridCol w:w="1341"/>
        <w:gridCol w:w="1344"/>
      </w:tblGrid>
      <w:tr w:rsidR="003F2F76" w:rsidRPr="00AE7913" w:rsidTr="003F2F76">
        <w:trPr>
          <w:trHeight w:val="143"/>
          <w:tblHeader/>
        </w:trPr>
        <w:tc>
          <w:tcPr>
            <w:tcW w:w="696" w:type="pct"/>
            <w:tcBorders>
              <w:top w:val="single" w:sz="4" w:space="0" w:color="auto"/>
              <w:left w:val="single" w:sz="4" w:space="0" w:color="auto"/>
              <w:bottom w:val="single" w:sz="4" w:space="0" w:color="auto"/>
              <w:right w:val="single" w:sz="4" w:space="0" w:color="auto"/>
            </w:tcBorders>
            <w:noWrap/>
            <w:hideMark/>
          </w:tcPr>
          <w:p w:rsidR="003F2F76" w:rsidRPr="00AE7913" w:rsidRDefault="003F2F76" w:rsidP="003F2F76">
            <w:pPr>
              <w:jc w:val="left"/>
              <w:rPr>
                <w:b/>
                <w:bCs/>
                <w:color w:val="000000"/>
                <w:sz w:val="20"/>
                <w:szCs w:val="20"/>
                <w:lang w:val="es-ES"/>
              </w:rPr>
            </w:pPr>
            <w:r w:rsidRPr="00AE7913">
              <w:rPr>
                <w:b/>
                <w:bCs/>
                <w:color w:val="000000"/>
                <w:sz w:val="20"/>
                <w:szCs w:val="20"/>
                <w:lang w:val="es-ES"/>
              </w:rPr>
              <w:t>Empresa</w:t>
            </w:r>
          </w:p>
        </w:tc>
        <w:tc>
          <w:tcPr>
            <w:tcW w:w="717" w:type="pct"/>
            <w:tcBorders>
              <w:top w:val="single" w:sz="4" w:space="0" w:color="auto"/>
              <w:left w:val="nil"/>
              <w:bottom w:val="single" w:sz="4" w:space="0" w:color="auto"/>
              <w:right w:val="single" w:sz="4" w:space="0" w:color="auto"/>
            </w:tcBorders>
            <w:noWrap/>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tm</w:t>
            </w:r>
          </w:p>
        </w:tc>
        <w:tc>
          <w:tcPr>
            <w:tcW w:w="717" w:type="pct"/>
            <w:tcBorders>
              <w:top w:val="single" w:sz="4" w:space="0" w:color="auto"/>
              <w:left w:val="nil"/>
              <w:bottom w:val="single" w:sz="4" w:space="0" w:color="auto"/>
              <w:right w:val="single" w:sz="4" w:space="0" w:color="auto"/>
            </w:tcBorders>
            <w:noWrap/>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Toneladas PAO</w:t>
            </w:r>
          </w:p>
        </w:tc>
        <w:tc>
          <w:tcPr>
            <w:tcW w:w="717"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Costo adic. de capital ($EUA)</w:t>
            </w:r>
          </w:p>
        </w:tc>
        <w:tc>
          <w:tcPr>
            <w:tcW w:w="717"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Costo adic. de explotación ($EUA)</w:t>
            </w:r>
          </w:p>
        </w:tc>
        <w:tc>
          <w:tcPr>
            <w:tcW w:w="717"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Total ($EUA)</w:t>
            </w:r>
          </w:p>
        </w:tc>
        <w:tc>
          <w:tcPr>
            <w:tcW w:w="718"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highlight w:val="cyan"/>
                <w:lang w:val="es-ES"/>
              </w:rPr>
            </w:pPr>
            <w:r w:rsidRPr="00AE7913">
              <w:rPr>
                <w:b/>
                <w:bCs/>
                <w:color w:val="000000"/>
                <w:sz w:val="20"/>
                <w:szCs w:val="20"/>
                <w:lang w:val="es-ES"/>
              </w:rPr>
              <w:t>CE ($EUA/kg)</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El-Araby</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228,45</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12,56</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1</w:t>
            </w:r>
            <w:r w:rsidR="00AE7913" w:rsidRPr="00AE7913">
              <w:rPr>
                <w:sz w:val="20"/>
                <w:szCs w:val="20"/>
                <w:lang w:val="es-ES"/>
              </w:rPr>
              <w:t> </w:t>
            </w:r>
            <w:r w:rsidRPr="00AE7913">
              <w:rPr>
                <w:sz w:val="20"/>
                <w:szCs w:val="20"/>
                <w:lang w:val="es-ES"/>
              </w:rPr>
              <w:t>283</w:t>
            </w:r>
            <w:r w:rsidR="00AE7913" w:rsidRPr="00AE7913">
              <w:rPr>
                <w:sz w:val="20"/>
                <w:szCs w:val="20"/>
                <w:lang w:val="es-ES"/>
              </w:rPr>
              <w:t> </w:t>
            </w:r>
            <w:r w:rsidRPr="00AE7913">
              <w:rPr>
                <w:sz w:val="20"/>
                <w:szCs w:val="20"/>
                <w:lang w:val="es-ES"/>
              </w:rPr>
              <w:t xml:space="preserve">150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1</w:t>
            </w:r>
            <w:r w:rsidR="00AE7913" w:rsidRPr="00AE7913">
              <w:rPr>
                <w:sz w:val="20"/>
                <w:szCs w:val="20"/>
                <w:lang w:val="es-ES"/>
              </w:rPr>
              <w:t> </w:t>
            </w:r>
            <w:r w:rsidRPr="00AE7913">
              <w:rPr>
                <w:sz w:val="20"/>
                <w:szCs w:val="20"/>
                <w:lang w:val="es-ES"/>
              </w:rPr>
              <w:t>439</w:t>
            </w:r>
            <w:r w:rsidR="00AE7913" w:rsidRPr="00AE7913">
              <w:rPr>
                <w:sz w:val="20"/>
                <w:szCs w:val="20"/>
                <w:lang w:val="es-ES"/>
              </w:rPr>
              <w:t> </w:t>
            </w:r>
            <w:r w:rsidRPr="00AE7913">
              <w:rPr>
                <w:sz w:val="20"/>
                <w:szCs w:val="20"/>
                <w:lang w:val="es-ES"/>
              </w:rPr>
              <w:t xml:space="preserve">222 </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spacing w:line="256" w:lineRule="auto"/>
              <w:ind w:right="47"/>
              <w:jc w:val="right"/>
              <w:rPr>
                <w:sz w:val="20"/>
                <w:szCs w:val="20"/>
                <w:lang w:val="es-ES"/>
              </w:rPr>
            </w:pPr>
            <w:r w:rsidRPr="00AE7913">
              <w:rPr>
                <w:sz w:val="20"/>
                <w:szCs w:val="20"/>
                <w:lang w:val="es-ES"/>
              </w:rPr>
              <w:t>2</w:t>
            </w:r>
            <w:r w:rsidR="00AE7913" w:rsidRPr="00AE7913">
              <w:rPr>
                <w:sz w:val="20"/>
                <w:szCs w:val="20"/>
                <w:lang w:val="es-ES"/>
              </w:rPr>
              <w:t> </w:t>
            </w:r>
            <w:r w:rsidRPr="00AE7913">
              <w:rPr>
                <w:sz w:val="20"/>
                <w:szCs w:val="20"/>
                <w:lang w:val="es-ES"/>
              </w:rPr>
              <w:t>722</w:t>
            </w:r>
            <w:r w:rsidR="00AE7913" w:rsidRPr="00AE7913">
              <w:rPr>
                <w:sz w:val="20"/>
                <w:szCs w:val="20"/>
                <w:lang w:val="es-ES"/>
              </w:rPr>
              <w:t> </w:t>
            </w:r>
            <w:r w:rsidRPr="00AE7913">
              <w:rPr>
                <w:sz w:val="20"/>
                <w:szCs w:val="20"/>
                <w:lang w:val="es-ES"/>
              </w:rPr>
              <w:t xml:space="preserve">372 </w:t>
            </w:r>
          </w:p>
        </w:tc>
        <w:tc>
          <w:tcPr>
            <w:tcW w:w="718" w:type="pct"/>
            <w:tcBorders>
              <w:top w:val="nil"/>
              <w:left w:val="nil"/>
              <w:bottom w:val="single" w:sz="4" w:space="0" w:color="auto"/>
              <w:right w:val="single" w:sz="4" w:space="0" w:color="auto"/>
            </w:tcBorders>
            <w:vAlign w:val="bottom"/>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11,92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Fresh</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141,67</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7,79</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928</w:t>
            </w:r>
            <w:r w:rsidR="00AE7913" w:rsidRPr="00AE7913">
              <w:rPr>
                <w:sz w:val="20"/>
                <w:szCs w:val="20"/>
                <w:lang w:val="es-ES"/>
              </w:rPr>
              <w:t> </w:t>
            </w:r>
            <w:r w:rsidRPr="00AE7913">
              <w:rPr>
                <w:sz w:val="20"/>
                <w:szCs w:val="20"/>
                <w:lang w:val="es-ES"/>
              </w:rPr>
              <w:t xml:space="preserve">400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892</w:t>
            </w:r>
            <w:r w:rsidR="00AE7913" w:rsidRPr="00AE7913">
              <w:rPr>
                <w:sz w:val="20"/>
                <w:szCs w:val="20"/>
                <w:lang w:val="es-ES"/>
              </w:rPr>
              <w:t> </w:t>
            </w:r>
            <w:r w:rsidRPr="00AE7913">
              <w:rPr>
                <w:sz w:val="20"/>
                <w:szCs w:val="20"/>
                <w:lang w:val="es-ES"/>
              </w:rPr>
              <w:t xml:space="preserve">502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1</w:t>
            </w:r>
            <w:r w:rsidR="00AE7913" w:rsidRPr="00AE7913">
              <w:rPr>
                <w:sz w:val="20"/>
                <w:szCs w:val="20"/>
                <w:lang w:val="es-ES"/>
              </w:rPr>
              <w:t> </w:t>
            </w:r>
            <w:r w:rsidRPr="00AE7913">
              <w:rPr>
                <w:sz w:val="20"/>
                <w:szCs w:val="20"/>
                <w:lang w:val="es-ES"/>
              </w:rPr>
              <w:t>820</w:t>
            </w:r>
            <w:r w:rsidR="00AE7913" w:rsidRPr="00AE7913">
              <w:rPr>
                <w:sz w:val="20"/>
                <w:szCs w:val="20"/>
                <w:lang w:val="es-ES"/>
              </w:rPr>
              <w:t> </w:t>
            </w:r>
            <w:r w:rsidRPr="00AE7913">
              <w:rPr>
                <w:sz w:val="20"/>
                <w:szCs w:val="20"/>
                <w:lang w:val="es-ES"/>
              </w:rPr>
              <w:t xml:space="preserve">902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12,85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Miraco</w:t>
            </w:r>
            <w:r w:rsidRPr="00AE7913">
              <w:rPr>
                <w:sz w:val="20"/>
                <w:szCs w:val="20"/>
                <w:vertAlign w:val="superscript"/>
                <w:lang w:val="es-ES"/>
              </w:rPr>
              <w:t>*</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373,67</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20,55</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949</w:t>
            </w:r>
            <w:r w:rsidR="00AE7913" w:rsidRPr="00AE7913">
              <w:rPr>
                <w:sz w:val="20"/>
                <w:szCs w:val="20"/>
                <w:lang w:val="es-ES"/>
              </w:rPr>
              <w:t> </w:t>
            </w:r>
            <w:r w:rsidRPr="00AE7913">
              <w:rPr>
                <w:sz w:val="20"/>
                <w:szCs w:val="20"/>
                <w:lang w:val="es-ES"/>
              </w:rPr>
              <w:t xml:space="preserve">410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1</w:t>
            </w:r>
            <w:r w:rsidR="00AE7913" w:rsidRPr="00AE7913">
              <w:rPr>
                <w:sz w:val="20"/>
                <w:szCs w:val="20"/>
                <w:lang w:val="es-ES"/>
              </w:rPr>
              <w:t> </w:t>
            </w:r>
            <w:r w:rsidRPr="00AE7913">
              <w:rPr>
                <w:sz w:val="20"/>
                <w:szCs w:val="20"/>
                <w:lang w:val="es-ES"/>
              </w:rPr>
              <w:t>483</w:t>
            </w:r>
            <w:r w:rsidR="00AE7913" w:rsidRPr="00AE7913">
              <w:rPr>
                <w:sz w:val="20"/>
                <w:szCs w:val="20"/>
                <w:lang w:val="es-ES"/>
              </w:rPr>
              <w:t> </w:t>
            </w:r>
            <w:r w:rsidRPr="00AE7913">
              <w:rPr>
                <w:sz w:val="20"/>
                <w:szCs w:val="20"/>
                <w:lang w:val="es-ES"/>
              </w:rPr>
              <w:t xml:space="preserve">084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2</w:t>
            </w:r>
            <w:r w:rsidR="00AE7913" w:rsidRPr="00AE7913">
              <w:rPr>
                <w:sz w:val="20"/>
                <w:szCs w:val="20"/>
                <w:lang w:val="es-ES"/>
              </w:rPr>
              <w:t> </w:t>
            </w:r>
            <w:r w:rsidRPr="00AE7913">
              <w:rPr>
                <w:sz w:val="20"/>
                <w:szCs w:val="20"/>
                <w:lang w:val="es-ES"/>
              </w:rPr>
              <w:t>432</w:t>
            </w:r>
            <w:r w:rsidR="00AE7913" w:rsidRPr="00AE7913">
              <w:rPr>
                <w:sz w:val="20"/>
                <w:szCs w:val="20"/>
                <w:lang w:val="es-ES"/>
              </w:rPr>
              <w:t> </w:t>
            </w:r>
            <w:r w:rsidRPr="00AE7913">
              <w:rPr>
                <w:sz w:val="20"/>
                <w:szCs w:val="20"/>
                <w:lang w:val="es-ES"/>
              </w:rPr>
              <w:t xml:space="preserve">494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6,51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Power</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46,00</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2,53</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604</w:t>
            </w:r>
            <w:r w:rsidR="00AE7913" w:rsidRPr="00AE7913">
              <w:rPr>
                <w:sz w:val="20"/>
                <w:szCs w:val="20"/>
                <w:lang w:val="es-ES"/>
              </w:rPr>
              <w:t> </w:t>
            </w:r>
            <w:r w:rsidRPr="00AE7913">
              <w:rPr>
                <w:sz w:val="20"/>
                <w:szCs w:val="20"/>
                <w:lang w:val="es-ES"/>
              </w:rPr>
              <w:t xml:space="preserve">450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289</w:t>
            </w:r>
            <w:r w:rsidR="00AE7913" w:rsidRPr="00AE7913">
              <w:rPr>
                <w:sz w:val="20"/>
                <w:szCs w:val="20"/>
                <w:lang w:val="es-ES"/>
              </w:rPr>
              <w:t> </w:t>
            </w:r>
            <w:r w:rsidRPr="00AE7913">
              <w:rPr>
                <w:sz w:val="20"/>
                <w:szCs w:val="20"/>
                <w:lang w:val="es-ES"/>
              </w:rPr>
              <w:t xml:space="preserve">800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894</w:t>
            </w:r>
            <w:r w:rsidR="00AE7913" w:rsidRPr="00AE7913">
              <w:rPr>
                <w:sz w:val="20"/>
                <w:szCs w:val="20"/>
                <w:lang w:val="es-ES"/>
              </w:rPr>
              <w:t> </w:t>
            </w:r>
            <w:r w:rsidRPr="00AE7913">
              <w:rPr>
                <w:sz w:val="20"/>
                <w:szCs w:val="20"/>
                <w:lang w:val="es-ES"/>
              </w:rPr>
              <w:t xml:space="preserve">250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19,44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Unionaire</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400,00</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22,00</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1</w:t>
            </w:r>
            <w:r w:rsidR="00AE7913" w:rsidRPr="00AE7913">
              <w:rPr>
                <w:sz w:val="20"/>
                <w:szCs w:val="20"/>
                <w:lang w:val="es-ES"/>
              </w:rPr>
              <w:t> </w:t>
            </w:r>
            <w:r w:rsidRPr="00AE7913">
              <w:rPr>
                <w:sz w:val="20"/>
                <w:szCs w:val="20"/>
                <w:lang w:val="es-ES"/>
              </w:rPr>
              <w:t>320</w:t>
            </w:r>
            <w:r w:rsidR="00AE7913" w:rsidRPr="00AE7913">
              <w:rPr>
                <w:sz w:val="20"/>
                <w:szCs w:val="20"/>
                <w:lang w:val="es-ES"/>
              </w:rPr>
              <w:t> </w:t>
            </w:r>
            <w:r w:rsidRPr="00AE7913">
              <w:rPr>
                <w:sz w:val="20"/>
                <w:szCs w:val="20"/>
                <w:lang w:val="es-ES"/>
              </w:rPr>
              <w:t xml:space="preserve">000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2</w:t>
            </w:r>
            <w:r w:rsidR="00AE7913" w:rsidRPr="00AE7913">
              <w:rPr>
                <w:sz w:val="20"/>
                <w:szCs w:val="20"/>
                <w:lang w:val="es-ES"/>
              </w:rPr>
              <w:t> </w:t>
            </w:r>
            <w:r w:rsidRPr="00AE7913">
              <w:rPr>
                <w:sz w:val="20"/>
                <w:szCs w:val="20"/>
                <w:lang w:val="es-ES"/>
              </w:rPr>
              <w:t>520</w:t>
            </w:r>
            <w:r w:rsidR="00AE7913" w:rsidRPr="00AE7913">
              <w:rPr>
                <w:sz w:val="20"/>
                <w:szCs w:val="20"/>
                <w:lang w:val="es-ES"/>
              </w:rPr>
              <w:t> </w:t>
            </w:r>
            <w:r w:rsidRPr="00AE7913">
              <w:rPr>
                <w:sz w:val="20"/>
                <w:szCs w:val="20"/>
                <w:lang w:val="es-ES"/>
              </w:rPr>
              <w:t xml:space="preserve">000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3</w:t>
            </w:r>
            <w:r w:rsidR="00AE7913" w:rsidRPr="00AE7913">
              <w:rPr>
                <w:sz w:val="20"/>
                <w:szCs w:val="20"/>
                <w:lang w:val="es-ES"/>
              </w:rPr>
              <w:t> </w:t>
            </w:r>
            <w:r w:rsidRPr="00AE7913">
              <w:rPr>
                <w:sz w:val="20"/>
                <w:szCs w:val="20"/>
                <w:lang w:val="es-ES"/>
              </w:rPr>
              <w:t>840</w:t>
            </w:r>
            <w:r w:rsidR="00AE7913" w:rsidRPr="00AE7913">
              <w:rPr>
                <w:sz w:val="20"/>
                <w:szCs w:val="20"/>
                <w:lang w:val="es-ES"/>
              </w:rPr>
              <w:t> </w:t>
            </w:r>
            <w:r w:rsidRPr="00AE7913">
              <w:rPr>
                <w:sz w:val="20"/>
                <w:szCs w:val="20"/>
                <w:lang w:val="es-ES"/>
              </w:rPr>
              <w:t xml:space="preserve">000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9,60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noWrap/>
            <w:hideMark/>
          </w:tcPr>
          <w:p w:rsidR="003F2F76" w:rsidRPr="00AE7913" w:rsidRDefault="003F2F76" w:rsidP="003F2F76">
            <w:pPr>
              <w:jc w:val="left"/>
              <w:rPr>
                <w:b/>
                <w:color w:val="000000"/>
                <w:sz w:val="20"/>
                <w:szCs w:val="20"/>
                <w:lang w:val="es-ES"/>
              </w:rPr>
            </w:pPr>
            <w:r w:rsidRPr="00AE7913">
              <w:rPr>
                <w:b/>
                <w:color w:val="000000"/>
                <w:sz w:val="20"/>
                <w:szCs w:val="20"/>
                <w:lang w:val="es-ES"/>
              </w:rPr>
              <w:t>Total</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b/>
                <w:color w:val="000000"/>
                <w:sz w:val="20"/>
                <w:szCs w:val="20"/>
                <w:lang w:val="es-ES"/>
              </w:rPr>
              <w:t>1</w:t>
            </w:r>
            <w:r w:rsidR="00AE7913" w:rsidRPr="00AE7913">
              <w:rPr>
                <w:b/>
                <w:color w:val="000000"/>
                <w:sz w:val="20"/>
                <w:szCs w:val="20"/>
                <w:lang w:val="es-ES"/>
              </w:rPr>
              <w:t> </w:t>
            </w:r>
            <w:r w:rsidRPr="00AE7913">
              <w:rPr>
                <w:b/>
                <w:color w:val="000000"/>
                <w:sz w:val="20"/>
                <w:szCs w:val="20"/>
                <w:lang w:val="es-ES"/>
              </w:rPr>
              <w:t>189,78</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b/>
                <w:color w:val="000000"/>
                <w:sz w:val="20"/>
                <w:szCs w:val="20"/>
                <w:lang w:val="es-ES"/>
              </w:rPr>
              <w:t>65,44</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b/>
                <w:color w:val="000000"/>
                <w:sz w:val="20"/>
                <w:szCs w:val="20"/>
                <w:lang w:val="es-ES"/>
              </w:rPr>
            </w:pPr>
            <w:r w:rsidRPr="00AE7913">
              <w:rPr>
                <w:b/>
                <w:color w:val="000000"/>
                <w:sz w:val="20"/>
                <w:szCs w:val="20"/>
                <w:lang w:val="es-ES"/>
              </w:rPr>
              <w:t>5</w:t>
            </w:r>
            <w:r w:rsidR="00AE7913" w:rsidRPr="00AE7913">
              <w:rPr>
                <w:b/>
                <w:color w:val="000000"/>
                <w:sz w:val="20"/>
                <w:szCs w:val="20"/>
                <w:lang w:val="es-ES"/>
              </w:rPr>
              <w:t> </w:t>
            </w:r>
            <w:r w:rsidRPr="00AE7913">
              <w:rPr>
                <w:b/>
                <w:color w:val="000000"/>
                <w:sz w:val="20"/>
                <w:szCs w:val="20"/>
                <w:lang w:val="es-ES"/>
              </w:rPr>
              <w:t>085</w:t>
            </w:r>
            <w:r w:rsidR="00AE7913" w:rsidRPr="00AE7913">
              <w:rPr>
                <w:b/>
                <w:color w:val="000000"/>
                <w:sz w:val="20"/>
                <w:szCs w:val="20"/>
                <w:lang w:val="es-ES"/>
              </w:rPr>
              <w:t> </w:t>
            </w:r>
            <w:r w:rsidRPr="00AE7913">
              <w:rPr>
                <w:b/>
                <w:color w:val="000000"/>
                <w:sz w:val="20"/>
                <w:szCs w:val="20"/>
                <w:lang w:val="es-ES"/>
              </w:rPr>
              <w:t>410</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b/>
                <w:color w:val="000000"/>
                <w:sz w:val="20"/>
                <w:szCs w:val="20"/>
                <w:lang w:val="es-ES"/>
              </w:rPr>
            </w:pPr>
            <w:r w:rsidRPr="00AE7913">
              <w:rPr>
                <w:b/>
                <w:color w:val="000000"/>
                <w:sz w:val="20"/>
                <w:szCs w:val="20"/>
                <w:lang w:val="es-ES"/>
              </w:rPr>
              <w:t>6</w:t>
            </w:r>
            <w:r w:rsidR="00AE7913" w:rsidRPr="00AE7913">
              <w:rPr>
                <w:b/>
                <w:color w:val="000000"/>
                <w:sz w:val="20"/>
                <w:szCs w:val="20"/>
                <w:lang w:val="es-ES"/>
              </w:rPr>
              <w:t> </w:t>
            </w:r>
            <w:r w:rsidRPr="00AE7913">
              <w:rPr>
                <w:b/>
                <w:color w:val="000000"/>
                <w:sz w:val="20"/>
                <w:szCs w:val="20"/>
                <w:lang w:val="es-ES"/>
              </w:rPr>
              <w:t>624</w:t>
            </w:r>
            <w:r w:rsidR="00AE7913" w:rsidRPr="00AE7913">
              <w:rPr>
                <w:b/>
                <w:color w:val="000000"/>
                <w:sz w:val="20"/>
                <w:szCs w:val="20"/>
                <w:lang w:val="es-ES"/>
              </w:rPr>
              <w:t> </w:t>
            </w:r>
            <w:r w:rsidRPr="00AE7913">
              <w:rPr>
                <w:b/>
                <w:color w:val="000000"/>
                <w:sz w:val="20"/>
                <w:szCs w:val="20"/>
                <w:lang w:val="es-ES"/>
              </w:rPr>
              <w:t>608</w:t>
            </w:r>
          </w:p>
        </w:tc>
        <w:tc>
          <w:tcPr>
            <w:tcW w:w="717" w:type="pct"/>
            <w:tcBorders>
              <w:top w:val="nil"/>
              <w:left w:val="nil"/>
              <w:bottom w:val="single" w:sz="4" w:space="0" w:color="auto"/>
              <w:right w:val="single" w:sz="4" w:space="0" w:color="auto"/>
            </w:tcBorders>
            <w:noWrap/>
            <w:vAlign w:val="center"/>
            <w:hideMark/>
          </w:tcPr>
          <w:p w:rsidR="003F2F76" w:rsidRPr="00AE7913" w:rsidRDefault="003F2F76" w:rsidP="003F2F76">
            <w:pPr>
              <w:jc w:val="right"/>
              <w:rPr>
                <w:b/>
                <w:color w:val="000000"/>
                <w:sz w:val="20"/>
                <w:szCs w:val="20"/>
                <w:lang w:val="es-ES"/>
              </w:rPr>
            </w:pPr>
            <w:r w:rsidRPr="00AE7913">
              <w:rPr>
                <w:b/>
                <w:color w:val="000000"/>
                <w:sz w:val="20"/>
                <w:szCs w:val="20"/>
                <w:lang w:val="es-ES"/>
              </w:rPr>
              <w:t>11</w:t>
            </w:r>
            <w:r w:rsidR="00AE7913" w:rsidRPr="00AE7913">
              <w:rPr>
                <w:b/>
                <w:color w:val="000000"/>
                <w:sz w:val="20"/>
                <w:szCs w:val="20"/>
                <w:lang w:val="es-ES"/>
              </w:rPr>
              <w:t> </w:t>
            </w:r>
            <w:r w:rsidRPr="00AE7913">
              <w:rPr>
                <w:b/>
                <w:color w:val="000000"/>
                <w:sz w:val="20"/>
                <w:szCs w:val="20"/>
                <w:lang w:val="es-ES"/>
              </w:rPr>
              <w:t>710</w:t>
            </w:r>
            <w:r w:rsidR="00AE7913" w:rsidRPr="00AE7913">
              <w:rPr>
                <w:b/>
                <w:color w:val="000000"/>
                <w:sz w:val="20"/>
                <w:szCs w:val="20"/>
                <w:lang w:val="es-ES"/>
              </w:rPr>
              <w:t> </w:t>
            </w:r>
            <w:r w:rsidRPr="00AE7913">
              <w:rPr>
                <w:b/>
                <w:color w:val="000000"/>
                <w:sz w:val="20"/>
                <w:szCs w:val="20"/>
                <w:lang w:val="es-ES"/>
              </w:rPr>
              <w:t>018</w:t>
            </w:r>
          </w:p>
        </w:tc>
        <w:tc>
          <w:tcPr>
            <w:tcW w:w="718" w:type="pct"/>
            <w:tcBorders>
              <w:top w:val="nil"/>
              <w:left w:val="nil"/>
              <w:bottom w:val="single" w:sz="4" w:space="0" w:color="auto"/>
              <w:right w:val="single" w:sz="4" w:space="0" w:color="auto"/>
            </w:tcBorders>
            <w:hideMark/>
          </w:tcPr>
          <w:p w:rsidR="003F2F76" w:rsidRPr="00AE7913" w:rsidRDefault="003F2F76" w:rsidP="003F2F76">
            <w:pPr>
              <w:jc w:val="right"/>
              <w:rPr>
                <w:b/>
                <w:color w:val="000000"/>
                <w:sz w:val="20"/>
                <w:szCs w:val="20"/>
                <w:lang w:val="es-ES"/>
              </w:rPr>
            </w:pPr>
            <w:r w:rsidRPr="00AE7913">
              <w:rPr>
                <w:b/>
                <w:color w:val="000000"/>
                <w:sz w:val="20"/>
                <w:szCs w:val="20"/>
                <w:lang w:val="es-ES"/>
              </w:rPr>
              <w:t xml:space="preserve">9,84      </w:t>
            </w:r>
          </w:p>
        </w:tc>
      </w:tr>
    </w:tbl>
    <w:p w:rsidR="003F2F76" w:rsidRPr="00AE7913" w:rsidRDefault="003F2F76" w:rsidP="003F2F76">
      <w:pPr>
        <w:rPr>
          <w:sz w:val="16"/>
          <w:szCs w:val="16"/>
          <w:lang w:val="es-ES"/>
        </w:rPr>
      </w:pPr>
      <w:r w:rsidRPr="00AE7913">
        <w:rPr>
          <w:sz w:val="16"/>
          <w:szCs w:val="16"/>
          <w:lang w:val="es-ES"/>
        </w:rPr>
        <w:t>* Después de tener en cuenta el 37% de propiedad de un país que no opera al amparo del artículo 5.</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proyecto requerirá la revisión del Acuerdo para la etapa II del PGEH, que se aprobó en la 79ª reunión.</w:t>
      </w:r>
    </w:p>
    <w:p w:rsidR="003F2F76" w:rsidRPr="00AE7913" w:rsidRDefault="003F2F76" w:rsidP="00AE7913">
      <w:pPr>
        <w:keepNext/>
        <w:keepLines/>
        <w:jc w:val="center"/>
        <w:rPr>
          <w:b/>
          <w:lang w:val="es-ES"/>
        </w:rPr>
      </w:pPr>
      <w:r w:rsidRPr="00AE7913">
        <w:rPr>
          <w:b/>
          <w:lang w:val="es-ES"/>
        </w:rPr>
        <w:t>OBSERVACIONES Y RECOMENDACIÓN DE LA SECRETARÍA</w:t>
      </w:r>
    </w:p>
    <w:p w:rsidR="003F2F76" w:rsidRPr="00AE7913" w:rsidRDefault="003F2F76" w:rsidP="00AE7913">
      <w:pPr>
        <w:keepNext/>
        <w:keepLines/>
        <w:rPr>
          <w:lang w:val="es-ES"/>
        </w:rPr>
      </w:pPr>
    </w:p>
    <w:p w:rsidR="003F2F76" w:rsidRPr="00AE7913" w:rsidRDefault="003F2F76" w:rsidP="00AE7913">
      <w:pPr>
        <w:keepNext/>
        <w:keepLines/>
        <w:rPr>
          <w:b/>
          <w:lang w:val="es-ES"/>
        </w:rPr>
      </w:pPr>
      <w:r w:rsidRPr="00AE7913">
        <w:rPr>
          <w:b/>
          <w:lang w:val="es-ES"/>
        </w:rPr>
        <w:t>OBSERVACIONES</w:t>
      </w:r>
    </w:p>
    <w:p w:rsidR="003F2F76" w:rsidRPr="00AE7913" w:rsidRDefault="003F2F76" w:rsidP="00AE7913">
      <w:pPr>
        <w:keepNext/>
        <w:keepLines/>
        <w:rPr>
          <w:lang w:val="es-ES"/>
        </w:rPr>
      </w:pPr>
    </w:p>
    <w:p w:rsidR="003F2F76" w:rsidRPr="00AE7913" w:rsidRDefault="003F2F76" w:rsidP="00AE7913">
      <w:pPr>
        <w:keepNext/>
        <w:keepLines/>
        <w:rPr>
          <w:u w:val="single"/>
          <w:lang w:val="es-ES"/>
        </w:rPr>
      </w:pPr>
      <w:r w:rsidRPr="00AE7913">
        <w:rPr>
          <w:u w:val="single"/>
          <w:lang w:val="es-ES"/>
        </w:rPr>
        <w:t>Informe sobre los progresos logrados en la ejecución del primer tramo del plan de gestión de eliminación de HCFC</w:t>
      </w:r>
    </w:p>
    <w:p w:rsidR="003F2F76" w:rsidRPr="00AE7913" w:rsidRDefault="003F2F76" w:rsidP="00AE7913">
      <w:pPr>
        <w:keepNext/>
        <w:keepLines/>
        <w:rPr>
          <w:lang w:val="es-ES"/>
        </w:rPr>
      </w:pPr>
    </w:p>
    <w:p w:rsidR="003F2F76" w:rsidRPr="00AE7913" w:rsidRDefault="003F2F76" w:rsidP="00AE7913">
      <w:pPr>
        <w:pStyle w:val="Heading1"/>
        <w:keepNext/>
        <w:numPr>
          <w:ilvl w:val="0"/>
          <w:numId w:val="0"/>
        </w:numPr>
        <w:tabs>
          <w:tab w:val="left" w:pos="708"/>
        </w:tabs>
        <w:rPr>
          <w:i/>
          <w:lang w:val="es-ES"/>
        </w:rPr>
      </w:pPr>
      <w:r w:rsidRPr="00AE7913">
        <w:rPr>
          <w:i/>
          <w:lang w:val="es-ES"/>
        </w:rPr>
        <w:t>Sector de fabricación de espumas de PU</w:t>
      </w:r>
    </w:p>
    <w:p w:rsidR="003F2F76" w:rsidRPr="00AE7913" w:rsidRDefault="003F2F76" w:rsidP="003F2F76">
      <w:pPr>
        <w:pStyle w:val="Heading1"/>
        <w:rPr>
          <w:lang w:val="es-ES"/>
        </w:rPr>
      </w:pPr>
      <w:r w:rsidRPr="00AE7913">
        <w:rPr>
          <w:lang w:val="es-ES"/>
        </w:rPr>
        <w:t xml:space="preserve">La Secretaría, si bien señaló el avance considerable en la ejecución de las conversiones en el sector de fabricación de espumas de poliuretano, incluso que se habían adquirido todos los equipos </w:t>
      </w:r>
      <w:r w:rsidRPr="00AE7913">
        <w:rPr>
          <w:lang w:val="es-ES"/>
        </w:rPr>
        <w:lastRenderedPageBreak/>
        <w:t>necesarios para las empresas que recibieron asistencia, observó que no todos los equipos habían sido entregados y que el Gobierno había prohibido la importación, el uso y la exportación de HC</w:t>
      </w:r>
      <w:r w:rsidR="0013300C">
        <w:rPr>
          <w:lang w:val="es-ES"/>
        </w:rPr>
        <w:t>FC</w:t>
      </w:r>
      <w:r w:rsidR="0013300C">
        <w:rPr>
          <w:lang w:val="es-ES"/>
        </w:rPr>
        <w:noBreakHyphen/>
      </w:r>
      <w:r w:rsidRPr="00AE7913">
        <w:rPr>
          <w:lang w:val="es-ES"/>
        </w:rPr>
        <w:t>141b a granel y la exportación de HC</w:t>
      </w:r>
      <w:r w:rsidR="0013300C">
        <w:rPr>
          <w:lang w:val="es-ES"/>
        </w:rPr>
        <w:t>FC</w:t>
      </w:r>
      <w:r w:rsidR="0013300C">
        <w:rPr>
          <w:lang w:val="es-ES"/>
        </w:rPr>
        <w:noBreakHyphen/>
      </w:r>
      <w:r w:rsidRPr="00AE7913">
        <w:rPr>
          <w:lang w:val="es-ES"/>
        </w:rPr>
        <w:t xml:space="preserve">141b contenido en polioles premezclados a partir del 1 de enero de 2020. El PNUD confirmó que se prevé que todos los equipos que no han sido entregados aún </w:t>
      </w:r>
      <w:r w:rsidR="00EB6346">
        <w:rPr>
          <w:lang w:val="es-ES"/>
        </w:rPr>
        <w:t>se entregarán</w:t>
      </w:r>
      <w:r w:rsidRPr="00AE7913">
        <w:rPr>
          <w:lang w:val="es-ES"/>
        </w:rPr>
        <w:t xml:space="preserve"> a más tardar el 31 de diciembre de 2019. La instalación de los equipos requeriría el cese de la fabricación de espumas mientras se realiza la instalación, puesta en marcha y optimización de los equipos nuevos; por consiguiente, las empresas podrían cumplir la prohibición. El PNUD confirmó además que los equipos a base de HCFC serían desmantelados e inutilizados.</w:t>
      </w:r>
    </w:p>
    <w:p w:rsidR="003F2F76" w:rsidRPr="00AE7913" w:rsidRDefault="003F2F76" w:rsidP="003F2F76">
      <w:pPr>
        <w:rPr>
          <w:u w:val="single"/>
          <w:lang w:val="es-ES"/>
        </w:rPr>
      </w:pPr>
      <w:r w:rsidRPr="00AE7913">
        <w:rPr>
          <w:u w:val="single"/>
          <w:lang w:val="es-ES"/>
        </w:rPr>
        <w:t>Conversión de HC</w:t>
      </w:r>
      <w:r w:rsidR="0013300C">
        <w:rPr>
          <w:u w:val="single"/>
          <w:lang w:val="es-ES"/>
        </w:rPr>
        <w:t>FC</w:t>
      </w:r>
      <w:r w:rsidR="0013300C">
        <w:rPr>
          <w:u w:val="single"/>
          <w:lang w:val="es-ES"/>
        </w:rPr>
        <w:noBreakHyphen/>
      </w:r>
      <w:r w:rsidRPr="00AE7913">
        <w:rPr>
          <w:u w:val="single"/>
          <w:lang w:val="es-ES"/>
        </w:rPr>
        <w:t>22 en la fabricación de unidades de A/A residencial</w:t>
      </w:r>
    </w:p>
    <w:p w:rsidR="003F2F76" w:rsidRPr="00AE7913" w:rsidRDefault="003F2F76" w:rsidP="003F2F76">
      <w:pPr>
        <w:rPr>
          <w:lang w:val="es-ES"/>
        </w:rPr>
      </w:pPr>
    </w:p>
    <w:p w:rsidR="003F2F76" w:rsidRPr="00AE7913" w:rsidRDefault="003F2F76" w:rsidP="003F2F76">
      <w:pPr>
        <w:rPr>
          <w:i/>
          <w:lang w:val="es-ES"/>
        </w:rPr>
      </w:pPr>
      <w:r w:rsidRPr="00AE7913">
        <w:rPr>
          <w:i/>
          <w:lang w:val="es-ES"/>
        </w:rPr>
        <w:t>Selección de tecnología</w:t>
      </w:r>
    </w:p>
    <w:p w:rsidR="003F2F76" w:rsidRPr="00AE7913" w:rsidRDefault="003F2F76" w:rsidP="003F2F76">
      <w:pPr>
        <w:rPr>
          <w:i/>
          <w:lang w:val="es-ES"/>
        </w:rPr>
      </w:pPr>
    </w:p>
    <w:p w:rsidR="003F2F76" w:rsidRPr="00AE7913" w:rsidRDefault="003F2F76" w:rsidP="003F2F76">
      <w:pPr>
        <w:pStyle w:val="Heading1"/>
        <w:rPr>
          <w:lang w:val="es-ES"/>
        </w:rPr>
      </w:pPr>
      <w:r w:rsidRPr="00AE7913">
        <w:rPr>
          <w:lang w:val="es-ES"/>
        </w:rPr>
        <w:t>En la 79ª reunión, la Secretaría no pudo evaluar los costos adicionales de la conversión propuesta para el sector dado que, en ese momento, las empresas decidieron evaluar los resultados de los proyectos de demostración EGYPRA y PRAHA-II, que aún se encontraban en curso, antes de hacer su selección de tecnología.</w:t>
      </w:r>
    </w:p>
    <w:p w:rsidR="003F2F76" w:rsidRPr="00AE7913" w:rsidRDefault="003F2F76" w:rsidP="003F2F76">
      <w:pPr>
        <w:pStyle w:val="Heading1"/>
        <w:rPr>
          <w:lang w:val="es-ES"/>
        </w:rPr>
      </w:pPr>
      <w:r w:rsidRPr="00AE7913">
        <w:rPr>
          <w:lang w:val="es-ES"/>
        </w:rPr>
        <w:t>La Secretaría señaló que la propuesta se basaba en las lecciones aprendidas a través del programa EGYPRA en cuanto a la selección de las tecnologías a las que se convertirán las empresas, así como en lo que se había notificado en el informe de evaluación de 2018 del Comité de Opciones Técnicas sobre refrigeración, aire acondicionado y bombas de calor</w:t>
      </w:r>
      <w:r w:rsidRPr="00AE7913">
        <w:rPr>
          <w:rStyle w:val="FootnoteReference"/>
          <w:lang w:val="es-ES"/>
        </w:rPr>
        <w:footnoteReference w:id="15"/>
      </w:r>
      <w:r w:rsidRPr="00AE7913">
        <w:rPr>
          <w:lang w:val="es-ES"/>
        </w:rPr>
        <w:t xml:space="preserve"> y en otras evaluaciones técnicas. Si se ejecutara satisfactoriamente, el proyecto promovería además el cumplimento de las obligaciones de control de Egipto conforme al Protocolo de Montreal y ayudaría a evitar la introducción de alternativas de alto PCA (es decir, </w:t>
      </w:r>
      <w:r w:rsidR="0013300C">
        <w:rPr>
          <w:lang w:val="es-ES"/>
        </w:rPr>
        <w:t>R</w:t>
      </w:r>
      <w:r w:rsidR="0013300C">
        <w:rPr>
          <w:lang w:val="es-ES"/>
        </w:rPr>
        <w:noBreakHyphen/>
      </w:r>
      <w:r w:rsidRPr="00AE7913">
        <w:rPr>
          <w:lang w:val="es-ES"/>
        </w:rPr>
        <w:t>410A) en el mercado de A/A residencial.</w:t>
      </w:r>
    </w:p>
    <w:p w:rsidR="003F2F76" w:rsidRPr="00AE7913" w:rsidRDefault="003F2F76" w:rsidP="003F2F76">
      <w:pPr>
        <w:pStyle w:val="Heading1"/>
        <w:rPr>
          <w:lang w:val="es-ES"/>
        </w:rPr>
      </w:pPr>
      <w:r w:rsidRPr="00AE7913">
        <w:rPr>
          <w:lang w:val="es-ES"/>
        </w:rPr>
        <w:t>De conformidad con la decisión 74/20 a) iii), la Secretaría solicitó información de los proveedores sobre cómo y cuándo el país tendría a su disposición un suministro adecuado de H</w:t>
      </w:r>
      <w:r w:rsidR="0013300C">
        <w:rPr>
          <w:lang w:val="es-ES"/>
        </w:rPr>
        <w:t>FC</w:t>
      </w:r>
      <w:r w:rsidR="0013300C">
        <w:rPr>
          <w:lang w:val="es-ES"/>
        </w:rPr>
        <w:noBreakHyphen/>
      </w:r>
      <w:r w:rsidRPr="00AE7913">
        <w:rPr>
          <w:lang w:val="es-ES"/>
        </w:rPr>
        <w:t xml:space="preserve">32 (PCA = 675) y </w:t>
      </w:r>
      <w:r w:rsidR="0013300C">
        <w:rPr>
          <w:lang w:val="es-ES"/>
        </w:rPr>
        <w:t>R</w:t>
      </w:r>
      <w:r w:rsidR="0013300C">
        <w:rPr>
          <w:lang w:val="es-ES"/>
        </w:rPr>
        <w:noBreakHyphen/>
      </w:r>
      <w:r w:rsidRPr="00AE7913">
        <w:rPr>
          <w:lang w:val="es-ES"/>
        </w:rPr>
        <w:t>454B (PCA = 490) y los componentes necesarios (en especial, los compresores). La ONUDI indicó que los compresores a base H</w:t>
      </w:r>
      <w:r w:rsidR="0013300C">
        <w:rPr>
          <w:lang w:val="es-ES"/>
        </w:rPr>
        <w:t>FC</w:t>
      </w:r>
      <w:r w:rsidR="0013300C">
        <w:rPr>
          <w:lang w:val="es-ES"/>
        </w:rPr>
        <w:noBreakHyphen/>
      </w:r>
      <w:r w:rsidRPr="00AE7913">
        <w:rPr>
          <w:lang w:val="es-ES"/>
        </w:rPr>
        <w:t>32 y H</w:t>
      </w:r>
      <w:r w:rsidR="0013300C">
        <w:rPr>
          <w:lang w:val="es-ES"/>
        </w:rPr>
        <w:t>FC</w:t>
      </w:r>
      <w:r w:rsidR="0013300C">
        <w:rPr>
          <w:lang w:val="es-ES"/>
        </w:rPr>
        <w:noBreakHyphen/>
      </w:r>
      <w:r w:rsidRPr="00AE7913">
        <w:rPr>
          <w:lang w:val="es-ES"/>
        </w:rPr>
        <w:t>32, incluidos los compresores adecuados para el uso a altas temperaturas ambiente, son fácilmente accesibles; los proveedores locales indicaron que podrían suministrar compresores para H</w:t>
      </w:r>
      <w:r w:rsidR="0013300C">
        <w:rPr>
          <w:lang w:val="es-ES"/>
        </w:rPr>
        <w:t>FC</w:t>
      </w:r>
      <w:r w:rsidR="0013300C">
        <w:rPr>
          <w:lang w:val="es-ES"/>
        </w:rPr>
        <w:noBreakHyphen/>
      </w:r>
      <w:r w:rsidRPr="00AE7913">
        <w:rPr>
          <w:lang w:val="es-ES"/>
        </w:rPr>
        <w:t xml:space="preserve">32 para finales de 2020. Por el contrario, la cadena de suministro para los refrigerantes de </w:t>
      </w:r>
      <w:r w:rsidR="0013300C">
        <w:rPr>
          <w:lang w:val="es-ES"/>
        </w:rPr>
        <w:t>R</w:t>
      </w:r>
      <w:r w:rsidR="0013300C">
        <w:rPr>
          <w:lang w:val="es-ES"/>
        </w:rPr>
        <w:noBreakHyphen/>
      </w:r>
      <w:r w:rsidRPr="00AE7913">
        <w:rPr>
          <w:lang w:val="es-ES"/>
        </w:rPr>
        <w:t xml:space="preserve">454B y sus componentes no está aún completamente establecida: hay un suministro limitado de refrigerante </w:t>
      </w:r>
      <w:r w:rsidR="0013300C">
        <w:rPr>
          <w:lang w:val="es-ES"/>
        </w:rPr>
        <w:t>R</w:t>
      </w:r>
      <w:r w:rsidR="0013300C">
        <w:rPr>
          <w:lang w:val="es-ES"/>
        </w:rPr>
        <w:noBreakHyphen/>
      </w:r>
      <w:r w:rsidRPr="00AE7913">
        <w:rPr>
          <w:lang w:val="es-ES"/>
        </w:rPr>
        <w:t xml:space="preserve">454B y no hay aún en el mercado compresores para </w:t>
      </w:r>
      <w:r w:rsidR="0013300C">
        <w:rPr>
          <w:lang w:val="es-ES"/>
        </w:rPr>
        <w:t>R</w:t>
      </w:r>
      <w:r w:rsidR="0013300C">
        <w:rPr>
          <w:lang w:val="es-ES"/>
        </w:rPr>
        <w:noBreakHyphen/>
      </w:r>
      <w:r w:rsidRPr="00AE7913">
        <w:rPr>
          <w:lang w:val="es-ES"/>
        </w:rPr>
        <w:t xml:space="preserve">454B. Se esperaba que tanto el gas refrigerante como los compresores estarían disponibles en 2023 en los países que no operan al amparo del artículo 5 y en Egipto dos o tres años más tarde. Dado que el </w:t>
      </w:r>
      <w:r w:rsidR="0013300C">
        <w:rPr>
          <w:lang w:val="es-ES"/>
        </w:rPr>
        <w:t>R</w:t>
      </w:r>
      <w:r w:rsidR="0013300C">
        <w:rPr>
          <w:lang w:val="es-ES"/>
        </w:rPr>
        <w:noBreakHyphen/>
      </w:r>
      <w:r w:rsidRPr="00AE7913">
        <w:rPr>
          <w:lang w:val="es-ES"/>
        </w:rPr>
        <w:t xml:space="preserve">454B no está disponible en el mercado local y que es probable que esta situación persista después de la terminación de la etapa II del PGEH, la Secretaría no pudo considerar los costos de la conversión a </w:t>
      </w:r>
      <w:r w:rsidR="0013300C">
        <w:rPr>
          <w:lang w:val="es-ES"/>
        </w:rPr>
        <w:t>R</w:t>
      </w:r>
      <w:r w:rsidR="0013300C">
        <w:rPr>
          <w:lang w:val="es-ES"/>
        </w:rPr>
        <w:noBreakHyphen/>
      </w:r>
      <w:r w:rsidRPr="00AE7913">
        <w:rPr>
          <w:lang w:val="es-ES"/>
        </w:rPr>
        <w:t>454B. Por consiguiente, se acordó que los costos adicionales se determinarían sobre la base de una transición a H</w:t>
      </w:r>
      <w:r w:rsidR="0013300C">
        <w:rPr>
          <w:lang w:val="es-ES"/>
        </w:rPr>
        <w:t>FC</w:t>
      </w:r>
      <w:r w:rsidR="0013300C">
        <w:rPr>
          <w:lang w:val="es-ES"/>
        </w:rPr>
        <w:noBreakHyphen/>
      </w:r>
      <w:r w:rsidRPr="00AE7913">
        <w:rPr>
          <w:lang w:val="es-ES"/>
        </w:rPr>
        <w:t xml:space="preserve">32; sin embargo, las empresas dispondrían de flexibilidad para </w:t>
      </w:r>
      <w:r w:rsidR="00EB6346">
        <w:rPr>
          <w:lang w:val="es-ES"/>
        </w:rPr>
        <w:t>optar por</w:t>
      </w:r>
      <w:r w:rsidRPr="00AE7913">
        <w:rPr>
          <w:lang w:val="es-ES"/>
        </w:rPr>
        <w:t xml:space="preserve"> fabricar también equipos a base de </w:t>
      </w:r>
      <w:r w:rsidR="0013300C">
        <w:rPr>
          <w:lang w:val="es-ES"/>
        </w:rPr>
        <w:t>R</w:t>
      </w:r>
      <w:r w:rsidR="0013300C">
        <w:rPr>
          <w:lang w:val="es-ES"/>
        </w:rPr>
        <w:noBreakHyphen/>
      </w:r>
      <w:r w:rsidRPr="00AE7913">
        <w:rPr>
          <w:lang w:val="es-ES"/>
        </w:rPr>
        <w:t>454B una vez que la tecnología estuviera disponible.</w:t>
      </w:r>
    </w:p>
    <w:p w:rsidR="003F2F76" w:rsidRPr="00AE7913" w:rsidRDefault="003F2F76" w:rsidP="003F2F76">
      <w:pPr>
        <w:rPr>
          <w:i/>
          <w:lang w:val="es-ES"/>
        </w:rPr>
      </w:pPr>
      <w:r w:rsidRPr="00AE7913">
        <w:rPr>
          <w:i/>
          <w:lang w:val="es-ES"/>
        </w:rPr>
        <w:t>Costo adicional</w:t>
      </w:r>
    </w:p>
    <w:p w:rsidR="003F2F76" w:rsidRPr="00AE7913" w:rsidRDefault="003F2F76" w:rsidP="003F2F76">
      <w:pPr>
        <w:rPr>
          <w:i/>
          <w:lang w:val="es-ES"/>
        </w:rPr>
      </w:pPr>
    </w:p>
    <w:p w:rsidR="003F2F76" w:rsidRPr="00AE7913" w:rsidRDefault="003F2F76" w:rsidP="003F2F76">
      <w:pPr>
        <w:pStyle w:val="Heading1"/>
        <w:rPr>
          <w:lang w:val="es-ES"/>
        </w:rPr>
      </w:pPr>
      <w:r w:rsidRPr="00AE7913">
        <w:rPr>
          <w:lang w:val="es-ES"/>
        </w:rPr>
        <w:t>Las deliberaciones sobre los costos adicionales de capital abarcaron temas relacionados con el costo de las máquinas de carga; el número de máquinas de soldadura ultrasónica necesarias; la admisibilidad de la solicitud de los acopladores de proceso requeridos independientemente del refrigerante usado; los costos relacionados con los laboratorios, que incluyen monitorización del gas, ventilación y si se requiere una máquina de recuperación; el costo de un sistema de detección de fugas de helio, dada la práctica en dos de las empresas de probar las unidades de interiores en busca de fugas con HC</w:t>
      </w:r>
      <w:r w:rsidR="0013300C">
        <w:rPr>
          <w:lang w:val="es-ES"/>
        </w:rPr>
        <w:t>FC</w:t>
      </w:r>
      <w:r w:rsidR="0013300C">
        <w:rPr>
          <w:lang w:val="es-ES"/>
        </w:rPr>
        <w:noBreakHyphen/>
      </w:r>
      <w:r w:rsidRPr="00AE7913">
        <w:rPr>
          <w:lang w:val="es-ES"/>
        </w:rPr>
        <w:t xml:space="preserve">22; y el precio de los repuestos, ingeniería de proyecto, instalación y capacitación, y auditorías de </w:t>
      </w:r>
      <w:r w:rsidRPr="00AE7913">
        <w:rPr>
          <w:lang w:val="es-ES"/>
        </w:rPr>
        <w:lastRenderedPageBreak/>
        <w:t xml:space="preserve">seguridad. Además, la asistencia técnica solicitada en cada empresa para mantener o mejorar la eficiencia energética no resultó admisible y la asistencia técnica para garantizar el cumplimiento de las medidas de seguridad ya estaba incluido en los costos convenidos para instalación y capacitación. No obstante, de conformidad con la sugerencia formulada en la revisión técnica independiente del proyecto y las conclusiones del EGYPRA, la Secretaría consideró que se requeriría asistencia adicional para optimizar el rendimiento de los equipos fabricados para garantizar que puedan competir en el mercado con los equipos a base de </w:t>
      </w:r>
      <w:r w:rsidR="0013300C">
        <w:rPr>
          <w:lang w:val="es-ES"/>
        </w:rPr>
        <w:t>R</w:t>
      </w:r>
      <w:r w:rsidR="0013300C">
        <w:rPr>
          <w:lang w:val="es-ES"/>
        </w:rPr>
        <w:noBreakHyphen/>
      </w:r>
      <w:r w:rsidRPr="00AE7913">
        <w:rPr>
          <w:lang w:val="es-ES"/>
        </w:rPr>
        <w:t xml:space="preserve">410A. </w:t>
      </w:r>
    </w:p>
    <w:p w:rsidR="003F2F76" w:rsidRPr="00AE7913" w:rsidRDefault="003F2F76" w:rsidP="003F2F76">
      <w:pPr>
        <w:pStyle w:val="Heading1"/>
        <w:rPr>
          <w:lang w:val="es-ES"/>
        </w:rPr>
      </w:pPr>
      <w:r w:rsidRPr="00AE7913">
        <w:rPr>
          <w:lang w:val="es-ES"/>
        </w:rPr>
        <w:t xml:space="preserve">Tras tener en cuenta la falta de admisibilidad de los equipos comprados después del 21 de septiembre de 2007, los costos adicionales de capital convenidos para las cinco empresas se ajustaron de 5 085 410 $EUA a 4 253 197 $EUA, como se muestra en el Cuadro 6. </w:t>
      </w:r>
    </w:p>
    <w:p w:rsidR="003F2F76" w:rsidRPr="00AE7913" w:rsidRDefault="003F2F76" w:rsidP="003F2F76">
      <w:pPr>
        <w:rPr>
          <w:b/>
          <w:lang w:val="es-ES"/>
        </w:rPr>
      </w:pPr>
      <w:r w:rsidRPr="00AE7913">
        <w:rPr>
          <w:b/>
          <w:lang w:val="es-ES"/>
        </w:rPr>
        <w:t>Cuadro 6. Costos adicionales de capital convenidos para las cinco empresas</w:t>
      </w:r>
    </w:p>
    <w:tbl>
      <w:tblPr>
        <w:tblStyle w:val="TableGrid"/>
        <w:tblW w:w="5000" w:type="pct"/>
        <w:tblLook w:val="04A0" w:firstRow="1" w:lastRow="0" w:firstColumn="1" w:lastColumn="0" w:noHBand="0" w:noVBand="1"/>
      </w:tblPr>
      <w:tblGrid>
        <w:gridCol w:w="3188"/>
        <w:gridCol w:w="1053"/>
        <w:gridCol w:w="1025"/>
        <w:gridCol w:w="1025"/>
        <w:gridCol w:w="1025"/>
        <w:gridCol w:w="1117"/>
        <w:gridCol w:w="1143"/>
      </w:tblGrid>
      <w:tr w:rsidR="003F2F76" w:rsidRPr="00AE7913" w:rsidTr="003F2F76">
        <w:tc>
          <w:tcPr>
            <w:tcW w:w="1665" w:type="pct"/>
            <w:vMerge w:val="restar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sz w:val="20"/>
                <w:szCs w:val="20"/>
                <w:lang w:val="es-ES"/>
              </w:rPr>
            </w:pPr>
          </w:p>
          <w:p w:rsidR="003F2F76" w:rsidRPr="00AE7913" w:rsidRDefault="003F2F76" w:rsidP="003F2F76">
            <w:pPr>
              <w:jc w:val="center"/>
              <w:rPr>
                <w:b/>
                <w:sz w:val="20"/>
                <w:szCs w:val="20"/>
                <w:lang w:val="es-ES"/>
              </w:rPr>
            </w:pPr>
            <w:r w:rsidRPr="00AE7913">
              <w:rPr>
                <w:b/>
                <w:sz w:val="20"/>
                <w:szCs w:val="20"/>
                <w:lang w:val="es-ES"/>
              </w:rPr>
              <w:t>Área de proceso y equipos</w:t>
            </w:r>
          </w:p>
        </w:tc>
        <w:tc>
          <w:tcPr>
            <w:tcW w:w="2737" w:type="pct"/>
            <w:gridSpan w:val="5"/>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center"/>
              <w:rPr>
                <w:b/>
                <w:sz w:val="20"/>
                <w:szCs w:val="20"/>
                <w:lang w:val="es-ES"/>
              </w:rPr>
            </w:pPr>
            <w:r w:rsidRPr="00AE7913">
              <w:rPr>
                <w:b/>
                <w:sz w:val="20"/>
                <w:szCs w:val="20"/>
                <w:lang w:val="es-ES"/>
              </w:rPr>
              <w:t>Fabricante</w:t>
            </w:r>
          </w:p>
        </w:tc>
        <w:tc>
          <w:tcPr>
            <w:tcW w:w="598" w:type="pct"/>
            <w:vMerge w:val="restart"/>
            <w:tcBorders>
              <w:top w:val="single" w:sz="4" w:space="0" w:color="auto"/>
              <w:left w:val="single" w:sz="4" w:space="0" w:color="auto"/>
              <w:bottom w:val="single" w:sz="4" w:space="0" w:color="auto"/>
              <w:right w:val="single" w:sz="4" w:space="0" w:color="auto"/>
            </w:tcBorders>
          </w:tcPr>
          <w:p w:rsidR="003F2F76" w:rsidRPr="00AE7913" w:rsidRDefault="003F2F76" w:rsidP="003F2F76">
            <w:pPr>
              <w:jc w:val="center"/>
              <w:rPr>
                <w:b/>
                <w:sz w:val="20"/>
                <w:szCs w:val="20"/>
                <w:lang w:val="es-ES"/>
              </w:rPr>
            </w:pPr>
          </w:p>
          <w:p w:rsidR="003F2F76" w:rsidRPr="00AE7913" w:rsidRDefault="003F2F76" w:rsidP="003F2F76">
            <w:pPr>
              <w:jc w:val="center"/>
              <w:rPr>
                <w:b/>
                <w:sz w:val="20"/>
                <w:szCs w:val="20"/>
                <w:lang w:val="es-ES"/>
              </w:rPr>
            </w:pPr>
            <w:r w:rsidRPr="00AE7913">
              <w:rPr>
                <w:b/>
                <w:sz w:val="20"/>
                <w:szCs w:val="20"/>
                <w:lang w:val="es-ES"/>
              </w:rPr>
              <w:t>Total</w:t>
            </w:r>
          </w:p>
        </w:tc>
      </w:tr>
      <w:tr w:rsidR="003F2F76" w:rsidRPr="00AE7913" w:rsidTr="003F2F76">
        <w:tc>
          <w:tcPr>
            <w:tcW w:w="0" w:type="auto"/>
            <w:vMerge/>
            <w:tcBorders>
              <w:top w:val="single" w:sz="4" w:space="0" w:color="auto"/>
              <w:left w:val="single" w:sz="4" w:space="0" w:color="auto"/>
              <w:bottom w:val="single" w:sz="4" w:space="0" w:color="auto"/>
              <w:right w:val="single" w:sz="4" w:space="0" w:color="auto"/>
            </w:tcBorders>
            <w:vAlign w:val="center"/>
            <w:hideMark/>
          </w:tcPr>
          <w:p w:rsidR="003F2F76" w:rsidRPr="00AE7913" w:rsidRDefault="003F2F76" w:rsidP="003F2F76">
            <w:pPr>
              <w:rPr>
                <w:b/>
                <w:sz w:val="20"/>
                <w:szCs w:val="20"/>
                <w:lang w:val="es-ES"/>
              </w:rPr>
            </w:pPr>
          </w:p>
        </w:tc>
        <w:tc>
          <w:tcPr>
            <w:tcW w:w="550"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El-Araby</w:t>
            </w:r>
          </w:p>
        </w:tc>
        <w:tc>
          <w:tcPr>
            <w:tcW w:w="53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Fresh</w:t>
            </w:r>
          </w:p>
        </w:tc>
        <w:tc>
          <w:tcPr>
            <w:tcW w:w="53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Miraco</w:t>
            </w:r>
          </w:p>
        </w:tc>
        <w:tc>
          <w:tcPr>
            <w:tcW w:w="53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Power</w:t>
            </w:r>
          </w:p>
        </w:tc>
        <w:tc>
          <w:tcPr>
            <w:tcW w:w="583"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ind w:left="5"/>
              <w:jc w:val="center"/>
              <w:rPr>
                <w:sz w:val="20"/>
                <w:szCs w:val="20"/>
                <w:lang w:val="es-ES"/>
              </w:rPr>
            </w:pPr>
            <w:r w:rsidRPr="00AE7913">
              <w:rPr>
                <w:b/>
                <w:sz w:val="20"/>
                <w:szCs w:val="20"/>
                <w:lang w:val="es-ES"/>
              </w:rPr>
              <w:t>Unionaire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2F76" w:rsidRPr="00AE7913" w:rsidRDefault="003F2F76" w:rsidP="003F2F76">
            <w:pPr>
              <w:rPr>
                <w:b/>
                <w:sz w:val="20"/>
                <w:szCs w:val="20"/>
                <w:lang w:val="es-ES"/>
              </w:rPr>
            </w:pP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Sistema de suministro de refrigerante</w:t>
            </w:r>
          </w:p>
        </w:tc>
        <w:tc>
          <w:tcPr>
            <w:tcW w:w="550" w:type="pct"/>
            <w:tcBorders>
              <w:top w:val="single" w:sz="4" w:space="0" w:color="auto"/>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81</w:t>
            </w:r>
            <w:r w:rsidR="00AE7913" w:rsidRPr="00AE7913">
              <w:rPr>
                <w:sz w:val="20"/>
                <w:szCs w:val="20"/>
                <w:lang w:val="es-ES"/>
              </w:rPr>
              <w:t> </w:t>
            </w:r>
            <w:r w:rsidRPr="00AE7913">
              <w:rPr>
                <w:sz w:val="20"/>
                <w:szCs w:val="20"/>
                <w:lang w:val="es-ES"/>
              </w:rPr>
              <w:t xml:space="preserve">000 </w:t>
            </w:r>
          </w:p>
        </w:tc>
        <w:tc>
          <w:tcPr>
            <w:tcW w:w="535" w:type="pct"/>
            <w:tcBorders>
              <w:top w:val="single" w:sz="4" w:space="0" w:color="auto"/>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118</w:t>
            </w:r>
            <w:r w:rsidR="00AE7913" w:rsidRPr="00AE7913">
              <w:rPr>
                <w:sz w:val="20"/>
                <w:szCs w:val="20"/>
                <w:lang w:val="es-ES"/>
              </w:rPr>
              <w:t> </w:t>
            </w:r>
            <w:r w:rsidRPr="00AE7913">
              <w:rPr>
                <w:sz w:val="20"/>
                <w:szCs w:val="20"/>
                <w:lang w:val="es-ES"/>
              </w:rPr>
              <w:t xml:space="preserve">000 </w:t>
            </w:r>
          </w:p>
        </w:tc>
        <w:tc>
          <w:tcPr>
            <w:tcW w:w="535" w:type="pct"/>
            <w:tcBorders>
              <w:top w:val="single" w:sz="4" w:space="0" w:color="auto"/>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74</w:t>
            </w:r>
            <w:r w:rsidR="00AE7913" w:rsidRPr="00AE7913">
              <w:rPr>
                <w:sz w:val="20"/>
                <w:szCs w:val="20"/>
                <w:lang w:val="es-ES"/>
              </w:rPr>
              <w:t> </w:t>
            </w:r>
            <w:r w:rsidRPr="00AE7913">
              <w:rPr>
                <w:sz w:val="20"/>
                <w:szCs w:val="20"/>
                <w:lang w:val="es-ES"/>
              </w:rPr>
              <w:t xml:space="preserve">340 </w:t>
            </w:r>
          </w:p>
        </w:tc>
        <w:tc>
          <w:tcPr>
            <w:tcW w:w="535" w:type="pct"/>
            <w:tcBorders>
              <w:top w:val="single" w:sz="4" w:space="0" w:color="auto"/>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40</w:t>
            </w:r>
            <w:r w:rsidR="00AE7913" w:rsidRPr="00AE7913">
              <w:rPr>
                <w:sz w:val="20"/>
                <w:szCs w:val="20"/>
                <w:lang w:val="es-ES"/>
              </w:rPr>
              <w:t> </w:t>
            </w:r>
            <w:r w:rsidRPr="00AE7913">
              <w:rPr>
                <w:sz w:val="20"/>
                <w:szCs w:val="20"/>
                <w:lang w:val="es-ES"/>
              </w:rPr>
              <w:t xml:space="preserve">000 </w:t>
            </w:r>
          </w:p>
        </w:tc>
        <w:tc>
          <w:tcPr>
            <w:tcW w:w="583" w:type="pct"/>
            <w:tcBorders>
              <w:top w:val="single" w:sz="4" w:space="0" w:color="auto"/>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118</w:t>
            </w:r>
            <w:r w:rsidR="00AE7913" w:rsidRPr="00AE7913">
              <w:rPr>
                <w:sz w:val="20"/>
                <w:szCs w:val="20"/>
                <w:lang w:val="es-ES"/>
              </w:rPr>
              <w:t> </w:t>
            </w:r>
            <w:r w:rsidRPr="00AE7913">
              <w:rPr>
                <w:sz w:val="20"/>
                <w:szCs w:val="20"/>
                <w:lang w:val="es-ES"/>
              </w:rPr>
              <w:t xml:space="preserve">000 </w:t>
            </w:r>
          </w:p>
        </w:tc>
        <w:tc>
          <w:tcPr>
            <w:tcW w:w="598" w:type="pct"/>
            <w:tcBorders>
              <w:top w:val="single" w:sz="4" w:space="0" w:color="auto"/>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431</w:t>
            </w:r>
            <w:r w:rsidR="00AE7913" w:rsidRPr="00AE7913">
              <w:rPr>
                <w:sz w:val="20"/>
                <w:szCs w:val="20"/>
                <w:lang w:val="es-ES"/>
              </w:rPr>
              <w:t> </w:t>
            </w:r>
            <w:r w:rsidRPr="00AE7913">
              <w:rPr>
                <w:sz w:val="20"/>
                <w:szCs w:val="20"/>
                <w:lang w:val="es-ES"/>
              </w:rPr>
              <w:t xml:space="preserve">340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Línea de fabricación de interiores</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65</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130</w:t>
            </w:r>
            <w:r w:rsidR="00AE7913" w:rsidRPr="00AE7913">
              <w:rPr>
                <w:sz w:val="20"/>
                <w:szCs w:val="20"/>
                <w:lang w:val="es-ES"/>
              </w:rPr>
              <w:t> </w:t>
            </w:r>
            <w:r w:rsidRPr="00AE7913">
              <w:rPr>
                <w:sz w:val="20"/>
                <w:szCs w:val="20"/>
                <w:lang w:val="es-ES"/>
              </w:rPr>
              <w:t xml:space="preserve">000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195</w:t>
            </w:r>
            <w:r w:rsidR="00AE7913" w:rsidRPr="00AE7913">
              <w:rPr>
                <w:sz w:val="20"/>
                <w:szCs w:val="20"/>
                <w:lang w:val="es-ES"/>
              </w:rPr>
              <w:t> </w:t>
            </w:r>
            <w:r w:rsidRPr="00AE7913">
              <w:rPr>
                <w:sz w:val="20"/>
                <w:szCs w:val="20"/>
                <w:lang w:val="es-ES"/>
              </w:rPr>
              <w:t xml:space="preserve">000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Línea de fabricación de exteriores</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328</w:t>
            </w:r>
            <w:r w:rsidR="00AE7913" w:rsidRPr="00AE7913">
              <w:rPr>
                <w:sz w:val="20"/>
                <w:szCs w:val="20"/>
                <w:lang w:val="es-ES"/>
              </w:rPr>
              <w:t> </w:t>
            </w:r>
            <w:r w:rsidRPr="00AE7913">
              <w:rPr>
                <w:sz w:val="20"/>
                <w:szCs w:val="20"/>
                <w:lang w:val="es-ES"/>
              </w:rPr>
              <w:t xml:space="preserve">500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304</w:t>
            </w:r>
            <w:r w:rsidR="00AE7913" w:rsidRPr="00AE7913">
              <w:rPr>
                <w:sz w:val="20"/>
                <w:szCs w:val="20"/>
                <w:lang w:val="es-ES"/>
              </w:rPr>
              <w:t> </w:t>
            </w:r>
            <w:r w:rsidRPr="00AE7913">
              <w:rPr>
                <w:sz w:val="20"/>
                <w:szCs w:val="20"/>
                <w:lang w:val="es-ES"/>
              </w:rPr>
              <w:t xml:space="preserve">500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406</w:t>
            </w:r>
            <w:r w:rsidR="00AE7913" w:rsidRPr="00AE7913">
              <w:rPr>
                <w:sz w:val="20"/>
                <w:szCs w:val="20"/>
                <w:lang w:val="es-ES"/>
              </w:rPr>
              <w:t> </w:t>
            </w:r>
            <w:r w:rsidRPr="00AE7913">
              <w:rPr>
                <w:sz w:val="20"/>
                <w:szCs w:val="20"/>
                <w:lang w:val="es-ES"/>
              </w:rPr>
              <w:t xml:space="preserve">035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216</w:t>
            </w:r>
            <w:r w:rsidR="00AE7913" w:rsidRPr="00AE7913">
              <w:rPr>
                <w:sz w:val="20"/>
                <w:szCs w:val="20"/>
                <w:lang w:val="es-ES"/>
              </w:rPr>
              <w:t> </w:t>
            </w:r>
            <w:r w:rsidRPr="00AE7913">
              <w:rPr>
                <w:sz w:val="20"/>
                <w:szCs w:val="20"/>
                <w:lang w:val="es-ES"/>
              </w:rPr>
              <w:t xml:space="preserve">500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448</w:t>
            </w:r>
            <w:r w:rsidR="00AE7913" w:rsidRPr="00AE7913">
              <w:rPr>
                <w:sz w:val="20"/>
                <w:szCs w:val="20"/>
                <w:lang w:val="es-ES"/>
              </w:rPr>
              <w:t> </w:t>
            </w:r>
            <w:r w:rsidRPr="00AE7913">
              <w:rPr>
                <w:sz w:val="20"/>
                <w:szCs w:val="20"/>
                <w:lang w:val="es-ES"/>
              </w:rPr>
              <w:t xml:space="preserve">500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w:t>
            </w:r>
            <w:r w:rsidR="00AE7913" w:rsidRPr="00AE7913">
              <w:rPr>
                <w:sz w:val="20"/>
                <w:szCs w:val="20"/>
                <w:lang w:val="es-ES"/>
              </w:rPr>
              <w:t> </w:t>
            </w:r>
            <w:r w:rsidRPr="00AE7913">
              <w:rPr>
                <w:sz w:val="20"/>
                <w:szCs w:val="20"/>
                <w:lang w:val="es-ES"/>
              </w:rPr>
              <w:t>704</w:t>
            </w:r>
            <w:r w:rsidR="00AE7913" w:rsidRPr="00AE7913">
              <w:rPr>
                <w:sz w:val="20"/>
                <w:szCs w:val="20"/>
                <w:lang w:val="es-ES"/>
              </w:rPr>
              <w:t> </w:t>
            </w:r>
            <w:r w:rsidRPr="00AE7913">
              <w:rPr>
                <w:sz w:val="20"/>
                <w:szCs w:val="20"/>
                <w:lang w:val="es-ES"/>
              </w:rPr>
              <w:t xml:space="preserve">035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 xml:space="preserve">Zona de ejecución de pruebas </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122</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82</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77</w:t>
            </w:r>
            <w:r w:rsidR="00AE7913" w:rsidRPr="00AE7913">
              <w:rPr>
                <w:sz w:val="20"/>
                <w:szCs w:val="20"/>
                <w:lang w:val="es-ES"/>
              </w:rPr>
              <w:t> </w:t>
            </w:r>
            <w:r w:rsidRPr="00AE7913">
              <w:rPr>
                <w:sz w:val="20"/>
                <w:szCs w:val="20"/>
                <w:lang w:val="es-ES"/>
              </w:rPr>
              <w:t xml:space="preserve">490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30</w:t>
            </w:r>
            <w:r w:rsidR="00AE7913" w:rsidRPr="00AE7913">
              <w:rPr>
                <w:sz w:val="20"/>
                <w:szCs w:val="20"/>
                <w:lang w:val="es-ES"/>
              </w:rPr>
              <w:t> </w:t>
            </w:r>
            <w:r w:rsidRPr="00AE7913">
              <w:rPr>
                <w:sz w:val="20"/>
                <w:szCs w:val="20"/>
                <w:lang w:val="es-ES"/>
              </w:rPr>
              <w:t xml:space="preserve">000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100</w:t>
            </w:r>
            <w:r w:rsidR="00AE7913" w:rsidRPr="00AE7913">
              <w:rPr>
                <w:sz w:val="20"/>
                <w:szCs w:val="20"/>
                <w:lang w:val="es-ES"/>
              </w:rPr>
              <w:t> </w:t>
            </w:r>
            <w:r w:rsidRPr="00AE7913">
              <w:rPr>
                <w:sz w:val="20"/>
                <w:szCs w:val="20"/>
                <w:lang w:val="es-ES"/>
              </w:rPr>
              <w:t xml:space="preserve">000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411</w:t>
            </w:r>
            <w:r w:rsidR="00AE7913" w:rsidRPr="00AE7913">
              <w:rPr>
                <w:sz w:val="20"/>
                <w:szCs w:val="20"/>
                <w:lang w:val="es-ES"/>
              </w:rPr>
              <w:t> </w:t>
            </w:r>
            <w:r w:rsidRPr="00AE7913">
              <w:rPr>
                <w:sz w:val="20"/>
                <w:szCs w:val="20"/>
                <w:lang w:val="es-ES"/>
              </w:rPr>
              <w:t xml:space="preserve">490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 xml:space="preserve">Cámaras de laboratorio </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71</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31</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32</w:t>
            </w:r>
            <w:r w:rsidR="00AE7913" w:rsidRPr="00AE7913">
              <w:rPr>
                <w:sz w:val="20"/>
                <w:szCs w:val="20"/>
                <w:lang w:val="es-ES"/>
              </w:rPr>
              <w:t> </w:t>
            </w:r>
            <w:r w:rsidRPr="00AE7913">
              <w:rPr>
                <w:sz w:val="20"/>
                <w:szCs w:val="20"/>
                <w:lang w:val="es-ES"/>
              </w:rPr>
              <w:t xml:space="preserve">130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31</w:t>
            </w:r>
            <w:r w:rsidR="00AE7913" w:rsidRPr="00AE7913">
              <w:rPr>
                <w:sz w:val="20"/>
                <w:szCs w:val="20"/>
                <w:lang w:val="es-ES"/>
              </w:rPr>
              <w:t> </w:t>
            </w:r>
            <w:r w:rsidRPr="00AE7913">
              <w:rPr>
                <w:sz w:val="20"/>
                <w:szCs w:val="20"/>
                <w:lang w:val="es-ES"/>
              </w:rPr>
              <w:t xml:space="preserve">000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31</w:t>
            </w:r>
            <w:r w:rsidR="00AE7913" w:rsidRPr="00AE7913">
              <w:rPr>
                <w:sz w:val="20"/>
                <w:szCs w:val="20"/>
                <w:lang w:val="es-ES"/>
              </w:rPr>
              <w:t> </w:t>
            </w:r>
            <w:r w:rsidRPr="00AE7913">
              <w:rPr>
                <w:sz w:val="20"/>
                <w:szCs w:val="20"/>
                <w:lang w:val="es-ES"/>
              </w:rPr>
              <w:t xml:space="preserve">000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196</w:t>
            </w:r>
            <w:r w:rsidR="00AE7913" w:rsidRPr="00AE7913">
              <w:rPr>
                <w:sz w:val="20"/>
                <w:szCs w:val="20"/>
                <w:lang w:val="es-ES"/>
              </w:rPr>
              <w:t> </w:t>
            </w:r>
            <w:r w:rsidRPr="00AE7913">
              <w:rPr>
                <w:sz w:val="20"/>
                <w:szCs w:val="20"/>
                <w:lang w:val="es-ES"/>
              </w:rPr>
              <w:t xml:space="preserve">130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Repuestos</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15</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15</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14</w:t>
            </w:r>
            <w:r w:rsidR="00AE7913" w:rsidRPr="00AE7913">
              <w:rPr>
                <w:sz w:val="20"/>
                <w:szCs w:val="20"/>
                <w:lang w:val="es-ES"/>
              </w:rPr>
              <w:t> </w:t>
            </w:r>
            <w:r w:rsidRPr="00AE7913">
              <w:rPr>
                <w:sz w:val="20"/>
                <w:szCs w:val="20"/>
                <w:lang w:val="es-ES"/>
              </w:rPr>
              <w:t xml:space="preserve">175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w:t>
            </w:r>
            <w:r w:rsidR="00AE7913" w:rsidRPr="00AE7913">
              <w:rPr>
                <w:sz w:val="20"/>
                <w:szCs w:val="20"/>
                <w:lang w:val="es-ES"/>
              </w:rPr>
              <w:t> </w:t>
            </w:r>
            <w:r w:rsidRPr="00AE7913">
              <w:rPr>
                <w:sz w:val="20"/>
                <w:szCs w:val="20"/>
                <w:lang w:val="es-ES"/>
              </w:rPr>
              <w:t xml:space="preserve">500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15</w:t>
            </w:r>
            <w:r w:rsidR="00AE7913" w:rsidRPr="00AE7913">
              <w:rPr>
                <w:sz w:val="20"/>
                <w:szCs w:val="20"/>
                <w:lang w:val="es-ES"/>
              </w:rPr>
              <w:t> </w:t>
            </w:r>
            <w:r w:rsidRPr="00AE7913">
              <w:rPr>
                <w:sz w:val="20"/>
                <w:szCs w:val="20"/>
                <w:lang w:val="es-ES"/>
              </w:rPr>
              <w:t xml:space="preserve">000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66</w:t>
            </w:r>
            <w:r w:rsidR="00AE7913" w:rsidRPr="00AE7913">
              <w:rPr>
                <w:sz w:val="20"/>
                <w:szCs w:val="20"/>
                <w:lang w:val="es-ES"/>
              </w:rPr>
              <w:t> </w:t>
            </w:r>
            <w:r w:rsidRPr="00AE7913">
              <w:rPr>
                <w:sz w:val="20"/>
                <w:szCs w:val="20"/>
                <w:lang w:val="es-ES"/>
              </w:rPr>
              <w:t xml:space="preserve">675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Ingeniería, instalación, certificación y capacitación</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112</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72</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70</w:t>
            </w:r>
            <w:r w:rsidR="00AE7913" w:rsidRPr="00AE7913">
              <w:rPr>
                <w:sz w:val="20"/>
                <w:szCs w:val="20"/>
                <w:lang w:val="es-ES"/>
              </w:rPr>
              <w:t> </w:t>
            </w:r>
            <w:r w:rsidRPr="00AE7913">
              <w:rPr>
                <w:sz w:val="20"/>
                <w:szCs w:val="20"/>
                <w:lang w:val="es-ES"/>
              </w:rPr>
              <w:t xml:space="preserve">560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62</w:t>
            </w:r>
            <w:r w:rsidR="00AE7913" w:rsidRPr="00AE7913">
              <w:rPr>
                <w:sz w:val="20"/>
                <w:szCs w:val="20"/>
                <w:lang w:val="es-ES"/>
              </w:rPr>
              <w:t> </w:t>
            </w:r>
            <w:r w:rsidRPr="00AE7913">
              <w:rPr>
                <w:sz w:val="20"/>
                <w:szCs w:val="20"/>
                <w:lang w:val="es-ES"/>
              </w:rPr>
              <w:t xml:space="preserve">000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112</w:t>
            </w:r>
            <w:r w:rsidR="00AE7913" w:rsidRPr="00AE7913">
              <w:rPr>
                <w:sz w:val="20"/>
                <w:szCs w:val="20"/>
                <w:lang w:val="es-ES"/>
              </w:rPr>
              <w:t> </w:t>
            </w:r>
            <w:r w:rsidRPr="00AE7913">
              <w:rPr>
                <w:sz w:val="20"/>
                <w:szCs w:val="20"/>
                <w:lang w:val="es-ES"/>
              </w:rPr>
              <w:t xml:space="preserve">000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428</w:t>
            </w:r>
            <w:r w:rsidR="00AE7913" w:rsidRPr="00AE7913">
              <w:rPr>
                <w:sz w:val="20"/>
                <w:szCs w:val="20"/>
                <w:lang w:val="es-ES"/>
              </w:rPr>
              <w:t> </w:t>
            </w:r>
            <w:r w:rsidRPr="00AE7913">
              <w:rPr>
                <w:sz w:val="20"/>
                <w:szCs w:val="20"/>
                <w:lang w:val="es-ES"/>
              </w:rPr>
              <w:t xml:space="preserve">560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sz w:val="20"/>
                <w:szCs w:val="20"/>
                <w:lang w:val="es-ES"/>
              </w:rPr>
            </w:pPr>
            <w:r w:rsidRPr="00AE7913">
              <w:rPr>
                <w:sz w:val="20"/>
                <w:szCs w:val="20"/>
                <w:lang w:val="es-ES"/>
              </w:rPr>
              <w:t>Diseño y optimización de producto</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150</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75</w:t>
            </w:r>
            <w:r w:rsidR="00AE7913" w:rsidRPr="00AE7913">
              <w:rPr>
                <w:sz w:val="20"/>
                <w:szCs w:val="20"/>
                <w:lang w:val="es-ES"/>
              </w:rPr>
              <w:t> </w:t>
            </w:r>
            <w:r w:rsidRPr="00AE7913">
              <w:rPr>
                <w:sz w:val="20"/>
                <w:szCs w:val="20"/>
                <w:lang w:val="es-ES"/>
              </w:rPr>
              <w:t xml:space="preserve">000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94</w:t>
            </w:r>
            <w:r w:rsidR="00AE7913" w:rsidRPr="00AE7913">
              <w:rPr>
                <w:sz w:val="20"/>
                <w:szCs w:val="20"/>
                <w:lang w:val="es-ES"/>
              </w:rPr>
              <w:t> </w:t>
            </w:r>
            <w:r w:rsidRPr="00AE7913">
              <w:rPr>
                <w:sz w:val="20"/>
                <w:szCs w:val="20"/>
                <w:lang w:val="es-ES"/>
              </w:rPr>
              <w:t xml:space="preserve">500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50</w:t>
            </w:r>
            <w:r w:rsidR="00AE7913" w:rsidRPr="00AE7913">
              <w:rPr>
                <w:sz w:val="20"/>
                <w:szCs w:val="20"/>
                <w:lang w:val="es-ES"/>
              </w:rPr>
              <w:t> </w:t>
            </w:r>
            <w:r w:rsidRPr="00AE7913">
              <w:rPr>
                <w:sz w:val="20"/>
                <w:szCs w:val="20"/>
                <w:lang w:val="es-ES"/>
              </w:rPr>
              <w:t xml:space="preserve">000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150</w:t>
            </w:r>
            <w:r w:rsidR="00AE7913" w:rsidRPr="00AE7913">
              <w:rPr>
                <w:sz w:val="20"/>
                <w:szCs w:val="20"/>
                <w:lang w:val="es-ES"/>
              </w:rPr>
              <w:t> </w:t>
            </w:r>
            <w:r w:rsidRPr="00AE7913">
              <w:rPr>
                <w:sz w:val="20"/>
                <w:szCs w:val="20"/>
                <w:lang w:val="es-ES"/>
              </w:rPr>
              <w:t xml:space="preserve">000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519</w:t>
            </w:r>
            <w:r w:rsidR="00AE7913" w:rsidRPr="00AE7913">
              <w:rPr>
                <w:sz w:val="20"/>
                <w:szCs w:val="20"/>
                <w:lang w:val="es-ES"/>
              </w:rPr>
              <w:t> </w:t>
            </w:r>
            <w:r w:rsidRPr="00AE7913">
              <w:rPr>
                <w:sz w:val="20"/>
                <w:szCs w:val="20"/>
                <w:lang w:val="es-ES"/>
              </w:rPr>
              <w:t xml:space="preserve">500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spacing w:line="256" w:lineRule="auto"/>
              <w:jc w:val="left"/>
              <w:rPr>
                <w:sz w:val="20"/>
                <w:szCs w:val="20"/>
                <w:lang w:val="es-ES"/>
              </w:rPr>
            </w:pPr>
            <w:r w:rsidRPr="00AE7913">
              <w:rPr>
                <w:sz w:val="20"/>
                <w:szCs w:val="20"/>
                <w:lang w:val="es-ES"/>
              </w:rPr>
              <w:t xml:space="preserve">Imprevistos </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68</w:t>
            </w:r>
            <w:r w:rsidR="00AE7913" w:rsidRPr="00AE7913">
              <w:rPr>
                <w:sz w:val="20"/>
                <w:szCs w:val="20"/>
                <w:lang w:val="es-ES"/>
              </w:rPr>
              <w:t> </w:t>
            </w:r>
            <w:r w:rsidRPr="00AE7913">
              <w:rPr>
                <w:sz w:val="20"/>
                <w:szCs w:val="20"/>
                <w:lang w:val="es-ES"/>
              </w:rPr>
              <w:t xml:space="preserve">250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55</w:t>
            </w:r>
            <w:r w:rsidR="00AE7913" w:rsidRPr="00AE7913">
              <w:rPr>
                <w:sz w:val="20"/>
                <w:szCs w:val="20"/>
                <w:lang w:val="es-ES"/>
              </w:rPr>
              <w:t> </w:t>
            </w:r>
            <w:r w:rsidRPr="00AE7913">
              <w:rPr>
                <w:sz w:val="20"/>
                <w:szCs w:val="20"/>
                <w:lang w:val="es-ES"/>
              </w:rPr>
              <w:t xml:space="preserve">050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60</w:t>
            </w:r>
            <w:r w:rsidR="00AE7913" w:rsidRPr="00AE7913">
              <w:rPr>
                <w:sz w:val="20"/>
                <w:szCs w:val="20"/>
                <w:lang w:val="es-ES"/>
              </w:rPr>
              <w:t> </w:t>
            </w:r>
            <w:r w:rsidRPr="00AE7913">
              <w:rPr>
                <w:sz w:val="20"/>
                <w:szCs w:val="20"/>
                <w:lang w:val="es-ES"/>
              </w:rPr>
              <w:t xml:space="preserve">417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32</w:t>
            </w:r>
            <w:r w:rsidR="00AE7913" w:rsidRPr="00AE7913">
              <w:rPr>
                <w:sz w:val="20"/>
                <w:szCs w:val="20"/>
                <w:lang w:val="es-ES"/>
              </w:rPr>
              <w:t> </w:t>
            </w:r>
            <w:r w:rsidRPr="00AE7913">
              <w:rPr>
                <w:sz w:val="20"/>
                <w:szCs w:val="20"/>
                <w:lang w:val="es-ES"/>
              </w:rPr>
              <w:t xml:space="preserve">500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84</w:t>
            </w:r>
            <w:r w:rsidR="00AE7913" w:rsidRPr="00AE7913">
              <w:rPr>
                <w:sz w:val="20"/>
                <w:szCs w:val="20"/>
                <w:lang w:val="es-ES"/>
              </w:rPr>
              <w:t> </w:t>
            </w:r>
            <w:r w:rsidRPr="00AE7913">
              <w:rPr>
                <w:sz w:val="20"/>
                <w:szCs w:val="20"/>
                <w:lang w:val="es-ES"/>
              </w:rPr>
              <w:t xml:space="preserve">250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color w:val="000000"/>
                <w:sz w:val="20"/>
                <w:szCs w:val="20"/>
                <w:lang w:val="es-ES"/>
              </w:rPr>
            </w:pPr>
            <w:r w:rsidRPr="00AE7913">
              <w:rPr>
                <w:sz w:val="20"/>
                <w:szCs w:val="20"/>
                <w:lang w:val="es-ES"/>
              </w:rPr>
              <w:t xml:space="preserve"> 300</w:t>
            </w:r>
            <w:r w:rsidR="00AE7913" w:rsidRPr="00AE7913">
              <w:rPr>
                <w:sz w:val="20"/>
                <w:szCs w:val="20"/>
                <w:lang w:val="es-ES"/>
              </w:rPr>
              <w:t> </w:t>
            </w:r>
            <w:r w:rsidRPr="00AE7913">
              <w:rPr>
                <w:sz w:val="20"/>
                <w:szCs w:val="20"/>
                <w:lang w:val="es-ES"/>
              </w:rPr>
              <w:t xml:space="preserve">467 </w:t>
            </w:r>
          </w:p>
        </w:tc>
      </w:tr>
      <w:tr w:rsidR="003F2F76" w:rsidRPr="00AE7913" w:rsidTr="003F2F76">
        <w:tc>
          <w:tcPr>
            <w:tcW w:w="1665" w:type="pct"/>
            <w:tcBorders>
              <w:top w:val="single" w:sz="4" w:space="0" w:color="auto"/>
              <w:left w:val="single" w:sz="4" w:space="0" w:color="auto"/>
              <w:bottom w:val="single" w:sz="4" w:space="0" w:color="auto"/>
              <w:right w:val="single" w:sz="4" w:space="0" w:color="auto"/>
            </w:tcBorders>
            <w:hideMark/>
          </w:tcPr>
          <w:p w:rsidR="003F2F76" w:rsidRPr="00AE7913" w:rsidRDefault="003F2F76" w:rsidP="003F2F76">
            <w:pPr>
              <w:jc w:val="left"/>
              <w:rPr>
                <w:b/>
                <w:sz w:val="20"/>
                <w:szCs w:val="20"/>
                <w:lang w:val="es-ES"/>
              </w:rPr>
            </w:pPr>
            <w:r w:rsidRPr="00AE7913">
              <w:rPr>
                <w:b/>
                <w:sz w:val="20"/>
                <w:szCs w:val="20"/>
                <w:lang w:val="es-ES"/>
              </w:rPr>
              <w:t>Total de costos adicionales de capital</w:t>
            </w:r>
          </w:p>
        </w:tc>
        <w:tc>
          <w:tcPr>
            <w:tcW w:w="550" w:type="pct"/>
            <w:tcBorders>
              <w:top w:val="nil"/>
              <w:left w:val="single" w:sz="4" w:space="0" w:color="auto"/>
              <w:bottom w:val="single" w:sz="4" w:space="0" w:color="auto"/>
              <w:right w:val="single" w:sz="4" w:space="0" w:color="auto"/>
            </w:tcBorders>
            <w:vAlign w:val="center"/>
            <w:hideMark/>
          </w:tcPr>
          <w:p w:rsidR="003F2F76" w:rsidRPr="00AE7913" w:rsidRDefault="003F2F76" w:rsidP="003F2F76">
            <w:pPr>
              <w:jc w:val="right"/>
              <w:rPr>
                <w:b/>
                <w:color w:val="000000"/>
                <w:sz w:val="20"/>
                <w:szCs w:val="20"/>
                <w:lang w:val="es-ES"/>
              </w:rPr>
            </w:pPr>
            <w:r w:rsidRPr="00AE7913">
              <w:rPr>
                <w:b/>
                <w:sz w:val="20"/>
                <w:szCs w:val="20"/>
                <w:lang w:val="es-ES"/>
              </w:rPr>
              <w:t>1</w:t>
            </w:r>
            <w:r w:rsidR="00AE7913" w:rsidRPr="00AE7913">
              <w:rPr>
                <w:b/>
                <w:sz w:val="20"/>
                <w:szCs w:val="20"/>
                <w:lang w:val="es-ES"/>
              </w:rPr>
              <w:t> </w:t>
            </w:r>
            <w:r w:rsidRPr="00AE7913">
              <w:rPr>
                <w:b/>
                <w:sz w:val="20"/>
                <w:szCs w:val="20"/>
                <w:lang w:val="es-ES"/>
              </w:rPr>
              <w:t>012</w:t>
            </w:r>
            <w:r w:rsidR="00AE7913" w:rsidRPr="00AE7913">
              <w:rPr>
                <w:b/>
                <w:sz w:val="20"/>
                <w:szCs w:val="20"/>
                <w:lang w:val="es-ES"/>
              </w:rPr>
              <w:t> </w:t>
            </w:r>
            <w:r w:rsidRPr="00AE7913">
              <w:rPr>
                <w:b/>
                <w:sz w:val="20"/>
                <w:szCs w:val="20"/>
                <w:lang w:val="es-ES"/>
              </w:rPr>
              <w:t xml:space="preserve">750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b/>
                <w:color w:val="000000"/>
                <w:sz w:val="20"/>
                <w:szCs w:val="20"/>
                <w:lang w:val="es-ES"/>
              </w:rPr>
            </w:pPr>
            <w:r w:rsidRPr="00AE7913">
              <w:rPr>
                <w:b/>
                <w:sz w:val="20"/>
                <w:szCs w:val="20"/>
                <w:lang w:val="es-ES"/>
              </w:rPr>
              <w:t xml:space="preserve"> 752</w:t>
            </w:r>
            <w:r w:rsidR="00AE7913" w:rsidRPr="00AE7913">
              <w:rPr>
                <w:b/>
                <w:sz w:val="20"/>
                <w:szCs w:val="20"/>
                <w:lang w:val="es-ES"/>
              </w:rPr>
              <w:t> </w:t>
            </w:r>
            <w:r w:rsidRPr="00AE7913">
              <w:rPr>
                <w:b/>
                <w:sz w:val="20"/>
                <w:szCs w:val="20"/>
                <w:lang w:val="es-ES"/>
              </w:rPr>
              <w:t xml:space="preserve">550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b/>
                <w:color w:val="000000"/>
                <w:sz w:val="20"/>
                <w:szCs w:val="20"/>
                <w:lang w:val="es-ES"/>
              </w:rPr>
            </w:pPr>
            <w:r w:rsidRPr="00AE7913">
              <w:rPr>
                <w:b/>
                <w:sz w:val="20"/>
                <w:szCs w:val="20"/>
                <w:lang w:val="es-ES"/>
              </w:rPr>
              <w:t xml:space="preserve"> 829</w:t>
            </w:r>
            <w:r w:rsidR="00AE7913" w:rsidRPr="00AE7913">
              <w:rPr>
                <w:b/>
                <w:sz w:val="20"/>
                <w:szCs w:val="20"/>
                <w:lang w:val="es-ES"/>
              </w:rPr>
              <w:t> </w:t>
            </w:r>
            <w:r w:rsidRPr="00AE7913">
              <w:rPr>
                <w:b/>
                <w:sz w:val="20"/>
                <w:szCs w:val="20"/>
                <w:lang w:val="es-ES"/>
              </w:rPr>
              <w:t xml:space="preserve">647 </w:t>
            </w:r>
          </w:p>
        </w:tc>
        <w:tc>
          <w:tcPr>
            <w:tcW w:w="535" w:type="pct"/>
            <w:tcBorders>
              <w:top w:val="nil"/>
              <w:left w:val="nil"/>
              <w:bottom w:val="single" w:sz="4" w:space="0" w:color="auto"/>
              <w:right w:val="single" w:sz="4" w:space="0" w:color="auto"/>
            </w:tcBorders>
            <w:vAlign w:val="center"/>
            <w:hideMark/>
          </w:tcPr>
          <w:p w:rsidR="003F2F76" w:rsidRPr="00AE7913" w:rsidRDefault="003F2F76" w:rsidP="003F2F76">
            <w:pPr>
              <w:jc w:val="right"/>
              <w:rPr>
                <w:b/>
                <w:color w:val="000000"/>
                <w:sz w:val="20"/>
                <w:szCs w:val="20"/>
                <w:lang w:val="es-ES"/>
              </w:rPr>
            </w:pPr>
            <w:r w:rsidRPr="00AE7913">
              <w:rPr>
                <w:b/>
                <w:sz w:val="20"/>
                <w:szCs w:val="20"/>
                <w:lang w:val="es-ES"/>
              </w:rPr>
              <w:t xml:space="preserve"> 469</w:t>
            </w:r>
            <w:r w:rsidR="00AE7913" w:rsidRPr="00AE7913">
              <w:rPr>
                <w:b/>
                <w:sz w:val="20"/>
                <w:szCs w:val="20"/>
                <w:lang w:val="es-ES"/>
              </w:rPr>
              <w:t> </w:t>
            </w:r>
            <w:r w:rsidRPr="00AE7913">
              <w:rPr>
                <w:b/>
                <w:sz w:val="20"/>
                <w:szCs w:val="20"/>
                <w:lang w:val="es-ES"/>
              </w:rPr>
              <w:t xml:space="preserve">500 </w:t>
            </w:r>
          </w:p>
        </w:tc>
        <w:tc>
          <w:tcPr>
            <w:tcW w:w="583" w:type="pct"/>
            <w:tcBorders>
              <w:top w:val="nil"/>
              <w:left w:val="nil"/>
              <w:bottom w:val="single" w:sz="4" w:space="0" w:color="auto"/>
              <w:right w:val="single" w:sz="4" w:space="0" w:color="auto"/>
            </w:tcBorders>
            <w:vAlign w:val="center"/>
            <w:hideMark/>
          </w:tcPr>
          <w:p w:rsidR="003F2F76" w:rsidRPr="00AE7913" w:rsidRDefault="003F2F76" w:rsidP="003F2F76">
            <w:pPr>
              <w:jc w:val="right"/>
              <w:rPr>
                <w:b/>
                <w:color w:val="000000"/>
                <w:sz w:val="20"/>
                <w:szCs w:val="20"/>
                <w:lang w:val="es-ES"/>
              </w:rPr>
            </w:pPr>
            <w:r w:rsidRPr="00AE7913">
              <w:rPr>
                <w:b/>
                <w:sz w:val="20"/>
                <w:szCs w:val="20"/>
                <w:lang w:val="es-ES"/>
              </w:rPr>
              <w:t xml:space="preserve"> 1</w:t>
            </w:r>
            <w:r w:rsidR="00AE7913" w:rsidRPr="00AE7913">
              <w:rPr>
                <w:b/>
                <w:sz w:val="20"/>
                <w:szCs w:val="20"/>
                <w:lang w:val="es-ES"/>
              </w:rPr>
              <w:t> </w:t>
            </w:r>
            <w:r w:rsidRPr="00AE7913">
              <w:rPr>
                <w:b/>
                <w:sz w:val="20"/>
                <w:szCs w:val="20"/>
                <w:lang w:val="es-ES"/>
              </w:rPr>
              <w:t>188</w:t>
            </w:r>
            <w:r w:rsidR="00AE7913" w:rsidRPr="00AE7913">
              <w:rPr>
                <w:b/>
                <w:sz w:val="20"/>
                <w:szCs w:val="20"/>
                <w:lang w:val="es-ES"/>
              </w:rPr>
              <w:t> </w:t>
            </w:r>
            <w:r w:rsidRPr="00AE7913">
              <w:rPr>
                <w:b/>
                <w:sz w:val="20"/>
                <w:szCs w:val="20"/>
                <w:lang w:val="es-ES"/>
              </w:rPr>
              <w:t xml:space="preserve">750 </w:t>
            </w:r>
          </w:p>
        </w:tc>
        <w:tc>
          <w:tcPr>
            <w:tcW w:w="598" w:type="pct"/>
            <w:tcBorders>
              <w:top w:val="nil"/>
              <w:left w:val="nil"/>
              <w:bottom w:val="single" w:sz="4" w:space="0" w:color="auto"/>
              <w:right w:val="single" w:sz="4" w:space="0" w:color="auto"/>
            </w:tcBorders>
            <w:vAlign w:val="center"/>
            <w:hideMark/>
          </w:tcPr>
          <w:p w:rsidR="003F2F76" w:rsidRPr="00AE7913" w:rsidRDefault="003F2F76" w:rsidP="003F2F76">
            <w:pPr>
              <w:jc w:val="right"/>
              <w:rPr>
                <w:b/>
                <w:color w:val="000000"/>
                <w:sz w:val="20"/>
                <w:szCs w:val="20"/>
                <w:lang w:val="es-ES"/>
              </w:rPr>
            </w:pPr>
            <w:r w:rsidRPr="00AE7913">
              <w:rPr>
                <w:b/>
                <w:sz w:val="20"/>
                <w:szCs w:val="20"/>
                <w:lang w:val="es-ES"/>
              </w:rPr>
              <w:t xml:space="preserve"> 4</w:t>
            </w:r>
            <w:r w:rsidR="00AE7913" w:rsidRPr="00AE7913">
              <w:rPr>
                <w:b/>
                <w:sz w:val="20"/>
                <w:szCs w:val="20"/>
                <w:lang w:val="es-ES"/>
              </w:rPr>
              <w:t> </w:t>
            </w:r>
            <w:r w:rsidRPr="00AE7913">
              <w:rPr>
                <w:b/>
                <w:sz w:val="20"/>
                <w:szCs w:val="20"/>
                <w:lang w:val="es-ES"/>
              </w:rPr>
              <w:t>253</w:t>
            </w:r>
            <w:r w:rsidR="00AE7913" w:rsidRPr="00AE7913">
              <w:rPr>
                <w:b/>
                <w:sz w:val="20"/>
                <w:szCs w:val="20"/>
                <w:lang w:val="es-ES"/>
              </w:rPr>
              <w:t> </w:t>
            </w:r>
            <w:r w:rsidRPr="00AE7913">
              <w:rPr>
                <w:b/>
                <w:sz w:val="20"/>
                <w:szCs w:val="20"/>
                <w:lang w:val="es-ES"/>
              </w:rPr>
              <w:t xml:space="preserve">197 </w:t>
            </w:r>
          </w:p>
        </w:tc>
      </w:tr>
    </w:tbl>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Los costos adicionales de explotación se convinieron en base a la carga media por unidad (1,30 kg/unidad), un 30% de reducción de la carga al convertir de HC</w:t>
      </w:r>
      <w:r w:rsidR="0013300C">
        <w:rPr>
          <w:lang w:val="es-ES"/>
        </w:rPr>
        <w:t>FC</w:t>
      </w:r>
      <w:r w:rsidR="0013300C">
        <w:rPr>
          <w:lang w:val="es-ES"/>
        </w:rPr>
        <w:noBreakHyphen/>
      </w:r>
      <w:r w:rsidRPr="00AE7913">
        <w:rPr>
          <w:lang w:val="es-ES"/>
        </w:rPr>
        <w:t>22 a H</w:t>
      </w:r>
      <w:r w:rsidR="0013300C">
        <w:rPr>
          <w:lang w:val="es-ES"/>
        </w:rPr>
        <w:t>FC</w:t>
      </w:r>
      <w:r w:rsidR="0013300C">
        <w:rPr>
          <w:lang w:val="es-ES"/>
        </w:rPr>
        <w:noBreakHyphen/>
      </w:r>
      <w:r w:rsidRPr="00AE7913">
        <w:rPr>
          <w:lang w:val="es-ES"/>
        </w:rPr>
        <w:t>32, la diferencia de precio entre el HC</w:t>
      </w:r>
      <w:r w:rsidR="0013300C">
        <w:rPr>
          <w:lang w:val="es-ES"/>
        </w:rPr>
        <w:t>FC</w:t>
      </w:r>
      <w:r w:rsidR="0013300C">
        <w:rPr>
          <w:lang w:val="es-ES"/>
        </w:rPr>
        <w:noBreakHyphen/>
      </w:r>
      <w:r w:rsidRPr="00AE7913">
        <w:rPr>
          <w:lang w:val="es-ES"/>
        </w:rPr>
        <w:t>22 (2,95 $EUA/kg) y el H</w:t>
      </w:r>
      <w:r w:rsidR="0013300C">
        <w:rPr>
          <w:lang w:val="es-ES"/>
        </w:rPr>
        <w:t>FC</w:t>
      </w:r>
      <w:r w:rsidR="0013300C">
        <w:rPr>
          <w:lang w:val="es-ES"/>
        </w:rPr>
        <w:noBreakHyphen/>
      </w:r>
      <w:r w:rsidRPr="00AE7913">
        <w:rPr>
          <w:lang w:val="es-ES"/>
        </w:rPr>
        <w:t>32 (7,94 $EUA/kg) y costos adicionales relacionados con la seguridad y posibles diferencias menores en el precio de los compresores para H</w:t>
      </w:r>
      <w:r w:rsidR="0013300C">
        <w:rPr>
          <w:lang w:val="es-ES"/>
        </w:rPr>
        <w:t>FC</w:t>
      </w:r>
      <w:r w:rsidR="0013300C">
        <w:rPr>
          <w:lang w:val="es-ES"/>
        </w:rPr>
        <w:noBreakHyphen/>
      </w:r>
      <w:r w:rsidRPr="00AE7913">
        <w:rPr>
          <w:lang w:val="es-ES"/>
        </w:rPr>
        <w:t xml:space="preserve">32 adecuados para usar en condiciones de altas temperaturas ambiente (3,65 $EUA/unidad), lo que arrojó un costo adicional de explotación de 6,18 $EUA/kg. </w:t>
      </w:r>
    </w:p>
    <w:p w:rsidR="003F2F76" w:rsidRPr="00AE7913" w:rsidRDefault="003F2F76" w:rsidP="003F2F76">
      <w:pPr>
        <w:pStyle w:val="Heading1"/>
        <w:rPr>
          <w:lang w:val="es-ES"/>
        </w:rPr>
      </w:pPr>
      <w:r w:rsidRPr="00AE7913">
        <w:rPr>
          <w:lang w:val="es-ES"/>
        </w:rPr>
        <w:t>Además, en la 79ª reunión se acordó que los costos de la DGP podrían ser incrementados si se aprobaba una propuesta para sector de fabricación de equipos de A/A residencial como parte de la etapa II</w:t>
      </w:r>
      <w:r w:rsidRPr="00AE7913">
        <w:rPr>
          <w:rStyle w:val="FootnoteReference"/>
          <w:lang w:val="es-ES"/>
        </w:rPr>
        <w:footnoteReference w:id="16"/>
      </w:r>
      <w:r w:rsidRPr="00AE7913">
        <w:rPr>
          <w:lang w:val="es-ES"/>
        </w:rPr>
        <w:t>, que la ONUDI había omitido inadvertidamente en la propuesta de proyecto; se acordaron 175 000 $EUA de financiación adicional para la DGP</w:t>
      </w:r>
      <w:r w:rsidR="00E71452">
        <w:rPr>
          <w:lang w:val="es-ES"/>
        </w:rPr>
        <w:t xml:space="preserve">. </w:t>
      </w:r>
    </w:p>
    <w:p w:rsidR="003F2F76" w:rsidRPr="00AE7913" w:rsidRDefault="003F2F76" w:rsidP="003F2F76">
      <w:pPr>
        <w:pStyle w:val="Heading1"/>
        <w:rPr>
          <w:lang w:val="es-ES"/>
        </w:rPr>
      </w:pPr>
      <w:r w:rsidRPr="00AE7913">
        <w:rPr>
          <w:lang w:val="es-ES"/>
        </w:rPr>
        <w:t>Teniendo en cuenta estas consideraciones, se convinieron costos totales del proyecto de 2 619 710 $EUA, como se indica en el Cuadro 7.</w:t>
      </w:r>
    </w:p>
    <w:p w:rsidR="003F2F76" w:rsidRPr="00AE7913" w:rsidRDefault="003F2F76" w:rsidP="00AE7913">
      <w:pPr>
        <w:pStyle w:val="Heading1"/>
        <w:keepNext/>
        <w:numPr>
          <w:ilvl w:val="0"/>
          <w:numId w:val="0"/>
        </w:numPr>
        <w:tabs>
          <w:tab w:val="left" w:pos="708"/>
        </w:tabs>
        <w:spacing w:after="0"/>
        <w:rPr>
          <w:b/>
          <w:lang w:val="es-ES"/>
        </w:rPr>
      </w:pPr>
      <w:r w:rsidRPr="00AE7913">
        <w:rPr>
          <w:b/>
          <w:lang w:val="es-ES"/>
        </w:rPr>
        <w:t>Cuadro 7. Costos convenidos para la conversión en los cinco fabricantes ($EUA)</w:t>
      </w:r>
    </w:p>
    <w:tbl>
      <w:tblPr>
        <w:tblW w:w="5000" w:type="pct"/>
        <w:tblLook w:val="04A0" w:firstRow="1" w:lastRow="0" w:firstColumn="1" w:lastColumn="0" w:noHBand="0" w:noVBand="1"/>
      </w:tblPr>
      <w:tblGrid>
        <w:gridCol w:w="1300"/>
        <w:gridCol w:w="1341"/>
        <w:gridCol w:w="1567"/>
        <w:gridCol w:w="1341"/>
        <w:gridCol w:w="1343"/>
        <w:gridCol w:w="1341"/>
        <w:gridCol w:w="1343"/>
      </w:tblGrid>
      <w:tr w:rsidR="003F2F76" w:rsidRPr="00AE7913" w:rsidTr="003F2F76">
        <w:trPr>
          <w:trHeight w:val="224"/>
          <w:tblHeader/>
        </w:trPr>
        <w:tc>
          <w:tcPr>
            <w:tcW w:w="696" w:type="pct"/>
            <w:tcBorders>
              <w:top w:val="single" w:sz="4" w:space="0" w:color="auto"/>
              <w:left w:val="single" w:sz="4" w:space="0" w:color="auto"/>
              <w:bottom w:val="single" w:sz="4" w:space="0" w:color="auto"/>
              <w:right w:val="single" w:sz="4" w:space="0" w:color="auto"/>
            </w:tcBorders>
            <w:noWrap/>
            <w:hideMark/>
          </w:tcPr>
          <w:p w:rsidR="003F2F76" w:rsidRPr="00AE7913" w:rsidRDefault="003F2F76" w:rsidP="003F2F76">
            <w:pPr>
              <w:jc w:val="left"/>
              <w:rPr>
                <w:b/>
                <w:bCs/>
                <w:color w:val="000000"/>
                <w:sz w:val="20"/>
                <w:szCs w:val="20"/>
                <w:lang w:val="es-ES"/>
              </w:rPr>
            </w:pPr>
            <w:r w:rsidRPr="00AE7913">
              <w:rPr>
                <w:b/>
                <w:bCs/>
                <w:color w:val="000000"/>
                <w:sz w:val="20"/>
                <w:szCs w:val="20"/>
                <w:lang w:val="es-ES"/>
              </w:rPr>
              <w:t>Empresa</w:t>
            </w:r>
          </w:p>
        </w:tc>
        <w:tc>
          <w:tcPr>
            <w:tcW w:w="717" w:type="pct"/>
            <w:tcBorders>
              <w:top w:val="single" w:sz="4" w:space="0" w:color="auto"/>
              <w:left w:val="nil"/>
              <w:bottom w:val="single" w:sz="4" w:space="0" w:color="auto"/>
              <w:right w:val="single" w:sz="4" w:space="0" w:color="auto"/>
            </w:tcBorders>
            <w:noWrap/>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tm</w:t>
            </w:r>
          </w:p>
        </w:tc>
        <w:tc>
          <w:tcPr>
            <w:tcW w:w="717" w:type="pct"/>
            <w:tcBorders>
              <w:top w:val="single" w:sz="4" w:space="0" w:color="auto"/>
              <w:left w:val="nil"/>
              <w:bottom w:val="single" w:sz="4" w:space="0" w:color="auto"/>
              <w:right w:val="single" w:sz="4" w:space="0" w:color="auto"/>
            </w:tcBorders>
            <w:noWrap/>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Toneladas PAO</w:t>
            </w:r>
          </w:p>
        </w:tc>
        <w:tc>
          <w:tcPr>
            <w:tcW w:w="717"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Costo adic. de capital ($EUA)</w:t>
            </w:r>
          </w:p>
        </w:tc>
        <w:tc>
          <w:tcPr>
            <w:tcW w:w="717"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Costo adic. de explotación ($EUA)</w:t>
            </w:r>
          </w:p>
        </w:tc>
        <w:tc>
          <w:tcPr>
            <w:tcW w:w="717"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lang w:val="es-ES"/>
              </w:rPr>
            </w:pPr>
            <w:r w:rsidRPr="00AE7913">
              <w:rPr>
                <w:b/>
                <w:bCs/>
                <w:color w:val="000000"/>
                <w:sz w:val="20"/>
                <w:szCs w:val="20"/>
                <w:lang w:val="es-ES"/>
              </w:rPr>
              <w:t>Total ($EUA)</w:t>
            </w:r>
          </w:p>
        </w:tc>
        <w:tc>
          <w:tcPr>
            <w:tcW w:w="718" w:type="pct"/>
            <w:tcBorders>
              <w:top w:val="single" w:sz="4" w:space="0" w:color="auto"/>
              <w:left w:val="nil"/>
              <w:bottom w:val="single" w:sz="4" w:space="0" w:color="auto"/>
              <w:right w:val="single" w:sz="4" w:space="0" w:color="auto"/>
            </w:tcBorders>
            <w:hideMark/>
          </w:tcPr>
          <w:p w:rsidR="003F2F76" w:rsidRPr="00AE7913" w:rsidRDefault="003F2F76" w:rsidP="003F2F76">
            <w:pPr>
              <w:jc w:val="center"/>
              <w:rPr>
                <w:b/>
                <w:bCs/>
                <w:color w:val="000000"/>
                <w:sz w:val="20"/>
                <w:szCs w:val="20"/>
                <w:highlight w:val="cyan"/>
                <w:lang w:val="es-ES"/>
              </w:rPr>
            </w:pPr>
            <w:r w:rsidRPr="00AE7913">
              <w:rPr>
                <w:b/>
                <w:bCs/>
                <w:color w:val="000000"/>
                <w:sz w:val="20"/>
                <w:szCs w:val="20"/>
                <w:lang w:val="es-ES"/>
              </w:rPr>
              <w:t>CE/kg</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El-Araby</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228,45</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12,56</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1</w:t>
            </w:r>
            <w:r w:rsidR="00AE7913" w:rsidRPr="00AE7913">
              <w:rPr>
                <w:sz w:val="20"/>
                <w:szCs w:val="20"/>
                <w:lang w:val="es-ES"/>
              </w:rPr>
              <w:t> </w:t>
            </w:r>
            <w:r w:rsidRPr="00AE7913">
              <w:rPr>
                <w:sz w:val="20"/>
                <w:szCs w:val="20"/>
                <w:lang w:val="es-ES"/>
              </w:rPr>
              <w:t>012</w:t>
            </w:r>
            <w:r w:rsidR="00AE7913" w:rsidRPr="00AE7913">
              <w:rPr>
                <w:sz w:val="20"/>
                <w:szCs w:val="20"/>
                <w:lang w:val="es-ES"/>
              </w:rPr>
              <w:t> </w:t>
            </w:r>
            <w:r w:rsidRPr="00AE7913">
              <w:rPr>
                <w:sz w:val="20"/>
                <w:szCs w:val="20"/>
                <w:lang w:val="es-ES"/>
              </w:rPr>
              <w:t xml:space="preserve">750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1</w:t>
            </w:r>
            <w:r w:rsidR="00AE7913" w:rsidRPr="00AE7913">
              <w:rPr>
                <w:sz w:val="20"/>
                <w:szCs w:val="20"/>
                <w:lang w:val="es-ES"/>
              </w:rPr>
              <w:t> </w:t>
            </w:r>
            <w:r w:rsidRPr="00AE7913">
              <w:rPr>
                <w:sz w:val="20"/>
                <w:szCs w:val="20"/>
                <w:lang w:val="es-ES"/>
              </w:rPr>
              <w:t>411</w:t>
            </w:r>
            <w:r w:rsidR="00AE7913" w:rsidRPr="00AE7913">
              <w:rPr>
                <w:sz w:val="20"/>
                <w:szCs w:val="20"/>
                <w:lang w:val="es-ES"/>
              </w:rPr>
              <w:t> </w:t>
            </w:r>
            <w:r w:rsidRPr="00AE7913">
              <w:rPr>
                <w:sz w:val="20"/>
                <w:szCs w:val="20"/>
                <w:lang w:val="es-ES"/>
              </w:rPr>
              <w:t xml:space="preserve">809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2</w:t>
            </w:r>
            <w:r w:rsidR="00AE7913" w:rsidRPr="00AE7913">
              <w:rPr>
                <w:sz w:val="20"/>
                <w:szCs w:val="20"/>
                <w:lang w:val="es-ES"/>
              </w:rPr>
              <w:t> </w:t>
            </w:r>
            <w:r w:rsidRPr="00AE7913">
              <w:rPr>
                <w:sz w:val="20"/>
                <w:szCs w:val="20"/>
                <w:lang w:val="es-ES"/>
              </w:rPr>
              <w:t>424</w:t>
            </w:r>
            <w:r w:rsidR="00AE7913" w:rsidRPr="00AE7913">
              <w:rPr>
                <w:sz w:val="20"/>
                <w:szCs w:val="20"/>
                <w:lang w:val="es-ES"/>
              </w:rPr>
              <w:t> </w:t>
            </w:r>
            <w:r w:rsidRPr="00AE7913">
              <w:rPr>
                <w:sz w:val="20"/>
                <w:szCs w:val="20"/>
                <w:lang w:val="es-ES"/>
              </w:rPr>
              <w:t xml:space="preserve">559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 10,61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Fresh</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141,67</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7,79</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752</w:t>
            </w:r>
            <w:r w:rsidR="00AE7913" w:rsidRPr="00AE7913">
              <w:rPr>
                <w:sz w:val="20"/>
                <w:szCs w:val="20"/>
                <w:lang w:val="es-ES"/>
              </w:rPr>
              <w:t> </w:t>
            </w:r>
            <w:r w:rsidRPr="00AE7913">
              <w:rPr>
                <w:sz w:val="20"/>
                <w:szCs w:val="20"/>
                <w:lang w:val="es-ES"/>
              </w:rPr>
              <w:t xml:space="preserve">550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875</w:t>
            </w:r>
            <w:r w:rsidR="00AE7913" w:rsidRPr="00AE7913">
              <w:rPr>
                <w:sz w:val="20"/>
                <w:szCs w:val="20"/>
                <w:lang w:val="es-ES"/>
              </w:rPr>
              <w:t> </w:t>
            </w:r>
            <w:r w:rsidRPr="00AE7913">
              <w:rPr>
                <w:sz w:val="20"/>
                <w:szCs w:val="20"/>
                <w:lang w:val="es-ES"/>
              </w:rPr>
              <w:t xml:space="preserve">502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1</w:t>
            </w:r>
            <w:r w:rsidR="00AE7913" w:rsidRPr="00AE7913">
              <w:rPr>
                <w:sz w:val="20"/>
                <w:szCs w:val="20"/>
                <w:lang w:val="es-ES"/>
              </w:rPr>
              <w:t> </w:t>
            </w:r>
            <w:r w:rsidRPr="00AE7913">
              <w:rPr>
                <w:sz w:val="20"/>
                <w:szCs w:val="20"/>
                <w:lang w:val="es-ES"/>
              </w:rPr>
              <w:t>628</w:t>
            </w:r>
            <w:r w:rsidR="00AE7913" w:rsidRPr="00AE7913">
              <w:rPr>
                <w:sz w:val="20"/>
                <w:szCs w:val="20"/>
                <w:lang w:val="es-ES"/>
              </w:rPr>
              <w:t> </w:t>
            </w:r>
            <w:r w:rsidRPr="00AE7913">
              <w:rPr>
                <w:sz w:val="20"/>
                <w:szCs w:val="20"/>
                <w:lang w:val="es-ES"/>
              </w:rPr>
              <w:t xml:space="preserve">052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 11,49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Miraco</w:t>
            </w:r>
            <w:r w:rsidRPr="00AE7913">
              <w:rPr>
                <w:sz w:val="20"/>
                <w:szCs w:val="20"/>
                <w:vertAlign w:val="superscript"/>
                <w:lang w:val="es-ES"/>
              </w:rPr>
              <w:t>*</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373,67</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20,55</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829</w:t>
            </w:r>
            <w:r w:rsidR="00AE7913" w:rsidRPr="00AE7913">
              <w:rPr>
                <w:sz w:val="20"/>
                <w:szCs w:val="20"/>
                <w:lang w:val="es-ES"/>
              </w:rPr>
              <w:t> </w:t>
            </w:r>
            <w:r w:rsidRPr="00AE7913">
              <w:rPr>
                <w:sz w:val="20"/>
                <w:szCs w:val="20"/>
                <w:lang w:val="es-ES"/>
              </w:rPr>
              <w:t xml:space="preserve">647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1</w:t>
            </w:r>
            <w:r w:rsidR="00AE7913" w:rsidRPr="00AE7913">
              <w:rPr>
                <w:sz w:val="20"/>
                <w:szCs w:val="20"/>
                <w:lang w:val="es-ES"/>
              </w:rPr>
              <w:t> </w:t>
            </w:r>
            <w:r w:rsidRPr="00AE7913">
              <w:rPr>
                <w:sz w:val="20"/>
                <w:szCs w:val="20"/>
                <w:lang w:val="es-ES"/>
              </w:rPr>
              <w:t>454</w:t>
            </w:r>
            <w:r w:rsidR="00AE7913" w:rsidRPr="00AE7913">
              <w:rPr>
                <w:sz w:val="20"/>
                <w:szCs w:val="20"/>
                <w:lang w:val="es-ES"/>
              </w:rPr>
              <w:t> </w:t>
            </w:r>
            <w:r w:rsidRPr="00AE7913">
              <w:rPr>
                <w:sz w:val="20"/>
                <w:szCs w:val="20"/>
                <w:lang w:val="es-ES"/>
              </w:rPr>
              <w:t xml:space="preserve">835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2</w:t>
            </w:r>
            <w:r w:rsidR="00AE7913" w:rsidRPr="00AE7913">
              <w:rPr>
                <w:sz w:val="20"/>
                <w:szCs w:val="20"/>
                <w:lang w:val="es-ES"/>
              </w:rPr>
              <w:t> </w:t>
            </w:r>
            <w:r w:rsidRPr="00AE7913">
              <w:rPr>
                <w:sz w:val="20"/>
                <w:szCs w:val="20"/>
                <w:lang w:val="es-ES"/>
              </w:rPr>
              <w:t>284</w:t>
            </w:r>
            <w:r w:rsidR="00AE7913" w:rsidRPr="00AE7913">
              <w:rPr>
                <w:sz w:val="20"/>
                <w:szCs w:val="20"/>
                <w:lang w:val="es-ES"/>
              </w:rPr>
              <w:t> </w:t>
            </w:r>
            <w:r w:rsidRPr="00AE7913">
              <w:rPr>
                <w:sz w:val="20"/>
                <w:szCs w:val="20"/>
                <w:lang w:val="es-ES"/>
              </w:rPr>
              <w:t xml:space="preserve">482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 6,11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lastRenderedPageBreak/>
              <w:t>Power</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46,00</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2,53</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469</w:t>
            </w:r>
            <w:r w:rsidR="00AE7913" w:rsidRPr="00AE7913">
              <w:rPr>
                <w:sz w:val="20"/>
                <w:szCs w:val="20"/>
                <w:lang w:val="es-ES"/>
              </w:rPr>
              <w:t> </w:t>
            </w:r>
            <w:r w:rsidRPr="00AE7913">
              <w:rPr>
                <w:sz w:val="20"/>
                <w:szCs w:val="20"/>
                <w:lang w:val="es-ES"/>
              </w:rPr>
              <w:t xml:space="preserve">500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284</w:t>
            </w:r>
            <w:r w:rsidR="00AE7913" w:rsidRPr="00AE7913">
              <w:rPr>
                <w:sz w:val="20"/>
                <w:szCs w:val="20"/>
                <w:lang w:val="es-ES"/>
              </w:rPr>
              <w:t> </w:t>
            </w:r>
            <w:r w:rsidRPr="00AE7913">
              <w:rPr>
                <w:sz w:val="20"/>
                <w:szCs w:val="20"/>
                <w:lang w:val="es-ES"/>
              </w:rPr>
              <w:t xml:space="preserve">280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753</w:t>
            </w:r>
            <w:r w:rsidR="00AE7913" w:rsidRPr="00AE7913">
              <w:rPr>
                <w:sz w:val="20"/>
                <w:szCs w:val="20"/>
                <w:lang w:val="es-ES"/>
              </w:rPr>
              <w:t> </w:t>
            </w:r>
            <w:r w:rsidRPr="00AE7913">
              <w:rPr>
                <w:sz w:val="20"/>
                <w:szCs w:val="20"/>
                <w:lang w:val="es-ES"/>
              </w:rPr>
              <w:t xml:space="preserve">780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 16,39 </w:t>
            </w: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hideMark/>
          </w:tcPr>
          <w:p w:rsidR="003F2F76" w:rsidRPr="00AE7913" w:rsidRDefault="003F2F76" w:rsidP="003F2F76">
            <w:pPr>
              <w:rPr>
                <w:sz w:val="20"/>
                <w:szCs w:val="20"/>
                <w:lang w:val="es-ES"/>
              </w:rPr>
            </w:pPr>
            <w:r w:rsidRPr="00AE7913">
              <w:rPr>
                <w:sz w:val="20"/>
                <w:szCs w:val="20"/>
                <w:lang w:val="es-ES"/>
              </w:rPr>
              <w:t>Unionaire</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400,00</w:t>
            </w:r>
          </w:p>
        </w:tc>
        <w:tc>
          <w:tcPr>
            <w:tcW w:w="717" w:type="pct"/>
            <w:tcBorders>
              <w:top w:val="nil"/>
              <w:left w:val="nil"/>
              <w:bottom w:val="single" w:sz="4" w:space="0" w:color="auto"/>
              <w:right w:val="single" w:sz="4" w:space="0" w:color="auto"/>
            </w:tcBorders>
            <w:noWrap/>
            <w:vAlign w:val="bottom"/>
            <w:hideMark/>
          </w:tcPr>
          <w:p w:rsidR="003F2F76" w:rsidRPr="00AE7913" w:rsidRDefault="003F2F76" w:rsidP="003F2F76">
            <w:pPr>
              <w:jc w:val="right"/>
              <w:rPr>
                <w:color w:val="000000"/>
                <w:sz w:val="20"/>
                <w:szCs w:val="20"/>
                <w:lang w:val="es-ES"/>
              </w:rPr>
            </w:pPr>
            <w:r w:rsidRPr="00AE7913">
              <w:rPr>
                <w:color w:val="000000"/>
                <w:sz w:val="20"/>
                <w:szCs w:val="20"/>
                <w:lang w:val="es-ES"/>
              </w:rPr>
              <w:t>22,00</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1</w:t>
            </w:r>
            <w:r w:rsidR="00AE7913" w:rsidRPr="00AE7913">
              <w:rPr>
                <w:sz w:val="20"/>
                <w:szCs w:val="20"/>
                <w:lang w:val="es-ES"/>
              </w:rPr>
              <w:t> </w:t>
            </w:r>
            <w:r w:rsidRPr="00AE7913">
              <w:rPr>
                <w:sz w:val="20"/>
                <w:szCs w:val="20"/>
                <w:lang w:val="es-ES"/>
              </w:rPr>
              <w:t>188</w:t>
            </w:r>
            <w:r w:rsidR="00AE7913" w:rsidRPr="00AE7913">
              <w:rPr>
                <w:sz w:val="20"/>
                <w:szCs w:val="20"/>
                <w:lang w:val="es-ES"/>
              </w:rPr>
              <w:t> </w:t>
            </w:r>
            <w:r w:rsidRPr="00AE7913">
              <w:rPr>
                <w:sz w:val="20"/>
                <w:szCs w:val="20"/>
                <w:lang w:val="es-ES"/>
              </w:rPr>
              <w:t xml:space="preserve">750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2</w:t>
            </w:r>
            <w:r w:rsidR="00AE7913" w:rsidRPr="00AE7913">
              <w:rPr>
                <w:sz w:val="20"/>
                <w:szCs w:val="20"/>
                <w:lang w:val="es-ES"/>
              </w:rPr>
              <w:t> </w:t>
            </w:r>
            <w:r w:rsidRPr="00AE7913">
              <w:rPr>
                <w:sz w:val="20"/>
                <w:szCs w:val="20"/>
                <w:lang w:val="es-ES"/>
              </w:rPr>
              <w:t>472</w:t>
            </w:r>
            <w:r w:rsidR="00AE7913" w:rsidRPr="00AE7913">
              <w:rPr>
                <w:sz w:val="20"/>
                <w:szCs w:val="20"/>
                <w:lang w:val="es-ES"/>
              </w:rPr>
              <w:t> </w:t>
            </w:r>
            <w:r w:rsidRPr="00AE7913">
              <w:rPr>
                <w:sz w:val="20"/>
                <w:szCs w:val="20"/>
                <w:lang w:val="es-ES"/>
              </w:rPr>
              <w:t xml:space="preserve">000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 xml:space="preserve"> 3</w:t>
            </w:r>
            <w:r w:rsidR="00AE7913" w:rsidRPr="00AE7913">
              <w:rPr>
                <w:sz w:val="20"/>
                <w:szCs w:val="20"/>
                <w:lang w:val="es-ES"/>
              </w:rPr>
              <w:t> </w:t>
            </w:r>
            <w:r w:rsidRPr="00AE7913">
              <w:rPr>
                <w:sz w:val="20"/>
                <w:szCs w:val="20"/>
                <w:lang w:val="es-ES"/>
              </w:rPr>
              <w:t>660</w:t>
            </w:r>
            <w:r w:rsidR="00AE7913" w:rsidRPr="00AE7913">
              <w:rPr>
                <w:sz w:val="20"/>
                <w:szCs w:val="20"/>
                <w:lang w:val="es-ES"/>
              </w:rPr>
              <w:t> </w:t>
            </w:r>
            <w:r w:rsidRPr="00AE7913">
              <w:rPr>
                <w:sz w:val="20"/>
                <w:szCs w:val="20"/>
                <w:lang w:val="es-ES"/>
              </w:rPr>
              <w:t xml:space="preserve">750 </w:t>
            </w:r>
          </w:p>
        </w:tc>
        <w:tc>
          <w:tcPr>
            <w:tcW w:w="718" w:type="pct"/>
            <w:tcBorders>
              <w:top w:val="nil"/>
              <w:left w:val="nil"/>
              <w:bottom w:val="single" w:sz="4" w:space="0" w:color="auto"/>
              <w:right w:val="single" w:sz="4" w:space="0" w:color="auto"/>
            </w:tcBorders>
            <w:hideMark/>
          </w:tcPr>
          <w:p w:rsidR="003F2F76" w:rsidRPr="00AE7913" w:rsidRDefault="003F2F76" w:rsidP="003F2F76">
            <w:pPr>
              <w:spacing w:line="256" w:lineRule="auto"/>
              <w:ind w:right="48"/>
              <w:jc w:val="right"/>
              <w:rPr>
                <w:sz w:val="20"/>
                <w:szCs w:val="20"/>
                <w:lang w:val="es-ES"/>
              </w:rPr>
            </w:pPr>
            <w:r w:rsidRPr="00AE7913">
              <w:rPr>
                <w:sz w:val="20"/>
                <w:szCs w:val="20"/>
                <w:lang w:val="es-ES"/>
              </w:rPr>
              <w:t xml:space="preserve"> 9,15 </w:t>
            </w:r>
          </w:p>
        </w:tc>
      </w:tr>
      <w:tr w:rsidR="003F2F76" w:rsidRPr="00AE7913" w:rsidTr="003F2F76">
        <w:trPr>
          <w:trHeight w:val="255"/>
        </w:trPr>
        <w:tc>
          <w:tcPr>
            <w:tcW w:w="3565" w:type="pct"/>
            <w:gridSpan w:val="5"/>
            <w:tcBorders>
              <w:top w:val="nil"/>
              <w:left w:val="single" w:sz="4" w:space="0" w:color="auto"/>
              <w:bottom w:val="single" w:sz="4" w:space="0" w:color="auto"/>
              <w:right w:val="single" w:sz="4" w:space="0" w:color="auto"/>
            </w:tcBorders>
            <w:hideMark/>
          </w:tcPr>
          <w:p w:rsidR="003F2F76" w:rsidRPr="00AE7913" w:rsidRDefault="003F2F76" w:rsidP="003F2F76">
            <w:pPr>
              <w:spacing w:line="256" w:lineRule="auto"/>
              <w:ind w:right="47"/>
              <w:jc w:val="left"/>
              <w:rPr>
                <w:sz w:val="20"/>
                <w:szCs w:val="20"/>
                <w:lang w:val="es-ES"/>
              </w:rPr>
            </w:pPr>
            <w:r w:rsidRPr="00AE7913">
              <w:rPr>
                <w:sz w:val="20"/>
                <w:szCs w:val="20"/>
                <w:lang w:val="es-ES"/>
              </w:rPr>
              <w:t>DGP</w:t>
            </w:r>
          </w:p>
        </w:tc>
        <w:tc>
          <w:tcPr>
            <w:tcW w:w="717" w:type="pct"/>
            <w:tcBorders>
              <w:top w:val="nil"/>
              <w:left w:val="nil"/>
              <w:bottom w:val="single" w:sz="4" w:space="0" w:color="auto"/>
              <w:right w:val="single" w:sz="4" w:space="0" w:color="auto"/>
            </w:tcBorders>
            <w:noWrap/>
            <w:hideMark/>
          </w:tcPr>
          <w:p w:rsidR="003F2F76" w:rsidRPr="00AE7913" w:rsidRDefault="003F2F76" w:rsidP="003F2F76">
            <w:pPr>
              <w:spacing w:line="256" w:lineRule="auto"/>
              <w:ind w:right="47"/>
              <w:jc w:val="right"/>
              <w:rPr>
                <w:sz w:val="20"/>
                <w:szCs w:val="20"/>
                <w:lang w:val="es-ES"/>
              </w:rPr>
            </w:pPr>
            <w:r w:rsidRPr="00AE7913">
              <w:rPr>
                <w:sz w:val="20"/>
                <w:szCs w:val="20"/>
                <w:lang w:val="es-ES"/>
              </w:rPr>
              <w:t>175</w:t>
            </w:r>
            <w:r w:rsidR="00AE7913" w:rsidRPr="00AE7913">
              <w:rPr>
                <w:sz w:val="20"/>
                <w:szCs w:val="20"/>
                <w:lang w:val="es-ES"/>
              </w:rPr>
              <w:t> </w:t>
            </w:r>
            <w:r w:rsidRPr="00AE7913">
              <w:rPr>
                <w:sz w:val="20"/>
                <w:szCs w:val="20"/>
                <w:lang w:val="es-ES"/>
              </w:rPr>
              <w:t>000</w:t>
            </w:r>
          </w:p>
        </w:tc>
        <w:tc>
          <w:tcPr>
            <w:tcW w:w="718" w:type="pct"/>
            <w:tcBorders>
              <w:top w:val="nil"/>
              <w:left w:val="nil"/>
              <w:bottom w:val="single" w:sz="4" w:space="0" w:color="auto"/>
              <w:right w:val="single" w:sz="4" w:space="0" w:color="auto"/>
            </w:tcBorders>
          </w:tcPr>
          <w:p w:rsidR="003F2F76" w:rsidRPr="00AE7913" w:rsidRDefault="003F2F76" w:rsidP="003F2F76">
            <w:pPr>
              <w:spacing w:line="256" w:lineRule="auto"/>
              <w:ind w:right="48"/>
              <w:jc w:val="right"/>
              <w:rPr>
                <w:sz w:val="20"/>
                <w:szCs w:val="20"/>
                <w:lang w:val="es-ES"/>
              </w:rPr>
            </w:pPr>
          </w:p>
        </w:tc>
      </w:tr>
      <w:tr w:rsidR="003F2F76" w:rsidRPr="00AE7913" w:rsidTr="003F2F76">
        <w:trPr>
          <w:trHeight w:val="255"/>
        </w:trPr>
        <w:tc>
          <w:tcPr>
            <w:tcW w:w="696" w:type="pct"/>
            <w:tcBorders>
              <w:top w:val="nil"/>
              <w:left w:val="single" w:sz="4" w:space="0" w:color="auto"/>
              <w:bottom w:val="single" w:sz="4" w:space="0" w:color="auto"/>
              <w:right w:val="single" w:sz="4" w:space="0" w:color="auto"/>
            </w:tcBorders>
            <w:noWrap/>
            <w:hideMark/>
          </w:tcPr>
          <w:p w:rsidR="003F2F76" w:rsidRPr="00AE7913" w:rsidRDefault="003F2F76" w:rsidP="003F2F76">
            <w:pPr>
              <w:jc w:val="left"/>
              <w:rPr>
                <w:b/>
                <w:color w:val="000000"/>
                <w:sz w:val="20"/>
                <w:szCs w:val="20"/>
                <w:lang w:val="es-ES"/>
              </w:rPr>
            </w:pPr>
            <w:r w:rsidRPr="00AE7913">
              <w:rPr>
                <w:b/>
                <w:color w:val="000000"/>
                <w:sz w:val="20"/>
                <w:szCs w:val="20"/>
                <w:lang w:val="es-ES"/>
              </w:rPr>
              <w:t>Total</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b/>
                <w:color w:val="000000"/>
                <w:sz w:val="20"/>
                <w:szCs w:val="20"/>
                <w:lang w:val="es-ES"/>
              </w:rPr>
              <w:t>1</w:t>
            </w:r>
            <w:r w:rsidR="00AE7913" w:rsidRPr="00AE7913">
              <w:rPr>
                <w:b/>
                <w:color w:val="000000"/>
                <w:sz w:val="20"/>
                <w:szCs w:val="20"/>
                <w:lang w:val="es-ES"/>
              </w:rPr>
              <w:t> </w:t>
            </w:r>
            <w:r w:rsidRPr="00AE7913">
              <w:rPr>
                <w:b/>
                <w:color w:val="000000"/>
                <w:sz w:val="20"/>
                <w:szCs w:val="20"/>
                <w:lang w:val="es-ES"/>
              </w:rPr>
              <w:t>189,78</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b/>
                <w:color w:val="000000"/>
                <w:sz w:val="20"/>
                <w:szCs w:val="20"/>
                <w:lang w:val="es-ES"/>
              </w:rPr>
              <w:t>65,44</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sz w:val="20"/>
                <w:szCs w:val="20"/>
                <w:lang w:val="es-ES"/>
              </w:rPr>
              <w:t xml:space="preserve"> </w:t>
            </w:r>
            <w:r w:rsidRPr="00AE7913">
              <w:rPr>
                <w:b/>
                <w:sz w:val="20"/>
                <w:szCs w:val="20"/>
                <w:lang w:val="es-ES"/>
              </w:rPr>
              <w:t>4</w:t>
            </w:r>
            <w:r w:rsidR="00AE7913" w:rsidRPr="00AE7913">
              <w:rPr>
                <w:b/>
                <w:sz w:val="20"/>
                <w:szCs w:val="20"/>
                <w:lang w:val="es-ES"/>
              </w:rPr>
              <w:t> </w:t>
            </w:r>
            <w:r w:rsidRPr="00AE7913">
              <w:rPr>
                <w:b/>
                <w:sz w:val="20"/>
                <w:szCs w:val="20"/>
                <w:lang w:val="es-ES"/>
              </w:rPr>
              <w:t>253</w:t>
            </w:r>
            <w:r w:rsidR="00AE7913" w:rsidRPr="00AE7913">
              <w:rPr>
                <w:b/>
                <w:sz w:val="20"/>
                <w:szCs w:val="20"/>
                <w:lang w:val="es-ES"/>
              </w:rPr>
              <w:t> </w:t>
            </w:r>
            <w:r w:rsidRPr="00AE7913">
              <w:rPr>
                <w:b/>
                <w:sz w:val="20"/>
                <w:szCs w:val="20"/>
                <w:lang w:val="es-ES"/>
              </w:rPr>
              <w:t xml:space="preserve">197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b/>
                <w:sz w:val="20"/>
                <w:szCs w:val="20"/>
                <w:lang w:val="es-ES"/>
              </w:rPr>
              <w:t xml:space="preserve"> 6</w:t>
            </w:r>
            <w:r w:rsidR="00AE7913" w:rsidRPr="00AE7913">
              <w:rPr>
                <w:b/>
                <w:sz w:val="20"/>
                <w:szCs w:val="20"/>
                <w:lang w:val="es-ES"/>
              </w:rPr>
              <w:t> </w:t>
            </w:r>
            <w:r w:rsidRPr="00AE7913">
              <w:rPr>
                <w:b/>
                <w:sz w:val="20"/>
                <w:szCs w:val="20"/>
                <w:lang w:val="es-ES"/>
              </w:rPr>
              <w:t>498</w:t>
            </w:r>
            <w:r w:rsidR="00AE7913" w:rsidRPr="00AE7913">
              <w:rPr>
                <w:b/>
                <w:sz w:val="20"/>
                <w:szCs w:val="20"/>
                <w:lang w:val="es-ES"/>
              </w:rPr>
              <w:t> </w:t>
            </w:r>
            <w:r w:rsidRPr="00AE7913">
              <w:rPr>
                <w:b/>
                <w:sz w:val="20"/>
                <w:szCs w:val="20"/>
                <w:lang w:val="es-ES"/>
              </w:rPr>
              <w:t xml:space="preserve">426 </w:t>
            </w:r>
          </w:p>
        </w:tc>
        <w:tc>
          <w:tcPr>
            <w:tcW w:w="717" w:type="pct"/>
            <w:tcBorders>
              <w:top w:val="nil"/>
              <w:left w:val="nil"/>
              <w:bottom w:val="single" w:sz="4" w:space="0" w:color="auto"/>
              <w:right w:val="single" w:sz="4" w:space="0" w:color="auto"/>
            </w:tcBorders>
            <w:noWrap/>
            <w:hideMark/>
          </w:tcPr>
          <w:p w:rsidR="003F2F76" w:rsidRPr="00AE7913" w:rsidRDefault="003F2F76" w:rsidP="003F2F76">
            <w:pPr>
              <w:jc w:val="right"/>
              <w:rPr>
                <w:b/>
                <w:color w:val="000000"/>
                <w:sz w:val="20"/>
                <w:szCs w:val="20"/>
                <w:lang w:val="es-ES"/>
              </w:rPr>
            </w:pPr>
            <w:r w:rsidRPr="00AE7913">
              <w:rPr>
                <w:b/>
                <w:sz w:val="20"/>
                <w:szCs w:val="20"/>
                <w:lang w:val="es-ES"/>
              </w:rPr>
              <w:t xml:space="preserve"> 10</w:t>
            </w:r>
            <w:r w:rsidR="00AE7913" w:rsidRPr="00AE7913">
              <w:rPr>
                <w:b/>
                <w:sz w:val="20"/>
                <w:szCs w:val="20"/>
                <w:lang w:val="es-ES"/>
              </w:rPr>
              <w:t> </w:t>
            </w:r>
            <w:r w:rsidRPr="00AE7913">
              <w:rPr>
                <w:b/>
                <w:sz w:val="20"/>
                <w:szCs w:val="20"/>
                <w:lang w:val="es-ES"/>
              </w:rPr>
              <w:t>926</w:t>
            </w:r>
            <w:r w:rsidR="00AE7913" w:rsidRPr="00AE7913">
              <w:rPr>
                <w:b/>
                <w:sz w:val="20"/>
                <w:szCs w:val="20"/>
                <w:lang w:val="es-ES"/>
              </w:rPr>
              <w:t> </w:t>
            </w:r>
            <w:r w:rsidRPr="00AE7913">
              <w:rPr>
                <w:b/>
                <w:sz w:val="20"/>
                <w:szCs w:val="20"/>
                <w:lang w:val="es-ES"/>
              </w:rPr>
              <w:t xml:space="preserve">623 </w:t>
            </w:r>
          </w:p>
        </w:tc>
        <w:tc>
          <w:tcPr>
            <w:tcW w:w="718" w:type="pct"/>
            <w:tcBorders>
              <w:top w:val="nil"/>
              <w:left w:val="nil"/>
              <w:bottom w:val="single" w:sz="4" w:space="0" w:color="auto"/>
              <w:right w:val="single" w:sz="4" w:space="0" w:color="auto"/>
            </w:tcBorders>
            <w:hideMark/>
          </w:tcPr>
          <w:p w:rsidR="003F2F76" w:rsidRPr="00AE7913" w:rsidRDefault="003F2F76" w:rsidP="003F2F76">
            <w:pPr>
              <w:jc w:val="right"/>
              <w:rPr>
                <w:b/>
                <w:color w:val="000000"/>
                <w:sz w:val="20"/>
                <w:szCs w:val="20"/>
                <w:lang w:val="es-ES"/>
              </w:rPr>
            </w:pPr>
            <w:r w:rsidRPr="00AE7913">
              <w:rPr>
                <w:b/>
                <w:sz w:val="20"/>
                <w:szCs w:val="20"/>
                <w:lang w:val="es-ES"/>
              </w:rPr>
              <w:t xml:space="preserve"> 9,18 </w:t>
            </w:r>
          </w:p>
        </w:tc>
      </w:tr>
    </w:tbl>
    <w:p w:rsidR="003F2F76" w:rsidRPr="00AE7913" w:rsidRDefault="003F2F76" w:rsidP="003F2F76">
      <w:pPr>
        <w:rPr>
          <w:sz w:val="18"/>
          <w:szCs w:val="18"/>
          <w:lang w:val="es-ES"/>
        </w:rPr>
      </w:pPr>
      <w:r w:rsidRPr="00AE7913">
        <w:rPr>
          <w:sz w:val="18"/>
          <w:szCs w:val="18"/>
          <w:lang w:val="es-ES"/>
        </w:rPr>
        <w:t>* Después de tener en cuenta el 37% de propiedad de un país que no opera al amparo del artículo 5</w:t>
      </w:r>
    </w:p>
    <w:p w:rsidR="003F2F76" w:rsidRPr="00AE7913" w:rsidRDefault="003F2F76" w:rsidP="003F2F76">
      <w:pPr>
        <w:rPr>
          <w:lang w:val="es-ES"/>
        </w:rPr>
      </w:pPr>
    </w:p>
    <w:p w:rsidR="003F2F76" w:rsidRPr="00AE7913" w:rsidRDefault="003F2F76" w:rsidP="003F2F76">
      <w:pPr>
        <w:rPr>
          <w:i/>
          <w:lang w:val="es-ES"/>
        </w:rPr>
      </w:pPr>
      <w:r w:rsidRPr="00AE7913">
        <w:rPr>
          <w:i/>
          <w:lang w:val="es-ES"/>
        </w:rPr>
        <w:t>Sostenibilidad de la conversión</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Todas las empresas excepto Power fabrican tanto unidades a base de HC</w:t>
      </w:r>
      <w:r w:rsidR="0013300C">
        <w:rPr>
          <w:lang w:val="es-ES"/>
        </w:rPr>
        <w:t>FC</w:t>
      </w:r>
      <w:r w:rsidR="0013300C">
        <w:rPr>
          <w:lang w:val="es-ES"/>
        </w:rPr>
        <w:noBreakHyphen/>
      </w:r>
      <w:r w:rsidRPr="00AE7913">
        <w:rPr>
          <w:lang w:val="es-ES"/>
        </w:rPr>
        <w:t xml:space="preserve">22 como a base de </w:t>
      </w:r>
      <w:r w:rsidR="0013300C">
        <w:rPr>
          <w:lang w:val="es-ES"/>
        </w:rPr>
        <w:t>R</w:t>
      </w:r>
      <w:r w:rsidR="0013300C">
        <w:rPr>
          <w:lang w:val="es-ES"/>
        </w:rPr>
        <w:noBreakHyphen/>
      </w:r>
      <w:r w:rsidRPr="00AE7913">
        <w:rPr>
          <w:lang w:val="es-ES"/>
        </w:rPr>
        <w:t>410A en sus líneas de fabricación; en especial, cada línea (excepto la línea de Power) se puede usar para fabricar equipos a base de HC</w:t>
      </w:r>
      <w:r w:rsidR="0013300C">
        <w:rPr>
          <w:lang w:val="es-ES"/>
        </w:rPr>
        <w:t>FC</w:t>
      </w:r>
      <w:r w:rsidR="0013300C">
        <w:rPr>
          <w:lang w:val="es-ES"/>
        </w:rPr>
        <w:noBreakHyphen/>
      </w:r>
      <w:r w:rsidRPr="00AE7913">
        <w:rPr>
          <w:lang w:val="es-ES"/>
        </w:rPr>
        <w:t xml:space="preserve">22 o a base de </w:t>
      </w:r>
      <w:r w:rsidR="0013300C">
        <w:rPr>
          <w:lang w:val="es-ES"/>
        </w:rPr>
        <w:t>R</w:t>
      </w:r>
      <w:r w:rsidR="0013300C">
        <w:rPr>
          <w:lang w:val="es-ES"/>
        </w:rPr>
        <w:noBreakHyphen/>
      </w:r>
      <w:r w:rsidRPr="00AE7913">
        <w:rPr>
          <w:lang w:val="es-ES"/>
        </w:rPr>
        <w:t xml:space="preserve">410A. Dado que las empresas fabrican equipos a base de </w:t>
      </w:r>
      <w:r w:rsidR="0013300C">
        <w:rPr>
          <w:lang w:val="es-ES"/>
        </w:rPr>
        <w:t>R</w:t>
      </w:r>
      <w:r w:rsidR="0013300C">
        <w:rPr>
          <w:lang w:val="es-ES"/>
        </w:rPr>
        <w:noBreakHyphen/>
      </w:r>
      <w:r w:rsidRPr="00AE7913">
        <w:rPr>
          <w:lang w:val="es-ES"/>
        </w:rPr>
        <w:t xml:space="preserve">410A y que tales equipos son fácilmente accesibles en el mercado internacional, son relativamente económicos y también se importan en el país, la Secretaría consideró que se requeriría un marco favorable para garantizar la sostenibilidad de la eliminación. </w:t>
      </w:r>
    </w:p>
    <w:p w:rsidR="003F2F76" w:rsidRPr="00AE7913" w:rsidRDefault="003F2F76" w:rsidP="003F2F76">
      <w:pPr>
        <w:pStyle w:val="Heading1"/>
        <w:rPr>
          <w:lang w:val="es-ES"/>
        </w:rPr>
      </w:pPr>
      <w:r w:rsidRPr="00AE7913">
        <w:rPr>
          <w:lang w:val="es-ES"/>
        </w:rPr>
        <w:t xml:space="preserve">La Secretaría y la ONUDI debatieron en detalle opciones para un marco favorable a esos efectos. En especial, la Secretaría sugirió que el marco podría incluir la aplicación de un arancel más alto a la importación de equipos de A/A residencial a base de </w:t>
      </w:r>
      <w:r w:rsidR="0013300C">
        <w:rPr>
          <w:lang w:val="es-ES"/>
        </w:rPr>
        <w:t>R</w:t>
      </w:r>
      <w:r w:rsidR="0013300C">
        <w:rPr>
          <w:lang w:val="es-ES"/>
        </w:rPr>
        <w:noBreakHyphen/>
      </w:r>
      <w:r w:rsidRPr="00AE7913">
        <w:rPr>
          <w:lang w:val="es-ES"/>
        </w:rPr>
        <w:t xml:space="preserve">407C y </w:t>
      </w:r>
      <w:r w:rsidR="0013300C">
        <w:rPr>
          <w:lang w:val="es-ES"/>
        </w:rPr>
        <w:t>R</w:t>
      </w:r>
      <w:r w:rsidR="0013300C">
        <w:rPr>
          <w:lang w:val="es-ES"/>
        </w:rPr>
        <w:noBreakHyphen/>
      </w:r>
      <w:r w:rsidRPr="00AE7913">
        <w:rPr>
          <w:lang w:val="es-ES"/>
        </w:rPr>
        <w:t xml:space="preserve">410A, un impuesto sobre los equipos que se fabriquen localmente acorde al arancel y un subsidio para los equipos de bajo PCA. La ONUDI informó que, si bien el Gobierno estaba considerando una gama de medidas de políticas, tales medidas podrían no corresponder exclusivamente al ámbito de competencia del Organismo de Asuntos Ambientales de Egipto y la DNO; considerando que, además, la aplicación de esas medidas requeriría consultas internas, el Gobierno necesitaba tiempo adicional para seleccionar las medidas. Por consiguiente, se acordó que el Gobierno de Egipto se comprometería a adoptar y aplicar medidas reglamentarias adecuadas, en conjunto con el progreso del proyecto de conversión, con la finalidad de garantizar el control total de los equipos de A/A residencial a base de </w:t>
      </w:r>
      <w:r w:rsidR="0013300C">
        <w:rPr>
          <w:lang w:val="es-ES"/>
        </w:rPr>
        <w:t>R</w:t>
      </w:r>
      <w:r w:rsidR="0013300C">
        <w:rPr>
          <w:lang w:val="es-ES"/>
        </w:rPr>
        <w:noBreakHyphen/>
      </w:r>
      <w:r w:rsidRPr="00AE7913">
        <w:rPr>
          <w:lang w:val="es-ES"/>
        </w:rPr>
        <w:t>410A/</w:t>
      </w:r>
      <w:r w:rsidR="0013300C">
        <w:rPr>
          <w:lang w:val="es-ES"/>
        </w:rPr>
        <w:t>R</w:t>
      </w:r>
      <w:r w:rsidR="0013300C">
        <w:rPr>
          <w:lang w:val="es-ES"/>
        </w:rPr>
        <w:noBreakHyphen/>
      </w:r>
      <w:r w:rsidRPr="00AE7913">
        <w:rPr>
          <w:lang w:val="es-ES"/>
        </w:rPr>
        <w:t>407 importados o disponibles en el mercado local y garantizar la adopción de la tecnología alternativa seleccionada por el mercado local.</w:t>
      </w:r>
    </w:p>
    <w:p w:rsidR="003F2F76" w:rsidRPr="00AE7913" w:rsidRDefault="003F2F76" w:rsidP="003F2F76">
      <w:pPr>
        <w:pStyle w:val="Heading1"/>
        <w:rPr>
          <w:lang w:val="es-ES"/>
        </w:rPr>
      </w:pPr>
      <w:r w:rsidRPr="00AE7913">
        <w:rPr>
          <w:lang w:val="es-ES"/>
        </w:rPr>
        <w:t xml:space="preserve">Se presentaría información actualizada sobre la situación de esas medidas cuando se presentara el tercer tramo de la etapa II del PGEH. El examen de la solicitud de tramo por parte de la Secretaría tendría en cuenta el progreso realizado en el establecimiento de un marco para un entorno favorable. </w:t>
      </w:r>
    </w:p>
    <w:p w:rsidR="003F2F76" w:rsidRPr="00AE7913" w:rsidRDefault="003F2F76" w:rsidP="003F2F76">
      <w:pPr>
        <w:pStyle w:val="Heading1"/>
        <w:rPr>
          <w:lang w:val="es-ES"/>
        </w:rPr>
      </w:pPr>
      <w:r w:rsidRPr="00AE7913">
        <w:rPr>
          <w:lang w:val="es-ES"/>
        </w:rPr>
        <w:t xml:space="preserve">Además, se acordó que las cinco empresas se comprometerían a participar activamente en los esfuerzos para promover la aceptación en el mercado de los equipos de A/A residencial a base de la tecnología acordada y a garantizar que su fabricación de equipos a base de </w:t>
      </w:r>
      <w:r w:rsidR="0013300C">
        <w:rPr>
          <w:lang w:val="es-ES"/>
        </w:rPr>
        <w:t>R</w:t>
      </w:r>
      <w:r w:rsidR="0013300C">
        <w:rPr>
          <w:lang w:val="es-ES"/>
        </w:rPr>
        <w:noBreakHyphen/>
      </w:r>
      <w:r w:rsidRPr="00AE7913">
        <w:rPr>
          <w:lang w:val="es-ES"/>
        </w:rPr>
        <w:t>410A para el mercado local decrezca progresivamente hasta que las empresas fabriquen únicamente equipos para el mercado local con la tecnología acordada o una tecnología con PCA más bajo.</w:t>
      </w:r>
    </w:p>
    <w:p w:rsidR="003F2F76" w:rsidRPr="00AE7913" w:rsidRDefault="003F2F76" w:rsidP="003F2F76">
      <w:pPr>
        <w:pStyle w:val="Heading1"/>
        <w:rPr>
          <w:lang w:val="es-ES"/>
        </w:rPr>
      </w:pPr>
      <w:r w:rsidRPr="00AE7913">
        <w:rPr>
          <w:lang w:val="es-ES"/>
        </w:rPr>
        <w:t>Con respecto a la posible fabricación futura de equipos tanto a base a H</w:t>
      </w:r>
      <w:r w:rsidR="0013300C">
        <w:rPr>
          <w:lang w:val="es-ES"/>
        </w:rPr>
        <w:t>FC</w:t>
      </w:r>
      <w:r w:rsidR="0013300C">
        <w:rPr>
          <w:lang w:val="es-ES"/>
        </w:rPr>
        <w:noBreakHyphen/>
      </w:r>
      <w:r w:rsidRPr="00AE7913">
        <w:rPr>
          <w:lang w:val="es-ES"/>
        </w:rPr>
        <w:t xml:space="preserve">32 como a base de </w:t>
      </w:r>
      <w:r w:rsidR="0013300C">
        <w:rPr>
          <w:lang w:val="es-ES"/>
        </w:rPr>
        <w:t>R</w:t>
      </w:r>
      <w:r w:rsidR="0013300C">
        <w:rPr>
          <w:lang w:val="es-ES"/>
        </w:rPr>
        <w:noBreakHyphen/>
      </w:r>
      <w:r w:rsidRPr="00AE7913">
        <w:rPr>
          <w:lang w:val="es-ES"/>
        </w:rPr>
        <w:t xml:space="preserve">454B, la Secretaría señaló que una vez que el </w:t>
      </w:r>
      <w:r w:rsidR="0013300C">
        <w:rPr>
          <w:lang w:val="es-ES"/>
        </w:rPr>
        <w:t>R</w:t>
      </w:r>
      <w:r w:rsidR="0013300C">
        <w:rPr>
          <w:lang w:val="es-ES"/>
        </w:rPr>
        <w:noBreakHyphen/>
      </w:r>
      <w:r w:rsidRPr="00AE7913">
        <w:rPr>
          <w:lang w:val="es-ES"/>
        </w:rPr>
        <w:t>454B esté disponible, su costo puede ser más alto que el del H</w:t>
      </w:r>
      <w:r w:rsidR="0013300C">
        <w:rPr>
          <w:lang w:val="es-ES"/>
        </w:rPr>
        <w:t>FC</w:t>
      </w:r>
      <w:r w:rsidR="0013300C">
        <w:rPr>
          <w:lang w:val="es-ES"/>
        </w:rPr>
        <w:noBreakHyphen/>
      </w:r>
      <w:r w:rsidRPr="00AE7913">
        <w:rPr>
          <w:lang w:val="es-ES"/>
        </w:rPr>
        <w:t xml:space="preserve">32. Por consiguiente, puede existir el riesgo de que, cuando los equipos de </w:t>
      </w:r>
      <w:r w:rsidR="0013300C">
        <w:rPr>
          <w:lang w:val="es-ES"/>
        </w:rPr>
        <w:t>R</w:t>
      </w:r>
      <w:r w:rsidR="0013300C">
        <w:rPr>
          <w:lang w:val="es-ES"/>
        </w:rPr>
        <w:noBreakHyphen/>
      </w:r>
      <w:r w:rsidRPr="00AE7913">
        <w:rPr>
          <w:lang w:val="es-ES"/>
        </w:rPr>
        <w:t>454B necesiten servicio y mantenimiento, sean completados con H</w:t>
      </w:r>
      <w:r w:rsidR="0013300C">
        <w:rPr>
          <w:lang w:val="es-ES"/>
        </w:rPr>
        <w:t>FC</w:t>
      </w:r>
      <w:r w:rsidR="0013300C">
        <w:rPr>
          <w:lang w:val="es-ES"/>
        </w:rPr>
        <w:noBreakHyphen/>
      </w:r>
      <w:r w:rsidRPr="00AE7913">
        <w:rPr>
          <w:lang w:val="es-ES"/>
        </w:rPr>
        <w:t xml:space="preserve">32, el componente principal del </w:t>
      </w:r>
      <w:r w:rsidR="0013300C">
        <w:rPr>
          <w:lang w:val="es-ES"/>
        </w:rPr>
        <w:t>R</w:t>
      </w:r>
      <w:r w:rsidR="0013300C">
        <w:rPr>
          <w:lang w:val="es-ES"/>
        </w:rPr>
        <w:noBreakHyphen/>
      </w:r>
      <w:r w:rsidRPr="00AE7913">
        <w:rPr>
          <w:lang w:val="es-ES"/>
        </w:rPr>
        <w:t>454B, en lugar de la mezcla en sí misma. La ONUDI aclaró que si bien las consecuencias para un equipo pueden ser limitadas, esa práctica podría afectar la confiabilidad del equipo, en parte considerando la temperatura de descarga más alta del H</w:t>
      </w:r>
      <w:r w:rsidR="0013300C">
        <w:rPr>
          <w:lang w:val="es-ES"/>
        </w:rPr>
        <w:t>FC</w:t>
      </w:r>
      <w:r w:rsidR="0013300C">
        <w:rPr>
          <w:lang w:val="es-ES"/>
        </w:rPr>
        <w:noBreakHyphen/>
      </w:r>
      <w:r w:rsidRPr="00AE7913">
        <w:rPr>
          <w:lang w:val="es-ES"/>
        </w:rPr>
        <w:t xml:space="preserve">32. Se podría considerar la anulación de la garantía del fabricante para desalentar esa posible práctica, así como el desarrollo de lumbreras de carga especiales para </w:t>
      </w:r>
      <w:r w:rsidR="0013300C">
        <w:rPr>
          <w:lang w:val="es-ES"/>
        </w:rPr>
        <w:t>R</w:t>
      </w:r>
      <w:r w:rsidR="0013300C">
        <w:rPr>
          <w:lang w:val="es-ES"/>
        </w:rPr>
        <w:noBreakHyphen/>
      </w:r>
      <w:r w:rsidRPr="00AE7913">
        <w:rPr>
          <w:lang w:val="es-ES"/>
        </w:rPr>
        <w:t>454B, si fuera posible.</w:t>
      </w:r>
    </w:p>
    <w:p w:rsidR="003F2F76" w:rsidRPr="00AE7913" w:rsidRDefault="003F2F76" w:rsidP="003F2F76">
      <w:pPr>
        <w:pStyle w:val="Heading1"/>
        <w:rPr>
          <w:lang w:val="es-ES"/>
        </w:rPr>
      </w:pPr>
      <w:r w:rsidRPr="00AE7913">
        <w:rPr>
          <w:lang w:val="es-ES"/>
        </w:rPr>
        <w:lastRenderedPageBreak/>
        <w:t>Teniendo en cuenta que la conversión de las cinco empresas permitiría la conversión de todo el sector de fabricación de equipos de A/A residencial, se acordó que el Gobierno de Egipto prohibiría la importación y fabricación de equipos de A/A residencial a base de HC</w:t>
      </w:r>
      <w:r w:rsidR="0013300C">
        <w:rPr>
          <w:lang w:val="es-ES"/>
        </w:rPr>
        <w:t>FC</w:t>
      </w:r>
      <w:r w:rsidR="0013300C">
        <w:rPr>
          <w:lang w:val="es-ES"/>
        </w:rPr>
        <w:noBreakHyphen/>
      </w:r>
      <w:r w:rsidRPr="00AE7913">
        <w:rPr>
          <w:lang w:val="es-ES"/>
        </w:rPr>
        <w:t xml:space="preserve">22 a más tardar el 1 de enero de 2023, de conformidad con la decisión 79/25. </w:t>
      </w:r>
    </w:p>
    <w:p w:rsidR="003F2F76" w:rsidRPr="00AE7913" w:rsidRDefault="003F2F76" w:rsidP="003F2F76">
      <w:pPr>
        <w:pStyle w:val="Heading1"/>
        <w:rPr>
          <w:lang w:val="es-ES"/>
        </w:rPr>
      </w:pPr>
      <w:r w:rsidRPr="00AE7913">
        <w:rPr>
          <w:lang w:val="es-ES"/>
        </w:rPr>
        <w:t xml:space="preserve">Respecto de la futura admisibilidad de las empresas, hubo consenso general en que las cinco empresas no serían admisibles para recibir más financiación del Fondo Multilateral para la eliminación de los HCFC o el </w:t>
      </w:r>
      <w:r w:rsidR="0013300C">
        <w:rPr>
          <w:lang w:val="es-ES"/>
        </w:rPr>
        <w:t>R</w:t>
      </w:r>
      <w:r w:rsidR="0013300C">
        <w:rPr>
          <w:lang w:val="es-ES"/>
        </w:rPr>
        <w:noBreakHyphen/>
      </w:r>
      <w:r w:rsidRPr="00AE7913">
        <w:rPr>
          <w:lang w:val="es-ES"/>
        </w:rPr>
        <w:t>410A. Además, la Secretaría entiende que, de conformidad con los párrafos 17 y 18 de la decisión XXVIII/2, las empresas tampoco serían admisibles para la reducción de su consumo de H</w:t>
      </w:r>
      <w:r w:rsidR="0013300C">
        <w:rPr>
          <w:lang w:val="es-ES"/>
        </w:rPr>
        <w:t>FC</w:t>
      </w:r>
      <w:r w:rsidR="0013300C">
        <w:rPr>
          <w:lang w:val="es-ES"/>
        </w:rPr>
        <w:noBreakHyphen/>
      </w:r>
      <w:r w:rsidRPr="00AE7913">
        <w:rPr>
          <w:lang w:val="es-ES"/>
        </w:rPr>
        <w:t>32, y que este entendimiento se compartió con el Gobierno de Egipto y las empresas</w:t>
      </w:r>
      <w:r w:rsidR="00E71452">
        <w:rPr>
          <w:lang w:val="es-ES"/>
        </w:rPr>
        <w:t xml:space="preserve">. </w:t>
      </w:r>
    </w:p>
    <w:p w:rsidR="003F2F76" w:rsidRPr="00AE7913" w:rsidRDefault="003F2F76" w:rsidP="003F2F76">
      <w:pPr>
        <w:rPr>
          <w:i/>
          <w:lang w:val="es-ES"/>
        </w:rPr>
      </w:pPr>
      <w:r w:rsidRPr="00AE7913">
        <w:rPr>
          <w:i/>
          <w:lang w:val="es-ES"/>
        </w:rPr>
        <w:t>Impacto climático</w:t>
      </w:r>
    </w:p>
    <w:p w:rsidR="003F2F76" w:rsidRPr="00AE7913" w:rsidRDefault="003F2F76" w:rsidP="003F2F76">
      <w:pPr>
        <w:rPr>
          <w:i/>
          <w:lang w:val="es-ES"/>
        </w:rPr>
      </w:pPr>
    </w:p>
    <w:p w:rsidR="003F2F76" w:rsidRPr="00AE7913" w:rsidRDefault="003F2F76" w:rsidP="003F2F76">
      <w:pPr>
        <w:pStyle w:val="Heading1"/>
        <w:rPr>
          <w:lang w:val="es-ES"/>
        </w:rPr>
      </w:pPr>
      <w:r w:rsidRPr="00AE7913">
        <w:rPr>
          <w:lang w:val="es-ES"/>
        </w:rPr>
        <w:t>El reemplazo de HC</w:t>
      </w:r>
      <w:r w:rsidR="0013300C">
        <w:rPr>
          <w:lang w:val="es-ES"/>
        </w:rPr>
        <w:t>FC</w:t>
      </w:r>
      <w:r w:rsidR="0013300C">
        <w:rPr>
          <w:lang w:val="es-ES"/>
        </w:rPr>
        <w:noBreakHyphen/>
      </w:r>
      <w:r w:rsidRPr="00AE7913">
        <w:rPr>
          <w:lang w:val="es-ES"/>
        </w:rPr>
        <w:t>22 por H</w:t>
      </w:r>
      <w:r w:rsidR="0013300C">
        <w:rPr>
          <w:lang w:val="es-ES"/>
        </w:rPr>
        <w:t>FC</w:t>
      </w:r>
      <w:r w:rsidR="0013300C">
        <w:rPr>
          <w:lang w:val="es-ES"/>
        </w:rPr>
        <w:noBreakHyphen/>
      </w:r>
      <w:r w:rsidRPr="00AE7913">
        <w:rPr>
          <w:lang w:val="es-ES"/>
        </w:rPr>
        <w:t>32 en el sector de A/A permitirá evitar la emisión de 2 223 435 tm de eq. de CO</w:t>
      </w:r>
      <w:r w:rsidRPr="00AE7913">
        <w:rPr>
          <w:vertAlign w:val="subscript"/>
          <w:lang w:val="es-ES"/>
        </w:rPr>
        <w:t>2</w:t>
      </w:r>
      <w:r w:rsidRPr="00AE7913">
        <w:rPr>
          <w:lang w:val="es-ES"/>
        </w:rPr>
        <w:t xml:space="preserve"> (es decir, del nivel básico de emisiones de 5 797 387 tm de eq. de CO</w:t>
      </w:r>
      <w:r w:rsidRPr="00AE7913">
        <w:rPr>
          <w:vertAlign w:val="subscript"/>
          <w:lang w:val="es-ES"/>
        </w:rPr>
        <w:t>2</w:t>
      </w:r>
      <w:r w:rsidRPr="00AE7913">
        <w:rPr>
          <w:lang w:val="es-ES"/>
        </w:rPr>
        <w:t xml:space="preserve"> a 3 573 952 tm de eq. de CO</w:t>
      </w:r>
      <w:r w:rsidRPr="00AE7913">
        <w:rPr>
          <w:vertAlign w:val="subscript"/>
          <w:lang w:val="es-ES"/>
        </w:rPr>
        <w:t>2</w:t>
      </w:r>
      <w:r w:rsidRPr="00AE7913">
        <w:rPr>
          <w:lang w:val="es-ES"/>
        </w:rPr>
        <w:t xml:space="preserve">), sobre la base del Indicador de impacto climático del Fondo Multilateral (IICFM) revisado. </w:t>
      </w:r>
    </w:p>
    <w:p w:rsidR="003F2F76" w:rsidRPr="00AE7913" w:rsidRDefault="003F2F76" w:rsidP="003F2F76">
      <w:pPr>
        <w:rPr>
          <w:i/>
          <w:lang w:val="es-ES"/>
        </w:rPr>
      </w:pPr>
      <w:r w:rsidRPr="00AE7913">
        <w:rPr>
          <w:i/>
          <w:lang w:val="es-ES"/>
        </w:rPr>
        <w:t>Cofinanciación</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 xml:space="preserve">El costo total convenido para la conversión del sector de A/A residencial es de 10 926 623 $EUA; otros costos adicionales, como las inversiones para la conversión de los intercambiadores de calor (de ser necesaria), correrían a cargo de las empresas. El Gobierno de Egipto proporcionaría cofinanciación mediante apoyo en especie para aplicar las medidas reglamentarias y las políticas de apoyo necesarias para ayudar a garantizar que la conversión del sector de A/A residencial a alternativas de bajo PCA sea sostenible. </w:t>
      </w:r>
    </w:p>
    <w:p w:rsidR="003F2F76" w:rsidRPr="00AE7913" w:rsidRDefault="003F2F76" w:rsidP="003F2F76">
      <w:pPr>
        <w:rPr>
          <w:lang w:val="es-ES"/>
        </w:rPr>
      </w:pPr>
      <w:r w:rsidRPr="00AE7913">
        <w:rPr>
          <w:u w:val="single"/>
          <w:lang w:val="es-ES"/>
        </w:rPr>
        <w:t>Revisión del Acuerdo sobre el PGEH</w:t>
      </w:r>
      <w:r w:rsidRPr="00AE7913">
        <w:rPr>
          <w:lang w:val="es-ES"/>
        </w:rPr>
        <w:t xml:space="preserve"> </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De conformidad con la decisión 79/34 d), el Gobierno propuso revisar el Acuerdo para la etapa II del PGEH. Basándose en el cronograma del proyecto, se acordó dividir la financiación asociada con el proyecto para convertir las cinco empresas que fabrican A/A residencial en los tramos de 2019, 2021 y 2023; cambiar el objetivo especificado en la fila 1.2 de conformidad con la nota al pie del Apéndice 2-A acordado en la 79ª reunión</w:t>
      </w:r>
      <w:r w:rsidRPr="00AE7913">
        <w:rPr>
          <w:rStyle w:val="FootnoteReference"/>
          <w:lang w:val="es-ES"/>
        </w:rPr>
        <w:footnoteReference w:id="17"/>
      </w:r>
      <w:r w:rsidRPr="00AE7913">
        <w:rPr>
          <w:lang w:val="es-ES"/>
        </w:rPr>
        <w:t>; deducir 65,44 toneladas PAO de HC</w:t>
      </w:r>
      <w:r w:rsidR="0013300C">
        <w:rPr>
          <w:lang w:val="es-ES"/>
        </w:rPr>
        <w:t>FC</w:t>
      </w:r>
      <w:r w:rsidR="0013300C">
        <w:rPr>
          <w:lang w:val="es-ES"/>
        </w:rPr>
        <w:noBreakHyphen/>
      </w:r>
      <w:r w:rsidRPr="00AE7913">
        <w:rPr>
          <w:lang w:val="es-ES"/>
        </w:rPr>
        <w:t>22 del consumo remanente admisible para la financiación del país, actualizar el objetivo para el uso controlado que figura en el párrafo 1 a 115,54 toneladas PAO, y añadir un nuevo párrafo 17 para indicar que se ha actualizado el Acuerdo, como se indica en el Anexo II del presente documento. El Acuerdo actualizado completo se adjuntará al informe final de la 84ª reunión.</w:t>
      </w:r>
    </w:p>
    <w:p w:rsidR="003F2F76" w:rsidRPr="00AE7913" w:rsidRDefault="003F2F76" w:rsidP="003F2F76">
      <w:pPr>
        <w:keepNext/>
        <w:keepLines/>
        <w:rPr>
          <w:u w:val="single"/>
          <w:lang w:val="es-ES"/>
        </w:rPr>
      </w:pPr>
      <w:r w:rsidRPr="00AE7913">
        <w:rPr>
          <w:u w:val="single"/>
          <w:lang w:val="es-ES"/>
        </w:rPr>
        <w:t xml:space="preserve">Sostenibilidad de la eliminación de los HCFC </w:t>
      </w:r>
    </w:p>
    <w:p w:rsidR="003F2F76" w:rsidRPr="00AE7913" w:rsidRDefault="003F2F76" w:rsidP="003F2F76">
      <w:pPr>
        <w:rPr>
          <w:u w:val="single"/>
          <w:lang w:val="es-ES"/>
        </w:rPr>
      </w:pPr>
    </w:p>
    <w:p w:rsidR="003F2F76" w:rsidRPr="00AE7913" w:rsidRDefault="003F2F76" w:rsidP="003F2F76">
      <w:pPr>
        <w:pStyle w:val="Heading1"/>
        <w:rPr>
          <w:lang w:val="es-ES"/>
        </w:rPr>
      </w:pPr>
      <w:r w:rsidRPr="00AE7913">
        <w:rPr>
          <w:lang w:val="es-ES"/>
        </w:rPr>
        <w:t>El Gobierno de Egipto ha promulgado reglamentos que apoyan las conversiones del sector de fabricación de espumas de poliuretano, que incluyen la prohibición de la importación de HC</w:t>
      </w:r>
      <w:r w:rsidR="0013300C">
        <w:rPr>
          <w:lang w:val="es-ES"/>
        </w:rPr>
        <w:t>FC</w:t>
      </w:r>
      <w:r w:rsidR="0013300C">
        <w:rPr>
          <w:lang w:val="es-ES"/>
        </w:rPr>
        <w:noBreakHyphen/>
      </w:r>
      <w:r w:rsidRPr="00AE7913">
        <w:rPr>
          <w:lang w:val="es-ES"/>
        </w:rPr>
        <w:t>141b contenido en polioles premezclados a partir del 1 de enero de 2018, y la prohibición de la importación, el uso y la exportación de HC</w:t>
      </w:r>
      <w:r w:rsidR="0013300C">
        <w:rPr>
          <w:lang w:val="es-ES"/>
        </w:rPr>
        <w:t>FC</w:t>
      </w:r>
      <w:r w:rsidR="0013300C">
        <w:rPr>
          <w:lang w:val="es-ES"/>
        </w:rPr>
        <w:noBreakHyphen/>
      </w:r>
      <w:r w:rsidRPr="00AE7913">
        <w:rPr>
          <w:lang w:val="es-ES"/>
        </w:rPr>
        <w:t>141b a granel y de la exportación de HC</w:t>
      </w:r>
      <w:r w:rsidR="0013300C">
        <w:rPr>
          <w:lang w:val="es-ES"/>
        </w:rPr>
        <w:t>FC</w:t>
      </w:r>
      <w:r w:rsidR="0013300C">
        <w:rPr>
          <w:lang w:val="es-ES"/>
        </w:rPr>
        <w:noBreakHyphen/>
      </w:r>
      <w:r w:rsidRPr="00AE7913">
        <w:rPr>
          <w:lang w:val="es-ES"/>
        </w:rPr>
        <w:t>141b contenido en polioles premezclados, que entrará en vigor a más tardar el 1 de enero de 2020. El Gobierno además se ha comprometido a prohibir el uso de HCFC y las mezclas de HCFC en la fabricación de espumas de poliestireno extruido a más tardar el 1 de enero de 2023; prohibir la importación de HC</w:t>
      </w:r>
      <w:r w:rsidR="0013300C">
        <w:rPr>
          <w:lang w:val="es-ES"/>
        </w:rPr>
        <w:t>FC</w:t>
      </w:r>
      <w:r w:rsidR="0013300C">
        <w:rPr>
          <w:lang w:val="es-ES"/>
        </w:rPr>
        <w:noBreakHyphen/>
      </w:r>
      <w:r w:rsidRPr="00AE7913">
        <w:rPr>
          <w:lang w:val="es-ES"/>
        </w:rPr>
        <w:t>142b y mezclas de HC</w:t>
      </w:r>
      <w:r w:rsidR="0013300C">
        <w:rPr>
          <w:lang w:val="es-ES"/>
        </w:rPr>
        <w:t>FC</w:t>
      </w:r>
      <w:r w:rsidR="0013300C">
        <w:rPr>
          <w:lang w:val="es-ES"/>
        </w:rPr>
        <w:noBreakHyphen/>
      </w:r>
      <w:r w:rsidRPr="00AE7913">
        <w:rPr>
          <w:lang w:val="es-ES"/>
        </w:rPr>
        <w:t xml:space="preserve">142b a más tardar el 1 de enero de 2023; con la aprobación del proyecto para convertir el sector de cinco empresas fabricantes de equipos de A/A residencial, prohibir la importación y </w:t>
      </w:r>
      <w:r w:rsidRPr="00AE7913">
        <w:rPr>
          <w:lang w:val="es-ES"/>
        </w:rPr>
        <w:lastRenderedPageBreak/>
        <w:t>fabricación de equipos de A/A residencial a base de HC</w:t>
      </w:r>
      <w:r w:rsidR="0013300C">
        <w:rPr>
          <w:lang w:val="es-ES"/>
        </w:rPr>
        <w:t>FC</w:t>
      </w:r>
      <w:r w:rsidR="0013300C">
        <w:rPr>
          <w:lang w:val="es-ES"/>
        </w:rPr>
        <w:noBreakHyphen/>
      </w:r>
      <w:r w:rsidRPr="00AE7913">
        <w:rPr>
          <w:lang w:val="es-ES"/>
        </w:rPr>
        <w:t xml:space="preserve">22 a más tardar el 1 de enero de 2023; garantizar el control total de los equipos de A/A residencial a base de </w:t>
      </w:r>
      <w:r w:rsidR="0013300C">
        <w:rPr>
          <w:lang w:val="es-ES"/>
        </w:rPr>
        <w:t>R</w:t>
      </w:r>
      <w:r w:rsidR="0013300C">
        <w:rPr>
          <w:lang w:val="es-ES"/>
        </w:rPr>
        <w:noBreakHyphen/>
      </w:r>
      <w:r w:rsidRPr="00AE7913">
        <w:rPr>
          <w:lang w:val="es-ES"/>
        </w:rPr>
        <w:t xml:space="preserve">410A y </w:t>
      </w:r>
      <w:r w:rsidR="0013300C">
        <w:rPr>
          <w:lang w:val="es-ES"/>
        </w:rPr>
        <w:t>R</w:t>
      </w:r>
      <w:r w:rsidR="0013300C">
        <w:rPr>
          <w:lang w:val="es-ES"/>
        </w:rPr>
        <w:noBreakHyphen/>
      </w:r>
      <w:r w:rsidRPr="00AE7913">
        <w:rPr>
          <w:lang w:val="es-ES"/>
        </w:rPr>
        <w:t>407 importados o disponibles en el mercado local y la adopción de la tecnología de H</w:t>
      </w:r>
      <w:r w:rsidR="0013300C">
        <w:rPr>
          <w:lang w:val="es-ES"/>
        </w:rPr>
        <w:t>FC</w:t>
      </w:r>
      <w:r w:rsidR="0013300C">
        <w:rPr>
          <w:lang w:val="es-ES"/>
        </w:rPr>
        <w:noBreakHyphen/>
      </w:r>
      <w:r w:rsidRPr="00AE7913">
        <w:rPr>
          <w:lang w:val="es-ES"/>
        </w:rPr>
        <w:t xml:space="preserve">32 y, en el caso de que las empresas así lo decidan una vez que la tecnología esté disponible, la tecnología de </w:t>
      </w:r>
      <w:r w:rsidR="0013300C">
        <w:rPr>
          <w:lang w:val="es-ES"/>
        </w:rPr>
        <w:t>R</w:t>
      </w:r>
      <w:r w:rsidR="0013300C">
        <w:rPr>
          <w:lang w:val="es-ES"/>
        </w:rPr>
        <w:noBreakHyphen/>
      </w:r>
      <w:r w:rsidRPr="00AE7913">
        <w:rPr>
          <w:lang w:val="es-ES"/>
        </w:rPr>
        <w:t xml:space="preserve">454B. </w:t>
      </w:r>
    </w:p>
    <w:p w:rsidR="003F2F76" w:rsidRPr="00AE7913" w:rsidRDefault="003F2F76" w:rsidP="003F2F76">
      <w:pPr>
        <w:rPr>
          <w:u w:val="single"/>
          <w:lang w:val="es-ES"/>
        </w:rPr>
      </w:pPr>
      <w:r w:rsidRPr="00AE7913">
        <w:rPr>
          <w:u w:val="single"/>
          <w:lang w:val="es-ES"/>
        </w:rPr>
        <w:t xml:space="preserve">Conclusión </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La ejecución del PGEH está progresando, el sistema de concesión de licencias y cupos del país está funcionando y el consumo verificado está por debajo de los objetivos para 2018. Las conversiones en el sector de espumas de poliuretano están progresando y todas las empresas podrán cumplir la prohibición de la importación, el uso y la exportación de HC</w:t>
      </w:r>
      <w:r w:rsidR="0013300C">
        <w:rPr>
          <w:lang w:val="es-ES"/>
        </w:rPr>
        <w:t>FC</w:t>
      </w:r>
      <w:r w:rsidR="0013300C">
        <w:rPr>
          <w:lang w:val="es-ES"/>
        </w:rPr>
        <w:noBreakHyphen/>
      </w:r>
      <w:r w:rsidRPr="00AE7913">
        <w:rPr>
          <w:lang w:val="es-ES"/>
        </w:rPr>
        <w:t>141b a granel y la exportación de HC</w:t>
      </w:r>
      <w:r w:rsidR="0013300C">
        <w:rPr>
          <w:lang w:val="es-ES"/>
        </w:rPr>
        <w:t>FC</w:t>
      </w:r>
      <w:r w:rsidR="0013300C">
        <w:rPr>
          <w:lang w:val="es-ES"/>
        </w:rPr>
        <w:noBreakHyphen/>
      </w:r>
      <w:r w:rsidRPr="00AE7913">
        <w:rPr>
          <w:lang w:val="es-ES"/>
        </w:rPr>
        <w:t xml:space="preserve">141b contenido en polioles premezclados que entrará en vigor el 1 de enero de 2020. El nivel de desembolso es de 33%. Las actividades planificadas en el marco del segundo tramo permitirán la conversión del sector de fabricación de espumas de XPS, que se terminará con fondos del tercer tramo, y fomentarán aún más la capacidad de los funcionarios de aduanas y de aplicación y reforzarán el sector de servicio y mantenimiento, ayudando así a garantizar que el país pueda satisfacer sus obligaciones de cumplimiento con arreglo al Protocolo. Ante la falta de un proyecto para convertir el sector de fabricación de equipos de A/A residencial a alternativas de bajo PCA, cuatro de las cinco empresas probablemente comenzarían a fabricar exclusivamente equipos a base de </w:t>
      </w:r>
      <w:r w:rsidR="0013300C">
        <w:rPr>
          <w:lang w:val="es-ES"/>
        </w:rPr>
        <w:t>R</w:t>
      </w:r>
      <w:r w:rsidR="0013300C">
        <w:rPr>
          <w:lang w:val="es-ES"/>
        </w:rPr>
        <w:noBreakHyphen/>
      </w:r>
      <w:r w:rsidRPr="00AE7913">
        <w:rPr>
          <w:lang w:val="es-ES"/>
        </w:rPr>
        <w:t xml:space="preserve">410A en las líneas existentes; el proyecto, que incluiría el marco para un entorno favorable y las medidas de política relacionadas, resultará crítico para evitar este resultado y transmitiría al mercado una señal respecto a la conversión a tecnología de bajo PCA, lo que podría modificar la trayectoria de la transformación de mercado de este sector en favor de alternativas de bajo PCA. </w:t>
      </w:r>
    </w:p>
    <w:p w:rsidR="003F2F76" w:rsidRPr="00AE7913" w:rsidRDefault="003F2F76" w:rsidP="003F2F76">
      <w:pPr>
        <w:rPr>
          <w:lang w:val="es-ES"/>
        </w:rPr>
      </w:pPr>
      <w:r w:rsidRPr="00AE7913">
        <w:rPr>
          <w:b/>
          <w:lang w:val="es-ES"/>
        </w:rPr>
        <w:t>RECOMENDACIÓN</w:t>
      </w:r>
    </w:p>
    <w:p w:rsidR="003F2F76" w:rsidRPr="00AE7913" w:rsidRDefault="003F2F76" w:rsidP="003F2F76">
      <w:pPr>
        <w:rPr>
          <w:lang w:val="es-ES"/>
        </w:rPr>
      </w:pPr>
    </w:p>
    <w:p w:rsidR="003F2F76" w:rsidRPr="00AE7913" w:rsidRDefault="003F2F76" w:rsidP="003F2F76">
      <w:pPr>
        <w:pStyle w:val="Heading1"/>
        <w:rPr>
          <w:lang w:val="es-ES"/>
        </w:rPr>
      </w:pPr>
      <w:r w:rsidRPr="00AE7913">
        <w:rPr>
          <w:lang w:val="es-ES"/>
        </w:rPr>
        <w:t>El Comité Ejecutivo tal vez desee considerar:</w:t>
      </w:r>
    </w:p>
    <w:p w:rsidR="003F2F76" w:rsidRPr="00AE7913" w:rsidRDefault="003F2F76" w:rsidP="003F2F76">
      <w:pPr>
        <w:pStyle w:val="Heading2"/>
        <w:widowControl/>
        <w:rPr>
          <w:lang w:val="es-ES"/>
        </w:rPr>
      </w:pPr>
      <w:r w:rsidRPr="00AE7913">
        <w:rPr>
          <w:lang w:val="es-ES"/>
        </w:rPr>
        <w:t xml:space="preserve">Tomar nota del informe sobre la marcha de las actividades relativo a la ejecución del primer tramo de la etapa II del plan de gestión de eliminación de HCFC para Egipto; </w:t>
      </w:r>
    </w:p>
    <w:p w:rsidR="003F2F76" w:rsidRPr="00AE7913" w:rsidRDefault="003F2F76" w:rsidP="003F2F76">
      <w:pPr>
        <w:pStyle w:val="Heading2"/>
        <w:widowControl/>
        <w:rPr>
          <w:lang w:val="es-ES"/>
        </w:rPr>
      </w:pPr>
      <w:r w:rsidRPr="00AE7913">
        <w:rPr>
          <w:lang w:val="es-ES"/>
        </w:rPr>
        <w:t>Aprobar el proyecto para la conversión de El-Araby, Fresh, Miraco, Power y Unionaire de HC</w:t>
      </w:r>
      <w:r w:rsidR="0013300C">
        <w:rPr>
          <w:lang w:val="es-ES"/>
        </w:rPr>
        <w:t>FC</w:t>
      </w:r>
      <w:r w:rsidR="0013300C">
        <w:rPr>
          <w:lang w:val="es-ES"/>
        </w:rPr>
        <w:noBreakHyphen/>
      </w:r>
      <w:r w:rsidRPr="00AE7913">
        <w:rPr>
          <w:lang w:val="es-ES"/>
        </w:rPr>
        <w:t>22 a H</w:t>
      </w:r>
      <w:r w:rsidR="0013300C">
        <w:rPr>
          <w:lang w:val="es-ES"/>
        </w:rPr>
        <w:t>FC</w:t>
      </w:r>
      <w:r w:rsidR="0013300C">
        <w:rPr>
          <w:lang w:val="es-ES"/>
        </w:rPr>
        <w:noBreakHyphen/>
      </w:r>
      <w:r w:rsidRPr="00AE7913">
        <w:rPr>
          <w:lang w:val="es-ES"/>
        </w:rPr>
        <w:t xml:space="preserve">32 y, en el caso de que las empresas así lo decidan una vez que la tecnología esté disponible, a </w:t>
      </w:r>
      <w:r w:rsidR="0013300C">
        <w:rPr>
          <w:lang w:val="es-ES"/>
        </w:rPr>
        <w:t>R</w:t>
      </w:r>
      <w:r w:rsidR="0013300C">
        <w:rPr>
          <w:lang w:val="es-ES"/>
        </w:rPr>
        <w:noBreakHyphen/>
      </w:r>
      <w:r w:rsidRPr="00AE7913">
        <w:rPr>
          <w:lang w:val="es-ES"/>
        </w:rPr>
        <w:t>454B, en la fabricación de unidades de aire acondicionado residencial, por un monto de 10 926 623 $EUA, más gastos de apoyo del organismo de 764 864 $EUA para la ONUDI;</w:t>
      </w:r>
    </w:p>
    <w:p w:rsidR="003F2F76" w:rsidRPr="00AE7913" w:rsidRDefault="003F2F76" w:rsidP="003F2F76">
      <w:pPr>
        <w:pStyle w:val="Heading2"/>
        <w:widowControl/>
        <w:rPr>
          <w:lang w:val="es-ES"/>
        </w:rPr>
      </w:pPr>
      <w:r w:rsidRPr="00AE7913">
        <w:rPr>
          <w:lang w:val="es-ES"/>
        </w:rPr>
        <w:t>Deducir 65,44 toneladas PAO de HC</w:t>
      </w:r>
      <w:r w:rsidR="0013300C">
        <w:rPr>
          <w:lang w:val="es-ES"/>
        </w:rPr>
        <w:t>FC</w:t>
      </w:r>
      <w:r w:rsidR="0013300C">
        <w:rPr>
          <w:lang w:val="es-ES"/>
        </w:rPr>
        <w:noBreakHyphen/>
      </w:r>
      <w:r w:rsidRPr="00AE7913">
        <w:rPr>
          <w:lang w:val="es-ES"/>
        </w:rPr>
        <w:t>22 del consumo remanente de HCFC admisible para la financiación;</w:t>
      </w:r>
    </w:p>
    <w:p w:rsidR="003F2F76" w:rsidRPr="00AE7913" w:rsidRDefault="003F2F76" w:rsidP="003F2F76">
      <w:pPr>
        <w:pStyle w:val="Heading2"/>
        <w:widowControl/>
        <w:rPr>
          <w:lang w:val="es-ES"/>
        </w:rPr>
      </w:pPr>
      <w:r w:rsidRPr="00AE7913">
        <w:rPr>
          <w:lang w:val="es-ES"/>
        </w:rPr>
        <w:t>Tomar nota del compromiso del Gobierno de Egipto de lograr un nivel sostenido de 115,54 toneladas PAO antes del 1 de enero de 2025 en cumplimiento del calendario del Protocolo de Montreal;</w:t>
      </w:r>
    </w:p>
    <w:p w:rsidR="003F2F76" w:rsidRPr="00AE7913" w:rsidRDefault="003F2F76" w:rsidP="00AE7913">
      <w:pPr>
        <w:pStyle w:val="Heading2"/>
        <w:keepNext/>
        <w:widowControl/>
        <w:rPr>
          <w:lang w:val="es-ES"/>
        </w:rPr>
      </w:pPr>
      <w:r w:rsidRPr="00AE7913">
        <w:rPr>
          <w:lang w:val="es-ES"/>
        </w:rPr>
        <w:t>Tomar nota:</w:t>
      </w:r>
    </w:p>
    <w:p w:rsidR="003F2F76" w:rsidRPr="00AE7913" w:rsidRDefault="003F2F76" w:rsidP="00AE7913">
      <w:pPr>
        <w:pStyle w:val="Heading3"/>
        <w:keepNext/>
        <w:widowControl/>
        <w:rPr>
          <w:lang w:val="es-ES"/>
        </w:rPr>
      </w:pPr>
      <w:r w:rsidRPr="00AE7913">
        <w:rPr>
          <w:lang w:val="es-ES"/>
        </w:rPr>
        <w:t>Del compromiso del Gobierno de Egipto en relación con lo siguiente:</w:t>
      </w:r>
    </w:p>
    <w:p w:rsidR="003F2F76" w:rsidRPr="00AE7913" w:rsidRDefault="003F2F76" w:rsidP="003F2F76">
      <w:pPr>
        <w:pStyle w:val="Header4"/>
        <w:widowControl/>
        <w:rPr>
          <w:lang w:val="es-ES"/>
        </w:rPr>
      </w:pPr>
      <w:r w:rsidRPr="00AE7913">
        <w:rPr>
          <w:lang w:val="es-ES"/>
        </w:rPr>
        <w:t>Prohibir la importación y fabricación de equipos de A/A residencial a base de HCFC a partir del 1 de enero de 2023;</w:t>
      </w:r>
    </w:p>
    <w:p w:rsidR="003F2F76" w:rsidRPr="00AE7913" w:rsidRDefault="003F2F76" w:rsidP="003F2F76">
      <w:pPr>
        <w:pStyle w:val="Header4"/>
        <w:widowControl/>
        <w:rPr>
          <w:lang w:val="es-ES"/>
        </w:rPr>
      </w:pPr>
      <w:r w:rsidRPr="00AE7913">
        <w:rPr>
          <w:lang w:val="es-ES"/>
        </w:rPr>
        <w:t xml:space="preserve">Garantizar el control total de los equipos residenciales a base de </w:t>
      </w:r>
      <w:r w:rsidR="0013300C">
        <w:rPr>
          <w:lang w:val="es-ES"/>
        </w:rPr>
        <w:t>R</w:t>
      </w:r>
      <w:r w:rsidR="0013300C">
        <w:rPr>
          <w:lang w:val="es-ES"/>
        </w:rPr>
        <w:noBreakHyphen/>
      </w:r>
      <w:r w:rsidRPr="00AE7913">
        <w:rPr>
          <w:lang w:val="es-ES"/>
        </w:rPr>
        <w:t xml:space="preserve">410A y </w:t>
      </w:r>
      <w:r w:rsidR="0013300C">
        <w:rPr>
          <w:lang w:val="es-ES"/>
        </w:rPr>
        <w:t>R</w:t>
      </w:r>
      <w:r w:rsidR="0013300C">
        <w:rPr>
          <w:lang w:val="es-ES"/>
        </w:rPr>
        <w:noBreakHyphen/>
      </w:r>
      <w:r w:rsidRPr="00AE7913">
        <w:rPr>
          <w:lang w:val="es-ES"/>
        </w:rPr>
        <w:t>407C, ya sea importados o disponibles en el mercado local; y</w:t>
      </w:r>
    </w:p>
    <w:p w:rsidR="003F2F76" w:rsidRPr="00AE7913" w:rsidRDefault="003F2F76" w:rsidP="003F2F76">
      <w:pPr>
        <w:pStyle w:val="Header4"/>
        <w:keepNext/>
        <w:keepLines/>
        <w:widowControl/>
        <w:rPr>
          <w:lang w:val="es-ES"/>
        </w:rPr>
      </w:pPr>
      <w:r w:rsidRPr="00AE7913">
        <w:rPr>
          <w:lang w:val="es-ES"/>
        </w:rPr>
        <w:lastRenderedPageBreak/>
        <w:t>Garantizar la adopción de la tecnología de H</w:t>
      </w:r>
      <w:r w:rsidR="0013300C">
        <w:rPr>
          <w:lang w:val="es-ES"/>
        </w:rPr>
        <w:t>FC</w:t>
      </w:r>
      <w:r w:rsidR="0013300C">
        <w:rPr>
          <w:lang w:val="es-ES"/>
        </w:rPr>
        <w:noBreakHyphen/>
      </w:r>
      <w:r w:rsidRPr="00AE7913">
        <w:rPr>
          <w:lang w:val="es-ES"/>
        </w:rPr>
        <w:t xml:space="preserve">32 y, en el caso de que las empresas así lo decidan una vez que la tecnología esté disponible, a la tecnología de </w:t>
      </w:r>
      <w:r w:rsidR="0013300C">
        <w:rPr>
          <w:lang w:val="es-ES"/>
        </w:rPr>
        <w:t>R</w:t>
      </w:r>
      <w:r w:rsidR="0013300C">
        <w:rPr>
          <w:lang w:val="es-ES"/>
        </w:rPr>
        <w:noBreakHyphen/>
      </w:r>
      <w:r w:rsidRPr="00AE7913">
        <w:rPr>
          <w:lang w:val="es-ES"/>
        </w:rPr>
        <w:t xml:space="preserve">454B en el mercado local; </w:t>
      </w:r>
    </w:p>
    <w:p w:rsidR="003F2F76" w:rsidRPr="00AE7913" w:rsidRDefault="003F2F76" w:rsidP="003F2F76">
      <w:pPr>
        <w:pStyle w:val="Heading3"/>
        <w:widowControl/>
        <w:rPr>
          <w:lang w:val="es-ES"/>
        </w:rPr>
      </w:pPr>
      <w:r w:rsidRPr="00AE7913">
        <w:rPr>
          <w:lang w:val="es-ES"/>
        </w:rPr>
        <w:t xml:space="preserve">Del compromiso de El-Araby, Fresh, Miraco, Power y Unionaire de participar activamente en los esfuerzos para promover la aceptación en el mercado de los equipos de aire acondicionado residencial a base de la tecnología acordada y de garantizar que su fabricación de equipos a base de </w:t>
      </w:r>
      <w:r w:rsidR="0013300C">
        <w:rPr>
          <w:lang w:val="es-ES"/>
        </w:rPr>
        <w:t>R</w:t>
      </w:r>
      <w:r w:rsidR="0013300C">
        <w:rPr>
          <w:lang w:val="es-ES"/>
        </w:rPr>
        <w:noBreakHyphen/>
      </w:r>
      <w:r w:rsidRPr="00AE7913">
        <w:rPr>
          <w:lang w:val="es-ES"/>
        </w:rPr>
        <w:t>410A para el mercado local decrezca progresivamente hasta que las empresas fabriquen únicamente equipos para el mercado local con la tecnología acordada o una tecnología con PCA más bajo;</w:t>
      </w:r>
    </w:p>
    <w:p w:rsidR="003F2F76" w:rsidRPr="00AE7913" w:rsidRDefault="003F2F76" w:rsidP="003F2F76">
      <w:pPr>
        <w:pStyle w:val="Heading2"/>
        <w:widowControl/>
        <w:rPr>
          <w:lang w:val="es-ES"/>
        </w:rPr>
      </w:pPr>
      <w:r w:rsidRPr="00AE7913">
        <w:rPr>
          <w:lang w:val="es-ES"/>
        </w:rPr>
        <w:t>De que la Secretaría ha actualizado el Apéndice 2-A del Acuerdo entre el Gobierno de Egipto y el Comité Ejecutivo, sobre la base de la aprobación de la propuesta de proyecto mencionada en el apartado b) anterior y la deducción del tonelaje de HCFC que se menciona en el apartado c) anterior y ha actualizado el objetivo para el uso controlado que figura en el párrafo 1 a 115,54 toneladas PAO y de que se ha añadido un nuevo párrafo 17 para indicar que el Acuerdo actualizado reemplaza al acuerdo alcanzado en la 79ª reunión, como se indica en el Anexo II del presente documento; y</w:t>
      </w:r>
    </w:p>
    <w:p w:rsidR="003F2F76" w:rsidRPr="00AE7913" w:rsidRDefault="003F2F76" w:rsidP="003F2F76">
      <w:pPr>
        <w:pStyle w:val="Heading2"/>
        <w:widowControl/>
        <w:rPr>
          <w:lang w:val="es-ES"/>
        </w:rPr>
      </w:pPr>
      <w:r w:rsidRPr="00AE7913">
        <w:rPr>
          <w:lang w:val="es-ES"/>
        </w:rPr>
        <w:t xml:space="preserve">Aprobar el segundo tramo de la etapa II del plan de gestión de eliminación de HCFC para Egipto y el correspondiente plan de ejecución del tramo para 2019-2022, por un monto de 6 991 764 $EUA, que comprende 4 668 214 $EUA, más gastos de apoyo del organismo de 326 775 $EUA, para la ONUDI, 1 836 750 $EUA, más gastos de apoyo del organismo de 128 573 $EUA, para el PNUD, 279 500 $EUA, más gastos de apoyo del organismo de 33 394 $EUA, para el PNUMA y 207 300 $EUA, más gastos de apoyo del organismo de 26 949 $EUA, para el Gobierno de Alemania. </w:t>
      </w:r>
    </w:p>
    <w:p w:rsidR="0087455A" w:rsidRPr="00AE7913" w:rsidRDefault="0087455A" w:rsidP="003F2F76">
      <w:pPr>
        <w:pStyle w:val="StyleHeader4Para4Left0Firstline0"/>
        <w:widowControl/>
        <w:numPr>
          <w:ilvl w:val="0"/>
          <w:numId w:val="0"/>
        </w:numPr>
        <w:rPr>
          <w:lang w:val="es-ES"/>
        </w:rPr>
      </w:pPr>
    </w:p>
    <w:p w:rsidR="0087455A" w:rsidRPr="00AE7913" w:rsidRDefault="0087455A" w:rsidP="003F2F76">
      <w:pPr>
        <w:rPr>
          <w:lang w:val="es-ES"/>
        </w:rPr>
        <w:sectPr w:rsidR="0087455A" w:rsidRPr="00AE7913">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155682" w:rsidRPr="00AE7913" w:rsidRDefault="00155682" w:rsidP="003F2F76">
      <w:pPr>
        <w:jc w:val="center"/>
        <w:rPr>
          <w:b/>
          <w:lang w:val="es-ES"/>
        </w:rPr>
      </w:pPr>
      <w:r w:rsidRPr="00AE7913">
        <w:rPr>
          <w:b/>
          <w:lang w:val="es-ES"/>
        </w:rPr>
        <w:lastRenderedPageBreak/>
        <w:t>Anexo I</w:t>
      </w:r>
    </w:p>
    <w:p w:rsidR="00155682" w:rsidRPr="00AE7913" w:rsidRDefault="00155682" w:rsidP="003F2F76">
      <w:pPr>
        <w:rPr>
          <w:lang w:val="es-ES"/>
        </w:rPr>
      </w:pPr>
    </w:p>
    <w:p w:rsidR="00277AE4" w:rsidRPr="00AE7913" w:rsidRDefault="00277AE4" w:rsidP="003F2F76">
      <w:pPr>
        <w:jc w:val="center"/>
        <w:rPr>
          <w:b/>
          <w:lang w:val="es-ES"/>
        </w:rPr>
      </w:pPr>
      <w:r w:rsidRPr="00AE7913">
        <w:rPr>
          <w:b/>
          <w:lang w:val="es-ES"/>
        </w:rPr>
        <w:t>EGYPRA</w:t>
      </w:r>
    </w:p>
    <w:p w:rsidR="00277AE4" w:rsidRPr="00AE7913" w:rsidRDefault="00277AE4" w:rsidP="003F2F76">
      <w:pPr>
        <w:rPr>
          <w:lang w:val="es-ES"/>
        </w:rPr>
      </w:pPr>
    </w:p>
    <w:p w:rsidR="00277AE4" w:rsidRPr="00AE7913" w:rsidRDefault="00277AE4" w:rsidP="00AE7913">
      <w:pPr>
        <w:pStyle w:val="Heading1"/>
        <w:numPr>
          <w:ilvl w:val="0"/>
          <w:numId w:val="23"/>
        </w:numPr>
        <w:rPr>
          <w:lang w:val="es-ES"/>
        </w:rPr>
      </w:pPr>
      <w:r w:rsidRPr="00AE7913">
        <w:rPr>
          <w:lang w:val="es-ES"/>
        </w:rPr>
        <w:t>Se probaron diecinueve prototipos de unidades divididas (</w:t>
      </w:r>
      <w:r w:rsidRPr="00AE7913">
        <w:rPr>
          <w:i/>
          <w:lang w:val="es-ES"/>
        </w:rPr>
        <w:t>split</w:t>
      </w:r>
      <w:r w:rsidRPr="00AE7913">
        <w:rPr>
          <w:lang w:val="es-ES"/>
        </w:rPr>
        <w:t>) hechas de medida con compresores especializados provistos por varias empresas en laboratorios locales acreditados, con refrigerantes provistos por Arkema, Chemours, Daikin y Honeywell. Se repitieron las pruebas a los efectos de la optimización.</w:t>
      </w:r>
    </w:p>
    <w:p w:rsidR="00277AE4" w:rsidRPr="00AE7913" w:rsidRDefault="00277AE4" w:rsidP="003F2F76">
      <w:pPr>
        <w:pStyle w:val="Heading1"/>
        <w:rPr>
          <w:lang w:val="es-ES"/>
        </w:rPr>
      </w:pPr>
      <w:r w:rsidRPr="00AE7913">
        <w:rPr>
          <w:lang w:val="es-ES"/>
        </w:rPr>
        <w:t>Los resultados muestran que es posible mejorar la capacidad y eficiencia energética de los prototipos trabajando con alternativas al HC</w:t>
      </w:r>
      <w:r w:rsidR="0013300C">
        <w:rPr>
          <w:lang w:val="es-ES"/>
        </w:rPr>
        <w:t>FC</w:t>
      </w:r>
      <w:r w:rsidR="0013300C">
        <w:rPr>
          <w:lang w:val="es-ES"/>
        </w:rPr>
        <w:noBreakHyphen/>
      </w:r>
      <w:r w:rsidRPr="00AE7913">
        <w:rPr>
          <w:lang w:val="es-ES"/>
        </w:rPr>
        <w:t xml:space="preserve">22 y al </w:t>
      </w:r>
      <w:r w:rsidR="0013300C">
        <w:rPr>
          <w:lang w:val="es-ES"/>
        </w:rPr>
        <w:t>R</w:t>
      </w:r>
      <w:r w:rsidR="0013300C">
        <w:rPr>
          <w:lang w:val="es-ES"/>
        </w:rPr>
        <w:noBreakHyphen/>
      </w:r>
      <w:r w:rsidRPr="00AE7913">
        <w:rPr>
          <w:lang w:val="es-ES"/>
        </w:rPr>
        <w:t xml:space="preserve">410A (con mejoras más altas para las alternativas al </w:t>
      </w:r>
      <w:r w:rsidR="0013300C">
        <w:rPr>
          <w:lang w:val="es-ES"/>
        </w:rPr>
        <w:t>R</w:t>
      </w:r>
      <w:r w:rsidR="0013300C">
        <w:rPr>
          <w:lang w:val="es-ES"/>
        </w:rPr>
        <w:noBreakHyphen/>
      </w:r>
      <w:r w:rsidRPr="00AE7913">
        <w:rPr>
          <w:lang w:val="es-ES"/>
        </w:rPr>
        <w:t>410A). Estas mejoras dependen de la disponibilidad y selección de los componentes correctos para las unidades que pueden brindar el rendimiento requerido.</w:t>
      </w:r>
    </w:p>
    <w:p w:rsidR="00277AE4" w:rsidRPr="00AE7913" w:rsidRDefault="00277AE4" w:rsidP="003F2F76">
      <w:pPr>
        <w:pStyle w:val="Heading1"/>
        <w:rPr>
          <w:lang w:val="es-ES"/>
        </w:rPr>
      </w:pPr>
      <w:r w:rsidRPr="00AE7913">
        <w:rPr>
          <w:lang w:val="es-ES"/>
        </w:rPr>
        <w:t>Es necesario crear capacidad que permita a los fabricantes diseñar, optimizar y probar unidades con refrigerantes inflamables a fin de mejorar el rendimiento y satisfacer las normas de eficiencia energética, y actualizar sus instalaciones de prueba, tanto en función de la instrumentación como para el manejo de refrigerantes inflamables. Los resultados de las pruebas muestran que todos los refrigerantes usados en el proyecto son alternativas viables desde el punto de vista termodinámico; sin embargo, en comparación con las normas mínimas de rendimiento energético para Egipto, los resultados muestran que la industria enfrenta desafíos para proporcionar unidades de A/A de alta eficiencia que satisfagan requisitos estrictos en los años venideros. Además, se debe investigar mejor la viabilidad en función de otros criterios, como compatibilidad, disponibilidad comercial, seguridad y costo.</w:t>
      </w:r>
    </w:p>
    <w:p w:rsidR="00277AE4" w:rsidRPr="00AE7913" w:rsidRDefault="00277AE4" w:rsidP="003F2F76">
      <w:pPr>
        <w:pStyle w:val="Heading1"/>
        <w:rPr>
          <w:lang w:val="es-ES"/>
        </w:rPr>
      </w:pPr>
      <w:r w:rsidRPr="00AE7913">
        <w:rPr>
          <w:lang w:val="es-ES"/>
        </w:rPr>
        <w:t>La Secretaría pidió que se aclarase si los resultados y conclusiones del programa EGYPRA fueron los mismos que los de otros programas de prueba con los que se probaron de forma similar alternativas de bajo PCA en el sector de fabricación de equipos de A/A, tales como los proyectos de demostración financiados por el Fondo Multilateral. En el Cuadro 1 se comparan los criterios de diseño, protocolos de prueba, refrigerantes probados y restricciones de cuatro programas de prueba: AREP</w:t>
      </w:r>
      <w:r w:rsidRPr="00AE7913">
        <w:rPr>
          <w:lang w:val="es-ES"/>
        </w:rPr>
        <w:noBreakHyphen/>
        <w:t>II</w:t>
      </w:r>
      <w:r w:rsidRPr="00AE7913">
        <w:rPr>
          <w:rStyle w:val="FootnoteReference"/>
          <w:lang w:val="es-ES"/>
        </w:rPr>
        <w:footnoteReference w:id="18"/>
      </w:r>
      <w:r w:rsidRPr="00AE7913">
        <w:rPr>
          <w:lang w:val="es-ES"/>
        </w:rPr>
        <w:t>, EGYPRA, ORNL</w:t>
      </w:r>
      <w:r w:rsidRPr="00AE7913">
        <w:rPr>
          <w:rStyle w:val="FootnoteReference"/>
          <w:lang w:val="es-ES"/>
        </w:rPr>
        <w:footnoteReference w:id="19"/>
      </w:r>
      <w:r w:rsidRPr="00AE7913">
        <w:rPr>
          <w:lang w:val="es-ES"/>
        </w:rPr>
        <w:t xml:space="preserve"> y PRAHA</w:t>
      </w:r>
      <w:r w:rsidRPr="00AE7913">
        <w:rPr>
          <w:rStyle w:val="FootnoteReference"/>
          <w:lang w:val="es-ES"/>
        </w:rPr>
        <w:footnoteReference w:id="20"/>
      </w:r>
      <w:r w:rsidRPr="00AE7913">
        <w:rPr>
          <w:lang w:val="es-ES"/>
        </w:rPr>
        <w:t>:</w:t>
      </w:r>
    </w:p>
    <w:p w:rsidR="00277AE4" w:rsidRPr="00AE7913" w:rsidRDefault="00277AE4" w:rsidP="003F2F76">
      <w:pPr>
        <w:rPr>
          <w:b/>
          <w:lang w:val="es-ES"/>
        </w:rPr>
      </w:pPr>
      <w:r w:rsidRPr="00AE7913">
        <w:rPr>
          <w:b/>
          <w:lang w:val="es-ES"/>
        </w:rPr>
        <w:t>Cuadro 1.  Comparación de los programas de prueba PRAHA, EGYPRA, ORNL y AREP-II</w:t>
      </w:r>
    </w:p>
    <w:tbl>
      <w:tblPr>
        <w:tblW w:w="10759" w:type="dxa"/>
        <w:jc w:val="center"/>
        <w:tblCellMar>
          <w:left w:w="29" w:type="dxa"/>
          <w:right w:w="0" w:type="dxa"/>
        </w:tblCellMar>
        <w:tblLook w:val="0600" w:firstRow="0" w:lastRow="0" w:firstColumn="0" w:lastColumn="0" w:noHBand="1" w:noVBand="1"/>
      </w:tblPr>
      <w:tblGrid>
        <w:gridCol w:w="195"/>
        <w:gridCol w:w="1115"/>
        <w:gridCol w:w="615"/>
        <w:gridCol w:w="675"/>
        <w:gridCol w:w="724"/>
        <w:gridCol w:w="1104"/>
        <w:gridCol w:w="705"/>
        <w:gridCol w:w="705"/>
        <w:gridCol w:w="705"/>
        <w:gridCol w:w="670"/>
        <w:gridCol w:w="811"/>
        <w:gridCol w:w="993"/>
        <w:gridCol w:w="1742"/>
      </w:tblGrid>
      <w:tr w:rsidR="00277AE4" w:rsidRPr="00AE7913" w:rsidTr="003F2F76">
        <w:trPr>
          <w:trHeight w:val="291"/>
          <w:tblHeader/>
          <w:jc w:val="center"/>
        </w:trPr>
        <w:tc>
          <w:tcPr>
            <w:tcW w:w="1155"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ind w:hanging="280"/>
              <w:jc w:val="center"/>
              <w:textAlignment w:val="center"/>
              <w:rPr>
                <w:sz w:val="18"/>
                <w:szCs w:val="18"/>
                <w:lang w:val="es-ES"/>
              </w:rPr>
            </w:pPr>
            <w:r w:rsidRPr="00AE7913">
              <w:rPr>
                <w:b/>
                <w:bCs/>
                <w:sz w:val="18"/>
                <w:szCs w:val="18"/>
                <w:lang w:val="es-ES"/>
              </w:rPr>
              <w:t>Programa</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PRAHA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EGYPRA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ORNL – Fase I (A/A dividido pequeño)</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AREP-II</w:t>
            </w:r>
          </w:p>
        </w:tc>
      </w:tr>
      <w:tr w:rsidR="00277AE4" w:rsidRPr="00702B6C" w:rsidTr="003F2F76">
        <w:trPr>
          <w:trHeight w:val="58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b/>
                <w:bCs/>
                <w:sz w:val="18"/>
                <w:szCs w:val="18"/>
                <w:lang w:val="es-ES"/>
              </w:rPr>
              <w:t>Tipo de prueba</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Prototipos de prueba de medida, comparados con unidades originales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Prototipos de prueba de medida, comparados con unidades originales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Pruebas de optimización ligera, comparadas con unidades originales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bottom"/>
              <w:rPr>
                <w:sz w:val="18"/>
                <w:szCs w:val="18"/>
                <w:lang w:val="es-ES"/>
              </w:rPr>
            </w:pPr>
            <w:r w:rsidRPr="00AE7913">
              <w:rPr>
                <w:sz w:val="18"/>
                <w:szCs w:val="18"/>
                <w:lang w:val="es-ES"/>
              </w:rPr>
              <w:t xml:space="preserve">Optimización ligera o con productos sustitutivos de uso inmediato de unidades individuales probadas contra una unidad original de </w:t>
            </w:r>
            <w:r w:rsidR="0013300C">
              <w:rPr>
                <w:sz w:val="18"/>
                <w:szCs w:val="18"/>
                <w:lang w:val="es-ES"/>
              </w:rPr>
              <w:t>R</w:t>
            </w:r>
            <w:r w:rsidR="0013300C">
              <w:rPr>
                <w:sz w:val="18"/>
                <w:szCs w:val="18"/>
                <w:lang w:val="es-ES"/>
              </w:rPr>
              <w:noBreakHyphen/>
            </w:r>
            <w:r w:rsidRPr="00AE7913">
              <w:rPr>
                <w:sz w:val="18"/>
                <w:szCs w:val="18"/>
                <w:lang w:val="es-ES"/>
              </w:rPr>
              <w:t>410A</w:t>
            </w:r>
          </w:p>
        </w:tc>
      </w:tr>
      <w:tr w:rsidR="00277AE4" w:rsidRPr="00702B6C" w:rsidTr="003F2F76">
        <w:trPr>
          <w:cantSplit/>
          <w:trHeight w:val="120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b/>
                <w:bCs/>
                <w:sz w:val="18"/>
                <w:szCs w:val="18"/>
                <w:lang w:val="es-ES"/>
              </w:rPr>
              <w:t>Núm. de prototipos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13 prototipos, cada capacidad y refrigerante específico construidos por uno o dos OEM, comparados con refrigerantes a base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 xml:space="preserve">410A. Total de prototipos y unidades originales = 22 </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28 prototipos, cada uno con una capacidad y un refrigerante específico, construidos por un OEM, comparados con refrigerantes a base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r w:rsidR="00E71452">
              <w:rPr>
                <w:sz w:val="18"/>
                <w:szCs w:val="18"/>
                <w:lang w:val="es-ES"/>
              </w:rPr>
              <w:t xml:space="preserve">. </w:t>
            </w:r>
            <w:r w:rsidRPr="00AE7913">
              <w:rPr>
                <w:sz w:val="18"/>
                <w:szCs w:val="18"/>
                <w:lang w:val="es-ES"/>
              </w:rPr>
              <w:t>Total de prototipos y unidades originales = 37</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2 unidades disponibles comercialmente, modificadas con optimización ligera para comparar con refrigerantes a base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22 unidades de diferentes OEM que van desde divididas hasta enfriadores de agua</w:t>
            </w:r>
          </w:p>
        </w:tc>
      </w:tr>
      <w:tr w:rsidR="00277AE4" w:rsidRPr="00AE7913" w:rsidTr="003F2F76">
        <w:trPr>
          <w:trHeight w:val="26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lastRenderedPageBreak/>
              <w:t>3</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b/>
                <w:bCs/>
                <w:sz w:val="18"/>
                <w:szCs w:val="18"/>
                <w:lang w:val="es-ES"/>
              </w:rPr>
              <w:t>Núm. de categorías</w:t>
            </w:r>
          </w:p>
        </w:tc>
        <w:tc>
          <w:tcPr>
            <w:tcW w:w="1234"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60 Hz</w:t>
            </w:r>
          </w:p>
        </w:tc>
        <w:tc>
          <w:tcPr>
            <w:tcW w:w="13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50 Hz</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50 Hz</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60 Hz</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bottom"/>
              <w:rPr>
                <w:sz w:val="18"/>
                <w:szCs w:val="18"/>
                <w:lang w:val="es-ES"/>
              </w:rPr>
            </w:pPr>
            <w:r w:rsidRPr="00AE7913">
              <w:rPr>
                <w:sz w:val="18"/>
                <w:szCs w:val="18"/>
                <w:lang w:val="es-ES"/>
              </w:rPr>
              <w:t>60 Hz</w:t>
            </w:r>
          </w:p>
        </w:tc>
      </w:tr>
      <w:tr w:rsidR="00277AE4" w:rsidRPr="00702B6C" w:rsidTr="003F2F76">
        <w:trPr>
          <w:trHeight w:val="633"/>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AE7913" w:rsidRDefault="00277AE4" w:rsidP="003F2F76">
            <w:pPr>
              <w:rPr>
                <w:sz w:val="18"/>
                <w:szCs w:val="18"/>
                <w:lang w:val="es-ES"/>
              </w:rPr>
            </w:pPr>
          </w:p>
        </w:tc>
        <w:tc>
          <w:tcPr>
            <w:tcW w:w="927"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rsidR="00277AE4" w:rsidRPr="00AE7913" w:rsidRDefault="00277AE4" w:rsidP="003F2F76">
            <w:pPr>
              <w:jc w:val="left"/>
              <w:rPr>
                <w:sz w:val="18"/>
                <w:szCs w:val="18"/>
                <w:lang w:val="es-ES"/>
              </w:rPr>
            </w:pPr>
          </w:p>
        </w:tc>
        <w:tc>
          <w:tcPr>
            <w:tcW w:w="62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De ventana</w:t>
            </w:r>
          </w:p>
        </w:tc>
        <w:tc>
          <w:tcPr>
            <w:tcW w:w="609"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Dividido pequeño</w:t>
            </w:r>
          </w:p>
        </w:tc>
        <w:tc>
          <w:tcPr>
            <w:tcW w:w="630"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Entubado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Autocontenido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Dividido pequeño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Dividido pequeño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Dividido pequeño</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Central</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Unidad dividida</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Unidad dividida</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sz w:val="18"/>
                <w:szCs w:val="18"/>
                <w:lang w:val="es-ES"/>
              </w:rPr>
              <w:t>Enfriador 34 MBH, dividido x 2 36 MBH, autocontenido 48 MBH, autocontenido 60 MBH, autocontenido 72 MBH</w:t>
            </w:r>
          </w:p>
        </w:tc>
      </w:tr>
      <w:tr w:rsidR="00277AE4" w:rsidRPr="00AE7913" w:rsidTr="003F2F76">
        <w:trPr>
          <w:trHeight w:val="415"/>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AE7913" w:rsidRDefault="00277AE4" w:rsidP="003F2F76">
            <w:pPr>
              <w:rPr>
                <w:sz w:val="18"/>
                <w:szCs w:val="18"/>
                <w:lang w:val="es-ES"/>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AE7913" w:rsidRDefault="00277AE4" w:rsidP="003F2F76">
            <w:pPr>
              <w:jc w:val="left"/>
              <w:rPr>
                <w:sz w:val="18"/>
                <w:szCs w:val="18"/>
                <w:lang w:val="es-ES"/>
              </w:rPr>
            </w:pPr>
          </w:p>
        </w:tc>
        <w:tc>
          <w:tcPr>
            <w:tcW w:w="62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18 MBH</w:t>
            </w:r>
          </w:p>
        </w:tc>
        <w:tc>
          <w:tcPr>
            <w:tcW w:w="609"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24 MBH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36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90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12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18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24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120 MBH</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 xml:space="preserve">18 MBH eq. a </w:t>
            </w:r>
            <w:r w:rsidR="0013300C">
              <w:rPr>
                <w:sz w:val="16"/>
                <w:szCs w:val="16"/>
                <w:lang w:val="es-ES"/>
              </w:rPr>
              <w:t>R</w:t>
            </w:r>
            <w:r w:rsidR="0013300C">
              <w:rPr>
                <w:sz w:val="16"/>
                <w:szCs w:val="16"/>
                <w:lang w:val="es-ES"/>
              </w:rPr>
              <w:noBreakHyphen/>
            </w:r>
            <w:r w:rsidRPr="00AE7913">
              <w:rPr>
                <w:sz w:val="16"/>
                <w:szCs w:val="16"/>
                <w:lang w:val="es-ES"/>
              </w:rPr>
              <w:t>22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6"/>
                <w:szCs w:val="16"/>
                <w:lang w:val="es-ES"/>
              </w:rPr>
            </w:pPr>
            <w:r w:rsidRPr="00AE7913">
              <w:rPr>
                <w:sz w:val="16"/>
                <w:szCs w:val="16"/>
                <w:lang w:val="es-ES"/>
              </w:rPr>
              <w:t xml:space="preserve">18 MBH eq. a </w:t>
            </w:r>
            <w:r w:rsidR="0013300C">
              <w:rPr>
                <w:sz w:val="16"/>
                <w:szCs w:val="16"/>
                <w:lang w:val="es-ES"/>
              </w:rPr>
              <w:t>R</w:t>
            </w:r>
            <w:r w:rsidR="0013300C">
              <w:rPr>
                <w:sz w:val="16"/>
                <w:szCs w:val="16"/>
                <w:lang w:val="es-ES"/>
              </w:rPr>
              <w:noBreakHyphen/>
            </w:r>
            <w:r w:rsidRPr="00AE7913">
              <w:rPr>
                <w:sz w:val="16"/>
                <w:szCs w:val="16"/>
                <w:lang w:val="es-ES"/>
              </w:rPr>
              <w:t>410a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AE7913" w:rsidRDefault="00277AE4" w:rsidP="003F2F76">
            <w:pPr>
              <w:jc w:val="left"/>
              <w:rPr>
                <w:sz w:val="18"/>
                <w:szCs w:val="18"/>
                <w:lang w:val="es-ES"/>
              </w:rPr>
            </w:pPr>
          </w:p>
        </w:tc>
      </w:tr>
      <w:tr w:rsidR="00277AE4" w:rsidRPr="00702B6C" w:rsidTr="003F2F76">
        <w:trPr>
          <w:trHeight w:val="81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b/>
                <w:bCs/>
                <w:sz w:val="18"/>
                <w:szCs w:val="18"/>
                <w:lang w:val="es-ES"/>
              </w:rPr>
              <w:t>Condiciones de prueba</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Norma ANSI/AHRI 210/240 e ISO 5151 a T1, T3 y T3 + (50 °C) y una prueba de continuidad de 2 horas a 52 °C</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EOS 4814 y 3795 (ISO 5151), condiciones T1, T2, y T3</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Norma ANSI/AHRI 210/240 e ISO 5153, condición T3 (2010)</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912F1D" w:rsidRDefault="00277AE4" w:rsidP="003F2F76">
            <w:pPr>
              <w:jc w:val="left"/>
              <w:textAlignment w:val="bottom"/>
              <w:rPr>
                <w:sz w:val="18"/>
                <w:szCs w:val="18"/>
                <w:lang w:val="fr-CA"/>
              </w:rPr>
            </w:pPr>
            <w:r w:rsidRPr="00912F1D">
              <w:rPr>
                <w:sz w:val="18"/>
                <w:szCs w:val="18"/>
                <w:lang w:val="fr-CA"/>
              </w:rPr>
              <w:t>ANSI/AHRI 210/240, a T1, T3, y 125 °F</w:t>
            </w:r>
          </w:p>
        </w:tc>
      </w:tr>
      <w:tr w:rsidR="00277AE4" w:rsidRPr="00702B6C" w:rsidTr="003F2F76">
        <w:trPr>
          <w:trHeight w:val="88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5</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b/>
                <w:bCs/>
                <w:sz w:val="18"/>
                <w:szCs w:val="18"/>
                <w:lang w:val="es-ES"/>
              </w:rPr>
              <w:t>Prototipos suministrados y pruebas efectuadas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Prototipos construidos en seis OEM, prueba en Intertek</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Prototipos construidos en ocho OEM, pruebas testigo en laboratorios de los OEM</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ORNL, un proveedor. Optimización ligera en el lugar</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Proveedores individuales, pruebas en instalaciones propias</w:t>
            </w:r>
          </w:p>
        </w:tc>
      </w:tr>
      <w:tr w:rsidR="00277AE4" w:rsidRPr="00AE7913" w:rsidTr="003F2F76">
        <w:trPr>
          <w:trHeight w:val="55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6</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left"/>
              <w:textAlignment w:val="center"/>
              <w:rPr>
                <w:sz w:val="18"/>
                <w:szCs w:val="18"/>
                <w:lang w:val="es-ES"/>
              </w:rPr>
            </w:pPr>
            <w:r w:rsidRPr="00AE7913">
              <w:rPr>
                <w:b/>
                <w:bCs/>
                <w:sz w:val="18"/>
                <w:szCs w:val="18"/>
                <w:lang w:val="es-ES"/>
              </w:rPr>
              <w:t>Refrigerantes probados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912F1D" w:rsidRDefault="00277AE4" w:rsidP="003F2F76">
            <w:pPr>
              <w:jc w:val="left"/>
              <w:textAlignment w:val="center"/>
              <w:rPr>
                <w:sz w:val="18"/>
                <w:szCs w:val="18"/>
                <w:lang w:val="en-CA"/>
              </w:rPr>
            </w:pPr>
            <w:r w:rsidRPr="00912F1D">
              <w:rPr>
                <w:sz w:val="18"/>
                <w:szCs w:val="18"/>
                <w:lang w:val="en-CA"/>
              </w:rPr>
              <w:t>Eq. a HC</w:t>
            </w:r>
            <w:r w:rsidR="0013300C" w:rsidRPr="00912F1D">
              <w:rPr>
                <w:sz w:val="18"/>
                <w:szCs w:val="18"/>
                <w:lang w:val="en-CA"/>
              </w:rPr>
              <w:t>FC</w:t>
            </w:r>
            <w:r w:rsidR="0013300C" w:rsidRPr="00912F1D">
              <w:rPr>
                <w:sz w:val="18"/>
                <w:szCs w:val="18"/>
                <w:lang w:val="en-CA"/>
              </w:rPr>
              <w:noBreakHyphen/>
            </w:r>
            <w:r w:rsidRPr="00912F1D">
              <w:rPr>
                <w:sz w:val="18"/>
                <w:szCs w:val="18"/>
                <w:lang w:val="en-CA"/>
              </w:rPr>
              <w:t xml:space="preserve">22: HC-290, </w:t>
            </w:r>
            <w:r w:rsidR="0013300C" w:rsidRPr="00912F1D">
              <w:rPr>
                <w:sz w:val="18"/>
                <w:szCs w:val="18"/>
                <w:lang w:val="en-CA"/>
              </w:rPr>
              <w:t>R</w:t>
            </w:r>
            <w:r w:rsidR="0013300C" w:rsidRPr="00912F1D">
              <w:rPr>
                <w:sz w:val="18"/>
                <w:szCs w:val="18"/>
                <w:lang w:val="en-CA"/>
              </w:rPr>
              <w:noBreakHyphen/>
            </w:r>
            <w:r w:rsidRPr="00912F1D">
              <w:rPr>
                <w:sz w:val="18"/>
                <w:szCs w:val="18"/>
                <w:lang w:val="en-CA"/>
              </w:rPr>
              <w:t>444B (L-20), D</w:t>
            </w:r>
            <w:r w:rsidR="0013300C" w:rsidRPr="00912F1D">
              <w:rPr>
                <w:sz w:val="18"/>
                <w:szCs w:val="18"/>
                <w:lang w:val="en-CA"/>
              </w:rPr>
              <w:t>R</w:t>
            </w:r>
            <w:r w:rsidR="0013300C" w:rsidRPr="00912F1D">
              <w:rPr>
                <w:sz w:val="18"/>
                <w:szCs w:val="18"/>
                <w:lang w:val="en-CA"/>
              </w:rPr>
              <w:noBreakHyphen/>
            </w:r>
            <w:r w:rsidRPr="00912F1D">
              <w:rPr>
                <w:sz w:val="18"/>
                <w:szCs w:val="18"/>
                <w:lang w:val="en-CA"/>
              </w:rPr>
              <w:t>3</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912F1D" w:rsidRDefault="00277AE4" w:rsidP="003F2F76">
            <w:pPr>
              <w:jc w:val="left"/>
              <w:textAlignment w:val="center"/>
              <w:rPr>
                <w:sz w:val="18"/>
                <w:szCs w:val="18"/>
                <w:lang w:val="en-CA"/>
              </w:rPr>
            </w:pPr>
            <w:r w:rsidRPr="00912F1D">
              <w:rPr>
                <w:sz w:val="18"/>
                <w:szCs w:val="18"/>
                <w:lang w:val="en-CA"/>
              </w:rPr>
              <w:t>Eq. a HC</w:t>
            </w:r>
            <w:r w:rsidR="0013300C" w:rsidRPr="00912F1D">
              <w:rPr>
                <w:sz w:val="18"/>
                <w:szCs w:val="18"/>
                <w:lang w:val="en-CA"/>
              </w:rPr>
              <w:t>FC</w:t>
            </w:r>
            <w:r w:rsidR="0013300C" w:rsidRPr="00912F1D">
              <w:rPr>
                <w:sz w:val="18"/>
                <w:szCs w:val="18"/>
                <w:lang w:val="en-CA"/>
              </w:rPr>
              <w:noBreakHyphen/>
            </w:r>
            <w:r w:rsidRPr="00912F1D">
              <w:rPr>
                <w:sz w:val="18"/>
                <w:szCs w:val="18"/>
                <w:lang w:val="en-CA"/>
              </w:rPr>
              <w:t xml:space="preserve">22: HC-290, </w:t>
            </w:r>
            <w:r w:rsidR="0013300C" w:rsidRPr="00912F1D">
              <w:rPr>
                <w:sz w:val="18"/>
                <w:szCs w:val="18"/>
                <w:lang w:val="en-CA"/>
              </w:rPr>
              <w:t>R</w:t>
            </w:r>
            <w:r w:rsidR="0013300C" w:rsidRPr="00912F1D">
              <w:rPr>
                <w:sz w:val="18"/>
                <w:szCs w:val="18"/>
                <w:lang w:val="en-CA"/>
              </w:rPr>
              <w:noBreakHyphen/>
            </w:r>
            <w:r w:rsidRPr="00912F1D">
              <w:rPr>
                <w:sz w:val="18"/>
                <w:szCs w:val="18"/>
                <w:lang w:val="en-CA"/>
              </w:rPr>
              <w:t>444B (L</w:t>
            </w:r>
            <w:r w:rsidRPr="00912F1D">
              <w:rPr>
                <w:sz w:val="18"/>
                <w:szCs w:val="18"/>
                <w:lang w:val="en-CA"/>
              </w:rPr>
              <w:noBreakHyphen/>
              <w:t>20), D</w:t>
            </w:r>
            <w:r w:rsidR="0013300C" w:rsidRPr="00912F1D">
              <w:rPr>
                <w:sz w:val="18"/>
                <w:szCs w:val="18"/>
                <w:lang w:val="en-CA"/>
              </w:rPr>
              <w:t>R</w:t>
            </w:r>
            <w:r w:rsidR="0013300C" w:rsidRPr="00912F1D">
              <w:rPr>
                <w:sz w:val="18"/>
                <w:szCs w:val="18"/>
                <w:lang w:val="en-CA"/>
              </w:rPr>
              <w:noBreakHyphen/>
            </w:r>
            <w:r w:rsidRPr="00912F1D">
              <w:rPr>
                <w:sz w:val="18"/>
                <w:szCs w:val="18"/>
                <w:lang w:val="en-CA"/>
              </w:rPr>
              <w:t xml:space="preserve">3, </w:t>
            </w:r>
            <w:r w:rsidR="0013300C" w:rsidRPr="00912F1D">
              <w:rPr>
                <w:sz w:val="18"/>
                <w:szCs w:val="18"/>
                <w:lang w:val="en-CA"/>
              </w:rPr>
              <w:t>R</w:t>
            </w:r>
            <w:r w:rsidR="0013300C" w:rsidRPr="00912F1D">
              <w:rPr>
                <w:sz w:val="18"/>
                <w:szCs w:val="18"/>
                <w:lang w:val="en-CA"/>
              </w:rPr>
              <w:noBreakHyphen/>
            </w:r>
            <w:r w:rsidRPr="00912F1D">
              <w:rPr>
                <w:sz w:val="18"/>
                <w:szCs w:val="18"/>
                <w:lang w:val="en-CA"/>
              </w:rPr>
              <w:t>457A (ARM-32d)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912F1D" w:rsidRDefault="00277AE4" w:rsidP="003F2F76">
            <w:pPr>
              <w:jc w:val="left"/>
              <w:textAlignment w:val="center"/>
              <w:rPr>
                <w:sz w:val="18"/>
                <w:szCs w:val="18"/>
                <w:lang w:val="en-CA"/>
              </w:rPr>
            </w:pPr>
            <w:r w:rsidRPr="00912F1D">
              <w:rPr>
                <w:sz w:val="18"/>
                <w:szCs w:val="18"/>
                <w:lang w:val="en-CA"/>
              </w:rPr>
              <w:t>Eq. a HC</w:t>
            </w:r>
            <w:r w:rsidR="0013300C" w:rsidRPr="00912F1D">
              <w:rPr>
                <w:sz w:val="18"/>
                <w:szCs w:val="18"/>
                <w:lang w:val="en-CA"/>
              </w:rPr>
              <w:t>FC</w:t>
            </w:r>
            <w:r w:rsidR="0013300C" w:rsidRPr="00912F1D">
              <w:rPr>
                <w:sz w:val="18"/>
                <w:szCs w:val="18"/>
                <w:lang w:val="en-CA"/>
              </w:rPr>
              <w:noBreakHyphen/>
            </w:r>
            <w:r w:rsidRPr="00912F1D">
              <w:rPr>
                <w:sz w:val="18"/>
                <w:szCs w:val="18"/>
                <w:lang w:val="en-CA"/>
              </w:rPr>
              <w:t>22: N-20B, D</w:t>
            </w:r>
            <w:r w:rsidR="0013300C" w:rsidRPr="00912F1D">
              <w:rPr>
                <w:sz w:val="18"/>
                <w:szCs w:val="18"/>
                <w:lang w:val="en-CA"/>
              </w:rPr>
              <w:t>R</w:t>
            </w:r>
            <w:r w:rsidR="0013300C" w:rsidRPr="00912F1D">
              <w:rPr>
                <w:sz w:val="18"/>
                <w:szCs w:val="18"/>
                <w:lang w:val="en-CA"/>
              </w:rPr>
              <w:noBreakHyphen/>
            </w:r>
            <w:r w:rsidRPr="00912F1D">
              <w:rPr>
                <w:sz w:val="18"/>
                <w:szCs w:val="18"/>
                <w:lang w:val="en-CA"/>
              </w:rPr>
              <w:t xml:space="preserve">3, ARM-20B, </w:t>
            </w:r>
            <w:r w:rsidR="0013300C" w:rsidRPr="00912F1D">
              <w:rPr>
                <w:sz w:val="18"/>
                <w:szCs w:val="18"/>
                <w:lang w:val="en-CA"/>
              </w:rPr>
              <w:t>R</w:t>
            </w:r>
            <w:r w:rsidR="0013300C" w:rsidRPr="00912F1D">
              <w:rPr>
                <w:sz w:val="18"/>
                <w:szCs w:val="18"/>
                <w:lang w:val="en-CA"/>
              </w:rPr>
              <w:noBreakHyphen/>
            </w:r>
            <w:r w:rsidRPr="00912F1D">
              <w:rPr>
                <w:sz w:val="18"/>
                <w:szCs w:val="18"/>
                <w:lang w:val="en-CA"/>
              </w:rPr>
              <w:t>444B (L-20A), HC-290</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912F1D" w:rsidRDefault="00277AE4" w:rsidP="003F2F76">
            <w:pPr>
              <w:jc w:val="left"/>
              <w:textAlignment w:val="center"/>
              <w:rPr>
                <w:sz w:val="18"/>
                <w:szCs w:val="18"/>
                <w:lang w:val="en-CA"/>
              </w:rPr>
            </w:pPr>
            <w:r w:rsidRPr="00912F1D">
              <w:rPr>
                <w:sz w:val="18"/>
                <w:szCs w:val="18"/>
                <w:lang w:val="en-CA"/>
              </w:rPr>
              <w:t xml:space="preserve">Eq. a </w:t>
            </w:r>
            <w:r w:rsidR="0013300C" w:rsidRPr="00912F1D">
              <w:rPr>
                <w:sz w:val="18"/>
                <w:szCs w:val="18"/>
                <w:lang w:val="en-CA"/>
              </w:rPr>
              <w:t>R</w:t>
            </w:r>
            <w:r w:rsidR="0013300C" w:rsidRPr="00912F1D">
              <w:rPr>
                <w:sz w:val="18"/>
                <w:szCs w:val="18"/>
                <w:lang w:val="en-CA"/>
              </w:rPr>
              <w:noBreakHyphen/>
            </w:r>
            <w:r w:rsidRPr="00912F1D">
              <w:rPr>
                <w:sz w:val="18"/>
                <w:szCs w:val="18"/>
                <w:lang w:val="en-CA"/>
              </w:rPr>
              <w:t>410A: H</w:t>
            </w:r>
            <w:r w:rsidR="0013300C" w:rsidRPr="00912F1D">
              <w:rPr>
                <w:sz w:val="18"/>
                <w:szCs w:val="18"/>
                <w:lang w:val="en-CA"/>
              </w:rPr>
              <w:t>FC</w:t>
            </w:r>
            <w:r w:rsidR="0013300C" w:rsidRPr="00912F1D">
              <w:rPr>
                <w:sz w:val="18"/>
                <w:szCs w:val="18"/>
                <w:lang w:val="en-CA"/>
              </w:rPr>
              <w:noBreakHyphen/>
            </w:r>
            <w:r w:rsidRPr="00912F1D">
              <w:rPr>
                <w:sz w:val="18"/>
                <w:szCs w:val="18"/>
                <w:lang w:val="en-CA"/>
              </w:rPr>
              <w:t>32, D</w:t>
            </w:r>
            <w:r w:rsidR="0013300C" w:rsidRPr="00912F1D">
              <w:rPr>
                <w:sz w:val="18"/>
                <w:szCs w:val="18"/>
                <w:lang w:val="en-CA"/>
              </w:rPr>
              <w:t>R</w:t>
            </w:r>
            <w:r w:rsidR="0013300C" w:rsidRPr="00912F1D">
              <w:rPr>
                <w:sz w:val="18"/>
                <w:szCs w:val="18"/>
                <w:lang w:val="en-CA"/>
              </w:rPr>
              <w:noBreakHyphen/>
            </w:r>
            <w:r w:rsidRPr="00912F1D">
              <w:rPr>
                <w:sz w:val="18"/>
                <w:szCs w:val="18"/>
                <w:lang w:val="en-CA"/>
              </w:rPr>
              <w:t>5A, D</w:t>
            </w:r>
            <w:r w:rsidR="0013300C" w:rsidRPr="00912F1D">
              <w:rPr>
                <w:sz w:val="18"/>
                <w:szCs w:val="18"/>
                <w:lang w:val="en-CA"/>
              </w:rPr>
              <w:t>R</w:t>
            </w:r>
            <w:r w:rsidR="0013300C" w:rsidRPr="00912F1D">
              <w:rPr>
                <w:sz w:val="18"/>
                <w:szCs w:val="18"/>
                <w:lang w:val="en-CA"/>
              </w:rPr>
              <w:noBreakHyphen/>
            </w:r>
            <w:r w:rsidRPr="00912F1D">
              <w:rPr>
                <w:sz w:val="18"/>
                <w:szCs w:val="18"/>
                <w:lang w:val="en-CA"/>
              </w:rPr>
              <w:t>55, L-41-1, L</w:t>
            </w:r>
            <w:r w:rsidRPr="00912F1D">
              <w:rPr>
                <w:sz w:val="18"/>
                <w:szCs w:val="18"/>
                <w:lang w:val="en-CA"/>
              </w:rPr>
              <w:noBreakHyphen/>
              <w:t>41-2, ARM-71a, HPR2A</w:t>
            </w:r>
          </w:p>
        </w:tc>
      </w:tr>
      <w:tr w:rsidR="00277AE4" w:rsidRPr="00AE7913" w:rsidTr="003F2F76">
        <w:trPr>
          <w:trHeight w:val="508"/>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912F1D" w:rsidRDefault="00277AE4" w:rsidP="003F2F76">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912F1D" w:rsidRDefault="00277AE4" w:rsidP="003F2F76">
            <w:pPr>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 xml:space="preserve">Eq. a </w:t>
            </w:r>
            <w:r w:rsidR="0013300C">
              <w:rPr>
                <w:sz w:val="18"/>
                <w:szCs w:val="18"/>
                <w:lang w:val="es-ES"/>
              </w:rPr>
              <w:t>R</w:t>
            </w:r>
            <w:r w:rsidR="0013300C">
              <w:rPr>
                <w:sz w:val="18"/>
                <w:szCs w:val="18"/>
                <w:lang w:val="es-ES"/>
              </w:rPr>
              <w:noBreakHyphen/>
            </w:r>
            <w:r w:rsidRPr="00AE7913">
              <w:rPr>
                <w:sz w:val="18"/>
                <w:szCs w:val="18"/>
                <w:lang w:val="es-ES"/>
              </w:rPr>
              <w:t>410A: H</w:t>
            </w:r>
            <w:r w:rsidR="0013300C">
              <w:rPr>
                <w:sz w:val="18"/>
                <w:szCs w:val="18"/>
                <w:lang w:val="es-ES"/>
              </w:rPr>
              <w:t>FC</w:t>
            </w:r>
            <w:r w:rsidR="0013300C">
              <w:rPr>
                <w:sz w:val="18"/>
                <w:szCs w:val="18"/>
                <w:lang w:val="es-ES"/>
              </w:rPr>
              <w:noBreakHyphen/>
            </w:r>
            <w:r w:rsidRPr="00AE7913">
              <w:rPr>
                <w:sz w:val="18"/>
                <w:szCs w:val="18"/>
                <w:lang w:val="es-ES"/>
              </w:rPr>
              <w:t xml:space="preserve">32, </w:t>
            </w:r>
            <w:r w:rsidR="0013300C">
              <w:rPr>
                <w:sz w:val="18"/>
                <w:szCs w:val="18"/>
                <w:lang w:val="es-ES"/>
              </w:rPr>
              <w:t>R</w:t>
            </w:r>
            <w:r w:rsidR="0013300C">
              <w:rPr>
                <w:sz w:val="18"/>
                <w:szCs w:val="18"/>
                <w:lang w:val="es-ES"/>
              </w:rPr>
              <w:noBreakHyphen/>
            </w:r>
            <w:r w:rsidRPr="00AE7913">
              <w:rPr>
                <w:sz w:val="18"/>
                <w:szCs w:val="18"/>
                <w:lang w:val="es-ES"/>
              </w:rPr>
              <w:t xml:space="preserve">447A (L-41-1), </w:t>
            </w:r>
            <w:r w:rsidR="0013300C">
              <w:rPr>
                <w:sz w:val="18"/>
                <w:szCs w:val="18"/>
                <w:lang w:val="es-ES"/>
              </w:rPr>
              <w:t>R</w:t>
            </w:r>
            <w:r w:rsidR="0013300C">
              <w:rPr>
                <w:sz w:val="18"/>
                <w:szCs w:val="18"/>
                <w:lang w:val="es-ES"/>
              </w:rPr>
              <w:noBreakHyphen/>
            </w:r>
            <w:r w:rsidRPr="00AE7913">
              <w:rPr>
                <w:sz w:val="18"/>
                <w:szCs w:val="18"/>
                <w:lang w:val="es-ES"/>
              </w:rPr>
              <w:t>454B (D</w:t>
            </w:r>
            <w:r w:rsidR="0013300C">
              <w:rPr>
                <w:sz w:val="18"/>
                <w:szCs w:val="18"/>
                <w:lang w:val="es-ES"/>
              </w:rPr>
              <w:t>R</w:t>
            </w:r>
            <w:r w:rsidR="0013300C">
              <w:rPr>
                <w:sz w:val="18"/>
                <w:szCs w:val="18"/>
                <w:lang w:val="es-ES"/>
              </w:rPr>
              <w:noBreakHyphen/>
            </w:r>
            <w:r w:rsidRPr="00AE7913">
              <w:rPr>
                <w:sz w:val="18"/>
                <w:szCs w:val="18"/>
                <w:lang w:val="es-ES"/>
              </w:rPr>
              <w:t>5A)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912F1D" w:rsidRDefault="00277AE4" w:rsidP="003F2F76">
            <w:pPr>
              <w:jc w:val="left"/>
              <w:textAlignment w:val="center"/>
              <w:rPr>
                <w:sz w:val="18"/>
                <w:szCs w:val="18"/>
                <w:lang w:val="en-CA"/>
              </w:rPr>
            </w:pPr>
            <w:r w:rsidRPr="00912F1D">
              <w:rPr>
                <w:sz w:val="18"/>
                <w:szCs w:val="18"/>
                <w:lang w:val="en-CA"/>
              </w:rPr>
              <w:t xml:space="preserve">Eq. a </w:t>
            </w:r>
            <w:r w:rsidR="0013300C" w:rsidRPr="00912F1D">
              <w:rPr>
                <w:sz w:val="18"/>
                <w:szCs w:val="18"/>
                <w:lang w:val="en-CA"/>
              </w:rPr>
              <w:t>R</w:t>
            </w:r>
            <w:r w:rsidR="0013300C" w:rsidRPr="00912F1D">
              <w:rPr>
                <w:sz w:val="18"/>
                <w:szCs w:val="18"/>
                <w:lang w:val="en-CA"/>
              </w:rPr>
              <w:noBreakHyphen/>
            </w:r>
            <w:r w:rsidRPr="00912F1D">
              <w:rPr>
                <w:sz w:val="18"/>
                <w:szCs w:val="18"/>
                <w:lang w:val="en-CA"/>
              </w:rPr>
              <w:t>410A: H</w:t>
            </w:r>
            <w:r w:rsidR="0013300C" w:rsidRPr="00912F1D">
              <w:rPr>
                <w:sz w:val="18"/>
                <w:szCs w:val="18"/>
                <w:lang w:val="en-CA"/>
              </w:rPr>
              <w:t>FC</w:t>
            </w:r>
            <w:r w:rsidR="0013300C" w:rsidRPr="00912F1D">
              <w:rPr>
                <w:sz w:val="18"/>
                <w:szCs w:val="18"/>
                <w:lang w:val="en-CA"/>
              </w:rPr>
              <w:noBreakHyphen/>
            </w:r>
            <w:r w:rsidRPr="00912F1D">
              <w:rPr>
                <w:sz w:val="18"/>
                <w:szCs w:val="18"/>
                <w:lang w:val="en-CA"/>
              </w:rPr>
              <w:t xml:space="preserve">32, </w:t>
            </w:r>
            <w:r w:rsidR="0013300C" w:rsidRPr="00912F1D">
              <w:rPr>
                <w:sz w:val="18"/>
                <w:szCs w:val="18"/>
                <w:lang w:val="en-CA"/>
              </w:rPr>
              <w:t>R</w:t>
            </w:r>
            <w:r w:rsidR="0013300C" w:rsidRPr="00912F1D">
              <w:rPr>
                <w:sz w:val="18"/>
                <w:szCs w:val="18"/>
                <w:lang w:val="en-CA"/>
              </w:rPr>
              <w:noBreakHyphen/>
            </w:r>
            <w:r w:rsidRPr="00912F1D">
              <w:rPr>
                <w:sz w:val="18"/>
                <w:szCs w:val="18"/>
                <w:lang w:val="en-CA"/>
              </w:rPr>
              <w:t>447A (L</w:t>
            </w:r>
            <w:r w:rsidRPr="00912F1D">
              <w:rPr>
                <w:sz w:val="18"/>
                <w:szCs w:val="18"/>
                <w:lang w:val="en-CA"/>
              </w:rPr>
              <w:noBreakHyphen/>
              <w:t xml:space="preserve">41-1), </w:t>
            </w:r>
            <w:r w:rsidR="0013300C" w:rsidRPr="00912F1D">
              <w:rPr>
                <w:sz w:val="18"/>
                <w:szCs w:val="18"/>
                <w:lang w:val="en-CA"/>
              </w:rPr>
              <w:t>R</w:t>
            </w:r>
            <w:r w:rsidR="0013300C" w:rsidRPr="00912F1D">
              <w:rPr>
                <w:sz w:val="18"/>
                <w:szCs w:val="18"/>
                <w:lang w:val="en-CA"/>
              </w:rPr>
              <w:noBreakHyphen/>
            </w:r>
            <w:r w:rsidRPr="00912F1D">
              <w:rPr>
                <w:sz w:val="18"/>
                <w:szCs w:val="18"/>
                <w:lang w:val="en-CA"/>
              </w:rPr>
              <w:t>454B (D</w:t>
            </w:r>
            <w:r w:rsidR="0013300C" w:rsidRPr="00912F1D">
              <w:rPr>
                <w:sz w:val="18"/>
                <w:szCs w:val="18"/>
                <w:lang w:val="en-CA"/>
              </w:rPr>
              <w:t>R</w:t>
            </w:r>
            <w:r w:rsidR="0013300C" w:rsidRPr="00912F1D">
              <w:rPr>
                <w:sz w:val="18"/>
                <w:szCs w:val="18"/>
                <w:lang w:val="en-CA"/>
              </w:rPr>
              <w:noBreakHyphen/>
            </w:r>
            <w:r w:rsidRPr="00912F1D">
              <w:rPr>
                <w:sz w:val="18"/>
                <w:szCs w:val="18"/>
                <w:lang w:val="en-CA"/>
              </w:rPr>
              <w:t>5A), ARM-71d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912F1D" w:rsidRDefault="00277AE4" w:rsidP="003F2F76">
            <w:pPr>
              <w:jc w:val="left"/>
              <w:textAlignment w:val="center"/>
              <w:rPr>
                <w:sz w:val="18"/>
                <w:szCs w:val="18"/>
                <w:lang w:val="en-CA"/>
              </w:rPr>
            </w:pPr>
            <w:r w:rsidRPr="00912F1D">
              <w:rPr>
                <w:sz w:val="18"/>
                <w:szCs w:val="18"/>
                <w:lang w:val="en-CA"/>
              </w:rPr>
              <w:t xml:space="preserve">Eq. a </w:t>
            </w:r>
            <w:r w:rsidR="0013300C" w:rsidRPr="00912F1D">
              <w:rPr>
                <w:sz w:val="18"/>
                <w:szCs w:val="18"/>
                <w:lang w:val="en-CA"/>
              </w:rPr>
              <w:t>R</w:t>
            </w:r>
            <w:r w:rsidR="0013300C" w:rsidRPr="00912F1D">
              <w:rPr>
                <w:sz w:val="18"/>
                <w:szCs w:val="18"/>
                <w:lang w:val="en-CA"/>
              </w:rPr>
              <w:noBreakHyphen/>
            </w:r>
            <w:r w:rsidRPr="00912F1D">
              <w:rPr>
                <w:sz w:val="18"/>
                <w:szCs w:val="18"/>
                <w:lang w:val="en-CA"/>
              </w:rPr>
              <w:t>410A: H</w:t>
            </w:r>
            <w:r w:rsidR="0013300C" w:rsidRPr="00912F1D">
              <w:rPr>
                <w:sz w:val="18"/>
                <w:szCs w:val="18"/>
                <w:lang w:val="en-CA"/>
              </w:rPr>
              <w:t>FC</w:t>
            </w:r>
            <w:r w:rsidR="0013300C" w:rsidRPr="00912F1D">
              <w:rPr>
                <w:sz w:val="18"/>
                <w:szCs w:val="18"/>
                <w:lang w:val="en-CA"/>
              </w:rPr>
              <w:noBreakHyphen/>
            </w:r>
            <w:r w:rsidRPr="00912F1D">
              <w:rPr>
                <w:sz w:val="18"/>
                <w:szCs w:val="18"/>
                <w:lang w:val="en-CA"/>
              </w:rPr>
              <w:t xml:space="preserve">32, </w:t>
            </w:r>
            <w:r w:rsidR="0013300C" w:rsidRPr="00912F1D">
              <w:rPr>
                <w:sz w:val="18"/>
                <w:szCs w:val="18"/>
                <w:lang w:val="en-CA"/>
              </w:rPr>
              <w:t>R</w:t>
            </w:r>
            <w:r w:rsidR="0013300C" w:rsidRPr="00912F1D">
              <w:rPr>
                <w:sz w:val="18"/>
                <w:szCs w:val="18"/>
                <w:lang w:val="en-CA"/>
              </w:rPr>
              <w:noBreakHyphen/>
            </w:r>
            <w:r w:rsidRPr="00912F1D">
              <w:rPr>
                <w:sz w:val="18"/>
                <w:szCs w:val="18"/>
                <w:lang w:val="en-CA"/>
              </w:rPr>
              <w:t>447A (L-41-1), D</w:t>
            </w:r>
            <w:r w:rsidR="0013300C" w:rsidRPr="00912F1D">
              <w:rPr>
                <w:sz w:val="18"/>
                <w:szCs w:val="18"/>
                <w:lang w:val="en-CA"/>
              </w:rPr>
              <w:t>R</w:t>
            </w:r>
            <w:r w:rsidR="0013300C" w:rsidRPr="00912F1D">
              <w:rPr>
                <w:sz w:val="18"/>
                <w:szCs w:val="18"/>
                <w:lang w:val="en-CA"/>
              </w:rPr>
              <w:noBreakHyphen/>
            </w:r>
            <w:r w:rsidRPr="00912F1D">
              <w:rPr>
                <w:sz w:val="18"/>
                <w:szCs w:val="18"/>
                <w:lang w:val="en-CA"/>
              </w:rPr>
              <w:t>55, ARM-71d, HP</w:t>
            </w:r>
            <w:r w:rsidR="0013300C" w:rsidRPr="00912F1D">
              <w:rPr>
                <w:sz w:val="18"/>
                <w:szCs w:val="18"/>
                <w:lang w:val="en-CA"/>
              </w:rPr>
              <w:t>R</w:t>
            </w:r>
            <w:r w:rsidR="0013300C" w:rsidRPr="00912F1D">
              <w:rPr>
                <w:sz w:val="18"/>
                <w:szCs w:val="18"/>
                <w:lang w:val="en-CA"/>
              </w:rPr>
              <w:noBreakHyphen/>
            </w:r>
            <w:r w:rsidRPr="00912F1D">
              <w:rPr>
                <w:sz w:val="18"/>
                <w:szCs w:val="18"/>
                <w:lang w:val="en-CA"/>
              </w:rPr>
              <w:t>2A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912F1D" w:rsidRDefault="00277AE4" w:rsidP="003F2F76">
            <w:pPr>
              <w:rPr>
                <w:sz w:val="18"/>
                <w:szCs w:val="18"/>
                <w:lang w:val="en-CA"/>
              </w:rPr>
            </w:pPr>
          </w:p>
        </w:tc>
      </w:tr>
      <w:tr w:rsidR="00277AE4" w:rsidRPr="00702B6C" w:rsidTr="003F2F76">
        <w:trPr>
          <w:trHeight w:val="260"/>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912F1D" w:rsidRDefault="00277AE4" w:rsidP="003F2F76">
            <w:pPr>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912F1D" w:rsidRDefault="00277AE4" w:rsidP="003F2F76">
            <w:pPr>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Informe final completado en marzo de 2016</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277AE4" w:rsidRPr="00AE7913" w:rsidRDefault="00277AE4" w:rsidP="003F2F76">
            <w:pPr>
              <w:jc w:val="left"/>
              <w:rPr>
                <w:sz w:val="18"/>
                <w:szCs w:val="18"/>
                <w:lang w:val="es-ES"/>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rsidR="00277AE4" w:rsidRPr="00AE7913" w:rsidRDefault="00277AE4" w:rsidP="003F2F76">
            <w:pPr>
              <w:jc w:val="left"/>
              <w:rPr>
                <w:sz w:val="18"/>
                <w:szCs w:val="18"/>
                <w:lang w:val="es-ES"/>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rsidR="00277AE4" w:rsidRPr="00AE7913" w:rsidRDefault="00277AE4" w:rsidP="003F2F76">
            <w:pPr>
              <w:rPr>
                <w:sz w:val="18"/>
                <w:szCs w:val="18"/>
                <w:lang w:val="es-ES"/>
              </w:rPr>
            </w:pPr>
          </w:p>
        </w:tc>
      </w:tr>
      <w:tr w:rsidR="00277AE4" w:rsidRPr="00702B6C" w:rsidTr="003F2F76">
        <w:trPr>
          <w:trHeight w:val="176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jc w:val="center"/>
              <w:textAlignment w:val="center"/>
              <w:rPr>
                <w:sz w:val="18"/>
                <w:szCs w:val="18"/>
                <w:lang w:val="es-ES"/>
              </w:rPr>
            </w:pPr>
            <w:r w:rsidRPr="00AE7913">
              <w:rPr>
                <w:b/>
                <w:bCs/>
                <w:sz w:val="18"/>
                <w:szCs w:val="18"/>
                <w:lang w:val="es-ES"/>
              </w:rPr>
              <w:t>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rsidR="00277AE4" w:rsidRPr="00AE7913" w:rsidRDefault="00277AE4" w:rsidP="003F2F76">
            <w:pPr>
              <w:textAlignment w:val="center"/>
              <w:rPr>
                <w:sz w:val="18"/>
                <w:szCs w:val="18"/>
                <w:lang w:val="es-ES"/>
              </w:rPr>
            </w:pPr>
            <w:r w:rsidRPr="00AE7913">
              <w:rPr>
                <w:b/>
                <w:bCs/>
                <w:sz w:val="18"/>
                <w:szCs w:val="18"/>
                <w:lang w:val="es-ES"/>
              </w:rPr>
              <w:t>Restricciones</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Construir prototipos nuevos con compresores especializados para los refrigerantes seleccionados que quepan en las mismas dimensiones de la caja que el diseño original y comparar el rendimiento y eficiencia con los modelos básicos con unidades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Construir prototipos nuevos con compresores especializados para los refrigerantes seleccionados con la condición de satisfacer las mismas capacidades de diseño de los modelos seleccionados comparándolos con unidades de HC</w:t>
            </w:r>
            <w:r w:rsidR="0013300C">
              <w:rPr>
                <w:sz w:val="18"/>
                <w:szCs w:val="18"/>
                <w:lang w:val="es-ES"/>
              </w:rPr>
              <w:t>FC</w:t>
            </w:r>
            <w:r w:rsidR="0013300C">
              <w:rPr>
                <w:sz w:val="18"/>
                <w:szCs w:val="18"/>
                <w:lang w:val="es-ES"/>
              </w:rPr>
              <w:noBreakHyphen/>
            </w:r>
            <w:r w:rsidRPr="00AE7913">
              <w:rPr>
                <w:sz w:val="18"/>
                <w:szCs w:val="18"/>
                <w:lang w:val="es-ES"/>
              </w:rPr>
              <w:t xml:space="preserve">22 y </w:t>
            </w:r>
            <w:r w:rsidR="0013300C">
              <w:rPr>
                <w:sz w:val="18"/>
                <w:szCs w:val="18"/>
                <w:lang w:val="es-ES"/>
              </w:rPr>
              <w:t>R</w:t>
            </w:r>
            <w:r w:rsidR="0013300C">
              <w:rPr>
                <w:sz w:val="18"/>
                <w:szCs w:val="18"/>
                <w:lang w:val="es-ES"/>
              </w:rPr>
              <w:noBreakHyphen/>
            </w:r>
            <w:r w:rsidRPr="00AE7913">
              <w:rPr>
                <w:sz w:val="18"/>
                <w:szCs w:val="18"/>
                <w:lang w:val="es-ES"/>
              </w:rPr>
              <w:t>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center"/>
              <w:rPr>
                <w:sz w:val="18"/>
                <w:szCs w:val="18"/>
                <w:lang w:val="es-ES"/>
              </w:rPr>
            </w:pPr>
            <w:r w:rsidRPr="00AE7913">
              <w:rPr>
                <w:sz w:val="18"/>
                <w:szCs w:val="18"/>
                <w:lang w:val="es-ES"/>
              </w:rPr>
              <w:t>Cambiar algunos componentes de los dos prototipos para incluir los diferentes refrigerantes, dentro de un proceso de “optimización ligera”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rsidR="00277AE4" w:rsidRPr="00AE7913" w:rsidRDefault="00277AE4" w:rsidP="003F2F76">
            <w:pPr>
              <w:jc w:val="left"/>
              <w:textAlignment w:val="bottom"/>
              <w:rPr>
                <w:sz w:val="18"/>
                <w:szCs w:val="18"/>
                <w:lang w:val="es-ES"/>
              </w:rPr>
            </w:pPr>
            <w:r w:rsidRPr="00AE7913">
              <w:rPr>
                <w:sz w:val="18"/>
                <w:szCs w:val="18"/>
                <w:lang w:val="es-ES"/>
              </w:rPr>
              <w:t>-Productos sustitutivos de uso inmediato;</w:t>
            </w:r>
            <w:r w:rsidRPr="00AE7913">
              <w:rPr>
                <w:sz w:val="18"/>
                <w:szCs w:val="18"/>
                <w:lang w:val="es-ES"/>
              </w:rPr>
              <w:br/>
              <w:t>-Optimización ligera ajustando el dispositivo de expansión, ajustando la cantidad de carga y cambiando el tipo de aceite;</w:t>
            </w:r>
            <w:r w:rsidRPr="00AE7913">
              <w:rPr>
                <w:sz w:val="18"/>
                <w:szCs w:val="18"/>
                <w:lang w:val="es-ES"/>
              </w:rPr>
              <w:br/>
              <w:t>-Un caso de ajuste de la velocidad del compresor usando mandos de velocidad variable</w:t>
            </w:r>
          </w:p>
        </w:tc>
      </w:tr>
    </w:tbl>
    <w:p w:rsidR="00277AE4" w:rsidRPr="00AE7913" w:rsidRDefault="00277AE4" w:rsidP="003F2F76">
      <w:pPr>
        <w:rPr>
          <w:sz w:val="16"/>
          <w:szCs w:val="16"/>
          <w:lang w:val="es-ES"/>
        </w:rPr>
      </w:pPr>
      <w:r w:rsidRPr="00AE7913">
        <w:rPr>
          <w:sz w:val="16"/>
          <w:szCs w:val="16"/>
          <w:lang w:val="es-ES"/>
        </w:rPr>
        <w:t>*MBH = Miles de BTU</w:t>
      </w:r>
    </w:p>
    <w:p w:rsidR="00277AE4" w:rsidRPr="00AE7913" w:rsidRDefault="00277AE4" w:rsidP="003F2F76">
      <w:pPr>
        <w:rPr>
          <w:lang w:val="es-ES"/>
        </w:rPr>
      </w:pPr>
    </w:p>
    <w:p w:rsidR="00277AE4" w:rsidRPr="00AE7913" w:rsidRDefault="00277AE4" w:rsidP="003F2F76">
      <w:pPr>
        <w:pStyle w:val="Heading1"/>
        <w:rPr>
          <w:lang w:val="es-ES"/>
        </w:rPr>
      </w:pPr>
      <w:r w:rsidRPr="00AE7913">
        <w:rPr>
          <w:lang w:val="es-ES"/>
        </w:rPr>
        <w:t>Si bien el EGYPRA tiene un diseño similar a los otros proyectos, tiene las siguientes características distintivas:</w:t>
      </w:r>
    </w:p>
    <w:p w:rsidR="00277AE4" w:rsidRPr="00AE7913" w:rsidRDefault="00277AE4" w:rsidP="003F2F76">
      <w:pPr>
        <w:pStyle w:val="Heading2"/>
        <w:widowControl/>
        <w:rPr>
          <w:lang w:val="es-ES"/>
        </w:rPr>
      </w:pPr>
      <w:r w:rsidRPr="00AE7913">
        <w:rPr>
          <w:lang w:val="es-ES"/>
        </w:rPr>
        <w:t>El EGYPRA es un programa del PGEH diseñado para involucrar a los fabricantes locales en la adopción de decisiones sobre las mejores alternativas de refrigerante para su industria; la segunda fase del programa brindará a los fabricantes una perspectiva del proceso de optimización;</w:t>
      </w:r>
    </w:p>
    <w:p w:rsidR="00277AE4" w:rsidRPr="00AE7913" w:rsidRDefault="00277AE4" w:rsidP="003F2F76">
      <w:pPr>
        <w:pStyle w:val="Heading2"/>
        <w:widowControl/>
        <w:rPr>
          <w:lang w:val="es-ES"/>
        </w:rPr>
      </w:pPr>
      <w:r w:rsidRPr="00AE7913">
        <w:rPr>
          <w:lang w:val="es-ES"/>
        </w:rPr>
        <w:t xml:space="preserve">El programa involucra a más fabricantes, excepto con respecto al AREP, y prueba más prototipos que los otros tres; Los ocho refrigerantes alternativos usados cubren los refrigerantes disponibles en el momento en que se construyeron los prototipos; </w:t>
      </w:r>
    </w:p>
    <w:p w:rsidR="00277AE4" w:rsidRPr="00AE7913" w:rsidRDefault="00277AE4" w:rsidP="003F2F76">
      <w:pPr>
        <w:pStyle w:val="Heading2"/>
        <w:widowControl/>
        <w:rPr>
          <w:lang w:val="es-ES"/>
        </w:rPr>
      </w:pPr>
      <w:r w:rsidRPr="00AE7913">
        <w:rPr>
          <w:lang w:val="es-ES"/>
        </w:rPr>
        <w:t>El EGYPRA no se centró solo en temperaturas ambiente altas, sino en la gama completa de temperaturas que pueden prevalecer en Egipto; y</w:t>
      </w:r>
    </w:p>
    <w:p w:rsidR="00277AE4" w:rsidRPr="00AE7913" w:rsidRDefault="00277AE4" w:rsidP="003F2F76">
      <w:pPr>
        <w:pStyle w:val="Heading2"/>
        <w:widowControl/>
        <w:rPr>
          <w:lang w:val="es-ES"/>
        </w:rPr>
      </w:pPr>
      <w:r w:rsidRPr="00AE7913">
        <w:rPr>
          <w:lang w:val="es-ES"/>
        </w:rPr>
        <w:t>Los resultados de las pruebas facilitan la explicación de las relaciones entre refrigerante, temperatura ambiente, aplicación de los equipos y rendimiento.</w:t>
      </w:r>
    </w:p>
    <w:p w:rsidR="00277AE4" w:rsidRPr="00AE7913" w:rsidRDefault="00277AE4" w:rsidP="003F2F76">
      <w:pPr>
        <w:pStyle w:val="Heading1"/>
        <w:rPr>
          <w:lang w:val="es-ES"/>
        </w:rPr>
      </w:pPr>
      <w:r w:rsidRPr="00AE7913">
        <w:rPr>
          <w:lang w:val="es-ES"/>
        </w:rPr>
        <w:lastRenderedPageBreak/>
        <w:t>El EGYPRA no se comparó con el informe final sobre el proyecto de demostración en los fabricantes de equipos de A/A para desarrollar unidades de aire acondicionado de ventana y autocontenidas que usan refrigerantes con bajo PCA en la Arabia Saudita ni con el informe final sobre el proyecto de demostración para la eliminación del HC</w:t>
      </w:r>
      <w:r w:rsidR="0013300C">
        <w:rPr>
          <w:lang w:val="es-ES"/>
        </w:rPr>
        <w:t>FC</w:t>
      </w:r>
      <w:r w:rsidR="0013300C">
        <w:rPr>
          <w:lang w:val="es-ES"/>
        </w:rPr>
        <w:noBreakHyphen/>
      </w:r>
      <w:r w:rsidRPr="00AE7913">
        <w:rPr>
          <w:lang w:val="es-ES"/>
        </w:rPr>
        <w:t xml:space="preserve">22 en la fabricación de equipos de aire acondicionado comercial en Industrias Thermotar Ltda. en Colombia. </w:t>
      </w:r>
    </w:p>
    <w:p w:rsidR="00155682" w:rsidRPr="00AE7913" w:rsidRDefault="00155682" w:rsidP="003F2F76">
      <w:pPr>
        <w:pStyle w:val="Heading1"/>
        <w:numPr>
          <w:ilvl w:val="0"/>
          <w:numId w:val="0"/>
        </w:numPr>
        <w:rPr>
          <w:lang w:val="es-ES"/>
        </w:rPr>
      </w:pPr>
    </w:p>
    <w:p w:rsidR="008B323F" w:rsidRPr="00AE7913" w:rsidRDefault="008B323F" w:rsidP="003F2F76">
      <w:pPr>
        <w:rPr>
          <w:lang w:val="es-ES"/>
        </w:rPr>
        <w:sectPr w:rsidR="008B323F" w:rsidRPr="00AE7913" w:rsidSect="003F2F76">
          <w:headerReference w:type="even" r:id="rId16"/>
          <w:headerReference w:type="default" r:id="rId17"/>
          <w:headerReference w:type="first" r:id="rId18"/>
          <w:footnotePr>
            <w:numRestart w:val="eachSect"/>
          </w:footnotePr>
          <w:pgSz w:w="12240" w:h="15840" w:code="1"/>
          <w:pgMar w:top="720" w:right="1440" w:bottom="864" w:left="1440" w:header="720" w:footer="475" w:gutter="0"/>
          <w:pgNumType w:start="1"/>
          <w:cols w:space="720"/>
          <w:docGrid w:linePitch="299"/>
        </w:sectPr>
      </w:pPr>
    </w:p>
    <w:p w:rsidR="008B323F" w:rsidRPr="00AE7913" w:rsidRDefault="008B323F" w:rsidP="003F2F76">
      <w:pPr>
        <w:jc w:val="center"/>
        <w:rPr>
          <w:b/>
          <w:lang w:val="es-ES"/>
        </w:rPr>
      </w:pPr>
      <w:r w:rsidRPr="00AE7913">
        <w:rPr>
          <w:b/>
          <w:lang w:val="es-ES"/>
        </w:rPr>
        <w:lastRenderedPageBreak/>
        <w:t>Anexo  II</w:t>
      </w:r>
    </w:p>
    <w:p w:rsidR="008B323F" w:rsidRPr="00AE7913" w:rsidRDefault="008B323F" w:rsidP="003F2F76">
      <w:pPr>
        <w:rPr>
          <w:b/>
          <w:lang w:val="es-ES"/>
        </w:rPr>
      </w:pPr>
    </w:p>
    <w:p w:rsidR="00E037E0" w:rsidRPr="00AE7913" w:rsidRDefault="00E037E0" w:rsidP="003F2F76">
      <w:pPr>
        <w:jc w:val="center"/>
        <w:rPr>
          <w:lang w:val="es-ES"/>
        </w:rPr>
      </w:pPr>
      <w:r w:rsidRPr="00AE7913">
        <w:rPr>
          <w:b/>
          <w:lang w:val="es-ES"/>
        </w:rPr>
        <w:t>TEXTO QUE SE INCLUIRÁ EN EL PROYECTO DE ACUERDO ACTUALIZADO ENTRE EL GOBIERNO DE EGIPTO Y EL COMITÉ EJECUTIVO DEL FONDO MULTILATERAL PARA LA REDUCCIÓN DEL CONSUMO DE HIDROCLOROFLUOROCARBONOS EN EL MARCO DE LA ETAPA II DEL PLAN DE GESTIÓN DE ELIMINACIÓN DE LOS HCFC</w:t>
      </w:r>
    </w:p>
    <w:p w:rsidR="00E037E0" w:rsidRPr="00AE7913" w:rsidRDefault="00E037E0" w:rsidP="003F2F76">
      <w:pPr>
        <w:tabs>
          <w:tab w:val="left" w:pos="927"/>
        </w:tabs>
        <w:jc w:val="center"/>
        <w:rPr>
          <w:lang w:val="es-ES"/>
        </w:rPr>
      </w:pPr>
      <w:r w:rsidRPr="00AE7913">
        <w:rPr>
          <w:lang w:val="es-ES"/>
        </w:rPr>
        <w:t>(Los cambios pertinentes están en negrita para facilitar la referencia)</w:t>
      </w:r>
    </w:p>
    <w:p w:rsidR="00E037E0" w:rsidRPr="00AE7913" w:rsidRDefault="00E037E0" w:rsidP="003F2F76">
      <w:pPr>
        <w:tabs>
          <w:tab w:val="left" w:pos="927"/>
        </w:tabs>
        <w:jc w:val="center"/>
        <w:rPr>
          <w:lang w:val="es-ES"/>
        </w:rPr>
      </w:pPr>
    </w:p>
    <w:p w:rsidR="00E037E0" w:rsidRPr="00AE7913" w:rsidRDefault="00E037E0" w:rsidP="003F2F76">
      <w:pPr>
        <w:rPr>
          <w:lang w:val="es-ES"/>
        </w:rPr>
      </w:pPr>
    </w:p>
    <w:p w:rsidR="00E037E0" w:rsidRPr="00AE7913" w:rsidRDefault="00E037E0" w:rsidP="003F2F76">
      <w:pPr>
        <w:rPr>
          <w:lang w:val="es-ES"/>
        </w:rPr>
      </w:pPr>
      <w:r w:rsidRPr="00AE7913">
        <w:rPr>
          <w:lang w:val="es-ES"/>
        </w:rPr>
        <w:t>1.</w:t>
      </w:r>
      <w:r w:rsidRPr="00AE7913">
        <w:rPr>
          <w:lang w:val="es-ES"/>
        </w:rPr>
        <w:tab/>
        <w:t>El presente Acuerdo representa el entendimiento a que han llegado el Gobierno de Egipto (el “País”) y el Comité Ejecutivo con respecto a la reducción del uso controlado de las sustancias que agotan la capa de ozono (SAO) indicadas en el Apéndice 1A (“Las Sustancias”) hasta un nivel sostenido de </w:t>
      </w:r>
      <w:r w:rsidRPr="00AE7913">
        <w:rPr>
          <w:b/>
          <w:lang w:val="es-ES"/>
        </w:rPr>
        <w:t>115,54</w:t>
      </w:r>
      <w:r w:rsidRPr="00AE7913">
        <w:rPr>
          <w:lang w:val="es-ES"/>
        </w:rPr>
        <w:t xml:space="preserve"> toneladas PAO antes del 1 de enero de 2025 en cumplimiento del calendario del Protocolo de Montreal.</w:t>
      </w:r>
    </w:p>
    <w:p w:rsidR="00E037E0" w:rsidRPr="00AE7913" w:rsidRDefault="00E037E0" w:rsidP="003F2F76">
      <w:pPr>
        <w:rPr>
          <w:lang w:val="es-ES"/>
        </w:rPr>
      </w:pPr>
    </w:p>
    <w:p w:rsidR="00E037E0" w:rsidRPr="00AE7913" w:rsidRDefault="00E037E0" w:rsidP="003F2F76">
      <w:pPr>
        <w:rPr>
          <w:b/>
          <w:lang w:val="es-ES"/>
        </w:rPr>
      </w:pPr>
      <w:r w:rsidRPr="00AE7913">
        <w:rPr>
          <w:lang w:val="es-ES"/>
        </w:rPr>
        <w:t>17.</w:t>
      </w:r>
      <w:r w:rsidRPr="00AE7913">
        <w:rPr>
          <w:lang w:val="es-ES"/>
        </w:rPr>
        <w:tab/>
      </w:r>
      <w:r w:rsidRPr="00AE7913">
        <w:rPr>
          <w:b/>
          <w:lang w:val="es-ES"/>
        </w:rPr>
        <w:t>El presente Acuerdo actualizado sustituye al Acuerdo alcanzado entre el Gobierno de Egipto y el Comité Ejecutivo en la 79ª reunión del Comité Ejecutivo.</w:t>
      </w:r>
    </w:p>
    <w:p w:rsidR="00E037E0" w:rsidRPr="00AE7913" w:rsidRDefault="00E037E0" w:rsidP="003F2F76">
      <w:pPr>
        <w:rPr>
          <w:lang w:val="es-ES"/>
        </w:rPr>
      </w:pPr>
    </w:p>
    <w:p w:rsidR="00E037E0" w:rsidRPr="00AE7913" w:rsidRDefault="00E037E0" w:rsidP="003F2F76">
      <w:pPr>
        <w:rPr>
          <w:lang w:val="es-ES"/>
        </w:rPr>
      </w:pPr>
    </w:p>
    <w:p w:rsidR="00E037E0" w:rsidRPr="00AE7913" w:rsidRDefault="00E037E0" w:rsidP="003F2F76">
      <w:pPr>
        <w:rPr>
          <w:b/>
          <w:lang w:val="es-ES"/>
        </w:rPr>
      </w:pPr>
      <w:r w:rsidRPr="00AE7913">
        <w:rPr>
          <w:b/>
          <w:lang w:val="es-ES"/>
        </w:rPr>
        <w:t>APÉNDICE 2-A: LOS OBJETIVOS Y LA FINANCIACIÓN</w:t>
      </w:r>
    </w:p>
    <w:p w:rsidR="00E037E0" w:rsidRPr="00AE7913" w:rsidRDefault="00E037E0" w:rsidP="003F2F76">
      <w:pPr>
        <w:rPr>
          <w:lang w:val="es-ES"/>
        </w:rPr>
      </w:pPr>
    </w:p>
    <w:tbl>
      <w:tblPr>
        <w:tblW w:w="11069" w:type="dxa"/>
        <w:jc w:val="center"/>
        <w:tblLayout w:type="fixed"/>
        <w:tblLook w:val="04A0" w:firstRow="1" w:lastRow="0" w:firstColumn="1" w:lastColumn="0" w:noHBand="0" w:noVBand="1"/>
      </w:tblPr>
      <w:tblGrid>
        <w:gridCol w:w="629"/>
        <w:gridCol w:w="1800"/>
        <w:gridCol w:w="988"/>
        <w:gridCol w:w="720"/>
        <w:gridCol w:w="990"/>
        <w:gridCol w:w="720"/>
        <w:gridCol w:w="900"/>
        <w:gridCol w:w="720"/>
        <w:gridCol w:w="900"/>
        <w:gridCol w:w="720"/>
        <w:gridCol w:w="900"/>
        <w:gridCol w:w="1082"/>
      </w:tblGrid>
      <w:tr w:rsidR="00E037E0" w:rsidRPr="00AE7913" w:rsidTr="003F2F76">
        <w:trPr>
          <w:trHeight w:val="255"/>
          <w:tblHeader/>
          <w:jc w:val="center"/>
        </w:trPr>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Fila</w:t>
            </w:r>
          </w:p>
        </w:tc>
        <w:tc>
          <w:tcPr>
            <w:tcW w:w="180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Detalles</w:t>
            </w:r>
          </w:p>
        </w:tc>
        <w:tc>
          <w:tcPr>
            <w:tcW w:w="988"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2017</w:t>
            </w:r>
          </w:p>
        </w:tc>
        <w:tc>
          <w:tcPr>
            <w:tcW w:w="72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2018</w:t>
            </w:r>
          </w:p>
        </w:tc>
        <w:tc>
          <w:tcPr>
            <w:tcW w:w="99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2019</w:t>
            </w:r>
          </w:p>
        </w:tc>
        <w:tc>
          <w:tcPr>
            <w:tcW w:w="72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2020</w:t>
            </w:r>
          </w:p>
        </w:tc>
        <w:tc>
          <w:tcPr>
            <w:tcW w:w="90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2021</w:t>
            </w:r>
          </w:p>
        </w:tc>
        <w:tc>
          <w:tcPr>
            <w:tcW w:w="72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2022</w:t>
            </w:r>
          </w:p>
        </w:tc>
        <w:tc>
          <w:tcPr>
            <w:tcW w:w="90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2023</w:t>
            </w:r>
          </w:p>
        </w:tc>
        <w:tc>
          <w:tcPr>
            <w:tcW w:w="72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2024</w:t>
            </w:r>
          </w:p>
        </w:tc>
        <w:tc>
          <w:tcPr>
            <w:tcW w:w="90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2025</w:t>
            </w:r>
          </w:p>
        </w:tc>
        <w:tc>
          <w:tcPr>
            <w:tcW w:w="1082"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center"/>
              <w:rPr>
                <w:b/>
                <w:bCs/>
                <w:color w:val="000000"/>
                <w:sz w:val="18"/>
                <w:szCs w:val="18"/>
                <w:lang w:val="es-ES"/>
              </w:rPr>
            </w:pPr>
            <w:r w:rsidRPr="00AE7913">
              <w:rPr>
                <w:b/>
                <w:bCs/>
                <w:color w:val="000000"/>
                <w:sz w:val="18"/>
                <w:szCs w:val="18"/>
                <w:lang w:val="es-ES"/>
              </w:rPr>
              <w:t>Total</w:t>
            </w:r>
          </w:p>
        </w:tc>
      </w:tr>
      <w:tr w:rsidR="00E037E0" w:rsidRPr="00AE7913" w:rsidTr="003F2F76">
        <w:trPr>
          <w:trHeight w:val="765"/>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1.1</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Calendario de reducción del Protocolo de Montreal para sustancias del Anexo C, Grupo I (toneladas PAO)</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347,64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347,64</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347,64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251,08</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125,54</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n/a</w:t>
            </w:r>
          </w:p>
        </w:tc>
      </w:tr>
      <w:tr w:rsidR="00E037E0" w:rsidRPr="00AE7913" w:rsidTr="003F2F76">
        <w:trPr>
          <w:trHeight w:val="102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1.2</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Consumo total máximo permisible para sustancias del Anexo C, Grupo I (toneladas PAO)</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347,64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289,70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289,70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8"/>
                <w:szCs w:val="18"/>
                <w:lang w:val="es-ES"/>
              </w:rPr>
            </w:pPr>
            <w:r w:rsidRPr="00AE7913">
              <w:rPr>
                <w:color w:val="000000"/>
                <w:sz w:val="18"/>
                <w:szCs w:val="18"/>
                <w:lang w:val="es-ES"/>
              </w:rPr>
              <w:t>251,08</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8"/>
                <w:szCs w:val="18"/>
                <w:lang w:val="es-ES"/>
              </w:rPr>
            </w:pPr>
            <w:r w:rsidRPr="00AE7913">
              <w:rPr>
                <w:b/>
                <w:sz w:val="18"/>
                <w:szCs w:val="18"/>
                <w:lang w:val="es-ES"/>
              </w:rPr>
              <w:t>241,08</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8"/>
                <w:szCs w:val="18"/>
                <w:lang w:val="es-ES"/>
              </w:rPr>
            </w:pPr>
            <w:r w:rsidRPr="00AE7913">
              <w:rPr>
                <w:b/>
                <w:sz w:val="18"/>
                <w:szCs w:val="18"/>
                <w:lang w:val="es-ES"/>
              </w:rPr>
              <w:t>241,08</w:t>
            </w:r>
          </w:p>
        </w:tc>
        <w:tc>
          <w:tcPr>
            <w:tcW w:w="90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b/>
                <w:sz w:val="18"/>
                <w:szCs w:val="18"/>
                <w:lang w:val="es-ES"/>
              </w:rPr>
            </w:pPr>
            <w:r w:rsidRPr="00AE7913">
              <w:rPr>
                <w:b/>
                <w:sz w:val="18"/>
                <w:szCs w:val="18"/>
                <w:lang w:val="es-ES"/>
              </w:rPr>
              <w:t>115,54</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8"/>
                <w:szCs w:val="18"/>
                <w:lang w:val="es-ES"/>
              </w:rPr>
            </w:pPr>
            <w:r w:rsidRPr="00AE7913">
              <w:rPr>
                <w:color w:val="000000"/>
                <w:sz w:val="18"/>
                <w:szCs w:val="18"/>
                <w:lang w:val="es-ES"/>
              </w:rPr>
              <w:t>n/a</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2.1</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Financiación convenida para el Organismo de Ejecución Principal (ONUDI)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3 356 641</w:t>
            </w:r>
          </w:p>
        </w:tc>
        <w:tc>
          <w:tcPr>
            <w:tcW w:w="720" w:type="dxa"/>
            <w:tcBorders>
              <w:top w:val="nil"/>
              <w:left w:val="nil"/>
              <w:bottom w:val="nil"/>
              <w:right w:val="nil"/>
            </w:tcBorders>
            <w:shd w:val="clear" w:color="auto" w:fill="auto"/>
            <w:noWrap/>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right"/>
              <w:rPr>
                <w:b/>
                <w:sz w:val="16"/>
                <w:szCs w:val="16"/>
                <w:lang w:val="es-ES"/>
              </w:rPr>
            </w:pPr>
            <w:r w:rsidRPr="00AE7913">
              <w:rPr>
                <w:b/>
                <w:sz w:val="16"/>
                <w:szCs w:val="16"/>
                <w:lang w:val="es-ES"/>
              </w:rPr>
              <w:t>4 668 214</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4 664 196</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4 039 413</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195 000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16 923 464</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2.2</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Gastos de apoyo para el Organismo de Ejecución Principal (ONUDI)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234 965</w:t>
            </w:r>
          </w:p>
        </w:tc>
        <w:tc>
          <w:tcPr>
            <w:tcW w:w="720" w:type="dxa"/>
            <w:tcBorders>
              <w:top w:val="single" w:sz="4" w:space="0" w:color="auto"/>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326 775</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326 494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282 759</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13 650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1 184 642</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2.3</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Financiación convenida para el Organismo de Ejecución Cooperante (PNUD)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1 042 352</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1 836 750</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816 620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3 695 722</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2.4</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Gastos de apoyo para el Organismo de Ejecución Cooperante (PNUD)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72 965</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128 573</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57 163</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258 701</w:t>
            </w:r>
          </w:p>
        </w:tc>
      </w:tr>
      <w:tr w:rsidR="00E037E0" w:rsidRPr="00AE7913" w:rsidTr="00E037E0">
        <w:trPr>
          <w:cantSplit/>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lastRenderedPageBreak/>
              <w:t>2.5</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Financiación convenida para el Organismo de Ejecución Cooperante (PNUMA)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230 000</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279 500</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260 000</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180 000</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105 500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1 055 000</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2.6</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Gastos de apoyo para el Organismo de Ejecución Cooperante (PNUMA)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27 480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33 394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31 064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21 506</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12 605</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126 050</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2.7</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Financiación convenida para el Organismo de Ejecución Cooperante (Alemania)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720" w:type="dxa"/>
            <w:tcBorders>
              <w:top w:val="nil"/>
              <w:left w:val="nil"/>
              <w:bottom w:val="single" w:sz="4" w:space="0" w:color="auto"/>
              <w:right w:val="single" w:sz="4" w:space="0" w:color="auto"/>
            </w:tcBorders>
            <w:shd w:val="clear" w:color="auto" w:fill="auto"/>
            <w:noWrap/>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207 300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207 300</w:t>
            </w:r>
          </w:p>
        </w:tc>
      </w:tr>
      <w:tr w:rsidR="00E037E0" w:rsidRPr="00AE7913" w:rsidTr="003F2F76">
        <w:trPr>
          <w:trHeight w:val="51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2.8</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Gastos de apoyo para el Organismo de Ejecución Cooperante (Alemania)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26 949</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26 949</w:t>
            </w:r>
          </w:p>
        </w:tc>
      </w:tr>
      <w:tr w:rsidR="00E037E0" w:rsidRPr="00AE7913" w:rsidTr="003F2F76">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3.1</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Financiación total convenida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4 628 993</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6 991 764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5 740 816</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4 219 413</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300 500</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21 881 486</w:t>
            </w:r>
          </w:p>
        </w:tc>
      </w:tr>
      <w:tr w:rsidR="00E037E0" w:rsidRPr="00AE7913" w:rsidTr="003F2F76">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3.2</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Total de gastos de apoyo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335 410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515 690</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414 721</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304 265</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26 255</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1 596 342</w:t>
            </w:r>
          </w:p>
        </w:tc>
      </w:tr>
      <w:tr w:rsidR="00E037E0" w:rsidRPr="00AE7913" w:rsidTr="003F2F76">
        <w:trPr>
          <w:trHeight w:val="255"/>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3.3</w:t>
            </w:r>
          </w:p>
        </w:tc>
        <w:tc>
          <w:tcPr>
            <w:tcW w:w="18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Total de gastos convenidos ($EUA)</w:t>
            </w:r>
          </w:p>
        </w:tc>
        <w:tc>
          <w:tcPr>
            <w:tcW w:w="988"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4 964 403</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color w:val="000000"/>
                <w:sz w:val="16"/>
                <w:szCs w:val="16"/>
                <w:lang w:val="es-ES"/>
              </w:rPr>
            </w:pPr>
            <w:r w:rsidRPr="00AE7913">
              <w:rPr>
                <w:color w:val="000000"/>
                <w:sz w:val="16"/>
                <w:szCs w:val="16"/>
                <w:lang w:val="es-ES"/>
              </w:rPr>
              <w:t>0</w:t>
            </w:r>
          </w:p>
        </w:tc>
        <w:tc>
          <w:tcPr>
            <w:tcW w:w="99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7 507 454</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6 155 537</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4 523 678</w:t>
            </w:r>
          </w:p>
        </w:tc>
        <w:tc>
          <w:tcPr>
            <w:tcW w:w="72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0</w:t>
            </w:r>
          </w:p>
        </w:tc>
        <w:tc>
          <w:tcPr>
            <w:tcW w:w="900"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sz w:val="16"/>
                <w:szCs w:val="16"/>
                <w:lang w:val="es-ES"/>
              </w:rPr>
            </w:pPr>
            <w:r w:rsidRPr="00AE7913">
              <w:rPr>
                <w:sz w:val="16"/>
                <w:szCs w:val="16"/>
                <w:lang w:val="es-ES"/>
              </w:rPr>
              <w:t>326 755</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jc w:val="right"/>
              <w:rPr>
                <w:b/>
                <w:sz w:val="16"/>
                <w:szCs w:val="16"/>
                <w:lang w:val="es-ES"/>
              </w:rPr>
            </w:pPr>
            <w:r w:rsidRPr="00AE7913">
              <w:rPr>
                <w:b/>
                <w:sz w:val="16"/>
                <w:szCs w:val="16"/>
                <w:lang w:val="es-ES"/>
              </w:rPr>
              <w:t>23 477 828</w:t>
            </w:r>
          </w:p>
        </w:tc>
      </w:tr>
      <w:tr w:rsidR="00E037E0" w:rsidRPr="00AE7913" w:rsidTr="003F2F76">
        <w:trPr>
          <w:trHeight w:val="134"/>
          <w:jc w:val="center"/>
        </w:trPr>
        <w:tc>
          <w:tcPr>
            <w:tcW w:w="629" w:type="dxa"/>
            <w:tcBorders>
              <w:top w:val="single" w:sz="4" w:space="0" w:color="auto"/>
              <w:left w:val="single" w:sz="4" w:space="0" w:color="auto"/>
              <w:bottom w:val="single" w:sz="4" w:space="0" w:color="auto"/>
              <w:right w:val="single" w:sz="4" w:space="0" w:color="auto"/>
            </w:tcBorders>
            <w:shd w:val="clear" w:color="auto" w:fill="auto"/>
            <w:hideMark/>
          </w:tcPr>
          <w:p w:rsidR="00E037E0" w:rsidRPr="00AE7913" w:rsidRDefault="00E037E0" w:rsidP="003F2F76">
            <w:pPr>
              <w:keepNext/>
              <w:keepLines/>
              <w:jc w:val="left"/>
              <w:rPr>
                <w:color w:val="000000"/>
                <w:sz w:val="18"/>
                <w:szCs w:val="18"/>
                <w:lang w:val="es-ES"/>
              </w:rPr>
            </w:pPr>
            <w:r w:rsidRPr="00AE7913">
              <w:rPr>
                <w:color w:val="000000"/>
                <w:sz w:val="18"/>
                <w:szCs w:val="18"/>
                <w:lang w:val="es-ES"/>
              </w:rPr>
              <w:t>4.1.1</w:t>
            </w:r>
          </w:p>
        </w:tc>
        <w:tc>
          <w:tcPr>
            <w:tcW w:w="9358" w:type="dxa"/>
            <w:gridSpan w:val="10"/>
            <w:tcBorders>
              <w:top w:val="single" w:sz="4" w:space="0" w:color="auto"/>
              <w:left w:val="single" w:sz="4" w:space="0" w:color="auto"/>
              <w:bottom w:val="single" w:sz="4" w:space="0" w:color="auto"/>
              <w:right w:val="single" w:sz="4" w:space="0" w:color="auto"/>
            </w:tcBorders>
            <w:shd w:val="clear" w:color="auto" w:fill="auto"/>
            <w:hideMark/>
          </w:tcPr>
          <w:p w:rsidR="00E037E0" w:rsidRPr="00AE7913" w:rsidRDefault="00E037E0" w:rsidP="003F2F76">
            <w:pPr>
              <w:keepNext/>
              <w:keepLines/>
              <w:jc w:val="left"/>
              <w:rPr>
                <w:color w:val="000000"/>
                <w:sz w:val="18"/>
                <w:szCs w:val="18"/>
                <w:lang w:val="es-ES"/>
              </w:rPr>
            </w:pPr>
            <w:r w:rsidRPr="00AE7913">
              <w:rPr>
                <w:color w:val="000000"/>
                <w:sz w:val="18"/>
                <w:szCs w:val="18"/>
                <w:lang w:val="es-ES"/>
              </w:rPr>
              <w:t>Total convenido de 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22 por lograr conforme a este Acuerdo (toneladas PAO)</w:t>
            </w:r>
          </w:p>
        </w:tc>
        <w:tc>
          <w:tcPr>
            <w:tcW w:w="1082" w:type="dxa"/>
            <w:tcBorders>
              <w:top w:val="single" w:sz="4" w:space="0" w:color="auto"/>
              <w:left w:val="single" w:sz="4" w:space="0" w:color="auto"/>
              <w:bottom w:val="single" w:sz="4" w:space="0" w:color="auto"/>
              <w:right w:val="single" w:sz="4" w:space="0" w:color="auto"/>
            </w:tcBorders>
            <w:shd w:val="clear" w:color="auto" w:fill="auto"/>
            <w:hideMark/>
          </w:tcPr>
          <w:p w:rsidR="00E037E0" w:rsidRPr="00AE7913" w:rsidRDefault="00E037E0" w:rsidP="003F2F76">
            <w:pPr>
              <w:keepNext/>
              <w:keepLines/>
              <w:jc w:val="right"/>
              <w:rPr>
                <w:b/>
                <w:color w:val="000000"/>
                <w:sz w:val="18"/>
                <w:szCs w:val="18"/>
                <w:lang w:val="es-ES"/>
              </w:rPr>
            </w:pPr>
            <w:r w:rsidRPr="00AE7913">
              <w:rPr>
                <w:b/>
                <w:color w:val="000000"/>
                <w:sz w:val="18"/>
                <w:szCs w:val="18"/>
                <w:lang w:val="es-ES"/>
              </w:rPr>
              <w:t xml:space="preserve">135,97 </w:t>
            </w:r>
          </w:p>
        </w:tc>
      </w:tr>
      <w:tr w:rsidR="00E037E0" w:rsidRPr="00AE7913" w:rsidTr="003F2F76">
        <w:trPr>
          <w:trHeight w:val="89"/>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keepNext/>
              <w:jc w:val="left"/>
              <w:rPr>
                <w:color w:val="000000"/>
                <w:sz w:val="18"/>
                <w:szCs w:val="18"/>
                <w:lang w:val="es-ES"/>
              </w:rPr>
            </w:pPr>
            <w:r w:rsidRPr="00AE7913">
              <w:rPr>
                <w:color w:val="000000"/>
                <w:sz w:val="18"/>
                <w:szCs w:val="18"/>
                <w:lang w:val="es-ES"/>
              </w:rPr>
              <w:t>4.1.2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keepNext/>
              <w:jc w:val="left"/>
              <w:rPr>
                <w:color w:val="000000"/>
                <w:sz w:val="18"/>
                <w:szCs w:val="18"/>
                <w:lang w:val="es-ES"/>
              </w:rPr>
            </w:pPr>
            <w:r w:rsidRPr="00AE7913">
              <w:rPr>
                <w:color w:val="000000"/>
                <w:sz w:val="18"/>
                <w:szCs w:val="18"/>
                <w:lang w:val="es-ES"/>
              </w:rPr>
              <w:t>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22 por lograr en la etapa previa (toneladas PAO)</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keepNext/>
              <w:jc w:val="right"/>
              <w:rPr>
                <w:color w:val="000000"/>
                <w:sz w:val="18"/>
                <w:szCs w:val="18"/>
                <w:lang w:val="es-ES"/>
              </w:rPr>
            </w:pPr>
            <w:r w:rsidRPr="00AE7913">
              <w:rPr>
                <w:color w:val="000000"/>
                <w:sz w:val="18"/>
                <w:szCs w:val="18"/>
                <w:lang w:val="es-ES"/>
              </w:rPr>
              <w:t>6,13</w:t>
            </w:r>
          </w:p>
        </w:tc>
      </w:tr>
      <w:tr w:rsidR="00E037E0" w:rsidRPr="00AE7913" w:rsidTr="003F2F76">
        <w:trPr>
          <w:trHeight w:val="152"/>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keepNext/>
              <w:jc w:val="left"/>
              <w:rPr>
                <w:color w:val="000000"/>
                <w:sz w:val="18"/>
                <w:szCs w:val="18"/>
                <w:lang w:val="es-ES"/>
              </w:rPr>
            </w:pPr>
            <w:r w:rsidRPr="00AE7913">
              <w:rPr>
                <w:color w:val="000000"/>
                <w:sz w:val="18"/>
                <w:szCs w:val="18"/>
                <w:lang w:val="es-ES"/>
              </w:rPr>
              <w:t>4.1.3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keepNext/>
              <w:jc w:val="left"/>
              <w:rPr>
                <w:color w:val="000000"/>
                <w:sz w:val="18"/>
                <w:szCs w:val="18"/>
                <w:lang w:val="es-ES"/>
              </w:rPr>
            </w:pPr>
            <w:r w:rsidRPr="00AE7913">
              <w:rPr>
                <w:color w:val="000000"/>
                <w:sz w:val="18"/>
                <w:szCs w:val="18"/>
                <w:lang w:val="es-ES"/>
              </w:rPr>
              <w:t>Consumo admisible remanente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22 (toneladas PAO)</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keepNext/>
              <w:jc w:val="right"/>
              <w:rPr>
                <w:b/>
                <w:color w:val="000000"/>
                <w:sz w:val="18"/>
                <w:szCs w:val="18"/>
                <w:lang w:val="es-ES"/>
              </w:rPr>
            </w:pPr>
            <w:r w:rsidRPr="00AE7913">
              <w:rPr>
                <w:color w:val="000000"/>
                <w:sz w:val="18"/>
                <w:szCs w:val="18"/>
                <w:lang w:val="es-ES"/>
              </w:rPr>
              <w:t xml:space="preserve">      </w:t>
            </w:r>
            <w:r w:rsidRPr="00AE7913">
              <w:rPr>
                <w:b/>
                <w:color w:val="000000"/>
                <w:sz w:val="18"/>
                <w:szCs w:val="18"/>
                <w:lang w:val="es-ES"/>
              </w:rPr>
              <w:t xml:space="preserve">98,09 </w:t>
            </w:r>
          </w:p>
        </w:tc>
      </w:tr>
      <w:tr w:rsidR="00E037E0" w:rsidRPr="00AE7913" w:rsidTr="003F2F76">
        <w:trPr>
          <w:trHeight w:val="107"/>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keepNext/>
              <w:jc w:val="left"/>
              <w:rPr>
                <w:color w:val="000000"/>
                <w:sz w:val="18"/>
                <w:szCs w:val="18"/>
                <w:lang w:val="es-ES"/>
              </w:rPr>
            </w:pPr>
            <w:r w:rsidRPr="00AE7913">
              <w:rPr>
                <w:color w:val="000000"/>
                <w:sz w:val="18"/>
                <w:szCs w:val="18"/>
                <w:lang w:val="es-ES"/>
              </w:rPr>
              <w:t>4.2.1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keepNext/>
              <w:jc w:val="left"/>
              <w:rPr>
                <w:color w:val="000000"/>
                <w:sz w:val="18"/>
                <w:szCs w:val="18"/>
                <w:lang w:val="es-ES"/>
              </w:rPr>
            </w:pPr>
            <w:r w:rsidRPr="00AE7913">
              <w:rPr>
                <w:color w:val="000000"/>
                <w:sz w:val="18"/>
                <w:szCs w:val="18"/>
                <w:lang w:val="es-ES"/>
              </w:rPr>
              <w:t>Total convenido de 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123 por lograr, conforme a este Acuerdo (toneladas PAO)</w:t>
            </w:r>
          </w:p>
        </w:tc>
        <w:tc>
          <w:tcPr>
            <w:tcW w:w="1082" w:type="dxa"/>
            <w:tcBorders>
              <w:top w:val="nil"/>
              <w:left w:val="nil"/>
              <w:bottom w:val="single" w:sz="4" w:space="0" w:color="auto"/>
              <w:right w:val="single" w:sz="4" w:space="0" w:color="auto"/>
            </w:tcBorders>
            <w:shd w:val="clear" w:color="auto" w:fill="auto"/>
            <w:hideMark/>
          </w:tcPr>
          <w:p w:rsidR="00E037E0" w:rsidRPr="00AE7913" w:rsidRDefault="00E037E0" w:rsidP="003F2F76">
            <w:pPr>
              <w:keepNext/>
              <w:jc w:val="right"/>
              <w:rPr>
                <w:color w:val="000000"/>
                <w:sz w:val="18"/>
                <w:szCs w:val="18"/>
                <w:lang w:val="es-ES"/>
              </w:rPr>
            </w:pPr>
            <w:r w:rsidRPr="00AE7913">
              <w:rPr>
                <w:color w:val="000000"/>
                <w:sz w:val="18"/>
                <w:szCs w:val="18"/>
                <w:lang w:val="es-ES"/>
              </w:rPr>
              <w:t>0</w:t>
            </w:r>
          </w:p>
        </w:tc>
      </w:tr>
      <w:tr w:rsidR="00E037E0" w:rsidRPr="00AE7913" w:rsidTr="003F2F76">
        <w:trPr>
          <w:trHeight w:val="71"/>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4.2.2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123 por lograr en la etapa previa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0</w:t>
            </w:r>
          </w:p>
        </w:tc>
      </w:tr>
      <w:tr w:rsidR="00E037E0" w:rsidRPr="00AE7913" w:rsidTr="003F2F76">
        <w:trPr>
          <w:trHeight w:val="50"/>
          <w:jc w:val="center"/>
        </w:trPr>
        <w:tc>
          <w:tcPr>
            <w:tcW w:w="629" w:type="dxa"/>
            <w:tcBorders>
              <w:top w:val="nil"/>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4.2.3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Consumo admisible remanente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123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0,11</w:t>
            </w:r>
          </w:p>
        </w:tc>
      </w:tr>
      <w:tr w:rsidR="00E037E0" w:rsidRPr="00AE7913" w:rsidTr="003F2F76">
        <w:trPr>
          <w:trHeight w:val="179"/>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4.3.1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Total convenido de eliminación de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141b por lograr, conforme a este Acuerdo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33,92*</w:t>
            </w:r>
          </w:p>
        </w:tc>
      </w:tr>
      <w:tr w:rsidR="00E037E0" w:rsidRPr="00AE7913" w:rsidTr="003F2F76">
        <w:trPr>
          <w:trHeight w:val="143"/>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4.3.2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141b por lograr en la etapa previa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95,69</w:t>
            </w:r>
          </w:p>
        </w:tc>
      </w:tr>
      <w:tr w:rsidR="00E037E0" w:rsidRPr="00AE7913" w:rsidTr="003F2F76">
        <w:trPr>
          <w:trHeight w:val="107"/>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4.3.3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Consumo admisible remanente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141b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0</w:t>
            </w:r>
          </w:p>
        </w:tc>
      </w:tr>
      <w:tr w:rsidR="00E037E0" w:rsidRPr="00AE7913" w:rsidTr="003F2F76">
        <w:trPr>
          <w:trHeight w:val="71"/>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4.4.1</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 xml:space="preserve">Total convenido de eliminación </w:t>
            </w:r>
            <w:r w:rsidR="00AE7913" w:rsidRPr="00AE7913">
              <w:rPr>
                <w:color w:val="000000"/>
                <w:sz w:val="18"/>
                <w:szCs w:val="18"/>
                <w:lang w:val="es-ES"/>
              </w:rPr>
              <w:t xml:space="preserve">de </w:t>
            </w:r>
            <w:r w:rsidRPr="00AE7913">
              <w:rPr>
                <w:color w:val="000000"/>
                <w:sz w:val="18"/>
                <w:szCs w:val="18"/>
                <w:lang w:val="es-ES"/>
              </w:rPr>
              <w:t>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142b por lograr, conforme a este Acuerdo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16,36</w:t>
            </w:r>
          </w:p>
        </w:tc>
      </w:tr>
      <w:tr w:rsidR="00E037E0" w:rsidRPr="00AE7913" w:rsidTr="003F2F76">
        <w:trPr>
          <w:trHeight w:val="116"/>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4.4.2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142b por lograr en la etapa previa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0</w:t>
            </w:r>
          </w:p>
        </w:tc>
      </w:tr>
      <w:tr w:rsidR="00E037E0" w:rsidRPr="00AE7913" w:rsidTr="003F2F76">
        <w:trPr>
          <w:trHeight w:val="170"/>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4.4.3</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Consumo admisible remanente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142b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0</w:t>
            </w:r>
          </w:p>
        </w:tc>
      </w:tr>
      <w:tr w:rsidR="00E037E0" w:rsidRPr="00AE7913" w:rsidTr="003F2F76">
        <w:trPr>
          <w:trHeight w:val="53"/>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4.5.1</w:t>
            </w:r>
          </w:p>
        </w:tc>
        <w:tc>
          <w:tcPr>
            <w:tcW w:w="9358" w:type="dxa"/>
            <w:gridSpan w:val="10"/>
            <w:tcBorders>
              <w:top w:val="single" w:sz="4" w:space="0" w:color="auto"/>
              <w:left w:val="nil"/>
              <w:bottom w:val="single" w:sz="4" w:space="0" w:color="auto"/>
              <w:right w:val="single" w:sz="4" w:space="0" w:color="000000"/>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Total convenido de 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141b en los polioles premezclados importados por lograr conforme a este Acuerdo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26,16</w:t>
            </w:r>
          </w:p>
        </w:tc>
      </w:tr>
      <w:tr w:rsidR="00E037E0" w:rsidRPr="00AE7913" w:rsidTr="003F2F76">
        <w:trPr>
          <w:trHeight w:val="98"/>
          <w:jc w:val="center"/>
        </w:trPr>
        <w:tc>
          <w:tcPr>
            <w:tcW w:w="629" w:type="dxa"/>
            <w:tcBorders>
              <w:top w:val="nil"/>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4.5.2</w:t>
            </w:r>
          </w:p>
        </w:tc>
        <w:tc>
          <w:tcPr>
            <w:tcW w:w="9358" w:type="dxa"/>
            <w:gridSpan w:val="10"/>
            <w:tcBorders>
              <w:top w:val="single" w:sz="4" w:space="0" w:color="auto"/>
              <w:left w:val="nil"/>
              <w:bottom w:val="single" w:sz="4" w:space="0" w:color="auto"/>
              <w:right w:val="single" w:sz="4" w:space="0" w:color="000000"/>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Eliminación del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141b en los polioles premezclados importados por lograr en la etapa previa (toneladas PAO)</w:t>
            </w:r>
          </w:p>
        </w:tc>
        <w:tc>
          <w:tcPr>
            <w:tcW w:w="1082" w:type="dxa"/>
            <w:tcBorders>
              <w:top w:val="nil"/>
              <w:left w:val="nil"/>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72,18</w:t>
            </w:r>
          </w:p>
        </w:tc>
      </w:tr>
      <w:tr w:rsidR="00E037E0" w:rsidRPr="00AE7913" w:rsidTr="003F2F76">
        <w:trPr>
          <w:trHeight w:val="62"/>
          <w:jc w:val="center"/>
        </w:trPr>
        <w:tc>
          <w:tcPr>
            <w:tcW w:w="629" w:type="dxa"/>
            <w:tcBorders>
              <w:top w:val="single" w:sz="4" w:space="0" w:color="auto"/>
              <w:left w:val="single" w:sz="4" w:space="0" w:color="auto"/>
              <w:bottom w:val="single" w:sz="4" w:space="0" w:color="auto"/>
              <w:right w:val="single" w:sz="4" w:space="0" w:color="auto"/>
            </w:tcBorders>
            <w:shd w:val="clear" w:color="auto" w:fill="auto"/>
            <w:noWrap/>
            <w:hideMark/>
          </w:tcPr>
          <w:p w:rsidR="00E037E0" w:rsidRPr="00AE7913" w:rsidRDefault="00E037E0" w:rsidP="003F2F76">
            <w:pPr>
              <w:jc w:val="left"/>
              <w:rPr>
                <w:color w:val="000000"/>
                <w:sz w:val="18"/>
                <w:szCs w:val="18"/>
                <w:lang w:val="es-ES"/>
              </w:rPr>
            </w:pPr>
            <w:r w:rsidRPr="00AE7913">
              <w:rPr>
                <w:color w:val="000000"/>
                <w:sz w:val="18"/>
                <w:szCs w:val="18"/>
                <w:lang w:val="es-ES"/>
              </w:rPr>
              <w:t>4.5.3</w:t>
            </w:r>
          </w:p>
        </w:tc>
        <w:tc>
          <w:tcPr>
            <w:tcW w:w="9358" w:type="dxa"/>
            <w:gridSpan w:val="10"/>
            <w:tcBorders>
              <w:top w:val="single" w:sz="4" w:space="0" w:color="auto"/>
              <w:left w:val="single" w:sz="4" w:space="0" w:color="auto"/>
              <w:bottom w:val="single" w:sz="4" w:space="0" w:color="auto"/>
              <w:right w:val="single" w:sz="4" w:space="0" w:color="auto"/>
            </w:tcBorders>
            <w:shd w:val="clear" w:color="auto" w:fill="auto"/>
            <w:hideMark/>
          </w:tcPr>
          <w:p w:rsidR="00E037E0" w:rsidRPr="00AE7913" w:rsidRDefault="00E037E0" w:rsidP="003F2F76">
            <w:pPr>
              <w:jc w:val="left"/>
              <w:rPr>
                <w:color w:val="000000"/>
                <w:sz w:val="18"/>
                <w:szCs w:val="18"/>
                <w:lang w:val="es-ES"/>
              </w:rPr>
            </w:pPr>
            <w:r w:rsidRPr="00AE7913">
              <w:rPr>
                <w:color w:val="000000"/>
                <w:sz w:val="18"/>
                <w:szCs w:val="18"/>
                <w:lang w:val="es-ES"/>
              </w:rPr>
              <w:t>Consumo admisible remanente de HC</w:t>
            </w:r>
            <w:r w:rsidR="0013300C">
              <w:rPr>
                <w:color w:val="000000"/>
                <w:sz w:val="18"/>
                <w:szCs w:val="18"/>
                <w:lang w:val="es-ES"/>
              </w:rPr>
              <w:t>FC</w:t>
            </w:r>
            <w:r w:rsidR="0013300C">
              <w:rPr>
                <w:color w:val="000000"/>
                <w:sz w:val="18"/>
                <w:szCs w:val="18"/>
                <w:lang w:val="es-ES"/>
              </w:rPr>
              <w:noBreakHyphen/>
            </w:r>
            <w:r w:rsidRPr="00AE7913">
              <w:rPr>
                <w:color w:val="000000"/>
                <w:sz w:val="18"/>
                <w:szCs w:val="18"/>
                <w:lang w:val="es-ES"/>
              </w:rPr>
              <w:t>141b en polioles premezclados importados (toneladas PAO)</w:t>
            </w:r>
          </w:p>
        </w:tc>
        <w:tc>
          <w:tcPr>
            <w:tcW w:w="1082" w:type="dxa"/>
            <w:tcBorders>
              <w:top w:val="single" w:sz="4" w:space="0" w:color="auto"/>
              <w:left w:val="single" w:sz="4" w:space="0" w:color="auto"/>
              <w:bottom w:val="single" w:sz="4" w:space="0" w:color="auto"/>
              <w:right w:val="single" w:sz="4" w:space="0" w:color="auto"/>
            </w:tcBorders>
            <w:shd w:val="clear" w:color="000000" w:fill="FFFFFF"/>
            <w:hideMark/>
          </w:tcPr>
          <w:p w:rsidR="00E037E0" w:rsidRPr="00AE7913" w:rsidRDefault="00E037E0" w:rsidP="003F2F76">
            <w:pPr>
              <w:jc w:val="right"/>
              <w:rPr>
                <w:color w:val="000000"/>
                <w:sz w:val="18"/>
                <w:szCs w:val="18"/>
                <w:lang w:val="es-ES"/>
              </w:rPr>
            </w:pPr>
            <w:r w:rsidRPr="00AE7913">
              <w:rPr>
                <w:color w:val="000000"/>
                <w:sz w:val="18"/>
                <w:szCs w:val="18"/>
                <w:lang w:val="es-ES"/>
              </w:rPr>
              <w:t>0</w:t>
            </w:r>
          </w:p>
        </w:tc>
      </w:tr>
      <w:tr w:rsidR="00E037E0" w:rsidRPr="00702B6C" w:rsidTr="003F2F76">
        <w:trPr>
          <w:trHeight w:val="255"/>
          <w:jc w:val="center"/>
        </w:trPr>
        <w:tc>
          <w:tcPr>
            <w:tcW w:w="629" w:type="dxa"/>
            <w:tcBorders>
              <w:top w:val="single" w:sz="4" w:space="0" w:color="auto"/>
            </w:tcBorders>
            <w:shd w:val="clear" w:color="auto" w:fill="auto"/>
            <w:noWrap/>
          </w:tcPr>
          <w:p w:rsidR="00E037E0" w:rsidRPr="00AE7913" w:rsidRDefault="00E037E0" w:rsidP="003F2F76">
            <w:pPr>
              <w:jc w:val="left"/>
              <w:rPr>
                <w:color w:val="000000"/>
                <w:sz w:val="16"/>
                <w:szCs w:val="16"/>
                <w:lang w:val="es-ES"/>
              </w:rPr>
            </w:pPr>
            <w:r w:rsidRPr="00AE7913">
              <w:rPr>
                <w:color w:val="000000"/>
                <w:sz w:val="16"/>
                <w:szCs w:val="16"/>
                <w:lang w:val="es-ES"/>
              </w:rPr>
              <w:t>*</w:t>
            </w:r>
          </w:p>
          <w:p w:rsidR="00E037E0" w:rsidRPr="00AE7913" w:rsidRDefault="00E037E0" w:rsidP="003F2F76">
            <w:pPr>
              <w:jc w:val="left"/>
              <w:rPr>
                <w:color w:val="000000"/>
                <w:sz w:val="16"/>
                <w:szCs w:val="16"/>
                <w:lang w:val="es-ES"/>
              </w:rPr>
            </w:pPr>
            <w:r w:rsidRPr="00AE7913">
              <w:rPr>
                <w:color w:val="000000"/>
                <w:sz w:val="16"/>
                <w:szCs w:val="16"/>
                <w:lang w:val="es-ES"/>
              </w:rPr>
              <w:t>Nota:</w:t>
            </w:r>
          </w:p>
        </w:tc>
        <w:tc>
          <w:tcPr>
            <w:tcW w:w="9358" w:type="dxa"/>
            <w:gridSpan w:val="10"/>
            <w:tcBorders>
              <w:top w:val="single" w:sz="4" w:space="0" w:color="auto"/>
            </w:tcBorders>
            <w:shd w:val="clear" w:color="auto" w:fill="auto"/>
          </w:tcPr>
          <w:p w:rsidR="00E037E0" w:rsidRPr="00AE7913" w:rsidRDefault="00E037E0" w:rsidP="003F2F76">
            <w:pPr>
              <w:rPr>
                <w:sz w:val="16"/>
                <w:szCs w:val="16"/>
                <w:lang w:val="es-ES"/>
              </w:rPr>
            </w:pPr>
            <w:r w:rsidRPr="00AE7913">
              <w:rPr>
                <w:sz w:val="16"/>
                <w:szCs w:val="16"/>
                <w:lang w:val="es-ES"/>
              </w:rPr>
              <w:t>Incluida la eliminación de 4,4 toneladas PAO aprobadas en la 76</w:t>
            </w:r>
            <w:r w:rsidRPr="00AE7913">
              <w:rPr>
                <w:sz w:val="16"/>
                <w:szCs w:val="16"/>
                <w:vertAlign w:val="superscript"/>
                <w:lang w:val="es-ES"/>
              </w:rPr>
              <w:t>a</w:t>
            </w:r>
            <w:r w:rsidRPr="00AE7913">
              <w:rPr>
                <w:sz w:val="16"/>
                <w:szCs w:val="16"/>
                <w:lang w:val="es-ES"/>
              </w:rPr>
              <w:t xml:space="preserve"> reunión e incorporada en el presente Acuerdo.</w:t>
            </w:r>
          </w:p>
          <w:p w:rsidR="00E037E0" w:rsidRPr="00AE7913" w:rsidRDefault="00E037E0" w:rsidP="003F2F76">
            <w:pPr>
              <w:rPr>
                <w:color w:val="000000"/>
                <w:sz w:val="16"/>
                <w:szCs w:val="16"/>
                <w:lang w:val="es-ES"/>
              </w:rPr>
            </w:pPr>
            <w:r w:rsidRPr="00AE7913">
              <w:rPr>
                <w:color w:val="000000"/>
                <w:sz w:val="16"/>
                <w:szCs w:val="16"/>
                <w:lang w:val="es-ES"/>
              </w:rPr>
              <w:t>Fecha de terminación de la etapa I conforme al Acuerdo de la etapa I: 31 de diciembre de 2019.</w:t>
            </w:r>
          </w:p>
        </w:tc>
        <w:tc>
          <w:tcPr>
            <w:tcW w:w="1082" w:type="dxa"/>
            <w:tcBorders>
              <w:top w:val="single" w:sz="4" w:space="0" w:color="auto"/>
            </w:tcBorders>
            <w:shd w:val="clear" w:color="000000" w:fill="FFFFFF"/>
          </w:tcPr>
          <w:p w:rsidR="00E037E0" w:rsidRPr="00AE7913" w:rsidRDefault="00E037E0" w:rsidP="003F2F76">
            <w:pPr>
              <w:jc w:val="right"/>
              <w:rPr>
                <w:color w:val="000000"/>
                <w:sz w:val="18"/>
                <w:szCs w:val="18"/>
                <w:lang w:val="es-ES"/>
              </w:rPr>
            </w:pPr>
          </w:p>
        </w:tc>
      </w:tr>
      <w:tr w:rsidR="00E037E0" w:rsidRPr="00702B6C" w:rsidTr="003F2F76">
        <w:trPr>
          <w:trHeight w:val="255"/>
          <w:jc w:val="center"/>
        </w:trPr>
        <w:tc>
          <w:tcPr>
            <w:tcW w:w="629" w:type="dxa"/>
            <w:shd w:val="clear" w:color="auto" w:fill="auto"/>
            <w:noWrap/>
          </w:tcPr>
          <w:p w:rsidR="00E037E0" w:rsidRPr="00AE7913" w:rsidRDefault="00E037E0" w:rsidP="003F2F76">
            <w:pPr>
              <w:jc w:val="left"/>
              <w:rPr>
                <w:color w:val="000000"/>
                <w:sz w:val="18"/>
                <w:szCs w:val="18"/>
                <w:lang w:val="es-ES"/>
              </w:rPr>
            </w:pPr>
          </w:p>
        </w:tc>
        <w:tc>
          <w:tcPr>
            <w:tcW w:w="9358" w:type="dxa"/>
            <w:gridSpan w:val="10"/>
            <w:shd w:val="clear" w:color="auto" w:fill="auto"/>
          </w:tcPr>
          <w:p w:rsidR="00E037E0" w:rsidRPr="00AE7913" w:rsidRDefault="00E037E0" w:rsidP="003F2F76">
            <w:pPr>
              <w:rPr>
                <w:sz w:val="16"/>
                <w:szCs w:val="16"/>
                <w:lang w:val="es-ES"/>
              </w:rPr>
            </w:pPr>
          </w:p>
        </w:tc>
        <w:tc>
          <w:tcPr>
            <w:tcW w:w="1082" w:type="dxa"/>
            <w:shd w:val="clear" w:color="000000" w:fill="FFFFFF"/>
          </w:tcPr>
          <w:p w:rsidR="00E037E0" w:rsidRPr="00AE7913" w:rsidRDefault="00E037E0" w:rsidP="003F2F76">
            <w:pPr>
              <w:jc w:val="right"/>
              <w:rPr>
                <w:color w:val="000000"/>
                <w:sz w:val="18"/>
                <w:szCs w:val="18"/>
                <w:lang w:val="es-ES"/>
              </w:rPr>
            </w:pPr>
          </w:p>
        </w:tc>
      </w:tr>
    </w:tbl>
    <w:p w:rsidR="00E037E0" w:rsidRPr="00AE7913" w:rsidRDefault="00E037E0" w:rsidP="003F2F76">
      <w:pPr>
        <w:rPr>
          <w:lang w:val="es-ES"/>
        </w:rPr>
      </w:pPr>
    </w:p>
    <w:p w:rsidR="00E037E0" w:rsidRPr="00AE7913" w:rsidRDefault="00E037E0" w:rsidP="003F2F76">
      <w:pPr>
        <w:rPr>
          <w:lang w:val="es-ES"/>
        </w:rPr>
      </w:pPr>
    </w:p>
    <w:p w:rsidR="00E037E0" w:rsidRPr="00AE7913" w:rsidRDefault="00E037E0" w:rsidP="003F2F76">
      <w:pPr>
        <w:rPr>
          <w:lang w:val="es-ES"/>
        </w:rPr>
      </w:pPr>
    </w:p>
    <w:p w:rsidR="00E037E0" w:rsidRPr="00AE7913" w:rsidRDefault="00E037E0" w:rsidP="003F2F76">
      <w:pPr>
        <w:rPr>
          <w:lang w:val="es-ES"/>
        </w:rPr>
      </w:pPr>
    </w:p>
    <w:p w:rsidR="00E037E0" w:rsidRPr="00AE7913" w:rsidRDefault="00E037E0" w:rsidP="003F2F76">
      <w:pPr>
        <w:rPr>
          <w:lang w:val="es-ES"/>
        </w:rPr>
      </w:pPr>
    </w:p>
    <w:p w:rsidR="00E037E0" w:rsidRPr="00AE7913" w:rsidRDefault="00E037E0" w:rsidP="003F2F76">
      <w:pPr>
        <w:rPr>
          <w:lang w:val="es-ES"/>
        </w:rPr>
      </w:pPr>
    </w:p>
    <w:p w:rsidR="008B323F" w:rsidRPr="00AE7913" w:rsidRDefault="008B323F" w:rsidP="003F2F76">
      <w:pPr>
        <w:jc w:val="center"/>
        <w:rPr>
          <w:lang w:val="es-ES"/>
        </w:rPr>
      </w:pPr>
      <w:bookmarkStart w:id="0" w:name="_GoBack"/>
      <w:bookmarkEnd w:id="0"/>
    </w:p>
    <w:sectPr w:rsidR="008B323F" w:rsidRPr="00AE7913">
      <w:head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30E" w:rsidRDefault="002D230E">
      <w:r>
        <w:separator/>
      </w:r>
    </w:p>
  </w:endnote>
  <w:endnote w:type="continuationSeparator" w:id="0">
    <w:p w:rsidR="002D230E" w:rsidRDefault="002D2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5D053E">
    <w:pPr>
      <w:jc w:val="center"/>
    </w:pPr>
    <w:r>
      <w:fldChar w:fldCharType="begin"/>
    </w:r>
    <w:r>
      <w:instrText xml:space="preserve"> PAGE </w:instrText>
    </w:r>
    <w:r>
      <w:fldChar w:fldCharType="separate"/>
    </w:r>
    <w:r w:rsidR="00702B6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5D053E">
    <w:pPr>
      <w:jc w:val="center"/>
    </w:pPr>
    <w:r>
      <w:fldChar w:fldCharType="begin"/>
    </w:r>
    <w:r>
      <w:instrText xml:space="preserve"> PAGE </w:instrText>
    </w:r>
    <w:r>
      <w:fldChar w:fldCharType="separate"/>
    </w:r>
    <w:r w:rsidR="00702B6C">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5D053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5D053E" w:rsidRDefault="005D053E">
        <w:pPr>
          <w:pStyle w:val="Footer"/>
          <w:jc w:val="center"/>
        </w:pPr>
        <w:r>
          <w:fldChar w:fldCharType="begin"/>
        </w:r>
        <w:r>
          <w:instrText xml:space="preserve"> PAGE   \* MERGEFORMAT </w:instrText>
        </w:r>
        <w:r>
          <w:fldChar w:fldCharType="separate"/>
        </w:r>
        <w:r w:rsidR="00702B6C">
          <w:rPr>
            <w:noProof/>
          </w:rPr>
          <w:t>1</w:t>
        </w:r>
        <w:r>
          <w:rPr>
            <w:noProof/>
          </w:rPr>
          <w:fldChar w:fldCharType="end"/>
        </w:r>
      </w:p>
    </w:sdtContent>
  </w:sdt>
  <w:p w:rsidR="005D053E" w:rsidRDefault="005D05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30E" w:rsidRDefault="002D230E">
      <w:r>
        <w:separator/>
      </w:r>
    </w:p>
  </w:footnote>
  <w:footnote w:type="continuationSeparator" w:id="0">
    <w:p w:rsidR="002D230E" w:rsidRDefault="002D230E">
      <w:r>
        <w:continuationSeparator/>
      </w:r>
    </w:p>
  </w:footnote>
  <w:footnote w:id="1">
    <w:p w:rsidR="005D053E" w:rsidRPr="00153F8E" w:rsidRDefault="005D053E" w:rsidP="003F2F76">
      <w:pPr>
        <w:pStyle w:val="FootnoteText"/>
      </w:pPr>
      <w:r>
        <w:rPr>
          <w:rStyle w:val="FootnoteReference"/>
        </w:rPr>
        <w:footnoteRef/>
      </w:r>
      <w:r>
        <w:t xml:space="preserve"> Incluidas seis empresas (para las que se aprobó financiación en la 62</w:t>
      </w:r>
      <w:r>
        <w:rPr>
          <w:vertAlign w:val="superscript"/>
        </w:rPr>
        <w:t>a</w:t>
      </w:r>
      <w:r>
        <w:t xml:space="preserve"> reunión) que se incorporaron en la etapa I en la 65</w:t>
      </w:r>
      <w:r>
        <w:rPr>
          <w:vertAlign w:val="superscript"/>
        </w:rPr>
        <w:t>a </w:t>
      </w:r>
      <w:r>
        <w:t>reunión. El proyecto de eliminación de HC</w:t>
      </w:r>
      <w:r w:rsidR="0013300C">
        <w:t>FC</w:t>
      </w:r>
      <w:r w:rsidR="0013300C">
        <w:noBreakHyphen/>
      </w:r>
      <w:r>
        <w:t>141b en Delta Electric Appliances, con un costo total de 422 740 $EUA, más gastos de apoyo del organismo, se aprobó en la 62ª reunión; tras la compra de la empresa por una entidad de un país que no opera al amparo del artículo 5, el proyecto había sido cancelado y los fondos aprobados se habían devuelto a la 70ª reunión.</w:t>
      </w:r>
    </w:p>
  </w:footnote>
  <w:footnote w:id="2">
    <w:p w:rsidR="005D053E" w:rsidRPr="00885A11" w:rsidRDefault="005D053E" w:rsidP="003F2F76">
      <w:pPr>
        <w:pStyle w:val="FootnoteText"/>
      </w:pPr>
      <w:r>
        <w:rPr>
          <w:rStyle w:val="FootnoteReference"/>
        </w:rPr>
        <w:footnoteRef/>
      </w:r>
      <w:r>
        <w:t xml:space="preserve"> Arreglos de ejecución de proyecto del PNUD.</w:t>
      </w:r>
    </w:p>
  </w:footnote>
  <w:footnote w:id="3">
    <w:p w:rsidR="005D053E" w:rsidRPr="00147D02" w:rsidRDefault="005D053E" w:rsidP="003F2F76">
      <w:pPr>
        <w:pStyle w:val="FootnoteText"/>
      </w:pPr>
      <w:r>
        <w:rPr>
          <w:rStyle w:val="FootnoteReference"/>
        </w:rPr>
        <w:footnoteRef/>
      </w:r>
      <w:r>
        <w:t xml:space="preserve"> BTU = Unidad térmica británica. En toneladas de refrigeración (TR), 12 000 a 24 000 BTU/h equivalen a 1 a 2 TR.</w:t>
      </w:r>
    </w:p>
  </w:footnote>
  <w:footnote w:id="4">
    <w:p w:rsidR="005D053E" w:rsidRPr="00BC1382" w:rsidRDefault="005D053E" w:rsidP="003F2F76">
      <w:pPr>
        <w:pStyle w:val="FootnoteText"/>
      </w:pPr>
      <w:r>
        <w:rPr>
          <w:rStyle w:val="FootnoteReference"/>
        </w:rPr>
        <w:footnoteRef/>
      </w:r>
      <w:r>
        <w:t xml:space="preserve"> 120 000 BTU/h = 10 TR.</w:t>
      </w:r>
    </w:p>
  </w:footnote>
  <w:footnote w:id="5">
    <w:p w:rsidR="005D053E" w:rsidRPr="000152CA" w:rsidRDefault="005D053E" w:rsidP="003F2F76">
      <w:pPr>
        <w:pStyle w:val="FootnoteText"/>
      </w:pPr>
      <w:r>
        <w:rPr>
          <w:rStyle w:val="FootnoteReference"/>
        </w:rPr>
        <w:footnoteRef/>
      </w:r>
      <w:r>
        <w:t xml:space="preserve"> Además, en la 62ª reunión, se aprobaron 2 371 840 $EUA más gastos de apoyo del organismo para seis proyectos de inversión que se incluyeron en la etapa I (excluida la financiación para Delta Electric Appliances que posteriormente se retiró de la etapa I).</w:t>
      </w:r>
    </w:p>
  </w:footnote>
  <w:footnote w:id="6">
    <w:p w:rsidR="005D053E" w:rsidRPr="00244E24" w:rsidRDefault="005D053E" w:rsidP="003F2F76">
      <w:pPr>
        <w:pStyle w:val="FootnoteText"/>
      </w:pPr>
      <w:r>
        <w:rPr>
          <w:rStyle w:val="FootnoteReference"/>
        </w:rPr>
        <w:footnoteRef/>
      </w:r>
      <w:r>
        <w:t xml:space="preserve"> Hojas de datos e informes finales para proyectos de demostración sobre alternativas de bajo PCA a las tecnologías a base de HCFC, </w:t>
      </w:r>
      <w:hyperlink r:id="rId1" w:history="1">
        <w:r>
          <w:rPr>
            <w:rStyle w:val="Hyperlink"/>
          </w:rPr>
          <w:t>http://multilateralfund.org/Our%20Work/DemonProject/default.aspx</w:t>
        </w:r>
      </w:hyperlink>
    </w:p>
  </w:footnote>
  <w:footnote w:id="7">
    <w:p w:rsidR="005D053E" w:rsidRPr="005B0315" w:rsidRDefault="005D053E" w:rsidP="003F2F76">
      <w:pPr>
        <w:pStyle w:val="FootnoteText"/>
      </w:pPr>
      <w:r>
        <w:rPr>
          <w:rStyle w:val="FootnoteReference"/>
        </w:rPr>
        <w:footnoteRef/>
      </w:r>
      <w:r>
        <w:t xml:space="preserve"> Programa de Evaluación de Refrigerantes Alternativos del AHRI http://www.ahrinet.org/arep.</w:t>
      </w:r>
    </w:p>
  </w:footnote>
  <w:footnote w:id="8">
    <w:p w:rsidR="005D053E" w:rsidRPr="005B0315" w:rsidRDefault="005D053E" w:rsidP="003F2F76">
      <w:pPr>
        <w:pStyle w:val="FootnoteText"/>
      </w:pPr>
      <w:r>
        <w:rPr>
          <w:rStyle w:val="FootnoteReference"/>
        </w:rPr>
        <w:footnoteRef/>
      </w:r>
      <w:r>
        <w:t xml:space="preserve"> Abdelaziz 2015 Abdelaziz O, Shrestha S, Munk J, Linkous R, Goetzler W, Guernsey M y Kassuga T, 2015. </w:t>
      </w:r>
      <w:r w:rsidRPr="00912F1D">
        <w:rPr>
          <w:lang w:val="en-CA"/>
        </w:rPr>
        <w:t xml:space="preserve">“Alternative Refrigerant Evaluation for High-Ambient-Temperature Environments: </w:t>
      </w:r>
      <w:r w:rsidR="0013300C" w:rsidRPr="00912F1D">
        <w:rPr>
          <w:lang w:val="en-CA"/>
        </w:rPr>
        <w:t>R</w:t>
      </w:r>
      <w:r w:rsidR="0013300C" w:rsidRPr="00912F1D">
        <w:rPr>
          <w:lang w:val="en-CA"/>
        </w:rPr>
        <w:noBreakHyphen/>
      </w:r>
      <w:r w:rsidRPr="00912F1D">
        <w:rPr>
          <w:lang w:val="en-CA"/>
        </w:rPr>
        <w:t xml:space="preserve">22 and </w:t>
      </w:r>
      <w:r w:rsidR="0013300C" w:rsidRPr="00912F1D">
        <w:rPr>
          <w:lang w:val="en-CA"/>
        </w:rPr>
        <w:t>R</w:t>
      </w:r>
      <w:r w:rsidR="0013300C" w:rsidRPr="00912F1D">
        <w:rPr>
          <w:lang w:val="en-CA"/>
        </w:rPr>
        <w:noBreakHyphen/>
      </w:r>
      <w:r w:rsidRPr="00912F1D">
        <w:rPr>
          <w:lang w:val="en-CA"/>
        </w:rPr>
        <w:t xml:space="preserve">410A Alternatives for Mini-Split Air Conditioners”, ORNL/TM-2015/536. </w:t>
      </w:r>
      <w:r>
        <w:t>Disponible en: https://www.energy.gov/sites/prod/files/2015/10/f27/bto_pub59157_101515.pdf.</w:t>
      </w:r>
    </w:p>
  </w:footnote>
  <w:footnote w:id="9">
    <w:p w:rsidR="005D053E" w:rsidRPr="005B0315" w:rsidRDefault="005D053E" w:rsidP="003F2F76">
      <w:pPr>
        <w:pStyle w:val="FootnoteText"/>
      </w:pPr>
      <w:r>
        <w:rPr>
          <w:rStyle w:val="FootnoteReference"/>
        </w:rPr>
        <w:footnoteRef/>
      </w:r>
      <w:r>
        <w:t xml:space="preserve"> Informe de</w:t>
      </w:r>
      <w:r w:rsidR="00E71452">
        <w:t>l</w:t>
      </w:r>
      <w:r>
        <w:t xml:space="preserve"> proyecto PRAHA: </w:t>
      </w:r>
      <w:r w:rsidR="00E71452" w:rsidRPr="00E71452">
        <w:t>https://www.unenvironment.org/resources/report/promoting-low-gwp-refrigerants-air-conditioning-sectors-high-ambient-temperature</w:t>
      </w:r>
      <w:r w:rsidR="00E71452">
        <w:t>.</w:t>
      </w:r>
    </w:p>
  </w:footnote>
  <w:footnote w:id="10">
    <w:p w:rsidR="005D053E" w:rsidRPr="00270A25" w:rsidRDefault="005D053E" w:rsidP="003F2F76">
      <w:pPr>
        <w:pStyle w:val="FootnoteText"/>
      </w:pPr>
      <w:r>
        <w:rPr>
          <w:rStyle w:val="FootnoteReference"/>
        </w:rPr>
        <w:footnoteRef/>
      </w:r>
      <w:r>
        <w:t xml:space="preserve"> Según la nota del 18 de septiembre de 2019 enviada por el Ministerio de Medio Ambiente de Egipto al PNUD.</w:t>
      </w:r>
    </w:p>
  </w:footnote>
  <w:footnote w:id="11">
    <w:p w:rsidR="005D053E" w:rsidRPr="00270A25" w:rsidRDefault="005D053E" w:rsidP="003F2F76">
      <w:pPr>
        <w:pStyle w:val="FootnoteText"/>
      </w:pPr>
      <w:r>
        <w:rPr>
          <w:rStyle w:val="FootnoteReference"/>
        </w:rPr>
        <w:footnoteRef/>
      </w:r>
      <w:r>
        <w:t xml:space="preserve"> Según la nota del 18 de septiembre de 2019 enviada por el Ministerio de Medio Ambiente de Egipto al PNUD.</w:t>
      </w:r>
    </w:p>
  </w:footnote>
  <w:footnote w:id="12">
    <w:p w:rsidR="005D053E" w:rsidRPr="001C18EE" w:rsidRDefault="005D053E" w:rsidP="003F2F76">
      <w:pPr>
        <w:pStyle w:val="FootnoteText"/>
      </w:pPr>
      <w:r>
        <w:rPr>
          <w:rStyle w:val="FootnoteReference"/>
        </w:rPr>
        <w:footnoteRef/>
      </w:r>
      <w:r>
        <w:t xml:space="preserve"> Arreglos de ejecución de proyecto de la ONUDI.</w:t>
      </w:r>
    </w:p>
  </w:footnote>
  <w:footnote w:id="13">
    <w:p w:rsidR="005D053E" w:rsidRPr="001C18EE" w:rsidRDefault="005D053E" w:rsidP="003F2F76">
      <w:pPr>
        <w:pStyle w:val="FootnoteText"/>
      </w:pPr>
      <w:r>
        <w:rPr>
          <w:rStyle w:val="FootnoteReference"/>
        </w:rPr>
        <w:footnoteRef/>
      </w:r>
      <w:r>
        <w:t xml:space="preserve"> Arreglos de ejecución de proyecto del PNUD.</w:t>
      </w:r>
    </w:p>
  </w:footnote>
  <w:footnote w:id="14">
    <w:p w:rsidR="005D053E" w:rsidRPr="00426109" w:rsidRDefault="005D053E" w:rsidP="003F2F76">
      <w:pPr>
        <w:pStyle w:val="FootnoteText"/>
      </w:pPr>
      <w:r>
        <w:rPr>
          <w:rStyle w:val="FootnoteReference"/>
        </w:rPr>
        <w:footnoteRef/>
      </w:r>
      <w:r>
        <w:t xml:space="preserve"> En Egipto, hay tres sistemas de certificación: uno conducido por el Ministerio de Trabajo, otro bajo un programa de capacitación vocacional y, el tercero, que es parte del programa de educación técnica conducido por el Ministerio de Educación. Actualmente, se requieren certificados de cualificaciones mínimas según la profesión y el empleador; cada uno de los tres programas ofrecen a los técnicos las cualificaciones que requiere el mercado; sin embargo, las mejores prácticas de servicio y mantenimiento y las mejores prácticas relacionadas con el manejo de refrigerantes inflamables, no forman parte de los requisitos. </w:t>
      </w:r>
    </w:p>
  </w:footnote>
  <w:footnote w:id="15">
    <w:p w:rsidR="005D053E" w:rsidRDefault="005D053E" w:rsidP="003F2F76">
      <w:pPr>
        <w:pStyle w:val="FootnoteText"/>
      </w:pPr>
      <w:r>
        <w:rPr>
          <w:rStyle w:val="FootnoteReference"/>
        </w:rPr>
        <w:footnoteRef/>
      </w:r>
      <w:r>
        <w:t xml:space="preserve"> Disponible en </w:t>
      </w:r>
      <w:hyperlink r:id="rId2" w:history="1">
        <w:r>
          <w:rPr>
            <w:rStyle w:val="Hyperlink"/>
          </w:rPr>
          <w:t>https://ozone.unep.org/sites/default/files/2019-04/RTOC-assessment-report-2018_0.pdf</w:t>
        </w:r>
      </w:hyperlink>
      <w:r>
        <w:t>.</w:t>
      </w:r>
    </w:p>
  </w:footnote>
  <w:footnote w:id="16">
    <w:p w:rsidR="005D053E" w:rsidRDefault="005D053E" w:rsidP="003F2F76">
      <w:pPr>
        <w:pStyle w:val="FootnoteText"/>
      </w:pPr>
      <w:r>
        <w:rPr>
          <w:rStyle w:val="FootnoteReference"/>
        </w:rPr>
        <w:footnoteRef/>
      </w:r>
      <w:r>
        <w:t xml:space="preserve"> Párrafo 56 del documento UNEP/OzL.Pro/ExCom/79/32.</w:t>
      </w:r>
    </w:p>
  </w:footnote>
  <w:footnote w:id="17">
    <w:p w:rsidR="005D053E" w:rsidRDefault="005D053E" w:rsidP="003F2F76">
      <w:pPr>
        <w:pStyle w:val="FootnoteText"/>
      </w:pPr>
      <w:r>
        <w:t>* El consumo máximo permitido total de sustancias del Grupo I del Anexo C se reduciría otras 10 toneladas PAO como máximo al aprobarse un plan para el sector del aire acondicionado doméstico como parte de la etapa II.</w:t>
      </w:r>
    </w:p>
  </w:footnote>
  <w:footnote w:id="18">
    <w:p w:rsidR="005D053E" w:rsidRPr="005B0315" w:rsidRDefault="005D053E" w:rsidP="00277AE4">
      <w:pPr>
        <w:pStyle w:val="FootnoteText"/>
      </w:pPr>
      <w:r>
        <w:rPr>
          <w:rStyle w:val="FootnoteReference"/>
        </w:rPr>
        <w:footnoteRef/>
      </w:r>
      <w:r>
        <w:t xml:space="preserve"> Programa de Evaluación de Refrigerantes Alternativos del AHRI http://www.ahrinet.org/arep.</w:t>
      </w:r>
    </w:p>
  </w:footnote>
  <w:footnote w:id="19">
    <w:p w:rsidR="005D053E" w:rsidRPr="005B0315" w:rsidRDefault="005D053E" w:rsidP="00277AE4">
      <w:pPr>
        <w:pStyle w:val="FootnoteText"/>
      </w:pPr>
      <w:r>
        <w:rPr>
          <w:rStyle w:val="FootnoteReference"/>
        </w:rPr>
        <w:footnoteRef/>
      </w:r>
      <w:r>
        <w:t xml:space="preserve"> Abdelaziz 2015 Abdelaziz O, Shrestha S, Munk J, Linkous R, Goetzler W, Guernsey M y Kassuga T, 2015. </w:t>
      </w:r>
      <w:r w:rsidRPr="00912F1D">
        <w:rPr>
          <w:lang w:val="en-CA"/>
        </w:rPr>
        <w:t xml:space="preserve">“Alternative Refrigerant Evaluation for High-Ambient-Temperature Environments: </w:t>
      </w:r>
      <w:r w:rsidR="0013300C" w:rsidRPr="00912F1D">
        <w:rPr>
          <w:lang w:val="en-CA"/>
        </w:rPr>
        <w:t>R</w:t>
      </w:r>
      <w:r w:rsidR="0013300C" w:rsidRPr="00912F1D">
        <w:rPr>
          <w:lang w:val="en-CA"/>
        </w:rPr>
        <w:noBreakHyphen/>
      </w:r>
      <w:r w:rsidRPr="00912F1D">
        <w:rPr>
          <w:lang w:val="en-CA"/>
        </w:rPr>
        <w:t xml:space="preserve">22 and </w:t>
      </w:r>
      <w:r w:rsidR="0013300C" w:rsidRPr="00912F1D">
        <w:rPr>
          <w:lang w:val="en-CA"/>
        </w:rPr>
        <w:t>R</w:t>
      </w:r>
      <w:r w:rsidR="0013300C" w:rsidRPr="00912F1D">
        <w:rPr>
          <w:lang w:val="en-CA"/>
        </w:rPr>
        <w:noBreakHyphen/>
      </w:r>
      <w:r w:rsidRPr="00912F1D">
        <w:rPr>
          <w:lang w:val="en-CA"/>
        </w:rPr>
        <w:t xml:space="preserve">410A Alternatives for Mini-Split Air Conditioners”, ORNL/TM-2015/536. </w:t>
      </w:r>
      <w:r>
        <w:t>Disponible en: https://www.energy.gov/sites/prod/files/2015/10/f27/bto_pub59157_101515.pdf.</w:t>
      </w:r>
    </w:p>
  </w:footnote>
  <w:footnote w:id="20">
    <w:p w:rsidR="005D053E" w:rsidRPr="005B0315" w:rsidRDefault="005D053E" w:rsidP="00277AE4">
      <w:pPr>
        <w:pStyle w:val="FootnoteText"/>
      </w:pPr>
      <w:r>
        <w:rPr>
          <w:rStyle w:val="FootnoteReference"/>
        </w:rPr>
        <w:footnoteRef/>
      </w:r>
      <w:r>
        <w:t xml:space="preserve"> Informe del proyecto PRAHA: </w:t>
      </w:r>
      <w:r w:rsidR="0013300C" w:rsidRPr="0013300C">
        <w:t>https://www.unenvironment.org/resources/report/promoting-low-gwp-refrigerants-air-conditioning-sectors-high-ambient-temperature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214B14">
    <w:fldSimple w:instr=" DOCPROPERTY &quot;Document number&quot;  \* MERGEFORMAT ">
      <w:r w:rsidR="008A5D72">
        <w:t>UNEP/OzL.Pro/ExCom/84/49</w:t>
      </w:r>
    </w:fldSimple>
  </w:p>
  <w:p w:rsidR="005D053E" w:rsidRDefault="005D053E"/>
  <w:p w:rsidR="005D053E" w:rsidRDefault="005D053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214B14">
    <w:pPr>
      <w:jc w:val="right"/>
    </w:pPr>
    <w:fldSimple w:instr=" DOCPROPERTY &quot;Document number&quot;  \* MERGEFORMAT ">
      <w:r w:rsidR="008A5D72">
        <w:t>UNEP/OzL.Pro/ExCom/84/49</w:t>
      </w:r>
    </w:fldSimple>
  </w:p>
  <w:p w:rsidR="005D053E" w:rsidRDefault="005D053E"/>
  <w:p w:rsidR="005D053E" w:rsidRDefault="005D053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Pr="0033525D" w:rsidRDefault="00214B14">
    <w:fldSimple w:instr=" DOCPROPERTY &quot;Document number&quot;  \* MERGEFORMAT ">
      <w:r w:rsidR="005D053E">
        <w:t>UNEP/OzL.Pro/ExCom/84/49</w:t>
      </w:r>
    </w:fldSimple>
  </w:p>
  <w:p w:rsidR="005D053E" w:rsidRDefault="005D053E">
    <w:r>
      <w:t>Anexo I</w:t>
    </w:r>
  </w:p>
  <w:p w:rsidR="005D053E" w:rsidRPr="0033525D" w:rsidRDefault="005D053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Pr="0033525D" w:rsidRDefault="00214B14">
    <w:pPr>
      <w:jc w:val="right"/>
    </w:pPr>
    <w:fldSimple w:instr=" DOCPROPERTY &quot;Document number&quot;  \* MERGEFORMAT ">
      <w:r w:rsidR="005D053E">
        <w:t>UNEP/OzL.Pro/ExCom/84/49</w:t>
      </w:r>
    </w:fldSimple>
  </w:p>
  <w:p w:rsidR="005D053E" w:rsidRDefault="005D053E" w:rsidP="003F2F76">
    <w:pPr>
      <w:jc w:val="right"/>
    </w:pPr>
    <w:r>
      <w:t>Anexo I</w:t>
    </w:r>
  </w:p>
  <w:p w:rsidR="005D053E" w:rsidRPr="0033525D" w:rsidRDefault="005D053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5D053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Pr="0033525D" w:rsidRDefault="00214B14">
    <w:fldSimple w:instr=" DOCPROPERTY &quot;Document number&quot;  \* MERGEFORMAT ">
      <w:r w:rsidR="005D053E">
        <w:t>UNEP/OzL.Pro/ExCom/84/49</w:t>
      </w:r>
    </w:fldSimple>
  </w:p>
  <w:p w:rsidR="005D053E" w:rsidRDefault="005D053E">
    <w:r>
      <w:t>Anexo II</w:t>
    </w:r>
  </w:p>
  <w:p w:rsidR="005D053E" w:rsidRPr="0033525D" w:rsidRDefault="005D053E"/>
  <w:p w:rsidR="005D053E" w:rsidRPr="0033525D" w:rsidRDefault="005D053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53E" w:rsidRDefault="00214B14">
    <w:pPr>
      <w:jc w:val="right"/>
    </w:pPr>
    <w:fldSimple w:instr=" DOCPROPERTY &quot;Document number&quot;  \* MERGEFORMAT ">
      <w:r>
        <w:t>UNEP/OzL.Pro/ExCom/84/49</w:t>
      </w:r>
    </w:fldSimple>
  </w:p>
  <w:p w:rsidR="005D053E" w:rsidRDefault="005D053E">
    <w:pPr>
      <w:jc w:val="right"/>
    </w:pPr>
    <w:r>
      <w:t>Anexo II</w:t>
    </w:r>
  </w:p>
  <w:p w:rsidR="005D053E" w:rsidRDefault="005D053E"/>
  <w:p w:rsidR="005D053E" w:rsidRDefault="005D05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FE81D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0"/>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55A"/>
    <w:rsid w:val="00106F6E"/>
    <w:rsid w:val="00114CAA"/>
    <w:rsid w:val="0013300C"/>
    <w:rsid w:val="00155682"/>
    <w:rsid w:val="001C2D22"/>
    <w:rsid w:val="001E4BE7"/>
    <w:rsid w:val="001F4047"/>
    <w:rsid w:val="00214B14"/>
    <w:rsid w:val="00235D4C"/>
    <w:rsid w:val="0024162E"/>
    <w:rsid w:val="00245208"/>
    <w:rsid w:val="00277AE4"/>
    <w:rsid w:val="0028014D"/>
    <w:rsid w:val="002D230E"/>
    <w:rsid w:val="003863A4"/>
    <w:rsid w:val="003A6BB2"/>
    <w:rsid w:val="003B7115"/>
    <w:rsid w:val="003C37A5"/>
    <w:rsid w:val="003F2F76"/>
    <w:rsid w:val="00455352"/>
    <w:rsid w:val="00476E28"/>
    <w:rsid w:val="00492EDA"/>
    <w:rsid w:val="005D053E"/>
    <w:rsid w:val="00702B6C"/>
    <w:rsid w:val="007540B6"/>
    <w:rsid w:val="007B0841"/>
    <w:rsid w:val="00831BC5"/>
    <w:rsid w:val="0087455A"/>
    <w:rsid w:val="008A5D72"/>
    <w:rsid w:val="008B323F"/>
    <w:rsid w:val="00912F1D"/>
    <w:rsid w:val="00977EF3"/>
    <w:rsid w:val="00AB56E5"/>
    <w:rsid w:val="00AE7913"/>
    <w:rsid w:val="00BD24E9"/>
    <w:rsid w:val="00C14E67"/>
    <w:rsid w:val="00C31015"/>
    <w:rsid w:val="00D45D4E"/>
    <w:rsid w:val="00DB795B"/>
    <w:rsid w:val="00E037E0"/>
    <w:rsid w:val="00E17F97"/>
    <w:rsid w:val="00E71452"/>
    <w:rsid w:val="00EB6346"/>
    <w:rsid w:val="00F10CD9"/>
    <w:rsid w:val="00F25F7C"/>
    <w:rsid w:val="00F54CEA"/>
    <w:rsid w:val="00FC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AEF4B"/>
  <w15:docId w15:val="{142F69AC-72B1-42FD-BDFB-3B9952E5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1"/>
      </w:numPr>
      <w:spacing w:after="240"/>
      <w:outlineLvl w:val="2"/>
    </w:pPr>
  </w:style>
  <w:style w:type="paragraph" w:styleId="Heading4">
    <w:name w:val="heading 4"/>
    <w:aliases w:val="Heading 11,para 4,Título 41,heading 4,Heading 41"/>
    <w:basedOn w:val="Normal"/>
    <w:next w:val="Heading9"/>
    <w:qFormat/>
    <w:pPr>
      <w:keepNext/>
      <w:numPr>
        <w:ilvl w:val="3"/>
        <w:numId w:val="2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1"/>
      </w:numPr>
      <w:spacing w:before="240" w:after="60"/>
      <w:outlineLvl w:val="5"/>
    </w:pPr>
    <w:rPr>
      <w:rFonts w:ascii="Arial" w:hAnsi="Arial"/>
      <w:i/>
    </w:rPr>
  </w:style>
  <w:style w:type="paragraph" w:styleId="Heading7">
    <w:name w:val="heading 7"/>
    <w:basedOn w:val="Normal"/>
    <w:next w:val="Normal"/>
    <w:qFormat/>
    <w:pPr>
      <w:numPr>
        <w:ilvl w:val="6"/>
        <w:numId w:val="2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3A6BB2"/>
    <w:rPr>
      <w:sz w:val="20"/>
      <w:szCs w:val="20"/>
      <w:lang w:val="es-ES"/>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3A6BB2"/>
    <w:rPr>
      <w:lang w:val="es-ES"/>
    </w:rPr>
  </w:style>
  <w:style w:type="character" w:styleId="FootnoteReference">
    <w:name w:val="footnote reference"/>
    <w:aliases w:val="Footnote Text1,Footnote Text2,Footnote text"/>
    <w:basedOn w:val="DefaultParagraphFont"/>
    <w:uiPriority w:val="99"/>
    <w:unhideWhenUsed/>
    <w:rsid w:val="003A6BB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3A6BB2"/>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3F2F76"/>
    <w:pPr>
      <w:ind w:left="720"/>
      <w:contextualSpacing/>
    </w:pPr>
    <w:rPr>
      <w:lang w:val="es-E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3F2F76"/>
    <w:rPr>
      <w:sz w:val="22"/>
      <w:szCs w:val="22"/>
      <w:lang w:val="es-ES"/>
    </w:rPr>
  </w:style>
  <w:style w:type="character" w:styleId="Hyperlink">
    <w:name w:val="Hyperlink"/>
    <w:basedOn w:val="DefaultParagraphFont"/>
    <w:uiPriority w:val="99"/>
    <w:semiHidden/>
    <w:unhideWhenUsed/>
    <w:rsid w:val="003F2F76"/>
    <w:rPr>
      <w:color w:val="0000FF"/>
      <w:u w:val="single"/>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3F2F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8978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7.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ozone.unep.org/sites/default/files/2019-04/RTOC-assessment-report-2018_0.pdf" TargetMode="External"/><Relationship Id="rId1" Type="http://schemas.openxmlformats.org/officeDocument/2006/relationships/hyperlink" Target="http://multilateralfund.org/Our%20Work/DemonProject/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UNEP/OzL.Pro/ExCom/84/49</Document_x0020_Number>
  </documentManagement>
</p:properties>
</file>

<file path=customXml/itemProps1.xml><?xml version="1.0" encoding="utf-8"?>
<ds:datastoreItem xmlns:ds="http://schemas.openxmlformats.org/officeDocument/2006/customXml" ds:itemID="{A805C1D7-48DA-434C-9A7D-99FEA60D01D1}"/>
</file>

<file path=customXml/itemProps2.xml><?xml version="1.0" encoding="utf-8"?>
<ds:datastoreItem xmlns:ds="http://schemas.openxmlformats.org/officeDocument/2006/customXml" ds:itemID="{0FC1DF51-E074-44F9-A241-FCF126038C00}"/>
</file>

<file path=customXml/itemProps3.xml><?xml version="1.0" encoding="utf-8"?>
<ds:datastoreItem xmlns:ds="http://schemas.openxmlformats.org/officeDocument/2006/customXml" ds:itemID="{52E68861-C611-4056-ABC4-5F73F822B6C8}"/>
</file>

<file path=customXml/itemProps4.xml><?xml version="1.0" encoding="utf-8"?>
<ds:datastoreItem xmlns:ds="http://schemas.openxmlformats.org/officeDocument/2006/customXml" ds:itemID="{C2592240-B117-4EC3-9DAE-F9491ECD352C}"/>
</file>

<file path=docProps/app.xml><?xml version="1.0" encoding="utf-8"?>
<Properties xmlns="http://schemas.openxmlformats.org/officeDocument/2006/extended-properties" xmlns:vt="http://schemas.openxmlformats.org/officeDocument/2006/docPropsVTypes">
  <Template>normal</Template>
  <TotalTime>142</TotalTime>
  <Pages>30</Pages>
  <Words>11966</Words>
  <Characters>68211</Characters>
  <Application>Microsoft Office Word</Application>
  <DocSecurity>0</DocSecurity>
  <Lines>568</Lines>
  <Paragraphs>160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Egipto</vt:lpstr>
      <vt:lpstr/>
    </vt:vector>
  </TitlesOfParts>
  <Company>UNMFS</Company>
  <LinksUpToDate>false</LinksUpToDate>
  <CharactersWithSpaces>80017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Egipto</dc:title>
  <dc:creator>Mulu Alem</dc:creator>
  <cp:lastModifiedBy>HBE</cp:lastModifiedBy>
  <cp:revision>15</cp:revision>
  <cp:lastPrinted>2001-05-26T16:40:00Z</cp:lastPrinted>
  <dcterms:created xsi:type="dcterms:W3CDTF">2019-11-29T22:48:00Z</dcterms:created>
  <dcterms:modified xsi:type="dcterms:W3CDTF">2019-12-07T20:43:00Z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UNEP/OzL.Pro/ExCom/84/49</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