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6BA" w:rsidRDefault="00264ACF" w:rsidP="00264ACF">
      <w:r>
        <w:rPr>
          <w:noProof/>
          <w:lang w:val="en-CA" w:eastAsia="en-CA"/>
        </w:rPr>
        <w:drawing>
          <wp:anchor distT="0" distB="0" distL="114300" distR="114300" simplePos="0" relativeHeight="251658240" behindDoc="1" locked="0" layoutInCell="1" allowOverlap="1">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r w:rsidR="006D1D2D">
        <w:t xml:space="preserve"> </w:t>
      </w:r>
    </w:p>
    <w:p w:rsidR="00D0546C" w:rsidRDefault="00D0546C" w:rsidP="00D0546C">
      <w:pPr>
        <w:tabs>
          <w:tab w:val="left" w:pos="1410"/>
        </w:tabs>
      </w:pPr>
    </w:p>
    <w:p w:rsidR="00D0546C" w:rsidRDefault="00D0546C" w:rsidP="003919B9">
      <w:pPr>
        <w:ind w:left="5040"/>
      </w:pPr>
    </w:p>
    <w:p w:rsidR="003919B9" w:rsidRDefault="005A4390" w:rsidP="003919B9">
      <w:pPr>
        <w:ind w:left="5040"/>
      </w:pPr>
      <w:r>
        <w:t xml:space="preserve"> </w:t>
      </w:r>
      <w:r>
        <w:br/>
        <w:t xml:space="preserve">   </w:t>
      </w:r>
      <w:r w:rsidR="00D0546C">
        <w:br/>
      </w:r>
      <w:r w:rsidR="00D0546C">
        <w:br/>
      </w:r>
      <w:r w:rsidR="00D0546C">
        <w:br/>
      </w:r>
      <w:r w:rsidR="00264ACF">
        <w:t xml:space="preserve">   </w:t>
      </w:r>
      <w:r w:rsidR="00274B49">
        <w:fldChar w:fldCharType="begin"/>
      </w:r>
      <w:r w:rsidR="00274B49">
        <w:instrText xml:space="preserve"> DOCPROPERTY "Document number"  \* MERGEFORMAT </w:instrText>
      </w:r>
      <w:r w:rsidR="00274B49">
        <w:fldChar w:fldCharType="separate"/>
      </w:r>
      <w:r w:rsidR="003B2594">
        <w:t>UNEP/</w:t>
      </w:r>
      <w:proofErr w:type="spellStart"/>
      <w:r w:rsidR="003B2594">
        <w:t>OzL.Pro</w:t>
      </w:r>
      <w:proofErr w:type="spellEnd"/>
      <w:r w:rsidR="003B2594">
        <w:t>/</w:t>
      </w:r>
      <w:proofErr w:type="spellStart"/>
      <w:r w:rsidR="003B2594">
        <w:t>ExCom</w:t>
      </w:r>
      <w:proofErr w:type="spellEnd"/>
      <w:r w:rsidR="003B2594">
        <w:t>/84/67</w:t>
      </w:r>
      <w:r w:rsidR="00274B49">
        <w:fldChar w:fldCharType="end"/>
      </w:r>
      <w:r w:rsidR="003919B9">
        <w:br/>
        <w:t xml:space="preserve">   </w:t>
      </w:r>
      <w:r w:rsidR="003919B9">
        <w:fldChar w:fldCharType="begin"/>
      </w:r>
      <w:r w:rsidR="003919B9">
        <w:instrText xml:space="preserve"> DOCPROPERTY "Revision date" \@ "d MMMM YYYY"  \* MERGEFORMAT </w:instrText>
      </w:r>
      <w:r w:rsidR="003919B9">
        <w:fldChar w:fldCharType="separate"/>
      </w:r>
      <w:r w:rsidR="00814ACD">
        <w:t>15 November 2019</w:t>
      </w:r>
      <w:r w:rsidR="003919B9">
        <w:fldChar w:fldCharType="end"/>
      </w:r>
    </w:p>
    <w:p w:rsidR="003919B9" w:rsidRPr="003F73BA" w:rsidRDefault="003919B9" w:rsidP="003919B9"/>
    <w:p w:rsidR="00EE66BA" w:rsidRDefault="00EE66BA" w:rsidP="001C3C80">
      <w:pPr>
        <w:tabs>
          <w:tab w:val="left" w:pos="8280"/>
        </w:tabs>
      </w:pPr>
    </w:p>
    <w:p w:rsidR="003919B9" w:rsidRDefault="003919B9" w:rsidP="001C3C80">
      <w:pPr>
        <w:tabs>
          <w:tab w:val="left" w:pos="8280"/>
        </w:tabs>
      </w:pPr>
    </w:p>
    <w:p w:rsidR="003919B9" w:rsidRDefault="00D66982" w:rsidP="00D66982">
      <w:pPr>
        <w:tabs>
          <w:tab w:val="left" w:pos="3940"/>
        </w:tabs>
      </w:pPr>
      <w:r>
        <w:tab/>
      </w: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0E59CB" w:rsidRDefault="000E59CB" w:rsidP="00E34208">
      <w:pPr>
        <w:tabs>
          <w:tab w:val="left" w:pos="8280"/>
        </w:tabs>
      </w:pPr>
    </w:p>
    <w:p w:rsidR="004731B8" w:rsidRDefault="004731B8" w:rsidP="00E34208">
      <w:pPr>
        <w:tabs>
          <w:tab w:val="left" w:pos="8280"/>
        </w:tabs>
      </w:pPr>
    </w:p>
    <w:p w:rsidR="00D17060" w:rsidRDefault="00D17060" w:rsidP="00E34208">
      <w:pPr>
        <w:jc w:val="center"/>
        <w:rPr>
          <w:b/>
          <w:lang w:val="en-CA"/>
        </w:rPr>
      </w:pPr>
      <w:r w:rsidRPr="00AF534A">
        <w:rPr>
          <w:b/>
          <w:lang w:val="en-CA"/>
        </w:rPr>
        <w:t>PAPER ON WAYS TO OPERATIONALIZE PARAGRAPH 16 OF DECISION XXVIII/2</w:t>
      </w:r>
      <w:r>
        <w:rPr>
          <w:b/>
          <w:lang w:val="en-CA"/>
        </w:rPr>
        <w:br/>
      </w:r>
      <w:r w:rsidRPr="00AF534A">
        <w:rPr>
          <w:b/>
          <w:lang w:val="en-CA"/>
        </w:rPr>
        <w:t xml:space="preserve">AND PARAGRAPH 2 OF </w:t>
      </w:r>
      <w:r>
        <w:rPr>
          <w:b/>
          <w:lang w:val="en-CA"/>
        </w:rPr>
        <w:t xml:space="preserve">DECISION </w:t>
      </w:r>
      <w:r w:rsidRPr="00AF534A">
        <w:rPr>
          <w:b/>
          <w:lang w:val="en-CA"/>
        </w:rPr>
        <w:t xml:space="preserve">XXX/5 OF THE PARTIES (DECISION </w:t>
      </w:r>
      <w:r w:rsidR="00E479E5">
        <w:rPr>
          <w:b/>
          <w:lang w:val="en-CA"/>
        </w:rPr>
        <w:t>83</w:t>
      </w:r>
      <w:r w:rsidRPr="00AF534A">
        <w:rPr>
          <w:b/>
          <w:lang w:val="en-CA"/>
        </w:rPr>
        <w:t>/</w:t>
      </w:r>
      <w:r w:rsidR="00E479E5">
        <w:rPr>
          <w:b/>
          <w:lang w:val="en-CA"/>
        </w:rPr>
        <w:t>62</w:t>
      </w:r>
      <w:r w:rsidRPr="00AF534A">
        <w:rPr>
          <w:b/>
          <w:lang w:val="en-CA"/>
        </w:rPr>
        <w:t>)</w:t>
      </w:r>
    </w:p>
    <w:p w:rsidR="00052C5C" w:rsidRDefault="00052C5C" w:rsidP="00E34208">
      <w:pPr>
        <w:tabs>
          <w:tab w:val="left" w:pos="8280"/>
        </w:tabs>
        <w:rPr>
          <w:lang w:val="en-CA"/>
        </w:rPr>
      </w:pPr>
    </w:p>
    <w:p w:rsidR="00D17060" w:rsidRPr="00DD2CEF" w:rsidRDefault="00D17060" w:rsidP="00E34208">
      <w:pPr>
        <w:jc w:val="center"/>
        <w:rPr>
          <w:b/>
        </w:rPr>
      </w:pPr>
      <w:r w:rsidRPr="00DD2CEF">
        <w:rPr>
          <w:b/>
        </w:rPr>
        <w:t xml:space="preserve">Note </w:t>
      </w:r>
      <w:r w:rsidR="00E479E5">
        <w:rPr>
          <w:b/>
        </w:rPr>
        <w:t>by</w:t>
      </w:r>
      <w:r w:rsidRPr="00DD2CEF">
        <w:rPr>
          <w:b/>
        </w:rPr>
        <w:t xml:space="preserve"> the Secretariat</w:t>
      </w:r>
    </w:p>
    <w:p w:rsidR="00D17060" w:rsidRDefault="00D17060" w:rsidP="00E34208">
      <w:pPr>
        <w:jc w:val="left"/>
      </w:pPr>
    </w:p>
    <w:p w:rsidR="00D17060" w:rsidRPr="00DD2CEF" w:rsidRDefault="00D17060" w:rsidP="00E34208">
      <w:pPr>
        <w:jc w:val="left"/>
        <w:rPr>
          <w:b/>
          <w:lang w:val="en-US"/>
        </w:rPr>
      </w:pPr>
      <w:r w:rsidRPr="00DD2CEF">
        <w:rPr>
          <w:b/>
        </w:rPr>
        <w:t>Background</w:t>
      </w:r>
    </w:p>
    <w:p w:rsidR="00D17060" w:rsidRDefault="00D17060" w:rsidP="00E34208">
      <w:pPr>
        <w:pStyle w:val="Title1"/>
      </w:pPr>
    </w:p>
    <w:p w:rsidR="00D17060" w:rsidRPr="0057659D" w:rsidRDefault="00EB6456" w:rsidP="00E34208">
      <w:pPr>
        <w:pStyle w:val="Heading1"/>
      </w:pPr>
      <w:r>
        <w:t xml:space="preserve">At </w:t>
      </w:r>
      <w:r w:rsidR="00E479E5">
        <w:t>its</w:t>
      </w:r>
      <w:r w:rsidR="00D17060">
        <w:t xml:space="preserve"> 82</w:t>
      </w:r>
      <w:r w:rsidR="00D17060" w:rsidRPr="00E60E21">
        <w:rPr>
          <w:vertAlign w:val="superscript"/>
        </w:rPr>
        <w:t>nd</w:t>
      </w:r>
      <w:r w:rsidR="00D17060">
        <w:t xml:space="preserve"> meeting</w:t>
      </w:r>
      <w:r w:rsidR="00D17060" w:rsidRPr="00C53778">
        <w:t>,</w:t>
      </w:r>
      <w:r w:rsidR="00D17060">
        <w:t xml:space="preserve"> the Executive Committee </w:t>
      </w:r>
      <w:r w:rsidR="00D17060">
        <w:rPr>
          <w:i/>
        </w:rPr>
        <w:t xml:space="preserve">inter alia </w:t>
      </w:r>
      <w:r w:rsidR="00D17060">
        <w:t xml:space="preserve">requested </w:t>
      </w:r>
      <w:r w:rsidR="00D17060" w:rsidRPr="00F11145">
        <w:t>the Secretariat to prepare a paper for consideration by the Executive Committee at its 83</w:t>
      </w:r>
      <w:r w:rsidR="00D17060" w:rsidRPr="00532570">
        <w:rPr>
          <w:vertAlign w:val="superscript"/>
        </w:rPr>
        <w:t>rd</w:t>
      </w:r>
      <w:r w:rsidR="00D17060">
        <w:t xml:space="preserve"> </w:t>
      </w:r>
      <w:r w:rsidR="00D17060" w:rsidRPr="00F11145">
        <w:t xml:space="preserve">meeting, describing ways to operationalize paragraph 16 of decision XXVIII/2, and paragraph 2 of decision XXX/5, taking into account </w:t>
      </w:r>
      <w:r w:rsidR="00D17060">
        <w:t xml:space="preserve">the </w:t>
      </w:r>
      <w:r w:rsidR="00D17060" w:rsidRPr="00F11145">
        <w:t xml:space="preserve">criteria, performance indicators, and associated funding mechanisms </w:t>
      </w:r>
      <w:r w:rsidR="00D17060">
        <w:t>of</w:t>
      </w:r>
      <w:r w:rsidR="00D17060" w:rsidRPr="00F11145">
        <w:t xml:space="preserve"> servicing sector plans in existing or new </w:t>
      </w:r>
      <w:r w:rsidR="00D17060" w:rsidRPr="00532570">
        <w:t>HCFC phase-out management plans</w:t>
      </w:r>
      <w:r w:rsidR="00D17060">
        <w:t xml:space="preserve"> (HPMPs)</w:t>
      </w:r>
      <w:r w:rsidR="00D17060" w:rsidRPr="00532570">
        <w:t xml:space="preserve"> for</w:t>
      </w:r>
      <w:r w:rsidR="00D17060">
        <w:t xml:space="preserve"> low-volume-consuming (LVC) countries (decision 82/83(c)).</w:t>
      </w:r>
    </w:p>
    <w:p w:rsidR="00D17060" w:rsidRPr="00466C54" w:rsidRDefault="00D17060" w:rsidP="00E34208">
      <w:pPr>
        <w:pStyle w:val="Heading1"/>
      </w:pPr>
      <w:r w:rsidRPr="00466C54">
        <w:t>Decision 82/83(c) refers directly to paragraph 16 of decision XXVIII/2</w:t>
      </w:r>
      <w:r>
        <w:rPr>
          <w:rStyle w:val="FootnoteReference"/>
        </w:rPr>
        <w:footnoteReference w:id="1"/>
      </w:r>
      <w:r>
        <w:t xml:space="preserve"> and paragraph 2 of decision </w:t>
      </w:r>
      <w:r w:rsidRPr="00466C54">
        <w:t>XXX/5,</w:t>
      </w:r>
      <w:r>
        <w:rPr>
          <w:rStyle w:val="FootnoteReference"/>
        </w:rPr>
        <w:footnoteReference w:id="2"/>
      </w:r>
      <w:r w:rsidRPr="00466C54">
        <w:t xml:space="preserve"> and incorporates paragraph 1 of decision XXX/5</w:t>
      </w:r>
      <w:r>
        <w:rPr>
          <w:rStyle w:val="FootnoteReference"/>
        </w:rPr>
        <w:footnoteReference w:id="3"/>
      </w:r>
      <w:r w:rsidRPr="00466C54">
        <w:t xml:space="preserve"> (support for energy efficiency policy </w:t>
      </w:r>
      <w:r w:rsidRPr="00466C54">
        <w:lastRenderedPageBreak/>
        <w:t xml:space="preserve">and training support as it relates to the phase-down of controlled substances), as well </w:t>
      </w:r>
      <w:r>
        <w:t>as paragraph(c)(xii) of decision </w:t>
      </w:r>
      <w:r w:rsidRPr="00466C54">
        <w:t>74/50</w:t>
      </w:r>
      <w:r>
        <w:rPr>
          <w:rStyle w:val="FootnoteReference"/>
        </w:rPr>
        <w:footnoteReference w:id="4"/>
      </w:r>
      <w:r>
        <w:t xml:space="preserve"> </w:t>
      </w:r>
      <w:r w:rsidRPr="00466C54">
        <w:t>(funding mechanisms for servicing sector plans).</w:t>
      </w:r>
    </w:p>
    <w:p w:rsidR="00D17060" w:rsidRPr="00607B4A" w:rsidRDefault="00D17060" w:rsidP="00E34208">
      <w:pPr>
        <w:pStyle w:val="Heading1"/>
      </w:pPr>
      <w:r>
        <w:rPr>
          <w:lang w:val="en-CA"/>
        </w:rPr>
        <w:t xml:space="preserve">Incorporating the text of the relevant decisions would lead to the following reading of decision 82/83(c): </w:t>
      </w:r>
    </w:p>
    <w:p w:rsidR="00D17060" w:rsidRDefault="00D17060" w:rsidP="00E34208">
      <w:pPr>
        <w:pStyle w:val="Heading1"/>
        <w:numPr>
          <w:ilvl w:val="0"/>
          <w:numId w:val="0"/>
        </w:numPr>
        <w:ind w:left="720"/>
      </w:pPr>
      <w:r w:rsidRPr="003E3E2C">
        <w:t>To request the Secretariat to prepare a paper for consideration by the Executive Committee at its 83</w:t>
      </w:r>
      <w:r w:rsidRPr="00607B4A">
        <w:rPr>
          <w:vertAlign w:val="superscript"/>
        </w:rPr>
        <w:t>rd</w:t>
      </w:r>
      <w:r w:rsidRPr="003E3E2C">
        <w:t xml:space="preserve"> meeting, describing ways to operationalize an </w:t>
      </w:r>
      <w:r w:rsidRPr="00607B4A">
        <w:rPr>
          <w:rFonts w:eastAsiaTheme="minorHAnsi"/>
        </w:rPr>
        <w:t>increase in funding</w:t>
      </w:r>
      <w:r>
        <w:rPr>
          <w:rFonts w:eastAsiaTheme="minorHAnsi"/>
        </w:rPr>
        <w:t xml:space="preserve">, in relation to the servicing sector, </w:t>
      </w:r>
      <w:r w:rsidRPr="00607B4A">
        <w:rPr>
          <w:rFonts w:eastAsiaTheme="minorHAnsi"/>
        </w:rPr>
        <w:t xml:space="preserve">available under decision 74/50 </w:t>
      </w:r>
      <w:r w:rsidRPr="003E3E2C">
        <w:t xml:space="preserve">for </w:t>
      </w:r>
      <w:r>
        <w:t xml:space="preserve">LVC </w:t>
      </w:r>
      <w:r w:rsidRPr="003E3E2C">
        <w:t>countries</w:t>
      </w:r>
      <w:r>
        <w:t>,</w:t>
      </w:r>
      <w:r w:rsidRPr="00607B4A">
        <w:rPr>
          <w:rFonts w:eastAsiaTheme="minorHAnsi"/>
        </w:rPr>
        <w:t xml:space="preserve"> when needed, for </w:t>
      </w:r>
      <w:r>
        <w:rPr>
          <w:rFonts w:eastAsiaTheme="minorHAnsi"/>
        </w:rPr>
        <w:t xml:space="preserve">(a) </w:t>
      </w:r>
      <w:r w:rsidRPr="00607B4A">
        <w:rPr>
          <w:rFonts w:eastAsiaTheme="minorHAnsi"/>
        </w:rPr>
        <w:t>the introduction of low- and zero-</w:t>
      </w:r>
      <w:r>
        <w:rPr>
          <w:rFonts w:eastAsiaTheme="minorHAnsi"/>
        </w:rPr>
        <w:t>global warming potential (</w:t>
      </w:r>
      <w:r w:rsidRPr="00607B4A">
        <w:rPr>
          <w:rFonts w:eastAsiaTheme="minorHAnsi"/>
        </w:rPr>
        <w:t>GWP</w:t>
      </w:r>
      <w:r>
        <w:rPr>
          <w:rFonts w:eastAsiaTheme="minorHAnsi"/>
        </w:rPr>
        <w:t>)</w:t>
      </w:r>
      <w:r w:rsidRPr="00607B4A">
        <w:rPr>
          <w:rFonts w:eastAsiaTheme="minorHAnsi"/>
        </w:rPr>
        <w:t xml:space="preserve"> alternatives to HCFCs or HFCs and maintaining energy efficiency in the servicing</w:t>
      </w:r>
      <w:r>
        <w:rPr>
          <w:rFonts w:eastAsiaTheme="minorHAnsi"/>
        </w:rPr>
        <w:t xml:space="preserve">/end-user </w:t>
      </w:r>
      <w:r w:rsidRPr="00607B4A">
        <w:rPr>
          <w:rFonts w:eastAsiaTheme="minorHAnsi"/>
        </w:rPr>
        <w:t>sector</w:t>
      </w:r>
      <w:r>
        <w:rPr>
          <w:rStyle w:val="FootnoteReference"/>
          <w:rFonts w:eastAsiaTheme="minorHAnsi"/>
        </w:rPr>
        <w:footnoteReference w:id="5"/>
      </w:r>
      <w:r w:rsidR="0059668B">
        <w:rPr>
          <w:rFonts w:eastAsiaTheme="minorHAnsi"/>
        </w:rPr>
        <w:t>;</w:t>
      </w:r>
      <w:r w:rsidRPr="00607B4A">
        <w:rPr>
          <w:rFonts w:eastAsiaTheme="minorHAnsi"/>
        </w:rPr>
        <w:t xml:space="preserve"> </w:t>
      </w:r>
      <w:r>
        <w:rPr>
          <w:rFonts w:eastAsiaTheme="minorHAnsi"/>
        </w:rPr>
        <w:t xml:space="preserve">(b) </w:t>
      </w:r>
      <w:r w:rsidRPr="00607B4A">
        <w:rPr>
          <w:rFonts w:eastAsia="Cambria"/>
          <w:lang w:val="en-US"/>
        </w:rPr>
        <w:t>developing and enforcing policies and regulations to avoid the market penetration of energy-inefficient</w:t>
      </w:r>
      <w:r w:rsidRPr="00607B4A">
        <w:rPr>
          <w:lang w:val="en-US"/>
        </w:rPr>
        <w:t xml:space="preserve"> </w:t>
      </w:r>
      <w:r w:rsidR="0014704B" w:rsidRPr="004B1DD4">
        <w:t xml:space="preserve">refrigeration, air-conditioning and heat-pump </w:t>
      </w:r>
      <w:r w:rsidR="0014704B">
        <w:t xml:space="preserve">(RACHP) </w:t>
      </w:r>
      <w:r w:rsidRPr="00607B4A">
        <w:rPr>
          <w:rFonts w:eastAsia="Cambria"/>
          <w:lang w:val="en-US"/>
        </w:rPr>
        <w:t xml:space="preserve">equipment and </w:t>
      </w:r>
      <w:r>
        <w:rPr>
          <w:lang w:val="en-US"/>
        </w:rPr>
        <w:t>promoting penetration of energy</w:t>
      </w:r>
      <w:r>
        <w:rPr>
          <w:lang w:val="en-US"/>
        </w:rPr>
        <w:noBreakHyphen/>
      </w:r>
      <w:r w:rsidRPr="00607B4A">
        <w:rPr>
          <w:lang w:val="en-US"/>
        </w:rPr>
        <w:t xml:space="preserve">efficient equipment, supported by </w:t>
      </w:r>
      <w:r w:rsidRPr="00607B4A">
        <w:rPr>
          <w:rFonts w:eastAsia="Cambria"/>
        </w:rPr>
        <w:t>targeted training on certification, safety and standards, awareness</w:t>
      </w:r>
      <w:r>
        <w:rPr>
          <w:rFonts w:eastAsia="Cambria"/>
        </w:rPr>
        <w:t xml:space="preserve"> </w:t>
      </w:r>
      <w:r w:rsidRPr="00607B4A">
        <w:rPr>
          <w:rFonts w:eastAsia="Cambria"/>
        </w:rPr>
        <w:t>raising and capacity</w:t>
      </w:r>
      <w:r>
        <w:rPr>
          <w:rFonts w:eastAsia="Cambria"/>
        </w:rPr>
        <w:t xml:space="preserve"> </w:t>
      </w:r>
      <w:r w:rsidRPr="00607B4A">
        <w:rPr>
          <w:rFonts w:eastAsia="Cambria"/>
        </w:rPr>
        <w:t>building</w:t>
      </w:r>
      <w:r>
        <w:rPr>
          <w:rStyle w:val="FootnoteReference"/>
          <w:rFonts w:eastAsia="Cambria"/>
        </w:rPr>
        <w:footnoteReference w:id="6"/>
      </w:r>
      <w:r w:rsidR="0059668B">
        <w:rPr>
          <w:rFonts w:eastAsia="Cambria"/>
        </w:rPr>
        <w:t>;</w:t>
      </w:r>
      <w:r w:rsidRPr="003E3E2C">
        <w:t xml:space="preserve"> </w:t>
      </w:r>
      <w:r>
        <w:t xml:space="preserve">(c) </w:t>
      </w:r>
      <w:r w:rsidRPr="003E3E2C">
        <w:t xml:space="preserve">taking into account the criteria, performance indicators, and associated funding mechanisms of servicing sector plans in existing or new </w:t>
      </w:r>
      <w:r w:rsidR="00B03FD9">
        <w:t>HPMPs</w:t>
      </w:r>
      <w:r w:rsidRPr="003E3E2C">
        <w:t>.</w:t>
      </w:r>
    </w:p>
    <w:p w:rsidR="00D17060" w:rsidRDefault="00D17060" w:rsidP="00E34208">
      <w:pPr>
        <w:pStyle w:val="Heading1"/>
        <w:rPr>
          <w:lang w:val="en-CA"/>
        </w:rPr>
      </w:pPr>
      <w:r w:rsidRPr="00E60E21">
        <w:rPr>
          <w:lang w:val="en-CA"/>
        </w:rPr>
        <w:t xml:space="preserve">Keeping in view the above, the Secretariat </w:t>
      </w:r>
      <w:r w:rsidR="00B03FD9">
        <w:rPr>
          <w:lang w:val="en-CA"/>
        </w:rPr>
        <w:t>submitted to the 83</w:t>
      </w:r>
      <w:r w:rsidR="00B03FD9" w:rsidRPr="00B03FD9">
        <w:rPr>
          <w:vertAlign w:val="superscript"/>
          <w:lang w:val="en-CA"/>
        </w:rPr>
        <w:t>rd</w:t>
      </w:r>
      <w:r w:rsidR="00B03FD9">
        <w:rPr>
          <w:lang w:val="en-CA"/>
        </w:rPr>
        <w:t xml:space="preserve"> meeting</w:t>
      </w:r>
      <w:r w:rsidRPr="00E60E21">
        <w:rPr>
          <w:lang w:val="en-CA"/>
        </w:rPr>
        <w:t xml:space="preserve"> a paper</w:t>
      </w:r>
      <w:r w:rsidR="00B03FD9">
        <w:rPr>
          <w:rStyle w:val="FootnoteReference"/>
          <w:lang w:val="en-CA"/>
        </w:rPr>
        <w:footnoteReference w:id="7"/>
      </w:r>
      <w:r w:rsidRPr="00E60E21">
        <w:rPr>
          <w:lang w:val="en-CA"/>
        </w:rPr>
        <w:t xml:space="preserve"> on w</w:t>
      </w:r>
      <w:r w:rsidR="00F178A6">
        <w:rPr>
          <w:lang w:val="en-CA"/>
        </w:rPr>
        <w:t>ays to operationalize paragraph </w:t>
      </w:r>
      <w:r w:rsidRPr="00E60E21">
        <w:rPr>
          <w:lang w:val="en-CA"/>
        </w:rPr>
        <w:t xml:space="preserve">16 of </w:t>
      </w:r>
      <w:r>
        <w:rPr>
          <w:lang w:val="en-CA"/>
        </w:rPr>
        <w:t>d</w:t>
      </w:r>
      <w:r w:rsidRPr="00E60E21">
        <w:rPr>
          <w:lang w:val="en-CA"/>
        </w:rPr>
        <w:t>ecision XXVIII/2 and paragr</w:t>
      </w:r>
      <w:r w:rsidR="00F178A6">
        <w:rPr>
          <w:lang w:val="en-CA"/>
        </w:rPr>
        <w:t>aph 2 of decision XXX/5 of the P</w:t>
      </w:r>
      <w:r w:rsidRPr="00E60E21">
        <w:rPr>
          <w:lang w:val="en-CA"/>
        </w:rPr>
        <w:t>arties</w:t>
      </w:r>
      <w:r>
        <w:rPr>
          <w:lang w:val="en-CA"/>
        </w:rPr>
        <w:t>.</w:t>
      </w:r>
    </w:p>
    <w:p w:rsidR="00B03FD9" w:rsidRPr="00B03FD9" w:rsidRDefault="00B03FD9" w:rsidP="00E34208">
      <w:pPr>
        <w:rPr>
          <w:b/>
          <w:lang w:val="en-CA"/>
        </w:rPr>
      </w:pPr>
      <w:r w:rsidRPr="00B03FD9">
        <w:rPr>
          <w:b/>
          <w:lang w:val="en-CA"/>
        </w:rPr>
        <w:t>83</w:t>
      </w:r>
      <w:r w:rsidRPr="00B03FD9">
        <w:rPr>
          <w:b/>
          <w:vertAlign w:val="superscript"/>
          <w:lang w:val="en-CA"/>
        </w:rPr>
        <w:t>rd</w:t>
      </w:r>
      <w:r w:rsidRPr="00B03FD9">
        <w:rPr>
          <w:b/>
          <w:lang w:val="en-CA"/>
        </w:rPr>
        <w:t xml:space="preserve"> meeting</w:t>
      </w:r>
    </w:p>
    <w:p w:rsidR="00B03FD9" w:rsidRPr="00B03FD9" w:rsidRDefault="00B03FD9" w:rsidP="00E34208">
      <w:pPr>
        <w:rPr>
          <w:lang w:val="en-CA"/>
        </w:rPr>
      </w:pPr>
    </w:p>
    <w:p w:rsidR="00D17060" w:rsidRPr="00DD2CEF" w:rsidRDefault="00162585" w:rsidP="00E34208">
      <w:pPr>
        <w:pStyle w:val="Heading1"/>
        <w:rPr>
          <w:lang w:val="en-CA"/>
        </w:rPr>
      </w:pPr>
      <w:r>
        <w:rPr>
          <w:lang w:val="en-CA"/>
        </w:rPr>
        <w:t xml:space="preserve">At </w:t>
      </w:r>
      <w:r w:rsidR="00B03FD9">
        <w:rPr>
          <w:lang w:val="en-CA"/>
        </w:rPr>
        <w:t>its</w:t>
      </w:r>
      <w:r w:rsidR="00D17060" w:rsidRPr="00DD2CEF">
        <w:rPr>
          <w:lang w:val="en-CA"/>
        </w:rPr>
        <w:t xml:space="preserve"> 83</w:t>
      </w:r>
      <w:r w:rsidR="00D17060" w:rsidRPr="00DD2CEF">
        <w:rPr>
          <w:vertAlign w:val="superscript"/>
          <w:lang w:val="en-CA"/>
        </w:rPr>
        <w:t>rd</w:t>
      </w:r>
      <w:r w:rsidR="00D17060" w:rsidRPr="00DD2CEF">
        <w:rPr>
          <w:lang w:val="en-CA"/>
        </w:rPr>
        <w:t xml:space="preserve"> meeting,</w:t>
      </w:r>
      <w:r w:rsidR="00B03FD9">
        <w:rPr>
          <w:rStyle w:val="FootnoteReference"/>
          <w:lang w:val="en-CA"/>
        </w:rPr>
        <w:footnoteReference w:id="8"/>
      </w:r>
      <w:r w:rsidR="00D17060" w:rsidRPr="00DD2CEF">
        <w:rPr>
          <w:lang w:val="en-CA"/>
        </w:rPr>
        <w:t xml:space="preserve"> the Executive Committee </w:t>
      </w:r>
      <w:r w:rsidR="002648BD">
        <w:rPr>
          <w:lang w:val="en-CA"/>
        </w:rPr>
        <w:t>noted</w:t>
      </w:r>
      <w:r w:rsidR="00D17060" w:rsidRPr="00DD2CEF">
        <w:rPr>
          <w:lang w:val="en-CA"/>
        </w:rPr>
        <w:t xml:space="preserve"> that </w:t>
      </w:r>
      <w:r w:rsidR="00B03FD9">
        <w:rPr>
          <w:lang w:val="en-CA"/>
        </w:rPr>
        <w:t>the above-mentioned</w:t>
      </w:r>
      <w:r w:rsidR="00D17060" w:rsidRPr="00DD2CEF">
        <w:rPr>
          <w:lang w:val="en-CA"/>
        </w:rPr>
        <w:t xml:space="preserve"> document was a useful basis for further discussion, both on the process to be used by LVC countries to access additional funding for servicing sector activities related to the introduction of low-GWP alternatives to HFCs, in the context of the HCFC phase-out, and on the type of activity to be conside</w:t>
      </w:r>
      <w:r w:rsidR="00B03FD9">
        <w:rPr>
          <w:lang w:val="en-CA"/>
        </w:rPr>
        <w:t xml:space="preserve">red for such funding. Although there </w:t>
      </w:r>
      <w:r w:rsidR="00D17060" w:rsidRPr="00DD2CEF">
        <w:rPr>
          <w:lang w:val="en-CA"/>
        </w:rPr>
        <w:t xml:space="preserve">was general willingness to discuss the matter, </w:t>
      </w:r>
      <w:r w:rsidR="00444DEC">
        <w:rPr>
          <w:lang w:val="en-CA"/>
        </w:rPr>
        <w:t>some</w:t>
      </w:r>
      <w:r w:rsidR="00D17060" w:rsidRPr="00DD2CEF">
        <w:rPr>
          <w:lang w:val="en-CA"/>
        </w:rPr>
        <w:t xml:space="preserve"> members preferred to wait until more detailed information could be provided on relevant activities already</w:t>
      </w:r>
      <w:r w:rsidR="00444DEC">
        <w:rPr>
          <w:lang w:val="en-CA"/>
        </w:rPr>
        <w:t xml:space="preserve"> being implemented by countries</w:t>
      </w:r>
      <w:r w:rsidR="00D17060" w:rsidRPr="00DD2CEF">
        <w:rPr>
          <w:lang w:val="en-CA"/>
        </w:rPr>
        <w:t xml:space="preserve">, </w:t>
      </w:r>
      <w:r w:rsidR="00444DEC">
        <w:rPr>
          <w:lang w:val="en-CA"/>
        </w:rPr>
        <w:t>noting also</w:t>
      </w:r>
      <w:r w:rsidR="00D17060" w:rsidRPr="00DD2CEF">
        <w:rPr>
          <w:lang w:val="en-CA"/>
        </w:rPr>
        <w:t xml:space="preserve"> that the desk study for the evaluation of energy efficiency in the servicing sector</w:t>
      </w:r>
      <w:r w:rsidR="00814ACD">
        <w:rPr>
          <w:rStyle w:val="FootnoteReference"/>
          <w:lang w:val="en-CA"/>
        </w:rPr>
        <w:footnoteReference w:id="9"/>
      </w:r>
      <w:r w:rsidR="00D17060" w:rsidRPr="00DD2CEF">
        <w:rPr>
          <w:lang w:val="en-CA"/>
        </w:rPr>
        <w:t xml:space="preserve"> being considered by the Committee was linked to some of the issues.</w:t>
      </w:r>
    </w:p>
    <w:p w:rsidR="00D17060" w:rsidRPr="00DD2CEF" w:rsidRDefault="00D17060" w:rsidP="00E34208">
      <w:pPr>
        <w:pStyle w:val="Heading1"/>
        <w:rPr>
          <w:lang w:val="en-CA"/>
        </w:rPr>
      </w:pPr>
      <w:r w:rsidRPr="00DD2CEF">
        <w:rPr>
          <w:lang w:val="en-CA"/>
        </w:rPr>
        <w:t>With respect to the focus of qualifying activities, the need to clarify whether the additional funding for LVC countries was for maintaining energy efficiency or for the introduction of low-GWP alternatives</w:t>
      </w:r>
      <w:r w:rsidR="002648BD">
        <w:rPr>
          <w:lang w:val="en-CA"/>
        </w:rPr>
        <w:t>, was stressed</w:t>
      </w:r>
      <w:r w:rsidRPr="00DD2CEF">
        <w:rPr>
          <w:lang w:val="en-CA"/>
        </w:rPr>
        <w:t xml:space="preserve">. </w:t>
      </w:r>
      <w:r w:rsidR="002648BD">
        <w:rPr>
          <w:lang w:val="en-CA"/>
        </w:rPr>
        <w:t>It was also noted</w:t>
      </w:r>
      <w:r w:rsidRPr="00DD2CEF">
        <w:rPr>
          <w:lang w:val="en-CA"/>
        </w:rPr>
        <w:t xml:space="preserve"> that other institutions were responsible for </w:t>
      </w:r>
      <w:r w:rsidR="00444DEC">
        <w:rPr>
          <w:lang w:val="en-CA"/>
        </w:rPr>
        <w:t xml:space="preserve">addressing </w:t>
      </w:r>
      <w:r w:rsidRPr="00DD2CEF">
        <w:rPr>
          <w:lang w:val="en-CA"/>
        </w:rPr>
        <w:t xml:space="preserve">energy efficiency and </w:t>
      </w:r>
      <w:r w:rsidR="00444DEC">
        <w:rPr>
          <w:lang w:val="en-CA"/>
        </w:rPr>
        <w:t xml:space="preserve">assisting in developing </w:t>
      </w:r>
      <w:r w:rsidR="00761F46" w:rsidRPr="005C06C3">
        <w:t>minimum energy performance standard</w:t>
      </w:r>
      <w:r w:rsidR="00761F46">
        <w:t>s</w:t>
      </w:r>
      <w:r w:rsidR="00761F46" w:rsidRPr="005C06C3">
        <w:t xml:space="preserve"> (MEPS)</w:t>
      </w:r>
      <w:r w:rsidRPr="00DD2CEF">
        <w:rPr>
          <w:lang w:val="en-CA"/>
        </w:rPr>
        <w:t xml:space="preserve">, which were not </w:t>
      </w:r>
      <w:r w:rsidR="00761F46">
        <w:rPr>
          <w:lang w:val="en-CA"/>
        </w:rPr>
        <w:t>related to</w:t>
      </w:r>
      <w:r w:rsidRPr="00DD2CEF">
        <w:rPr>
          <w:lang w:val="en-CA"/>
        </w:rPr>
        <w:t xml:space="preserve"> compliance</w:t>
      </w:r>
      <w:r w:rsidR="00761F46">
        <w:rPr>
          <w:lang w:val="en-CA"/>
        </w:rPr>
        <w:t xml:space="preserve"> under the Montreal Protocol;</w:t>
      </w:r>
      <w:r w:rsidRPr="00DD2CEF">
        <w:rPr>
          <w:lang w:val="en-CA"/>
        </w:rPr>
        <w:t xml:space="preserve"> and that the activities should focus on what was required for the transition to low-GWP alternatives while maintaining energy efficiency.</w:t>
      </w:r>
    </w:p>
    <w:p w:rsidR="00D17060" w:rsidRPr="00DD2CEF" w:rsidRDefault="008848D9" w:rsidP="00E34208">
      <w:pPr>
        <w:pStyle w:val="Heading1"/>
        <w:rPr>
          <w:lang w:val="en-CA"/>
        </w:rPr>
      </w:pPr>
      <w:r w:rsidRPr="00DD2CEF">
        <w:rPr>
          <w:lang w:val="en-CA"/>
        </w:rPr>
        <w:t>T</w:t>
      </w:r>
      <w:r w:rsidR="00D17060" w:rsidRPr="00DD2CEF">
        <w:rPr>
          <w:lang w:val="en-CA"/>
        </w:rPr>
        <w:t>he</w:t>
      </w:r>
      <w:r>
        <w:rPr>
          <w:lang w:val="en-CA"/>
        </w:rPr>
        <w:t xml:space="preserve"> </w:t>
      </w:r>
      <w:r w:rsidR="00D17060" w:rsidRPr="00DD2CEF">
        <w:rPr>
          <w:lang w:val="en-CA"/>
        </w:rPr>
        <w:t>need for: cost-effectiveness, particularly given the high costs often associated with such activities already initiated by LVC countries; clear added value, as activities for facilitating the adoption of low-GWP technologies were already being implemented under HPMPs; performance indicators; and reporting against the performance indicators</w:t>
      </w:r>
      <w:r>
        <w:rPr>
          <w:lang w:val="en-CA"/>
        </w:rPr>
        <w:t xml:space="preserve">, was </w:t>
      </w:r>
      <w:r w:rsidRPr="00DD2CEF">
        <w:rPr>
          <w:lang w:val="en-CA"/>
        </w:rPr>
        <w:t>highlighted</w:t>
      </w:r>
      <w:r w:rsidR="00D17060" w:rsidRPr="00DD2CEF">
        <w:rPr>
          <w:lang w:val="en-CA"/>
        </w:rPr>
        <w:t>.</w:t>
      </w:r>
    </w:p>
    <w:p w:rsidR="0014654B" w:rsidRDefault="00CF092E" w:rsidP="00E34208">
      <w:pPr>
        <w:pStyle w:val="Heading1"/>
      </w:pPr>
      <w:r>
        <w:lastRenderedPageBreak/>
        <w:t>The matter was further considered in the contact group that was established to address issues pertaining to the three sub</w:t>
      </w:r>
      <w:r>
        <w:noBreakHyphen/>
        <w:t>items on energy efficiency submitted to the meeting. Upon a request by the contact group, the Secretariat prepared a preliminary working document (drafted in the form of a recommendation) on which the contact group could base its discussions. In reporting back to the Committee, the convener of the contact group indicated that although considerable progress had been made, the working document still contained text that had not been fully discussed and agreed. The convener also proposed that the working document in its present form be used as a basis for further discussion at the 84</w:t>
      </w:r>
      <w:r w:rsidRPr="00CF092E">
        <w:rPr>
          <w:vertAlign w:val="superscript"/>
        </w:rPr>
        <w:t>th</w:t>
      </w:r>
      <w:r w:rsidR="00E503C6">
        <w:t> </w:t>
      </w:r>
      <w:r>
        <w:t>meeting. Subsequently, the Executive Committee decided to continue discussing ways to operationalize paragraph 16 of decision XXVIII/2 and paragraph 2 of decision XXX/5 of the Parties at its 84</w:t>
      </w:r>
      <w:r w:rsidRPr="00CF092E">
        <w:rPr>
          <w:vertAlign w:val="superscript"/>
        </w:rPr>
        <w:t>th</w:t>
      </w:r>
      <w:r w:rsidR="00E503C6">
        <w:t> </w:t>
      </w:r>
      <w:r>
        <w:t>meeting, and to use the text contained in Annex XII to the Report of the 83</w:t>
      </w:r>
      <w:r w:rsidRPr="00CF092E">
        <w:rPr>
          <w:vertAlign w:val="superscript"/>
        </w:rPr>
        <w:t>rd</w:t>
      </w:r>
      <w:r>
        <w:t xml:space="preserve"> meeting</w:t>
      </w:r>
      <w:r w:rsidR="00C93016">
        <w:rPr>
          <w:rStyle w:val="FootnoteReference"/>
        </w:rPr>
        <w:footnoteReference w:id="10"/>
      </w:r>
      <w:r>
        <w:t xml:space="preserve"> as the basis for that discussion (decision 83/62).</w:t>
      </w:r>
    </w:p>
    <w:p w:rsidR="00CF092E" w:rsidRPr="00CF092E" w:rsidRDefault="00CF092E" w:rsidP="00E34208">
      <w:pPr>
        <w:rPr>
          <w:b/>
        </w:rPr>
      </w:pPr>
      <w:r w:rsidRPr="00CF092E">
        <w:rPr>
          <w:b/>
        </w:rPr>
        <w:t>Discussions at the 84</w:t>
      </w:r>
      <w:r w:rsidRPr="00CF092E">
        <w:rPr>
          <w:b/>
          <w:vertAlign w:val="superscript"/>
        </w:rPr>
        <w:t>th</w:t>
      </w:r>
      <w:r w:rsidRPr="00CF092E">
        <w:rPr>
          <w:b/>
        </w:rPr>
        <w:t xml:space="preserve"> meeting</w:t>
      </w:r>
    </w:p>
    <w:p w:rsidR="00CF092E" w:rsidRDefault="00CF092E" w:rsidP="00E34208"/>
    <w:p w:rsidR="00CF092E" w:rsidRDefault="00CF092E" w:rsidP="00E34208">
      <w:pPr>
        <w:pStyle w:val="Heading1"/>
      </w:pPr>
      <w:r>
        <w:t>Pursuant to decision 8</w:t>
      </w:r>
      <w:r w:rsidR="00C93016">
        <w:t>3</w:t>
      </w:r>
      <w:r>
        <w:t>/</w:t>
      </w:r>
      <w:r w:rsidR="00C93016">
        <w:t>6</w:t>
      </w:r>
      <w:r>
        <w:t>2, at its 84</w:t>
      </w:r>
      <w:r w:rsidRPr="00CF092E">
        <w:rPr>
          <w:vertAlign w:val="superscript"/>
        </w:rPr>
        <w:t>th</w:t>
      </w:r>
      <w:r>
        <w:t xml:space="preserve"> meeting, the Executive Committee may wish to continue its discussions on ways to operationalize paragraph 16 of decision XXVIII/2 and paragraph 2 of dec</w:t>
      </w:r>
      <w:r w:rsidR="00E503C6">
        <w:t>ision </w:t>
      </w:r>
      <w:r>
        <w:t>XXX/5 using the working document contained in Annex XII to the Report of the 83</w:t>
      </w:r>
      <w:r w:rsidRPr="00CF092E">
        <w:rPr>
          <w:vertAlign w:val="superscript"/>
        </w:rPr>
        <w:t>rd</w:t>
      </w:r>
      <w:r>
        <w:t xml:space="preserve"> meeting, and reproduced below. For ease of reference, document UNEP/</w:t>
      </w:r>
      <w:proofErr w:type="spellStart"/>
      <w:r>
        <w:t>OzL.Pro</w:t>
      </w:r>
      <w:proofErr w:type="spellEnd"/>
      <w:r>
        <w:t>/</w:t>
      </w:r>
      <w:proofErr w:type="spellStart"/>
      <w:r>
        <w:t>ExCom</w:t>
      </w:r>
      <w:proofErr w:type="spellEnd"/>
      <w:r>
        <w:t xml:space="preserve">/83/40 is attached to the present Note by the Secretariat. </w:t>
      </w:r>
    </w:p>
    <w:p w:rsidR="00CF092E" w:rsidRDefault="00CF092E" w:rsidP="00E34208">
      <w:pPr>
        <w:keepNext/>
        <w:jc w:val="center"/>
        <w:rPr>
          <w:b/>
        </w:rPr>
      </w:pPr>
      <w:r w:rsidRPr="00CF092E">
        <w:rPr>
          <w:b/>
        </w:rPr>
        <w:t>Draft recommendation on the ways to operationalize paragraph 16 of decision XXVIII/2 and paragraph 2 of decision XXX/5 of the Parties</w:t>
      </w:r>
    </w:p>
    <w:p w:rsidR="00CF092E" w:rsidRDefault="00CF092E" w:rsidP="00E34208">
      <w:pPr>
        <w:keepNext/>
        <w:jc w:val="center"/>
        <w:rPr>
          <w:b/>
        </w:rPr>
      </w:pPr>
    </w:p>
    <w:p w:rsidR="00CF092E" w:rsidRPr="009B41DF" w:rsidRDefault="00CF092E" w:rsidP="00E34208">
      <w:pPr>
        <w:pStyle w:val="Heading1"/>
        <w:keepNext/>
        <w:numPr>
          <w:ilvl w:val="0"/>
          <w:numId w:val="0"/>
        </w:numPr>
      </w:pPr>
      <w:r>
        <w:rPr>
          <w:lang w:val="en-CA"/>
        </w:rPr>
        <w:t>1.</w:t>
      </w:r>
      <w:r>
        <w:rPr>
          <w:lang w:val="en-CA"/>
        </w:rPr>
        <w:tab/>
        <w:t>[</w:t>
      </w:r>
      <w:r w:rsidRPr="00B46E09">
        <w:rPr>
          <w:lang w:val="en-CA"/>
        </w:rPr>
        <w:t xml:space="preserve">The Executive Committee </w:t>
      </w:r>
      <w:r>
        <w:rPr>
          <w:lang w:val="en-CA"/>
        </w:rPr>
        <w:t>decided:</w:t>
      </w:r>
    </w:p>
    <w:p w:rsidR="00CF092E" w:rsidRDefault="00CF092E" w:rsidP="00E34208">
      <w:pPr>
        <w:pStyle w:val="Heading2"/>
        <w:numPr>
          <w:ilvl w:val="1"/>
          <w:numId w:val="1"/>
        </w:numPr>
      </w:pPr>
      <w:r>
        <w:rPr>
          <w:lang w:val="en-CA"/>
        </w:rPr>
        <w:t>T</w:t>
      </w:r>
      <w:r w:rsidRPr="00B46E09">
        <w:rPr>
          <w:lang w:val="en-CA"/>
        </w:rPr>
        <w:t>o note the</w:t>
      </w:r>
      <w:r>
        <w:rPr>
          <w:lang w:val="en-CA"/>
        </w:rPr>
        <w:t xml:space="preserve"> paper on</w:t>
      </w:r>
      <w:r w:rsidRPr="00B46E09">
        <w:rPr>
          <w:lang w:val="en-CA"/>
        </w:rPr>
        <w:t xml:space="preserve"> w</w:t>
      </w:r>
      <w:r>
        <w:rPr>
          <w:lang w:val="en-CA"/>
        </w:rPr>
        <w:t>ays to operationalize paragraph </w:t>
      </w:r>
      <w:r w:rsidRPr="00B46E09">
        <w:rPr>
          <w:lang w:val="en-CA"/>
        </w:rPr>
        <w:t>16 of decision XXVIII/2 and paragraph 2 of decision XXX/5</w:t>
      </w:r>
      <w:r>
        <w:rPr>
          <w:lang w:val="en-CA"/>
        </w:rPr>
        <w:t xml:space="preserve"> of the Parties (decision 82/83(c))</w:t>
      </w:r>
      <w:r w:rsidRPr="00B46E09">
        <w:rPr>
          <w:lang w:val="en-CA"/>
        </w:rPr>
        <w:t>, contained in document</w:t>
      </w:r>
      <w:r>
        <w:rPr>
          <w:lang w:val="en-CA"/>
        </w:rPr>
        <w:t> </w:t>
      </w:r>
      <w:r>
        <w:t>UNEP/</w:t>
      </w:r>
      <w:proofErr w:type="spellStart"/>
      <w:r>
        <w:t>OzL.Pro</w:t>
      </w:r>
      <w:proofErr w:type="spellEnd"/>
      <w:r>
        <w:t>/</w:t>
      </w:r>
      <w:proofErr w:type="spellStart"/>
      <w:r>
        <w:t>ExCom</w:t>
      </w:r>
      <w:proofErr w:type="spellEnd"/>
      <w:r>
        <w:t>/83/40;</w:t>
      </w:r>
    </w:p>
    <w:p w:rsidR="00CF092E" w:rsidRPr="008D0A04" w:rsidRDefault="00CF092E" w:rsidP="00E34208">
      <w:pPr>
        <w:pStyle w:val="Heading2"/>
        <w:numPr>
          <w:ilvl w:val="1"/>
          <w:numId w:val="1"/>
        </w:numPr>
      </w:pPr>
      <w:r>
        <w:t xml:space="preserve">To consider the inclusion of the following additional activities </w:t>
      </w:r>
      <w:r w:rsidRPr="00206FAC">
        <w:t>in existing and future HCFC phase-out management plans</w:t>
      </w:r>
      <w:r>
        <w:t xml:space="preserve"> (HPMPs) for low-volume-consuming (LVC) countries, when needed for the </w:t>
      </w:r>
      <w:r w:rsidRPr="00206FAC">
        <w:t>introduction of alternatives to HCFCs with low</w:t>
      </w:r>
      <w:r>
        <w:t>- or zero-</w:t>
      </w:r>
      <w:r w:rsidRPr="00206FAC">
        <w:t xml:space="preserve">global-warming potential (GWP) and </w:t>
      </w:r>
      <w:r>
        <w:t xml:space="preserve">for </w:t>
      </w:r>
      <w:r w:rsidRPr="00206FAC">
        <w:t>maintain</w:t>
      </w:r>
      <w:r>
        <w:t>ing</w:t>
      </w:r>
      <w:r w:rsidRPr="00206FAC">
        <w:t xml:space="preserve"> energy efficiency in the refrigeration servicing sector</w:t>
      </w:r>
      <w:r w:rsidRPr="008D0A04">
        <w:t>:</w:t>
      </w:r>
    </w:p>
    <w:p w:rsidR="00CF092E" w:rsidRPr="008D0A04" w:rsidRDefault="00CF092E" w:rsidP="00E34208">
      <w:pPr>
        <w:pStyle w:val="Heading3"/>
        <w:numPr>
          <w:ilvl w:val="2"/>
          <w:numId w:val="1"/>
        </w:numPr>
      </w:pPr>
      <w:r>
        <w:t>[</w:t>
      </w:r>
      <w:r w:rsidRPr="008D0A04">
        <w:t xml:space="preserve">Pilot projects </w:t>
      </w:r>
      <w:r>
        <w:t>[</w:t>
      </w:r>
      <w:r w:rsidRPr="008D0A04">
        <w:t>strategically</w:t>
      </w:r>
      <w:r>
        <w:t>]</w:t>
      </w:r>
      <w:r w:rsidRPr="008D0A04">
        <w:t xml:space="preserve"> designed </w:t>
      </w:r>
      <w:r>
        <w:t xml:space="preserve">for </w:t>
      </w:r>
      <w:r w:rsidRPr="008D0A04">
        <w:t>and targeted to</w:t>
      </w:r>
      <w:r>
        <w:t>wards</w:t>
      </w:r>
      <w:r w:rsidRPr="008D0A04">
        <w:t xml:space="preserve"> end-users, </w:t>
      </w:r>
      <w:r>
        <w:t xml:space="preserve">relating </w:t>
      </w:r>
      <w:r w:rsidRPr="008D0A04">
        <w:t xml:space="preserve">primarily </w:t>
      </w:r>
      <w:r>
        <w:t>to</w:t>
      </w:r>
      <w:r w:rsidRPr="008D0A04">
        <w:t xml:space="preserve"> </w:t>
      </w:r>
      <w:r>
        <w:t>[energy efficient] [</w:t>
      </w:r>
      <w:r w:rsidRPr="008D0A04">
        <w:t>small</w:t>
      </w:r>
      <w:r>
        <w:t>-</w:t>
      </w:r>
      <w:r w:rsidRPr="008D0A04">
        <w:t>capacity</w:t>
      </w:r>
      <w:r>
        <w:t>]</w:t>
      </w:r>
      <w:r w:rsidRPr="008D0A04">
        <w:t xml:space="preserve"> </w:t>
      </w:r>
      <w:r>
        <w:t>refrigeration, air-conditioning and heat-pump (</w:t>
      </w:r>
      <w:r w:rsidRPr="008D0A04">
        <w:t>RACHP</w:t>
      </w:r>
      <w:r>
        <w:t>)</w:t>
      </w:r>
      <w:r w:rsidRPr="008D0A04">
        <w:t xml:space="preserve"> equipment </w:t>
      </w:r>
      <w:r>
        <w:t>[</w:t>
      </w:r>
      <w:r w:rsidRPr="008D0A04">
        <w:t>for which manufacturing conversion projects ha</w:t>
      </w:r>
      <w:r>
        <w:t>d</w:t>
      </w:r>
      <w:r w:rsidRPr="008D0A04">
        <w:t xml:space="preserve"> been funded under </w:t>
      </w:r>
      <w:r>
        <w:t xml:space="preserve">other </w:t>
      </w:r>
      <w:r w:rsidRPr="008D0A04">
        <w:t>HPMP</w:t>
      </w:r>
      <w:r>
        <w:t>s]</w:t>
      </w:r>
      <w:r w:rsidRPr="008D0A04">
        <w:t xml:space="preserve"> and </w:t>
      </w:r>
      <w:r>
        <w:t xml:space="preserve">[which experienced] [to address] </w:t>
      </w:r>
      <w:r w:rsidRPr="008D0A04">
        <w:t xml:space="preserve">challenges </w:t>
      </w:r>
      <w:r>
        <w:t>[related] to</w:t>
      </w:r>
      <w:r w:rsidRPr="008D0A04">
        <w:t xml:space="preserve"> market acceptance;</w:t>
      </w:r>
      <w:r>
        <w:t xml:space="preserve">] and [access to energy-efficient technology]; </w:t>
      </w:r>
    </w:p>
    <w:p w:rsidR="00CF092E" w:rsidRPr="008D0A04" w:rsidRDefault="00CF092E" w:rsidP="00E34208">
      <w:pPr>
        <w:pStyle w:val="Heading3"/>
        <w:numPr>
          <w:ilvl w:val="2"/>
          <w:numId w:val="1"/>
        </w:numPr>
      </w:pPr>
      <w:r w:rsidRPr="008D0A04">
        <w:t xml:space="preserve">Updating </w:t>
      </w:r>
      <w:r>
        <w:t xml:space="preserve">of </w:t>
      </w:r>
      <w:r w:rsidRPr="008D0A04">
        <w:t>training material to strengthen components relat</w:t>
      </w:r>
      <w:r>
        <w:t>ed</w:t>
      </w:r>
      <w:r w:rsidRPr="008D0A04">
        <w:t xml:space="preserve"> to good practices </w:t>
      </w:r>
      <w:r>
        <w:t>and energy efficiency during assessment,</w:t>
      </w:r>
      <w:r w:rsidRPr="008D0A04">
        <w:t xml:space="preserve"> installation, maintenance and servicing of RACHP equipment</w:t>
      </w:r>
      <w:r>
        <w:t>, including safety considerations when addressing</w:t>
      </w:r>
      <w:r w:rsidRPr="008D0A04">
        <w:t xml:space="preserve"> refrigerants with </w:t>
      </w:r>
      <w:r>
        <w:t>differing</w:t>
      </w:r>
      <w:r w:rsidRPr="008D0A04">
        <w:t xml:space="preserve"> operating characteristics </w:t>
      </w:r>
      <w:r>
        <w:t>with</w:t>
      </w:r>
      <w:r w:rsidRPr="008D0A04">
        <w:t xml:space="preserve"> regard to flammability, toxicity and pressure;</w:t>
      </w:r>
    </w:p>
    <w:p w:rsidR="00CF092E" w:rsidRPr="003C0815" w:rsidRDefault="00CF092E" w:rsidP="00E34208">
      <w:pPr>
        <w:pStyle w:val="Heading3"/>
        <w:numPr>
          <w:ilvl w:val="2"/>
          <w:numId w:val="1"/>
        </w:numPr>
      </w:pPr>
      <w:r w:rsidRPr="008D0A04">
        <w:t xml:space="preserve">Coordination and collaboration between the </w:t>
      </w:r>
      <w:r>
        <w:t>national ozone units</w:t>
      </w:r>
      <w:r w:rsidRPr="008D0A04">
        <w:t xml:space="preserve"> and </w:t>
      </w:r>
      <w:r>
        <w:t>relevant authorities and bodies to include appropriate consideration of low-GWP refrigerants during [</w:t>
      </w:r>
      <w:r w:rsidRPr="00012C9E">
        <w:rPr>
          <w:strike/>
        </w:rPr>
        <w:t>in order to support</w:t>
      </w:r>
      <w:r>
        <w:t>]</w:t>
      </w:r>
      <w:r w:rsidRPr="008D0A04">
        <w:t xml:space="preserve"> the development of </w:t>
      </w:r>
      <w:r>
        <w:t xml:space="preserve">[cooling sector emission reduction strategies and/or plans, which among others includes] </w:t>
      </w:r>
      <w:r w:rsidRPr="005C06C3">
        <w:lastRenderedPageBreak/>
        <w:t>minimum energy performance standard</w:t>
      </w:r>
      <w:r>
        <w:t>s</w:t>
      </w:r>
      <w:r w:rsidRPr="005C06C3">
        <w:t xml:space="preserve"> (MEPS)</w:t>
      </w:r>
      <w:r>
        <w:t xml:space="preserve">, and, as appropriate, </w:t>
      </w:r>
      <w:r w:rsidRPr="008D0A04">
        <w:t>labelling programme</w:t>
      </w:r>
      <w:r>
        <w:t xml:space="preserve">s, </w:t>
      </w:r>
      <w:r w:rsidRPr="008D0A04">
        <w:t>standards for RACHP equipment</w:t>
      </w:r>
      <w:r>
        <w:t>;</w:t>
      </w:r>
    </w:p>
    <w:p w:rsidR="00CF092E" w:rsidRPr="008D0A04" w:rsidRDefault="00CF092E" w:rsidP="00E34208">
      <w:pPr>
        <w:pStyle w:val="Heading3"/>
        <w:numPr>
          <w:ilvl w:val="2"/>
          <w:numId w:val="1"/>
        </w:numPr>
      </w:pPr>
      <w:r w:rsidRPr="008D0A04">
        <w:t xml:space="preserve">Development and enforcement of </w:t>
      </w:r>
      <w:r>
        <w:t xml:space="preserve">[competency-based] </w:t>
      </w:r>
      <w:r w:rsidRPr="008D0A04">
        <w:t xml:space="preserve">certification schemes for technicians and </w:t>
      </w:r>
      <w:r>
        <w:t xml:space="preserve">the </w:t>
      </w:r>
      <w:r w:rsidRPr="008D0A04">
        <w:t>strengthening</w:t>
      </w:r>
      <w:r>
        <w:t xml:space="preserve"> of [</w:t>
      </w:r>
      <w:r w:rsidRPr="008D0A04">
        <w:t>national</w:t>
      </w:r>
      <w:r>
        <w:t>]</w:t>
      </w:r>
      <w:r w:rsidRPr="008D0A04">
        <w:t xml:space="preserve"> institutions</w:t>
      </w:r>
      <w:r>
        <w:t xml:space="preserve"> [and the quality infrastructure]</w:t>
      </w:r>
      <w:r w:rsidRPr="008D0A04">
        <w:t xml:space="preserve"> </w:t>
      </w:r>
      <w:r>
        <w:t>for</w:t>
      </w:r>
      <w:r w:rsidRPr="008D0A04">
        <w:t xml:space="preserve"> </w:t>
      </w:r>
      <w:r>
        <w:t xml:space="preserve">developing and </w:t>
      </w:r>
      <w:r w:rsidRPr="008D0A04">
        <w:t>implementing certification systems</w:t>
      </w:r>
      <w:r>
        <w:t xml:space="preserve"> [including energy efficiency and safety]; </w:t>
      </w:r>
      <w:r w:rsidRPr="008D0A04">
        <w:t>and</w:t>
      </w:r>
    </w:p>
    <w:p w:rsidR="00CF092E" w:rsidRPr="008D0A04" w:rsidRDefault="00CF092E" w:rsidP="00E34208">
      <w:pPr>
        <w:pStyle w:val="Heading3"/>
        <w:numPr>
          <w:ilvl w:val="2"/>
          <w:numId w:val="1"/>
        </w:numPr>
      </w:pPr>
      <w:r w:rsidRPr="008D0A04">
        <w:t>Awareness and outreach programmes to promote the introduction of MEPS and labelling systems;</w:t>
      </w:r>
      <w:r>
        <w:t xml:space="preserve"> the</w:t>
      </w:r>
      <w:r w:rsidRPr="008D0A04">
        <w:t xml:space="preserve"> mandatory certification of technicians; and </w:t>
      </w:r>
      <w:r>
        <w:t xml:space="preserve">the </w:t>
      </w:r>
      <w:r w:rsidRPr="008D0A04">
        <w:t>introduction of energy</w:t>
      </w:r>
      <w:r>
        <w:t>-</w:t>
      </w:r>
      <w:r w:rsidRPr="008D0A04">
        <w:t>efficien</w:t>
      </w:r>
      <w:r>
        <w:t>t</w:t>
      </w:r>
      <w:r w:rsidRPr="008D0A04">
        <w:t xml:space="preserve"> RACHP equipment operating with low- </w:t>
      </w:r>
      <w:r>
        <w:t xml:space="preserve">or </w:t>
      </w:r>
      <w:r w:rsidRPr="008D0A04">
        <w:t>zero-GWP refrigerants</w:t>
      </w:r>
      <w:r>
        <w:t>;</w:t>
      </w:r>
    </w:p>
    <w:p w:rsidR="00CF092E" w:rsidRDefault="00CF092E" w:rsidP="00E34208">
      <w:pPr>
        <w:pStyle w:val="Heading2"/>
        <w:numPr>
          <w:ilvl w:val="1"/>
          <w:numId w:val="1"/>
        </w:numPr>
      </w:pPr>
      <w:r>
        <w:t>To provide the following funding, when needed, in relation to activities identified in sub</w:t>
      </w:r>
      <w:r>
        <w:noBreakHyphen/>
        <w:t xml:space="preserve">paragraph (b) above, on the understanding that Article 5 countries </w:t>
      </w:r>
      <w:r w:rsidRPr="00EE0127">
        <w:t xml:space="preserve">would have flexibility in </w:t>
      </w:r>
      <w:r>
        <w:t xml:space="preserve">using the additional funding to address specific needs that might arise during project implementation relating to </w:t>
      </w:r>
      <w:r w:rsidRPr="004F0BC5">
        <w:t>introduction of alternatives to HCFCs with low</w:t>
      </w:r>
      <w:r>
        <w:t>-</w:t>
      </w:r>
      <w:r w:rsidRPr="004F0BC5">
        <w:t xml:space="preserve"> or zero</w:t>
      </w:r>
      <w:r>
        <w:noBreakHyphen/>
      </w:r>
      <w:r w:rsidRPr="004F0BC5">
        <w:t xml:space="preserve">GWP </w:t>
      </w:r>
      <w:r>
        <w:t xml:space="preserve">refrigerants </w:t>
      </w:r>
      <w:r w:rsidRPr="004F0BC5">
        <w:t>and for maintaining energy efficiency in the refrigeration servicing sector</w:t>
      </w:r>
      <w:r>
        <w:t>:</w:t>
      </w:r>
    </w:p>
    <w:tbl>
      <w:tblPr>
        <w:tblW w:w="7920" w:type="dxa"/>
        <w:tblInd w:w="1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960"/>
        <w:gridCol w:w="3960"/>
      </w:tblGrid>
      <w:tr w:rsidR="00CF092E" w:rsidTr="00411C13">
        <w:trPr>
          <w:tblHeader/>
        </w:trPr>
        <w:tc>
          <w:tcPr>
            <w:tcW w:w="3960" w:type="dxa"/>
            <w:noWrap/>
            <w:tcMar>
              <w:top w:w="0" w:type="dxa"/>
              <w:left w:w="108" w:type="dxa"/>
              <w:bottom w:w="0" w:type="dxa"/>
              <w:right w:w="108" w:type="dxa"/>
            </w:tcMar>
            <w:vAlign w:val="center"/>
            <w:hideMark/>
          </w:tcPr>
          <w:p w:rsidR="00CF092E" w:rsidRPr="007476A7" w:rsidRDefault="00CF092E" w:rsidP="00E34208">
            <w:pPr>
              <w:jc w:val="center"/>
              <w:rPr>
                <w:b/>
                <w:bCs/>
                <w:color w:val="000000"/>
                <w:lang w:val="en-CA"/>
              </w:rPr>
            </w:pPr>
            <w:r w:rsidRPr="007476A7">
              <w:rPr>
                <w:b/>
                <w:bCs/>
                <w:color w:val="000000"/>
              </w:rPr>
              <w:t>Consumption (</w:t>
            </w:r>
            <w:proofErr w:type="spellStart"/>
            <w:r w:rsidRPr="007476A7">
              <w:rPr>
                <w:b/>
                <w:bCs/>
                <w:color w:val="000000"/>
              </w:rPr>
              <w:t>mt</w:t>
            </w:r>
            <w:proofErr w:type="spellEnd"/>
            <w:r w:rsidRPr="007476A7">
              <w:rPr>
                <w:b/>
                <w:bCs/>
                <w:color w:val="000000"/>
              </w:rPr>
              <w:t>)*</w:t>
            </w:r>
          </w:p>
        </w:tc>
        <w:tc>
          <w:tcPr>
            <w:tcW w:w="3960" w:type="dxa"/>
            <w:noWrap/>
            <w:tcMar>
              <w:top w:w="0" w:type="dxa"/>
              <w:left w:w="108" w:type="dxa"/>
              <w:bottom w:w="0" w:type="dxa"/>
              <w:right w:w="108" w:type="dxa"/>
            </w:tcMar>
            <w:vAlign w:val="center"/>
            <w:hideMark/>
          </w:tcPr>
          <w:p w:rsidR="00CF092E" w:rsidRPr="007476A7" w:rsidRDefault="00CF092E" w:rsidP="00E34208">
            <w:pPr>
              <w:jc w:val="center"/>
              <w:rPr>
                <w:b/>
                <w:bCs/>
                <w:color w:val="000000"/>
              </w:rPr>
            </w:pPr>
            <w:r w:rsidRPr="007476A7">
              <w:rPr>
                <w:b/>
                <w:bCs/>
                <w:color w:val="000000"/>
              </w:rPr>
              <w:t>Additional funding ( US $)</w:t>
            </w:r>
            <w:r>
              <w:rPr>
                <w:b/>
                <w:bCs/>
                <w:color w:val="000000"/>
              </w:rPr>
              <w:t>**</w:t>
            </w:r>
          </w:p>
        </w:tc>
      </w:tr>
      <w:tr w:rsidR="00CF092E" w:rsidTr="00411C13">
        <w:tc>
          <w:tcPr>
            <w:tcW w:w="3960" w:type="dxa"/>
            <w:noWrap/>
            <w:tcMar>
              <w:top w:w="0" w:type="dxa"/>
              <w:left w:w="1440" w:type="dxa"/>
              <w:bottom w:w="0" w:type="dxa"/>
              <w:right w:w="115" w:type="dxa"/>
            </w:tcMar>
            <w:vAlign w:val="bottom"/>
            <w:hideMark/>
          </w:tcPr>
          <w:p w:rsidR="00CF092E" w:rsidRPr="007476A7" w:rsidRDefault="00CF092E" w:rsidP="00E34208">
            <w:pPr>
              <w:rPr>
                <w:color w:val="000000"/>
              </w:rPr>
            </w:pPr>
            <w:r w:rsidRPr="007476A7">
              <w:rPr>
                <w:color w:val="000000"/>
              </w:rPr>
              <w:t>0-15</w:t>
            </w:r>
          </w:p>
        </w:tc>
        <w:tc>
          <w:tcPr>
            <w:tcW w:w="3960" w:type="dxa"/>
            <w:tcBorders>
              <w:top w:val="nil"/>
              <w:left w:val="nil"/>
              <w:bottom w:val="single" w:sz="4" w:space="0" w:color="auto"/>
              <w:right w:val="single" w:sz="4" w:space="0" w:color="auto"/>
            </w:tcBorders>
            <w:shd w:val="clear" w:color="auto" w:fill="auto"/>
            <w:noWrap/>
            <w:tcMar>
              <w:top w:w="0" w:type="dxa"/>
              <w:left w:w="115" w:type="dxa"/>
              <w:bottom w:w="0" w:type="dxa"/>
              <w:right w:w="1440" w:type="dxa"/>
            </w:tcMar>
          </w:tcPr>
          <w:p w:rsidR="00CF092E" w:rsidRPr="007476A7" w:rsidRDefault="00CF092E" w:rsidP="00E34208">
            <w:pPr>
              <w:jc w:val="right"/>
              <w:rPr>
                <w:color w:val="000000"/>
              </w:rPr>
            </w:pPr>
          </w:p>
        </w:tc>
      </w:tr>
      <w:tr w:rsidR="00CF092E" w:rsidTr="00411C13">
        <w:tc>
          <w:tcPr>
            <w:tcW w:w="3960" w:type="dxa"/>
            <w:noWrap/>
            <w:tcMar>
              <w:top w:w="0" w:type="dxa"/>
              <w:left w:w="1440" w:type="dxa"/>
              <w:bottom w:w="0" w:type="dxa"/>
              <w:right w:w="115" w:type="dxa"/>
            </w:tcMar>
            <w:vAlign w:val="bottom"/>
            <w:hideMark/>
          </w:tcPr>
          <w:p w:rsidR="00CF092E" w:rsidRPr="007476A7" w:rsidRDefault="00CF092E" w:rsidP="00E34208">
            <w:pPr>
              <w:rPr>
                <w:color w:val="000000"/>
              </w:rPr>
            </w:pPr>
            <w:r w:rsidRPr="007476A7">
              <w:rPr>
                <w:color w:val="000000"/>
              </w:rPr>
              <w:t>15-40</w:t>
            </w:r>
          </w:p>
        </w:tc>
        <w:tc>
          <w:tcPr>
            <w:tcW w:w="3960" w:type="dxa"/>
            <w:tcBorders>
              <w:top w:val="nil"/>
              <w:left w:val="nil"/>
              <w:bottom w:val="single" w:sz="4" w:space="0" w:color="auto"/>
              <w:right w:val="single" w:sz="4" w:space="0" w:color="auto"/>
            </w:tcBorders>
            <w:shd w:val="clear" w:color="auto" w:fill="auto"/>
            <w:noWrap/>
            <w:tcMar>
              <w:top w:w="0" w:type="dxa"/>
              <w:left w:w="115" w:type="dxa"/>
              <w:bottom w:w="0" w:type="dxa"/>
              <w:right w:w="1440" w:type="dxa"/>
            </w:tcMar>
          </w:tcPr>
          <w:p w:rsidR="00CF092E" w:rsidRPr="007476A7" w:rsidRDefault="00CF092E" w:rsidP="00E34208">
            <w:pPr>
              <w:jc w:val="right"/>
              <w:rPr>
                <w:color w:val="000000"/>
              </w:rPr>
            </w:pPr>
          </w:p>
        </w:tc>
      </w:tr>
      <w:tr w:rsidR="00CF092E" w:rsidTr="00411C13">
        <w:tc>
          <w:tcPr>
            <w:tcW w:w="3960" w:type="dxa"/>
            <w:noWrap/>
            <w:tcMar>
              <w:top w:w="0" w:type="dxa"/>
              <w:left w:w="1440" w:type="dxa"/>
              <w:bottom w:w="0" w:type="dxa"/>
              <w:right w:w="115" w:type="dxa"/>
            </w:tcMar>
            <w:vAlign w:val="bottom"/>
            <w:hideMark/>
          </w:tcPr>
          <w:p w:rsidR="00CF092E" w:rsidRPr="007476A7" w:rsidRDefault="00CF092E" w:rsidP="00E34208">
            <w:pPr>
              <w:rPr>
                <w:color w:val="000000"/>
              </w:rPr>
            </w:pPr>
            <w:r w:rsidRPr="007476A7">
              <w:rPr>
                <w:color w:val="000000"/>
              </w:rPr>
              <w:t>40-80</w:t>
            </w:r>
          </w:p>
        </w:tc>
        <w:tc>
          <w:tcPr>
            <w:tcW w:w="3960" w:type="dxa"/>
            <w:tcBorders>
              <w:top w:val="nil"/>
              <w:left w:val="nil"/>
              <w:bottom w:val="single" w:sz="4" w:space="0" w:color="auto"/>
              <w:right w:val="single" w:sz="4" w:space="0" w:color="auto"/>
            </w:tcBorders>
            <w:shd w:val="clear" w:color="auto" w:fill="auto"/>
            <w:noWrap/>
            <w:tcMar>
              <w:top w:w="0" w:type="dxa"/>
              <w:left w:w="115" w:type="dxa"/>
              <w:bottom w:w="0" w:type="dxa"/>
              <w:right w:w="1440" w:type="dxa"/>
            </w:tcMar>
          </w:tcPr>
          <w:p w:rsidR="00CF092E" w:rsidRPr="007476A7" w:rsidRDefault="00CF092E" w:rsidP="00E34208">
            <w:pPr>
              <w:jc w:val="right"/>
              <w:rPr>
                <w:color w:val="000000"/>
              </w:rPr>
            </w:pPr>
          </w:p>
        </w:tc>
      </w:tr>
      <w:tr w:rsidR="00CF092E" w:rsidTr="00411C13">
        <w:tc>
          <w:tcPr>
            <w:tcW w:w="3960" w:type="dxa"/>
            <w:noWrap/>
            <w:tcMar>
              <w:top w:w="0" w:type="dxa"/>
              <w:left w:w="1440" w:type="dxa"/>
              <w:bottom w:w="0" w:type="dxa"/>
              <w:right w:w="115" w:type="dxa"/>
            </w:tcMar>
            <w:vAlign w:val="bottom"/>
            <w:hideMark/>
          </w:tcPr>
          <w:p w:rsidR="00CF092E" w:rsidRPr="007476A7" w:rsidRDefault="00CF092E" w:rsidP="00E34208">
            <w:pPr>
              <w:rPr>
                <w:color w:val="000000"/>
              </w:rPr>
            </w:pPr>
            <w:r w:rsidRPr="007476A7">
              <w:rPr>
                <w:color w:val="000000"/>
              </w:rPr>
              <w:t>80-120</w:t>
            </w:r>
          </w:p>
        </w:tc>
        <w:tc>
          <w:tcPr>
            <w:tcW w:w="3960" w:type="dxa"/>
            <w:tcBorders>
              <w:top w:val="nil"/>
              <w:left w:val="nil"/>
              <w:bottom w:val="single" w:sz="4" w:space="0" w:color="auto"/>
              <w:right w:val="single" w:sz="4" w:space="0" w:color="auto"/>
            </w:tcBorders>
            <w:shd w:val="clear" w:color="auto" w:fill="auto"/>
            <w:noWrap/>
            <w:tcMar>
              <w:top w:w="0" w:type="dxa"/>
              <w:left w:w="115" w:type="dxa"/>
              <w:bottom w:w="0" w:type="dxa"/>
              <w:right w:w="1440" w:type="dxa"/>
            </w:tcMar>
          </w:tcPr>
          <w:p w:rsidR="00CF092E" w:rsidRPr="007476A7" w:rsidRDefault="00CF092E" w:rsidP="00E34208">
            <w:pPr>
              <w:jc w:val="right"/>
              <w:rPr>
                <w:color w:val="000000"/>
              </w:rPr>
            </w:pPr>
          </w:p>
        </w:tc>
      </w:tr>
      <w:tr w:rsidR="00CF092E" w:rsidTr="00411C13">
        <w:tc>
          <w:tcPr>
            <w:tcW w:w="3960" w:type="dxa"/>
            <w:noWrap/>
            <w:tcMar>
              <w:top w:w="0" w:type="dxa"/>
              <w:left w:w="1440" w:type="dxa"/>
              <w:bottom w:w="0" w:type="dxa"/>
              <w:right w:w="115" w:type="dxa"/>
            </w:tcMar>
            <w:vAlign w:val="bottom"/>
            <w:hideMark/>
          </w:tcPr>
          <w:p w:rsidR="00CF092E" w:rsidRPr="007476A7" w:rsidRDefault="00CF092E" w:rsidP="00E34208">
            <w:pPr>
              <w:rPr>
                <w:color w:val="000000"/>
              </w:rPr>
            </w:pPr>
            <w:r w:rsidRPr="007476A7">
              <w:rPr>
                <w:color w:val="000000"/>
              </w:rPr>
              <w:t>120-160</w:t>
            </w:r>
          </w:p>
        </w:tc>
        <w:tc>
          <w:tcPr>
            <w:tcW w:w="3960" w:type="dxa"/>
            <w:tcBorders>
              <w:top w:val="nil"/>
              <w:left w:val="nil"/>
              <w:bottom w:val="single" w:sz="4" w:space="0" w:color="auto"/>
              <w:right w:val="single" w:sz="4" w:space="0" w:color="auto"/>
            </w:tcBorders>
            <w:shd w:val="clear" w:color="auto" w:fill="auto"/>
            <w:noWrap/>
            <w:tcMar>
              <w:top w:w="0" w:type="dxa"/>
              <w:left w:w="115" w:type="dxa"/>
              <w:bottom w:w="0" w:type="dxa"/>
              <w:right w:w="1440" w:type="dxa"/>
            </w:tcMar>
          </w:tcPr>
          <w:p w:rsidR="00CF092E" w:rsidRPr="007476A7" w:rsidRDefault="00CF092E" w:rsidP="00E34208">
            <w:pPr>
              <w:jc w:val="right"/>
              <w:rPr>
                <w:color w:val="000000"/>
              </w:rPr>
            </w:pPr>
          </w:p>
        </w:tc>
      </w:tr>
      <w:tr w:rsidR="00CF092E" w:rsidTr="00411C13">
        <w:tc>
          <w:tcPr>
            <w:tcW w:w="3960" w:type="dxa"/>
            <w:noWrap/>
            <w:tcMar>
              <w:top w:w="0" w:type="dxa"/>
              <w:left w:w="1440" w:type="dxa"/>
              <w:bottom w:w="0" w:type="dxa"/>
              <w:right w:w="115" w:type="dxa"/>
            </w:tcMar>
            <w:vAlign w:val="bottom"/>
            <w:hideMark/>
          </w:tcPr>
          <w:p w:rsidR="00CF092E" w:rsidRPr="007476A7" w:rsidRDefault="00CF092E" w:rsidP="00E34208">
            <w:pPr>
              <w:rPr>
                <w:color w:val="000000"/>
              </w:rPr>
            </w:pPr>
            <w:r w:rsidRPr="007476A7">
              <w:rPr>
                <w:color w:val="000000"/>
              </w:rPr>
              <w:t>160-200</w:t>
            </w:r>
          </w:p>
        </w:tc>
        <w:tc>
          <w:tcPr>
            <w:tcW w:w="3960" w:type="dxa"/>
            <w:tcBorders>
              <w:top w:val="nil"/>
              <w:left w:val="nil"/>
              <w:bottom w:val="single" w:sz="4" w:space="0" w:color="auto"/>
              <w:right w:val="single" w:sz="4" w:space="0" w:color="auto"/>
            </w:tcBorders>
            <w:shd w:val="clear" w:color="auto" w:fill="auto"/>
            <w:noWrap/>
            <w:tcMar>
              <w:top w:w="0" w:type="dxa"/>
              <w:left w:w="115" w:type="dxa"/>
              <w:bottom w:w="0" w:type="dxa"/>
              <w:right w:w="1440" w:type="dxa"/>
            </w:tcMar>
          </w:tcPr>
          <w:p w:rsidR="00CF092E" w:rsidRPr="007476A7" w:rsidRDefault="00CF092E" w:rsidP="00E34208">
            <w:pPr>
              <w:jc w:val="right"/>
              <w:rPr>
                <w:color w:val="000000"/>
              </w:rPr>
            </w:pPr>
          </w:p>
        </w:tc>
      </w:tr>
      <w:tr w:rsidR="00CF092E" w:rsidTr="00411C13">
        <w:tc>
          <w:tcPr>
            <w:tcW w:w="3960" w:type="dxa"/>
            <w:noWrap/>
            <w:tcMar>
              <w:top w:w="0" w:type="dxa"/>
              <w:left w:w="1440" w:type="dxa"/>
              <w:bottom w:w="0" w:type="dxa"/>
              <w:right w:w="115" w:type="dxa"/>
            </w:tcMar>
            <w:vAlign w:val="bottom"/>
          </w:tcPr>
          <w:p w:rsidR="00CF092E" w:rsidRPr="007476A7" w:rsidRDefault="00CF092E" w:rsidP="00E34208">
            <w:pPr>
              <w:rPr>
                <w:color w:val="000000"/>
              </w:rPr>
            </w:pPr>
            <w:r w:rsidRPr="007476A7">
              <w:rPr>
                <w:color w:val="000000"/>
              </w:rPr>
              <w:t>200-320</w:t>
            </w:r>
          </w:p>
        </w:tc>
        <w:tc>
          <w:tcPr>
            <w:tcW w:w="3960" w:type="dxa"/>
            <w:tcBorders>
              <w:top w:val="nil"/>
              <w:left w:val="nil"/>
              <w:bottom w:val="single" w:sz="4" w:space="0" w:color="auto"/>
              <w:right w:val="single" w:sz="4" w:space="0" w:color="auto"/>
            </w:tcBorders>
            <w:shd w:val="clear" w:color="auto" w:fill="auto"/>
            <w:noWrap/>
            <w:tcMar>
              <w:top w:w="0" w:type="dxa"/>
              <w:left w:w="115" w:type="dxa"/>
              <w:bottom w:w="0" w:type="dxa"/>
              <w:right w:w="1440" w:type="dxa"/>
            </w:tcMar>
          </w:tcPr>
          <w:p w:rsidR="00CF092E" w:rsidRPr="007476A7" w:rsidRDefault="00CF092E" w:rsidP="00E34208">
            <w:pPr>
              <w:jc w:val="right"/>
              <w:rPr>
                <w:color w:val="000000"/>
                <w:lang w:val="en-CA"/>
              </w:rPr>
            </w:pPr>
          </w:p>
        </w:tc>
      </w:tr>
      <w:tr w:rsidR="00CF092E" w:rsidTr="00411C13">
        <w:tc>
          <w:tcPr>
            <w:tcW w:w="3960" w:type="dxa"/>
            <w:noWrap/>
            <w:tcMar>
              <w:top w:w="0" w:type="dxa"/>
              <w:left w:w="1440" w:type="dxa"/>
              <w:bottom w:w="0" w:type="dxa"/>
              <w:right w:w="115" w:type="dxa"/>
            </w:tcMar>
            <w:vAlign w:val="bottom"/>
          </w:tcPr>
          <w:p w:rsidR="00CF092E" w:rsidRPr="007476A7" w:rsidRDefault="00CF092E" w:rsidP="00E34208">
            <w:pPr>
              <w:rPr>
                <w:color w:val="000000"/>
              </w:rPr>
            </w:pPr>
            <w:r w:rsidRPr="007476A7">
              <w:rPr>
                <w:color w:val="000000"/>
              </w:rPr>
              <w:t>320-360</w:t>
            </w:r>
          </w:p>
        </w:tc>
        <w:tc>
          <w:tcPr>
            <w:tcW w:w="3960" w:type="dxa"/>
            <w:tcBorders>
              <w:top w:val="nil"/>
              <w:left w:val="nil"/>
              <w:bottom w:val="single" w:sz="4" w:space="0" w:color="auto"/>
              <w:right w:val="single" w:sz="4" w:space="0" w:color="auto"/>
            </w:tcBorders>
            <w:shd w:val="clear" w:color="auto" w:fill="auto"/>
            <w:noWrap/>
            <w:tcMar>
              <w:top w:w="0" w:type="dxa"/>
              <w:left w:w="115" w:type="dxa"/>
              <w:bottom w:w="0" w:type="dxa"/>
              <w:right w:w="1440" w:type="dxa"/>
            </w:tcMar>
          </w:tcPr>
          <w:p w:rsidR="00CF092E" w:rsidRPr="007476A7" w:rsidRDefault="00CF092E" w:rsidP="00E34208">
            <w:pPr>
              <w:jc w:val="right"/>
              <w:rPr>
                <w:color w:val="000000"/>
              </w:rPr>
            </w:pPr>
          </w:p>
        </w:tc>
      </w:tr>
    </w:tbl>
    <w:p w:rsidR="00CF092E" w:rsidRDefault="00CF092E" w:rsidP="00E34208">
      <w:pPr>
        <w:pStyle w:val="Heading1"/>
        <w:numPr>
          <w:ilvl w:val="0"/>
          <w:numId w:val="0"/>
        </w:numPr>
        <w:spacing w:after="0"/>
        <w:ind w:firstLine="1440"/>
        <w:rPr>
          <w:sz w:val="20"/>
          <w:szCs w:val="20"/>
        </w:rPr>
      </w:pPr>
      <w:r>
        <w:rPr>
          <w:sz w:val="20"/>
          <w:szCs w:val="20"/>
        </w:rPr>
        <w:t xml:space="preserve">* </w:t>
      </w:r>
      <w:r w:rsidRPr="00EC7276">
        <w:rPr>
          <w:sz w:val="20"/>
          <w:szCs w:val="20"/>
        </w:rPr>
        <w:t>Level of HCFC baseline consumption in the refrigeration servicing sector</w:t>
      </w:r>
    </w:p>
    <w:p w:rsidR="00CF092E" w:rsidRPr="007476A7" w:rsidRDefault="00CF092E" w:rsidP="00E34208">
      <w:pPr>
        <w:rPr>
          <w:sz w:val="20"/>
          <w:szCs w:val="20"/>
        </w:rPr>
      </w:pPr>
      <w:r>
        <w:tab/>
      </w:r>
      <w:r>
        <w:tab/>
      </w:r>
      <w:r w:rsidRPr="007476A7">
        <w:rPr>
          <w:sz w:val="20"/>
          <w:szCs w:val="20"/>
        </w:rPr>
        <w:t>** To be determined for each level of consumption</w:t>
      </w:r>
    </w:p>
    <w:p w:rsidR="00CF092E" w:rsidRPr="007476A7" w:rsidRDefault="00CF092E" w:rsidP="00E34208"/>
    <w:p w:rsidR="00CF092E" w:rsidRDefault="00CF092E" w:rsidP="00E34208">
      <w:pPr>
        <w:pStyle w:val="Heading2"/>
        <w:numPr>
          <w:ilvl w:val="1"/>
          <w:numId w:val="1"/>
        </w:numPr>
      </w:pPr>
      <w:r w:rsidRPr="00EE0127">
        <w:t xml:space="preserve">To request bilateral and implementing agencies, </w:t>
      </w:r>
      <w:r w:rsidRPr="005C06C3">
        <w:t>when submitting a</w:t>
      </w:r>
      <w:r>
        <w:t>n HPMP</w:t>
      </w:r>
      <w:r w:rsidRPr="005C06C3">
        <w:t xml:space="preserve"> tranche </w:t>
      </w:r>
      <w:r>
        <w:t>request</w:t>
      </w:r>
      <w:r w:rsidRPr="005C06C3">
        <w:t xml:space="preserve">, to include </w:t>
      </w:r>
      <w:r>
        <w:t>in</w:t>
      </w:r>
      <w:r w:rsidRPr="005C06C3">
        <w:t xml:space="preserve"> the tranche implementation plan, the specific acti</w:t>
      </w:r>
      <w:r>
        <w:t>on, performance indicators</w:t>
      </w:r>
      <w:r w:rsidRPr="005C06C3">
        <w:t xml:space="preserve"> and funding </w:t>
      </w:r>
      <w:r>
        <w:t xml:space="preserve">associated with the activities </w:t>
      </w:r>
      <w:r w:rsidRPr="005C06C3">
        <w:t>referred to in sub-paragraph (b) above, as well as a progress report o</w:t>
      </w:r>
      <w:r>
        <w:t>n</w:t>
      </w:r>
      <w:r w:rsidRPr="005C06C3">
        <w:t xml:space="preserve"> </w:t>
      </w:r>
      <w:r>
        <w:t xml:space="preserve">implementation of those </w:t>
      </w:r>
      <w:r w:rsidRPr="005C06C3">
        <w:t xml:space="preserve">activities </w:t>
      </w:r>
      <w:r>
        <w:t>under the previous funding tranche.]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052C5C" w:rsidTr="00AB63EF">
        <w:tc>
          <w:tcPr>
            <w:tcW w:w="1871" w:type="dxa"/>
          </w:tcPr>
          <w:p w:rsidR="00052C5C" w:rsidRPr="00052C5C" w:rsidRDefault="00052C5C" w:rsidP="00E34208">
            <w:pPr>
              <w:tabs>
                <w:tab w:val="left" w:pos="8280"/>
              </w:tabs>
            </w:pPr>
          </w:p>
        </w:tc>
        <w:tc>
          <w:tcPr>
            <w:tcW w:w="1872" w:type="dxa"/>
          </w:tcPr>
          <w:p w:rsidR="00052C5C" w:rsidRPr="00052C5C" w:rsidRDefault="00052C5C" w:rsidP="00E34208">
            <w:pPr>
              <w:tabs>
                <w:tab w:val="left" w:pos="8280"/>
              </w:tabs>
            </w:pPr>
          </w:p>
        </w:tc>
        <w:tc>
          <w:tcPr>
            <w:tcW w:w="1872" w:type="dxa"/>
            <w:tcBorders>
              <w:bottom w:val="single" w:sz="4" w:space="0" w:color="auto"/>
            </w:tcBorders>
          </w:tcPr>
          <w:p w:rsidR="00F178A6" w:rsidRDefault="00F178A6" w:rsidP="00E34208">
            <w:pPr>
              <w:tabs>
                <w:tab w:val="left" w:pos="8280"/>
              </w:tabs>
            </w:pPr>
          </w:p>
          <w:p w:rsidR="00F178A6" w:rsidRPr="00052C5C" w:rsidRDefault="00F178A6" w:rsidP="00E34208">
            <w:pPr>
              <w:tabs>
                <w:tab w:val="left" w:pos="8280"/>
              </w:tabs>
            </w:pPr>
          </w:p>
        </w:tc>
        <w:tc>
          <w:tcPr>
            <w:tcW w:w="1872" w:type="dxa"/>
          </w:tcPr>
          <w:p w:rsidR="00052C5C" w:rsidRPr="00052C5C" w:rsidRDefault="00052C5C" w:rsidP="00E34208">
            <w:pPr>
              <w:tabs>
                <w:tab w:val="left" w:pos="8280"/>
              </w:tabs>
            </w:pPr>
          </w:p>
        </w:tc>
        <w:tc>
          <w:tcPr>
            <w:tcW w:w="1873" w:type="dxa"/>
          </w:tcPr>
          <w:p w:rsidR="00052C5C" w:rsidRPr="00052C5C" w:rsidRDefault="00052C5C" w:rsidP="00E34208">
            <w:pPr>
              <w:tabs>
                <w:tab w:val="left" w:pos="8280"/>
              </w:tabs>
            </w:pPr>
          </w:p>
        </w:tc>
      </w:tr>
    </w:tbl>
    <w:p w:rsidR="00052C5C" w:rsidRPr="00052C5C" w:rsidRDefault="00052C5C" w:rsidP="00E34208">
      <w:pPr>
        <w:tabs>
          <w:tab w:val="left" w:pos="8280"/>
        </w:tabs>
        <w:rPr>
          <w:lang w:val="en-CA"/>
        </w:rPr>
      </w:pPr>
    </w:p>
    <w:p w:rsidR="00052C5C" w:rsidRDefault="00052C5C" w:rsidP="001C3C80">
      <w:pPr>
        <w:tabs>
          <w:tab w:val="left" w:pos="8280"/>
        </w:tabs>
      </w:pPr>
    </w:p>
    <w:p w:rsidR="00210D86" w:rsidRDefault="00210D86" w:rsidP="001C3C80">
      <w:pPr>
        <w:tabs>
          <w:tab w:val="left" w:pos="8280"/>
        </w:tabs>
        <w:sectPr w:rsidR="00210D86" w:rsidSect="0014654B">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pgNumType w:start="1"/>
          <w:cols w:space="720"/>
          <w:titlePg/>
        </w:sectPr>
      </w:pPr>
    </w:p>
    <w:p w:rsidR="00BB5BFE" w:rsidRDefault="00BB5BFE" w:rsidP="003919B9">
      <w:r>
        <w:lastRenderedPageBreak/>
        <w:t xml:space="preserve"> </w:t>
      </w:r>
      <w:r>
        <w:rPr>
          <w:noProof/>
          <w:lang w:val="en-CA" w:eastAsia="en-CA"/>
        </w:rPr>
        <w:drawing>
          <wp:anchor distT="0" distB="0" distL="114300" distR="114300" simplePos="0" relativeHeight="251660288" behindDoc="1" locked="0" layoutInCell="1" allowOverlap="1">
            <wp:simplePos x="0" y="0"/>
            <wp:positionH relativeFrom="column">
              <wp:posOffset>0</wp:posOffset>
            </wp:positionH>
            <wp:positionV relativeFrom="paragraph">
              <wp:posOffset>-1270</wp:posOffset>
            </wp:positionV>
            <wp:extent cx="5943600" cy="297497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5943600" cy="2974975"/>
                    </a:xfrm>
                    <a:prstGeom prst="rect">
                      <a:avLst/>
                    </a:prstGeom>
                  </pic:spPr>
                </pic:pic>
              </a:graphicData>
            </a:graphic>
            <wp14:sizeRelH relativeFrom="page">
              <wp14:pctWidth>0</wp14:pctWidth>
            </wp14:sizeRelH>
            <wp14:sizeRelV relativeFrom="page">
              <wp14:pctHeight>0</wp14:pctHeight>
            </wp14:sizeRelV>
          </wp:anchor>
        </w:drawing>
      </w:r>
    </w:p>
    <w:p w:rsidR="00BB5BFE" w:rsidRDefault="00BB5BFE" w:rsidP="001C3C80">
      <w:pPr>
        <w:tabs>
          <w:tab w:val="left" w:pos="8280"/>
        </w:tabs>
      </w:pPr>
    </w:p>
    <w:p w:rsidR="00BB5BFE" w:rsidRDefault="00BB5BFE" w:rsidP="001C3C80">
      <w:pPr>
        <w:tabs>
          <w:tab w:val="left" w:pos="8280"/>
        </w:tabs>
      </w:pPr>
    </w:p>
    <w:p w:rsidR="00BB5BFE" w:rsidRDefault="00BB5BFE" w:rsidP="001C3C80">
      <w:pPr>
        <w:tabs>
          <w:tab w:val="left" w:pos="8280"/>
        </w:tabs>
      </w:pPr>
    </w:p>
    <w:p w:rsidR="00BB5BFE" w:rsidRDefault="00BB5BFE" w:rsidP="00A56465">
      <w:pPr>
        <w:tabs>
          <w:tab w:val="left" w:pos="3210"/>
        </w:tabs>
      </w:pPr>
      <w:r>
        <w:tab/>
      </w:r>
    </w:p>
    <w:p w:rsidR="00BB5BFE" w:rsidRDefault="00BB5BFE" w:rsidP="003919B9">
      <w:pPr>
        <w:ind w:left="5040"/>
      </w:pPr>
      <w:r>
        <w:t xml:space="preserve">  </w:t>
      </w:r>
    </w:p>
    <w:p w:rsidR="00BB5BFE" w:rsidRDefault="00BB5BFE" w:rsidP="003919B9">
      <w:pPr>
        <w:ind w:left="5040"/>
      </w:pPr>
    </w:p>
    <w:p w:rsidR="00BB5BFE" w:rsidRDefault="00BB5BFE" w:rsidP="003919B9">
      <w:pPr>
        <w:ind w:left="5040"/>
      </w:pPr>
      <w:r>
        <w:t xml:space="preserve">    </w:t>
      </w:r>
      <w:r w:rsidR="00BC0530" w:rsidRPr="00BC0530">
        <w:t>UNEP/</w:t>
      </w:r>
      <w:proofErr w:type="spellStart"/>
      <w:r w:rsidR="00BC0530" w:rsidRPr="00BC0530">
        <w:t>OzL.Pro</w:t>
      </w:r>
      <w:proofErr w:type="spellEnd"/>
      <w:r w:rsidR="00BC0530" w:rsidRPr="00BC0530">
        <w:t>/</w:t>
      </w:r>
      <w:proofErr w:type="spellStart"/>
      <w:r w:rsidR="00BC0530" w:rsidRPr="00BC0530">
        <w:t>ExCom</w:t>
      </w:r>
      <w:proofErr w:type="spellEnd"/>
      <w:r w:rsidR="00BC0530" w:rsidRPr="00BC0530">
        <w:t>/83/40</w:t>
      </w:r>
      <w:r>
        <w:br/>
        <w:t xml:space="preserve">    </w:t>
      </w:r>
      <w:r w:rsidR="00BC0530" w:rsidRPr="00BC0530">
        <w:t>29 April 2019</w:t>
      </w:r>
    </w:p>
    <w:p w:rsidR="00BB5BFE" w:rsidRPr="003F73BA" w:rsidRDefault="00BB5BFE" w:rsidP="003919B9"/>
    <w:p w:rsidR="00BB5BFE" w:rsidRDefault="00BB5BFE" w:rsidP="001C3C80">
      <w:pPr>
        <w:tabs>
          <w:tab w:val="left" w:pos="8280"/>
        </w:tabs>
      </w:pPr>
    </w:p>
    <w:p w:rsidR="00BB5BFE" w:rsidRDefault="00BB5BFE" w:rsidP="001C3C80">
      <w:pPr>
        <w:tabs>
          <w:tab w:val="left" w:pos="8280"/>
        </w:tabs>
      </w:pPr>
      <w:r>
        <w:br/>
      </w:r>
      <w:r>
        <w:br/>
      </w:r>
    </w:p>
    <w:p w:rsidR="00BB5BFE" w:rsidRDefault="00BB5BFE" w:rsidP="001C3C80">
      <w:pPr>
        <w:tabs>
          <w:tab w:val="left" w:pos="8280"/>
        </w:tabs>
      </w:pPr>
    </w:p>
    <w:p w:rsidR="00BB5BFE" w:rsidRDefault="00BB5BFE" w:rsidP="001C3C80">
      <w:pPr>
        <w:tabs>
          <w:tab w:val="left" w:pos="8280"/>
        </w:tabs>
      </w:pPr>
    </w:p>
    <w:p w:rsidR="00BB5BFE" w:rsidRDefault="00BB5BFE" w:rsidP="001C3C80">
      <w:pPr>
        <w:tabs>
          <w:tab w:val="left" w:pos="8280"/>
        </w:tabs>
      </w:pPr>
    </w:p>
    <w:p w:rsidR="00BB5BFE" w:rsidRDefault="00BB5BFE" w:rsidP="001C3C80">
      <w:pPr>
        <w:tabs>
          <w:tab w:val="left" w:pos="8280"/>
        </w:tabs>
      </w:pPr>
    </w:p>
    <w:p w:rsidR="00BB5BFE" w:rsidRDefault="00BB5BFE" w:rsidP="001C3C80">
      <w:pPr>
        <w:tabs>
          <w:tab w:val="left" w:pos="8280"/>
        </w:tabs>
      </w:pPr>
    </w:p>
    <w:p w:rsidR="00BB5BFE" w:rsidRDefault="00BB5BFE" w:rsidP="001C3C80">
      <w:pPr>
        <w:tabs>
          <w:tab w:val="left" w:pos="8280"/>
        </w:tabs>
      </w:pPr>
    </w:p>
    <w:p w:rsidR="00BB5BFE" w:rsidRDefault="00BB5BFE" w:rsidP="001C3C80">
      <w:pPr>
        <w:tabs>
          <w:tab w:val="left" w:pos="8280"/>
        </w:tabs>
      </w:pPr>
    </w:p>
    <w:p w:rsidR="00BB5BFE" w:rsidRDefault="00BB5BFE" w:rsidP="00E479E5">
      <w:pPr>
        <w:jc w:val="center"/>
        <w:rPr>
          <w:b/>
          <w:lang w:val="en-CA"/>
        </w:rPr>
      </w:pPr>
      <w:r w:rsidRPr="00AF534A">
        <w:rPr>
          <w:b/>
          <w:lang w:val="en-CA"/>
        </w:rPr>
        <w:t>PAPER ON WAYS TO OPERATIONALIZE PARAGRAPH 16 OF DECISION XXVIII/2</w:t>
      </w:r>
      <w:r>
        <w:rPr>
          <w:b/>
          <w:lang w:val="en-CA"/>
        </w:rPr>
        <w:br/>
      </w:r>
      <w:r w:rsidRPr="00AF534A">
        <w:rPr>
          <w:b/>
          <w:lang w:val="en-CA"/>
        </w:rPr>
        <w:t xml:space="preserve">AND PARAGRAPH 2 OF </w:t>
      </w:r>
      <w:r>
        <w:rPr>
          <w:b/>
          <w:lang w:val="en-CA"/>
        </w:rPr>
        <w:t xml:space="preserve">DECISION </w:t>
      </w:r>
      <w:r w:rsidRPr="00AF534A">
        <w:rPr>
          <w:b/>
          <w:lang w:val="en-CA"/>
        </w:rPr>
        <w:t>XXX/5 OF THE PARTIES (DECISION 82/83(c))</w:t>
      </w:r>
    </w:p>
    <w:p w:rsidR="00BB5BFE" w:rsidRPr="008769F2" w:rsidRDefault="00BB5BFE" w:rsidP="00E479E5">
      <w:pPr>
        <w:rPr>
          <w:lang w:val="en-CA"/>
        </w:rPr>
      </w:pPr>
    </w:p>
    <w:p w:rsidR="00BB5BFE" w:rsidRPr="00835FE5" w:rsidRDefault="00BB5BFE" w:rsidP="00E479E5">
      <w:pPr>
        <w:spacing w:after="240"/>
        <w:outlineLvl w:val="0"/>
        <w:rPr>
          <w:b/>
        </w:rPr>
      </w:pPr>
      <w:r w:rsidRPr="00835FE5">
        <w:rPr>
          <w:b/>
        </w:rPr>
        <w:t>Background</w:t>
      </w:r>
    </w:p>
    <w:p w:rsidR="00BB5BFE" w:rsidRDefault="00BB5BFE" w:rsidP="007663F3">
      <w:pPr>
        <w:pStyle w:val="Heading1"/>
        <w:numPr>
          <w:ilvl w:val="0"/>
          <w:numId w:val="47"/>
        </w:numPr>
      </w:pPr>
      <w:r>
        <w:t>At its 82</w:t>
      </w:r>
      <w:r w:rsidRPr="007663F3">
        <w:rPr>
          <w:vertAlign w:val="superscript"/>
        </w:rPr>
        <w:t>nd</w:t>
      </w:r>
      <w:r>
        <w:t xml:space="preserve"> meeting, the Executive Committee considered a document prepared by the Secretariat presenting a summary of the Parties' deliberations at the 40</w:t>
      </w:r>
      <w:r w:rsidRPr="007663F3">
        <w:rPr>
          <w:vertAlign w:val="superscript"/>
        </w:rPr>
        <w:t>th</w:t>
      </w:r>
      <w:r>
        <w:t xml:space="preserve"> meeting of the Open-Ended Working Group (OEWG) of the Parties and the Thirtieth Meeting of the Parties to the Montreal Protocol in relation to the report by the Technology and Economic Assessment Panel (TEAP) on issues related to energy efficiency.</w:t>
      </w:r>
      <w:r>
        <w:rPr>
          <w:rStyle w:val="FootnoteReference"/>
        </w:rPr>
        <w:footnoteReference w:id="11"/>
      </w:r>
    </w:p>
    <w:p w:rsidR="00BB5BFE" w:rsidRDefault="00BB5BFE" w:rsidP="00E479E5">
      <w:pPr>
        <w:pStyle w:val="Heading1"/>
      </w:pPr>
      <w:r w:rsidRPr="009B7477">
        <w:t xml:space="preserve">The document </w:t>
      </w:r>
      <w:r>
        <w:t>briefly</w:t>
      </w:r>
      <w:r w:rsidRPr="009B7477">
        <w:t xml:space="preserve"> present</w:t>
      </w:r>
      <w:r>
        <w:t>ed</w:t>
      </w:r>
      <w:r w:rsidRPr="009B7477">
        <w:t xml:space="preserve"> </w:t>
      </w:r>
      <w:r w:rsidRPr="00330CE2">
        <w:rPr>
          <w:i/>
        </w:rPr>
        <w:t xml:space="preserve">inter alia </w:t>
      </w:r>
      <w:r w:rsidRPr="009B7477">
        <w:t>the actions taken in response to decision XXIX/10,</w:t>
      </w:r>
      <w:r w:rsidRPr="00E41631">
        <w:rPr>
          <w:rStyle w:val="FootnoteReference"/>
        </w:rPr>
        <w:footnoteReference w:id="12"/>
      </w:r>
      <w:r w:rsidRPr="00E41631">
        <w:t xml:space="preserve"> </w:t>
      </w:r>
      <w:r>
        <w:t xml:space="preserve">particularly </w:t>
      </w:r>
      <w:r w:rsidRPr="009B7477">
        <w:t xml:space="preserve">regarding the </w:t>
      </w:r>
      <w:r>
        <w:t xml:space="preserve">TEAP </w:t>
      </w:r>
      <w:r w:rsidRPr="009B7477">
        <w:t>report on issues related to energy efficiency, and the workshop on energy efficiency opportunities while phasing down HFCs held in the margins of the 40</w:t>
      </w:r>
      <w:r w:rsidRPr="00330CE2">
        <w:rPr>
          <w:vertAlign w:val="superscript"/>
        </w:rPr>
        <w:t>th</w:t>
      </w:r>
      <w:r>
        <w:t xml:space="preserve"> </w:t>
      </w:r>
      <w:r w:rsidRPr="009B7477">
        <w:t xml:space="preserve">meeting of the OEWG. </w:t>
      </w:r>
    </w:p>
    <w:p w:rsidR="00BB5BFE" w:rsidRPr="0057659D" w:rsidRDefault="00BB5BFE" w:rsidP="00E479E5">
      <w:pPr>
        <w:pStyle w:val="Heading1"/>
      </w:pPr>
      <w:r w:rsidRPr="00C53778">
        <w:t xml:space="preserve">Following </w:t>
      </w:r>
      <w:r w:rsidRPr="00466C54">
        <w:t>the</w:t>
      </w:r>
      <w:r w:rsidRPr="00C53778">
        <w:t xml:space="preserve"> discussion,</w:t>
      </w:r>
      <w:r>
        <w:t xml:space="preserve"> the Executive Committee </w:t>
      </w:r>
      <w:r>
        <w:rPr>
          <w:i/>
        </w:rPr>
        <w:t xml:space="preserve">inter alia </w:t>
      </w:r>
      <w:r>
        <w:t xml:space="preserve">requested </w:t>
      </w:r>
      <w:r w:rsidRPr="00F11145">
        <w:t>the Secretariat to prepare a paper for consideration by the Executive Committee at its 83</w:t>
      </w:r>
      <w:r w:rsidRPr="00532570">
        <w:rPr>
          <w:vertAlign w:val="superscript"/>
        </w:rPr>
        <w:t>rd</w:t>
      </w:r>
      <w:r>
        <w:t xml:space="preserve"> </w:t>
      </w:r>
      <w:r w:rsidRPr="00F11145">
        <w:t xml:space="preserve">meeting, describing ways to operationalize paragraph 16 of decision XXVIII/2, and paragraph 2 of decision XXX/5, taking into account </w:t>
      </w:r>
      <w:r>
        <w:t xml:space="preserve">the </w:t>
      </w:r>
      <w:r w:rsidRPr="00F11145">
        <w:t xml:space="preserve">criteria, performance indicators, and associated funding mechanisms </w:t>
      </w:r>
      <w:r>
        <w:t>of</w:t>
      </w:r>
      <w:r w:rsidRPr="00F11145">
        <w:t xml:space="preserve"> servicing sector plans in existing or new </w:t>
      </w:r>
      <w:r w:rsidRPr="00532570">
        <w:t>HCFC phase-out management plans</w:t>
      </w:r>
      <w:r>
        <w:t xml:space="preserve"> (HPMPs)</w:t>
      </w:r>
      <w:r w:rsidRPr="00532570">
        <w:t xml:space="preserve"> for</w:t>
      </w:r>
      <w:r>
        <w:t xml:space="preserve"> low-volume-consuming (LVC) countries (decision 82/83(c)).</w:t>
      </w:r>
    </w:p>
    <w:p w:rsidR="00BB5BFE" w:rsidRPr="00C06E97" w:rsidRDefault="00BB5BFE" w:rsidP="00E479E5">
      <w:pPr>
        <w:keepNext/>
        <w:rPr>
          <w:u w:val="single"/>
        </w:rPr>
      </w:pPr>
      <w:r>
        <w:rPr>
          <w:u w:val="single"/>
        </w:rPr>
        <w:lastRenderedPageBreak/>
        <w:t xml:space="preserve">An analysis of decision 82/83(c) </w:t>
      </w:r>
    </w:p>
    <w:p w:rsidR="00BB5BFE" w:rsidRPr="00C06E97" w:rsidRDefault="00BB5BFE" w:rsidP="00E479E5">
      <w:pPr>
        <w:keepNext/>
      </w:pPr>
    </w:p>
    <w:p w:rsidR="00BB5BFE" w:rsidRPr="00466C54" w:rsidRDefault="00BB5BFE" w:rsidP="00E479E5">
      <w:pPr>
        <w:pStyle w:val="Heading1"/>
      </w:pPr>
      <w:r w:rsidRPr="00466C54">
        <w:t>Decision 82/83(c) refers directly to paragraph 16 of decision XXVIII/2</w:t>
      </w:r>
      <w:r>
        <w:rPr>
          <w:rStyle w:val="FootnoteReference"/>
        </w:rPr>
        <w:footnoteReference w:id="13"/>
      </w:r>
      <w:r>
        <w:t xml:space="preserve"> and paragraph 2 of decision </w:t>
      </w:r>
      <w:r w:rsidRPr="00466C54">
        <w:t>XXX/5,</w:t>
      </w:r>
      <w:r>
        <w:rPr>
          <w:rStyle w:val="FootnoteReference"/>
        </w:rPr>
        <w:footnoteReference w:id="14"/>
      </w:r>
      <w:r w:rsidRPr="00466C54">
        <w:t xml:space="preserve"> and incorporates paragraph 1 of decision XXX/5</w:t>
      </w:r>
      <w:r>
        <w:rPr>
          <w:rStyle w:val="FootnoteReference"/>
        </w:rPr>
        <w:footnoteReference w:id="15"/>
      </w:r>
      <w:r w:rsidRPr="00466C54">
        <w:t xml:space="preserve"> (support for energy efficiency policy and training support as it relates to the phase-down of controlled substances), as well </w:t>
      </w:r>
      <w:r>
        <w:t>as paragraph(c)(xii) of decision </w:t>
      </w:r>
      <w:r w:rsidRPr="00466C54">
        <w:t>74/50</w:t>
      </w:r>
      <w:r>
        <w:rPr>
          <w:rStyle w:val="FootnoteReference"/>
        </w:rPr>
        <w:footnoteReference w:id="16"/>
      </w:r>
      <w:r>
        <w:t xml:space="preserve"> </w:t>
      </w:r>
      <w:r w:rsidRPr="00466C54">
        <w:t>(funding mechanisms for servicing sector plans).</w:t>
      </w:r>
    </w:p>
    <w:p w:rsidR="00BB5BFE" w:rsidRPr="00607B4A" w:rsidRDefault="00BB5BFE" w:rsidP="00E479E5">
      <w:pPr>
        <w:pStyle w:val="Heading1"/>
      </w:pPr>
      <w:r>
        <w:rPr>
          <w:lang w:val="en-CA"/>
        </w:rPr>
        <w:t xml:space="preserve">Incorporating the text of the relevant decisions would lead to the following reading of decision 82/83(c): </w:t>
      </w:r>
    </w:p>
    <w:p w:rsidR="00BB5BFE" w:rsidRDefault="00BB5BFE" w:rsidP="00E479E5">
      <w:pPr>
        <w:pStyle w:val="Heading1"/>
        <w:numPr>
          <w:ilvl w:val="0"/>
          <w:numId w:val="0"/>
        </w:numPr>
        <w:ind w:left="720"/>
      </w:pPr>
      <w:r w:rsidRPr="003E3E2C">
        <w:t>To request the Secretariat to prepare a paper for consideration by the Executive Committee at its 83</w:t>
      </w:r>
      <w:r w:rsidRPr="00607B4A">
        <w:rPr>
          <w:vertAlign w:val="superscript"/>
        </w:rPr>
        <w:t>rd</w:t>
      </w:r>
      <w:r w:rsidRPr="003E3E2C">
        <w:t xml:space="preserve"> meeting, describing ways to operationalize an </w:t>
      </w:r>
      <w:r w:rsidRPr="00607B4A">
        <w:rPr>
          <w:rFonts w:eastAsiaTheme="minorHAnsi"/>
        </w:rPr>
        <w:t>increase in funding</w:t>
      </w:r>
      <w:r>
        <w:rPr>
          <w:rFonts w:eastAsiaTheme="minorHAnsi"/>
        </w:rPr>
        <w:t xml:space="preserve">, in relation to the servicing sector, </w:t>
      </w:r>
      <w:r w:rsidRPr="00607B4A">
        <w:rPr>
          <w:rFonts w:eastAsiaTheme="minorHAnsi"/>
        </w:rPr>
        <w:t xml:space="preserve">available under decision 74/50 </w:t>
      </w:r>
      <w:r w:rsidRPr="003E3E2C">
        <w:t xml:space="preserve">for </w:t>
      </w:r>
      <w:r>
        <w:t xml:space="preserve">LVC </w:t>
      </w:r>
      <w:r w:rsidRPr="003E3E2C">
        <w:t>countries</w:t>
      </w:r>
      <w:r>
        <w:t>,</w:t>
      </w:r>
      <w:r w:rsidRPr="00607B4A">
        <w:rPr>
          <w:rFonts w:eastAsiaTheme="minorHAnsi"/>
        </w:rPr>
        <w:t xml:space="preserve"> when needed, for </w:t>
      </w:r>
      <w:r>
        <w:rPr>
          <w:rFonts w:eastAsiaTheme="minorHAnsi"/>
        </w:rPr>
        <w:t xml:space="preserve">(a) </w:t>
      </w:r>
      <w:r w:rsidRPr="00607B4A">
        <w:rPr>
          <w:rFonts w:eastAsiaTheme="minorHAnsi"/>
        </w:rPr>
        <w:t>the introduction of low- and zero-</w:t>
      </w:r>
      <w:r>
        <w:rPr>
          <w:rFonts w:eastAsiaTheme="minorHAnsi"/>
        </w:rPr>
        <w:t>global warming potential (</w:t>
      </w:r>
      <w:r w:rsidRPr="00607B4A">
        <w:rPr>
          <w:rFonts w:eastAsiaTheme="minorHAnsi"/>
        </w:rPr>
        <w:t>GWP</w:t>
      </w:r>
      <w:r>
        <w:rPr>
          <w:rFonts w:eastAsiaTheme="minorHAnsi"/>
        </w:rPr>
        <w:t>)</w:t>
      </w:r>
      <w:r w:rsidRPr="00607B4A">
        <w:rPr>
          <w:rFonts w:eastAsiaTheme="minorHAnsi"/>
        </w:rPr>
        <w:t xml:space="preserve"> alternatives to HCFCs or HFCs and maintaining energy efficiency in the servicing</w:t>
      </w:r>
      <w:r>
        <w:rPr>
          <w:rFonts w:eastAsiaTheme="minorHAnsi"/>
        </w:rPr>
        <w:t xml:space="preserve">/end-user </w:t>
      </w:r>
      <w:r w:rsidRPr="00607B4A">
        <w:rPr>
          <w:rFonts w:eastAsiaTheme="minorHAnsi"/>
        </w:rPr>
        <w:t>sector</w:t>
      </w:r>
      <w:r>
        <w:rPr>
          <w:rStyle w:val="FootnoteReference"/>
          <w:rFonts w:eastAsiaTheme="minorHAnsi"/>
        </w:rPr>
        <w:footnoteReference w:id="17"/>
      </w:r>
      <w:r w:rsidRPr="00607B4A">
        <w:rPr>
          <w:rFonts w:eastAsiaTheme="minorHAnsi"/>
        </w:rPr>
        <w:t xml:space="preserve">; </w:t>
      </w:r>
      <w:r>
        <w:rPr>
          <w:rFonts w:eastAsiaTheme="minorHAnsi"/>
        </w:rPr>
        <w:t xml:space="preserve">(b) </w:t>
      </w:r>
      <w:r w:rsidRPr="00607B4A">
        <w:rPr>
          <w:rFonts w:eastAsia="Cambria"/>
          <w:lang w:val="en-US"/>
        </w:rPr>
        <w:t>developing and enforcing policies and regulations to avoid the market penetration of energy-inefficient</w:t>
      </w:r>
      <w:r w:rsidRPr="00607B4A">
        <w:rPr>
          <w:lang w:val="en-US"/>
        </w:rPr>
        <w:t xml:space="preserve"> </w:t>
      </w:r>
      <w:r>
        <w:rPr>
          <w:lang w:val="en-US"/>
        </w:rPr>
        <w:t>RACHP</w:t>
      </w:r>
      <w:r w:rsidRPr="00607B4A">
        <w:rPr>
          <w:rFonts w:eastAsia="Cambria"/>
          <w:lang w:val="en-US"/>
        </w:rPr>
        <w:t xml:space="preserve"> equipment and </w:t>
      </w:r>
      <w:r>
        <w:rPr>
          <w:lang w:val="en-US"/>
        </w:rPr>
        <w:t>promoting penetration of energy</w:t>
      </w:r>
      <w:r>
        <w:rPr>
          <w:lang w:val="en-US"/>
        </w:rPr>
        <w:noBreakHyphen/>
      </w:r>
      <w:r w:rsidRPr="00607B4A">
        <w:rPr>
          <w:lang w:val="en-US"/>
        </w:rPr>
        <w:t xml:space="preserve">efficient equipment, supported by </w:t>
      </w:r>
      <w:r w:rsidRPr="00607B4A">
        <w:rPr>
          <w:rFonts w:eastAsia="Cambria"/>
        </w:rPr>
        <w:t>targeted training on certification, safety and standards, awareness</w:t>
      </w:r>
      <w:r>
        <w:rPr>
          <w:rFonts w:eastAsia="Cambria"/>
        </w:rPr>
        <w:t xml:space="preserve"> </w:t>
      </w:r>
      <w:r w:rsidRPr="00607B4A">
        <w:rPr>
          <w:rFonts w:eastAsia="Cambria"/>
        </w:rPr>
        <w:t>raising and capacity</w:t>
      </w:r>
      <w:r>
        <w:rPr>
          <w:rFonts w:eastAsia="Cambria"/>
        </w:rPr>
        <w:t xml:space="preserve"> </w:t>
      </w:r>
      <w:r w:rsidRPr="00607B4A">
        <w:rPr>
          <w:rFonts w:eastAsia="Cambria"/>
        </w:rPr>
        <w:t>building</w:t>
      </w:r>
      <w:r>
        <w:rPr>
          <w:rStyle w:val="FootnoteReference"/>
          <w:rFonts w:eastAsia="Cambria"/>
        </w:rPr>
        <w:footnoteReference w:id="18"/>
      </w:r>
      <w:r w:rsidRPr="00607B4A">
        <w:rPr>
          <w:rFonts w:eastAsia="Cambria"/>
        </w:rPr>
        <w:t>;</w:t>
      </w:r>
      <w:r w:rsidRPr="003E3E2C">
        <w:t xml:space="preserve"> </w:t>
      </w:r>
      <w:r>
        <w:t xml:space="preserve">(c) </w:t>
      </w:r>
      <w:r w:rsidRPr="003E3E2C">
        <w:t>taking into account the criteria, performance indicators, and associated funding mechanisms of servicing sector plans in existing or new HCFC phase-out management plans.</w:t>
      </w:r>
    </w:p>
    <w:p w:rsidR="00BB5BFE" w:rsidRDefault="00BB5BFE" w:rsidP="00E479E5">
      <w:pPr>
        <w:pStyle w:val="Heading1"/>
      </w:pPr>
      <w:r>
        <w:t>From the above, it is noted that the focus of this decision is on increasing funding available under decision 74/50 for HPMPs for LVC countries for the introduction of low- and zero-GWP alternatives to HCFCs or HFCs and maintaining energy efficiency while addressing the HCFC consumption in the servicing sector.</w:t>
      </w:r>
    </w:p>
    <w:p w:rsidR="00BB5BFE" w:rsidRDefault="00BB5BFE" w:rsidP="00E479E5">
      <w:pPr>
        <w:pStyle w:val="Heading1"/>
      </w:pPr>
      <w:r>
        <w:t>The Secretariat prepared the present document in response to decision 82/83(c) in light of the above.</w:t>
      </w:r>
    </w:p>
    <w:p w:rsidR="00BB5BFE" w:rsidRPr="0057659D" w:rsidRDefault="00BB5BFE" w:rsidP="00E479E5">
      <w:pPr>
        <w:keepNext/>
        <w:rPr>
          <w:u w:val="single"/>
        </w:rPr>
      </w:pPr>
      <w:r w:rsidRPr="00C652B2">
        <w:rPr>
          <w:u w:val="single"/>
        </w:rPr>
        <w:t>Scope of the document</w:t>
      </w:r>
    </w:p>
    <w:p w:rsidR="00BB5BFE" w:rsidRDefault="00BB5BFE" w:rsidP="00E479E5">
      <w:pPr>
        <w:keepNext/>
      </w:pPr>
    </w:p>
    <w:p w:rsidR="00BB5BFE" w:rsidRDefault="00BB5BFE" w:rsidP="00E479E5">
      <w:pPr>
        <w:pStyle w:val="Heading1"/>
      </w:pPr>
      <w:r>
        <w:t>The document consists of the following sections addressing specific issues relating to the service sector for LVC countries</w:t>
      </w:r>
      <w:r>
        <w:rPr>
          <w:rStyle w:val="FootnoteReference"/>
        </w:rPr>
        <w:footnoteReference w:id="19"/>
      </w:r>
      <w:r>
        <w:t>:</w:t>
      </w:r>
    </w:p>
    <w:p w:rsidR="00BB5BFE" w:rsidRDefault="00BB5BFE" w:rsidP="00E479E5">
      <w:pPr>
        <w:pStyle w:val="Heading2"/>
        <w:numPr>
          <w:ilvl w:val="0"/>
          <w:numId w:val="0"/>
        </w:numPr>
        <w:ind w:left="720"/>
      </w:pPr>
      <w:r w:rsidRPr="00E466C7">
        <w:rPr>
          <w:u w:val="single"/>
        </w:rPr>
        <w:lastRenderedPageBreak/>
        <w:t>Introduction of low- and zero-GWP alternatives to HCFCs or HFCs</w:t>
      </w:r>
      <w:r>
        <w:rPr>
          <w:u w:val="single"/>
        </w:rPr>
        <w:t>:</w:t>
      </w:r>
      <w:r>
        <w:t xml:space="preserve"> presents an overview of the refrigeration servicing sector and the regulatory framework that has been established in Article 5 countries, allowing </w:t>
      </w:r>
      <w:r>
        <w:rPr>
          <w:i/>
        </w:rPr>
        <w:t xml:space="preserve">inter </w:t>
      </w:r>
      <w:r w:rsidRPr="00356929">
        <w:rPr>
          <w:i/>
        </w:rPr>
        <w:t xml:space="preserve">alia </w:t>
      </w:r>
      <w:r w:rsidRPr="00356929">
        <w:t>implementation of controls on imports of</w:t>
      </w:r>
      <w:r>
        <w:t xml:space="preserve"> RACHP equipment based on high-</w:t>
      </w:r>
      <w:r w:rsidRPr="00356929">
        <w:t>GWP controlled substances. It discusses the potential barrie</w:t>
      </w:r>
      <w:r>
        <w:t>rs for the introduction of low</w:t>
      </w:r>
      <w:r>
        <w:noBreakHyphen/>
        <w:t> </w:t>
      </w:r>
      <w:r w:rsidRPr="00356929">
        <w:t>and zero-GWP alternative technologies and how Article 5 countries are</w:t>
      </w:r>
      <w:r>
        <w:t xml:space="preserve"> addressing these barriers during the implementation of their HPMPs. It also presents an overview of the adoption of standards </w:t>
      </w:r>
      <w:r w:rsidRPr="005B5CBE">
        <w:t>and how they can be useful in supporting the adoption of low-GWP alternatives in the context of the HCFC phase-out</w:t>
      </w:r>
      <w:r>
        <w:t>.</w:t>
      </w:r>
    </w:p>
    <w:p w:rsidR="00BB5BFE" w:rsidRPr="005B5CBE" w:rsidRDefault="00BB5BFE" w:rsidP="00E479E5">
      <w:pPr>
        <w:ind w:left="720" w:hanging="720"/>
      </w:pPr>
      <w:r>
        <w:tab/>
      </w:r>
      <w:r w:rsidRPr="004A1EF4">
        <w:rPr>
          <w:u w:val="single"/>
        </w:rPr>
        <w:t>Developing and enforcing policies</w:t>
      </w:r>
      <w:r w:rsidRPr="005B5CBE">
        <w:rPr>
          <w:u w:val="single"/>
        </w:rPr>
        <w:t xml:space="preserve"> and regulations to avoid t</w:t>
      </w:r>
      <w:r>
        <w:rPr>
          <w:u w:val="single"/>
        </w:rPr>
        <w:t>he market penetration of energy</w:t>
      </w:r>
      <w:r>
        <w:rPr>
          <w:u w:val="single"/>
        </w:rPr>
        <w:noBreakHyphen/>
      </w:r>
      <w:r w:rsidRPr="005B5CBE">
        <w:rPr>
          <w:u w:val="single"/>
        </w:rPr>
        <w:t xml:space="preserve">inefficient </w:t>
      </w:r>
      <w:r>
        <w:rPr>
          <w:u w:val="single"/>
        </w:rPr>
        <w:t>RACHP</w:t>
      </w:r>
      <w:r w:rsidRPr="005B5CBE">
        <w:rPr>
          <w:u w:val="single"/>
        </w:rPr>
        <w:t xml:space="preserve"> equipment and promoting </w:t>
      </w:r>
      <w:r>
        <w:rPr>
          <w:u w:val="single"/>
        </w:rPr>
        <w:t xml:space="preserve">market </w:t>
      </w:r>
      <w:r w:rsidRPr="005B5CBE">
        <w:rPr>
          <w:u w:val="single"/>
        </w:rPr>
        <w:t>penetration of energy-efficient equipment</w:t>
      </w:r>
      <w:r>
        <w:rPr>
          <w:u w:val="single"/>
        </w:rPr>
        <w:t>:</w:t>
      </w:r>
      <w:r w:rsidRPr="005B5CBE">
        <w:t xml:space="preserve"> </w:t>
      </w:r>
      <w:r>
        <w:t xml:space="preserve">presents an overview of energy efficiency policies commonly used, with an emphasis on </w:t>
      </w:r>
      <w:r w:rsidRPr="005B5CBE">
        <w:t>the minimum energy performance standard (MEPS)</w:t>
      </w:r>
      <w:r>
        <w:t xml:space="preserve"> and labelling programmes; it presents a list of 43 Article 5 countries with programmes in place for MEPS and labelling; and discusses the application of MEPS for controlling imports of “inefficient” energy efficiency RACHP equipment together with regulations favouring the introduction of low- and zero-GWP alternative refrigerants</w:t>
      </w:r>
      <w:r>
        <w:rPr>
          <w:rStyle w:val="FootnoteReference"/>
        </w:rPr>
        <w:footnoteReference w:id="20"/>
      </w:r>
      <w:r>
        <w:t>.</w:t>
      </w:r>
    </w:p>
    <w:p w:rsidR="00BB5BFE" w:rsidRDefault="00BB5BFE" w:rsidP="00E479E5"/>
    <w:p w:rsidR="00BB5BFE" w:rsidRDefault="00BB5BFE" w:rsidP="00E479E5">
      <w:pPr>
        <w:ind w:left="720"/>
        <w:rPr>
          <w:rFonts w:eastAsiaTheme="minorHAnsi"/>
        </w:rPr>
      </w:pPr>
      <w:r w:rsidRPr="00AC0DD4">
        <w:rPr>
          <w:u w:val="single"/>
        </w:rPr>
        <w:t>M</w:t>
      </w:r>
      <w:r w:rsidRPr="00AC0DD4">
        <w:rPr>
          <w:rFonts w:eastAsiaTheme="minorHAnsi"/>
          <w:u w:val="single"/>
        </w:rPr>
        <w:t>aintaining energy efficiency in the servicing sector</w:t>
      </w:r>
      <w:r>
        <w:rPr>
          <w:rFonts w:eastAsiaTheme="minorHAnsi"/>
          <w:u w:val="single"/>
        </w:rPr>
        <w:t>:</w:t>
      </w:r>
      <w:r w:rsidRPr="00AC0DD4">
        <w:rPr>
          <w:rFonts w:eastAsiaTheme="minorHAnsi"/>
        </w:rPr>
        <w:t xml:space="preserve"> </w:t>
      </w:r>
      <w:r>
        <w:rPr>
          <w:rFonts w:eastAsiaTheme="minorHAnsi"/>
        </w:rPr>
        <w:t>briefly discusses the effect of i</w:t>
      </w:r>
      <w:r w:rsidRPr="00392C78">
        <w:rPr>
          <w:rFonts w:eastAsiaTheme="minorHAnsi"/>
        </w:rPr>
        <w:t xml:space="preserve">nstallation, maintenance and servicing practices in ensuring the efficient operation of the </w:t>
      </w:r>
      <w:r>
        <w:rPr>
          <w:rFonts w:eastAsiaTheme="minorHAnsi"/>
        </w:rPr>
        <w:t xml:space="preserve">RACHP </w:t>
      </w:r>
      <w:r w:rsidRPr="00392C78">
        <w:rPr>
          <w:rFonts w:eastAsiaTheme="minorHAnsi"/>
        </w:rPr>
        <w:t>equipment at the highest feasible energy efficiency over the lifetime</w:t>
      </w:r>
      <w:r>
        <w:rPr>
          <w:rFonts w:eastAsiaTheme="minorHAnsi"/>
        </w:rPr>
        <w:t xml:space="preserve"> </w:t>
      </w:r>
      <w:r w:rsidRPr="00392C78">
        <w:rPr>
          <w:rFonts w:eastAsiaTheme="minorHAnsi"/>
        </w:rPr>
        <w:t>of the equipment.</w:t>
      </w:r>
    </w:p>
    <w:p w:rsidR="00BB5BFE" w:rsidRPr="00AC0DD4" w:rsidRDefault="00BB5BFE" w:rsidP="00E479E5">
      <w:pPr>
        <w:ind w:left="720" w:hanging="720"/>
        <w:rPr>
          <w:rFonts w:eastAsiaTheme="minorHAnsi"/>
        </w:rPr>
      </w:pPr>
    </w:p>
    <w:p w:rsidR="00BB5BFE" w:rsidRDefault="00BB5BFE" w:rsidP="00E479E5">
      <w:pPr>
        <w:ind w:left="720"/>
        <w:rPr>
          <w:rFonts w:eastAsia="Cambria"/>
        </w:rPr>
      </w:pPr>
      <w:r w:rsidRPr="00392C78">
        <w:rPr>
          <w:u w:val="single"/>
        </w:rPr>
        <w:t>T</w:t>
      </w:r>
      <w:r w:rsidRPr="00392C78">
        <w:rPr>
          <w:rFonts w:eastAsia="Cambria"/>
          <w:u w:val="single"/>
        </w:rPr>
        <w:t>argeted training on certification, safety and standards, awareness</w:t>
      </w:r>
      <w:r>
        <w:rPr>
          <w:rFonts w:eastAsia="Cambria"/>
          <w:u w:val="single"/>
        </w:rPr>
        <w:t xml:space="preserve"> </w:t>
      </w:r>
      <w:r w:rsidRPr="00392C78">
        <w:rPr>
          <w:rFonts w:eastAsia="Cambria"/>
          <w:u w:val="single"/>
        </w:rPr>
        <w:t>raising and capacity</w:t>
      </w:r>
      <w:r>
        <w:rPr>
          <w:rFonts w:eastAsia="Cambria"/>
          <w:u w:val="single"/>
        </w:rPr>
        <w:t xml:space="preserve"> </w:t>
      </w:r>
      <w:r w:rsidRPr="00392C78">
        <w:rPr>
          <w:rFonts w:eastAsia="Cambria"/>
          <w:u w:val="single"/>
        </w:rPr>
        <w:t>building</w:t>
      </w:r>
      <w:r>
        <w:rPr>
          <w:rFonts w:eastAsia="Cambria"/>
          <w:u w:val="single"/>
        </w:rPr>
        <w:t>:</w:t>
      </w:r>
      <w:r>
        <w:rPr>
          <w:rFonts w:eastAsia="Cambria"/>
        </w:rPr>
        <w:t xml:space="preserve"> presents an overview of the t</w:t>
      </w:r>
      <w:r w:rsidRPr="004A640F">
        <w:rPr>
          <w:rFonts w:eastAsia="Cambria"/>
        </w:rPr>
        <w:t xml:space="preserve">argeted training on certification, </w:t>
      </w:r>
      <w:r>
        <w:rPr>
          <w:rFonts w:eastAsia="Cambria"/>
        </w:rPr>
        <w:t>safety and standards, awareness</w:t>
      </w:r>
      <w:r>
        <w:rPr>
          <w:rFonts w:eastAsia="Cambria"/>
        </w:rPr>
        <w:noBreakHyphen/>
      </w:r>
      <w:r w:rsidRPr="004A640F">
        <w:rPr>
          <w:rFonts w:eastAsia="Cambria"/>
        </w:rPr>
        <w:t>raising and capacity</w:t>
      </w:r>
      <w:r>
        <w:rPr>
          <w:rFonts w:eastAsia="Cambria"/>
        </w:rPr>
        <w:t>-</w:t>
      </w:r>
      <w:r w:rsidRPr="004A640F">
        <w:rPr>
          <w:rFonts w:eastAsia="Cambria"/>
        </w:rPr>
        <w:t>building</w:t>
      </w:r>
      <w:r>
        <w:rPr>
          <w:rFonts w:eastAsia="Cambria"/>
        </w:rPr>
        <w:t xml:space="preserve"> in support of the introduction of energy-efficient low- or zero-GWP alternative technologies currently undertaken in HPMPs, and additional activities that might be needed on these matters.</w:t>
      </w:r>
    </w:p>
    <w:p w:rsidR="00BB5BFE" w:rsidRDefault="00BB5BFE" w:rsidP="00E479E5">
      <w:pPr>
        <w:rPr>
          <w:rFonts w:eastAsia="Cambria"/>
        </w:rPr>
      </w:pPr>
    </w:p>
    <w:p w:rsidR="00BB5BFE" w:rsidRPr="00C652B2" w:rsidRDefault="00BB5BFE" w:rsidP="00E479E5">
      <w:pPr>
        <w:ind w:left="720"/>
        <w:rPr>
          <w:rFonts w:eastAsia="Cambria"/>
        </w:rPr>
      </w:pPr>
      <w:r w:rsidRPr="002E7C96">
        <w:rPr>
          <w:u w:val="single"/>
        </w:rPr>
        <w:t xml:space="preserve">Criteria, performance indicators, and associated funding mechanisms of servicing sector plans in existing or new </w:t>
      </w:r>
      <w:r>
        <w:rPr>
          <w:u w:val="single"/>
        </w:rPr>
        <w:t>HPMPs</w:t>
      </w:r>
      <w:r w:rsidRPr="000D7363">
        <w:t>:</w:t>
      </w:r>
      <w:r w:rsidRPr="00C652B2">
        <w:t xml:space="preserve"> </w:t>
      </w:r>
      <w:r>
        <w:t>identifies additional activities that might be required for the adoption of energy-efficient RACHP equipment operating with low- and zero-GWP refrigerants, b</w:t>
      </w:r>
      <w:r w:rsidRPr="00C652B2">
        <w:t>ased</w:t>
      </w:r>
      <w:r>
        <w:t xml:space="preserve"> on the</w:t>
      </w:r>
      <w:r w:rsidRPr="00C652B2">
        <w:t xml:space="preserve"> review</w:t>
      </w:r>
      <w:r>
        <w:t xml:space="preserve"> of</w:t>
      </w:r>
      <w:r w:rsidRPr="00C652B2">
        <w:t xml:space="preserve"> the regulatory framework and the phase-out plans of controlled substances, in particular those related to the refrigeration servicing sector</w:t>
      </w:r>
      <w:r>
        <w:t>. It proposes a set of performance indicators and a brief analysis of costs as well as funding modalities.</w:t>
      </w:r>
    </w:p>
    <w:p w:rsidR="00BB5BFE" w:rsidRPr="004A640F" w:rsidRDefault="00BB5BFE" w:rsidP="00E479E5">
      <w:pPr>
        <w:rPr>
          <w:u w:val="single"/>
        </w:rPr>
      </w:pPr>
    </w:p>
    <w:p w:rsidR="00BB5BFE" w:rsidRDefault="00BB5BFE" w:rsidP="00E479E5">
      <w:pPr>
        <w:pStyle w:val="Heading1"/>
      </w:pPr>
      <w:r w:rsidRPr="00500037">
        <w:t>In preparing th</w:t>
      </w:r>
      <w:r>
        <w:t>e present</w:t>
      </w:r>
      <w:r w:rsidRPr="00500037">
        <w:t xml:space="preserve"> document, the Secretariat took into consideration </w:t>
      </w:r>
      <w:r>
        <w:t xml:space="preserve">information related to energy efficiency contained in the following documents previously considered by the Executive Committee or the </w:t>
      </w:r>
      <w:r w:rsidRPr="00500037">
        <w:t>Parties to the Montreal Protocol</w:t>
      </w:r>
      <w:r>
        <w:t>:</w:t>
      </w:r>
      <w:r>
        <w:rPr>
          <w:rStyle w:val="FootnoteReference"/>
        </w:rPr>
        <w:footnoteReference w:id="21"/>
      </w:r>
    </w:p>
    <w:p w:rsidR="00BB5BFE" w:rsidRDefault="00BB5BFE" w:rsidP="00BB5BFE">
      <w:pPr>
        <w:pStyle w:val="Heading2"/>
        <w:numPr>
          <w:ilvl w:val="1"/>
          <w:numId w:val="1"/>
        </w:numPr>
      </w:pPr>
      <w:r w:rsidRPr="002C1DEB">
        <w:t xml:space="preserve">Issues relevant to the </w:t>
      </w:r>
      <w:r>
        <w:t>Executive C</w:t>
      </w:r>
      <w:r w:rsidRPr="002C1DEB">
        <w:t xml:space="preserve">ommittee arising from the </w:t>
      </w:r>
      <w:r>
        <w:t>T</w:t>
      </w:r>
      <w:r w:rsidRPr="002C1DEB">
        <w:t>wenty</w:t>
      </w:r>
      <w:r>
        <w:t>-</w:t>
      </w:r>
      <w:r w:rsidRPr="002C1DEB">
        <w:t xml:space="preserve">eighth </w:t>
      </w:r>
      <w:r>
        <w:t>M</w:t>
      </w:r>
      <w:r w:rsidRPr="002C1DEB">
        <w:t xml:space="preserve">eeting of the </w:t>
      </w:r>
      <w:r>
        <w:t>P</w:t>
      </w:r>
      <w:r w:rsidRPr="002C1DEB">
        <w:t xml:space="preserve">arties to the </w:t>
      </w:r>
      <w:r>
        <w:t>M</w:t>
      </w:r>
      <w:r w:rsidRPr="002C1DEB">
        <w:t xml:space="preserve">ontreal </w:t>
      </w:r>
      <w:r>
        <w:t>P</w:t>
      </w:r>
      <w:r w:rsidRPr="002C1DEB">
        <w:t>rotocol</w:t>
      </w:r>
      <w:r>
        <w:t>;</w:t>
      </w:r>
      <w:r>
        <w:rPr>
          <w:rStyle w:val="FootnoteReference"/>
        </w:rPr>
        <w:footnoteReference w:id="22"/>
      </w:r>
    </w:p>
    <w:p w:rsidR="00BB5BFE" w:rsidRDefault="00BB5BFE" w:rsidP="00BB5BFE">
      <w:pPr>
        <w:pStyle w:val="Heading2"/>
        <w:numPr>
          <w:ilvl w:val="1"/>
          <w:numId w:val="1"/>
        </w:numPr>
      </w:pPr>
      <w:r>
        <w:t>I</w:t>
      </w:r>
      <w:r w:rsidRPr="002C1DEB">
        <w:t xml:space="preserve">nformation relevant to the development of the cost guidelines for the phase-down of </w:t>
      </w:r>
      <w:r>
        <w:t xml:space="preserve">HFCs </w:t>
      </w:r>
      <w:r w:rsidRPr="002C1DEB">
        <w:t xml:space="preserve">in </w:t>
      </w:r>
      <w:r>
        <w:t>A</w:t>
      </w:r>
      <w:r w:rsidRPr="002C1DEB">
        <w:t>rticle 5 countries: draft criteria for funding</w:t>
      </w:r>
      <w:r>
        <w:t>;</w:t>
      </w:r>
      <w:r>
        <w:rPr>
          <w:rStyle w:val="FootnoteReference"/>
        </w:rPr>
        <w:footnoteReference w:id="23"/>
      </w:r>
    </w:p>
    <w:p w:rsidR="00BB5BFE" w:rsidRDefault="00BB5BFE" w:rsidP="00BB5BFE">
      <w:pPr>
        <w:pStyle w:val="Heading2"/>
        <w:keepNext/>
        <w:keepLines/>
        <w:numPr>
          <w:ilvl w:val="1"/>
          <w:numId w:val="1"/>
        </w:numPr>
      </w:pPr>
      <w:r>
        <w:lastRenderedPageBreak/>
        <w:t>P</w:t>
      </w:r>
      <w:r w:rsidRPr="002C1DEB">
        <w:t xml:space="preserve">reliminary document on all aspects related to the refrigeration servicing sector that support the </w:t>
      </w:r>
      <w:r>
        <w:t xml:space="preserve">HFC </w:t>
      </w:r>
      <w:r w:rsidRPr="002C1DEB">
        <w:t>phase-down (decision 80/76(c))</w:t>
      </w:r>
      <w:r>
        <w:t>.</w:t>
      </w:r>
      <w:r>
        <w:rPr>
          <w:rStyle w:val="FootnoteReference"/>
        </w:rPr>
        <w:footnoteReference w:id="24"/>
      </w:r>
      <w:r>
        <w:t xml:space="preserve"> The document presents a comprehensive overview of the refrigeration servicing sector in all Article 5 countries, and addresses in detail most of the elements in decision 82/83(c); and</w:t>
      </w:r>
    </w:p>
    <w:p w:rsidR="00BB5BFE" w:rsidRPr="00975269" w:rsidRDefault="00BB5BFE" w:rsidP="00BB5BFE">
      <w:pPr>
        <w:pStyle w:val="Heading2"/>
        <w:numPr>
          <w:ilvl w:val="1"/>
          <w:numId w:val="1"/>
        </w:numPr>
      </w:pPr>
      <w:r>
        <w:t>Decision XXIX/10 Task Force report on issues related to energy efficiency while phasing down HFCs, UNEP TEAP, September 2018.</w:t>
      </w:r>
    </w:p>
    <w:p w:rsidR="00BB5BFE" w:rsidRPr="00500037" w:rsidRDefault="00BB5BFE" w:rsidP="00E479E5">
      <w:pPr>
        <w:pStyle w:val="Heading1"/>
      </w:pPr>
      <w:r w:rsidRPr="00500037">
        <w:t>The Secretariat also considered:</w:t>
      </w:r>
    </w:p>
    <w:p w:rsidR="00BB5BFE" w:rsidRDefault="00BB5BFE" w:rsidP="00BB5BFE">
      <w:pPr>
        <w:pStyle w:val="Heading2"/>
        <w:numPr>
          <w:ilvl w:val="1"/>
          <w:numId w:val="1"/>
        </w:numPr>
      </w:pPr>
      <w:r>
        <w:t>Policies and decisions of the Multilateral Fund and the Meeting of the Parties related to energy efficiency;</w:t>
      </w:r>
    </w:p>
    <w:p w:rsidR="00BB5BFE" w:rsidRPr="00723208" w:rsidRDefault="00BB5BFE" w:rsidP="00BB5BFE">
      <w:pPr>
        <w:pStyle w:val="Heading2"/>
        <w:numPr>
          <w:ilvl w:val="1"/>
          <w:numId w:val="1"/>
        </w:numPr>
      </w:pPr>
      <w:r>
        <w:t>T</w:t>
      </w:r>
      <w:r w:rsidRPr="00500037">
        <w:t xml:space="preserve">he experience in the Multilateral Fund </w:t>
      </w:r>
      <w:r>
        <w:t xml:space="preserve">during implementation of projects that included energy efficiency performance indicators and the evaluation by the </w:t>
      </w:r>
      <w:r w:rsidRPr="00500037">
        <w:t>Senior Monitoring and Evaluation Officer</w:t>
      </w:r>
      <w:r>
        <w:t xml:space="preserve"> of chiller projects; </w:t>
      </w:r>
    </w:p>
    <w:p w:rsidR="00BB5BFE" w:rsidRPr="00BA609C" w:rsidRDefault="00BB5BFE" w:rsidP="00BB5BFE">
      <w:pPr>
        <w:pStyle w:val="Heading2"/>
        <w:numPr>
          <w:ilvl w:val="1"/>
          <w:numId w:val="1"/>
        </w:numPr>
      </w:pPr>
      <w:r w:rsidRPr="00500037">
        <w:t>Discussions with refrigeration servicing sector stakeholders in Article 5 countries and non</w:t>
      </w:r>
      <w:r w:rsidRPr="00500037">
        <w:noBreakHyphen/>
        <w:t xml:space="preserve">Article 5 countries, held during missions and </w:t>
      </w:r>
      <w:r>
        <w:t xml:space="preserve">during </w:t>
      </w:r>
      <w:r w:rsidRPr="00500037">
        <w:t xml:space="preserve">meetings at the Secretariat between </w:t>
      </w:r>
      <w:r w:rsidRPr="00BA609C">
        <w:t>February and April 2018;</w:t>
      </w:r>
    </w:p>
    <w:p w:rsidR="00BB5BFE" w:rsidRPr="00C7344E" w:rsidRDefault="00BB5BFE" w:rsidP="00E479E5">
      <w:pPr>
        <w:pStyle w:val="Heading2"/>
        <w:numPr>
          <w:ilvl w:val="1"/>
          <w:numId w:val="1"/>
        </w:numPr>
      </w:pPr>
      <w:r>
        <w:t>Information presented at the w</w:t>
      </w:r>
      <w:r w:rsidRPr="00C7344E">
        <w:t>orkshop on safety standards relevant to the safe use of low</w:t>
      </w:r>
      <w:r>
        <w:noBreakHyphen/>
      </w:r>
      <w:r w:rsidRPr="00C7344E">
        <w:t>GWP alternatives</w:t>
      </w:r>
      <w:r>
        <w:rPr>
          <w:rStyle w:val="FootnoteReference"/>
        </w:rPr>
        <w:footnoteReference w:id="25"/>
      </w:r>
      <w:r>
        <w:t xml:space="preserve"> and at the workshop </w:t>
      </w:r>
      <w:r w:rsidRPr="0042144A">
        <w:t>on energy efficiency opportunities while phasing down HFCs</w:t>
      </w:r>
      <w:r>
        <w:t>,</w:t>
      </w:r>
      <w:r>
        <w:rPr>
          <w:rStyle w:val="FootnoteReference"/>
        </w:rPr>
        <w:footnoteReference w:id="26"/>
      </w:r>
      <w:r w:rsidRPr="0042144A">
        <w:t xml:space="preserve"> held in the margins of the</w:t>
      </w:r>
      <w:r>
        <w:t xml:space="preserve"> 39</w:t>
      </w:r>
      <w:r w:rsidRPr="009F577F">
        <w:rPr>
          <w:vertAlign w:val="superscript"/>
        </w:rPr>
        <w:t>th</w:t>
      </w:r>
      <w:r>
        <w:t xml:space="preserve"> and </w:t>
      </w:r>
      <w:r w:rsidRPr="0042144A">
        <w:t>40</w:t>
      </w:r>
      <w:r w:rsidRPr="0042144A">
        <w:rPr>
          <w:vertAlign w:val="superscript"/>
        </w:rPr>
        <w:t>th</w:t>
      </w:r>
      <w:r>
        <w:t xml:space="preserve"> </w:t>
      </w:r>
      <w:r w:rsidRPr="0042144A">
        <w:t>meeting</w:t>
      </w:r>
      <w:r>
        <w:t>s</w:t>
      </w:r>
      <w:r w:rsidRPr="0042144A">
        <w:t xml:space="preserve"> of the OEWG</w:t>
      </w:r>
      <w:r>
        <w:t>, respectively;</w:t>
      </w:r>
    </w:p>
    <w:p w:rsidR="00BB5BFE" w:rsidRPr="00BA609C" w:rsidRDefault="00BB5BFE" w:rsidP="00BB5BFE">
      <w:pPr>
        <w:pStyle w:val="Heading2"/>
        <w:numPr>
          <w:ilvl w:val="1"/>
          <w:numId w:val="1"/>
        </w:numPr>
      </w:pPr>
      <w:r w:rsidRPr="00BA609C">
        <w:t>Discussions with representatives from bilateral and implementing agencies on all aspects of the refrigeration servicing sector, during Inter-agency coordination meeting</w:t>
      </w:r>
      <w:r>
        <w:t>s</w:t>
      </w:r>
      <w:r w:rsidRPr="00BA609C">
        <w:t xml:space="preserve"> (IACM</w:t>
      </w:r>
      <w:r>
        <w:t>s</w:t>
      </w:r>
      <w:r w:rsidRPr="00BA609C">
        <w:t>)</w:t>
      </w:r>
      <w:r>
        <w:t xml:space="preserve"> held in 2018 and 2019;</w:t>
      </w:r>
      <w:r w:rsidRPr="00BA609C">
        <w:rPr>
          <w:vertAlign w:val="superscript"/>
        </w:rPr>
        <w:footnoteReference w:id="27"/>
      </w:r>
      <w:r w:rsidRPr="00BA609C">
        <w:t xml:space="preserve"> </w:t>
      </w:r>
      <w:r>
        <w:t>and</w:t>
      </w:r>
    </w:p>
    <w:p w:rsidR="00BB5BFE" w:rsidRPr="00BA609C" w:rsidRDefault="00BB5BFE" w:rsidP="00BB5BFE">
      <w:pPr>
        <w:pStyle w:val="Heading2"/>
        <w:numPr>
          <w:ilvl w:val="1"/>
          <w:numId w:val="1"/>
        </w:numPr>
      </w:pPr>
      <w:r>
        <w:t>Documents issued by different institutions including bilateral and implementing agencies.</w:t>
      </w:r>
    </w:p>
    <w:p w:rsidR="00BB5BFE" w:rsidRPr="00356929" w:rsidRDefault="00BB5BFE" w:rsidP="00E479E5">
      <w:pPr>
        <w:pStyle w:val="Heading1"/>
        <w:rPr>
          <w:lang w:val="en-CA"/>
        </w:rPr>
      </w:pPr>
      <w:r w:rsidRPr="00500037">
        <w:t>The Secretariat appreciates the insights, information and comments provided by the bilateral and implementing agencies</w:t>
      </w:r>
      <w:r>
        <w:t xml:space="preserve"> during the discussions at the IACMs</w:t>
      </w:r>
      <w:r w:rsidRPr="00500037">
        <w:t>.</w:t>
      </w:r>
      <w:r>
        <w:t xml:space="preserve"> </w:t>
      </w:r>
    </w:p>
    <w:p w:rsidR="00BB5BFE" w:rsidRPr="00B42F63" w:rsidRDefault="00BB5BFE" w:rsidP="00E479E5">
      <w:pPr>
        <w:pStyle w:val="Heading1"/>
        <w:rPr>
          <w:lang w:val="en-CA"/>
        </w:rPr>
      </w:pPr>
      <w:r>
        <w:rPr>
          <w:lang w:val="en-CA"/>
        </w:rPr>
        <w:t>The Secretariat also sought advice from an independent expert on the technical aspects included in the present document. Relevant comments from the expert have been incorporated accordingly.</w:t>
      </w:r>
    </w:p>
    <w:p w:rsidR="00BB5BFE" w:rsidRDefault="00BB5BFE" w:rsidP="00E479E5">
      <w:pPr>
        <w:pStyle w:val="ListParagraph"/>
        <w:keepNext/>
        <w:ind w:left="0"/>
        <w:jc w:val="left"/>
        <w:rPr>
          <w:rFonts w:eastAsiaTheme="minorHAnsi"/>
          <w:b/>
        </w:rPr>
      </w:pPr>
      <w:r w:rsidRPr="00707FC6">
        <w:rPr>
          <w:rFonts w:eastAsiaTheme="minorHAnsi"/>
          <w:b/>
        </w:rPr>
        <w:t xml:space="preserve">Introduction of low- and zero-GWP alternatives to HCFCs or HFCs </w:t>
      </w:r>
    </w:p>
    <w:p w:rsidR="00BB5BFE" w:rsidRPr="00EE78C3" w:rsidRDefault="00BB5BFE" w:rsidP="00E479E5">
      <w:pPr>
        <w:pStyle w:val="ListParagraph"/>
        <w:keepNext/>
        <w:ind w:left="0"/>
        <w:jc w:val="left"/>
        <w:rPr>
          <w:rFonts w:eastAsiaTheme="minorHAnsi"/>
        </w:rPr>
      </w:pPr>
    </w:p>
    <w:p w:rsidR="00BB5BFE" w:rsidRDefault="00BB5BFE" w:rsidP="00E479E5">
      <w:pPr>
        <w:pStyle w:val="Heading1"/>
      </w:pPr>
      <w:r w:rsidRPr="00735628">
        <w:rPr>
          <w:lang w:val="en-CA"/>
        </w:rPr>
        <w:t xml:space="preserve">Since the inception of the Multilateral Fund in 1991, the Executive Committee has considered </w:t>
      </w:r>
      <w:r>
        <w:t xml:space="preserve">funding activities in the </w:t>
      </w:r>
      <w:r w:rsidRPr="00726670">
        <w:t>refrigeration servicing sector</w:t>
      </w:r>
      <w:r>
        <w:rPr>
          <w:rStyle w:val="FootnoteReference"/>
        </w:rPr>
        <w:footnoteReference w:id="28"/>
      </w:r>
      <w:r>
        <w:t xml:space="preserve"> to be a priority, given that part or all of the controlled substances are used </w:t>
      </w:r>
      <w:r w:rsidRPr="00726670">
        <w:t xml:space="preserve">in </w:t>
      </w:r>
      <w:r>
        <w:t xml:space="preserve">this </w:t>
      </w:r>
      <w:r w:rsidRPr="00726670">
        <w:t>sector.</w:t>
      </w:r>
      <w:r>
        <w:t xml:space="preserve"> The Secretariat notes that the support provided to the service sector has facilitated adoption of ODS-free alternative technologies, and has not directly resulted in the adoption of alternative technologies, as has been the case during the conversion of the manufacturing sector.</w:t>
      </w:r>
    </w:p>
    <w:p w:rsidR="00BB5BFE" w:rsidRPr="003A3CC5" w:rsidRDefault="00BB5BFE" w:rsidP="00E479E5">
      <w:pPr>
        <w:pStyle w:val="Heading1"/>
      </w:pPr>
      <w:r w:rsidRPr="005D428F">
        <w:lastRenderedPageBreak/>
        <w:t>Initial activities in th</w:t>
      </w:r>
      <w:r>
        <w:t>e service</w:t>
      </w:r>
      <w:r w:rsidRPr="005D428F">
        <w:t xml:space="preserve"> sector were implemented as stand-alone projects, consisting of training refrigeration technicians in good servicing practices, providing basic tools and equipment for technicians, and establishing refrigerant recovery and recycling schemes. </w:t>
      </w:r>
      <w:r>
        <w:t>A</w:t>
      </w:r>
      <w:r w:rsidRPr="005D428F">
        <w:t xml:space="preserve">ssistance was </w:t>
      </w:r>
      <w:r>
        <w:t xml:space="preserve">also </w:t>
      </w:r>
      <w:r w:rsidRPr="005D428F">
        <w:t xml:space="preserve">provided </w:t>
      </w:r>
      <w:r w:rsidRPr="006D24F7">
        <w:rPr>
          <w:lang w:val="en-CA"/>
        </w:rPr>
        <w:t>for the development</w:t>
      </w:r>
      <w:r>
        <w:rPr>
          <w:lang w:val="en-CA"/>
        </w:rPr>
        <w:t xml:space="preserve"> and </w:t>
      </w:r>
      <w:r w:rsidRPr="006D24F7">
        <w:rPr>
          <w:lang w:val="en-CA"/>
        </w:rPr>
        <w:t>implementation of specific legislation, policies and regulations</w:t>
      </w:r>
      <w:r>
        <w:rPr>
          <w:lang w:val="en-CA"/>
        </w:rPr>
        <w:t xml:space="preserve"> and capacity building for customs and enforcement authorities for monitoring and controlling the controlled substances under the Montreal Protocol</w:t>
      </w:r>
      <w:r w:rsidRPr="003101D7">
        <w:rPr>
          <w:lang w:val="en-CA"/>
        </w:rPr>
        <w:t>.</w:t>
      </w:r>
      <w:r>
        <w:rPr>
          <w:lang w:val="en-CA"/>
        </w:rPr>
        <w:t xml:space="preserve"> </w:t>
      </w:r>
    </w:p>
    <w:p w:rsidR="00BB5BFE" w:rsidRPr="00CD1F0A" w:rsidRDefault="00BB5BFE" w:rsidP="00E479E5">
      <w:pPr>
        <w:pStyle w:val="Heading1"/>
        <w:rPr>
          <w:lang w:val="en-US"/>
        </w:rPr>
      </w:pPr>
      <w:r w:rsidRPr="005472DC">
        <w:t xml:space="preserve">As the phase-out programme progressed, </w:t>
      </w:r>
      <w:r>
        <w:t xml:space="preserve">the stand-alone activities </w:t>
      </w:r>
      <w:r w:rsidRPr="005472DC">
        <w:t>were subsumed in</w:t>
      </w:r>
      <w:r>
        <w:t>to a holistic sector plan that would manage the phase-out of controlled substances used for servicing RACHP equipment,</w:t>
      </w:r>
      <w:r>
        <w:rPr>
          <w:rStyle w:val="FootnoteReference"/>
        </w:rPr>
        <w:footnoteReference w:id="29"/>
      </w:r>
      <w:r>
        <w:t xml:space="preserve"> taking into consideration the circumstances prevailing in the country concerned. The servicing sector activities resulted in better operations and maintenance practices while installing, maintaining and servicing equipment and thus, contributed to energy efficient operations of the equipment, indirectly and</w:t>
      </w:r>
      <w:r w:rsidRPr="00B061ED">
        <w:t xml:space="preserve"> </w:t>
      </w:r>
      <w:r>
        <w:t>supported</w:t>
      </w:r>
      <w:r w:rsidRPr="00B061ED">
        <w:t xml:space="preserve"> adoption of low- and zero-GWP options</w:t>
      </w:r>
      <w:r>
        <w:t>, mainly through technical capacity building for adopting alternative technologies.</w:t>
      </w:r>
    </w:p>
    <w:p w:rsidR="00BB5BFE" w:rsidRDefault="00BB5BFE" w:rsidP="00E479E5">
      <w:pPr>
        <w:pStyle w:val="Heading1"/>
      </w:pPr>
      <w:r>
        <w:t>In response to decision XIX/6 on a</w:t>
      </w:r>
      <w:r w:rsidRPr="00AF2663">
        <w:t>djustments to the Montreal Protocol with regard to</w:t>
      </w:r>
      <w:r>
        <w:t xml:space="preserve"> HCFCs, the Executive Committee proposed a </w:t>
      </w:r>
      <w:r w:rsidRPr="0059601B">
        <w:t>staged approach to allow countries to develop an overarching plan to achieve total phase</w:t>
      </w:r>
      <w:r>
        <w:noBreakHyphen/>
      </w:r>
      <w:r w:rsidRPr="0059601B">
        <w:t>out</w:t>
      </w:r>
      <w:r>
        <w:t xml:space="preserve"> of HCFCs while</w:t>
      </w:r>
      <w:r w:rsidRPr="0059601B">
        <w:t xml:space="preserve"> allowing for proposals to achieve the first two control measures in 2013 and 2015, </w:t>
      </w:r>
      <w:r>
        <w:t xml:space="preserve">and </w:t>
      </w:r>
      <w:r w:rsidRPr="0059601B">
        <w:t>at the same time</w:t>
      </w:r>
      <w:r>
        <w:t>,</w:t>
      </w:r>
      <w:r w:rsidRPr="0059601B">
        <w:t xml:space="preserve"> allowing propos</w:t>
      </w:r>
      <w:r>
        <w:t xml:space="preserve">als for </w:t>
      </w:r>
      <w:r w:rsidRPr="0059601B">
        <w:t xml:space="preserve">a subsequent stage, or stages if needed, to </w:t>
      </w:r>
      <w:r>
        <w:t xml:space="preserve">achieve complete </w:t>
      </w:r>
      <w:r w:rsidRPr="0059601B">
        <w:t>phase-out.</w:t>
      </w:r>
      <w:r>
        <w:t xml:space="preserve"> </w:t>
      </w:r>
      <w:r w:rsidRPr="00C27617">
        <w:t>Since the</w:t>
      </w:r>
      <w:r>
        <w:t xml:space="preserve"> 60</w:t>
      </w:r>
      <w:r w:rsidRPr="00B42F63">
        <w:rPr>
          <w:vertAlign w:val="superscript"/>
        </w:rPr>
        <w:t>th</w:t>
      </w:r>
      <w:r>
        <w:t xml:space="preserve"> meeting (April 2010)</w:t>
      </w:r>
      <w:r w:rsidRPr="00C27617">
        <w:t>, stage I and in many cases stage II of HPMPs have been approved for all Article 5 countries, except for the Syrian Arab Republic.</w:t>
      </w:r>
      <w:r>
        <w:t xml:space="preserve"> Decision XIX/6 requested Parties to promote the selection of alternatives to HCFCs that minimize environmental impacts, in particular impacts on climate, as well as meeting other health, safety and economic considerations and requested the Executive Committee to give priority to projects and programmes, which focus on, </w:t>
      </w:r>
      <w:r w:rsidRPr="000929FD">
        <w:rPr>
          <w:i/>
        </w:rPr>
        <w:t>inter alia</w:t>
      </w:r>
      <w:r>
        <w:t>, GWP and energy use; this provided for implementation of activities to facilitate adoption of low- and zero-GWP options.</w:t>
      </w:r>
    </w:p>
    <w:p w:rsidR="00BB5BFE" w:rsidRPr="004C31EF" w:rsidRDefault="00BB5BFE" w:rsidP="00E479E5">
      <w:pPr>
        <w:pStyle w:val="Heading1"/>
        <w:rPr>
          <w:lang w:val="en-CA"/>
        </w:rPr>
      </w:pPr>
      <w:r w:rsidRPr="004531C1">
        <w:rPr>
          <w:lang w:val="en-CA"/>
        </w:rPr>
        <w:t>The implementation of the refrigeration servicing sector plans supported by the regulatory framework in place contributed to continuous compliance with the Montreal Protocol provisions by all Article 5 countries,</w:t>
      </w:r>
      <w:r w:rsidRPr="003101D7">
        <w:rPr>
          <w:rStyle w:val="FootnoteReference"/>
          <w:lang w:val="en-CA"/>
        </w:rPr>
        <w:footnoteReference w:id="30"/>
      </w:r>
      <w:r w:rsidRPr="004531C1">
        <w:rPr>
          <w:lang w:val="en-CA"/>
        </w:rPr>
        <w:t xml:space="preserve"> and to reductions </w:t>
      </w:r>
      <w:r>
        <w:rPr>
          <w:lang w:val="en-CA"/>
        </w:rPr>
        <w:t>i</w:t>
      </w:r>
      <w:r w:rsidRPr="004531C1">
        <w:rPr>
          <w:lang w:val="en-CA"/>
        </w:rPr>
        <w:t>n consumption of controlled substance</w:t>
      </w:r>
      <w:r>
        <w:rPr>
          <w:lang w:val="en-CA"/>
        </w:rPr>
        <w:t>s</w:t>
      </w:r>
      <w:r w:rsidRPr="004531C1">
        <w:rPr>
          <w:lang w:val="en-CA"/>
        </w:rPr>
        <w:t xml:space="preserve"> </w:t>
      </w:r>
      <w:r>
        <w:rPr>
          <w:lang w:val="en-CA"/>
        </w:rPr>
        <w:t xml:space="preserve">in line or in </w:t>
      </w:r>
      <w:r w:rsidRPr="004531C1">
        <w:rPr>
          <w:lang w:val="en-CA"/>
        </w:rPr>
        <w:t>advance of the phase</w:t>
      </w:r>
      <w:r>
        <w:rPr>
          <w:lang w:val="en-CA"/>
        </w:rPr>
        <w:t>-</w:t>
      </w:r>
      <w:r w:rsidRPr="004531C1">
        <w:rPr>
          <w:lang w:val="en-CA"/>
        </w:rPr>
        <w:t>out control targets established under the Protocol.</w:t>
      </w:r>
      <w:r>
        <w:rPr>
          <w:rStyle w:val="FootnoteReference"/>
          <w:lang w:val="en-CA"/>
        </w:rPr>
        <w:footnoteReference w:id="31"/>
      </w:r>
      <w:r w:rsidRPr="004531C1">
        <w:rPr>
          <w:lang w:val="en-CA"/>
        </w:rPr>
        <w:t xml:space="preserve"> </w:t>
      </w:r>
      <w:r>
        <w:rPr>
          <w:lang w:val="en-CA"/>
        </w:rPr>
        <w:t xml:space="preserve">Furthermore, this has allowed </w:t>
      </w:r>
      <w:r w:rsidRPr="004C31EF">
        <w:rPr>
          <w:lang w:val="en-CA"/>
        </w:rPr>
        <w:t xml:space="preserve">several </w:t>
      </w:r>
      <w:r>
        <w:rPr>
          <w:lang w:val="en-CA"/>
        </w:rPr>
        <w:t xml:space="preserve">Article 5 countries to </w:t>
      </w:r>
      <w:r w:rsidRPr="004C31EF">
        <w:rPr>
          <w:lang w:val="en-CA"/>
        </w:rPr>
        <w:t xml:space="preserve">establish, or </w:t>
      </w:r>
      <w:r>
        <w:rPr>
          <w:lang w:val="en-CA"/>
        </w:rPr>
        <w:t xml:space="preserve">to consider </w:t>
      </w:r>
      <w:r w:rsidRPr="004C31EF">
        <w:rPr>
          <w:lang w:val="en-CA"/>
        </w:rPr>
        <w:t>establishing, controls</w:t>
      </w:r>
      <w:r>
        <w:rPr>
          <w:lang w:val="en-CA"/>
        </w:rPr>
        <w:t xml:space="preserve"> including prohibition</w:t>
      </w:r>
      <w:r w:rsidRPr="004C31EF">
        <w:rPr>
          <w:lang w:val="en-CA"/>
        </w:rPr>
        <w:t xml:space="preserve"> o</w:t>
      </w:r>
      <w:r>
        <w:rPr>
          <w:lang w:val="en-CA"/>
        </w:rPr>
        <w:t>f</w:t>
      </w:r>
      <w:r w:rsidRPr="004C31EF">
        <w:rPr>
          <w:lang w:val="en-CA"/>
        </w:rPr>
        <w:t xml:space="preserve"> </w:t>
      </w:r>
      <w:r>
        <w:rPr>
          <w:lang w:val="en-CA"/>
        </w:rPr>
        <w:t xml:space="preserve">manufacturing (where applicable) and/or on </w:t>
      </w:r>
      <w:r w:rsidRPr="004C31EF">
        <w:rPr>
          <w:lang w:val="en-CA"/>
        </w:rPr>
        <w:t xml:space="preserve">import of </w:t>
      </w:r>
      <w:r>
        <w:rPr>
          <w:lang w:val="en-CA"/>
        </w:rPr>
        <w:t>controlled-substance-based RACHP</w:t>
      </w:r>
      <w:r w:rsidRPr="004C31EF">
        <w:rPr>
          <w:lang w:val="en-CA"/>
        </w:rPr>
        <w:t xml:space="preserve"> equipment, limit</w:t>
      </w:r>
      <w:r>
        <w:rPr>
          <w:lang w:val="en-CA"/>
        </w:rPr>
        <w:t>ing</w:t>
      </w:r>
      <w:r w:rsidRPr="004C31EF">
        <w:rPr>
          <w:lang w:val="en-CA"/>
        </w:rPr>
        <w:t xml:space="preserve"> their growth and reduc</w:t>
      </w:r>
      <w:r>
        <w:rPr>
          <w:lang w:val="en-CA"/>
        </w:rPr>
        <w:t>ing</w:t>
      </w:r>
      <w:r w:rsidRPr="004C31EF">
        <w:rPr>
          <w:lang w:val="en-CA"/>
        </w:rPr>
        <w:t xml:space="preserve"> the size of the installed base of such equipment.</w:t>
      </w:r>
    </w:p>
    <w:p w:rsidR="00BB5BFE" w:rsidRDefault="00BB5BFE" w:rsidP="00E479E5">
      <w:pPr>
        <w:pStyle w:val="Heading1"/>
        <w:rPr>
          <w:lang w:val="en-CA"/>
        </w:rPr>
      </w:pPr>
      <w:r>
        <w:t>Despite the above efforts, p</w:t>
      </w:r>
      <w:r w:rsidRPr="000410B3">
        <w:t xml:space="preserve">rogress reports on </w:t>
      </w:r>
      <w:r>
        <w:t xml:space="preserve">the </w:t>
      </w:r>
      <w:r w:rsidRPr="000410B3">
        <w:t>implementation of HPMPs</w:t>
      </w:r>
      <w:r>
        <w:t>,</w:t>
      </w:r>
      <w:r w:rsidRPr="000410B3">
        <w:t xml:space="preserve"> and other evaluation reports indicate that high-GWP</w:t>
      </w:r>
      <w:r>
        <w:t>-</w:t>
      </w:r>
      <w:r w:rsidRPr="000410B3">
        <w:t>refrigerant</w:t>
      </w:r>
      <w:r>
        <w:t>-</w:t>
      </w:r>
      <w:r w:rsidRPr="000410B3">
        <w:t xml:space="preserve">based </w:t>
      </w:r>
      <w:r>
        <w:t>equipment</w:t>
      </w:r>
      <w:r w:rsidRPr="000410B3">
        <w:t xml:space="preserve"> </w:t>
      </w:r>
      <w:r>
        <w:t>(mainly R-410A in air-conditioning) have</w:t>
      </w:r>
      <w:r w:rsidRPr="000410B3">
        <w:t xml:space="preserve"> increasingly b</w:t>
      </w:r>
      <w:r>
        <w:t>een</w:t>
      </w:r>
      <w:r w:rsidRPr="000410B3">
        <w:t xml:space="preserve"> imported </w:t>
      </w:r>
      <w:r>
        <w:t xml:space="preserve">into Article 5 countries </w:t>
      </w:r>
      <w:r w:rsidRPr="000410B3">
        <w:t xml:space="preserve">over the last decade. </w:t>
      </w:r>
      <w:r>
        <w:t xml:space="preserve">However, </w:t>
      </w:r>
      <w:r w:rsidRPr="000410B3">
        <w:t>the Kigali Amendment</w:t>
      </w:r>
      <w:r>
        <w:t xml:space="preserve"> has triggered discussions and some initial actions, on controlling the use of high-GWP refrigerants</w:t>
      </w:r>
      <w:r w:rsidRPr="000410B3">
        <w:t xml:space="preserve"> in Article 5 countries</w:t>
      </w:r>
      <w:r>
        <w:t xml:space="preserve">. Given that equipment based on low- or zero-GWP refrigerants have </w:t>
      </w:r>
      <w:r w:rsidRPr="00714CE0">
        <w:t>different operating characteristics related to pressure, flammability and toxicity</w:t>
      </w:r>
      <w:r>
        <w:t xml:space="preserve">, the current legislation, </w:t>
      </w:r>
      <w:r w:rsidRPr="005472DC">
        <w:t xml:space="preserve">regulations, </w:t>
      </w:r>
      <w:r>
        <w:t xml:space="preserve">and </w:t>
      </w:r>
      <w:r w:rsidRPr="005472DC">
        <w:t xml:space="preserve">codes </w:t>
      </w:r>
      <w:r w:rsidRPr="005472DC">
        <w:lastRenderedPageBreak/>
        <w:t>of practice</w:t>
      </w:r>
      <w:r>
        <w:t xml:space="preserve"> would </w:t>
      </w:r>
      <w:r w:rsidRPr="00F37EF5">
        <w:t xml:space="preserve">need to </w:t>
      </w:r>
      <w:r>
        <w:t xml:space="preserve">be </w:t>
      </w:r>
      <w:r w:rsidRPr="00F37EF5">
        <w:t>review</w:t>
      </w:r>
      <w:r>
        <w:t>ed</w:t>
      </w:r>
      <w:r w:rsidRPr="00F37EF5">
        <w:t>, update</w:t>
      </w:r>
      <w:r>
        <w:t>d</w:t>
      </w:r>
      <w:r w:rsidRPr="00F37EF5">
        <w:t xml:space="preserve"> and</w:t>
      </w:r>
      <w:r>
        <w:t>/or further developed</w:t>
      </w:r>
      <w:r w:rsidRPr="005472DC">
        <w:t>, and standards</w:t>
      </w:r>
      <w:r>
        <w:rPr>
          <w:rStyle w:val="FootnoteReference"/>
        </w:rPr>
        <w:footnoteReference w:id="32"/>
      </w:r>
      <w:r w:rsidRPr="005472DC">
        <w:t xml:space="preserve"> </w:t>
      </w:r>
      <w:r>
        <w:t xml:space="preserve">should be enforced </w:t>
      </w:r>
      <w:r w:rsidRPr="005472DC">
        <w:t xml:space="preserve">to ensure </w:t>
      </w:r>
      <w:r>
        <w:t xml:space="preserve">safe </w:t>
      </w:r>
      <w:r w:rsidRPr="006B0ACE">
        <w:rPr>
          <w:lang w:val="en-CA"/>
        </w:rPr>
        <w:t xml:space="preserve">operation </w:t>
      </w:r>
      <w:r>
        <w:rPr>
          <w:lang w:val="en-CA"/>
        </w:rPr>
        <w:t xml:space="preserve">and handling </w:t>
      </w:r>
      <w:r w:rsidRPr="006B0ACE">
        <w:rPr>
          <w:lang w:val="en-CA"/>
        </w:rPr>
        <w:t xml:space="preserve">of </w:t>
      </w:r>
      <w:r>
        <w:rPr>
          <w:lang w:val="en-CA"/>
        </w:rPr>
        <w:t xml:space="preserve">the </w:t>
      </w:r>
      <w:r w:rsidRPr="006B0ACE">
        <w:rPr>
          <w:lang w:val="en-CA"/>
        </w:rPr>
        <w:t xml:space="preserve">equipment. </w:t>
      </w:r>
    </w:p>
    <w:p w:rsidR="00BB5BFE" w:rsidRDefault="00BB5BFE" w:rsidP="00E479E5">
      <w:pPr>
        <w:pStyle w:val="Heading1"/>
        <w:rPr>
          <w:lang w:val="en-CA"/>
        </w:rPr>
      </w:pPr>
      <w:r>
        <w:rPr>
          <w:lang w:val="en-CA"/>
        </w:rPr>
        <w:t>T</w:t>
      </w:r>
      <w:r w:rsidRPr="006B0ACE">
        <w:rPr>
          <w:lang w:val="en-CA"/>
        </w:rPr>
        <w:t xml:space="preserve">he </w:t>
      </w:r>
      <w:r>
        <w:rPr>
          <w:lang w:val="en-CA"/>
        </w:rPr>
        <w:t xml:space="preserve">pace of introduction of </w:t>
      </w:r>
      <w:r w:rsidRPr="006B0ACE">
        <w:rPr>
          <w:lang w:val="en-CA"/>
        </w:rPr>
        <w:t>low-</w:t>
      </w:r>
      <w:r>
        <w:rPr>
          <w:lang w:val="en-CA"/>
        </w:rPr>
        <w:t xml:space="preserve"> or zero-</w:t>
      </w:r>
      <w:r w:rsidRPr="006B0ACE">
        <w:rPr>
          <w:lang w:val="en-CA"/>
        </w:rPr>
        <w:t>GWP alternative technologies</w:t>
      </w:r>
      <w:r>
        <w:rPr>
          <w:lang w:val="en-CA"/>
        </w:rPr>
        <w:t xml:space="preserve"> in various RACHP applications has been slower than originally expected in Article 5 countries, due to: </w:t>
      </w:r>
    </w:p>
    <w:p w:rsidR="00BB5BFE" w:rsidRDefault="00BB5BFE" w:rsidP="00BB5BFE">
      <w:pPr>
        <w:pStyle w:val="Heading2"/>
        <w:numPr>
          <w:ilvl w:val="1"/>
          <w:numId w:val="1"/>
        </w:numPr>
        <w:rPr>
          <w:lang w:val="en-CA"/>
        </w:rPr>
      </w:pPr>
      <w:r>
        <w:rPr>
          <w:lang w:val="en-CA"/>
        </w:rPr>
        <w:t>The availability of cost-effective, energy efficient equipment based on high-GWP alternatives;</w:t>
      </w:r>
    </w:p>
    <w:p w:rsidR="00BB5BFE" w:rsidRDefault="00BB5BFE" w:rsidP="00BB5BFE">
      <w:pPr>
        <w:pStyle w:val="Heading2"/>
        <w:numPr>
          <w:ilvl w:val="1"/>
          <w:numId w:val="1"/>
        </w:numPr>
        <w:rPr>
          <w:lang w:val="en-CA"/>
        </w:rPr>
      </w:pPr>
      <w:r>
        <w:rPr>
          <w:lang w:val="en-CA"/>
        </w:rPr>
        <w:t>T</w:t>
      </w:r>
      <w:r w:rsidRPr="00FB194C">
        <w:rPr>
          <w:lang w:val="en-CA"/>
        </w:rPr>
        <w:t xml:space="preserve">he </w:t>
      </w:r>
      <w:r>
        <w:rPr>
          <w:lang w:val="en-CA"/>
        </w:rPr>
        <w:t>limited number of</w:t>
      </w:r>
      <w:r w:rsidRPr="00FB194C">
        <w:rPr>
          <w:lang w:val="en-CA"/>
        </w:rPr>
        <w:t xml:space="preserve"> standards</w:t>
      </w:r>
      <w:r>
        <w:rPr>
          <w:lang w:val="en-CA"/>
        </w:rPr>
        <w:t xml:space="preserve"> currently available related to the introduction, installation and servicing and maintenance of equipment based on </w:t>
      </w:r>
      <w:r w:rsidRPr="00C46BA4">
        <w:rPr>
          <w:lang w:val="en-CA"/>
        </w:rPr>
        <w:t>flammable or toxic refrigera</w:t>
      </w:r>
      <w:r>
        <w:rPr>
          <w:lang w:val="en-CA"/>
        </w:rPr>
        <w:t>nts;</w:t>
      </w:r>
    </w:p>
    <w:p w:rsidR="00BB5BFE" w:rsidRPr="00A14EAF" w:rsidRDefault="00BB5BFE" w:rsidP="00BB5BFE">
      <w:pPr>
        <w:pStyle w:val="Heading2"/>
        <w:numPr>
          <w:ilvl w:val="1"/>
          <w:numId w:val="1"/>
        </w:numPr>
      </w:pPr>
      <w:r>
        <w:rPr>
          <w:lang w:val="en-CA"/>
        </w:rPr>
        <w:t xml:space="preserve">The lack of standards for </w:t>
      </w:r>
      <w:r w:rsidRPr="001A7647">
        <w:rPr>
          <w:lang w:val="en-CA"/>
        </w:rPr>
        <w:t>transportation</w:t>
      </w:r>
      <w:r>
        <w:rPr>
          <w:lang w:val="en-CA"/>
        </w:rPr>
        <w:t xml:space="preserve"> of flammable or toxic refrigerants;</w:t>
      </w:r>
    </w:p>
    <w:p w:rsidR="00BB5BFE" w:rsidRDefault="00BB5BFE" w:rsidP="00BB5BFE">
      <w:pPr>
        <w:pStyle w:val="Heading2"/>
        <w:numPr>
          <w:ilvl w:val="1"/>
          <w:numId w:val="1"/>
        </w:numPr>
      </w:pPr>
      <w:r>
        <w:t xml:space="preserve">The slow pace of commercialization coupled with limited availability of some refrigerants or the equipment operating with </w:t>
      </w:r>
      <w:r w:rsidRPr="006B0ACE">
        <w:rPr>
          <w:lang w:val="en-CA"/>
        </w:rPr>
        <w:t>low-</w:t>
      </w:r>
      <w:r>
        <w:rPr>
          <w:lang w:val="en-CA"/>
        </w:rPr>
        <w:t xml:space="preserve"> or zero-</w:t>
      </w:r>
      <w:r w:rsidRPr="006B0ACE">
        <w:rPr>
          <w:lang w:val="en-CA"/>
        </w:rPr>
        <w:t>GWP alternative</w:t>
      </w:r>
      <w:r>
        <w:t xml:space="preserve">; </w:t>
      </w:r>
    </w:p>
    <w:p w:rsidR="00BB5BFE" w:rsidRPr="00627169" w:rsidRDefault="00BB5BFE" w:rsidP="00BB5BFE">
      <w:pPr>
        <w:pStyle w:val="Heading2"/>
        <w:numPr>
          <w:ilvl w:val="1"/>
          <w:numId w:val="1"/>
        </w:numPr>
        <w:rPr>
          <w:lang w:val="en-CA"/>
        </w:rPr>
      </w:pPr>
      <w:r>
        <w:rPr>
          <w:lang w:val="en-CA"/>
        </w:rPr>
        <w:t xml:space="preserve">The lack of </w:t>
      </w:r>
      <w:r w:rsidRPr="001A7647">
        <w:rPr>
          <w:lang w:val="en-CA"/>
        </w:rPr>
        <w:t>building codes</w:t>
      </w:r>
      <w:r>
        <w:rPr>
          <w:lang w:val="en-CA"/>
        </w:rPr>
        <w:t xml:space="preserve"> allowing the installation of RACHP equipment based on flammable refrigerants with a certain refrigerant charge; </w:t>
      </w:r>
      <w:r>
        <w:t>and</w:t>
      </w:r>
    </w:p>
    <w:p w:rsidR="00BB5BFE" w:rsidRPr="00627169" w:rsidRDefault="00BB5BFE" w:rsidP="00BB5BFE">
      <w:pPr>
        <w:pStyle w:val="Heading2"/>
        <w:numPr>
          <w:ilvl w:val="1"/>
          <w:numId w:val="1"/>
        </w:numPr>
        <w:rPr>
          <w:color w:val="000000"/>
          <w:lang w:val="en-CA" w:eastAsia="en-CA"/>
        </w:rPr>
      </w:pPr>
      <w:r>
        <w:t xml:space="preserve">The availability of skilled and properly equipped refrigeration servicing </w:t>
      </w:r>
      <w:r w:rsidRPr="00714CE0">
        <w:t>tech</w:t>
      </w:r>
      <w:r>
        <w:t>nicians.</w:t>
      </w:r>
    </w:p>
    <w:p w:rsidR="00BB5BFE" w:rsidRDefault="00BB5BFE" w:rsidP="00E479E5">
      <w:pPr>
        <w:pStyle w:val="Heading1"/>
      </w:pPr>
      <w:r w:rsidRPr="001222EC">
        <w:rPr>
          <w:lang w:val="en-CA"/>
        </w:rPr>
        <w:t xml:space="preserve">Article 5 countries are </w:t>
      </w:r>
      <w:r>
        <w:rPr>
          <w:lang w:val="en-CA"/>
        </w:rPr>
        <w:t xml:space="preserve">currently </w:t>
      </w:r>
      <w:r w:rsidRPr="001222EC">
        <w:rPr>
          <w:lang w:val="en-CA"/>
        </w:rPr>
        <w:t xml:space="preserve">addressing several of these barriers </w:t>
      </w:r>
      <w:r w:rsidRPr="00714CE0">
        <w:t>through activities that</w:t>
      </w:r>
      <w:r w:rsidRPr="003B42A6">
        <w:t xml:space="preserve"> are </w:t>
      </w:r>
      <w:r>
        <w:t xml:space="preserve">increasingly becoming standard </w:t>
      </w:r>
      <w:r w:rsidRPr="003B42A6">
        <w:t>components of the HPMPs</w:t>
      </w:r>
      <w:r>
        <w:t xml:space="preserve">. </w:t>
      </w:r>
      <w:r w:rsidRPr="006C7D79">
        <w:t>Article 5 countries</w:t>
      </w:r>
      <w:r>
        <w:t xml:space="preserve"> have been encouraged to develop regulations and codes of practice, and to adopt standards for the safe introduction of flammable and toxic refrigerants. Article 5 countries have also been encouraged to limit the import of HCFC-based equipment mainly through regulatory interventions under HPMPs and facilitate the introduction of energy</w:t>
      </w:r>
      <w:r>
        <w:noBreakHyphen/>
        <w:t>efficient and climate-friendly alternatives; and to focus activities in the refrigeration servicing sector on training of technicians, good practices, the safe handling of refrigerants, containment, recovery and recycling, and reuse of recovered refrigerants rather than retrofitting.</w:t>
      </w:r>
      <w:r>
        <w:rPr>
          <w:rStyle w:val="FootnoteReference"/>
        </w:rPr>
        <w:footnoteReference w:id="33"/>
      </w:r>
      <w:r>
        <w:t xml:space="preserve"> </w:t>
      </w:r>
    </w:p>
    <w:p w:rsidR="00BB5BFE" w:rsidRDefault="00BB5BFE" w:rsidP="00E479E5">
      <w:pPr>
        <w:pStyle w:val="Heading1"/>
      </w:pPr>
      <w:r w:rsidRPr="00380B17">
        <w:t xml:space="preserve">Training in the installation, operation, maintenance and disposal of </w:t>
      </w:r>
      <w:r>
        <w:t xml:space="preserve">RACHP </w:t>
      </w:r>
      <w:r w:rsidRPr="00380B17">
        <w:t xml:space="preserve">equipment using flammable substances has been considered a priority during </w:t>
      </w:r>
      <w:r>
        <w:t xml:space="preserve">implementation of </w:t>
      </w:r>
      <w:r w:rsidRPr="00380B17">
        <w:t>stage</w:t>
      </w:r>
      <w:r>
        <w:t>s</w:t>
      </w:r>
      <w:r w:rsidRPr="00380B17">
        <w:t xml:space="preserve"> I </w:t>
      </w:r>
      <w:r>
        <w:t xml:space="preserve">and II </w:t>
      </w:r>
      <w:r w:rsidRPr="00380B17">
        <w:t>of the HPMPs in countries where these refrigerants were already in the market or expected to be introduced.</w:t>
      </w:r>
    </w:p>
    <w:p w:rsidR="00BB5BFE" w:rsidRDefault="00BB5BFE" w:rsidP="00E479E5">
      <w:pPr>
        <w:pStyle w:val="Heading1"/>
      </w:pPr>
      <w:r>
        <w:t>In support to the work by national ozone units (NOUs), UNEP’s Compliance Assistance Programme (CAP) developed a guide on international standards in refrigeration and air-conditioning, providing an introduction to standards and showing how they can be useful in supporting the adoption of low-GWP alternatives in the context of the HCFC phase-out. The guide also provides an overview of existing standards related to HCFCs and their alternatives; barriers to alternatives; the process for adopting international and regional standards at the national level; and barriers to the adoption of standards and how to overcome them.</w:t>
      </w:r>
      <w:r>
        <w:rPr>
          <w:rStyle w:val="FootnoteReference"/>
        </w:rPr>
        <w:footnoteReference w:id="34"/>
      </w:r>
    </w:p>
    <w:p w:rsidR="00BB5BFE" w:rsidRDefault="00BB5BFE" w:rsidP="00E479E5">
      <w:pPr>
        <w:pStyle w:val="Heading1"/>
      </w:pPr>
      <w:r>
        <w:lastRenderedPageBreak/>
        <w:t>While the above measures had an impact on adoption of low- and zero-GWP alternatives in RACHP equipment, market factors appear to have played a role in influencing the pace of adoption of these alternatives. Measures facilitating adoption of these alternatives as well as preventing high-GWP alternatives penetration may need to be further considered to enhance the pace of adoption of low- and zero</w:t>
      </w:r>
      <w:r>
        <w:noBreakHyphen/>
        <w:t>GWP alternatives.</w:t>
      </w:r>
    </w:p>
    <w:p w:rsidR="00BB5BFE" w:rsidRPr="00F66239" w:rsidRDefault="00BB5BFE" w:rsidP="00E479E5">
      <w:pPr>
        <w:pStyle w:val="Heading2"/>
        <w:numPr>
          <w:ilvl w:val="0"/>
          <w:numId w:val="0"/>
        </w:numPr>
        <w:rPr>
          <w:b/>
        </w:rPr>
      </w:pPr>
      <w:r w:rsidRPr="002542B4">
        <w:rPr>
          <w:b/>
        </w:rPr>
        <w:t xml:space="preserve">Developing and enforcing policies </w:t>
      </w:r>
      <w:r w:rsidRPr="002542B4">
        <w:rPr>
          <w:rFonts w:eastAsia="Cambria"/>
          <w:b/>
          <w:lang w:val="en-US"/>
        </w:rPr>
        <w:t>and regulations</w:t>
      </w:r>
      <w:r w:rsidRPr="00F66239">
        <w:rPr>
          <w:rFonts w:eastAsia="Cambria"/>
          <w:b/>
          <w:lang w:val="en-US"/>
        </w:rPr>
        <w:t xml:space="preserve"> to avoid t</w:t>
      </w:r>
      <w:r>
        <w:rPr>
          <w:rFonts w:eastAsia="Cambria"/>
          <w:b/>
          <w:lang w:val="en-US"/>
        </w:rPr>
        <w:t>he market penetration of energy</w:t>
      </w:r>
      <w:r>
        <w:rPr>
          <w:rFonts w:eastAsia="Cambria"/>
          <w:b/>
          <w:lang w:val="en-US"/>
        </w:rPr>
        <w:noBreakHyphen/>
      </w:r>
      <w:r w:rsidRPr="00F66239">
        <w:rPr>
          <w:rFonts w:eastAsia="Cambria"/>
          <w:b/>
          <w:lang w:val="en-US"/>
        </w:rPr>
        <w:t>inefficient</w:t>
      </w:r>
      <w:r w:rsidRPr="00F66239">
        <w:rPr>
          <w:b/>
          <w:lang w:val="en-US"/>
        </w:rPr>
        <w:t xml:space="preserve"> refrigeration, air-conditioning and heat-pump</w:t>
      </w:r>
      <w:r w:rsidRPr="00F66239">
        <w:rPr>
          <w:rFonts w:eastAsia="Cambria"/>
          <w:b/>
          <w:lang w:val="en-US"/>
        </w:rPr>
        <w:t xml:space="preserve"> equipment and </w:t>
      </w:r>
      <w:r w:rsidRPr="00F66239">
        <w:rPr>
          <w:b/>
          <w:lang w:val="en-US"/>
        </w:rPr>
        <w:t>promoting the market penetration of energy-efficient equipment</w:t>
      </w:r>
    </w:p>
    <w:p w:rsidR="00BB5BFE" w:rsidRPr="00F66239" w:rsidRDefault="00BB5BFE" w:rsidP="00E479E5">
      <w:pPr>
        <w:pStyle w:val="Heading1"/>
        <w:rPr>
          <w:rFonts w:eastAsia="DengXian"/>
        </w:rPr>
      </w:pPr>
      <w:r w:rsidRPr="00F817DE">
        <w:rPr>
          <w:rFonts w:eastAsia="DengXian"/>
        </w:rPr>
        <w:t>The energy efficiency of any RAC</w:t>
      </w:r>
      <w:r>
        <w:rPr>
          <w:rFonts w:eastAsia="DengXian"/>
        </w:rPr>
        <w:t>HP</w:t>
      </w:r>
      <w:r w:rsidRPr="00F817DE">
        <w:rPr>
          <w:rFonts w:eastAsia="DengXian"/>
        </w:rPr>
        <w:t xml:space="preserve"> equipment is </w:t>
      </w:r>
      <w:r>
        <w:rPr>
          <w:rFonts w:eastAsia="DengXian"/>
        </w:rPr>
        <w:t xml:space="preserve">largely </w:t>
      </w:r>
      <w:r w:rsidRPr="00F817DE">
        <w:rPr>
          <w:rFonts w:eastAsia="DengXian"/>
        </w:rPr>
        <w:t xml:space="preserve">independent of the refrigerant charged in the systems. </w:t>
      </w:r>
      <w:r>
        <w:rPr>
          <w:rFonts w:eastAsia="DengXian"/>
        </w:rPr>
        <w:t>The global</w:t>
      </w:r>
      <w:r w:rsidRPr="00F817DE">
        <w:rPr>
          <w:rFonts w:eastAsia="DengXian"/>
        </w:rPr>
        <w:t xml:space="preserve"> demand for equipment using high-GWP substances, e.g., R-410A, is currently among the highest</w:t>
      </w:r>
      <w:r>
        <w:rPr>
          <w:rFonts w:eastAsia="DengXian"/>
        </w:rPr>
        <w:t xml:space="preserve"> for many years</w:t>
      </w:r>
      <w:r w:rsidRPr="00F817DE">
        <w:rPr>
          <w:rFonts w:eastAsia="DengXian"/>
        </w:rPr>
        <w:t xml:space="preserve">, </w:t>
      </w:r>
      <w:r>
        <w:rPr>
          <w:rFonts w:eastAsia="DengXian"/>
        </w:rPr>
        <w:t xml:space="preserve">leading </w:t>
      </w:r>
      <w:r w:rsidRPr="00F817DE">
        <w:rPr>
          <w:rFonts w:eastAsia="DengXian"/>
        </w:rPr>
        <w:t xml:space="preserve">equipment manufacturers </w:t>
      </w:r>
      <w:r>
        <w:rPr>
          <w:rFonts w:eastAsia="DengXian"/>
        </w:rPr>
        <w:t>to</w:t>
      </w:r>
      <w:r w:rsidRPr="00F817DE">
        <w:rPr>
          <w:rFonts w:eastAsia="DengXian"/>
        </w:rPr>
        <w:t xml:space="preserve"> continuously improv</w:t>
      </w:r>
      <w:r>
        <w:rPr>
          <w:rFonts w:eastAsia="DengXian"/>
        </w:rPr>
        <w:t>e</w:t>
      </w:r>
      <w:r w:rsidRPr="00F817DE">
        <w:rPr>
          <w:rFonts w:eastAsia="DengXian"/>
        </w:rPr>
        <w:t xml:space="preserve"> the energy efficiency </w:t>
      </w:r>
      <w:r>
        <w:rPr>
          <w:rFonts w:eastAsia="DengXian"/>
        </w:rPr>
        <w:t>of such equipment</w:t>
      </w:r>
      <w:r w:rsidRPr="00F817DE">
        <w:rPr>
          <w:rFonts w:eastAsia="DengXian"/>
        </w:rPr>
        <w:t>. With the adoption of the Kigali Amendment, an increase in the pace of introduction of RAC</w:t>
      </w:r>
      <w:r>
        <w:rPr>
          <w:rFonts w:eastAsia="DengXian"/>
        </w:rPr>
        <w:t>HP</w:t>
      </w:r>
      <w:r w:rsidRPr="00F817DE">
        <w:rPr>
          <w:rFonts w:eastAsia="DengXian"/>
        </w:rPr>
        <w:t xml:space="preserve"> equipment based on low- or zero-</w:t>
      </w:r>
      <w:r>
        <w:rPr>
          <w:rFonts w:eastAsia="DengXian"/>
        </w:rPr>
        <w:t>GWP</w:t>
      </w:r>
      <w:r w:rsidRPr="00F817DE">
        <w:rPr>
          <w:rFonts w:eastAsia="DengXian"/>
        </w:rPr>
        <w:t xml:space="preserve"> refrigerants (e.g., HFC-32, R-290) is expected</w:t>
      </w:r>
      <w:r>
        <w:rPr>
          <w:rFonts w:eastAsia="DengXian"/>
        </w:rPr>
        <w:t>.</w:t>
      </w:r>
      <w:r w:rsidRPr="00F817DE">
        <w:rPr>
          <w:rFonts w:eastAsia="DengXian"/>
        </w:rPr>
        <w:t xml:space="preserve"> </w:t>
      </w:r>
      <w:r>
        <w:rPr>
          <w:rFonts w:eastAsia="DengXian"/>
        </w:rPr>
        <w:t>H</w:t>
      </w:r>
      <w:r w:rsidRPr="00F817DE">
        <w:rPr>
          <w:rFonts w:eastAsia="DengXian"/>
        </w:rPr>
        <w:t xml:space="preserve">owever, </w:t>
      </w:r>
      <w:r>
        <w:rPr>
          <w:rFonts w:eastAsia="DengXian"/>
        </w:rPr>
        <w:t xml:space="preserve">improving the energy efficiency will require </w:t>
      </w:r>
      <w:r w:rsidRPr="00F817DE">
        <w:rPr>
          <w:rFonts w:eastAsia="DengXian"/>
        </w:rPr>
        <w:t xml:space="preserve">equipment manufacturers to introduce technological advances in the design and key components of these equipment (e.g., compressors, heat exchangers, </w:t>
      </w:r>
      <w:r w:rsidRPr="00F66239">
        <w:rPr>
          <w:rFonts w:eastAsia="DengXian"/>
        </w:rPr>
        <w:t>controls).</w:t>
      </w:r>
      <w:r w:rsidRPr="00F66239">
        <w:rPr>
          <w:rFonts w:eastAsia="DengXian"/>
          <w:vertAlign w:val="superscript"/>
        </w:rPr>
        <w:footnoteReference w:id="35"/>
      </w:r>
    </w:p>
    <w:p w:rsidR="00BB5BFE" w:rsidRPr="00F66239" w:rsidRDefault="00BB5BFE" w:rsidP="00E479E5">
      <w:pPr>
        <w:pStyle w:val="Heading1"/>
        <w:rPr>
          <w:rFonts w:eastAsia="DengXian"/>
          <w:kern w:val="2"/>
        </w:rPr>
      </w:pPr>
      <w:r w:rsidRPr="00F66239">
        <w:t>One of the energy efficiency polic</w:t>
      </w:r>
      <w:r>
        <w:t>y measures</w:t>
      </w:r>
      <w:r w:rsidRPr="00F66239">
        <w:t xml:space="preserve"> used globally is the MEPS, a specification of performance requirements for an energy-using device that effectively limits the maximum amount of energy that may be consumed by a product in performing a specified task.</w:t>
      </w:r>
      <w:r w:rsidRPr="00F66239">
        <w:rPr>
          <w:rStyle w:val="FootnoteReference"/>
        </w:rPr>
        <w:footnoteReference w:id="36"/>
      </w:r>
      <w:r w:rsidRPr="00F66239">
        <w:t xml:space="preserve"> </w:t>
      </w:r>
    </w:p>
    <w:p w:rsidR="00BB5BFE" w:rsidRPr="00F66239" w:rsidRDefault="00BB5BFE" w:rsidP="00E479E5">
      <w:pPr>
        <w:pStyle w:val="Heading1"/>
      </w:pPr>
      <w:r w:rsidRPr="00F66239">
        <w:t>Regulations for controlling imports of energy-efficient RAC</w:t>
      </w:r>
      <w:r>
        <w:t>HP</w:t>
      </w:r>
      <w:r w:rsidRPr="00F66239">
        <w:t xml:space="preserve"> equipment would require enforcing MEPS for equipment used in different applications and operating under different climatic conditions, and supported by labelling programmes providing more information to consumers. Defining the MEPS efficiency levels for avoiding energy-inefficient equipment would vary </w:t>
      </w:r>
      <w:r>
        <w:t>depending upon national product</w:t>
      </w:r>
      <w:r>
        <w:noBreakHyphen/>
      </w:r>
      <w:r w:rsidRPr="00F66239">
        <w:t xml:space="preserve">market characteristics, consumer cost-economics, consumer </w:t>
      </w:r>
      <w:r>
        <w:t>preferences for adopting energy</w:t>
      </w:r>
      <w:r>
        <w:noBreakHyphen/>
      </w:r>
      <w:r w:rsidRPr="00F66239">
        <w:t xml:space="preserve">efficient equipment, which is influenced by </w:t>
      </w:r>
      <w:r w:rsidRPr="00F66239">
        <w:rPr>
          <w:i/>
        </w:rPr>
        <w:t xml:space="preserve">inter alia </w:t>
      </w:r>
      <w:r w:rsidRPr="00F66239">
        <w:t>technology availability, ease of adoption, price of electricity and usage patterns. Further, MEPS levels need to be revised upwards every few years, keeping in view the technical developments of the RAC</w:t>
      </w:r>
      <w:r>
        <w:t>HP</w:t>
      </w:r>
      <w:r w:rsidRPr="00F66239">
        <w:t xml:space="preserve"> equipment. </w:t>
      </w:r>
      <w:r>
        <w:t>Moreover, MEPS are largely independent of the refrigerant used.</w:t>
      </w:r>
    </w:p>
    <w:p w:rsidR="00BB5BFE" w:rsidRPr="009802BD" w:rsidRDefault="00BB5BFE" w:rsidP="00E479E5">
      <w:pPr>
        <w:pStyle w:val="Heading1"/>
      </w:pPr>
      <w:r w:rsidRPr="009802BD">
        <w:t>Accordingly, while enforcing MEPS for supply and sale of equipment in local markets is essential for improving energy efficiency, complementary measures must be implemented concurrently to avoid an increased uptake</w:t>
      </w:r>
      <w:r>
        <w:t xml:space="preserve"> of high-GWP refrigerant-</w:t>
      </w:r>
      <w:r w:rsidRPr="009802BD">
        <w:t>based RACHP equipment. In particular, MEPS and regulatory measures addressing the import and use of high-GWP refrigerant-based equipment should be implemented concurrently to avoid the import of energy-efficient RACHP equipment based on high-GWP refrigerant (e.g., R-410A).</w:t>
      </w:r>
    </w:p>
    <w:p w:rsidR="00BB5BFE" w:rsidRDefault="00BB5BFE" w:rsidP="00E479E5">
      <w:pPr>
        <w:pStyle w:val="Heading1"/>
      </w:pPr>
      <w:r>
        <w:t xml:space="preserve">Other measures that could facilitate the adoption of energy-efficient equipment include labelling programmes that help consumers choose specific products with certain levels of efficiency; financial incentives in the form of rebates, tax credits, loan financing or leasing of energy-efficient equipment; and procurement programmes that encourage the purchasing of energy-efficient products at attractive prices. </w:t>
      </w:r>
      <w:r w:rsidRPr="007C3A34">
        <w:t>In addition, aspects relating to building design to reduce heating loads, temperature controls</w:t>
      </w:r>
      <w:r>
        <w:t xml:space="preserve"> </w:t>
      </w:r>
      <w:r w:rsidRPr="007C3A34">
        <w:t xml:space="preserve">in cooling space, </w:t>
      </w:r>
      <w:r>
        <w:t xml:space="preserve">and </w:t>
      </w:r>
      <w:r w:rsidRPr="007C3A34">
        <w:t>refrigeration</w:t>
      </w:r>
      <w:r>
        <w:t>-</w:t>
      </w:r>
      <w:r w:rsidRPr="007C3A34">
        <w:t xml:space="preserve">equipment </w:t>
      </w:r>
      <w:r>
        <w:t xml:space="preserve">operation </w:t>
      </w:r>
      <w:r w:rsidRPr="007C3A34">
        <w:t xml:space="preserve">to prevent loss in cooling, have an impact on </w:t>
      </w:r>
      <w:r>
        <w:t xml:space="preserve">the </w:t>
      </w:r>
      <w:r w:rsidRPr="007C3A34">
        <w:t>energy efficien</w:t>
      </w:r>
      <w:r>
        <w:t>cy</w:t>
      </w:r>
      <w:r w:rsidRPr="007C3A34">
        <w:t xml:space="preserve"> </w:t>
      </w:r>
      <w:r w:rsidRPr="007C3A34">
        <w:lastRenderedPageBreak/>
        <w:t xml:space="preserve">of equipment; </w:t>
      </w:r>
      <w:r>
        <w:t>raising the awareness of</w:t>
      </w:r>
      <w:r w:rsidRPr="007C3A34">
        <w:t xml:space="preserve"> consumers and other relevant stakeholders through service agencies could </w:t>
      </w:r>
      <w:r>
        <w:t>encourage</w:t>
      </w:r>
      <w:r w:rsidRPr="007C3A34">
        <w:t xml:space="preserve"> energy</w:t>
      </w:r>
      <w:r>
        <w:t>-</w:t>
      </w:r>
      <w:r w:rsidRPr="007C3A34">
        <w:t>efficient operation of equipment.</w:t>
      </w:r>
      <w:r>
        <w:t xml:space="preserve"> These measures, aligned with MEPS and other regulatory measures that can avoid the adoption of high-GWP refrigerants, could be implemented in a manner to encourage the introduction of high-energy-efficiency equipment based on low- or zero-GWP alternatives.</w:t>
      </w:r>
    </w:p>
    <w:p w:rsidR="00BB5BFE" w:rsidRDefault="00BB5BFE" w:rsidP="00E479E5">
      <w:pPr>
        <w:pStyle w:val="Heading1"/>
      </w:pPr>
      <w:r>
        <w:t>Although specific regulations related to controlling imports of RACHP equipment based on their energy efficiency ratings have not been included under HPMPs, a large number of Article 5 countries have such regulations, which are enacted by the relevant authorities dealing with energy efficiency, as shown in Table 1.</w:t>
      </w:r>
    </w:p>
    <w:p w:rsidR="00BB5BFE" w:rsidRPr="000E71B1" w:rsidRDefault="00BB5BFE" w:rsidP="00E479E5">
      <w:pPr>
        <w:jc w:val="left"/>
      </w:pPr>
      <w:r w:rsidRPr="000E71B1">
        <w:rPr>
          <w:b/>
          <w:spacing w:val="-2"/>
        </w:rPr>
        <w:t>Table 1. Overview of 43 Article 5 countries with programmes in place for MEPS and labels</w:t>
      </w:r>
      <w:r w:rsidRPr="000E71B1">
        <w:rPr>
          <w:rFonts w:eastAsia="DengXian"/>
          <w:vertAlign w:val="superscript"/>
        </w:rPr>
        <w:footnoteReference w:id="37"/>
      </w:r>
    </w:p>
    <w:tbl>
      <w:tblPr>
        <w:tblStyle w:val="TableGrid"/>
        <w:tblW w:w="9355" w:type="dxa"/>
        <w:tblLayout w:type="fixed"/>
        <w:tblCellMar>
          <w:left w:w="57" w:type="dxa"/>
          <w:right w:w="57" w:type="dxa"/>
        </w:tblCellMar>
        <w:tblLook w:val="04A0" w:firstRow="1" w:lastRow="0" w:firstColumn="1" w:lastColumn="0" w:noHBand="0" w:noVBand="1"/>
      </w:tblPr>
      <w:tblGrid>
        <w:gridCol w:w="2785"/>
        <w:gridCol w:w="1095"/>
        <w:gridCol w:w="1098"/>
        <w:gridCol w:w="1095"/>
        <w:gridCol w:w="1100"/>
        <w:gridCol w:w="1096"/>
        <w:gridCol w:w="1086"/>
      </w:tblGrid>
      <w:tr w:rsidR="00BB5BFE" w:rsidRPr="00E354EC" w:rsidTr="00E479E5">
        <w:trPr>
          <w:tblHeader/>
        </w:trPr>
        <w:tc>
          <w:tcPr>
            <w:tcW w:w="2785" w:type="dxa"/>
            <w:vMerge w:val="restart"/>
            <w:noWrap/>
            <w:vAlign w:val="center"/>
            <w:hideMark/>
          </w:tcPr>
          <w:p w:rsidR="00BB5BFE" w:rsidRPr="00E354EC" w:rsidRDefault="00BB5BFE" w:rsidP="00E479E5">
            <w:pPr>
              <w:jc w:val="left"/>
              <w:rPr>
                <w:sz w:val="20"/>
                <w:szCs w:val="20"/>
              </w:rPr>
            </w:pPr>
            <w:r w:rsidRPr="00E354EC">
              <w:rPr>
                <w:b/>
                <w:bCs/>
                <w:sz w:val="20"/>
                <w:szCs w:val="20"/>
              </w:rPr>
              <w:t>Country</w:t>
            </w:r>
          </w:p>
        </w:tc>
        <w:tc>
          <w:tcPr>
            <w:tcW w:w="2193" w:type="dxa"/>
            <w:gridSpan w:val="2"/>
            <w:noWrap/>
            <w:vAlign w:val="center"/>
            <w:hideMark/>
          </w:tcPr>
          <w:p w:rsidR="00BB5BFE" w:rsidRPr="00E354EC" w:rsidRDefault="00BB5BFE" w:rsidP="00E479E5">
            <w:pPr>
              <w:jc w:val="center"/>
              <w:rPr>
                <w:b/>
                <w:bCs/>
                <w:sz w:val="20"/>
                <w:szCs w:val="20"/>
              </w:rPr>
            </w:pPr>
            <w:r w:rsidRPr="00E354EC">
              <w:rPr>
                <w:b/>
                <w:bCs/>
                <w:sz w:val="20"/>
                <w:szCs w:val="20"/>
              </w:rPr>
              <w:t xml:space="preserve">Comparative </w:t>
            </w:r>
            <w:r>
              <w:rPr>
                <w:b/>
                <w:bCs/>
                <w:sz w:val="20"/>
                <w:szCs w:val="20"/>
              </w:rPr>
              <w:t>la</w:t>
            </w:r>
            <w:r w:rsidRPr="00E354EC">
              <w:rPr>
                <w:b/>
                <w:bCs/>
                <w:sz w:val="20"/>
                <w:szCs w:val="20"/>
              </w:rPr>
              <w:t>bels</w:t>
            </w:r>
            <w:r>
              <w:rPr>
                <w:rStyle w:val="FootnoteReference"/>
                <w:b/>
                <w:bCs/>
                <w:sz w:val="20"/>
              </w:rPr>
              <w:footnoteReference w:id="38"/>
            </w:r>
          </w:p>
        </w:tc>
        <w:tc>
          <w:tcPr>
            <w:tcW w:w="2195" w:type="dxa"/>
            <w:gridSpan w:val="2"/>
            <w:noWrap/>
            <w:vAlign w:val="center"/>
            <w:hideMark/>
          </w:tcPr>
          <w:p w:rsidR="00BB5BFE" w:rsidRPr="00E354EC" w:rsidRDefault="00BB5BFE" w:rsidP="00E479E5">
            <w:pPr>
              <w:jc w:val="center"/>
              <w:rPr>
                <w:b/>
                <w:bCs/>
                <w:sz w:val="20"/>
                <w:szCs w:val="20"/>
              </w:rPr>
            </w:pPr>
            <w:r w:rsidRPr="00E354EC">
              <w:rPr>
                <w:b/>
                <w:bCs/>
                <w:sz w:val="20"/>
                <w:szCs w:val="20"/>
              </w:rPr>
              <w:t xml:space="preserve">Endorsement </w:t>
            </w:r>
            <w:r>
              <w:rPr>
                <w:b/>
                <w:bCs/>
                <w:sz w:val="20"/>
                <w:szCs w:val="20"/>
              </w:rPr>
              <w:t>l</w:t>
            </w:r>
            <w:r w:rsidRPr="00E354EC">
              <w:rPr>
                <w:b/>
                <w:bCs/>
                <w:sz w:val="20"/>
                <w:szCs w:val="20"/>
              </w:rPr>
              <w:t>abels</w:t>
            </w:r>
            <w:r>
              <w:rPr>
                <w:rStyle w:val="FootnoteReference"/>
                <w:b/>
                <w:bCs/>
                <w:sz w:val="20"/>
              </w:rPr>
              <w:footnoteReference w:id="39"/>
            </w:r>
          </w:p>
        </w:tc>
        <w:tc>
          <w:tcPr>
            <w:tcW w:w="2182" w:type="dxa"/>
            <w:gridSpan w:val="2"/>
            <w:noWrap/>
            <w:vAlign w:val="center"/>
            <w:hideMark/>
          </w:tcPr>
          <w:p w:rsidR="00BB5BFE" w:rsidRPr="00E354EC" w:rsidRDefault="00BB5BFE" w:rsidP="00E479E5">
            <w:pPr>
              <w:jc w:val="center"/>
              <w:rPr>
                <w:b/>
                <w:bCs/>
                <w:sz w:val="20"/>
                <w:szCs w:val="20"/>
              </w:rPr>
            </w:pPr>
            <w:r w:rsidRPr="00E354EC">
              <w:rPr>
                <w:b/>
                <w:bCs/>
                <w:sz w:val="20"/>
                <w:szCs w:val="20"/>
              </w:rPr>
              <w:t>MEPS</w:t>
            </w:r>
          </w:p>
        </w:tc>
      </w:tr>
      <w:tr w:rsidR="00BB5BFE" w:rsidRPr="00E354EC" w:rsidTr="00E479E5">
        <w:trPr>
          <w:tblHeader/>
        </w:trPr>
        <w:tc>
          <w:tcPr>
            <w:tcW w:w="2785" w:type="dxa"/>
            <w:vMerge/>
            <w:noWrap/>
            <w:tcMar>
              <w:left w:w="115" w:type="dxa"/>
            </w:tcMar>
            <w:vAlign w:val="center"/>
            <w:hideMark/>
          </w:tcPr>
          <w:p w:rsidR="00BB5BFE" w:rsidRPr="00E354EC" w:rsidRDefault="00BB5BFE" w:rsidP="00E479E5">
            <w:pPr>
              <w:jc w:val="left"/>
              <w:rPr>
                <w:b/>
                <w:bCs/>
                <w:sz w:val="20"/>
                <w:szCs w:val="20"/>
              </w:rPr>
            </w:pPr>
          </w:p>
        </w:tc>
        <w:tc>
          <w:tcPr>
            <w:tcW w:w="1095" w:type="dxa"/>
            <w:noWrap/>
            <w:tcMar>
              <w:left w:w="0" w:type="dxa"/>
              <w:right w:w="0" w:type="dxa"/>
            </w:tcMar>
            <w:vAlign w:val="center"/>
            <w:hideMark/>
          </w:tcPr>
          <w:p w:rsidR="00BB5BFE" w:rsidRPr="00E354EC" w:rsidRDefault="00BB5BFE" w:rsidP="00E479E5">
            <w:pPr>
              <w:jc w:val="center"/>
              <w:rPr>
                <w:b/>
                <w:bCs/>
                <w:sz w:val="20"/>
                <w:szCs w:val="20"/>
              </w:rPr>
            </w:pPr>
            <w:r w:rsidRPr="00E354EC">
              <w:rPr>
                <w:b/>
                <w:bCs/>
                <w:sz w:val="20"/>
                <w:szCs w:val="20"/>
              </w:rPr>
              <w:t>Refrigerator</w:t>
            </w:r>
          </w:p>
        </w:tc>
        <w:tc>
          <w:tcPr>
            <w:tcW w:w="1098" w:type="dxa"/>
            <w:noWrap/>
            <w:tcMar>
              <w:left w:w="0" w:type="dxa"/>
              <w:right w:w="0" w:type="dxa"/>
            </w:tcMar>
            <w:vAlign w:val="center"/>
            <w:hideMark/>
          </w:tcPr>
          <w:p w:rsidR="00BB5BFE" w:rsidRPr="00E354EC" w:rsidRDefault="00BB5BFE" w:rsidP="00E479E5">
            <w:pPr>
              <w:jc w:val="center"/>
              <w:rPr>
                <w:b/>
                <w:bCs/>
                <w:sz w:val="20"/>
                <w:szCs w:val="20"/>
              </w:rPr>
            </w:pPr>
            <w:r w:rsidRPr="00E354EC">
              <w:rPr>
                <w:b/>
                <w:bCs/>
                <w:sz w:val="20"/>
                <w:szCs w:val="20"/>
              </w:rPr>
              <w:t>Room AC</w:t>
            </w:r>
          </w:p>
        </w:tc>
        <w:tc>
          <w:tcPr>
            <w:tcW w:w="1095" w:type="dxa"/>
            <w:noWrap/>
            <w:tcMar>
              <w:left w:w="0" w:type="dxa"/>
              <w:right w:w="0" w:type="dxa"/>
            </w:tcMar>
            <w:vAlign w:val="center"/>
            <w:hideMark/>
          </w:tcPr>
          <w:p w:rsidR="00BB5BFE" w:rsidRPr="00E354EC" w:rsidRDefault="00BB5BFE" w:rsidP="00E479E5">
            <w:pPr>
              <w:jc w:val="center"/>
              <w:rPr>
                <w:b/>
                <w:bCs/>
                <w:sz w:val="20"/>
                <w:szCs w:val="20"/>
              </w:rPr>
            </w:pPr>
            <w:r w:rsidRPr="00E354EC">
              <w:rPr>
                <w:b/>
                <w:bCs/>
                <w:sz w:val="20"/>
                <w:szCs w:val="20"/>
              </w:rPr>
              <w:t>Refrigerator</w:t>
            </w:r>
          </w:p>
        </w:tc>
        <w:tc>
          <w:tcPr>
            <w:tcW w:w="1100" w:type="dxa"/>
            <w:noWrap/>
            <w:tcMar>
              <w:left w:w="0" w:type="dxa"/>
              <w:right w:w="0" w:type="dxa"/>
            </w:tcMar>
            <w:vAlign w:val="center"/>
            <w:hideMark/>
          </w:tcPr>
          <w:p w:rsidR="00BB5BFE" w:rsidRPr="00E354EC" w:rsidRDefault="00BB5BFE" w:rsidP="00E479E5">
            <w:pPr>
              <w:jc w:val="center"/>
              <w:rPr>
                <w:b/>
                <w:bCs/>
                <w:sz w:val="20"/>
                <w:szCs w:val="20"/>
              </w:rPr>
            </w:pPr>
            <w:r w:rsidRPr="00E354EC">
              <w:rPr>
                <w:b/>
                <w:bCs/>
                <w:sz w:val="20"/>
                <w:szCs w:val="20"/>
              </w:rPr>
              <w:t>Room AC</w:t>
            </w:r>
          </w:p>
        </w:tc>
        <w:tc>
          <w:tcPr>
            <w:tcW w:w="1096" w:type="dxa"/>
            <w:noWrap/>
            <w:tcMar>
              <w:left w:w="0" w:type="dxa"/>
              <w:right w:w="0" w:type="dxa"/>
            </w:tcMar>
            <w:vAlign w:val="center"/>
            <w:hideMark/>
          </w:tcPr>
          <w:p w:rsidR="00BB5BFE" w:rsidRPr="00E354EC" w:rsidRDefault="00BB5BFE" w:rsidP="00E479E5">
            <w:pPr>
              <w:jc w:val="center"/>
              <w:rPr>
                <w:b/>
                <w:bCs/>
                <w:sz w:val="20"/>
                <w:szCs w:val="20"/>
              </w:rPr>
            </w:pPr>
            <w:r w:rsidRPr="00E354EC">
              <w:rPr>
                <w:b/>
                <w:bCs/>
                <w:sz w:val="20"/>
                <w:szCs w:val="20"/>
              </w:rPr>
              <w:t>Refrigerator</w:t>
            </w:r>
          </w:p>
        </w:tc>
        <w:tc>
          <w:tcPr>
            <w:tcW w:w="1086" w:type="dxa"/>
            <w:noWrap/>
            <w:tcMar>
              <w:left w:w="0" w:type="dxa"/>
              <w:right w:w="0" w:type="dxa"/>
            </w:tcMar>
            <w:vAlign w:val="center"/>
            <w:hideMark/>
          </w:tcPr>
          <w:p w:rsidR="00BB5BFE" w:rsidRPr="00E354EC" w:rsidRDefault="00BB5BFE" w:rsidP="00E479E5">
            <w:pPr>
              <w:jc w:val="center"/>
              <w:rPr>
                <w:b/>
                <w:bCs/>
                <w:sz w:val="20"/>
                <w:szCs w:val="20"/>
              </w:rPr>
            </w:pPr>
            <w:r w:rsidRPr="00E354EC">
              <w:rPr>
                <w:b/>
                <w:bCs/>
                <w:sz w:val="20"/>
                <w:szCs w:val="20"/>
              </w:rPr>
              <w:t>Room AC</w:t>
            </w:r>
          </w:p>
        </w:tc>
      </w:tr>
      <w:tr w:rsidR="00BB5BFE" w:rsidRPr="00E354EC" w:rsidTr="00E479E5">
        <w:tc>
          <w:tcPr>
            <w:tcW w:w="2785" w:type="dxa"/>
            <w:noWrap/>
            <w:tcMar>
              <w:left w:w="115" w:type="dxa"/>
              <w:right w:w="0" w:type="dxa"/>
            </w:tcMar>
            <w:hideMark/>
          </w:tcPr>
          <w:p w:rsidR="00BB5BFE" w:rsidRPr="00E354EC" w:rsidRDefault="00BB5BFE" w:rsidP="00E479E5">
            <w:pPr>
              <w:jc w:val="left"/>
              <w:rPr>
                <w:sz w:val="20"/>
                <w:szCs w:val="20"/>
              </w:rPr>
            </w:pPr>
            <w:r w:rsidRPr="00E354EC">
              <w:rPr>
                <w:sz w:val="20"/>
                <w:szCs w:val="20"/>
              </w:rPr>
              <w:t>Algeria</w:t>
            </w:r>
          </w:p>
        </w:tc>
        <w:tc>
          <w:tcPr>
            <w:tcW w:w="1095" w:type="dxa"/>
            <w:noWrap/>
            <w:vAlign w:val="center"/>
            <w:hideMark/>
          </w:tcPr>
          <w:p w:rsidR="00BB5BFE" w:rsidRPr="00E354EC" w:rsidRDefault="00BB5BFE" w:rsidP="00E479E5">
            <w:pPr>
              <w:jc w:val="center"/>
              <w:rPr>
                <w:sz w:val="20"/>
                <w:szCs w:val="20"/>
              </w:rPr>
            </w:pPr>
            <w:r w:rsidRPr="00E354EC">
              <w:rPr>
                <w:sz w:val="20"/>
                <w:szCs w:val="20"/>
              </w:rPr>
              <w:t>X</w:t>
            </w:r>
          </w:p>
        </w:tc>
        <w:tc>
          <w:tcPr>
            <w:tcW w:w="1098" w:type="dxa"/>
            <w:noWrap/>
            <w:vAlign w:val="center"/>
            <w:hideMark/>
          </w:tcPr>
          <w:p w:rsidR="00BB5BFE" w:rsidRPr="00E354EC" w:rsidRDefault="00BB5BFE" w:rsidP="00E479E5">
            <w:pPr>
              <w:jc w:val="center"/>
              <w:rPr>
                <w:sz w:val="20"/>
                <w:szCs w:val="20"/>
              </w:rPr>
            </w:pPr>
            <w:r w:rsidRPr="00E354EC">
              <w:rPr>
                <w:sz w:val="20"/>
                <w:szCs w:val="20"/>
              </w:rPr>
              <w:t>X</w:t>
            </w:r>
          </w:p>
        </w:tc>
        <w:tc>
          <w:tcPr>
            <w:tcW w:w="1095" w:type="dxa"/>
            <w:noWrap/>
            <w:vAlign w:val="center"/>
            <w:hideMark/>
          </w:tcPr>
          <w:p w:rsidR="00BB5BFE" w:rsidRPr="00E354EC" w:rsidRDefault="00BB5BFE" w:rsidP="00E479E5">
            <w:pPr>
              <w:jc w:val="center"/>
              <w:rPr>
                <w:sz w:val="20"/>
                <w:szCs w:val="20"/>
              </w:rPr>
            </w:pPr>
          </w:p>
        </w:tc>
        <w:tc>
          <w:tcPr>
            <w:tcW w:w="1100" w:type="dxa"/>
            <w:noWrap/>
            <w:vAlign w:val="center"/>
            <w:hideMark/>
          </w:tcPr>
          <w:p w:rsidR="00BB5BFE" w:rsidRPr="00E354EC" w:rsidRDefault="00BB5BFE" w:rsidP="00E479E5">
            <w:pPr>
              <w:jc w:val="center"/>
              <w:rPr>
                <w:sz w:val="20"/>
                <w:szCs w:val="20"/>
              </w:rPr>
            </w:pPr>
          </w:p>
        </w:tc>
        <w:tc>
          <w:tcPr>
            <w:tcW w:w="1096" w:type="dxa"/>
            <w:noWrap/>
            <w:vAlign w:val="center"/>
            <w:hideMark/>
          </w:tcPr>
          <w:p w:rsidR="00BB5BFE" w:rsidRPr="00E354EC" w:rsidRDefault="00BB5BFE" w:rsidP="00E479E5">
            <w:pPr>
              <w:jc w:val="center"/>
              <w:rPr>
                <w:sz w:val="20"/>
                <w:szCs w:val="20"/>
              </w:rPr>
            </w:pPr>
            <w:r w:rsidRPr="00E354EC">
              <w:rPr>
                <w:sz w:val="20"/>
                <w:szCs w:val="20"/>
              </w:rPr>
              <w:t>X</w:t>
            </w:r>
          </w:p>
        </w:tc>
        <w:tc>
          <w:tcPr>
            <w:tcW w:w="1086" w:type="dxa"/>
            <w:noWrap/>
            <w:vAlign w:val="center"/>
            <w:hideMark/>
          </w:tcPr>
          <w:p w:rsidR="00BB5BFE" w:rsidRPr="00E354EC" w:rsidRDefault="00BB5BFE" w:rsidP="00E479E5">
            <w:pPr>
              <w:jc w:val="center"/>
              <w:rPr>
                <w:sz w:val="20"/>
                <w:szCs w:val="20"/>
              </w:rPr>
            </w:pPr>
          </w:p>
        </w:tc>
      </w:tr>
      <w:tr w:rsidR="00BB5BFE" w:rsidRPr="00E354EC" w:rsidTr="00E479E5">
        <w:tc>
          <w:tcPr>
            <w:tcW w:w="2785" w:type="dxa"/>
            <w:noWrap/>
            <w:tcMar>
              <w:left w:w="115" w:type="dxa"/>
              <w:right w:w="0" w:type="dxa"/>
            </w:tcMar>
            <w:hideMark/>
          </w:tcPr>
          <w:p w:rsidR="00BB5BFE" w:rsidRPr="00E354EC" w:rsidRDefault="00BB5BFE" w:rsidP="00E479E5">
            <w:pPr>
              <w:jc w:val="left"/>
              <w:rPr>
                <w:sz w:val="20"/>
                <w:szCs w:val="20"/>
              </w:rPr>
            </w:pPr>
            <w:r w:rsidRPr="00E354EC">
              <w:rPr>
                <w:sz w:val="20"/>
                <w:szCs w:val="20"/>
              </w:rPr>
              <w:t>Argentina</w:t>
            </w:r>
          </w:p>
        </w:tc>
        <w:tc>
          <w:tcPr>
            <w:tcW w:w="1095" w:type="dxa"/>
            <w:noWrap/>
            <w:vAlign w:val="center"/>
            <w:hideMark/>
          </w:tcPr>
          <w:p w:rsidR="00BB5BFE" w:rsidRPr="00E354EC" w:rsidRDefault="00BB5BFE" w:rsidP="00E479E5">
            <w:pPr>
              <w:jc w:val="center"/>
              <w:rPr>
                <w:sz w:val="20"/>
                <w:szCs w:val="20"/>
              </w:rPr>
            </w:pPr>
            <w:r w:rsidRPr="00E354EC">
              <w:rPr>
                <w:sz w:val="20"/>
                <w:szCs w:val="20"/>
              </w:rPr>
              <w:t>X</w:t>
            </w:r>
          </w:p>
        </w:tc>
        <w:tc>
          <w:tcPr>
            <w:tcW w:w="1098" w:type="dxa"/>
            <w:noWrap/>
            <w:vAlign w:val="center"/>
            <w:hideMark/>
          </w:tcPr>
          <w:p w:rsidR="00BB5BFE" w:rsidRPr="00E354EC" w:rsidRDefault="00BB5BFE" w:rsidP="00E479E5">
            <w:pPr>
              <w:jc w:val="center"/>
              <w:rPr>
                <w:sz w:val="20"/>
                <w:szCs w:val="20"/>
              </w:rPr>
            </w:pPr>
            <w:r w:rsidRPr="00E354EC">
              <w:rPr>
                <w:sz w:val="20"/>
                <w:szCs w:val="20"/>
              </w:rPr>
              <w:t>X</w:t>
            </w:r>
          </w:p>
        </w:tc>
        <w:tc>
          <w:tcPr>
            <w:tcW w:w="1095" w:type="dxa"/>
            <w:noWrap/>
            <w:vAlign w:val="center"/>
            <w:hideMark/>
          </w:tcPr>
          <w:p w:rsidR="00BB5BFE" w:rsidRPr="00E354EC" w:rsidRDefault="00BB5BFE" w:rsidP="00E479E5">
            <w:pPr>
              <w:jc w:val="center"/>
              <w:rPr>
                <w:sz w:val="20"/>
                <w:szCs w:val="20"/>
              </w:rPr>
            </w:pPr>
          </w:p>
        </w:tc>
        <w:tc>
          <w:tcPr>
            <w:tcW w:w="1100" w:type="dxa"/>
            <w:noWrap/>
            <w:vAlign w:val="center"/>
            <w:hideMark/>
          </w:tcPr>
          <w:p w:rsidR="00BB5BFE" w:rsidRPr="00E354EC" w:rsidRDefault="00BB5BFE" w:rsidP="00E479E5">
            <w:pPr>
              <w:jc w:val="center"/>
              <w:rPr>
                <w:sz w:val="20"/>
                <w:szCs w:val="20"/>
              </w:rPr>
            </w:pPr>
          </w:p>
        </w:tc>
        <w:tc>
          <w:tcPr>
            <w:tcW w:w="1096" w:type="dxa"/>
            <w:noWrap/>
            <w:vAlign w:val="center"/>
            <w:hideMark/>
          </w:tcPr>
          <w:p w:rsidR="00BB5BFE" w:rsidRPr="00E354EC" w:rsidRDefault="00BB5BFE" w:rsidP="00E479E5">
            <w:pPr>
              <w:jc w:val="center"/>
              <w:rPr>
                <w:sz w:val="20"/>
                <w:szCs w:val="20"/>
              </w:rPr>
            </w:pPr>
            <w:r w:rsidRPr="00E354EC">
              <w:rPr>
                <w:sz w:val="20"/>
                <w:szCs w:val="20"/>
              </w:rPr>
              <w:t>X</w:t>
            </w:r>
          </w:p>
        </w:tc>
        <w:tc>
          <w:tcPr>
            <w:tcW w:w="1086" w:type="dxa"/>
            <w:noWrap/>
            <w:vAlign w:val="center"/>
            <w:hideMark/>
          </w:tcPr>
          <w:p w:rsidR="00BB5BFE" w:rsidRPr="00E354EC" w:rsidRDefault="00BB5BFE" w:rsidP="00E479E5">
            <w:pPr>
              <w:jc w:val="center"/>
              <w:rPr>
                <w:sz w:val="20"/>
                <w:szCs w:val="20"/>
              </w:rPr>
            </w:pPr>
            <w:r w:rsidRPr="00E354EC">
              <w:rPr>
                <w:sz w:val="20"/>
                <w:szCs w:val="20"/>
              </w:rPr>
              <w:t>X</w:t>
            </w:r>
          </w:p>
        </w:tc>
      </w:tr>
      <w:tr w:rsidR="00BB5BFE" w:rsidRPr="00E354EC" w:rsidTr="00E479E5">
        <w:tc>
          <w:tcPr>
            <w:tcW w:w="2785" w:type="dxa"/>
            <w:noWrap/>
            <w:tcMar>
              <w:left w:w="115" w:type="dxa"/>
              <w:right w:w="0" w:type="dxa"/>
            </w:tcMar>
            <w:hideMark/>
          </w:tcPr>
          <w:p w:rsidR="00BB5BFE" w:rsidRPr="00E354EC" w:rsidRDefault="00BB5BFE" w:rsidP="00E479E5">
            <w:pPr>
              <w:jc w:val="left"/>
              <w:rPr>
                <w:sz w:val="20"/>
                <w:szCs w:val="20"/>
              </w:rPr>
            </w:pPr>
            <w:r w:rsidRPr="00E354EC">
              <w:rPr>
                <w:sz w:val="20"/>
                <w:szCs w:val="20"/>
              </w:rPr>
              <w:t>Bangladesh</w:t>
            </w:r>
          </w:p>
        </w:tc>
        <w:tc>
          <w:tcPr>
            <w:tcW w:w="1095" w:type="dxa"/>
            <w:noWrap/>
            <w:vAlign w:val="center"/>
            <w:hideMark/>
          </w:tcPr>
          <w:p w:rsidR="00BB5BFE" w:rsidRPr="00E354EC" w:rsidRDefault="00BB5BFE" w:rsidP="00E479E5">
            <w:pPr>
              <w:jc w:val="center"/>
              <w:rPr>
                <w:sz w:val="20"/>
                <w:szCs w:val="20"/>
              </w:rPr>
            </w:pPr>
          </w:p>
        </w:tc>
        <w:tc>
          <w:tcPr>
            <w:tcW w:w="1098" w:type="dxa"/>
            <w:noWrap/>
            <w:vAlign w:val="center"/>
            <w:hideMark/>
          </w:tcPr>
          <w:p w:rsidR="00BB5BFE" w:rsidRPr="00E354EC" w:rsidRDefault="00BB5BFE" w:rsidP="00E479E5">
            <w:pPr>
              <w:jc w:val="center"/>
              <w:rPr>
                <w:sz w:val="20"/>
                <w:szCs w:val="20"/>
              </w:rPr>
            </w:pPr>
            <w:r w:rsidRPr="00E354EC">
              <w:rPr>
                <w:sz w:val="20"/>
                <w:szCs w:val="20"/>
              </w:rPr>
              <w:t>X</w:t>
            </w:r>
          </w:p>
        </w:tc>
        <w:tc>
          <w:tcPr>
            <w:tcW w:w="1095" w:type="dxa"/>
            <w:noWrap/>
            <w:vAlign w:val="center"/>
            <w:hideMark/>
          </w:tcPr>
          <w:p w:rsidR="00BB5BFE" w:rsidRPr="00E354EC" w:rsidRDefault="00BB5BFE" w:rsidP="00E479E5">
            <w:pPr>
              <w:jc w:val="center"/>
              <w:rPr>
                <w:sz w:val="20"/>
                <w:szCs w:val="20"/>
              </w:rPr>
            </w:pPr>
          </w:p>
        </w:tc>
        <w:tc>
          <w:tcPr>
            <w:tcW w:w="1100" w:type="dxa"/>
            <w:noWrap/>
            <w:vAlign w:val="center"/>
            <w:hideMark/>
          </w:tcPr>
          <w:p w:rsidR="00BB5BFE" w:rsidRPr="00E354EC" w:rsidRDefault="00BB5BFE" w:rsidP="00E479E5">
            <w:pPr>
              <w:jc w:val="center"/>
              <w:rPr>
                <w:sz w:val="20"/>
                <w:szCs w:val="20"/>
              </w:rPr>
            </w:pPr>
          </w:p>
        </w:tc>
        <w:tc>
          <w:tcPr>
            <w:tcW w:w="1096" w:type="dxa"/>
            <w:noWrap/>
            <w:vAlign w:val="center"/>
            <w:hideMark/>
          </w:tcPr>
          <w:p w:rsidR="00BB5BFE" w:rsidRPr="00E354EC" w:rsidRDefault="00BB5BFE" w:rsidP="00E479E5">
            <w:pPr>
              <w:jc w:val="center"/>
              <w:rPr>
                <w:sz w:val="20"/>
                <w:szCs w:val="20"/>
              </w:rPr>
            </w:pPr>
          </w:p>
        </w:tc>
        <w:tc>
          <w:tcPr>
            <w:tcW w:w="1086" w:type="dxa"/>
            <w:noWrap/>
            <w:vAlign w:val="center"/>
            <w:hideMark/>
          </w:tcPr>
          <w:p w:rsidR="00BB5BFE" w:rsidRPr="00E354EC" w:rsidRDefault="00BB5BFE" w:rsidP="00E479E5">
            <w:pPr>
              <w:jc w:val="center"/>
              <w:rPr>
                <w:sz w:val="20"/>
                <w:szCs w:val="20"/>
              </w:rPr>
            </w:pPr>
          </w:p>
        </w:tc>
      </w:tr>
      <w:tr w:rsidR="00BB5BFE" w:rsidRPr="00E354EC" w:rsidTr="00E479E5">
        <w:tc>
          <w:tcPr>
            <w:tcW w:w="2785" w:type="dxa"/>
            <w:noWrap/>
            <w:tcMar>
              <w:left w:w="115" w:type="dxa"/>
              <w:right w:w="0" w:type="dxa"/>
            </w:tcMar>
            <w:hideMark/>
          </w:tcPr>
          <w:p w:rsidR="00BB5BFE" w:rsidRPr="00E354EC" w:rsidRDefault="00BB5BFE" w:rsidP="00E479E5">
            <w:pPr>
              <w:jc w:val="left"/>
              <w:rPr>
                <w:sz w:val="20"/>
                <w:szCs w:val="20"/>
              </w:rPr>
            </w:pPr>
            <w:r w:rsidRPr="00E354EC">
              <w:rPr>
                <w:sz w:val="20"/>
                <w:szCs w:val="20"/>
              </w:rPr>
              <w:t>Barbados</w:t>
            </w:r>
          </w:p>
        </w:tc>
        <w:tc>
          <w:tcPr>
            <w:tcW w:w="1095" w:type="dxa"/>
            <w:noWrap/>
            <w:vAlign w:val="center"/>
            <w:hideMark/>
          </w:tcPr>
          <w:p w:rsidR="00BB5BFE" w:rsidRPr="00E354EC" w:rsidRDefault="00BB5BFE" w:rsidP="00E479E5">
            <w:pPr>
              <w:jc w:val="center"/>
              <w:rPr>
                <w:sz w:val="20"/>
                <w:szCs w:val="20"/>
              </w:rPr>
            </w:pPr>
            <w:r w:rsidRPr="00E354EC">
              <w:rPr>
                <w:sz w:val="20"/>
                <w:szCs w:val="20"/>
              </w:rPr>
              <w:t>X</w:t>
            </w:r>
          </w:p>
        </w:tc>
        <w:tc>
          <w:tcPr>
            <w:tcW w:w="1098" w:type="dxa"/>
            <w:noWrap/>
            <w:vAlign w:val="center"/>
            <w:hideMark/>
          </w:tcPr>
          <w:p w:rsidR="00BB5BFE" w:rsidRPr="00E354EC" w:rsidRDefault="00BB5BFE" w:rsidP="00E479E5">
            <w:pPr>
              <w:jc w:val="center"/>
              <w:rPr>
                <w:sz w:val="20"/>
                <w:szCs w:val="20"/>
              </w:rPr>
            </w:pPr>
            <w:r w:rsidRPr="00E354EC">
              <w:rPr>
                <w:sz w:val="20"/>
                <w:szCs w:val="20"/>
              </w:rPr>
              <w:t>X</w:t>
            </w:r>
          </w:p>
        </w:tc>
        <w:tc>
          <w:tcPr>
            <w:tcW w:w="1095" w:type="dxa"/>
            <w:noWrap/>
            <w:vAlign w:val="center"/>
            <w:hideMark/>
          </w:tcPr>
          <w:p w:rsidR="00BB5BFE" w:rsidRPr="00E354EC" w:rsidRDefault="00BB5BFE" w:rsidP="00E479E5">
            <w:pPr>
              <w:jc w:val="center"/>
              <w:rPr>
                <w:sz w:val="20"/>
                <w:szCs w:val="20"/>
              </w:rPr>
            </w:pPr>
          </w:p>
        </w:tc>
        <w:tc>
          <w:tcPr>
            <w:tcW w:w="1100" w:type="dxa"/>
            <w:noWrap/>
            <w:vAlign w:val="center"/>
            <w:hideMark/>
          </w:tcPr>
          <w:p w:rsidR="00BB5BFE" w:rsidRPr="00E354EC" w:rsidRDefault="00BB5BFE" w:rsidP="00E479E5">
            <w:pPr>
              <w:jc w:val="center"/>
              <w:rPr>
                <w:sz w:val="20"/>
                <w:szCs w:val="20"/>
              </w:rPr>
            </w:pPr>
          </w:p>
        </w:tc>
        <w:tc>
          <w:tcPr>
            <w:tcW w:w="1096" w:type="dxa"/>
            <w:noWrap/>
            <w:vAlign w:val="center"/>
            <w:hideMark/>
          </w:tcPr>
          <w:p w:rsidR="00BB5BFE" w:rsidRPr="00E354EC" w:rsidRDefault="00BB5BFE" w:rsidP="00E479E5">
            <w:pPr>
              <w:jc w:val="center"/>
              <w:rPr>
                <w:sz w:val="20"/>
                <w:szCs w:val="20"/>
              </w:rPr>
            </w:pPr>
          </w:p>
        </w:tc>
        <w:tc>
          <w:tcPr>
            <w:tcW w:w="1086" w:type="dxa"/>
            <w:noWrap/>
            <w:vAlign w:val="center"/>
            <w:hideMark/>
          </w:tcPr>
          <w:p w:rsidR="00BB5BFE" w:rsidRPr="00E354EC" w:rsidRDefault="00BB5BFE" w:rsidP="00E479E5">
            <w:pPr>
              <w:jc w:val="center"/>
              <w:rPr>
                <w:sz w:val="20"/>
                <w:szCs w:val="20"/>
              </w:rPr>
            </w:pPr>
          </w:p>
        </w:tc>
      </w:tr>
      <w:tr w:rsidR="00BB5BFE" w:rsidRPr="00E354EC" w:rsidTr="00E479E5">
        <w:tc>
          <w:tcPr>
            <w:tcW w:w="2785" w:type="dxa"/>
            <w:noWrap/>
            <w:tcMar>
              <w:left w:w="115" w:type="dxa"/>
              <w:right w:w="0" w:type="dxa"/>
            </w:tcMar>
            <w:hideMark/>
          </w:tcPr>
          <w:p w:rsidR="00BB5BFE" w:rsidRPr="00E354EC" w:rsidRDefault="00BB5BFE" w:rsidP="00E479E5">
            <w:pPr>
              <w:jc w:val="left"/>
              <w:rPr>
                <w:sz w:val="20"/>
                <w:szCs w:val="20"/>
              </w:rPr>
            </w:pPr>
            <w:r w:rsidRPr="00E354EC">
              <w:rPr>
                <w:sz w:val="20"/>
                <w:szCs w:val="20"/>
              </w:rPr>
              <w:t>Bolivia</w:t>
            </w:r>
            <w:r>
              <w:rPr>
                <w:sz w:val="20"/>
                <w:szCs w:val="20"/>
              </w:rPr>
              <w:t xml:space="preserve"> (</w:t>
            </w:r>
            <w:proofErr w:type="spellStart"/>
            <w:r>
              <w:rPr>
                <w:sz w:val="20"/>
                <w:szCs w:val="20"/>
              </w:rPr>
              <w:t>Plurinational</w:t>
            </w:r>
            <w:proofErr w:type="spellEnd"/>
            <w:r>
              <w:rPr>
                <w:sz w:val="20"/>
                <w:szCs w:val="20"/>
              </w:rPr>
              <w:t xml:space="preserve"> State of)</w:t>
            </w:r>
          </w:p>
        </w:tc>
        <w:tc>
          <w:tcPr>
            <w:tcW w:w="1095" w:type="dxa"/>
            <w:noWrap/>
            <w:vAlign w:val="center"/>
            <w:hideMark/>
          </w:tcPr>
          <w:p w:rsidR="00BB5BFE" w:rsidRPr="00E354EC" w:rsidRDefault="00BB5BFE" w:rsidP="00E479E5">
            <w:pPr>
              <w:jc w:val="center"/>
              <w:rPr>
                <w:sz w:val="20"/>
                <w:szCs w:val="20"/>
              </w:rPr>
            </w:pPr>
            <w:r w:rsidRPr="00E354EC">
              <w:rPr>
                <w:sz w:val="20"/>
                <w:szCs w:val="20"/>
              </w:rPr>
              <w:t>X</w:t>
            </w:r>
          </w:p>
        </w:tc>
        <w:tc>
          <w:tcPr>
            <w:tcW w:w="1098" w:type="dxa"/>
            <w:noWrap/>
            <w:vAlign w:val="center"/>
            <w:hideMark/>
          </w:tcPr>
          <w:p w:rsidR="00BB5BFE" w:rsidRPr="00E354EC" w:rsidRDefault="00BB5BFE" w:rsidP="00E479E5">
            <w:pPr>
              <w:jc w:val="center"/>
              <w:rPr>
                <w:sz w:val="20"/>
                <w:szCs w:val="20"/>
              </w:rPr>
            </w:pPr>
          </w:p>
        </w:tc>
        <w:tc>
          <w:tcPr>
            <w:tcW w:w="1095" w:type="dxa"/>
            <w:noWrap/>
            <w:vAlign w:val="center"/>
            <w:hideMark/>
          </w:tcPr>
          <w:p w:rsidR="00BB5BFE" w:rsidRPr="00E354EC" w:rsidRDefault="00BB5BFE" w:rsidP="00E479E5">
            <w:pPr>
              <w:jc w:val="center"/>
              <w:rPr>
                <w:sz w:val="20"/>
                <w:szCs w:val="20"/>
              </w:rPr>
            </w:pPr>
          </w:p>
        </w:tc>
        <w:tc>
          <w:tcPr>
            <w:tcW w:w="1100" w:type="dxa"/>
            <w:noWrap/>
            <w:vAlign w:val="center"/>
            <w:hideMark/>
          </w:tcPr>
          <w:p w:rsidR="00BB5BFE" w:rsidRPr="00E354EC" w:rsidRDefault="00BB5BFE" w:rsidP="00E479E5">
            <w:pPr>
              <w:jc w:val="center"/>
              <w:rPr>
                <w:sz w:val="20"/>
                <w:szCs w:val="20"/>
              </w:rPr>
            </w:pPr>
          </w:p>
        </w:tc>
        <w:tc>
          <w:tcPr>
            <w:tcW w:w="1096" w:type="dxa"/>
            <w:noWrap/>
            <w:vAlign w:val="center"/>
            <w:hideMark/>
          </w:tcPr>
          <w:p w:rsidR="00BB5BFE" w:rsidRPr="00E354EC" w:rsidRDefault="00BB5BFE" w:rsidP="00E479E5">
            <w:pPr>
              <w:jc w:val="center"/>
              <w:rPr>
                <w:sz w:val="20"/>
                <w:szCs w:val="20"/>
              </w:rPr>
            </w:pPr>
          </w:p>
        </w:tc>
        <w:tc>
          <w:tcPr>
            <w:tcW w:w="1086" w:type="dxa"/>
            <w:noWrap/>
            <w:vAlign w:val="center"/>
            <w:hideMark/>
          </w:tcPr>
          <w:p w:rsidR="00BB5BFE" w:rsidRPr="00E354EC" w:rsidRDefault="00BB5BFE" w:rsidP="00E479E5">
            <w:pPr>
              <w:jc w:val="center"/>
              <w:rPr>
                <w:sz w:val="20"/>
                <w:szCs w:val="20"/>
              </w:rPr>
            </w:pPr>
          </w:p>
        </w:tc>
      </w:tr>
      <w:tr w:rsidR="00BB5BFE" w:rsidRPr="00E354EC" w:rsidTr="00E479E5">
        <w:tc>
          <w:tcPr>
            <w:tcW w:w="2785" w:type="dxa"/>
            <w:noWrap/>
            <w:tcMar>
              <w:left w:w="115" w:type="dxa"/>
              <w:right w:w="0" w:type="dxa"/>
            </w:tcMar>
            <w:hideMark/>
          </w:tcPr>
          <w:p w:rsidR="00BB5BFE" w:rsidRPr="00E354EC" w:rsidRDefault="00BB5BFE" w:rsidP="00E479E5">
            <w:pPr>
              <w:jc w:val="left"/>
              <w:rPr>
                <w:sz w:val="20"/>
                <w:szCs w:val="20"/>
              </w:rPr>
            </w:pPr>
            <w:r w:rsidRPr="00E354EC">
              <w:rPr>
                <w:sz w:val="20"/>
                <w:szCs w:val="20"/>
              </w:rPr>
              <w:t>Brazil</w:t>
            </w:r>
          </w:p>
        </w:tc>
        <w:tc>
          <w:tcPr>
            <w:tcW w:w="1095" w:type="dxa"/>
            <w:noWrap/>
            <w:vAlign w:val="center"/>
            <w:hideMark/>
          </w:tcPr>
          <w:p w:rsidR="00BB5BFE" w:rsidRPr="00E354EC" w:rsidRDefault="00BB5BFE" w:rsidP="00E479E5">
            <w:pPr>
              <w:jc w:val="center"/>
              <w:rPr>
                <w:sz w:val="20"/>
                <w:szCs w:val="20"/>
              </w:rPr>
            </w:pPr>
            <w:r w:rsidRPr="00E354EC">
              <w:rPr>
                <w:sz w:val="20"/>
                <w:szCs w:val="20"/>
              </w:rPr>
              <w:t>X</w:t>
            </w:r>
          </w:p>
        </w:tc>
        <w:tc>
          <w:tcPr>
            <w:tcW w:w="1098" w:type="dxa"/>
            <w:noWrap/>
            <w:vAlign w:val="center"/>
            <w:hideMark/>
          </w:tcPr>
          <w:p w:rsidR="00BB5BFE" w:rsidRPr="00E354EC" w:rsidRDefault="00BB5BFE" w:rsidP="00E479E5">
            <w:pPr>
              <w:jc w:val="center"/>
              <w:rPr>
                <w:sz w:val="20"/>
                <w:szCs w:val="20"/>
              </w:rPr>
            </w:pPr>
            <w:r w:rsidRPr="00E354EC">
              <w:rPr>
                <w:sz w:val="20"/>
                <w:szCs w:val="20"/>
              </w:rPr>
              <w:t>X</w:t>
            </w:r>
          </w:p>
        </w:tc>
        <w:tc>
          <w:tcPr>
            <w:tcW w:w="1095" w:type="dxa"/>
            <w:noWrap/>
            <w:vAlign w:val="center"/>
            <w:hideMark/>
          </w:tcPr>
          <w:p w:rsidR="00BB5BFE" w:rsidRPr="00E354EC" w:rsidRDefault="00BB5BFE" w:rsidP="00E479E5">
            <w:pPr>
              <w:jc w:val="center"/>
              <w:rPr>
                <w:sz w:val="20"/>
                <w:szCs w:val="20"/>
              </w:rPr>
            </w:pPr>
            <w:r w:rsidRPr="00E354EC">
              <w:rPr>
                <w:sz w:val="20"/>
                <w:szCs w:val="20"/>
              </w:rPr>
              <w:t>X</w:t>
            </w:r>
          </w:p>
        </w:tc>
        <w:tc>
          <w:tcPr>
            <w:tcW w:w="1100" w:type="dxa"/>
            <w:noWrap/>
            <w:vAlign w:val="center"/>
            <w:hideMark/>
          </w:tcPr>
          <w:p w:rsidR="00BB5BFE" w:rsidRPr="00E354EC" w:rsidRDefault="00BB5BFE" w:rsidP="00E479E5">
            <w:pPr>
              <w:jc w:val="center"/>
              <w:rPr>
                <w:sz w:val="20"/>
                <w:szCs w:val="20"/>
              </w:rPr>
            </w:pPr>
            <w:r w:rsidRPr="00E354EC">
              <w:rPr>
                <w:sz w:val="20"/>
                <w:szCs w:val="20"/>
              </w:rPr>
              <w:t>X</w:t>
            </w:r>
          </w:p>
        </w:tc>
        <w:tc>
          <w:tcPr>
            <w:tcW w:w="1096" w:type="dxa"/>
            <w:noWrap/>
            <w:vAlign w:val="center"/>
            <w:hideMark/>
          </w:tcPr>
          <w:p w:rsidR="00BB5BFE" w:rsidRPr="00E354EC" w:rsidRDefault="00BB5BFE" w:rsidP="00E479E5">
            <w:pPr>
              <w:jc w:val="center"/>
              <w:rPr>
                <w:sz w:val="20"/>
                <w:szCs w:val="20"/>
              </w:rPr>
            </w:pPr>
            <w:r w:rsidRPr="00E354EC">
              <w:rPr>
                <w:sz w:val="20"/>
                <w:szCs w:val="20"/>
              </w:rPr>
              <w:t>X</w:t>
            </w:r>
          </w:p>
        </w:tc>
        <w:tc>
          <w:tcPr>
            <w:tcW w:w="1086" w:type="dxa"/>
            <w:noWrap/>
            <w:vAlign w:val="center"/>
            <w:hideMark/>
          </w:tcPr>
          <w:p w:rsidR="00BB5BFE" w:rsidRPr="00E354EC" w:rsidRDefault="00BB5BFE" w:rsidP="00E479E5">
            <w:pPr>
              <w:jc w:val="center"/>
              <w:rPr>
                <w:sz w:val="20"/>
                <w:szCs w:val="20"/>
              </w:rPr>
            </w:pPr>
            <w:r w:rsidRPr="00E354EC">
              <w:rPr>
                <w:sz w:val="20"/>
                <w:szCs w:val="20"/>
              </w:rPr>
              <w:t>X</w:t>
            </w:r>
          </w:p>
        </w:tc>
      </w:tr>
      <w:tr w:rsidR="00BB5BFE" w:rsidRPr="00E354EC" w:rsidTr="00E479E5">
        <w:tc>
          <w:tcPr>
            <w:tcW w:w="2785" w:type="dxa"/>
            <w:noWrap/>
            <w:tcMar>
              <w:left w:w="115" w:type="dxa"/>
              <w:right w:w="0" w:type="dxa"/>
            </w:tcMar>
            <w:hideMark/>
          </w:tcPr>
          <w:p w:rsidR="00BB5BFE" w:rsidRPr="00E354EC" w:rsidRDefault="00BB5BFE" w:rsidP="00E479E5">
            <w:pPr>
              <w:jc w:val="left"/>
              <w:rPr>
                <w:sz w:val="20"/>
                <w:szCs w:val="20"/>
              </w:rPr>
            </w:pPr>
            <w:r w:rsidRPr="00E354EC">
              <w:rPr>
                <w:sz w:val="20"/>
                <w:szCs w:val="20"/>
              </w:rPr>
              <w:t>Chile</w:t>
            </w:r>
          </w:p>
        </w:tc>
        <w:tc>
          <w:tcPr>
            <w:tcW w:w="1095" w:type="dxa"/>
            <w:noWrap/>
            <w:vAlign w:val="center"/>
            <w:hideMark/>
          </w:tcPr>
          <w:p w:rsidR="00BB5BFE" w:rsidRPr="00E354EC" w:rsidRDefault="00BB5BFE" w:rsidP="00E479E5">
            <w:pPr>
              <w:jc w:val="center"/>
              <w:rPr>
                <w:sz w:val="20"/>
                <w:szCs w:val="20"/>
              </w:rPr>
            </w:pPr>
            <w:r w:rsidRPr="00E354EC">
              <w:rPr>
                <w:sz w:val="20"/>
                <w:szCs w:val="20"/>
              </w:rPr>
              <w:t>X</w:t>
            </w:r>
          </w:p>
        </w:tc>
        <w:tc>
          <w:tcPr>
            <w:tcW w:w="1098" w:type="dxa"/>
            <w:noWrap/>
            <w:vAlign w:val="center"/>
            <w:hideMark/>
          </w:tcPr>
          <w:p w:rsidR="00BB5BFE" w:rsidRPr="00E354EC" w:rsidRDefault="00BB5BFE" w:rsidP="00E479E5">
            <w:pPr>
              <w:jc w:val="center"/>
              <w:rPr>
                <w:sz w:val="20"/>
                <w:szCs w:val="20"/>
              </w:rPr>
            </w:pPr>
            <w:r w:rsidRPr="00E354EC">
              <w:rPr>
                <w:sz w:val="20"/>
                <w:szCs w:val="20"/>
              </w:rPr>
              <w:t>X</w:t>
            </w:r>
          </w:p>
        </w:tc>
        <w:tc>
          <w:tcPr>
            <w:tcW w:w="1095" w:type="dxa"/>
            <w:noWrap/>
            <w:vAlign w:val="center"/>
            <w:hideMark/>
          </w:tcPr>
          <w:p w:rsidR="00BB5BFE" w:rsidRPr="00E354EC" w:rsidRDefault="00BB5BFE" w:rsidP="00E479E5">
            <w:pPr>
              <w:jc w:val="center"/>
              <w:rPr>
                <w:sz w:val="20"/>
                <w:szCs w:val="20"/>
              </w:rPr>
            </w:pPr>
          </w:p>
        </w:tc>
        <w:tc>
          <w:tcPr>
            <w:tcW w:w="1100" w:type="dxa"/>
            <w:noWrap/>
            <w:vAlign w:val="center"/>
            <w:hideMark/>
          </w:tcPr>
          <w:p w:rsidR="00BB5BFE" w:rsidRPr="00E354EC" w:rsidRDefault="00BB5BFE" w:rsidP="00E479E5">
            <w:pPr>
              <w:jc w:val="center"/>
              <w:rPr>
                <w:sz w:val="20"/>
                <w:szCs w:val="20"/>
              </w:rPr>
            </w:pPr>
          </w:p>
        </w:tc>
        <w:tc>
          <w:tcPr>
            <w:tcW w:w="1096" w:type="dxa"/>
            <w:noWrap/>
            <w:vAlign w:val="center"/>
            <w:hideMark/>
          </w:tcPr>
          <w:p w:rsidR="00BB5BFE" w:rsidRPr="00E354EC" w:rsidRDefault="00BB5BFE" w:rsidP="00E479E5">
            <w:pPr>
              <w:jc w:val="center"/>
              <w:rPr>
                <w:sz w:val="20"/>
                <w:szCs w:val="20"/>
              </w:rPr>
            </w:pPr>
          </w:p>
        </w:tc>
        <w:tc>
          <w:tcPr>
            <w:tcW w:w="1086" w:type="dxa"/>
            <w:noWrap/>
            <w:vAlign w:val="center"/>
            <w:hideMark/>
          </w:tcPr>
          <w:p w:rsidR="00BB5BFE" w:rsidRPr="00E354EC" w:rsidRDefault="00BB5BFE" w:rsidP="00E479E5">
            <w:pPr>
              <w:jc w:val="center"/>
              <w:rPr>
                <w:sz w:val="20"/>
                <w:szCs w:val="20"/>
              </w:rPr>
            </w:pPr>
          </w:p>
        </w:tc>
      </w:tr>
      <w:tr w:rsidR="00BB5BFE" w:rsidRPr="00E354EC" w:rsidTr="00E479E5">
        <w:tc>
          <w:tcPr>
            <w:tcW w:w="2785" w:type="dxa"/>
            <w:noWrap/>
            <w:tcMar>
              <w:left w:w="115" w:type="dxa"/>
              <w:right w:w="0" w:type="dxa"/>
            </w:tcMar>
            <w:hideMark/>
          </w:tcPr>
          <w:p w:rsidR="00BB5BFE" w:rsidRPr="00E354EC" w:rsidRDefault="00BB5BFE" w:rsidP="00E479E5">
            <w:pPr>
              <w:jc w:val="left"/>
              <w:rPr>
                <w:sz w:val="20"/>
                <w:szCs w:val="20"/>
              </w:rPr>
            </w:pPr>
            <w:r w:rsidRPr="00E354EC">
              <w:rPr>
                <w:sz w:val="20"/>
                <w:szCs w:val="20"/>
              </w:rPr>
              <w:t xml:space="preserve">China </w:t>
            </w:r>
          </w:p>
        </w:tc>
        <w:tc>
          <w:tcPr>
            <w:tcW w:w="1095" w:type="dxa"/>
            <w:noWrap/>
            <w:vAlign w:val="center"/>
            <w:hideMark/>
          </w:tcPr>
          <w:p w:rsidR="00BB5BFE" w:rsidRPr="00E354EC" w:rsidRDefault="00BB5BFE" w:rsidP="00E479E5">
            <w:pPr>
              <w:jc w:val="center"/>
              <w:rPr>
                <w:sz w:val="20"/>
                <w:szCs w:val="20"/>
              </w:rPr>
            </w:pPr>
            <w:r w:rsidRPr="00E354EC">
              <w:rPr>
                <w:sz w:val="20"/>
                <w:szCs w:val="20"/>
              </w:rPr>
              <w:t>X</w:t>
            </w:r>
          </w:p>
        </w:tc>
        <w:tc>
          <w:tcPr>
            <w:tcW w:w="1098" w:type="dxa"/>
            <w:noWrap/>
            <w:vAlign w:val="center"/>
            <w:hideMark/>
          </w:tcPr>
          <w:p w:rsidR="00BB5BFE" w:rsidRPr="00E354EC" w:rsidRDefault="00BB5BFE" w:rsidP="00E479E5">
            <w:pPr>
              <w:jc w:val="center"/>
              <w:rPr>
                <w:sz w:val="20"/>
                <w:szCs w:val="20"/>
              </w:rPr>
            </w:pPr>
            <w:r w:rsidRPr="00E354EC">
              <w:rPr>
                <w:sz w:val="20"/>
                <w:szCs w:val="20"/>
              </w:rPr>
              <w:t>X</w:t>
            </w:r>
          </w:p>
        </w:tc>
        <w:tc>
          <w:tcPr>
            <w:tcW w:w="1095" w:type="dxa"/>
            <w:noWrap/>
            <w:vAlign w:val="center"/>
            <w:hideMark/>
          </w:tcPr>
          <w:p w:rsidR="00BB5BFE" w:rsidRPr="00E354EC" w:rsidRDefault="00BB5BFE" w:rsidP="00E479E5">
            <w:pPr>
              <w:jc w:val="center"/>
              <w:rPr>
                <w:sz w:val="20"/>
                <w:szCs w:val="20"/>
              </w:rPr>
            </w:pPr>
            <w:r w:rsidRPr="00E354EC">
              <w:rPr>
                <w:sz w:val="20"/>
                <w:szCs w:val="20"/>
              </w:rPr>
              <w:t>X</w:t>
            </w:r>
          </w:p>
        </w:tc>
        <w:tc>
          <w:tcPr>
            <w:tcW w:w="1100" w:type="dxa"/>
            <w:noWrap/>
            <w:vAlign w:val="center"/>
            <w:hideMark/>
          </w:tcPr>
          <w:p w:rsidR="00BB5BFE" w:rsidRPr="00E354EC" w:rsidRDefault="00BB5BFE" w:rsidP="00E479E5">
            <w:pPr>
              <w:jc w:val="center"/>
              <w:rPr>
                <w:sz w:val="20"/>
                <w:szCs w:val="20"/>
              </w:rPr>
            </w:pPr>
            <w:r w:rsidRPr="00E354EC">
              <w:rPr>
                <w:sz w:val="20"/>
                <w:szCs w:val="20"/>
              </w:rPr>
              <w:t>X</w:t>
            </w:r>
          </w:p>
        </w:tc>
        <w:tc>
          <w:tcPr>
            <w:tcW w:w="1096" w:type="dxa"/>
            <w:noWrap/>
            <w:vAlign w:val="center"/>
            <w:hideMark/>
          </w:tcPr>
          <w:p w:rsidR="00BB5BFE" w:rsidRPr="00E354EC" w:rsidRDefault="00BB5BFE" w:rsidP="00E479E5">
            <w:pPr>
              <w:jc w:val="center"/>
              <w:rPr>
                <w:sz w:val="20"/>
                <w:szCs w:val="20"/>
              </w:rPr>
            </w:pPr>
            <w:r w:rsidRPr="00E354EC">
              <w:rPr>
                <w:sz w:val="20"/>
                <w:szCs w:val="20"/>
              </w:rPr>
              <w:t>X</w:t>
            </w:r>
          </w:p>
        </w:tc>
        <w:tc>
          <w:tcPr>
            <w:tcW w:w="1086" w:type="dxa"/>
            <w:noWrap/>
            <w:vAlign w:val="center"/>
            <w:hideMark/>
          </w:tcPr>
          <w:p w:rsidR="00BB5BFE" w:rsidRPr="00E354EC" w:rsidRDefault="00BB5BFE" w:rsidP="00E479E5">
            <w:pPr>
              <w:jc w:val="center"/>
              <w:rPr>
                <w:sz w:val="20"/>
                <w:szCs w:val="20"/>
              </w:rPr>
            </w:pPr>
            <w:r w:rsidRPr="00E354EC">
              <w:rPr>
                <w:sz w:val="20"/>
                <w:szCs w:val="20"/>
              </w:rPr>
              <w:t>X</w:t>
            </w:r>
          </w:p>
        </w:tc>
      </w:tr>
      <w:tr w:rsidR="00BB5BFE" w:rsidRPr="00E354EC" w:rsidTr="00E479E5">
        <w:tc>
          <w:tcPr>
            <w:tcW w:w="2785" w:type="dxa"/>
            <w:noWrap/>
            <w:tcMar>
              <w:left w:w="115" w:type="dxa"/>
              <w:right w:w="0" w:type="dxa"/>
            </w:tcMar>
            <w:hideMark/>
          </w:tcPr>
          <w:p w:rsidR="00BB5BFE" w:rsidRPr="00E354EC" w:rsidRDefault="00BB5BFE" w:rsidP="00E479E5">
            <w:pPr>
              <w:jc w:val="left"/>
              <w:rPr>
                <w:sz w:val="20"/>
                <w:szCs w:val="20"/>
              </w:rPr>
            </w:pPr>
            <w:r w:rsidRPr="00E354EC">
              <w:rPr>
                <w:sz w:val="20"/>
                <w:szCs w:val="20"/>
              </w:rPr>
              <w:t>Colombia</w:t>
            </w:r>
          </w:p>
        </w:tc>
        <w:tc>
          <w:tcPr>
            <w:tcW w:w="1095" w:type="dxa"/>
            <w:noWrap/>
            <w:vAlign w:val="center"/>
            <w:hideMark/>
          </w:tcPr>
          <w:p w:rsidR="00BB5BFE" w:rsidRPr="00E354EC" w:rsidRDefault="00BB5BFE" w:rsidP="00E479E5">
            <w:pPr>
              <w:jc w:val="center"/>
              <w:rPr>
                <w:sz w:val="20"/>
                <w:szCs w:val="20"/>
              </w:rPr>
            </w:pPr>
            <w:r w:rsidRPr="00E354EC">
              <w:rPr>
                <w:sz w:val="20"/>
                <w:szCs w:val="20"/>
              </w:rPr>
              <w:t>X</w:t>
            </w:r>
          </w:p>
        </w:tc>
        <w:tc>
          <w:tcPr>
            <w:tcW w:w="1098" w:type="dxa"/>
            <w:noWrap/>
            <w:vAlign w:val="center"/>
            <w:hideMark/>
          </w:tcPr>
          <w:p w:rsidR="00BB5BFE" w:rsidRPr="00E354EC" w:rsidRDefault="00BB5BFE" w:rsidP="00E479E5">
            <w:pPr>
              <w:jc w:val="center"/>
              <w:rPr>
                <w:sz w:val="20"/>
                <w:szCs w:val="20"/>
              </w:rPr>
            </w:pPr>
            <w:r w:rsidRPr="00E354EC">
              <w:rPr>
                <w:sz w:val="20"/>
                <w:szCs w:val="20"/>
              </w:rPr>
              <w:t>X</w:t>
            </w:r>
          </w:p>
        </w:tc>
        <w:tc>
          <w:tcPr>
            <w:tcW w:w="1095" w:type="dxa"/>
            <w:noWrap/>
            <w:vAlign w:val="center"/>
            <w:hideMark/>
          </w:tcPr>
          <w:p w:rsidR="00BB5BFE" w:rsidRPr="00E354EC" w:rsidRDefault="00BB5BFE" w:rsidP="00E479E5">
            <w:pPr>
              <w:jc w:val="center"/>
              <w:rPr>
                <w:sz w:val="20"/>
                <w:szCs w:val="20"/>
              </w:rPr>
            </w:pPr>
          </w:p>
        </w:tc>
        <w:tc>
          <w:tcPr>
            <w:tcW w:w="1100" w:type="dxa"/>
            <w:noWrap/>
            <w:vAlign w:val="center"/>
            <w:hideMark/>
          </w:tcPr>
          <w:p w:rsidR="00BB5BFE" w:rsidRPr="00E354EC" w:rsidRDefault="00BB5BFE" w:rsidP="00E479E5">
            <w:pPr>
              <w:jc w:val="center"/>
              <w:rPr>
                <w:sz w:val="20"/>
                <w:szCs w:val="20"/>
              </w:rPr>
            </w:pPr>
          </w:p>
        </w:tc>
        <w:tc>
          <w:tcPr>
            <w:tcW w:w="1096" w:type="dxa"/>
            <w:noWrap/>
            <w:vAlign w:val="center"/>
            <w:hideMark/>
          </w:tcPr>
          <w:p w:rsidR="00BB5BFE" w:rsidRPr="00E354EC" w:rsidRDefault="00BB5BFE" w:rsidP="00E479E5">
            <w:pPr>
              <w:jc w:val="center"/>
              <w:rPr>
                <w:sz w:val="20"/>
                <w:szCs w:val="20"/>
              </w:rPr>
            </w:pPr>
            <w:r w:rsidRPr="00E354EC">
              <w:rPr>
                <w:sz w:val="20"/>
                <w:szCs w:val="20"/>
              </w:rPr>
              <w:t>X</w:t>
            </w:r>
          </w:p>
        </w:tc>
        <w:tc>
          <w:tcPr>
            <w:tcW w:w="1086" w:type="dxa"/>
            <w:noWrap/>
            <w:vAlign w:val="center"/>
            <w:hideMark/>
          </w:tcPr>
          <w:p w:rsidR="00BB5BFE" w:rsidRPr="00E354EC" w:rsidRDefault="00BB5BFE" w:rsidP="00E479E5">
            <w:pPr>
              <w:jc w:val="center"/>
              <w:rPr>
                <w:sz w:val="20"/>
                <w:szCs w:val="20"/>
              </w:rPr>
            </w:pPr>
            <w:r w:rsidRPr="00E354EC">
              <w:rPr>
                <w:sz w:val="20"/>
                <w:szCs w:val="20"/>
              </w:rPr>
              <w:t>X</w:t>
            </w:r>
          </w:p>
        </w:tc>
      </w:tr>
      <w:tr w:rsidR="00BB5BFE" w:rsidRPr="00E354EC" w:rsidTr="00E479E5">
        <w:tc>
          <w:tcPr>
            <w:tcW w:w="2785" w:type="dxa"/>
            <w:noWrap/>
            <w:tcMar>
              <w:left w:w="115" w:type="dxa"/>
              <w:right w:w="0" w:type="dxa"/>
            </w:tcMar>
            <w:hideMark/>
          </w:tcPr>
          <w:p w:rsidR="00BB5BFE" w:rsidRPr="00E354EC" w:rsidRDefault="00BB5BFE" w:rsidP="00E479E5">
            <w:pPr>
              <w:jc w:val="left"/>
              <w:rPr>
                <w:sz w:val="20"/>
                <w:szCs w:val="20"/>
              </w:rPr>
            </w:pPr>
            <w:r w:rsidRPr="00E354EC">
              <w:rPr>
                <w:sz w:val="20"/>
                <w:szCs w:val="20"/>
              </w:rPr>
              <w:t>Cook Islands</w:t>
            </w:r>
          </w:p>
        </w:tc>
        <w:tc>
          <w:tcPr>
            <w:tcW w:w="1095" w:type="dxa"/>
            <w:noWrap/>
            <w:vAlign w:val="center"/>
            <w:hideMark/>
          </w:tcPr>
          <w:p w:rsidR="00BB5BFE" w:rsidRPr="00E354EC" w:rsidRDefault="00BB5BFE" w:rsidP="00E479E5">
            <w:pPr>
              <w:jc w:val="center"/>
              <w:rPr>
                <w:sz w:val="20"/>
                <w:szCs w:val="20"/>
              </w:rPr>
            </w:pPr>
            <w:r w:rsidRPr="00E354EC">
              <w:rPr>
                <w:sz w:val="20"/>
                <w:szCs w:val="20"/>
              </w:rPr>
              <w:t>X</w:t>
            </w:r>
          </w:p>
        </w:tc>
        <w:tc>
          <w:tcPr>
            <w:tcW w:w="1098" w:type="dxa"/>
            <w:noWrap/>
            <w:vAlign w:val="center"/>
            <w:hideMark/>
          </w:tcPr>
          <w:p w:rsidR="00BB5BFE" w:rsidRPr="00E354EC" w:rsidRDefault="00BB5BFE" w:rsidP="00E479E5">
            <w:pPr>
              <w:jc w:val="center"/>
              <w:rPr>
                <w:sz w:val="20"/>
                <w:szCs w:val="20"/>
              </w:rPr>
            </w:pPr>
            <w:r w:rsidRPr="00E354EC">
              <w:rPr>
                <w:sz w:val="20"/>
                <w:szCs w:val="20"/>
              </w:rPr>
              <w:t>X</w:t>
            </w:r>
          </w:p>
        </w:tc>
        <w:tc>
          <w:tcPr>
            <w:tcW w:w="1095" w:type="dxa"/>
            <w:noWrap/>
            <w:vAlign w:val="center"/>
            <w:hideMark/>
          </w:tcPr>
          <w:p w:rsidR="00BB5BFE" w:rsidRPr="00E354EC" w:rsidRDefault="00BB5BFE" w:rsidP="00E479E5">
            <w:pPr>
              <w:jc w:val="center"/>
              <w:rPr>
                <w:sz w:val="20"/>
                <w:szCs w:val="20"/>
              </w:rPr>
            </w:pPr>
          </w:p>
        </w:tc>
        <w:tc>
          <w:tcPr>
            <w:tcW w:w="1100" w:type="dxa"/>
            <w:noWrap/>
            <w:vAlign w:val="center"/>
            <w:hideMark/>
          </w:tcPr>
          <w:p w:rsidR="00BB5BFE" w:rsidRPr="00E354EC" w:rsidRDefault="00BB5BFE" w:rsidP="00E479E5">
            <w:pPr>
              <w:jc w:val="center"/>
              <w:rPr>
                <w:sz w:val="20"/>
                <w:szCs w:val="20"/>
              </w:rPr>
            </w:pPr>
          </w:p>
        </w:tc>
        <w:tc>
          <w:tcPr>
            <w:tcW w:w="1096" w:type="dxa"/>
            <w:noWrap/>
            <w:vAlign w:val="center"/>
            <w:hideMark/>
          </w:tcPr>
          <w:p w:rsidR="00BB5BFE" w:rsidRPr="00E354EC" w:rsidRDefault="00BB5BFE" w:rsidP="00E479E5">
            <w:pPr>
              <w:jc w:val="center"/>
              <w:rPr>
                <w:sz w:val="20"/>
                <w:szCs w:val="20"/>
              </w:rPr>
            </w:pPr>
            <w:r w:rsidRPr="00E354EC">
              <w:rPr>
                <w:sz w:val="20"/>
                <w:szCs w:val="20"/>
              </w:rPr>
              <w:t>X</w:t>
            </w:r>
          </w:p>
        </w:tc>
        <w:tc>
          <w:tcPr>
            <w:tcW w:w="1086" w:type="dxa"/>
            <w:noWrap/>
            <w:vAlign w:val="center"/>
            <w:hideMark/>
          </w:tcPr>
          <w:p w:rsidR="00BB5BFE" w:rsidRPr="00E354EC" w:rsidRDefault="00BB5BFE" w:rsidP="00E479E5">
            <w:pPr>
              <w:jc w:val="center"/>
              <w:rPr>
                <w:sz w:val="20"/>
                <w:szCs w:val="20"/>
              </w:rPr>
            </w:pPr>
            <w:r w:rsidRPr="00E354EC">
              <w:rPr>
                <w:sz w:val="20"/>
                <w:szCs w:val="20"/>
              </w:rPr>
              <w:t>X</w:t>
            </w:r>
          </w:p>
        </w:tc>
      </w:tr>
      <w:tr w:rsidR="00BB5BFE" w:rsidRPr="00E354EC" w:rsidTr="00E479E5">
        <w:tc>
          <w:tcPr>
            <w:tcW w:w="2785" w:type="dxa"/>
            <w:noWrap/>
            <w:tcMar>
              <w:left w:w="115" w:type="dxa"/>
              <w:right w:w="0" w:type="dxa"/>
            </w:tcMar>
            <w:hideMark/>
          </w:tcPr>
          <w:p w:rsidR="00BB5BFE" w:rsidRPr="00E354EC" w:rsidRDefault="00BB5BFE" w:rsidP="00E479E5">
            <w:pPr>
              <w:jc w:val="left"/>
              <w:rPr>
                <w:sz w:val="20"/>
                <w:szCs w:val="20"/>
              </w:rPr>
            </w:pPr>
            <w:r w:rsidRPr="00E354EC">
              <w:rPr>
                <w:sz w:val="20"/>
                <w:szCs w:val="20"/>
              </w:rPr>
              <w:t>Costa Rica</w:t>
            </w:r>
          </w:p>
        </w:tc>
        <w:tc>
          <w:tcPr>
            <w:tcW w:w="1095" w:type="dxa"/>
            <w:noWrap/>
            <w:vAlign w:val="center"/>
            <w:hideMark/>
          </w:tcPr>
          <w:p w:rsidR="00BB5BFE" w:rsidRPr="00E354EC" w:rsidRDefault="00BB5BFE" w:rsidP="00E479E5">
            <w:pPr>
              <w:jc w:val="center"/>
              <w:rPr>
                <w:sz w:val="20"/>
                <w:szCs w:val="20"/>
              </w:rPr>
            </w:pPr>
            <w:r w:rsidRPr="00E354EC">
              <w:rPr>
                <w:sz w:val="20"/>
                <w:szCs w:val="20"/>
              </w:rPr>
              <w:t>X</w:t>
            </w:r>
          </w:p>
        </w:tc>
        <w:tc>
          <w:tcPr>
            <w:tcW w:w="1098" w:type="dxa"/>
            <w:noWrap/>
            <w:vAlign w:val="center"/>
            <w:hideMark/>
          </w:tcPr>
          <w:p w:rsidR="00BB5BFE" w:rsidRPr="00E354EC" w:rsidRDefault="00BB5BFE" w:rsidP="00E479E5">
            <w:pPr>
              <w:jc w:val="center"/>
              <w:rPr>
                <w:sz w:val="20"/>
                <w:szCs w:val="20"/>
              </w:rPr>
            </w:pPr>
            <w:r w:rsidRPr="00E354EC">
              <w:rPr>
                <w:sz w:val="20"/>
                <w:szCs w:val="20"/>
              </w:rPr>
              <w:t>X</w:t>
            </w:r>
          </w:p>
        </w:tc>
        <w:tc>
          <w:tcPr>
            <w:tcW w:w="1095" w:type="dxa"/>
            <w:noWrap/>
            <w:vAlign w:val="center"/>
            <w:hideMark/>
          </w:tcPr>
          <w:p w:rsidR="00BB5BFE" w:rsidRPr="00E354EC" w:rsidRDefault="00BB5BFE" w:rsidP="00E479E5">
            <w:pPr>
              <w:jc w:val="center"/>
              <w:rPr>
                <w:sz w:val="20"/>
                <w:szCs w:val="20"/>
              </w:rPr>
            </w:pPr>
          </w:p>
        </w:tc>
        <w:tc>
          <w:tcPr>
            <w:tcW w:w="1100" w:type="dxa"/>
            <w:noWrap/>
            <w:vAlign w:val="center"/>
            <w:hideMark/>
          </w:tcPr>
          <w:p w:rsidR="00BB5BFE" w:rsidRPr="00E354EC" w:rsidRDefault="00BB5BFE" w:rsidP="00E479E5">
            <w:pPr>
              <w:jc w:val="center"/>
              <w:rPr>
                <w:sz w:val="20"/>
                <w:szCs w:val="20"/>
              </w:rPr>
            </w:pPr>
          </w:p>
        </w:tc>
        <w:tc>
          <w:tcPr>
            <w:tcW w:w="1096" w:type="dxa"/>
            <w:noWrap/>
            <w:vAlign w:val="center"/>
            <w:hideMark/>
          </w:tcPr>
          <w:p w:rsidR="00BB5BFE" w:rsidRPr="00E354EC" w:rsidRDefault="00BB5BFE" w:rsidP="00E479E5">
            <w:pPr>
              <w:jc w:val="center"/>
              <w:rPr>
                <w:sz w:val="20"/>
                <w:szCs w:val="20"/>
              </w:rPr>
            </w:pPr>
            <w:r w:rsidRPr="00E354EC">
              <w:rPr>
                <w:sz w:val="20"/>
                <w:szCs w:val="20"/>
              </w:rPr>
              <w:t>X</w:t>
            </w:r>
          </w:p>
        </w:tc>
        <w:tc>
          <w:tcPr>
            <w:tcW w:w="1086" w:type="dxa"/>
            <w:noWrap/>
            <w:vAlign w:val="center"/>
            <w:hideMark/>
          </w:tcPr>
          <w:p w:rsidR="00BB5BFE" w:rsidRPr="00E354EC" w:rsidRDefault="00BB5BFE" w:rsidP="00E479E5">
            <w:pPr>
              <w:jc w:val="center"/>
              <w:rPr>
                <w:sz w:val="20"/>
                <w:szCs w:val="20"/>
              </w:rPr>
            </w:pPr>
            <w:r w:rsidRPr="00E354EC">
              <w:rPr>
                <w:sz w:val="20"/>
                <w:szCs w:val="20"/>
              </w:rPr>
              <w:t>X</w:t>
            </w:r>
          </w:p>
        </w:tc>
      </w:tr>
      <w:tr w:rsidR="00BB5BFE" w:rsidRPr="00E354EC" w:rsidTr="00E479E5">
        <w:tc>
          <w:tcPr>
            <w:tcW w:w="2785" w:type="dxa"/>
            <w:noWrap/>
            <w:tcMar>
              <w:left w:w="115" w:type="dxa"/>
              <w:right w:w="0" w:type="dxa"/>
            </w:tcMar>
            <w:hideMark/>
          </w:tcPr>
          <w:p w:rsidR="00BB5BFE" w:rsidRPr="00E354EC" w:rsidRDefault="00BB5BFE" w:rsidP="00E479E5">
            <w:pPr>
              <w:jc w:val="left"/>
              <w:rPr>
                <w:sz w:val="20"/>
                <w:szCs w:val="20"/>
              </w:rPr>
            </w:pPr>
            <w:r w:rsidRPr="00E354EC">
              <w:rPr>
                <w:sz w:val="20"/>
                <w:szCs w:val="20"/>
              </w:rPr>
              <w:t>Cuba</w:t>
            </w:r>
          </w:p>
        </w:tc>
        <w:tc>
          <w:tcPr>
            <w:tcW w:w="1095" w:type="dxa"/>
            <w:noWrap/>
            <w:vAlign w:val="center"/>
            <w:hideMark/>
          </w:tcPr>
          <w:p w:rsidR="00BB5BFE" w:rsidRPr="00E354EC" w:rsidRDefault="00BB5BFE" w:rsidP="00E479E5">
            <w:pPr>
              <w:jc w:val="center"/>
              <w:rPr>
                <w:sz w:val="20"/>
                <w:szCs w:val="20"/>
              </w:rPr>
            </w:pPr>
            <w:r w:rsidRPr="00E354EC">
              <w:rPr>
                <w:sz w:val="20"/>
                <w:szCs w:val="20"/>
              </w:rPr>
              <w:t>X</w:t>
            </w:r>
          </w:p>
        </w:tc>
        <w:tc>
          <w:tcPr>
            <w:tcW w:w="1098" w:type="dxa"/>
            <w:noWrap/>
            <w:vAlign w:val="center"/>
            <w:hideMark/>
          </w:tcPr>
          <w:p w:rsidR="00BB5BFE" w:rsidRPr="00E354EC" w:rsidRDefault="00BB5BFE" w:rsidP="00E479E5">
            <w:pPr>
              <w:jc w:val="center"/>
              <w:rPr>
                <w:sz w:val="20"/>
                <w:szCs w:val="20"/>
              </w:rPr>
            </w:pPr>
            <w:r w:rsidRPr="00E354EC">
              <w:rPr>
                <w:sz w:val="20"/>
                <w:szCs w:val="20"/>
              </w:rPr>
              <w:t>X</w:t>
            </w:r>
          </w:p>
        </w:tc>
        <w:tc>
          <w:tcPr>
            <w:tcW w:w="1095" w:type="dxa"/>
            <w:noWrap/>
            <w:vAlign w:val="center"/>
            <w:hideMark/>
          </w:tcPr>
          <w:p w:rsidR="00BB5BFE" w:rsidRPr="00E354EC" w:rsidRDefault="00BB5BFE" w:rsidP="00E479E5">
            <w:pPr>
              <w:jc w:val="center"/>
              <w:rPr>
                <w:sz w:val="20"/>
                <w:szCs w:val="20"/>
              </w:rPr>
            </w:pPr>
          </w:p>
        </w:tc>
        <w:tc>
          <w:tcPr>
            <w:tcW w:w="1100" w:type="dxa"/>
            <w:noWrap/>
            <w:vAlign w:val="center"/>
            <w:hideMark/>
          </w:tcPr>
          <w:p w:rsidR="00BB5BFE" w:rsidRPr="00E354EC" w:rsidRDefault="00BB5BFE" w:rsidP="00E479E5">
            <w:pPr>
              <w:jc w:val="center"/>
              <w:rPr>
                <w:sz w:val="20"/>
                <w:szCs w:val="20"/>
              </w:rPr>
            </w:pPr>
          </w:p>
        </w:tc>
        <w:tc>
          <w:tcPr>
            <w:tcW w:w="1096" w:type="dxa"/>
            <w:noWrap/>
            <w:vAlign w:val="center"/>
            <w:hideMark/>
          </w:tcPr>
          <w:p w:rsidR="00BB5BFE" w:rsidRPr="00E354EC" w:rsidRDefault="00BB5BFE" w:rsidP="00E479E5">
            <w:pPr>
              <w:jc w:val="center"/>
              <w:rPr>
                <w:sz w:val="20"/>
                <w:szCs w:val="20"/>
              </w:rPr>
            </w:pPr>
          </w:p>
        </w:tc>
        <w:tc>
          <w:tcPr>
            <w:tcW w:w="1086" w:type="dxa"/>
            <w:noWrap/>
            <w:vAlign w:val="center"/>
            <w:hideMark/>
          </w:tcPr>
          <w:p w:rsidR="00BB5BFE" w:rsidRPr="00E354EC" w:rsidRDefault="00BB5BFE" w:rsidP="00E479E5">
            <w:pPr>
              <w:jc w:val="center"/>
              <w:rPr>
                <w:sz w:val="20"/>
                <w:szCs w:val="20"/>
              </w:rPr>
            </w:pPr>
          </w:p>
        </w:tc>
      </w:tr>
      <w:tr w:rsidR="00BB5BFE" w:rsidRPr="00E354EC" w:rsidTr="00E479E5">
        <w:tc>
          <w:tcPr>
            <w:tcW w:w="2785" w:type="dxa"/>
            <w:noWrap/>
            <w:tcMar>
              <w:left w:w="115" w:type="dxa"/>
              <w:right w:w="0" w:type="dxa"/>
            </w:tcMar>
          </w:tcPr>
          <w:p w:rsidR="00BB5BFE" w:rsidRPr="00E354EC" w:rsidRDefault="00BB5BFE" w:rsidP="00E479E5">
            <w:pPr>
              <w:jc w:val="left"/>
              <w:rPr>
                <w:sz w:val="20"/>
                <w:szCs w:val="20"/>
              </w:rPr>
            </w:pPr>
            <w:r w:rsidRPr="00E354EC">
              <w:rPr>
                <w:sz w:val="20"/>
                <w:szCs w:val="20"/>
              </w:rPr>
              <w:t>Democratic People’s Republic of Korea</w:t>
            </w:r>
            <w:r>
              <w:rPr>
                <w:sz w:val="20"/>
                <w:szCs w:val="20"/>
              </w:rPr>
              <w:t xml:space="preserve"> (the)</w:t>
            </w:r>
          </w:p>
        </w:tc>
        <w:tc>
          <w:tcPr>
            <w:tcW w:w="1095" w:type="dxa"/>
            <w:noWrap/>
            <w:vAlign w:val="center"/>
          </w:tcPr>
          <w:p w:rsidR="00BB5BFE" w:rsidRPr="00E354EC" w:rsidRDefault="00BB5BFE" w:rsidP="00E479E5">
            <w:pPr>
              <w:jc w:val="center"/>
              <w:rPr>
                <w:sz w:val="20"/>
                <w:szCs w:val="20"/>
              </w:rPr>
            </w:pPr>
            <w:r w:rsidRPr="00E354EC">
              <w:rPr>
                <w:sz w:val="20"/>
                <w:szCs w:val="20"/>
              </w:rPr>
              <w:t>X</w:t>
            </w:r>
          </w:p>
        </w:tc>
        <w:tc>
          <w:tcPr>
            <w:tcW w:w="1098" w:type="dxa"/>
            <w:noWrap/>
            <w:vAlign w:val="center"/>
          </w:tcPr>
          <w:p w:rsidR="00BB5BFE" w:rsidRPr="00E354EC" w:rsidRDefault="00BB5BFE" w:rsidP="00E479E5">
            <w:pPr>
              <w:jc w:val="center"/>
              <w:rPr>
                <w:sz w:val="20"/>
                <w:szCs w:val="20"/>
              </w:rPr>
            </w:pPr>
          </w:p>
        </w:tc>
        <w:tc>
          <w:tcPr>
            <w:tcW w:w="1095" w:type="dxa"/>
            <w:noWrap/>
            <w:vAlign w:val="center"/>
          </w:tcPr>
          <w:p w:rsidR="00BB5BFE" w:rsidRPr="00E354EC" w:rsidRDefault="00BB5BFE" w:rsidP="00E479E5">
            <w:pPr>
              <w:jc w:val="center"/>
              <w:rPr>
                <w:sz w:val="20"/>
                <w:szCs w:val="20"/>
              </w:rPr>
            </w:pPr>
            <w:r w:rsidRPr="00E354EC">
              <w:rPr>
                <w:sz w:val="20"/>
                <w:szCs w:val="20"/>
              </w:rPr>
              <w:t>X</w:t>
            </w:r>
          </w:p>
        </w:tc>
        <w:tc>
          <w:tcPr>
            <w:tcW w:w="1100" w:type="dxa"/>
            <w:noWrap/>
            <w:vAlign w:val="center"/>
          </w:tcPr>
          <w:p w:rsidR="00BB5BFE" w:rsidRPr="00E354EC" w:rsidRDefault="00BB5BFE" w:rsidP="00E479E5">
            <w:pPr>
              <w:jc w:val="center"/>
              <w:rPr>
                <w:sz w:val="20"/>
                <w:szCs w:val="20"/>
              </w:rPr>
            </w:pPr>
            <w:r w:rsidRPr="00E354EC">
              <w:rPr>
                <w:sz w:val="20"/>
                <w:szCs w:val="20"/>
              </w:rPr>
              <w:t>X</w:t>
            </w:r>
          </w:p>
        </w:tc>
        <w:tc>
          <w:tcPr>
            <w:tcW w:w="1096" w:type="dxa"/>
            <w:noWrap/>
            <w:vAlign w:val="center"/>
          </w:tcPr>
          <w:p w:rsidR="00BB5BFE" w:rsidRPr="00E354EC" w:rsidRDefault="00BB5BFE" w:rsidP="00E479E5">
            <w:pPr>
              <w:jc w:val="center"/>
              <w:rPr>
                <w:sz w:val="20"/>
                <w:szCs w:val="20"/>
              </w:rPr>
            </w:pPr>
            <w:r w:rsidRPr="00E354EC">
              <w:rPr>
                <w:sz w:val="20"/>
                <w:szCs w:val="20"/>
              </w:rPr>
              <w:t>X</w:t>
            </w:r>
          </w:p>
        </w:tc>
        <w:tc>
          <w:tcPr>
            <w:tcW w:w="1086" w:type="dxa"/>
            <w:noWrap/>
            <w:vAlign w:val="center"/>
          </w:tcPr>
          <w:p w:rsidR="00BB5BFE" w:rsidRPr="00E354EC" w:rsidRDefault="00BB5BFE" w:rsidP="00E479E5">
            <w:pPr>
              <w:jc w:val="center"/>
              <w:rPr>
                <w:sz w:val="20"/>
                <w:szCs w:val="20"/>
              </w:rPr>
            </w:pPr>
            <w:r w:rsidRPr="00E354EC">
              <w:rPr>
                <w:sz w:val="20"/>
                <w:szCs w:val="20"/>
              </w:rPr>
              <w:t>X</w:t>
            </w:r>
          </w:p>
        </w:tc>
      </w:tr>
      <w:tr w:rsidR="00BB5BFE" w:rsidRPr="00E354EC" w:rsidTr="00E479E5">
        <w:tc>
          <w:tcPr>
            <w:tcW w:w="2785" w:type="dxa"/>
            <w:noWrap/>
            <w:tcMar>
              <w:left w:w="115" w:type="dxa"/>
              <w:right w:w="0" w:type="dxa"/>
            </w:tcMar>
            <w:hideMark/>
          </w:tcPr>
          <w:p w:rsidR="00BB5BFE" w:rsidRPr="00E354EC" w:rsidRDefault="00BB5BFE" w:rsidP="00E479E5">
            <w:pPr>
              <w:jc w:val="left"/>
              <w:rPr>
                <w:sz w:val="20"/>
                <w:szCs w:val="20"/>
              </w:rPr>
            </w:pPr>
            <w:r w:rsidRPr="00E354EC">
              <w:rPr>
                <w:sz w:val="20"/>
                <w:szCs w:val="20"/>
              </w:rPr>
              <w:t>Dominican Republic</w:t>
            </w:r>
            <w:r>
              <w:rPr>
                <w:sz w:val="20"/>
                <w:szCs w:val="20"/>
              </w:rPr>
              <w:t xml:space="preserve"> (the)</w:t>
            </w:r>
          </w:p>
        </w:tc>
        <w:tc>
          <w:tcPr>
            <w:tcW w:w="1095" w:type="dxa"/>
            <w:noWrap/>
            <w:vAlign w:val="center"/>
            <w:hideMark/>
          </w:tcPr>
          <w:p w:rsidR="00BB5BFE" w:rsidRPr="00E354EC" w:rsidRDefault="00BB5BFE" w:rsidP="00E479E5">
            <w:pPr>
              <w:jc w:val="center"/>
              <w:rPr>
                <w:sz w:val="20"/>
                <w:szCs w:val="20"/>
              </w:rPr>
            </w:pPr>
            <w:r w:rsidRPr="00E354EC">
              <w:rPr>
                <w:sz w:val="20"/>
                <w:szCs w:val="20"/>
              </w:rPr>
              <w:t>X</w:t>
            </w:r>
          </w:p>
        </w:tc>
        <w:tc>
          <w:tcPr>
            <w:tcW w:w="1098" w:type="dxa"/>
            <w:noWrap/>
            <w:vAlign w:val="center"/>
            <w:hideMark/>
          </w:tcPr>
          <w:p w:rsidR="00BB5BFE" w:rsidRPr="00E354EC" w:rsidRDefault="00BB5BFE" w:rsidP="00E479E5">
            <w:pPr>
              <w:jc w:val="center"/>
              <w:rPr>
                <w:sz w:val="20"/>
                <w:szCs w:val="20"/>
              </w:rPr>
            </w:pPr>
          </w:p>
        </w:tc>
        <w:tc>
          <w:tcPr>
            <w:tcW w:w="1095" w:type="dxa"/>
            <w:noWrap/>
            <w:vAlign w:val="center"/>
            <w:hideMark/>
          </w:tcPr>
          <w:p w:rsidR="00BB5BFE" w:rsidRPr="00E354EC" w:rsidRDefault="00BB5BFE" w:rsidP="00E479E5">
            <w:pPr>
              <w:jc w:val="center"/>
              <w:rPr>
                <w:sz w:val="20"/>
                <w:szCs w:val="20"/>
              </w:rPr>
            </w:pPr>
          </w:p>
        </w:tc>
        <w:tc>
          <w:tcPr>
            <w:tcW w:w="1100" w:type="dxa"/>
            <w:noWrap/>
            <w:vAlign w:val="center"/>
            <w:hideMark/>
          </w:tcPr>
          <w:p w:rsidR="00BB5BFE" w:rsidRPr="00E354EC" w:rsidRDefault="00BB5BFE" w:rsidP="00E479E5">
            <w:pPr>
              <w:jc w:val="center"/>
              <w:rPr>
                <w:sz w:val="20"/>
                <w:szCs w:val="20"/>
              </w:rPr>
            </w:pPr>
          </w:p>
        </w:tc>
        <w:tc>
          <w:tcPr>
            <w:tcW w:w="1096" w:type="dxa"/>
            <w:noWrap/>
            <w:vAlign w:val="center"/>
            <w:hideMark/>
          </w:tcPr>
          <w:p w:rsidR="00BB5BFE" w:rsidRPr="00E354EC" w:rsidRDefault="00BB5BFE" w:rsidP="00E479E5">
            <w:pPr>
              <w:jc w:val="center"/>
              <w:rPr>
                <w:sz w:val="20"/>
                <w:szCs w:val="20"/>
              </w:rPr>
            </w:pPr>
          </w:p>
        </w:tc>
        <w:tc>
          <w:tcPr>
            <w:tcW w:w="1086" w:type="dxa"/>
            <w:noWrap/>
            <w:vAlign w:val="center"/>
            <w:hideMark/>
          </w:tcPr>
          <w:p w:rsidR="00BB5BFE" w:rsidRPr="00E354EC" w:rsidRDefault="00BB5BFE" w:rsidP="00E479E5">
            <w:pPr>
              <w:jc w:val="center"/>
              <w:rPr>
                <w:sz w:val="20"/>
                <w:szCs w:val="20"/>
              </w:rPr>
            </w:pPr>
          </w:p>
        </w:tc>
      </w:tr>
      <w:tr w:rsidR="00BB5BFE" w:rsidRPr="00E354EC" w:rsidTr="00E479E5">
        <w:tc>
          <w:tcPr>
            <w:tcW w:w="2785" w:type="dxa"/>
            <w:noWrap/>
            <w:tcMar>
              <w:left w:w="115" w:type="dxa"/>
              <w:right w:w="0" w:type="dxa"/>
            </w:tcMar>
            <w:hideMark/>
          </w:tcPr>
          <w:p w:rsidR="00BB5BFE" w:rsidRPr="00E354EC" w:rsidRDefault="00BB5BFE" w:rsidP="00E479E5">
            <w:pPr>
              <w:jc w:val="left"/>
              <w:rPr>
                <w:sz w:val="20"/>
                <w:szCs w:val="20"/>
              </w:rPr>
            </w:pPr>
            <w:r w:rsidRPr="00E354EC">
              <w:rPr>
                <w:sz w:val="20"/>
                <w:szCs w:val="20"/>
              </w:rPr>
              <w:t>Ecuador</w:t>
            </w:r>
          </w:p>
        </w:tc>
        <w:tc>
          <w:tcPr>
            <w:tcW w:w="1095" w:type="dxa"/>
            <w:noWrap/>
            <w:vAlign w:val="center"/>
            <w:hideMark/>
          </w:tcPr>
          <w:p w:rsidR="00BB5BFE" w:rsidRPr="00E354EC" w:rsidRDefault="00BB5BFE" w:rsidP="00E479E5">
            <w:pPr>
              <w:jc w:val="center"/>
              <w:rPr>
                <w:sz w:val="20"/>
                <w:szCs w:val="20"/>
              </w:rPr>
            </w:pPr>
            <w:r w:rsidRPr="00E354EC">
              <w:rPr>
                <w:sz w:val="20"/>
                <w:szCs w:val="20"/>
              </w:rPr>
              <w:t>X</w:t>
            </w:r>
          </w:p>
        </w:tc>
        <w:tc>
          <w:tcPr>
            <w:tcW w:w="1098" w:type="dxa"/>
            <w:noWrap/>
            <w:vAlign w:val="center"/>
            <w:hideMark/>
          </w:tcPr>
          <w:p w:rsidR="00BB5BFE" w:rsidRPr="00E354EC" w:rsidRDefault="00BB5BFE" w:rsidP="00E479E5">
            <w:pPr>
              <w:jc w:val="center"/>
              <w:rPr>
                <w:sz w:val="20"/>
                <w:szCs w:val="20"/>
              </w:rPr>
            </w:pPr>
            <w:r w:rsidRPr="00E354EC">
              <w:rPr>
                <w:sz w:val="20"/>
                <w:szCs w:val="20"/>
              </w:rPr>
              <w:t>X</w:t>
            </w:r>
          </w:p>
        </w:tc>
        <w:tc>
          <w:tcPr>
            <w:tcW w:w="1095" w:type="dxa"/>
            <w:noWrap/>
            <w:vAlign w:val="center"/>
            <w:hideMark/>
          </w:tcPr>
          <w:p w:rsidR="00BB5BFE" w:rsidRPr="00E354EC" w:rsidRDefault="00BB5BFE" w:rsidP="00E479E5">
            <w:pPr>
              <w:jc w:val="center"/>
              <w:rPr>
                <w:sz w:val="20"/>
                <w:szCs w:val="20"/>
              </w:rPr>
            </w:pPr>
          </w:p>
        </w:tc>
        <w:tc>
          <w:tcPr>
            <w:tcW w:w="1100" w:type="dxa"/>
            <w:noWrap/>
            <w:vAlign w:val="center"/>
            <w:hideMark/>
          </w:tcPr>
          <w:p w:rsidR="00BB5BFE" w:rsidRPr="00E354EC" w:rsidRDefault="00BB5BFE" w:rsidP="00E479E5">
            <w:pPr>
              <w:jc w:val="center"/>
              <w:rPr>
                <w:sz w:val="20"/>
                <w:szCs w:val="20"/>
              </w:rPr>
            </w:pPr>
          </w:p>
        </w:tc>
        <w:tc>
          <w:tcPr>
            <w:tcW w:w="1096" w:type="dxa"/>
            <w:noWrap/>
            <w:vAlign w:val="center"/>
            <w:hideMark/>
          </w:tcPr>
          <w:p w:rsidR="00BB5BFE" w:rsidRPr="00E354EC" w:rsidRDefault="00BB5BFE" w:rsidP="00E479E5">
            <w:pPr>
              <w:jc w:val="center"/>
              <w:rPr>
                <w:sz w:val="20"/>
                <w:szCs w:val="20"/>
              </w:rPr>
            </w:pPr>
            <w:r w:rsidRPr="00E354EC">
              <w:rPr>
                <w:sz w:val="20"/>
                <w:szCs w:val="20"/>
              </w:rPr>
              <w:t>X</w:t>
            </w:r>
          </w:p>
        </w:tc>
        <w:tc>
          <w:tcPr>
            <w:tcW w:w="1086" w:type="dxa"/>
            <w:noWrap/>
            <w:vAlign w:val="center"/>
            <w:hideMark/>
          </w:tcPr>
          <w:p w:rsidR="00BB5BFE" w:rsidRPr="00E354EC" w:rsidRDefault="00BB5BFE" w:rsidP="00E479E5">
            <w:pPr>
              <w:jc w:val="center"/>
              <w:rPr>
                <w:sz w:val="20"/>
                <w:szCs w:val="20"/>
              </w:rPr>
            </w:pPr>
            <w:r w:rsidRPr="00E354EC">
              <w:rPr>
                <w:sz w:val="20"/>
                <w:szCs w:val="20"/>
              </w:rPr>
              <w:t>X</w:t>
            </w:r>
          </w:p>
        </w:tc>
      </w:tr>
      <w:tr w:rsidR="00BB5BFE" w:rsidRPr="00E354EC" w:rsidTr="00E479E5">
        <w:tc>
          <w:tcPr>
            <w:tcW w:w="2785" w:type="dxa"/>
            <w:noWrap/>
            <w:tcMar>
              <w:left w:w="115" w:type="dxa"/>
              <w:right w:w="0" w:type="dxa"/>
            </w:tcMar>
            <w:hideMark/>
          </w:tcPr>
          <w:p w:rsidR="00BB5BFE" w:rsidRPr="00E354EC" w:rsidRDefault="00BB5BFE" w:rsidP="00E479E5">
            <w:pPr>
              <w:jc w:val="left"/>
              <w:rPr>
                <w:sz w:val="20"/>
                <w:szCs w:val="20"/>
              </w:rPr>
            </w:pPr>
            <w:r w:rsidRPr="00E354EC">
              <w:rPr>
                <w:sz w:val="20"/>
                <w:szCs w:val="20"/>
              </w:rPr>
              <w:t>Egypt</w:t>
            </w:r>
          </w:p>
        </w:tc>
        <w:tc>
          <w:tcPr>
            <w:tcW w:w="1095" w:type="dxa"/>
            <w:noWrap/>
            <w:vAlign w:val="center"/>
            <w:hideMark/>
          </w:tcPr>
          <w:p w:rsidR="00BB5BFE" w:rsidRPr="00E354EC" w:rsidRDefault="00BB5BFE" w:rsidP="00E479E5">
            <w:pPr>
              <w:jc w:val="center"/>
              <w:rPr>
                <w:sz w:val="20"/>
                <w:szCs w:val="20"/>
              </w:rPr>
            </w:pPr>
            <w:r w:rsidRPr="00E354EC">
              <w:rPr>
                <w:sz w:val="20"/>
                <w:szCs w:val="20"/>
              </w:rPr>
              <w:t>X</w:t>
            </w:r>
          </w:p>
        </w:tc>
        <w:tc>
          <w:tcPr>
            <w:tcW w:w="1098" w:type="dxa"/>
            <w:noWrap/>
            <w:vAlign w:val="center"/>
            <w:hideMark/>
          </w:tcPr>
          <w:p w:rsidR="00BB5BFE" w:rsidRPr="00E354EC" w:rsidRDefault="00BB5BFE" w:rsidP="00E479E5">
            <w:pPr>
              <w:jc w:val="center"/>
              <w:rPr>
                <w:sz w:val="20"/>
                <w:szCs w:val="20"/>
              </w:rPr>
            </w:pPr>
            <w:r w:rsidRPr="00E354EC">
              <w:rPr>
                <w:sz w:val="20"/>
                <w:szCs w:val="20"/>
              </w:rPr>
              <w:t>X</w:t>
            </w:r>
          </w:p>
        </w:tc>
        <w:tc>
          <w:tcPr>
            <w:tcW w:w="1095" w:type="dxa"/>
            <w:noWrap/>
            <w:vAlign w:val="center"/>
            <w:hideMark/>
          </w:tcPr>
          <w:p w:rsidR="00BB5BFE" w:rsidRPr="00E354EC" w:rsidRDefault="00BB5BFE" w:rsidP="00E479E5">
            <w:pPr>
              <w:jc w:val="center"/>
              <w:rPr>
                <w:sz w:val="20"/>
                <w:szCs w:val="20"/>
              </w:rPr>
            </w:pPr>
          </w:p>
        </w:tc>
        <w:tc>
          <w:tcPr>
            <w:tcW w:w="1100" w:type="dxa"/>
            <w:noWrap/>
            <w:vAlign w:val="center"/>
            <w:hideMark/>
          </w:tcPr>
          <w:p w:rsidR="00BB5BFE" w:rsidRPr="00E354EC" w:rsidRDefault="00BB5BFE" w:rsidP="00E479E5">
            <w:pPr>
              <w:jc w:val="center"/>
              <w:rPr>
                <w:sz w:val="20"/>
                <w:szCs w:val="20"/>
              </w:rPr>
            </w:pPr>
          </w:p>
        </w:tc>
        <w:tc>
          <w:tcPr>
            <w:tcW w:w="1096" w:type="dxa"/>
            <w:noWrap/>
            <w:vAlign w:val="center"/>
            <w:hideMark/>
          </w:tcPr>
          <w:p w:rsidR="00BB5BFE" w:rsidRPr="00E354EC" w:rsidRDefault="00BB5BFE" w:rsidP="00E479E5">
            <w:pPr>
              <w:jc w:val="center"/>
              <w:rPr>
                <w:sz w:val="20"/>
                <w:szCs w:val="20"/>
              </w:rPr>
            </w:pPr>
            <w:r w:rsidRPr="00E354EC">
              <w:rPr>
                <w:sz w:val="20"/>
                <w:szCs w:val="20"/>
              </w:rPr>
              <w:t>X</w:t>
            </w:r>
          </w:p>
        </w:tc>
        <w:tc>
          <w:tcPr>
            <w:tcW w:w="1086" w:type="dxa"/>
            <w:noWrap/>
            <w:vAlign w:val="center"/>
            <w:hideMark/>
          </w:tcPr>
          <w:p w:rsidR="00BB5BFE" w:rsidRPr="00E354EC" w:rsidRDefault="00BB5BFE" w:rsidP="00E479E5">
            <w:pPr>
              <w:jc w:val="center"/>
              <w:rPr>
                <w:sz w:val="20"/>
                <w:szCs w:val="20"/>
              </w:rPr>
            </w:pPr>
            <w:r w:rsidRPr="00E354EC">
              <w:rPr>
                <w:sz w:val="20"/>
                <w:szCs w:val="20"/>
              </w:rPr>
              <w:t>X</w:t>
            </w:r>
          </w:p>
        </w:tc>
      </w:tr>
      <w:tr w:rsidR="00BB5BFE" w:rsidRPr="00E354EC" w:rsidTr="00E479E5">
        <w:tc>
          <w:tcPr>
            <w:tcW w:w="2785" w:type="dxa"/>
            <w:noWrap/>
            <w:tcMar>
              <w:left w:w="115" w:type="dxa"/>
              <w:right w:w="0" w:type="dxa"/>
            </w:tcMar>
            <w:hideMark/>
          </w:tcPr>
          <w:p w:rsidR="00BB5BFE" w:rsidRPr="00E354EC" w:rsidRDefault="00BB5BFE" w:rsidP="00E479E5">
            <w:pPr>
              <w:jc w:val="left"/>
              <w:rPr>
                <w:sz w:val="20"/>
                <w:szCs w:val="20"/>
              </w:rPr>
            </w:pPr>
            <w:r w:rsidRPr="00E354EC">
              <w:rPr>
                <w:sz w:val="20"/>
                <w:szCs w:val="20"/>
              </w:rPr>
              <w:t>El Salvador</w:t>
            </w:r>
          </w:p>
        </w:tc>
        <w:tc>
          <w:tcPr>
            <w:tcW w:w="1095" w:type="dxa"/>
            <w:noWrap/>
            <w:vAlign w:val="center"/>
            <w:hideMark/>
          </w:tcPr>
          <w:p w:rsidR="00BB5BFE" w:rsidRPr="00E354EC" w:rsidRDefault="00BB5BFE" w:rsidP="00E479E5">
            <w:pPr>
              <w:jc w:val="center"/>
              <w:rPr>
                <w:sz w:val="20"/>
                <w:szCs w:val="20"/>
              </w:rPr>
            </w:pPr>
            <w:r w:rsidRPr="00E354EC">
              <w:rPr>
                <w:sz w:val="20"/>
                <w:szCs w:val="20"/>
              </w:rPr>
              <w:t>X</w:t>
            </w:r>
          </w:p>
        </w:tc>
        <w:tc>
          <w:tcPr>
            <w:tcW w:w="1098" w:type="dxa"/>
            <w:noWrap/>
            <w:vAlign w:val="center"/>
            <w:hideMark/>
          </w:tcPr>
          <w:p w:rsidR="00BB5BFE" w:rsidRPr="00E354EC" w:rsidRDefault="00BB5BFE" w:rsidP="00E479E5">
            <w:pPr>
              <w:jc w:val="center"/>
              <w:rPr>
                <w:sz w:val="20"/>
                <w:szCs w:val="20"/>
              </w:rPr>
            </w:pPr>
          </w:p>
        </w:tc>
        <w:tc>
          <w:tcPr>
            <w:tcW w:w="1095" w:type="dxa"/>
            <w:noWrap/>
            <w:vAlign w:val="center"/>
            <w:hideMark/>
          </w:tcPr>
          <w:p w:rsidR="00BB5BFE" w:rsidRPr="00E354EC" w:rsidRDefault="00BB5BFE" w:rsidP="00E479E5">
            <w:pPr>
              <w:jc w:val="center"/>
              <w:rPr>
                <w:sz w:val="20"/>
                <w:szCs w:val="20"/>
              </w:rPr>
            </w:pPr>
          </w:p>
        </w:tc>
        <w:tc>
          <w:tcPr>
            <w:tcW w:w="1100" w:type="dxa"/>
            <w:noWrap/>
            <w:vAlign w:val="center"/>
            <w:hideMark/>
          </w:tcPr>
          <w:p w:rsidR="00BB5BFE" w:rsidRPr="00E354EC" w:rsidRDefault="00BB5BFE" w:rsidP="00E479E5">
            <w:pPr>
              <w:jc w:val="center"/>
              <w:rPr>
                <w:sz w:val="20"/>
                <w:szCs w:val="20"/>
              </w:rPr>
            </w:pPr>
          </w:p>
        </w:tc>
        <w:tc>
          <w:tcPr>
            <w:tcW w:w="1096" w:type="dxa"/>
            <w:noWrap/>
            <w:vAlign w:val="center"/>
            <w:hideMark/>
          </w:tcPr>
          <w:p w:rsidR="00BB5BFE" w:rsidRPr="00E354EC" w:rsidRDefault="00BB5BFE" w:rsidP="00E479E5">
            <w:pPr>
              <w:jc w:val="center"/>
              <w:rPr>
                <w:sz w:val="20"/>
                <w:szCs w:val="20"/>
              </w:rPr>
            </w:pPr>
            <w:r w:rsidRPr="00E354EC">
              <w:rPr>
                <w:sz w:val="20"/>
                <w:szCs w:val="20"/>
              </w:rPr>
              <w:t>X</w:t>
            </w:r>
          </w:p>
        </w:tc>
        <w:tc>
          <w:tcPr>
            <w:tcW w:w="1086" w:type="dxa"/>
            <w:noWrap/>
            <w:vAlign w:val="center"/>
            <w:hideMark/>
          </w:tcPr>
          <w:p w:rsidR="00BB5BFE" w:rsidRPr="00E354EC" w:rsidRDefault="00BB5BFE" w:rsidP="00E479E5">
            <w:pPr>
              <w:jc w:val="center"/>
              <w:rPr>
                <w:sz w:val="20"/>
                <w:szCs w:val="20"/>
              </w:rPr>
            </w:pPr>
          </w:p>
        </w:tc>
      </w:tr>
      <w:tr w:rsidR="00BB5BFE" w:rsidRPr="00E354EC" w:rsidTr="00E479E5">
        <w:tc>
          <w:tcPr>
            <w:tcW w:w="2785" w:type="dxa"/>
            <w:noWrap/>
            <w:tcMar>
              <w:left w:w="115" w:type="dxa"/>
              <w:right w:w="0" w:type="dxa"/>
            </w:tcMar>
            <w:hideMark/>
          </w:tcPr>
          <w:p w:rsidR="00BB5BFE" w:rsidRPr="00E354EC" w:rsidRDefault="00BB5BFE" w:rsidP="00E479E5">
            <w:pPr>
              <w:jc w:val="left"/>
              <w:rPr>
                <w:sz w:val="20"/>
                <w:szCs w:val="20"/>
              </w:rPr>
            </w:pPr>
            <w:proofErr w:type="spellStart"/>
            <w:r w:rsidRPr="00E354EC">
              <w:rPr>
                <w:sz w:val="20"/>
                <w:szCs w:val="20"/>
              </w:rPr>
              <w:t>Eswatini</w:t>
            </w:r>
            <w:proofErr w:type="spellEnd"/>
          </w:p>
        </w:tc>
        <w:tc>
          <w:tcPr>
            <w:tcW w:w="1095" w:type="dxa"/>
            <w:noWrap/>
            <w:vAlign w:val="center"/>
            <w:hideMark/>
          </w:tcPr>
          <w:p w:rsidR="00BB5BFE" w:rsidRPr="00E354EC" w:rsidRDefault="00BB5BFE" w:rsidP="00E479E5">
            <w:pPr>
              <w:jc w:val="center"/>
              <w:rPr>
                <w:sz w:val="20"/>
                <w:szCs w:val="20"/>
              </w:rPr>
            </w:pPr>
          </w:p>
        </w:tc>
        <w:tc>
          <w:tcPr>
            <w:tcW w:w="1098" w:type="dxa"/>
            <w:noWrap/>
            <w:vAlign w:val="center"/>
            <w:hideMark/>
          </w:tcPr>
          <w:p w:rsidR="00BB5BFE" w:rsidRPr="00E354EC" w:rsidRDefault="00BB5BFE" w:rsidP="00E479E5">
            <w:pPr>
              <w:jc w:val="center"/>
              <w:rPr>
                <w:sz w:val="20"/>
                <w:szCs w:val="20"/>
              </w:rPr>
            </w:pPr>
          </w:p>
        </w:tc>
        <w:tc>
          <w:tcPr>
            <w:tcW w:w="1095" w:type="dxa"/>
            <w:noWrap/>
            <w:vAlign w:val="center"/>
            <w:hideMark/>
          </w:tcPr>
          <w:p w:rsidR="00BB5BFE" w:rsidRPr="00E354EC" w:rsidRDefault="00BB5BFE" w:rsidP="00E479E5">
            <w:pPr>
              <w:jc w:val="center"/>
              <w:rPr>
                <w:sz w:val="20"/>
                <w:szCs w:val="20"/>
              </w:rPr>
            </w:pPr>
          </w:p>
        </w:tc>
        <w:tc>
          <w:tcPr>
            <w:tcW w:w="1100" w:type="dxa"/>
            <w:noWrap/>
            <w:vAlign w:val="center"/>
            <w:hideMark/>
          </w:tcPr>
          <w:p w:rsidR="00BB5BFE" w:rsidRPr="00E354EC" w:rsidRDefault="00BB5BFE" w:rsidP="00E479E5">
            <w:pPr>
              <w:jc w:val="center"/>
              <w:rPr>
                <w:sz w:val="20"/>
                <w:szCs w:val="20"/>
              </w:rPr>
            </w:pPr>
          </w:p>
        </w:tc>
        <w:tc>
          <w:tcPr>
            <w:tcW w:w="1096" w:type="dxa"/>
            <w:noWrap/>
            <w:vAlign w:val="center"/>
            <w:hideMark/>
          </w:tcPr>
          <w:p w:rsidR="00BB5BFE" w:rsidRPr="00E354EC" w:rsidRDefault="00BB5BFE" w:rsidP="00E479E5">
            <w:pPr>
              <w:jc w:val="center"/>
              <w:rPr>
                <w:sz w:val="20"/>
                <w:szCs w:val="20"/>
              </w:rPr>
            </w:pPr>
            <w:r w:rsidRPr="00E354EC">
              <w:rPr>
                <w:sz w:val="20"/>
                <w:szCs w:val="20"/>
              </w:rPr>
              <w:t>X</w:t>
            </w:r>
          </w:p>
        </w:tc>
        <w:tc>
          <w:tcPr>
            <w:tcW w:w="1086" w:type="dxa"/>
            <w:noWrap/>
            <w:vAlign w:val="center"/>
            <w:hideMark/>
          </w:tcPr>
          <w:p w:rsidR="00BB5BFE" w:rsidRPr="00E354EC" w:rsidRDefault="00BB5BFE" w:rsidP="00E479E5">
            <w:pPr>
              <w:jc w:val="center"/>
              <w:rPr>
                <w:sz w:val="20"/>
                <w:szCs w:val="20"/>
              </w:rPr>
            </w:pPr>
            <w:r w:rsidRPr="00E354EC">
              <w:rPr>
                <w:sz w:val="20"/>
                <w:szCs w:val="20"/>
              </w:rPr>
              <w:t>X</w:t>
            </w:r>
          </w:p>
        </w:tc>
      </w:tr>
      <w:tr w:rsidR="00BB5BFE" w:rsidRPr="00E354EC" w:rsidTr="00E479E5">
        <w:tc>
          <w:tcPr>
            <w:tcW w:w="2785" w:type="dxa"/>
            <w:noWrap/>
            <w:tcMar>
              <w:left w:w="115" w:type="dxa"/>
              <w:right w:w="0" w:type="dxa"/>
            </w:tcMar>
            <w:hideMark/>
          </w:tcPr>
          <w:p w:rsidR="00BB5BFE" w:rsidRPr="00E354EC" w:rsidRDefault="00BB5BFE" w:rsidP="00E479E5">
            <w:pPr>
              <w:jc w:val="left"/>
              <w:rPr>
                <w:sz w:val="20"/>
                <w:szCs w:val="20"/>
              </w:rPr>
            </w:pPr>
            <w:r w:rsidRPr="00E354EC">
              <w:rPr>
                <w:sz w:val="20"/>
                <w:szCs w:val="20"/>
              </w:rPr>
              <w:t>Fiji</w:t>
            </w:r>
          </w:p>
        </w:tc>
        <w:tc>
          <w:tcPr>
            <w:tcW w:w="1095" w:type="dxa"/>
            <w:noWrap/>
            <w:vAlign w:val="center"/>
            <w:hideMark/>
          </w:tcPr>
          <w:p w:rsidR="00BB5BFE" w:rsidRPr="00E354EC" w:rsidRDefault="00BB5BFE" w:rsidP="00E479E5">
            <w:pPr>
              <w:jc w:val="center"/>
              <w:rPr>
                <w:sz w:val="20"/>
                <w:szCs w:val="20"/>
              </w:rPr>
            </w:pPr>
            <w:r w:rsidRPr="00E354EC">
              <w:rPr>
                <w:sz w:val="20"/>
                <w:szCs w:val="20"/>
              </w:rPr>
              <w:t>X</w:t>
            </w:r>
          </w:p>
        </w:tc>
        <w:tc>
          <w:tcPr>
            <w:tcW w:w="1098" w:type="dxa"/>
            <w:noWrap/>
            <w:vAlign w:val="center"/>
            <w:hideMark/>
          </w:tcPr>
          <w:p w:rsidR="00BB5BFE" w:rsidRPr="00E354EC" w:rsidRDefault="00BB5BFE" w:rsidP="00E479E5">
            <w:pPr>
              <w:jc w:val="center"/>
              <w:rPr>
                <w:sz w:val="20"/>
                <w:szCs w:val="20"/>
              </w:rPr>
            </w:pPr>
          </w:p>
        </w:tc>
        <w:tc>
          <w:tcPr>
            <w:tcW w:w="1095" w:type="dxa"/>
            <w:noWrap/>
            <w:vAlign w:val="center"/>
            <w:hideMark/>
          </w:tcPr>
          <w:p w:rsidR="00BB5BFE" w:rsidRPr="00E354EC" w:rsidRDefault="00BB5BFE" w:rsidP="00E479E5">
            <w:pPr>
              <w:jc w:val="center"/>
              <w:rPr>
                <w:sz w:val="20"/>
                <w:szCs w:val="20"/>
              </w:rPr>
            </w:pPr>
          </w:p>
        </w:tc>
        <w:tc>
          <w:tcPr>
            <w:tcW w:w="1100" w:type="dxa"/>
            <w:noWrap/>
            <w:vAlign w:val="center"/>
            <w:hideMark/>
          </w:tcPr>
          <w:p w:rsidR="00BB5BFE" w:rsidRPr="00E354EC" w:rsidRDefault="00BB5BFE" w:rsidP="00E479E5">
            <w:pPr>
              <w:jc w:val="center"/>
              <w:rPr>
                <w:sz w:val="20"/>
                <w:szCs w:val="20"/>
              </w:rPr>
            </w:pPr>
          </w:p>
        </w:tc>
        <w:tc>
          <w:tcPr>
            <w:tcW w:w="1096" w:type="dxa"/>
            <w:noWrap/>
            <w:vAlign w:val="center"/>
            <w:hideMark/>
          </w:tcPr>
          <w:p w:rsidR="00BB5BFE" w:rsidRPr="00E354EC" w:rsidRDefault="00BB5BFE" w:rsidP="00E479E5">
            <w:pPr>
              <w:jc w:val="center"/>
              <w:rPr>
                <w:sz w:val="20"/>
                <w:szCs w:val="20"/>
              </w:rPr>
            </w:pPr>
            <w:r w:rsidRPr="00E354EC">
              <w:rPr>
                <w:sz w:val="20"/>
                <w:szCs w:val="20"/>
              </w:rPr>
              <w:t>X</w:t>
            </w:r>
          </w:p>
        </w:tc>
        <w:tc>
          <w:tcPr>
            <w:tcW w:w="1086" w:type="dxa"/>
            <w:noWrap/>
            <w:vAlign w:val="center"/>
            <w:hideMark/>
          </w:tcPr>
          <w:p w:rsidR="00BB5BFE" w:rsidRPr="00E354EC" w:rsidRDefault="00BB5BFE" w:rsidP="00E479E5">
            <w:pPr>
              <w:jc w:val="center"/>
              <w:rPr>
                <w:sz w:val="20"/>
                <w:szCs w:val="20"/>
              </w:rPr>
            </w:pPr>
          </w:p>
        </w:tc>
      </w:tr>
      <w:tr w:rsidR="00BB5BFE" w:rsidRPr="00E354EC" w:rsidTr="00E479E5">
        <w:tc>
          <w:tcPr>
            <w:tcW w:w="2785" w:type="dxa"/>
            <w:noWrap/>
            <w:tcMar>
              <w:left w:w="115" w:type="dxa"/>
              <w:right w:w="0" w:type="dxa"/>
            </w:tcMar>
            <w:hideMark/>
          </w:tcPr>
          <w:p w:rsidR="00BB5BFE" w:rsidRPr="00E354EC" w:rsidRDefault="00BB5BFE" w:rsidP="00E479E5">
            <w:pPr>
              <w:jc w:val="left"/>
              <w:rPr>
                <w:sz w:val="20"/>
                <w:szCs w:val="20"/>
              </w:rPr>
            </w:pPr>
            <w:r w:rsidRPr="00E354EC">
              <w:rPr>
                <w:sz w:val="20"/>
                <w:szCs w:val="20"/>
              </w:rPr>
              <w:t>Ghana</w:t>
            </w:r>
          </w:p>
        </w:tc>
        <w:tc>
          <w:tcPr>
            <w:tcW w:w="1095" w:type="dxa"/>
            <w:noWrap/>
            <w:vAlign w:val="center"/>
            <w:hideMark/>
          </w:tcPr>
          <w:p w:rsidR="00BB5BFE" w:rsidRPr="00E354EC" w:rsidRDefault="00BB5BFE" w:rsidP="00E479E5">
            <w:pPr>
              <w:jc w:val="center"/>
              <w:rPr>
                <w:sz w:val="20"/>
                <w:szCs w:val="20"/>
              </w:rPr>
            </w:pPr>
            <w:r w:rsidRPr="00E354EC">
              <w:rPr>
                <w:sz w:val="20"/>
                <w:szCs w:val="20"/>
              </w:rPr>
              <w:t>X</w:t>
            </w:r>
          </w:p>
        </w:tc>
        <w:tc>
          <w:tcPr>
            <w:tcW w:w="1098" w:type="dxa"/>
            <w:noWrap/>
            <w:vAlign w:val="center"/>
            <w:hideMark/>
          </w:tcPr>
          <w:p w:rsidR="00BB5BFE" w:rsidRPr="00E354EC" w:rsidRDefault="00BB5BFE" w:rsidP="00E479E5">
            <w:pPr>
              <w:jc w:val="center"/>
              <w:rPr>
                <w:sz w:val="20"/>
                <w:szCs w:val="20"/>
              </w:rPr>
            </w:pPr>
            <w:r w:rsidRPr="00E354EC">
              <w:rPr>
                <w:sz w:val="20"/>
                <w:szCs w:val="20"/>
              </w:rPr>
              <w:t>X</w:t>
            </w:r>
          </w:p>
        </w:tc>
        <w:tc>
          <w:tcPr>
            <w:tcW w:w="1095" w:type="dxa"/>
            <w:noWrap/>
            <w:vAlign w:val="center"/>
            <w:hideMark/>
          </w:tcPr>
          <w:p w:rsidR="00BB5BFE" w:rsidRPr="00E354EC" w:rsidRDefault="00BB5BFE" w:rsidP="00E479E5">
            <w:pPr>
              <w:jc w:val="center"/>
              <w:rPr>
                <w:sz w:val="20"/>
                <w:szCs w:val="20"/>
              </w:rPr>
            </w:pPr>
          </w:p>
        </w:tc>
        <w:tc>
          <w:tcPr>
            <w:tcW w:w="1100" w:type="dxa"/>
            <w:noWrap/>
            <w:vAlign w:val="center"/>
            <w:hideMark/>
          </w:tcPr>
          <w:p w:rsidR="00BB5BFE" w:rsidRPr="00E354EC" w:rsidRDefault="00BB5BFE" w:rsidP="00E479E5">
            <w:pPr>
              <w:jc w:val="center"/>
              <w:rPr>
                <w:sz w:val="20"/>
                <w:szCs w:val="20"/>
              </w:rPr>
            </w:pPr>
          </w:p>
        </w:tc>
        <w:tc>
          <w:tcPr>
            <w:tcW w:w="1096" w:type="dxa"/>
            <w:noWrap/>
            <w:vAlign w:val="center"/>
            <w:hideMark/>
          </w:tcPr>
          <w:p w:rsidR="00BB5BFE" w:rsidRPr="00E354EC" w:rsidRDefault="00BB5BFE" w:rsidP="00E479E5">
            <w:pPr>
              <w:jc w:val="center"/>
              <w:rPr>
                <w:sz w:val="20"/>
                <w:szCs w:val="20"/>
              </w:rPr>
            </w:pPr>
            <w:r w:rsidRPr="00E354EC">
              <w:rPr>
                <w:sz w:val="20"/>
                <w:szCs w:val="20"/>
              </w:rPr>
              <w:t>X</w:t>
            </w:r>
          </w:p>
        </w:tc>
        <w:tc>
          <w:tcPr>
            <w:tcW w:w="1086" w:type="dxa"/>
            <w:noWrap/>
            <w:vAlign w:val="center"/>
            <w:hideMark/>
          </w:tcPr>
          <w:p w:rsidR="00BB5BFE" w:rsidRPr="00E354EC" w:rsidRDefault="00BB5BFE" w:rsidP="00E479E5">
            <w:pPr>
              <w:jc w:val="center"/>
              <w:rPr>
                <w:sz w:val="20"/>
                <w:szCs w:val="20"/>
              </w:rPr>
            </w:pPr>
            <w:r w:rsidRPr="00E354EC">
              <w:rPr>
                <w:sz w:val="20"/>
                <w:szCs w:val="20"/>
              </w:rPr>
              <w:t>X</w:t>
            </w:r>
          </w:p>
        </w:tc>
      </w:tr>
      <w:tr w:rsidR="00BB5BFE" w:rsidRPr="00E354EC" w:rsidTr="00E479E5">
        <w:tc>
          <w:tcPr>
            <w:tcW w:w="2785" w:type="dxa"/>
            <w:noWrap/>
            <w:tcMar>
              <w:left w:w="115" w:type="dxa"/>
              <w:right w:w="0" w:type="dxa"/>
            </w:tcMar>
            <w:hideMark/>
          </w:tcPr>
          <w:p w:rsidR="00BB5BFE" w:rsidRPr="00E354EC" w:rsidRDefault="00BB5BFE" w:rsidP="00E479E5">
            <w:pPr>
              <w:jc w:val="left"/>
              <w:rPr>
                <w:sz w:val="20"/>
                <w:szCs w:val="20"/>
              </w:rPr>
            </w:pPr>
            <w:r w:rsidRPr="00E354EC">
              <w:rPr>
                <w:sz w:val="20"/>
                <w:szCs w:val="20"/>
              </w:rPr>
              <w:t>India</w:t>
            </w:r>
          </w:p>
        </w:tc>
        <w:tc>
          <w:tcPr>
            <w:tcW w:w="1095" w:type="dxa"/>
            <w:noWrap/>
            <w:vAlign w:val="center"/>
            <w:hideMark/>
          </w:tcPr>
          <w:p w:rsidR="00BB5BFE" w:rsidRPr="00E354EC" w:rsidRDefault="00BB5BFE" w:rsidP="00E479E5">
            <w:pPr>
              <w:jc w:val="center"/>
              <w:rPr>
                <w:sz w:val="20"/>
                <w:szCs w:val="20"/>
              </w:rPr>
            </w:pPr>
            <w:r w:rsidRPr="00E354EC">
              <w:rPr>
                <w:sz w:val="20"/>
                <w:szCs w:val="20"/>
              </w:rPr>
              <w:t>X</w:t>
            </w:r>
          </w:p>
        </w:tc>
        <w:tc>
          <w:tcPr>
            <w:tcW w:w="1098" w:type="dxa"/>
            <w:noWrap/>
            <w:vAlign w:val="center"/>
            <w:hideMark/>
          </w:tcPr>
          <w:p w:rsidR="00BB5BFE" w:rsidRPr="00E354EC" w:rsidRDefault="00BB5BFE" w:rsidP="00E479E5">
            <w:pPr>
              <w:jc w:val="center"/>
              <w:rPr>
                <w:sz w:val="20"/>
                <w:szCs w:val="20"/>
              </w:rPr>
            </w:pPr>
            <w:r w:rsidRPr="00E354EC">
              <w:rPr>
                <w:sz w:val="20"/>
                <w:szCs w:val="20"/>
              </w:rPr>
              <w:t>X</w:t>
            </w:r>
          </w:p>
        </w:tc>
        <w:tc>
          <w:tcPr>
            <w:tcW w:w="1095" w:type="dxa"/>
            <w:noWrap/>
            <w:vAlign w:val="center"/>
            <w:hideMark/>
          </w:tcPr>
          <w:p w:rsidR="00BB5BFE" w:rsidRPr="00E354EC" w:rsidRDefault="00BB5BFE" w:rsidP="00E479E5">
            <w:pPr>
              <w:jc w:val="center"/>
              <w:rPr>
                <w:sz w:val="20"/>
                <w:szCs w:val="20"/>
              </w:rPr>
            </w:pPr>
          </w:p>
        </w:tc>
        <w:tc>
          <w:tcPr>
            <w:tcW w:w="1100" w:type="dxa"/>
            <w:noWrap/>
            <w:vAlign w:val="center"/>
            <w:hideMark/>
          </w:tcPr>
          <w:p w:rsidR="00BB5BFE" w:rsidRPr="00E354EC" w:rsidRDefault="00BB5BFE" w:rsidP="00E479E5">
            <w:pPr>
              <w:jc w:val="center"/>
              <w:rPr>
                <w:sz w:val="20"/>
                <w:szCs w:val="20"/>
              </w:rPr>
            </w:pPr>
          </w:p>
        </w:tc>
        <w:tc>
          <w:tcPr>
            <w:tcW w:w="1096" w:type="dxa"/>
            <w:noWrap/>
            <w:vAlign w:val="center"/>
            <w:hideMark/>
          </w:tcPr>
          <w:p w:rsidR="00BB5BFE" w:rsidRPr="00E354EC" w:rsidRDefault="00BB5BFE" w:rsidP="00E479E5">
            <w:pPr>
              <w:jc w:val="center"/>
              <w:rPr>
                <w:sz w:val="20"/>
                <w:szCs w:val="20"/>
              </w:rPr>
            </w:pPr>
            <w:r w:rsidRPr="00E354EC">
              <w:rPr>
                <w:sz w:val="20"/>
                <w:szCs w:val="20"/>
              </w:rPr>
              <w:t>X</w:t>
            </w:r>
          </w:p>
        </w:tc>
        <w:tc>
          <w:tcPr>
            <w:tcW w:w="1086" w:type="dxa"/>
            <w:noWrap/>
            <w:vAlign w:val="center"/>
            <w:hideMark/>
          </w:tcPr>
          <w:p w:rsidR="00BB5BFE" w:rsidRPr="00E354EC" w:rsidRDefault="00BB5BFE" w:rsidP="00E479E5">
            <w:pPr>
              <w:jc w:val="center"/>
              <w:rPr>
                <w:sz w:val="20"/>
                <w:szCs w:val="20"/>
              </w:rPr>
            </w:pPr>
            <w:r w:rsidRPr="00E354EC">
              <w:rPr>
                <w:sz w:val="20"/>
                <w:szCs w:val="20"/>
              </w:rPr>
              <w:t>X</w:t>
            </w:r>
          </w:p>
        </w:tc>
      </w:tr>
      <w:tr w:rsidR="00BB5BFE" w:rsidRPr="00E354EC" w:rsidTr="00E479E5">
        <w:tc>
          <w:tcPr>
            <w:tcW w:w="2785" w:type="dxa"/>
            <w:noWrap/>
            <w:tcMar>
              <w:left w:w="115" w:type="dxa"/>
              <w:right w:w="0" w:type="dxa"/>
            </w:tcMar>
            <w:hideMark/>
          </w:tcPr>
          <w:p w:rsidR="00BB5BFE" w:rsidRPr="00E354EC" w:rsidRDefault="00BB5BFE" w:rsidP="00E479E5">
            <w:pPr>
              <w:jc w:val="left"/>
              <w:rPr>
                <w:sz w:val="20"/>
                <w:szCs w:val="20"/>
              </w:rPr>
            </w:pPr>
            <w:r w:rsidRPr="00E354EC">
              <w:rPr>
                <w:sz w:val="20"/>
                <w:szCs w:val="20"/>
              </w:rPr>
              <w:t>Indonesia</w:t>
            </w:r>
          </w:p>
        </w:tc>
        <w:tc>
          <w:tcPr>
            <w:tcW w:w="1095" w:type="dxa"/>
            <w:noWrap/>
            <w:vAlign w:val="center"/>
            <w:hideMark/>
          </w:tcPr>
          <w:p w:rsidR="00BB5BFE" w:rsidRPr="00E354EC" w:rsidRDefault="00BB5BFE" w:rsidP="00E479E5">
            <w:pPr>
              <w:jc w:val="center"/>
              <w:rPr>
                <w:sz w:val="20"/>
                <w:szCs w:val="20"/>
              </w:rPr>
            </w:pPr>
            <w:r w:rsidRPr="00E354EC">
              <w:rPr>
                <w:sz w:val="20"/>
                <w:szCs w:val="20"/>
              </w:rPr>
              <w:t>X</w:t>
            </w:r>
          </w:p>
        </w:tc>
        <w:tc>
          <w:tcPr>
            <w:tcW w:w="1098" w:type="dxa"/>
            <w:noWrap/>
            <w:vAlign w:val="center"/>
            <w:hideMark/>
          </w:tcPr>
          <w:p w:rsidR="00BB5BFE" w:rsidRPr="00E354EC" w:rsidRDefault="00BB5BFE" w:rsidP="00E479E5">
            <w:pPr>
              <w:jc w:val="center"/>
              <w:rPr>
                <w:sz w:val="20"/>
                <w:szCs w:val="20"/>
              </w:rPr>
            </w:pPr>
            <w:r w:rsidRPr="00E354EC">
              <w:rPr>
                <w:sz w:val="20"/>
                <w:szCs w:val="20"/>
              </w:rPr>
              <w:t>X</w:t>
            </w:r>
          </w:p>
        </w:tc>
        <w:tc>
          <w:tcPr>
            <w:tcW w:w="1095" w:type="dxa"/>
            <w:noWrap/>
            <w:vAlign w:val="center"/>
            <w:hideMark/>
          </w:tcPr>
          <w:p w:rsidR="00BB5BFE" w:rsidRPr="00E354EC" w:rsidRDefault="00BB5BFE" w:rsidP="00E479E5">
            <w:pPr>
              <w:jc w:val="center"/>
              <w:rPr>
                <w:sz w:val="20"/>
                <w:szCs w:val="20"/>
              </w:rPr>
            </w:pPr>
          </w:p>
        </w:tc>
        <w:tc>
          <w:tcPr>
            <w:tcW w:w="1100" w:type="dxa"/>
            <w:noWrap/>
            <w:vAlign w:val="center"/>
            <w:hideMark/>
          </w:tcPr>
          <w:p w:rsidR="00BB5BFE" w:rsidRPr="00E354EC" w:rsidRDefault="00BB5BFE" w:rsidP="00E479E5">
            <w:pPr>
              <w:jc w:val="center"/>
              <w:rPr>
                <w:sz w:val="20"/>
                <w:szCs w:val="20"/>
              </w:rPr>
            </w:pPr>
          </w:p>
        </w:tc>
        <w:tc>
          <w:tcPr>
            <w:tcW w:w="1096" w:type="dxa"/>
            <w:noWrap/>
            <w:vAlign w:val="center"/>
            <w:hideMark/>
          </w:tcPr>
          <w:p w:rsidR="00BB5BFE" w:rsidRPr="00E354EC" w:rsidRDefault="00BB5BFE" w:rsidP="00E479E5">
            <w:pPr>
              <w:jc w:val="center"/>
              <w:rPr>
                <w:sz w:val="20"/>
                <w:szCs w:val="20"/>
              </w:rPr>
            </w:pPr>
            <w:r w:rsidRPr="00E354EC">
              <w:rPr>
                <w:sz w:val="20"/>
                <w:szCs w:val="20"/>
              </w:rPr>
              <w:t>X</w:t>
            </w:r>
          </w:p>
        </w:tc>
        <w:tc>
          <w:tcPr>
            <w:tcW w:w="1086" w:type="dxa"/>
            <w:noWrap/>
            <w:vAlign w:val="center"/>
            <w:hideMark/>
          </w:tcPr>
          <w:p w:rsidR="00BB5BFE" w:rsidRPr="00E354EC" w:rsidRDefault="00BB5BFE" w:rsidP="00E479E5">
            <w:pPr>
              <w:jc w:val="center"/>
              <w:rPr>
                <w:sz w:val="20"/>
                <w:szCs w:val="20"/>
              </w:rPr>
            </w:pPr>
            <w:r w:rsidRPr="00E354EC">
              <w:rPr>
                <w:sz w:val="20"/>
                <w:szCs w:val="20"/>
              </w:rPr>
              <w:t>X</w:t>
            </w:r>
          </w:p>
        </w:tc>
      </w:tr>
      <w:tr w:rsidR="00BB5BFE" w:rsidRPr="00E354EC" w:rsidTr="00E479E5">
        <w:tc>
          <w:tcPr>
            <w:tcW w:w="2785" w:type="dxa"/>
            <w:noWrap/>
            <w:tcMar>
              <w:left w:w="115" w:type="dxa"/>
              <w:right w:w="0" w:type="dxa"/>
            </w:tcMar>
            <w:hideMark/>
          </w:tcPr>
          <w:p w:rsidR="00BB5BFE" w:rsidRPr="00E354EC" w:rsidRDefault="00BB5BFE" w:rsidP="00E479E5">
            <w:pPr>
              <w:jc w:val="left"/>
              <w:rPr>
                <w:sz w:val="20"/>
                <w:szCs w:val="20"/>
              </w:rPr>
            </w:pPr>
            <w:r>
              <w:rPr>
                <w:sz w:val="20"/>
                <w:szCs w:val="20"/>
              </w:rPr>
              <w:t>Iran (Islamic Republic of)</w:t>
            </w:r>
          </w:p>
        </w:tc>
        <w:tc>
          <w:tcPr>
            <w:tcW w:w="1095" w:type="dxa"/>
            <w:noWrap/>
            <w:vAlign w:val="center"/>
            <w:hideMark/>
          </w:tcPr>
          <w:p w:rsidR="00BB5BFE" w:rsidRPr="00E354EC" w:rsidRDefault="00BB5BFE" w:rsidP="00E479E5">
            <w:pPr>
              <w:jc w:val="center"/>
              <w:rPr>
                <w:sz w:val="20"/>
                <w:szCs w:val="20"/>
              </w:rPr>
            </w:pPr>
            <w:r w:rsidRPr="00E354EC">
              <w:rPr>
                <w:sz w:val="20"/>
                <w:szCs w:val="20"/>
              </w:rPr>
              <w:t>X</w:t>
            </w:r>
          </w:p>
        </w:tc>
        <w:tc>
          <w:tcPr>
            <w:tcW w:w="1098" w:type="dxa"/>
            <w:noWrap/>
            <w:vAlign w:val="center"/>
            <w:hideMark/>
          </w:tcPr>
          <w:p w:rsidR="00BB5BFE" w:rsidRPr="00E354EC" w:rsidRDefault="00BB5BFE" w:rsidP="00E479E5">
            <w:pPr>
              <w:jc w:val="center"/>
              <w:rPr>
                <w:sz w:val="20"/>
                <w:szCs w:val="20"/>
              </w:rPr>
            </w:pPr>
            <w:r w:rsidRPr="00E354EC">
              <w:rPr>
                <w:sz w:val="20"/>
                <w:szCs w:val="20"/>
              </w:rPr>
              <w:t>X</w:t>
            </w:r>
          </w:p>
        </w:tc>
        <w:tc>
          <w:tcPr>
            <w:tcW w:w="1095" w:type="dxa"/>
            <w:noWrap/>
            <w:vAlign w:val="center"/>
            <w:hideMark/>
          </w:tcPr>
          <w:p w:rsidR="00BB5BFE" w:rsidRPr="00E354EC" w:rsidRDefault="00BB5BFE" w:rsidP="00E479E5">
            <w:pPr>
              <w:jc w:val="center"/>
              <w:rPr>
                <w:sz w:val="20"/>
                <w:szCs w:val="20"/>
              </w:rPr>
            </w:pPr>
          </w:p>
        </w:tc>
        <w:tc>
          <w:tcPr>
            <w:tcW w:w="1100" w:type="dxa"/>
            <w:noWrap/>
            <w:vAlign w:val="center"/>
            <w:hideMark/>
          </w:tcPr>
          <w:p w:rsidR="00BB5BFE" w:rsidRPr="00E354EC" w:rsidRDefault="00BB5BFE" w:rsidP="00E479E5">
            <w:pPr>
              <w:jc w:val="center"/>
              <w:rPr>
                <w:sz w:val="20"/>
                <w:szCs w:val="20"/>
              </w:rPr>
            </w:pPr>
          </w:p>
        </w:tc>
        <w:tc>
          <w:tcPr>
            <w:tcW w:w="1096" w:type="dxa"/>
            <w:noWrap/>
            <w:vAlign w:val="center"/>
            <w:hideMark/>
          </w:tcPr>
          <w:p w:rsidR="00BB5BFE" w:rsidRPr="00E354EC" w:rsidRDefault="00BB5BFE" w:rsidP="00E479E5">
            <w:pPr>
              <w:jc w:val="center"/>
              <w:rPr>
                <w:sz w:val="20"/>
                <w:szCs w:val="20"/>
              </w:rPr>
            </w:pPr>
            <w:r w:rsidRPr="00E354EC">
              <w:rPr>
                <w:sz w:val="20"/>
                <w:szCs w:val="20"/>
              </w:rPr>
              <w:t>X</w:t>
            </w:r>
          </w:p>
        </w:tc>
        <w:tc>
          <w:tcPr>
            <w:tcW w:w="1086" w:type="dxa"/>
            <w:noWrap/>
            <w:vAlign w:val="center"/>
            <w:hideMark/>
          </w:tcPr>
          <w:p w:rsidR="00BB5BFE" w:rsidRPr="00E354EC" w:rsidRDefault="00BB5BFE" w:rsidP="00E479E5">
            <w:pPr>
              <w:jc w:val="center"/>
              <w:rPr>
                <w:sz w:val="20"/>
                <w:szCs w:val="20"/>
              </w:rPr>
            </w:pPr>
            <w:r w:rsidRPr="00E354EC">
              <w:rPr>
                <w:sz w:val="20"/>
                <w:szCs w:val="20"/>
              </w:rPr>
              <w:t>X</w:t>
            </w:r>
          </w:p>
        </w:tc>
      </w:tr>
      <w:tr w:rsidR="00BB5BFE" w:rsidRPr="00E354EC" w:rsidTr="00E479E5">
        <w:tc>
          <w:tcPr>
            <w:tcW w:w="2785" w:type="dxa"/>
            <w:noWrap/>
            <w:tcMar>
              <w:left w:w="115" w:type="dxa"/>
              <w:right w:w="0" w:type="dxa"/>
            </w:tcMar>
            <w:hideMark/>
          </w:tcPr>
          <w:p w:rsidR="00BB5BFE" w:rsidRPr="00E354EC" w:rsidRDefault="00BB5BFE" w:rsidP="00E479E5">
            <w:pPr>
              <w:jc w:val="left"/>
              <w:rPr>
                <w:sz w:val="20"/>
                <w:szCs w:val="20"/>
              </w:rPr>
            </w:pPr>
            <w:r w:rsidRPr="00E354EC">
              <w:rPr>
                <w:sz w:val="20"/>
                <w:szCs w:val="20"/>
              </w:rPr>
              <w:t>Jamaica</w:t>
            </w:r>
          </w:p>
        </w:tc>
        <w:tc>
          <w:tcPr>
            <w:tcW w:w="1095" w:type="dxa"/>
            <w:noWrap/>
            <w:vAlign w:val="center"/>
            <w:hideMark/>
          </w:tcPr>
          <w:p w:rsidR="00BB5BFE" w:rsidRPr="00E354EC" w:rsidRDefault="00BB5BFE" w:rsidP="00E479E5">
            <w:pPr>
              <w:jc w:val="center"/>
              <w:rPr>
                <w:sz w:val="20"/>
                <w:szCs w:val="20"/>
              </w:rPr>
            </w:pPr>
            <w:r w:rsidRPr="00E354EC">
              <w:rPr>
                <w:sz w:val="20"/>
                <w:szCs w:val="20"/>
              </w:rPr>
              <w:t>X</w:t>
            </w:r>
          </w:p>
        </w:tc>
        <w:tc>
          <w:tcPr>
            <w:tcW w:w="1098" w:type="dxa"/>
            <w:noWrap/>
            <w:vAlign w:val="center"/>
            <w:hideMark/>
          </w:tcPr>
          <w:p w:rsidR="00BB5BFE" w:rsidRPr="00E354EC" w:rsidRDefault="00BB5BFE" w:rsidP="00E479E5">
            <w:pPr>
              <w:jc w:val="center"/>
              <w:rPr>
                <w:sz w:val="20"/>
                <w:szCs w:val="20"/>
              </w:rPr>
            </w:pPr>
          </w:p>
        </w:tc>
        <w:tc>
          <w:tcPr>
            <w:tcW w:w="1095" w:type="dxa"/>
            <w:noWrap/>
            <w:vAlign w:val="center"/>
            <w:hideMark/>
          </w:tcPr>
          <w:p w:rsidR="00BB5BFE" w:rsidRPr="00E354EC" w:rsidRDefault="00BB5BFE" w:rsidP="00E479E5">
            <w:pPr>
              <w:jc w:val="center"/>
              <w:rPr>
                <w:sz w:val="20"/>
                <w:szCs w:val="20"/>
              </w:rPr>
            </w:pPr>
          </w:p>
        </w:tc>
        <w:tc>
          <w:tcPr>
            <w:tcW w:w="1100" w:type="dxa"/>
            <w:noWrap/>
            <w:vAlign w:val="center"/>
            <w:hideMark/>
          </w:tcPr>
          <w:p w:rsidR="00BB5BFE" w:rsidRPr="00E354EC" w:rsidRDefault="00BB5BFE" w:rsidP="00E479E5">
            <w:pPr>
              <w:jc w:val="center"/>
              <w:rPr>
                <w:sz w:val="20"/>
                <w:szCs w:val="20"/>
              </w:rPr>
            </w:pPr>
          </w:p>
        </w:tc>
        <w:tc>
          <w:tcPr>
            <w:tcW w:w="1096" w:type="dxa"/>
            <w:noWrap/>
            <w:vAlign w:val="center"/>
            <w:hideMark/>
          </w:tcPr>
          <w:p w:rsidR="00BB5BFE" w:rsidRPr="00E354EC" w:rsidRDefault="00BB5BFE" w:rsidP="00E479E5">
            <w:pPr>
              <w:jc w:val="center"/>
              <w:rPr>
                <w:sz w:val="20"/>
                <w:szCs w:val="20"/>
              </w:rPr>
            </w:pPr>
          </w:p>
        </w:tc>
        <w:tc>
          <w:tcPr>
            <w:tcW w:w="1086" w:type="dxa"/>
            <w:noWrap/>
            <w:vAlign w:val="center"/>
            <w:hideMark/>
          </w:tcPr>
          <w:p w:rsidR="00BB5BFE" w:rsidRPr="00E354EC" w:rsidRDefault="00BB5BFE" w:rsidP="00E479E5">
            <w:pPr>
              <w:jc w:val="center"/>
              <w:rPr>
                <w:sz w:val="20"/>
                <w:szCs w:val="20"/>
              </w:rPr>
            </w:pPr>
          </w:p>
        </w:tc>
      </w:tr>
      <w:tr w:rsidR="00BB5BFE" w:rsidRPr="00E354EC" w:rsidTr="00E479E5">
        <w:tc>
          <w:tcPr>
            <w:tcW w:w="2785" w:type="dxa"/>
            <w:noWrap/>
            <w:tcMar>
              <w:left w:w="115" w:type="dxa"/>
              <w:right w:w="0" w:type="dxa"/>
            </w:tcMar>
            <w:hideMark/>
          </w:tcPr>
          <w:p w:rsidR="00BB5BFE" w:rsidRPr="00E354EC" w:rsidRDefault="00BB5BFE" w:rsidP="00E479E5">
            <w:pPr>
              <w:jc w:val="left"/>
              <w:rPr>
                <w:sz w:val="20"/>
                <w:szCs w:val="20"/>
              </w:rPr>
            </w:pPr>
            <w:r w:rsidRPr="00E354EC">
              <w:rPr>
                <w:sz w:val="20"/>
                <w:szCs w:val="20"/>
              </w:rPr>
              <w:t>Jordan</w:t>
            </w:r>
          </w:p>
        </w:tc>
        <w:tc>
          <w:tcPr>
            <w:tcW w:w="1095" w:type="dxa"/>
            <w:noWrap/>
            <w:vAlign w:val="center"/>
            <w:hideMark/>
          </w:tcPr>
          <w:p w:rsidR="00BB5BFE" w:rsidRPr="00E354EC" w:rsidRDefault="00BB5BFE" w:rsidP="00E479E5">
            <w:pPr>
              <w:jc w:val="center"/>
              <w:rPr>
                <w:sz w:val="20"/>
                <w:szCs w:val="20"/>
              </w:rPr>
            </w:pPr>
            <w:r w:rsidRPr="00E354EC">
              <w:rPr>
                <w:sz w:val="20"/>
                <w:szCs w:val="20"/>
              </w:rPr>
              <w:t>X</w:t>
            </w:r>
          </w:p>
        </w:tc>
        <w:tc>
          <w:tcPr>
            <w:tcW w:w="1098" w:type="dxa"/>
            <w:noWrap/>
            <w:vAlign w:val="center"/>
            <w:hideMark/>
          </w:tcPr>
          <w:p w:rsidR="00BB5BFE" w:rsidRPr="00E354EC" w:rsidRDefault="00BB5BFE" w:rsidP="00E479E5">
            <w:pPr>
              <w:jc w:val="center"/>
              <w:rPr>
                <w:sz w:val="20"/>
                <w:szCs w:val="20"/>
              </w:rPr>
            </w:pPr>
          </w:p>
        </w:tc>
        <w:tc>
          <w:tcPr>
            <w:tcW w:w="1095" w:type="dxa"/>
            <w:noWrap/>
            <w:vAlign w:val="center"/>
            <w:hideMark/>
          </w:tcPr>
          <w:p w:rsidR="00BB5BFE" w:rsidRPr="00E354EC" w:rsidRDefault="00BB5BFE" w:rsidP="00E479E5">
            <w:pPr>
              <w:jc w:val="center"/>
              <w:rPr>
                <w:sz w:val="20"/>
                <w:szCs w:val="20"/>
              </w:rPr>
            </w:pPr>
          </w:p>
        </w:tc>
        <w:tc>
          <w:tcPr>
            <w:tcW w:w="1100" w:type="dxa"/>
            <w:noWrap/>
            <w:vAlign w:val="center"/>
            <w:hideMark/>
          </w:tcPr>
          <w:p w:rsidR="00BB5BFE" w:rsidRPr="00E354EC" w:rsidRDefault="00BB5BFE" w:rsidP="00E479E5">
            <w:pPr>
              <w:jc w:val="center"/>
              <w:rPr>
                <w:sz w:val="20"/>
                <w:szCs w:val="20"/>
              </w:rPr>
            </w:pPr>
          </w:p>
        </w:tc>
        <w:tc>
          <w:tcPr>
            <w:tcW w:w="1096" w:type="dxa"/>
            <w:noWrap/>
            <w:vAlign w:val="center"/>
            <w:hideMark/>
          </w:tcPr>
          <w:p w:rsidR="00BB5BFE" w:rsidRPr="00E354EC" w:rsidRDefault="00BB5BFE" w:rsidP="00E479E5">
            <w:pPr>
              <w:jc w:val="center"/>
              <w:rPr>
                <w:sz w:val="20"/>
                <w:szCs w:val="20"/>
              </w:rPr>
            </w:pPr>
          </w:p>
        </w:tc>
        <w:tc>
          <w:tcPr>
            <w:tcW w:w="1086" w:type="dxa"/>
            <w:noWrap/>
            <w:vAlign w:val="center"/>
            <w:hideMark/>
          </w:tcPr>
          <w:p w:rsidR="00BB5BFE" w:rsidRPr="00E354EC" w:rsidRDefault="00BB5BFE" w:rsidP="00E479E5">
            <w:pPr>
              <w:jc w:val="center"/>
              <w:rPr>
                <w:sz w:val="20"/>
                <w:szCs w:val="20"/>
              </w:rPr>
            </w:pPr>
          </w:p>
        </w:tc>
      </w:tr>
      <w:tr w:rsidR="00BB5BFE" w:rsidRPr="00E354EC" w:rsidTr="00E479E5">
        <w:tc>
          <w:tcPr>
            <w:tcW w:w="2785" w:type="dxa"/>
            <w:noWrap/>
            <w:tcMar>
              <w:left w:w="115" w:type="dxa"/>
              <w:right w:w="0" w:type="dxa"/>
            </w:tcMar>
            <w:hideMark/>
          </w:tcPr>
          <w:p w:rsidR="00BB5BFE" w:rsidRPr="00E354EC" w:rsidRDefault="00BB5BFE" w:rsidP="00E479E5">
            <w:pPr>
              <w:jc w:val="left"/>
              <w:rPr>
                <w:sz w:val="20"/>
                <w:szCs w:val="20"/>
              </w:rPr>
            </w:pPr>
            <w:r w:rsidRPr="00E354EC">
              <w:rPr>
                <w:sz w:val="20"/>
                <w:szCs w:val="20"/>
              </w:rPr>
              <w:t>Kiribati</w:t>
            </w:r>
          </w:p>
        </w:tc>
        <w:tc>
          <w:tcPr>
            <w:tcW w:w="1095" w:type="dxa"/>
            <w:noWrap/>
            <w:vAlign w:val="center"/>
            <w:hideMark/>
          </w:tcPr>
          <w:p w:rsidR="00BB5BFE" w:rsidRPr="00E354EC" w:rsidRDefault="00BB5BFE" w:rsidP="00E479E5">
            <w:pPr>
              <w:jc w:val="center"/>
              <w:rPr>
                <w:sz w:val="20"/>
                <w:szCs w:val="20"/>
              </w:rPr>
            </w:pPr>
            <w:r w:rsidRPr="00E354EC">
              <w:rPr>
                <w:sz w:val="20"/>
                <w:szCs w:val="20"/>
              </w:rPr>
              <w:t>X</w:t>
            </w:r>
          </w:p>
        </w:tc>
        <w:tc>
          <w:tcPr>
            <w:tcW w:w="1098" w:type="dxa"/>
            <w:noWrap/>
            <w:vAlign w:val="center"/>
            <w:hideMark/>
          </w:tcPr>
          <w:p w:rsidR="00BB5BFE" w:rsidRPr="00E354EC" w:rsidRDefault="00BB5BFE" w:rsidP="00E479E5">
            <w:pPr>
              <w:jc w:val="center"/>
              <w:rPr>
                <w:sz w:val="20"/>
                <w:szCs w:val="20"/>
              </w:rPr>
            </w:pPr>
            <w:r w:rsidRPr="00E354EC">
              <w:rPr>
                <w:sz w:val="20"/>
                <w:szCs w:val="20"/>
              </w:rPr>
              <w:t>X</w:t>
            </w:r>
          </w:p>
        </w:tc>
        <w:tc>
          <w:tcPr>
            <w:tcW w:w="1095" w:type="dxa"/>
            <w:noWrap/>
            <w:vAlign w:val="center"/>
            <w:hideMark/>
          </w:tcPr>
          <w:p w:rsidR="00BB5BFE" w:rsidRPr="00E354EC" w:rsidRDefault="00BB5BFE" w:rsidP="00E479E5">
            <w:pPr>
              <w:jc w:val="center"/>
              <w:rPr>
                <w:sz w:val="20"/>
                <w:szCs w:val="20"/>
              </w:rPr>
            </w:pPr>
          </w:p>
        </w:tc>
        <w:tc>
          <w:tcPr>
            <w:tcW w:w="1100" w:type="dxa"/>
            <w:noWrap/>
            <w:vAlign w:val="center"/>
            <w:hideMark/>
          </w:tcPr>
          <w:p w:rsidR="00BB5BFE" w:rsidRPr="00E354EC" w:rsidRDefault="00BB5BFE" w:rsidP="00E479E5">
            <w:pPr>
              <w:jc w:val="center"/>
              <w:rPr>
                <w:sz w:val="20"/>
                <w:szCs w:val="20"/>
              </w:rPr>
            </w:pPr>
          </w:p>
        </w:tc>
        <w:tc>
          <w:tcPr>
            <w:tcW w:w="1096" w:type="dxa"/>
            <w:noWrap/>
            <w:vAlign w:val="center"/>
            <w:hideMark/>
          </w:tcPr>
          <w:p w:rsidR="00BB5BFE" w:rsidRPr="00E354EC" w:rsidRDefault="00BB5BFE" w:rsidP="00E479E5">
            <w:pPr>
              <w:jc w:val="center"/>
              <w:rPr>
                <w:sz w:val="20"/>
                <w:szCs w:val="20"/>
              </w:rPr>
            </w:pPr>
            <w:r w:rsidRPr="00E354EC">
              <w:rPr>
                <w:sz w:val="20"/>
                <w:szCs w:val="20"/>
              </w:rPr>
              <w:t>X</w:t>
            </w:r>
          </w:p>
        </w:tc>
        <w:tc>
          <w:tcPr>
            <w:tcW w:w="1086" w:type="dxa"/>
            <w:noWrap/>
            <w:vAlign w:val="center"/>
            <w:hideMark/>
          </w:tcPr>
          <w:p w:rsidR="00BB5BFE" w:rsidRPr="00E354EC" w:rsidRDefault="00BB5BFE" w:rsidP="00E479E5">
            <w:pPr>
              <w:jc w:val="center"/>
              <w:rPr>
                <w:sz w:val="20"/>
                <w:szCs w:val="20"/>
              </w:rPr>
            </w:pPr>
            <w:r w:rsidRPr="00E354EC">
              <w:rPr>
                <w:sz w:val="20"/>
                <w:szCs w:val="20"/>
              </w:rPr>
              <w:t>X</w:t>
            </w:r>
          </w:p>
        </w:tc>
      </w:tr>
      <w:tr w:rsidR="00BB5BFE" w:rsidRPr="00E354EC" w:rsidTr="00E479E5">
        <w:tc>
          <w:tcPr>
            <w:tcW w:w="2785" w:type="dxa"/>
            <w:noWrap/>
            <w:tcMar>
              <w:left w:w="115" w:type="dxa"/>
              <w:right w:w="0" w:type="dxa"/>
            </w:tcMar>
            <w:hideMark/>
          </w:tcPr>
          <w:p w:rsidR="00BB5BFE" w:rsidRPr="00E354EC" w:rsidRDefault="00BB5BFE" w:rsidP="00E479E5">
            <w:pPr>
              <w:jc w:val="left"/>
              <w:rPr>
                <w:sz w:val="20"/>
                <w:szCs w:val="20"/>
              </w:rPr>
            </w:pPr>
            <w:r w:rsidRPr="00E354EC">
              <w:rPr>
                <w:sz w:val="20"/>
                <w:szCs w:val="20"/>
              </w:rPr>
              <w:t>Malaysia</w:t>
            </w:r>
          </w:p>
        </w:tc>
        <w:tc>
          <w:tcPr>
            <w:tcW w:w="1095" w:type="dxa"/>
            <w:noWrap/>
            <w:vAlign w:val="center"/>
            <w:hideMark/>
          </w:tcPr>
          <w:p w:rsidR="00BB5BFE" w:rsidRPr="00E354EC" w:rsidRDefault="00BB5BFE" w:rsidP="00E479E5">
            <w:pPr>
              <w:jc w:val="center"/>
              <w:rPr>
                <w:sz w:val="20"/>
                <w:szCs w:val="20"/>
              </w:rPr>
            </w:pPr>
            <w:r w:rsidRPr="00E354EC">
              <w:rPr>
                <w:sz w:val="20"/>
                <w:szCs w:val="20"/>
              </w:rPr>
              <w:t>X</w:t>
            </w:r>
          </w:p>
        </w:tc>
        <w:tc>
          <w:tcPr>
            <w:tcW w:w="1098" w:type="dxa"/>
            <w:noWrap/>
            <w:vAlign w:val="center"/>
            <w:hideMark/>
          </w:tcPr>
          <w:p w:rsidR="00BB5BFE" w:rsidRPr="00E354EC" w:rsidRDefault="00BB5BFE" w:rsidP="00E479E5">
            <w:pPr>
              <w:jc w:val="center"/>
              <w:rPr>
                <w:sz w:val="20"/>
                <w:szCs w:val="20"/>
              </w:rPr>
            </w:pPr>
            <w:r w:rsidRPr="00E354EC">
              <w:rPr>
                <w:sz w:val="20"/>
                <w:szCs w:val="20"/>
              </w:rPr>
              <w:t>X</w:t>
            </w:r>
          </w:p>
        </w:tc>
        <w:tc>
          <w:tcPr>
            <w:tcW w:w="1095" w:type="dxa"/>
            <w:noWrap/>
            <w:vAlign w:val="center"/>
            <w:hideMark/>
          </w:tcPr>
          <w:p w:rsidR="00BB5BFE" w:rsidRPr="00E354EC" w:rsidRDefault="00BB5BFE" w:rsidP="00E479E5">
            <w:pPr>
              <w:jc w:val="center"/>
              <w:rPr>
                <w:sz w:val="20"/>
                <w:szCs w:val="20"/>
              </w:rPr>
            </w:pPr>
          </w:p>
        </w:tc>
        <w:tc>
          <w:tcPr>
            <w:tcW w:w="1100" w:type="dxa"/>
            <w:noWrap/>
            <w:vAlign w:val="center"/>
            <w:hideMark/>
          </w:tcPr>
          <w:p w:rsidR="00BB5BFE" w:rsidRPr="00E354EC" w:rsidRDefault="00BB5BFE" w:rsidP="00E479E5">
            <w:pPr>
              <w:jc w:val="center"/>
              <w:rPr>
                <w:sz w:val="20"/>
                <w:szCs w:val="20"/>
              </w:rPr>
            </w:pPr>
            <w:r w:rsidRPr="00E354EC">
              <w:rPr>
                <w:sz w:val="20"/>
                <w:szCs w:val="20"/>
              </w:rPr>
              <w:t>X</w:t>
            </w:r>
          </w:p>
        </w:tc>
        <w:tc>
          <w:tcPr>
            <w:tcW w:w="1096" w:type="dxa"/>
            <w:noWrap/>
            <w:vAlign w:val="center"/>
            <w:hideMark/>
          </w:tcPr>
          <w:p w:rsidR="00BB5BFE" w:rsidRPr="00E354EC" w:rsidRDefault="00BB5BFE" w:rsidP="00E479E5">
            <w:pPr>
              <w:jc w:val="center"/>
              <w:rPr>
                <w:sz w:val="20"/>
                <w:szCs w:val="20"/>
              </w:rPr>
            </w:pPr>
            <w:r w:rsidRPr="00E354EC">
              <w:rPr>
                <w:sz w:val="20"/>
                <w:szCs w:val="20"/>
              </w:rPr>
              <w:t>X</w:t>
            </w:r>
          </w:p>
        </w:tc>
        <w:tc>
          <w:tcPr>
            <w:tcW w:w="1086" w:type="dxa"/>
            <w:noWrap/>
            <w:vAlign w:val="center"/>
            <w:hideMark/>
          </w:tcPr>
          <w:p w:rsidR="00BB5BFE" w:rsidRPr="00E354EC" w:rsidRDefault="00BB5BFE" w:rsidP="00E479E5">
            <w:pPr>
              <w:jc w:val="center"/>
              <w:rPr>
                <w:sz w:val="20"/>
                <w:szCs w:val="20"/>
              </w:rPr>
            </w:pPr>
            <w:r w:rsidRPr="00E354EC">
              <w:rPr>
                <w:sz w:val="20"/>
                <w:szCs w:val="20"/>
              </w:rPr>
              <w:t>X</w:t>
            </w:r>
          </w:p>
        </w:tc>
      </w:tr>
      <w:tr w:rsidR="00BB5BFE" w:rsidRPr="00E354EC" w:rsidTr="00E479E5">
        <w:tc>
          <w:tcPr>
            <w:tcW w:w="2785" w:type="dxa"/>
            <w:noWrap/>
            <w:tcMar>
              <w:left w:w="115" w:type="dxa"/>
              <w:right w:w="0" w:type="dxa"/>
            </w:tcMar>
            <w:hideMark/>
          </w:tcPr>
          <w:p w:rsidR="00BB5BFE" w:rsidRPr="00E354EC" w:rsidRDefault="00BB5BFE" w:rsidP="00E479E5">
            <w:pPr>
              <w:jc w:val="left"/>
              <w:rPr>
                <w:sz w:val="20"/>
                <w:szCs w:val="20"/>
              </w:rPr>
            </w:pPr>
            <w:r w:rsidRPr="00E354EC">
              <w:rPr>
                <w:sz w:val="20"/>
                <w:szCs w:val="20"/>
              </w:rPr>
              <w:t>Mexico</w:t>
            </w:r>
          </w:p>
        </w:tc>
        <w:tc>
          <w:tcPr>
            <w:tcW w:w="1095" w:type="dxa"/>
            <w:noWrap/>
            <w:vAlign w:val="center"/>
            <w:hideMark/>
          </w:tcPr>
          <w:p w:rsidR="00BB5BFE" w:rsidRPr="00E354EC" w:rsidRDefault="00BB5BFE" w:rsidP="00E479E5">
            <w:pPr>
              <w:jc w:val="center"/>
              <w:rPr>
                <w:sz w:val="20"/>
                <w:szCs w:val="20"/>
              </w:rPr>
            </w:pPr>
            <w:r w:rsidRPr="00E354EC">
              <w:rPr>
                <w:sz w:val="20"/>
                <w:szCs w:val="20"/>
              </w:rPr>
              <w:t>X</w:t>
            </w:r>
          </w:p>
        </w:tc>
        <w:tc>
          <w:tcPr>
            <w:tcW w:w="1098" w:type="dxa"/>
            <w:noWrap/>
            <w:vAlign w:val="center"/>
            <w:hideMark/>
          </w:tcPr>
          <w:p w:rsidR="00BB5BFE" w:rsidRPr="00E354EC" w:rsidRDefault="00BB5BFE" w:rsidP="00E479E5">
            <w:pPr>
              <w:jc w:val="center"/>
              <w:rPr>
                <w:sz w:val="20"/>
                <w:szCs w:val="20"/>
              </w:rPr>
            </w:pPr>
            <w:r w:rsidRPr="00E354EC">
              <w:rPr>
                <w:sz w:val="20"/>
                <w:szCs w:val="20"/>
              </w:rPr>
              <w:t>X</w:t>
            </w:r>
          </w:p>
        </w:tc>
        <w:tc>
          <w:tcPr>
            <w:tcW w:w="1095" w:type="dxa"/>
            <w:noWrap/>
            <w:vAlign w:val="center"/>
            <w:hideMark/>
          </w:tcPr>
          <w:p w:rsidR="00BB5BFE" w:rsidRPr="00E354EC" w:rsidRDefault="00BB5BFE" w:rsidP="00E479E5">
            <w:pPr>
              <w:jc w:val="center"/>
              <w:rPr>
                <w:sz w:val="20"/>
                <w:szCs w:val="20"/>
              </w:rPr>
            </w:pPr>
            <w:r w:rsidRPr="00E354EC">
              <w:rPr>
                <w:sz w:val="20"/>
                <w:szCs w:val="20"/>
              </w:rPr>
              <w:t>X</w:t>
            </w:r>
          </w:p>
        </w:tc>
        <w:tc>
          <w:tcPr>
            <w:tcW w:w="1100" w:type="dxa"/>
            <w:noWrap/>
            <w:vAlign w:val="center"/>
            <w:hideMark/>
          </w:tcPr>
          <w:p w:rsidR="00BB5BFE" w:rsidRPr="00E354EC" w:rsidRDefault="00BB5BFE" w:rsidP="00E479E5">
            <w:pPr>
              <w:jc w:val="center"/>
              <w:rPr>
                <w:sz w:val="20"/>
                <w:szCs w:val="20"/>
              </w:rPr>
            </w:pPr>
            <w:r w:rsidRPr="00E354EC">
              <w:rPr>
                <w:sz w:val="20"/>
                <w:szCs w:val="20"/>
              </w:rPr>
              <w:t>X</w:t>
            </w:r>
          </w:p>
        </w:tc>
        <w:tc>
          <w:tcPr>
            <w:tcW w:w="1096" w:type="dxa"/>
            <w:noWrap/>
            <w:vAlign w:val="center"/>
            <w:hideMark/>
          </w:tcPr>
          <w:p w:rsidR="00BB5BFE" w:rsidRPr="00E354EC" w:rsidRDefault="00BB5BFE" w:rsidP="00E479E5">
            <w:pPr>
              <w:jc w:val="center"/>
              <w:rPr>
                <w:sz w:val="20"/>
                <w:szCs w:val="20"/>
              </w:rPr>
            </w:pPr>
            <w:r w:rsidRPr="00E354EC">
              <w:rPr>
                <w:sz w:val="20"/>
                <w:szCs w:val="20"/>
              </w:rPr>
              <w:t>X</w:t>
            </w:r>
          </w:p>
        </w:tc>
        <w:tc>
          <w:tcPr>
            <w:tcW w:w="1086" w:type="dxa"/>
            <w:noWrap/>
            <w:vAlign w:val="center"/>
            <w:hideMark/>
          </w:tcPr>
          <w:p w:rsidR="00BB5BFE" w:rsidRPr="00E354EC" w:rsidRDefault="00BB5BFE" w:rsidP="00E479E5">
            <w:pPr>
              <w:jc w:val="center"/>
              <w:rPr>
                <w:sz w:val="20"/>
                <w:szCs w:val="20"/>
              </w:rPr>
            </w:pPr>
            <w:r w:rsidRPr="00E354EC">
              <w:rPr>
                <w:sz w:val="20"/>
                <w:szCs w:val="20"/>
              </w:rPr>
              <w:t>X</w:t>
            </w:r>
          </w:p>
        </w:tc>
      </w:tr>
      <w:tr w:rsidR="00BB5BFE" w:rsidRPr="00E354EC" w:rsidTr="00E479E5">
        <w:tc>
          <w:tcPr>
            <w:tcW w:w="2785" w:type="dxa"/>
            <w:noWrap/>
            <w:tcMar>
              <w:left w:w="115" w:type="dxa"/>
              <w:right w:w="0" w:type="dxa"/>
            </w:tcMar>
            <w:hideMark/>
          </w:tcPr>
          <w:p w:rsidR="00BB5BFE" w:rsidRPr="00E354EC" w:rsidRDefault="00BB5BFE" w:rsidP="00E479E5">
            <w:pPr>
              <w:jc w:val="left"/>
              <w:rPr>
                <w:sz w:val="20"/>
                <w:szCs w:val="20"/>
              </w:rPr>
            </w:pPr>
            <w:r w:rsidRPr="00E354EC">
              <w:rPr>
                <w:sz w:val="20"/>
                <w:szCs w:val="20"/>
              </w:rPr>
              <w:t>Nicaragua</w:t>
            </w:r>
          </w:p>
        </w:tc>
        <w:tc>
          <w:tcPr>
            <w:tcW w:w="1095" w:type="dxa"/>
            <w:noWrap/>
            <w:vAlign w:val="center"/>
            <w:hideMark/>
          </w:tcPr>
          <w:p w:rsidR="00BB5BFE" w:rsidRPr="00E354EC" w:rsidRDefault="00BB5BFE" w:rsidP="00E479E5">
            <w:pPr>
              <w:jc w:val="center"/>
              <w:rPr>
                <w:sz w:val="20"/>
                <w:szCs w:val="20"/>
              </w:rPr>
            </w:pPr>
            <w:r w:rsidRPr="00E354EC">
              <w:rPr>
                <w:sz w:val="20"/>
                <w:szCs w:val="20"/>
              </w:rPr>
              <w:t>X</w:t>
            </w:r>
          </w:p>
        </w:tc>
        <w:tc>
          <w:tcPr>
            <w:tcW w:w="1098" w:type="dxa"/>
            <w:noWrap/>
            <w:vAlign w:val="center"/>
            <w:hideMark/>
          </w:tcPr>
          <w:p w:rsidR="00BB5BFE" w:rsidRPr="00E354EC" w:rsidRDefault="00BB5BFE" w:rsidP="00E479E5">
            <w:pPr>
              <w:jc w:val="center"/>
              <w:rPr>
                <w:sz w:val="20"/>
                <w:szCs w:val="20"/>
              </w:rPr>
            </w:pPr>
          </w:p>
        </w:tc>
        <w:tc>
          <w:tcPr>
            <w:tcW w:w="1095" w:type="dxa"/>
            <w:noWrap/>
            <w:vAlign w:val="center"/>
            <w:hideMark/>
          </w:tcPr>
          <w:p w:rsidR="00BB5BFE" w:rsidRPr="00E354EC" w:rsidRDefault="00BB5BFE" w:rsidP="00E479E5">
            <w:pPr>
              <w:jc w:val="center"/>
              <w:rPr>
                <w:sz w:val="20"/>
                <w:szCs w:val="20"/>
              </w:rPr>
            </w:pPr>
          </w:p>
        </w:tc>
        <w:tc>
          <w:tcPr>
            <w:tcW w:w="1100" w:type="dxa"/>
            <w:noWrap/>
            <w:vAlign w:val="center"/>
            <w:hideMark/>
          </w:tcPr>
          <w:p w:rsidR="00BB5BFE" w:rsidRPr="00E354EC" w:rsidRDefault="00BB5BFE" w:rsidP="00E479E5">
            <w:pPr>
              <w:jc w:val="center"/>
              <w:rPr>
                <w:sz w:val="20"/>
                <w:szCs w:val="20"/>
              </w:rPr>
            </w:pPr>
          </w:p>
        </w:tc>
        <w:tc>
          <w:tcPr>
            <w:tcW w:w="1096" w:type="dxa"/>
            <w:noWrap/>
            <w:vAlign w:val="center"/>
            <w:hideMark/>
          </w:tcPr>
          <w:p w:rsidR="00BB5BFE" w:rsidRPr="00E354EC" w:rsidRDefault="00BB5BFE" w:rsidP="00E479E5">
            <w:pPr>
              <w:jc w:val="center"/>
              <w:rPr>
                <w:sz w:val="20"/>
                <w:szCs w:val="20"/>
              </w:rPr>
            </w:pPr>
          </w:p>
        </w:tc>
        <w:tc>
          <w:tcPr>
            <w:tcW w:w="1086" w:type="dxa"/>
            <w:noWrap/>
            <w:vAlign w:val="center"/>
            <w:hideMark/>
          </w:tcPr>
          <w:p w:rsidR="00BB5BFE" w:rsidRPr="00E354EC" w:rsidRDefault="00BB5BFE" w:rsidP="00E479E5">
            <w:pPr>
              <w:jc w:val="center"/>
              <w:rPr>
                <w:sz w:val="20"/>
                <w:szCs w:val="20"/>
              </w:rPr>
            </w:pPr>
          </w:p>
        </w:tc>
      </w:tr>
      <w:tr w:rsidR="00BB5BFE" w:rsidRPr="00E354EC" w:rsidTr="00E479E5">
        <w:tc>
          <w:tcPr>
            <w:tcW w:w="2785" w:type="dxa"/>
            <w:noWrap/>
            <w:tcMar>
              <w:left w:w="115" w:type="dxa"/>
              <w:right w:w="0" w:type="dxa"/>
            </w:tcMar>
            <w:hideMark/>
          </w:tcPr>
          <w:p w:rsidR="00BB5BFE" w:rsidRPr="00E354EC" w:rsidRDefault="00BB5BFE" w:rsidP="00E479E5">
            <w:pPr>
              <w:jc w:val="left"/>
              <w:rPr>
                <w:sz w:val="20"/>
                <w:szCs w:val="20"/>
              </w:rPr>
            </w:pPr>
            <w:r w:rsidRPr="00E354EC">
              <w:rPr>
                <w:sz w:val="20"/>
                <w:szCs w:val="20"/>
              </w:rPr>
              <w:t>Pakistan</w:t>
            </w:r>
          </w:p>
        </w:tc>
        <w:tc>
          <w:tcPr>
            <w:tcW w:w="1095" w:type="dxa"/>
            <w:noWrap/>
            <w:vAlign w:val="center"/>
            <w:hideMark/>
          </w:tcPr>
          <w:p w:rsidR="00BB5BFE" w:rsidRPr="00E354EC" w:rsidRDefault="00BB5BFE" w:rsidP="00E479E5">
            <w:pPr>
              <w:jc w:val="center"/>
              <w:rPr>
                <w:sz w:val="20"/>
                <w:szCs w:val="20"/>
              </w:rPr>
            </w:pPr>
          </w:p>
        </w:tc>
        <w:tc>
          <w:tcPr>
            <w:tcW w:w="1098" w:type="dxa"/>
            <w:noWrap/>
            <w:vAlign w:val="center"/>
            <w:hideMark/>
          </w:tcPr>
          <w:p w:rsidR="00BB5BFE" w:rsidRPr="00E354EC" w:rsidRDefault="00BB5BFE" w:rsidP="00E479E5">
            <w:pPr>
              <w:jc w:val="center"/>
              <w:rPr>
                <w:sz w:val="20"/>
                <w:szCs w:val="20"/>
              </w:rPr>
            </w:pPr>
            <w:r w:rsidRPr="00E354EC">
              <w:rPr>
                <w:sz w:val="20"/>
                <w:szCs w:val="20"/>
              </w:rPr>
              <w:t>X</w:t>
            </w:r>
          </w:p>
        </w:tc>
        <w:tc>
          <w:tcPr>
            <w:tcW w:w="1095" w:type="dxa"/>
            <w:noWrap/>
            <w:vAlign w:val="center"/>
            <w:hideMark/>
          </w:tcPr>
          <w:p w:rsidR="00BB5BFE" w:rsidRPr="00E354EC" w:rsidRDefault="00BB5BFE" w:rsidP="00E479E5">
            <w:pPr>
              <w:jc w:val="center"/>
              <w:rPr>
                <w:sz w:val="20"/>
                <w:szCs w:val="20"/>
              </w:rPr>
            </w:pPr>
          </w:p>
        </w:tc>
        <w:tc>
          <w:tcPr>
            <w:tcW w:w="1100" w:type="dxa"/>
            <w:noWrap/>
            <w:vAlign w:val="center"/>
            <w:hideMark/>
          </w:tcPr>
          <w:p w:rsidR="00BB5BFE" w:rsidRPr="00E354EC" w:rsidRDefault="00BB5BFE" w:rsidP="00E479E5">
            <w:pPr>
              <w:jc w:val="center"/>
              <w:rPr>
                <w:sz w:val="20"/>
                <w:szCs w:val="20"/>
              </w:rPr>
            </w:pPr>
          </w:p>
        </w:tc>
        <w:tc>
          <w:tcPr>
            <w:tcW w:w="1096" w:type="dxa"/>
            <w:noWrap/>
            <w:vAlign w:val="center"/>
            <w:hideMark/>
          </w:tcPr>
          <w:p w:rsidR="00BB5BFE" w:rsidRPr="00E354EC" w:rsidRDefault="00BB5BFE" w:rsidP="00E479E5">
            <w:pPr>
              <w:jc w:val="center"/>
              <w:rPr>
                <w:sz w:val="20"/>
                <w:szCs w:val="20"/>
              </w:rPr>
            </w:pPr>
          </w:p>
        </w:tc>
        <w:tc>
          <w:tcPr>
            <w:tcW w:w="1086" w:type="dxa"/>
            <w:noWrap/>
            <w:vAlign w:val="center"/>
            <w:hideMark/>
          </w:tcPr>
          <w:p w:rsidR="00BB5BFE" w:rsidRPr="00E354EC" w:rsidRDefault="00BB5BFE" w:rsidP="00E479E5">
            <w:pPr>
              <w:jc w:val="center"/>
              <w:rPr>
                <w:sz w:val="20"/>
                <w:szCs w:val="20"/>
              </w:rPr>
            </w:pPr>
            <w:r w:rsidRPr="00E354EC">
              <w:rPr>
                <w:sz w:val="20"/>
                <w:szCs w:val="20"/>
              </w:rPr>
              <w:t>X</w:t>
            </w:r>
          </w:p>
        </w:tc>
      </w:tr>
      <w:tr w:rsidR="00BB5BFE" w:rsidRPr="00E354EC" w:rsidTr="00E479E5">
        <w:tc>
          <w:tcPr>
            <w:tcW w:w="2785" w:type="dxa"/>
            <w:noWrap/>
            <w:tcMar>
              <w:left w:w="115" w:type="dxa"/>
              <w:right w:w="0" w:type="dxa"/>
            </w:tcMar>
            <w:hideMark/>
          </w:tcPr>
          <w:p w:rsidR="00BB5BFE" w:rsidRPr="00E354EC" w:rsidRDefault="00BB5BFE" w:rsidP="00E479E5">
            <w:pPr>
              <w:jc w:val="left"/>
              <w:rPr>
                <w:sz w:val="20"/>
                <w:szCs w:val="20"/>
              </w:rPr>
            </w:pPr>
            <w:r w:rsidRPr="00E354EC">
              <w:rPr>
                <w:sz w:val="20"/>
                <w:szCs w:val="20"/>
              </w:rPr>
              <w:t>Peru</w:t>
            </w:r>
          </w:p>
        </w:tc>
        <w:tc>
          <w:tcPr>
            <w:tcW w:w="1095" w:type="dxa"/>
            <w:noWrap/>
            <w:vAlign w:val="center"/>
            <w:hideMark/>
          </w:tcPr>
          <w:p w:rsidR="00BB5BFE" w:rsidRPr="00E354EC" w:rsidRDefault="00BB5BFE" w:rsidP="00E479E5">
            <w:pPr>
              <w:jc w:val="center"/>
              <w:rPr>
                <w:sz w:val="20"/>
                <w:szCs w:val="20"/>
              </w:rPr>
            </w:pPr>
            <w:r w:rsidRPr="00E354EC">
              <w:rPr>
                <w:sz w:val="20"/>
                <w:szCs w:val="20"/>
              </w:rPr>
              <w:t>X</w:t>
            </w:r>
          </w:p>
        </w:tc>
        <w:tc>
          <w:tcPr>
            <w:tcW w:w="1098" w:type="dxa"/>
            <w:noWrap/>
            <w:vAlign w:val="center"/>
            <w:hideMark/>
          </w:tcPr>
          <w:p w:rsidR="00BB5BFE" w:rsidRPr="00E354EC" w:rsidRDefault="00BB5BFE" w:rsidP="00E479E5">
            <w:pPr>
              <w:jc w:val="center"/>
              <w:rPr>
                <w:sz w:val="20"/>
                <w:szCs w:val="20"/>
              </w:rPr>
            </w:pPr>
          </w:p>
        </w:tc>
        <w:tc>
          <w:tcPr>
            <w:tcW w:w="1095" w:type="dxa"/>
            <w:noWrap/>
            <w:vAlign w:val="center"/>
            <w:hideMark/>
          </w:tcPr>
          <w:p w:rsidR="00BB5BFE" w:rsidRPr="00E354EC" w:rsidRDefault="00BB5BFE" w:rsidP="00E479E5">
            <w:pPr>
              <w:jc w:val="center"/>
              <w:rPr>
                <w:sz w:val="20"/>
                <w:szCs w:val="20"/>
              </w:rPr>
            </w:pPr>
          </w:p>
        </w:tc>
        <w:tc>
          <w:tcPr>
            <w:tcW w:w="1100" w:type="dxa"/>
            <w:noWrap/>
            <w:vAlign w:val="center"/>
            <w:hideMark/>
          </w:tcPr>
          <w:p w:rsidR="00BB5BFE" w:rsidRPr="00E354EC" w:rsidRDefault="00BB5BFE" w:rsidP="00E479E5">
            <w:pPr>
              <w:jc w:val="center"/>
              <w:rPr>
                <w:sz w:val="20"/>
                <w:szCs w:val="20"/>
              </w:rPr>
            </w:pPr>
          </w:p>
        </w:tc>
        <w:tc>
          <w:tcPr>
            <w:tcW w:w="1096" w:type="dxa"/>
            <w:noWrap/>
            <w:vAlign w:val="center"/>
            <w:hideMark/>
          </w:tcPr>
          <w:p w:rsidR="00BB5BFE" w:rsidRPr="00E354EC" w:rsidRDefault="00BB5BFE" w:rsidP="00E479E5">
            <w:pPr>
              <w:jc w:val="center"/>
              <w:rPr>
                <w:sz w:val="20"/>
                <w:szCs w:val="20"/>
              </w:rPr>
            </w:pPr>
            <w:r w:rsidRPr="00E354EC">
              <w:rPr>
                <w:sz w:val="20"/>
                <w:szCs w:val="20"/>
              </w:rPr>
              <w:t>X</w:t>
            </w:r>
          </w:p>
        </w:tc>
        <w:tc>
          <w:tcPr>
            <w:tcW w:w="1086" w:type="dxa"/>
            <w:noWrap/>
            <w:vAlign w:val="center"/>
            <w:hideMark/>
          </w:tcPr>
          <w:p w:rsidR="00BB5BFE" w:rsidRPr="00E354EC" w:rsidRDefault="00BB5BFE" w:rsidP="00E479E5">
            <w:pPr>
              <w:jc w:val="center"/>
              <w:rPr>
                <w:sz w:val="20"/>
                <w:szCs w:val="20"/>
              </w:rPr>
            </w:pPr>
          </w:p>
        </w:tc>
      </w:tr>
      <w:tr w:rsidR="00BB5BFE" w:rsidRPr="00E354EC" w:rsidTr="00E479E5">
        <w:tc>
          <w:tcPr>
            <w:tcW w:w="2785" w:type="dxa"/>
            <w:noWrap/>
            <w:tcMar>
              <w:left w:w="115" w:type="dxa"/>
              <w:right w:w="0" w:type="dxa"/>
            </w:tcMar>
            <w:hideMark/>
          </w:tcPr>
          <w:p w:rsidR="00BB5BFE" w:rsidRPr="00E354EC" w:rsidRDefault="00BB5BFE" w:rsidP="00E479E5">
            <w:pPr>
              <w:jc w:val="left"/>
              <w:rPr>
                <w:sz w:val="20"/>
                <w:szCs w:val="20"/>
              </w:rPr>
            </w:pPr>
            <w:r w:rsidRPr="00E354EC">
              <w:rPr>
                <w:sz w:val="20"/>
                <w:szCs w:val="20"/>
              </w:rPr>
              <w:lastRenderedPageBreak/>
              <w:t>Philippines</w:t>
            </w:r>
            <w:r>
              <w:rPr>
                <w:sz w:val="20"/>
                <w:szCs w:val="20"/>
              </w:rPr>
              <w:t xml:space="preserve"> (the)</w:t>
            </w:r>
          </w:p>
        </w:tc>
        <w:tc>
          <w:tcPr>
            <w:tcW w:w="1095" w:type="dxa"/>
            <w:noWrap/>
            <w:vAlign w:val="center"/>
            <w:hideMark/>
          </w:tcPr>
          <w:p w:rsidR="00BB5BFE" w:rsidRPr="00E354EC" w:rsidRDefault="00BB5BFE" w:rsidP="00E479E5">
            <w:pPr>
              <w:jc w:val="center"/>
              <w:rPr>
                <w:sz w:val="20"/>
                <w:szCs w:val="20"/>
              </w:rPr>
            </w:pPr>
            <w:r w:rsidRPr="00E354EC">
              <w:rPr>
                <w:sz w:val="20"/>
                <w:szCs w:val="20"/>
              </w:rPr>
              <w:t>X</w:t>
            </w:r>
          </w:p>
        </w:tc>
        <w:tc>
          <w:tcPr>
            <w:tcW w:w="1098" w:type="dxa"/>
            <w:noWrap/>
            <w:vAlign w:val="center"/>
            <w:hideMark/>
          </w:tcPr>
          <w:p w:rsidR="00BB5BFE" w:rsidRPr="00E354EC" w:rsidRDefault="00BB5BFE" w:rsidP="00E479E5">
            <w:pPr>
              <w:jc w:val="center"/>
              <w:rPr>
                <w:sz w:val="20"/>
                <w:szCs w:val="20"/>
              </w:rPr>
            </w:pPr>
            <w:r w:rsidRPr="00E354EC">
              <w:rPr>
                <w:sz w:val="20"/>
                <w:szCs w:val="20"/>
              </w:rPr>
              <w:t>X</w:t>
            </w:r>
          </w:p>
        </w:tc>
        <w:tc>
          <w:tcPr>
            <w:tcW w:w="1095" w:type="dxa"/>
            <w:noWrap/>
            <w:vAlign w:val="center"/>
            <w:hideMark/>
          </w:tcPr>
          <w:p w:rsidR="00BB5BFE" w:rsidRPr="00E354EC" w:rsidRDefault="00BB5BFE" w:rsidP="00E479E5">
            <w:pPr>
              <w:jc w:val="center"/>
              <w:rPr>
                <w:sz w:val="20"/>
                <w:szCs w:val="20"/>
              </w:rPr>
            </w:pPr>
          </w:p>
        </w:tc>
        <w:tc>
          <w:tcPr>
            <w:tcW w:w="1100" w:type="dxa"/>
            <w:noWrap/>
            <w:vAlign w:val="center"/>
            <w:hideMark/>
          </w:tcPr>
          <w:p w:rsidR="00BB5BFE" w:rsidRPr="00E354EC" w:rsidRDefault="00BB5BFE" w:rsidP="00E479E5">
            <w:pPr>
              <w:jc w:val="center"/>
              <w:rPr>
                <w:sz w:val="20"/>
                <w:szCs w:val="20"/>
              </w:rPr>
            </w:pPr>
          </w:p>
        </w:tc>
        <w:tc>
          <w:tcPr>
            <w:tcW w:w="1096" w:type="dxa"/>
            <w:noWrap/>
            <w:vAlign w:val="center"/>
            <w:hideMark/>
          </w:tcPr>
          <w:p w:rsidR="00BB5BFE" w:rsidRPr="00E354EC" w:rsidRDefault="00BB5BFE" w:rsidP="00E479E5">
            <w:pPr>
              <w:jc w:val="center"/>
              <w:rPr>
                <w:sz w:val="20"/>
                <w:szCs w:val="20"/>
              </w:rPr>
            </w:pPr>
          </w:p>
        </w:tc>
        <w:tc>
          <w:tcPr>
            <w:tcW w:w="1086" w:type="dxa"/>
            <w:noWrap/>
            <w:vAlign w:val="center"/>
            <w:hideMark/>
          </w:tcPr>
          <w:p w:rsidR="00BB5BFE" w:rsidRPr="00E354EC" w:rsidRDefault="00BB5BFE" w:rsidP="00E479E5">
            <w:pPr>
              <w:jc w:val="center"/>
              <w:rPr>
                <w:sz w:val="20"/>
                <w:szCs w:val="20"/>
              </w:rPr>
            </w:pPr>
            <w:r w:rsidRPr="00E354EC">
              <w:rPr>
                <w:sz w:val="20"/>
                <w:szCs w:val="20"/>
              </w:rPr>
              <w:t>X</w:t>
            </w:r>
          </w:p>
        </w:tc>
      </w:tr>
      <w:tr w:rsidR="00BB5BFE" w:rsidRPr="00E354EC" w:rsidTr="00E479E5">
        <w:tc>
          <w:tcPr>
            <w:tcW w:w="2785" w:type="dxa"/>
            <w:noWrap/>
            <w:tcMar>
              <w:left w:w="115" w:type="dxa"/>
              <w:right w:w="0" w:type="dxa"/>
            </w:tcMar>
            <w:hideMark/>
          </w:tcPr>
          <w:p w:rsidR="00BB5BFE" w:rsidRPr="00E354EC" w:rsidRDefault="00BB5BFE" w:rsidP="00E479E5">
            <w:pPr>
              <w:jc w:val="left"/>
              <w:rPr>
                <w:sz w:val="20"/>
                <w:szCs w:val="20"/>
              </w:rPr>
            </w:pPr>
            <w:r w:rsidRPr="00E354EC">
              <w:rPr>
                <w:sz w:val="20"/>
                <w:szCs w:val="20"/>
              </w:rPr>
              <w:t>Saint Lucia</w:t>
            </w:r>
          </w:p>
        </w:tc>
        <w:tc>
          <w:tcPr>
            <w:tcW w:w="1095" w:type="dxa"/>
            <w:noWrap/>
            <w:vAlign w:val="center"/>
            <w:hideMark/>
          </w:tcPr>
          <w:p w:rsidR="00BB5BFE" w:rsidRPr="00E354EC" w:rsidRDefault="00BB5BFE" w:rsidP="00E479E5">
            <w:pPr>
              <w:jc w:val="center"/>
              <w:rPr>
                <w:sz w:val="20"/>
                <w:szCs w:val="20"/>
              </w:rPr>
            </w:pPr>
            <w:r w:rsidRPr="00E354EC">
              <w:rPr>
                <w:sz w:val="20"/>
                <w:szCs w:val="20"/>
              </w:rPr>
              <w:t>X</w:t>
            </w:r>
          </w:p>
        </w:tc>
        <w:tc>
          <w:tcPr>
            <w:tcW w:w="1098" w:type="dxa"/>
            <w:noWrap/>
            <w:vAlign w:val="center"/>
            <w:hideMark/>
          </w:tcPr>
          <w:p w:rsidR="00BB5BFE" w:rsidRPr="00E354EC" w:rsidRDefault="00BB5BFE" w:rsidP="00E479E5">
            <w:pPr>
              <w:jc w:val="center"/>
              <w:rPr>
                <w:sz w:val="20"/>
                <w:szCs w:val="20"/>
              </w:rPr>
            </w:pPr>
            <w:r w:rsidRPr="00E354EC">
              <w:rPr>
                <w:sz w:val="20"/>
                <w:szCs w:val="20"/>
              </w:rPr>
              <w:t>X</w:t>
            </w:r>
          </w:p>
        </w:tc>
        <w:tc>
          <w:tcPr>
            <w:tcW w:w="1095" w:type="dxa"/>
            <w:noWrap/>
            <w:vAlign w:val="center"/>
            <w:hideMark/>
          </w:tcPr>
          <w:p w:rsidR="00BB5BFE" w:rsidRPr="00E354EC" w:rsidRDefault="00BB5BFE" w:rsidP="00E479E5">
            <w:pPr>
              <w:jc w:val="center"/>
              <w:rPr>
                <w:sz w:val="20"/>
                <w:szCs w:val="20"/>
              </w:rPr>
            </w:pPr>
          </w:p>
        </w:tc>
        <w:tc>
          <w:tcPr>
            <w:tcW w:w="1100" w:type="dxa"/>
            <w:noWrap/>
            <w:vAlign w:val="center"/>
            <w:hideMark/>
          </w:tcPr>
          <w:p w:rsidR="00BB5BFE" w:rsidRPr="00E354EC" w:rsidRDefault="00BB5BFE" w:rsidP="00E479E5">
            <w:pPr>
              <w:jc w:val="center"/>
              <w:rPr>
                <w:sz w:val="20"/>
                <w:szCs w:val="20"/>
              </w:rPr>
            </w:pPr>
          </w:p>
        </w:tc>
        <w:tc>
          <w:tcPr>
            <w:tcW w:w="1096" w:type="dxa"/>
            <w:noWrap/>
            <w:vAlign w:val="center"/>
            <w:hideMark/>
          </w:tcPr>
          <w:p w:rsidR="00BB5BFE" w:rsidRPr="00E354EC" w:rsidRDefault="00BB5BFE" w:rsidP="00E479E5">
            <w:pPr>
              <w:jc w:val="center"/>
              <w:rPr>
                <w:sz w:val="20"/>
                <w:szCs w:val="20"/>
              </w:rPr>
            </w:pPr>
          </w:p>
        </w:tc>
        <w:tc>
          <w:tcPr>
            <w:tcW w:w="1086" w:type="dxa"/>
            <w:noWrap/>
            <w:vAlign w:val="center"/>
            <w:hideMark/>
          </w:tcPr>
          <w:p w:rsidR="00BB5BFE" w:rsidRPr="00E354EC" w:rsidRDefault="00BB5BFE" w:rsidP="00E479E5">
            <w:pPr>
              <w:jc w:val="center"/>
              <w:rPr>
                <w:sz w:val="20"/>
                <w:szCs w:val="20"/>
              </w:rPr>
            </w:pPr>
          </w:p>
        </w:tc>
      </w:tr>
      <w:tr w:rsidR="00BB5BFE" w:rsidRPr="00E354EC" w:rsidTr="00E479E5">
        <w:tc>
          <w:tcPr>
            <w:tcW w:w="2785" w:type="dxa"/>
            <w:noWrap/>
            <w:tcMar>
              <w:left w:w="115" w:type="dxa"/>
              <w:right w:w="0" w:type="dxa"/>
            </w:tcMar>
          </w:tcPr>
          <w:p w:rsidR="00BB5BFE" w:rsidRPr="00E354EC" w:rsidRDefault="00BB5BFE" w:rsidP="00E479E5">
            <w:pPr>
              <w:jc w:val="left"/>
              <w:rPr>
                <w:sz w:val="20"/>
                <w:szCs w:val="20"/>
              </w:rPr>
            </w:pPr>
            <w:r w:rsidRPr="00E354EC">
              <w:rPr>
                <w:sz w:val="20"/>
                <w:szCs w:val="20"/>
              </w:rPr>
              <w:t>Saudi Arabia</w:t>
            </w:r>
          </w:p>
        </w:tc>
        <w:tc>
          <w:tcPr>
            <w:tcW w:w="1095" w:type="dxa"/>
            <w:noWrap/>
            <w:vAlign w:val="center"/>
          </w:tcPr>
          <w:p w:rsidR="00BB5BFE" w:rsidRPr="00E354EC" w:rsidRDefault="00BB5BFE" w:rsidP="00E479E5">
            <w:pPr>
              <w:jc w:val="center"/>
              <w:rPr>
                <w:sz w:val="20"/>
                <w:szCs w:val="20"/>
              </w:rPr>
            </w:pPr>
            <w:r w:rsidRPr="00E354EC">
              <w:rPr>
                <w:sz w:val="20"/>
                <w:szCs w:val="20"/>
              </w:rPr>
              <w:t>X</w:t>
            </w:r>
          </w:p>
        </w:tc>
        <w:tc>
          <w:tcPr>
            <w:tcW w:w="1098" w:type="dxa"/>
            <w:noWrap/>
            <w:vAlign w:val="center"/>
          </w:tcPr>
          <w:p w:rsidR="00BB5BFE" w:rsidRPr="00E354EC" w:rsidRDefault="00BB5BFE" w:rsidP="00E479E5">
            <w:pPr>
              <w:jc w:val="center"/>
              <w:rPr>
                <w:sz w:val="20"/>
                <w:szCs w:val="20"/>
              </w:rPr>
            </w:pPr>
            <w:r w:rsidRPr="00E354EC">
              <w:rPr>
                <w:sz w:val="20"/>
                <w:szCs w:val="20"/>
              </w:rPr>
              <w:t>X</w:t>
            </w:r>
          </w:p>
        </w:tc>
        <w:tc>
          <w:tcPr>
            <w:tcW w:w="1095" w:type="dxa"/>
            <w:noWrap/>
            <w:vAlign w:val="center"/>
          </w:tcPr>
          <w:p w:rsidR="00BB5BFE" w:rsidRPr="00E354EC" w:rsidRDefault="00BB5BFE" w:rsidP="00E479E5">
            <w:pPr>
              <w:jc w:val="center"/>
              <w:rPr>
                <w:sz w:val="20"/>
                <w:szCs w:val="20"/>
              </w:rPr>
            </w:pPr>
          </w:p>
        </w:tc>
        <w:tc>
          <w:tcPr>
            <w:tcW w:w="1100" w:type="dxa"/>
            <w:noWrap/>
            <w:vAlign w:val="center"/>
          </w:tcPr>
          <w:p w:rsidR="00BB5BFE" w:rsidRPr="00E354EC" w:rsidRDefault="00BB5BFE" w:rsidP="00E479E5">
            <w:pPr>
              <w:jc w:val="center"/>
              <w:rPr>
                <w:sz w:val="20"/>
                <w:szCs w:val="20"/>
              </w:rPr>
            </w:pPr>
          </w:p>
        </w:tc>
        <w:tc>
          <w:tcPr>
            <w:tcW w:w="1096" w:type="dxa"/>
            <w:noWrap/>
            <w:vAlign w:val="center"/>
          </w:tcPr>
          <w:p w:rsidR="00BB5BFE" w:rsidRPr="00E354EC" w:rsidRDefault="00BB5BFE" w:rsidP="00E479E5">
            <w:pPr>
              <w:jc w:val="center"/>
              <w:rPr>
                <w:sz w:val="20"/>
                <w:szCs w:val="20"/>
              </w:rPr>
            </w:pPr>
          </w:p>
        </w:tc>
        <w:tc>
          <w:tcPr>
            <w:tcW w:w="1086" w:type="dxa"/>
            <w:noWrap/>
            <w:vAlign w:val="center"/>
          </w:tcPr>
          <w:p w:rsidR="00BB5BFE" w:rsidRPr="00E354EC" w:rsidRDefault="00BB5BFE" w:rsidP="00E479E5">
            <w:pPr>
              <w:jc w:val="center"/>
              <w:rPr>
                <w:sz w:val="20"/>
                <w:szCs w:val="20"/>
              </w:rPr>
            </w:pPr>
            <w:r w:rsidRPr="00E354EC">
              <w:rPr>
                <w:sz w:val="20"/>
                <w:szCs w:val="20"/>
              </w:rPr>
              <w:t>X</w:t>
            </w:r>
          </w:p>
        </w:tc>
      </w:tr>
      <w:tr w:rsidR="00BB5BFE" w:rsidRPr="00E354EC" w:rsidTr="00E479E5">
        <w:tc>
          <w:tcPr>
            <w:tcW w:w="2785" w:type="dxa"/>
            <w:noWrap/>
            <w:tcMar>
              <w:left w:w="115" w:type="dxa"/>
              <w:right w:w="0" w:type="dxa"/>
            </w:tcMar>
            <w:hideMark/>
          </w:tcPr>
          <w:p w:rsidR="00BB5BFE" w:rsidRPr="00E354EC" w:rsidRDefault="00BB5BFE" w:rsidP="00E479E5">
            <w:pPr>
              <w:jc w:val="left"/>
              <w:rPr>
                <w:sz w:val="20"/>
                <w:szCs w:val="20"/>
              </w:rPr>
            </w:pPr>
            <w:r w:rsidRPr="00E354EC">
              <w:rPr>
                <w:sz w:val="20"/>
                <w:szCs w:val="20"/>
              </w:rPr>
              <w:t>Solomon Islands</w:t>
            </w:r>
          </w:p>
        </w:tc>
        <w:tc>
          <w:tcPr>
            <w:tcW w:w="1095" w:type="dxa"/>
            <w:noWrap/>
            <w:vAlign w:val="center"/>
            <w:hideMark/>
          </w:tcPr>
          <w:p w:rsidR="00BB5BFE" w:rsidRPr="00E354EC" w:rsidRDefault="00BB5BFE" w:rsidP="00E479E5">
            <w:pPr>
              <w:jc w:val="center"/>
              <w:rPr>
                <w:sz w:val="20"/>
                <w:szCs w:val="20"/>
              </w:rPr>
            </w:pPr>
            <w:r w:rsidRPr="00E354EC">
              <w:rPr>
                <w:sz w:val="20"/>
                <w:szCs w:val="20"/>
              </w:rPr>
              <w:t>X</w:t>
            </w:r>
          </w:p>
        </w:tc>
        <w:tc>
          <w:tcPr>
            <w:tcW w:w="1098" w:type="dxa"/>
            <w:noWrap/>
            <w:vAlign w:val="center"/>
            <w:hideMark/>
          </w:tcPr>
          <w:p w:rsidR="00BB5BFE" w:rsidRPr="00E354EC" w:rsidRDefault="00BB5BFE" w:rsidP="00E479E5">
            <w:pPr>
              <w:jc w:val="center"/>
              <w:rPr>
                <w:sz w:val="20"/>
                <w:szCs w:val="20"/>
              </w:rPr>
            </w:pPr>
            <w:r w:rsidRPr="00E354EC">
              <w:rPr>
                <w:sz w:val="20"/>
                <w:szCs w:val="20"/>
              </w:rPr>
              <w:t>X</w:t>
            </w:r>
          </w:p>
        </w:tc>
        <w:tc>
          <w:tcPr>
            <w:tcW w:w="1095" w:type="dxa"/>
            <w:noWrap/>
            <w:vAlign w:val="center"/>
            <w:hideMark/>
          </w:tcPr>
          <w:p w:rsidR="00BB5BFE" w:rsidRPr="00E354EC" w:rsidRDefault="00BB5BFE" w:rsidP="00E479E5">
            <w:pPr>
              <w:jc w:val="center"/>
              <w:rPr>
                <w:sz w:val="20"/>
                <w:szCs w:val="20"/>
              </w:rPr>
            </w:pPr>
          </w:p>
        </w:tc>
        <w:tc>
          <w:tcPr>
            <w:tcW w:w="1100" w:type="dxa"/>
            <w:noWrap/>
            <w:vAlign w:val="center"/>
            <w:hideMark/>
          </w:tcPr>
          <w:p w:rsidR="00BB5BFE" w:rsidRPr="00E354EC" w:rsidRDefault="00BB5BFE" w:rsidP="00E479E5">
            <w:pPr>
              <w:jc w:val="center"/>
              <w:rPr>
                <w:sz w:val="20"/>
                <w:szCs w:val="20"/>
              </w:rPr>
            </w:pPr>
          </w:p>
        </w:tc>
        <w:tc>
          <w:tcPr>
            <w:tcW w:w="1096" w:type="dxa"/>
            <w:noWrap/>
            <w:vAlign w:val="center"/>
            <w:hideMark/>
          </w:tcPr>
          <w:p w:rsidR="00BB5BFE" w:rsidRPr="00E354EC" w:rsidRDefault="00BB5BFE" w:rsidP="00E479E5">
            <w:pPr>
              <w:jc w:val="center"/>
              <w:rPr>
                <w:sz w:val="20"/>
                <w:szCs w:val="20"/>
              </w:rPr>
            </w:pPr>
            <w:r w:rsidRPr="00E354EC">
              <w:rPr>
                <w:sz w:val="20"/>
                <w:szCs w:val="20"/>
              </w:rPr>
              <w:t>X</w:t>
            </w:r>
          </w:p>
        </w:tc>
        <w:tc>
          <w:tcPr>
            <w:tcW w:w="1086" w:type="dxa"/>
            <w:noWrap/>
            <w:vAlign w:val="center"/>
            <w:hideMark/>
          </w:tcPr>
          <w:p w:rsidR="00BB5BFE" w:rsidRPr="00E354EC" w:rsidRDefault="00BB5BFE" w:rsidP="00E479E5">
            <w:pPr>
              <w:jc w:val="center"/>
              <w:rPr>
                <w:sz w:val="20"/>
                <w:szCs w:val="20"/>
              </w:rPr>
            </w:pPr>
            <w:r w:rsidRPr="00E354EC">
              <w:rPr>
                <w:sz w:val="20"/>
                <w:szCs w:val="20"/>
              </w:rPr>
              <w:t>X</w:t>
            </w:r>
          </w:p>
        </w:tc>
      </w:tr>
      <w:tr w:rsidR="00BB5BFE" w:rsidRPr="00E354EC" w:rsidTr="00E479E5">
        <w:tc>
          <w:tcPr>
            <w:tcW w:w="2785" w:type="dxa"/>
            <w:noWrap/>
            <w:tcMar>
              <w:left w:w="115" w:type="dxa"/>
              <w:right w:w="0" w:type="dxa"/>
            </w:tcMar>
            <w:hideMark/>
          </w:tcPr>
          <w:p w:rsidR="00BB5BFE" w:rsidRPr="00E354EC" w:rsidRDefault="00BB5BFE" w:rsidP="00E479E5">
            <w:pPr>
              <w:jc w:val="left"/>
              <w:rPr>
                <w:sz w:val="20"/>
                <w:szCs w:val="20"/>
              </w:rPr>
            </w:pPr>
            <w:r w:rsidRPr="00E354EC">
              <w:rPr>
                <w:sz w:val="20"/>
                <w:szCs w:val="20"/>
              </w:rPr>
              <w:t>South Africa</w:t>
            </w:r>
          </w:p>
        </w:tc>
        <w:tc>
          <w:tcPr>
            <w:tcW w:w="1095" w:type="dxa"/>
            <w:noWrap/>
            <w:vAlign w:val="center"/>
            <w:hideMark/>
          </w:tcPr>
          <w:p w:rsidR="00BB5BFE" w:rsidRPr="00E354EC" w:rsidRDefault="00BB5BFE" w:rsidP="00E479E5">
            <w:pPr>
              <w:jc w:val="center"/>
              <w:rPr>
                <w:sz w:val="20"/>
                <w:szCs w:val="20"/>
              </w:rPr>
            </w:pPr>
            <w:r w:rsidRPr="00E354EC">
              <w:rPr>
                <w:sz w:val="20"/>
                <w:szCs w:val="20"/>
              </w:rPr>
              <w:t>X</w:t>
            </w:r>
          </w:p>
        </w:tc>
        <w:tc>
          <w:tcPr>
            <w:tcW w:w="1098" w:type="dxa"/>
            <w:noWrap/>
            <w:vAlign w:val="center"/>
            <w:hideMark/>
          </w:tcPr>
          <w:p w:rsidR="00BB5BFE" w:rsidRPr="00E354EC" w:rsidRDefault="00BB5BFE" w:rsidP="00E479E5">
            <w:pPr>
              <w:jc w:val="center"/>
              <w:rPr>
                <w:sz w:val="20"/>
                <w:szCs w:val="20"/>
              </w:rPr>
            </w:pPr>
          </w:p>
        </w:tc>
        <w:tc>
          <w:tcPr>
            <w:tcW w:w="1095" w:type="dxa"/>
            <w:noWrap/>
            <w:vAlign w:val="center"/>
            <w:hideMark/>
          </w:tcPr>
          <w:p w:rsidR="00BB5BFE" w:rsidRPr="00E354EC" w:rsidRDefault="00BB5BFE" w:rsidP="00E479E5">
            <w:pPr>
              <w:jc w:val="center"/>
              <w:rPr>
                <w:sz w:val="20"/>
                <w:szCs w:val="20"/>
              </w:rPr>
            </w:pPr>
          </w:p>
        </w:tc>
        <w:tc>
          <w:tcPr>
            <w:tcW w:w="1100" w:type="dxa"/>
            <w:noWrap/>
            <w:vAlign w:val="center"/>
            <w:hideMark/>
          </w:tcPr>
          <w:p w:rsidR="00BB5BFE" w:rsidRPr="00E354EC" w:rsidRDefault="00BB5BFE" w:rsidP="00E479E5">
            <w:pPr>
              <w:jc w:val="center"/>
              <w:rPr>
                <w:sz w:val="20"/>
                <w:szCs w:val="20"/>
              </w:rPr>
            </w:pPr>
          </w:p>
        </w:tc>
        <w:tc>
          <w:tcPr>
            <w:tcW w:w="1096" w:type="dxa"/>
            <w:noWrap/>
            <w:vAlign w:val="center"/>
            <w:hideMark/>
          </w:tcPr>
          <w:p w:rsidR="00BB5BFE" w:rsidRPr="00E354EC" w:rsidRDefault="00BB5BFE" w:rsidP="00E479E5">
            <w:pPr>
              <w:jc w:val="center"/>
              <w:rPr>
                <w:sz w:val="20"/>
                <w:szCs w:val="20"/>
              </w:rPr>
            </w:pPr>
            <w:r w:rsidRPr="00E354EC">
              <w:rPr>
                <w:sz w:val="20"/>
                <w:szCs w:val="20"/>
              </w:rPr>
              <w:t>X</w:t>
            </w:r>
          </w:p>
        </w:tc>
        <w:tc>
          <w:tcPr>
            <w:tcW w:w="1086" w:type="dxa"/>
            <w:noWrap/>
            <w:vAlign w:val="center"/>
            <w:hideMark/>
          </w:tcPr>
          <w:p w:rsidR="00BB5BFE" w:rsidRPr="00E354EC" w:rsidRDefault="00BB5BFE" w:rsidP="00E479E5">
            <w:pPr>
              <w:jc w:val="center"/>
              <w:rPr>
                <w:sz w:val="20"/>
                <w:szCs w:val="20"/>
              </w:rPr>
            </w:pPr>
            <w:r w:rsidRPr="00E354EC">
              <w:rPr>
                <w:sz w:val="20"/>
                <w:szCs w:val="20"/>
              </w:rPr>
              <w:t>X</w:t>
            </w:r>
          </w:p>
        </w:tc>
      </w:tr>
      <w:tr w:rsidR="00BB5BFE" w:rsidRPr="00E354EC" w:rsidTr="00E479E5">
        <w:tc>
          <w:tcPr>
            <w:tcW w:w="2785" w:type="dxa"/>
            <w:noWrap/>
            <w:tcMar>
              <w:left w:w="115" w:type="dxa"/>
              <w:right w:w="0" w:type="dxa"/>
            </w:tcMar>
            <w:hideMark/>
          </w:tcPr>
          <w:p w:rsidR="00BB5BFE" w:rsidRPr="00E354EC" w:rsidRDefault="00BB5BFE" w:rsidP="00E479E5">
            <w:pPr>
              <w:jc w:val="left"/>
              <w:rPr>
                <w:sz w:val="20"/>
                <w:szCs w:val="20"/>
              </w:rPr>
            </w:pPr>
            <w:r w:rsidRPr="00E354EC">
              <w:rPr>
                <w:sz w:val="20"/>
                <w:szCs w:val="20"/>
              </w:rPr>
              <w:t>Thailand</w:t>
            </w:r>
          </w:p>
        </w:tc>
        <w:tc>
          <w:tcPr>
            <w:tcW w:w="1095" w:type="dxa"/>
            <w:noWrap/>
            <w:vAlign w:val="center"/>
            <w:hideMark/>
          </w:tcPr>
          <w:p w:rsidR="00BB5BFE" w:rsidRPr="00E354EC" w:rsidRDefault="00BB5BFE" w:rsidP="00E479E5">
            <w:pPr>
              <w:jc w:val="center"/>
              <w:rPr>
                <w:sz w:val="20"/>
                <w:szCs w:val="20"/>
              </w:rPr>
            </w:pPr>
            <w:r w:rsidRPr="00E354EC">
              <w:rPr>
                <w:sz w:val="20"/>
                <w:szCs w:val="20"/>
              </w:rPr>
              <w:t>X</w:t>
            </w:r>
          </w:p>
        </w:tc>
        <w:tc>
          <w:tcPr>
            <w:tcW w:w="1098" w:type="dxa"/>
            <w:noWrap/>
            <w:vAlign w:val="center"/>
            <w:hideMark/>
          </w:tcPr>
          <w:p w:rsidR="00BB5BFE" w:rsidRPr="00E354EC" w:rsidRDefault="00BB5BFE" w:rsidP="00E479E5">
            <w:pPr>
              <w:jc w:val="center"/>
              <w:rPr>
                <w:sz w:val="20"/>
                <w:szCs w:val="20"/>
              </w:rPr>
            </w:pPr>
            <w:r w:rsidRPr="00E354EC">
              <w:rPr>
                <w:sz w:val="20"/>
                <w:szCs w:val="20"/>
              </w:rPr>
              <w:t>X</w:t>
            </w:r>
          </w:p>
        </w:tc>
        <w:tc>
          <w:tcPr>
            <w:tcW w:w="1095" w:type="dxa"/>
            <w:noWrap/>
            <w:vAlign w:val="center"/>
            <w:hideMark/>
          </w:tcPr>
          <w:p w:rsidR="00BB5BFE" w:rsidRPr="00E354EC" w:rsidRDefault="00BB5BFE" w:rsidP="00E479E5">
            <w:pPr>
              <w:jc w:val="center"/>
              <w:rPr>
                <w:sz w:val="20"/>
                <w:szCs w:val="20"/>
              </w:rPr>
            </w:pPr>
            <w:r w:rsidRPr="00E354EC">
              <w:rPr>
                <w:sz w:val="20"/>
                <w:szCs w:val="20"/>
              </w:rPr>
              <w:t>X</w:t>
            </w:r>
          </w:p>
        </w:tc>
        <w:tc>
          <w:tcPr>
            <w:tcW w:w="1100" w:type="dxa"/>
            <w:noWrap/>
            <w:vAlign w:val="center"/>
            <w:hideMark/>
          </w:tcPr>
          <w:p w:rsidR="00BB5BFE" w:rsidRPr="00E354EC" w:rsidRDefault="00BB5BFE" w:rsidP="00E479E5">
            <w:pPr>
              <w:jc w:val="center"/>
              <w:rPr>
                <w:sz w:val="20"/>
                <w:szCs w:val="20"/>
              </w:rPr>
            </w:pPr>
            <w:r w:rsidRPr="00E354EC">
              <w:rPr>
                <w:sz w:val="20"/>
                <w:szCs w:val="20"/>
              </w:rPr>
              <w:t>X</w:t>
            </w:r>
          </w:p>
        </w:tc>
        <w:tc>
          <w:tcPr>
            <w:tcW w:w="1096" w:type="dxa"/>
            <w:noWrap/>
            <w:vAlign w:val="center"/>
            <w:hideMark/>
          </w:tcPr>
          <w:p w:rsidR="00BB5BFE" w:rsidRPr="00E354EC" w:rsidRDefault="00BB5BFE" w:rsidP="00E479E5">
            <w:pPr>
              <w:jc w:val="center"/>
              <w:rPr>
                <w:sz w:val="20"/>
                <w:szCs w:val="20"/>
              </w:rPr>
            </w:pPr>
            <w:r w:rsidRPr="00E354EC">
              <w:rPr>
                <w:sz w:val="20"/>
                <w:szCs w:val="20"/>
              </w:rPr>
              <w:t>X</w:t>
            </w:r>
          </w:p>
        </w:tc>
        <w:tc>
          <w:tcPr>
            <w:tcW w:w="1086" w:type="dxa"/>
            <w:noWrap/>
            <w:vAlign w:val="center"/>
            <w:hideMark/>
          </w:tcPr>
          <w:p w:rsidR="00BB5BFE" w:rsidRPr="00E354EC" w:rsidRDefault="00BB5BFE" w:rsidP="00E479E5">
            <w:pPr>
              <w:jc w:val="center"/>
              <w:rPr>
                <w:sz w:val="20"/>
                <w:szCs w:val="20"/>
              </w:rPr>
            </w:pPr>
            <w:r w:rsidRPr="00E354EC">
              <w:rPr>
                <w:sz w:val="20"/>
                <w:szCs w:val="20"/>
              </w:rPr>
              <w:t>X</w:t>
            </w:r>
          </w:p>
        </w:tc>
      </w:tr>
      <w:tr w:rsidR="00BB5BFE" w:rsidRPr="00E354EC" w:rsidTr="00E479E5">
        <w:tc>
          <w:tcPr>
            <w:tcW w:w="2785" w:type="dxa"/>
            <w:noWrap/>
            <w:tcMar>
              <w:left w:w="115" w:type="dxa"/>
              <w:right w:w="0" w:type="dxa"/>
            </w:tcMar>
            <w:hideMark/>
          </w:tcPr>
          <w:p w:rsidR="00BB5BFE" w:rsidRPr="00E354EC" w:rsidRDefault="00BB5BFE" w:rsidP="00E479E5">
            <w:pPr>
              <w:jc w:val="left"/>
              <w:rPr>
                <w:sz w:val="20"/>
                <w:szCs w:val="20"/>
              </w:rPr>
            </w:pPr>
            <w:r w:rsidRPr="00E354EC">
              <w:rPr>
                <w:sz w:val="20"/>
                <w:szCs w:val="20"/>
              </w:rPr>
              <w:t>Tunisia</w:t>
            </w:r>
          </w:p>
        </w:tc>
        <w:tc>
          <w:tcPr>
            <w:tcW w:w="1095" w:type="dxa"/>
            <w:noWrap/>
            <w:vAlign w:val="center"/>
            <w:hideMark/>
          </w:tcPr>
          <w:p w:rsidR="00BB5BFE" w:rsidRPr="00E354EC" w:rsidRDefault="00BB5BFE" w:rsidP="00E479E5">
            <w:pPr>
              <w:jc w:val="center"/>
              <w:rPr>
                <w:sz w:val="20"/>
                <w:szCs w:val="20"/>
              </w:rPr>
            </w:pPr>
            <w:r w:rsidRPr="00E354EC">
              <w:rPr>
                <w:sz w:val="20"/>
                <w:szCs w:val="20"/>
              </w:rPr>
              <w:t>X</w:t>
            </w:r>
          </w:p>
        </w:tc>
        <w:tc>
          <w:tcPr>
            <w:tcW w:w="1098" w:type="dxa"/>
            <w:noWrap/>
            <w:vAlign w:val="center"/>
            <w:hideMark/>
          </w:tcPr>
          <w:p w:rsidR="00BB5BFE" w:rsidRPr="00E354EC" w:rsidRDefault="00BB5BFE" w:rsidP="00E479E5">
            <w:pPr>
              <w:jc w:val="center"/>
              <w:rPr>
                <w:sz w:val="20"/>
                <w:szCs w:val="20"/>
              </w:rPr>
            </w:pPr>
            <w:r w:rsidRPr="00E354EC">
              <w:rPr>
                <w:sz w:val="20"/>
                <w:szCs w:val="20"/>
              </w:rPr>
              <w:t>X</w:t>
            </w:r>
          </w:p>
        </w:tc>
        <w:tc>
          <w:tcPr>
            <w:tcW w:w="1095" w:type="dxa"/>
            <w:noWrap/>
            <w:vAlign w:val="center"/>
            <w:hideMark/>
          </w:tcPr>
          <w:p w:rsidR="00BB5BFE" w:rsidRPr="00E354EC" w:rsidRDefault="00BB5BFE" w:rsidP="00E479E5">
            <w:pPr>
              <w:jc w:val="center"/>
              <w:rPr>
                <w:sz w:val="20"/>
                <w:szCs w:val="20"/>
              </w:rPr>
            </w:pPr>
          </w:p>
        </w:tc>
        <w:tc>
          <w:tcPr>
            <w:tcW w:w="1100" w:type="dxa"/>
            <w:noWrap/>
            <w:vAlign w:val="center"/>
            <w:hideMark/>
          </w:tcPr>
          <w:p w:rsidR="00BB5BFE" w:rsidRPr="00E354EC" w:rsidRDefault="00BB5BFE" w:rsidP="00E479E5">
            <w:pPr>
              <w:jc w:val="center"/>
              <w:rPr>
                <w:sz w:val="20"/>
                <w:szCs w:val="20"/>
              </w:rPr>
            </w:pPr>
          </w:p>
        </w:tc>
        <w:tc>
          <w:tcPr>
            <w:tcW w:w="1096" w:type="dxa"/>
            <w:noWrap/>
            <w:vAlign w:val="center"/>
            <w:hideMark/>
          </w:tcPr>
          <w:p w:rsidR="00BB5BFE" w:rsidRPr="00E354EC" w:rsidRDefault="00BB5BFE" w:rsidP="00E479E5">
            <w:pPr>
              <w:jc w:val="center"/>
              <w:rPr>
                <w:sz w:val="20"/>
                <w:szCs w:val="20"/>
              </w:rPr>
            </w:pPr>
            <w:r w:rsidRPr="00E354EC">
              <w:rPr>
                <w:sz w:val="20"/>
                <w:szCs w:val="20"/>
              </w:rPr>
              <w:t>X</w:t>
            </w:r>
          </w:p>
        </w:tc>
        <w:tc>
          <w:tcPr>
            <w:tcW w:w="1086" w:type="dxa"/>
            <w:noWrap/>
            <w:vAlign w:val="center"/>
            <w:hideMark/>
          </w:tcPr>
          <w:p w:rsidR="00BB5BFE" w:rsidRPr="00E354EC" w:rsidRDefault="00BB5BFE" w:rsidP="00E479E5">
            <w:pPr>
              <w:jc w:val="center"/>
              <w:rPr>
                <w:sz w:val="20"/>
                <w:szCs w:val="20"/>
              </w:rPr>
            </w:pPr>
            <w:r w:rsidRPr="00E354EC">
              <w:rPr>
                <w:sz w:val="20"/>
                <w:szCs w:val="20"/>
              </w:rPr>
              <w:t>X</w:t>
            </w:r>
          </w:p>
        </w:tc>
      </w:tr>
      <w:tr w:rsidR="00BB5BFE" w:rsidRPr="00E354EC" w:rsidTr="00E479E5">
        <w:tc>
          <w:tcPr>
            <w:tcW w:w="2785" w:type="dxa"/>
            <w:noWrap/>
            <w:tcMar>
              <w:left w:w="115" w:type="dxa"/>
              <w:right w:w="0" w:type="dxa"/>
            </w:tcMar>
            <w:hideMark/>
          </w:tcPr>
          <w:p w:rsidR="00BB5BFE" w:rsidRPr="00E354EC" w:rsidRDefault="00BB5BFE" w:rsidP="00E479E5">
            <w:pPr>
              <w:jc w:val="left"/>
              <w:rPr>
                <w:sz w:val="20"/>
                <w:szCs w:val="20"/>
              </w:rPr>
            </w:pPr>
            <w:r w:rsidRPr="00E354EC">
              <w:rPr>
                <w:sz w:val="20"/>
                <w:szCs w:val="20"/>
              </w:rPr>
              <w:t>Turkey</w:t>
            </w:r>
          </w:p>
        </w:tc>
        <w:tc>
          <w:tcPr>
            <w:tcW w:w="1095" w:type="dxa"/>
            <w:noWrap/>
            <w:vAlign w:val="center"/>
            <w:hideMark/>
          </w:tcPr>
          <w:p w:rsidR="00BB5BFE" w:rsidRPr="00E354EC" w:rsidRDefault="00BB5BFE" w:rsidP="00E479E5">
            <w:pPr>
              <w:jc w:val="center"/>
              <w:rPr>
                <w:sz w:val="20"/>
                <w:szCs w:val="20"/>
              </w:rPr>
            </w:pPr>
            <w:r w:rsidRPr="00E354EC">
              <w:rPr>
                <w:sz w:val="20"/>
                <w:szCs w:val="20"/>
              </w:rPr>
              <w:t>X</w:t>
            </w:r>
          </w:p>
        </w:tc>
        <w:tc>
          <w:tcPr>
            <w:tcW w:w="1098" w:type="dxa"/>
            <w:noWrap/>
            <w:vAlign w:val="center"/>
            <w:hideMark/>
          </w:tcPr>
          <w:p w:rsidR="00BB5BFE" w:rsidRPr="00E354EC" w:rsidRDefault="00BB5BFE" w:rsidP="00E479E5">
            <w:pPr>
              <w:jc w:val="center"/>
              <w:rPr>
                <w:sz w:val="20"/>
                <w:szCs w:val="20"/>
              </w:rPr>
            </w:pPr>
            <w:r w:rsidRPr="00E354EC">
              <w:rPr>
                <w:sz w:val="20"/>
                <w:szCs w:val="20"/>
              </w:rPr>
              <w:t>X</w:t>
            </w:r>
          </w:p>
        </w:tc>
        <w:tc>
          <w:tcPr>
            <w:tcW w:w="1095" w:type="dxa"/>
            <w:noWrap/>
            <w:vAlign w:val="center"/>
            <w:hideMark/>
          </w:tcPr>
          <w:p w:rsidR="00BB5BFE" w:rsidRPr="00E354EC" w:rsidRDefault="00BB5BFE" w:rsidP="00E479E5">
            <w:pPr>
              <w:jc w:val="center"/>
              <w:rPr>
                <w:sz w:val="20"/>
                <w:szCs w:val="20"/>
              </w:rPr>
            </w:pPr>
          </w:p>
        </w:tc>
        <w:tc>
          <w:tcPr>
            <w:tcW w:w="1100" w:type="dxa"/>
            <w:noWrap/>
            <w:vAlign w:val="center"/>
            <w:hideMark/>
          </w:tcPr>
          <w:p w:rsidR="00BB5BFE" w:rsidRPr="00E354EC" w:rsidRDefault="00BB5BFE" w:rsidP="00E479E5">
            <w:pPr>
              <w:jc w:val="center"/>
              <w:rPr>
                <w:sz w:val="20"/>
                <w:szCs w:val="20"/>
              </w:rPr>
            </w:pPr>
          </w:p>
        </w:tc>
        <w:tc>
          <w:tcPr>
            <w:tcW w:w="1096" w:type="dxa"/>
            <w:noWrap/>
            <w:vAlign w:val="center"/>
            <w:hideMark/>
          </w:tcPr>
          <w:p w:rsidR="00BB5BFE" w:rsidRPr="00E354EC" w:rsidRDefault="00BB5BFE" w:rsidP="00E479E5">
            <w:pPr>
              <w:jc w:val="center"/>
              <w:rPr>
                <w:sz w:val="20"/>
                <w:szCs w:val="20"/>
              </w:rPr>
            </w:pPr>
            <w:r w:rsidRPr="00E354EC">
              <w:rPr>
                <w:sz w:val="20"/>
                <w:szCs w:val="20"/>
              </w:rPr>
              <w:t>X</w:t>
            </w:r>
          </w:p>
        </w:tc>
        <w:tc>
          <w:tcPr>
            <w:tcW w:w="1086" w:type="dxa"/>
            <w:noWrap/>
            <w:vAlign w:val="center"/>
            <w:hideMark/>
          </w:tcPr>
          <w:p w:rsidR="00BB5BFE" w:rsidRPr="00E354EC" w:rsidRDefault="00BB5BFE" w:rsidP="00E479E5">
            <w:pPr>
              <w:jc w:val="center"/>
              <w:rPr>
                <w:sz w:val="20"/>
                <w:szCs w:val="20"/>
              </w:rPr>
            </w:pPr>
            <w:r w:rsidRPr="00E354EC">
              <w:rPr>
                <w:sz w:val="20"/>
                <w:szCs w:val="20"/>
              </w:rPr>
              <w:t>X</w:t>
            </w:r>
          </w:p>
        </w:tc>
      </w:tr>
      <w:tr w:rsidR="00BB5BFE" w:rsidRPr="00E354EC" w:rsidTr="00E479E5">
        <w:tc>
          <w:tcPr>
            <w:tcW w:w="2785" w:type="dxa"/>
            <w:noWrap/>
            <w:tcMar>
              <w:left w:w="115" w:type="dxa"/>
              <w:right w:w="0" w:type="dxa"/>
            </w:tcMar>
            <w:hideMark/>
          </w:tcPr>
          <w:p w:rsidR="00BB5BFE" w:rsidRPr="00E354EC" w:rsidRDefault="00BB5BFE" w:rsidP="00E479E5">
            <w:pPr>
              <w:jc w:val="left"/>
              <w:rPr>
                <w:sz w:val="20"/>
                <w:szCs w:val="20"/>
              </w:rPr>
            </w:pPr>
            <w:r w:rsidRPr="00E354EC">
              <w:rPr>
                <w:sz w:val="20"/>
                <w:szCs w:val="20"/>
              </w:rPr>
              <w:t>Tuvalu</w:t>
            </w:r>
          </w:p>
        </w:tc>
        <w:tc>
          <w:tcPr>
            <w:tcW w:w="1095" w:type="dxa"/>
            <w:noWrap/>
            <w:vAlign w:val="center"/>
            <w:hideMark/>
          </w:tcPr>
          <w:p w:rsidR="00BB5BFE" w:rsidRPr="00E354EC" w:rsidRDefault="00BB5BFE" w:rsidP="00E479E5">
            <w:pPr>
              <w:jc w:val="center"/>
              <w:rPr>
                <w:sz w:val="20"/>
                <w:szCs w:val="20"/>
              </w:rPr>
            </w:pPr>
            <w:r w:rsidRPr="00E354EC">
              <w:rPr>
                <w:sz w:val="20"/>
                <w:szCs w:val="20"/>
              </w:rPr>
              <w:t>X</w:t>
            </w:r>
          </w:p>
        </w:tc>
        <w:tc>
          <w:tcPr>
            <w:tcW w:w="1098" w:type="dxa"/>
            <w:noWrap/>
            <w:vAlign w:val="center"/>
            <w:hideMark/>
          </w:tcPr>
          <w:p w:rsidR="00BB5BFE" w:rsidRPr="00E354EC" w:rsidRDefault="00BB5BFE" w:rsidP="00E479E5">
            <w:pPr>
              <w:jc w:val="center"/>
              <w:rPr>
                <w:sz w:val="20"/>
                <w:szCs w:val="20"/>
              </w:rPr>
            </w:pPr>
            <w:r w:rsidRPr="00E354EC">
              <w:rPr>
                <w:sz w:val="20"/>
                <w:szCs w:val="20"/>
              </w:rPr>
              <w:t>X</w:t>
            </w:r>
          </w:p>
        </w:tc>
        <w:tc>
          <w:tcPr>
            <w:tcW w:w="1095" w:type="dxa"/>
            <w:noWrap/>
            <w:vAlign w:val="center"/>
            <w:hideMark/>
          </w:tcPr>
          <w:p w:rsidR="00BB5BFE" w:rsidRPr="00E354EC" w:rsidRDefault="00BB5BFE" w:rsidP="00E479E5">
            <w:pPr>
              <w:jc w:val="center"/>
              <w:rPr>
                <w:sz w:val="20"/>
                <w:szCs w:val="20"/>
              </w:rPr>
            </w:pPr>
          </w:p>
        </w:tc>
        <w:tc>
          <w:tcPr>
            <w:tcW w:w="1100" w:type="dxa"/>
            <w:noWrap/>
            <w:vAlign w:val="center"/>
            <w:hideMark/>
          </w:tcPr>
          <w:p w:rsidR="00BB5BFE" w:rsidRPr="00E354EC" w:rsidRDefault="00BB5BFE" w:rsidP="00E479E5">
            <w:pPr>
              <w:jc w:val="center"/>
              <w:rPr>
                <w:sz w:val="20"/>
                <w:szCs w:val="20"/>
              </w:rPr>
            </w:pPr>
          </w:p>
        </w:tc>
        <w:tc>
          <w:tcPr>
            <w:tcW w:w="1096" w:type="dxa"/>
            <w:noWrap/>
            <w:vAlign w:val="center"/>
            <w:hideMark/>
          </w:tcPr>
          <w:p w:rsidR="00BB5BFE" w:rsidRPr="00E354EC" w:rsidRDefault="00BB5BFE" w:rsidP="00E479E5">
            <w:pPr>
              <w:jc w:val="center"/>
              <w:rPr>
                <w:sz w:val="20"/>
                <w:szCs w:val="20"/>
              </w:rPr>
            </w:pPr>
            <w:r w:rsidRPr="00E354EC">
              <w:rPr>
                <w:sz w:val="20"/>
                <w:szCs w:val="20"/>
              </w:rPr>
              <w:t>X</w:t>
            </w:r>
          </w:p>
        </w:tc>
        <w:tc>
          <w:tcPr>
            <w:tcW w:w="1086" w:type="dxa"/>
            <w:noWrap/>
            <w:vAlign w:val="center"/>
            <w:hideMark/>
          </w:tcPr>
          <w:p w:rsidR="00BB5BFE" w:rsidRPr="00E354EC" w:rsidRDefault="00BB5BFE" w:rsidP="00E479E5">
            <w:pPr>
              <w:jc w:val="center"/>
              <w:rPr>
                <w:sz w:val="20"/>
                <w:szCs w:val="20"/>
              </w:rPr>
            </w:pPr>
            <w:r w:rsidRPr="00E354EC">
              <w:rPr>
                <w:sz w:val="20"/>
                <w:szCs w:val="20"/>
              </w:rPr>
              <w:t>X</w:t>
            </w:r>
          </w:p>
        </w:tc>
      </w:tr>
      <w:tr w:rsidR="00BB5BFE" w:rsidRPr="00E354EC" w:rsidTr="00E479E5">
        <w:tc>
          <w:tcPr>
            <w:tcW w:w="2785" w:type="dxa"/>
            <w:noWrap/>
            <w:tcMar>
              <w:left w:w="115" w:type="dxa"/>
              <w:right w:w="0" w:type="dxa"/>
            </w:tcMar>
            <w:hideMark/>
          </w:tcPr>
          <w:p w:rsidR="00BB5BFE" w:rsidRPr="00E354EC" w:rsidRDefault="00BB5BFE" w:rsidP="00E479E5">
            <w:pPr>
              <w:jc w:val="left"/>
              <w:rPr>
                <w:sz w:val="20"/>
                <w:szCs w:val="20"/>
              </w:rPr>
            </w:pPr>
            <w:r w:rsidRPr="00E354EC">
              <w:rPr>
                <w:sz w:val="20"/>
                <w:szCs w:val="20"/>
              </w:rPr>
              <w:t>Uruguay</w:t>
            </w:r>
          </w:p>
        </w:tc>
        <w:tc>
          <w:tcPr>
            <w:tcW w:w="1095" w:type="dxa"/>
            <w:noWrap/>
            <w:vAlign w:val="center"/>
            <w:hideMark/>
          </w:tcPr>
          <w:p w:rsidR="00BB5BFE" w:rsidRPr="00E354EC" w:rsidRDefault="00BB5BFE" w:rsidP="00E479E5">
            <w:pPr>
              <w:jc w:val="center"/>
              <w:rPr>
                <w:sz w:val="20"/>
                <w:szCs w:val="20"/>
              </w:rPr>
            </w:pPr>
            <w:r w:rsidRPr="00E354EC">
              <w:rPr>
                <w:sz w:val="20"/>
                <w:szCs w:val="20"/>
              </w:rPr>
              <w:t>X</w:t>
            </w:r>
          </w:p>
        </w:tc>
        <w:tc>
          <w:tcPr>
            <w:tcW w:w="1098" w:type="dxa"/>
            <w:noWrap/>
            <w:vAlign w:val="center"/>
            <w:hideMark/>
          </w:tcPr>
          <w:p w:rsidR="00BB5BFE" w:rsidRPr="00E354EC" w:rsidRDefault="00BB5BFE" w:rsidP="00E479E5">
            <w:pPr>
              <w:jc w:val="center"/>
              <w:rPr>
                <w:sz w:val="20"/>
                <w:szCs w:val="20"/>
              </w:rPr>
            </w:pPr>
            <w:r w:rsidRPr="00E354EC">
              <w:rPr>
                <w:sz w:val="20"/>
                <w:szCs w:val="20"/>
              </w:rPr>
              <w:t>X</w:t>
            </w:r>
          </w:p>
        </w:tc>
        <w:tc>
          <w:tcPr>
            <w:tcW w:w="1095" w:type="dxa"/>
            <w:noWrap/>
            <w:vAlign w:val="center"/>
            <w:hideMark/>
          </w:tcPr>
          <w:p w:rsidR="00BB5BFE" w:rsidRPr="00E354EC" w:rsidRDefault="00BB5BFE" w:rsidP="00E479E5">
            <w:pPr>
              <w:jc w:val="center"/>
              <w:rPr>
                <w:sz w:val="20"/>
                <w:szCs w:val="20"/>
              </w:rPr>
            </w:pPr>
          </w:p>
        </w:tc>
        <w:tc>
          <w:tcPr>
            <w:tcW w:w="1100" w:type="dxa"/>
            <w:noWrap/>
            <w:vAlign w:val="center"/>
            <w:hideMark/>
          </w:tcPr>
          <w:p w:rsidR="00BB5BFE" w:rsidRPr="00E354EC" w:rsidRDefault="00BB5BFE" w:rsidP="00E479E5">
            <w:pPr>
              <w:jc w:val="center"/>
              <w:rPr>
                <w:sz w:val="20"/>
                <w:szCs w:val="20"/>
              </w:rPr>
            </w:pPr>
          </w:p>
        </w:tc>
        <w:tc>
          <w:tcPr>
            <w:tcW w:w="1096" w:type="dxa"/>
            <w:noWrap/>
            <w:vAlign w:val="center"/>
            <w:hideMark/>
          </w:tcPr>
          <w:p w:rsidR="00BB5BFE" w:rsidRPr="00E354EC" w:rsidRDefault="00BB5BFE" w:rsidP="00E479E5">
            <w:pPr>
              <w:jc w:val="center"/>
              <w:rPr>
                <w:sz w:val="20"/>
                <w:szCs w:val="20"/>
              </w:rPr>
            </w:pPr>
          </w:p>
        </w:tc>
        <w:tc>
          <w:tcPr>
            <w:tcW w:w="1086" w:type="dxa"/>
            <w:noWrap/>
            <w:vAlign w:val="center"/>
            <w:hideMark/>
          </w:tcPr>
          <w:p w:rsidR="00BB5BFE" w:rsidRPr="00E354EC" w:rsidRDefault="00BB5BFE" w:rsidP="00E479E5">
            <w:pPr>
              <w:jc w:val="center"/>
              <w:rPr>
                <w:sz w:val="20"/>
                <w:szCs w:val="20"/>
              </w:rPr>
            </w:pPr>
          </w:p>
        </w:tc>
      </w:tr>
      <w:tr w:rsidR="00BB5BFE" w:rsidRPr="00E354EC" w:rsidTr="00E479E5">
        <w:tc>
          <w:tcPr>
            <w:tcW w:w="2785" w:type="dxa"/>
            <w:noWrap/>
            <w:tcMar>
              <w:left w:w="115" w:type="dxa"/>
              <w:right w:w="0" w:type="dxa"/>
            </w:tcMar>
            <w:hideMark/>
          </w:tcPr>
          <w:p w:rsidR="00BB5BFE" w:rsidRPr="00E354EC" w:rsidRDefault="00BB5BFE" w:rsidP="00E479E5">
            <w:pPr>
              <w:jc w:val="left"/>
              <w:rPr>
                <w:sz w:val="20"/>
                <w:szCs w:val="20"/>
              </w:rPr>
            </w:pPr>
            <w:r w:rsidRPr="00E354EC">
              <w:rPr>
                <w:sz w:val="20"/>
                <w:szCs w:val="20"/>
              </w:rPr>
              <w:t>Venezuela</w:t>
            </w:r>
            <w:r>
              <w:rPr>
                <w:sz w:val="20"/>
                <w:szCs w:val="20"/>
              </w:rPr>
              <w:t xml:space="preserve"> (Bolivarian Republic)</w:t>
            </w:r>
          </w:p>
        </w:tc>
        <w:tc>
          <w:tcPr>
            <w:tcW w:w="1095" w:type="dxa"/>
            <w:noWrap/>
            <w:vAlign w:val="center"/>
            <w:hideMark/>
          </w:tcPr>
          <w:p w:rsidR="00BB5BFE" w:rsidRPr="00E354EC" w:rsidRDefault="00BB5BFE" w:rsidP="00E479E5">
            <w:pPr>
              <w:jc w:val="center"/>
              <w:rPr>
                <w:sz w:val="20"/>
                <w:szCs w:val="20"/>
              </w:rPr>
            </w:pPr>
            <w:r w:rsidRPr="00E354EC">
              <w:rPr>
                <w:sz w:val="20"/>
                <w:szCs w:val="20"/>
              </w:rPr>
              <w:t>X</w:t>
            </w:r>
          </w:p>
        </w:tc>
        <w:tc>
          <w:tcPr>
            <w:tcW w:w="1098" w:type="dxa"/>
            <w:noWrap/>
            <w:vAlign w:val="center"/>
            <w:hideMark/>
          </w:tcPr>
          <w:p w:rsidR="00BB5BFE" w:rsidRPr="00E354EC" w:rsidRDefault="00BB5BFE" w:rsidP="00E479E5">
            <w:pPr>
              <w:jc w:val="center"/>
              <w:rPr>
                <w:sz w:val="20"/>
                <w:szCs w:val="20"/>
              </w:rPr>
            </w:pPr>
            <w:r w:rsidRPr="00E354EC">
              <w:rPr>
                <w:sz w:val="20"/>
                <w:szCs w:val="20"/>
              </w:rPr>
              <w:t>X</w:t>
            </w:r>
          </w:p>
        </w:tc>
        <w:tc>
          <w:tcPr>
            <w:tcW w:w="1095" w:type="dxa"/>
            <w:noWrap/>
            <w:vAlign w:val="center"/>
            <w:hideMark/>
          </w:tcPr>
          <w:p w:rsidR="00BB5BFE" w:rsidRPr="00E354EC" w:rsidRDefault="00BB5BFE" w:rsidP="00E479E5">
            <w:pPr>
              <w:jc w:val="center"/>
              <w:rPr>
                <w:sz w:val="20"/>
                <w:szCs w:val="20"/>
              </w:rPr>
            </w:pPr>
          </w:p>
        </w:tc>
        <w:tc>
          <w:tcPr>
            <w:tcW w:w="1100" w:type="dxa"/>
            <w:noWrap/>
            <w:vAlign w:val="center"/>
            <w:hideMark/>
          </w:tcPr>
          <w:p w:rsidR="00BB5BFE" w:rsidRPr="00E354EC" w:rsidRDefault="00BB5BFE" w:rsidP="00E479E5">
            <w:pPr>
              <w:jc w:val="center"/>
              <w:rPr>
                <w:sz w:val="20"/>
                <w:szCs w:val="20"/>
              </w:rPr>
            </w:pPr>
          </w:p>
        </w:tc>
        <w:tc>
          <w:tcPr>
            <w:tcW w:w="1096" w:type="dxa"/>
            <w:noWrap/>
            <w:vAlign w:val="center"/>
            <w:hideMark/>
          </w:tcPr>
          <w:p w:rsidR="00BB5BFE" w:rsidRPr="00E354EC" w:rsidRDefault="00BB5BFE" w:rsidP="00E479E5">
            <w:pPr>
              <w:jc w:val="center"/>
              <w:rPr>
                <w:sz w:val="20"/>
                <w:szCs w:val="20"/>
              </w:rPr>
            </w:pPr>
          </w:p>
        </w:tc>
        <w:tc>
          <w:tcPr>
            <w:tcW w:w="1086" w:type="dxa"/>
            <w:noWrap/>
            <w:vAlign w:val="center"/>
            <w:hideMark/>
          </w:tcPr>
          <w:p w:rsidR="00BB5BFE" w:rsidRPr="00E354EC" w:rsidRDefault="00BB5BFE" w:rsidP="00E479E5">
            <w:pPr>
              <w:jc w:val="center"/>
              <w:rPr>
                <w:sz w:val="20"/>
                <w:szCs w:val="20"/>
              </w:rPr>
            </w:pPr>
          </w:p>
        </w:tc>
      </w:tr>
      <w:tr w:rsidR="00BB5BFE" w:rsidRPr="00E354EC" w:rsidTr="00E479E5">
        <w:tc>
          <w:tcPr>
            <w:tcW w:w="2785" w:type="dxa"/>
            <w:noWrap/>
            <w:tcMar>
              <w:left w:w="115" w:type="dxa"/>
              <w:right w:w="0" w:type="dxa"/>
            </w:tcMar>
            <w:hideMark/>
          </w:tcPr>
          <w:p w:rsidR="00BB5BFE" w:rsidRPr="00E354EC" w:rsidRDefault="00BB5BFE" w:rsidP="00E479E5">
            <w:pPr>
              <w:jc w:val="left"/>
              <w:rPr>
                <w:sz w:val="20"/>
                <w:szCs w:val="20"/>
              </w:rPr>
            </w:pPr>
            <w:r w:rsidRPr="00E354EC">
              <w:rPr>
                <w:sz w:val="20"/>
                <w:szCs w:val="20"/>
              </w:rPr>
              <w:t>Viet Nam</w:t>
            </w:r>
          </w:p>
        </w:tc>
        <w:tc>
          <w:tcPr>
            <w:tcW w:w="1095" w:type="dxa"/>
            <w:noWrap/>
            <w:vAlign w:val="center"/>
            <w:hideMark/>
          </w:tcPr>
          <w:p w:rsidR="00BB5BFE" w:rsidRPr="00E354EC" w:rsidRDefault="00BB5BFE" w:rsidP="00E479E5">
            <w:pPr>
              <w:jc w:val="center"/>
              <w:rPr>
                <w:sz w:val="20"/>
                <w:szCs w:val="20"/>
              </w:rPr>
            </w:pPr>
            <w:r w:rsidRPr="00E354EC">
              <w:rPr>
                <w:sz w:val="20"/>
                <w:szCs w:val="20"/>
              </w:rPr>
              <w:t>X</w:t>
            </w:r>
          </w:p>
        </w:tc>
        <w:tc>
          <w:tcPr>
            <w:tcW w:w="1098" w:type="dxa"/>
            <w:noWrap/>
            <w:vAlign w:val="center"/>
            <w:hideMark/>
          </w:tcPr>
          <w:p w:rsidR="00BB5BFE" w:rsidRPr="00E354EC" w:rsidRDefault="00BB5BFE" w:rsidP="00E479E5">
            <w:pPr>
              <w:jc w:val="center"/>
              <w:rPr>
                <w:sz w:val="20"/>
                <w:szCs w:val="20"/>
              </w:rPr>
            </w:pPr>
            <w:r w:rsidRPr="00E354EC">
              <w:rPr>
                <w:sz w:val="20"/>
                <w:szCs w:val="20"/>
              </w:rPr>
              <w:t>X</w:t>
            </w:r>
          </w:p>
        </w:tc>
        <w:tc>
          <w:tcPr>
            <w:tcW w:w="1095" w:type="dxa"/>
            <w:noWrap/>
            <w:vAlign w:val="center"/>
            <w:hideMark/>
          </w:tcPr>
          <w:p w:rsidR="00BB5BFE" w:rsidRPr="00E354EC" w:rsidRDefault="00BB5BFE" w:rsidP="00E479E5">
            <w:pPr>
              <w:jc w:val="center"/>
              <w:rPr>
                <w:sz w:val="20"/>
                <w:szCs w:val="20"/>
              </w:rPr>
            </w:pPr>
            <w:r w:rsidRPr="00E354EC">
              <w:rPr>
                <w:sz w:val="20"/>
                <w:szCs w:val="20"/>
              </w:rPr>
              <w:t>X</w:t>
            </w:r>
          </w:p>
        </w:tc>
        <w:tc>
          <w:tcPr>
            <w:tcW w:w="1100" w:type="dxa"/>
            <w:noWrap/>
            <w:vAlign w:val="center"/>
            <w:hideMark/>
          </w:tcPr>
          <w:p w:rsidR="00BB5BFE" w:rsidRPr="00E354EC" w:rsidRDefault="00BB5BFE" w:rsidP="00E479E5">
            <w:pPr>
              <w:jc w:val="center"/>
              <w:rPr>
                <w:sz w:val="20"/>
                <w:szCs w:val="20"/>
              </w:rPr>
            </w:pPr>
            <w:r w:rsidRPr="00E354EC">
              <w:rPr>
                <w:sz w:val="20"/>
                <w:szCs w:val="20"/>
              </w:rPr>
              <w:t>X</w:t>
            </w:r>
          </w:p>
        </w:tc>
        <w:tc>
          <w:tcPr>
            <w:tcW w:w="1096" w:type="dxa"/>
            <w:noWrap/>
            <w:vAlign w:val="center"/>
            <w:hideMark/>
          </w:tcPr>
          <w:p w:rsidR="00BB5BFE" w:rsidRPr="00E354EC" w:rsidRDefault="00BB5BFE" w:rsidP="00E479E5">
            <w:pPr>
              <w:jc w:val="center"/>
              <w:rPr>
                <w:sz w:val="20"/>
                <w:szCs w:val="20"/>
              </w:rPr>
            </w:pPr>
          </w:p>
        </w:tc>
        <w:tc>
          <w:tcPr>
            <w:tcW w:w="1086" w:type="dxa"/>
            <w:noWrap/>
            <w:vAlign w:val="center"/>
            <w:hideMark/>
          </w:tcPr>
          <w:p w:rsidR="00BB5BFE" w:rsidRPr="00E354EC" w:rsidRDefault="00BB5BFE" w:rsidP="00E479E5">
            <w:pPr>
              <w:jc w:val="center"/>
              <w:rPr>
                <w:sz w:val="20"/>
                <w:szCs w:val="20"/>
              </w:rPr>
            </w:pPr>
            <w:r w:rsidRPr="00E354EC">
              <w:rPr>
                <w:sz w:val="20"/>
                <w:szCs w:val="20"/>
              </w:rPr>
              <w:t>X</w:t>
            </w:r>
          </w:p>
        </w:tc>
      </w:tr>
    </w:tbl>
    <w:p w:rsidR="00BB5BFE" w:rsidRPr="00621392" w:rsidRDefault="00BB5BFE" w:rsidP="00E479E5">
      <w:pPr>
        <w:pStyle w:val="Heading1"/>
        <w:numPr>
          <w:ilvl w:val="0"/>
          <w:numId w:val="0"/>
        </w:numPr>
        <w:spacing w:after="0"/>
      </w:pPr>
    </w:p>
    <w:p w:rsidR="00BB5BFE" w:rsidRDefault="00BB5BFE" w:rsidP="00E479E5">
      <w:pPr>
        <w:pStyle w:val="Heading1"/>
      </w:pPr>
      <w:r>
        <w:t xml:space="preserve">During implementation of HCFC phase-out, </w:t>
      </w:r>
      <w:r>
        <w:rPr>
          <w:lang w:val="en-CA"/>
        </w:rPr>
        <w:t>t</w:t>
      </w:r>
      <w:r w:rsidRPr="00B2731E">
        <w:t xml:space="preserve">he Executive Committee </w:t>
      </w:r>
      <w:r>
        <w:t xml:space="preserve">has </w:t>
      </w:r>
      <w:r w:rsidRPr="00B2731E">
        <w:t>sought opportunities to promote energy efficiency improvements</w:t>
      </w:r>
      <w:r>
        <w:t xml:space="preserve"> in the RACHP sector. In particular, the Committee approved 14 demonstration projects related to the introduction of low-GWP alternatives to HCFCs in different sectors. The promotion of energy efficiency improvements, and reports on the achieved energy efficiency performance were among the criteria used to select projects for funding. </w:t>
      </w:r>
    </w:p>
    <w:p w:rsidR="00BB5BFE" w:rsidRDefault="00BB5BFE" w:rsidP="00E479E5">
      <w:pPr>
        <w:pStyle w:val="Heading1"/>
      </w:pPr>
      <w:r>
        <w:t>Energy efficiency considerations influenced the approval of the conversion of the air-conditioning manufacturing sector in two countries. The HPMP for Jordan included a requirement that the air</w:t>
      </w:r>
      <w:r>
        <w:noBreakHyphen/>
        <w:t xml:space="preserve">conditioning sector plan would incorporate policy and technical approaches to improve the energy efficiency of residential air-conditioning equipment to offset the climate impact associated with the introduction of R-410A technology. The HPMP for Thailand included technical assistance to support promoting the adoption of energy-efficient products beyond those that were part of the conversion, and to support assisting energy-efficiency initiatives in buildings. </w:t>
      </w:r>
    </w:p>
    <w:p w:rsidR="00BB5BFE" w:rsidRDefault="00BB5BFE" w:rsidP="00E479E5">
      <w:pPr>
        <w:pStyle w:val="Heading1"/>
      </w:pPr>
      <w:r>
        <w:t xml:space="preserve">Even though energy efficiency policies are not within the responsibilities of </w:t>
      </w:r>
      <w:r>
        <w:rPr>
          <w:rFonts w:eastAsia="DengXian"/>
        </w:rPr>
        <w:t>NOUs</w:t>
      </w:r>
      <w:r>
        <w:t>, at its 82</w:t>
      </w:r>
      <w:r w:rsidRPr="00A52941">
        <w:rPr>
          <w:vertAlign w:val="superscript"/>
        </w:rPr>
        <w:t>nd</w:t>
      </w:r>
      <w:r>
        <w:t> meeting (December 2018), the Executive Committee provided flexibility for Article 5 Parties engaged in enabling activities</w:t>
      </w:r>
      <w:r>
        <w:rPr>
          <w:rStyle w:val="FootnoteReference"/>
        </w:rPr>
        <w:footnoteReference w:id="40"/>
      </w:r>
      <w:r>
        <w:t xml:space="preserve"> to undertake the following activities using the funding already approved:</w:t>
      </w:r>
      <w:r>
        <w:rPr>
          <w:rStyle w:val="FootnoteReference"/>
        </w:rPr>
        <w:footnoteReference w:id="41"/>
      </w:r>
      <w:r>
        <w:t xml:space="preserve"> </w:t>
      </w:r>
    </w:p>
    <w:p w:rsidR="00BB5BFE" w:rsidRDefault="00BB5BFE" w:rsidP="00BB5BFE">
      <w:pPr>
        <w:pStyle w:val="Heading2"/>
        <w:numPr>
          <w:ilvl w:val="1"/>
          <w:numId w:val="1"/>
        </w:numPr>
      </w:pPr>
      <w:r>
        <w:t>Development and enforcement of policies and regulations to avoid market penetration of energy-inefficient RACHP equipment;</w:t>
      </w:r>
    </w:p>
    <w:p w:rsidR="00BB5BFE" w:rsidRDefault="00BB5BFE" w:rsidP="00BB5BFE">
      <w:pPr>
        <w:pStyle w:val="Heading2"/>
        <w:numPr>
          <w:ilvl w:val="1"/>
          <w:numId w:val="1"/>
        </w:numPr>
      </w:pPr>
      <w:r>
        <w:t>Promotion of access to energy-efficient technologies in those sectors; and</w:t>
      </w:r>
    </w:p>
    <w:p w:rsidR="00BB5BFE" w:rsidRDefault="00BB5BFE" w:rsidP="00BB5BFE">
      <w:pPr>
        <w:pStyle w:val="Heading2"/>
        <w:numPr>
          <w:ilvl w:val="1"/>
          <w:numId w:val="1"/>
        </w:numPr>
      </w:pPr>
      <w:r>
        <w:t>Targeted training on certification, safety and standards, awareness raising and capacity building aimed at maintaining and enhancing energy efficiency.</w:t>
      </w:r>
    </w:p>
    <w:p w:rsidR="00BB5BFE" w:rsidRDefault="00BB5BFE" w:rsidP="00E479E5">
      <w:pPr>
        <w:pStyle w:val="Heading1"/>
      </w:pPr>
      <w:r>
        <w:rPr>
          <w:rFonts w:eastAsia="DengXian"/>
        </w:rPr>
        <w:t>As mentioned in the TEAP Decision XXIX/10 Task Force report, i</w:t>
      </w:r>
      <w:r w:rsidRPr="00F867D0">
        <w:rPr>
          <w:rFonts w:eastAsia="DengXian"/>
        </w:rPr>
        <w:t xml:space="preserve">t is important for </w:t>
      </w:r>
      <w:r>
        <w:rPr>
          <w:rFonts w:eastAsia="DengXian"/>
        </w:rPr>
        <w:t>national ozone officers (</w:t>
      </w:r>
      <w:r w:rsidRPr="00F867D0">
        <w:rPr>
          <w:rFonts w:eastAsia="DengXian"/>
        </w:rPr>
        <w:t>NO</w:t>
      </w:r>
      <w:r>
        <w:rPr>
          <w:rFonts w:eastAsia="DengXian"/>
        </w:rPr>
        <w:t>O</w:t>
      </w:r>
      <w:r w:rsidRPr="00F867D0">
        <w:rPr>
          <w:rFonts w:eastAsia="DengXian"/>
        </w:rPr>
        <w:t>s</w:t>
      </w:r>
      <w:r>
        <w:rPr>
          <w:rFonts w:eastAsia="DengXian"/>
        </w:rPr>
        <w:t>)</w:t>
      </w:r>
      <w:r w:rsidRPr="00F867D0">
        <w:rPr>
          <w:rFonts w:eastAsia="DengXian"/>
        </w:rPr>
        <w:t xml:space="preserve"> to be aware of </w:t>
      </w:r>
      <w:r>
        <w:rPr>
          <w:rFonts w:eastAsia="DengXian"/>
        </w:rPr>
        <w:t>energy efficiency</w:t>
      </w:r>
      <w:r w:rsidRPr="00F867D0">
        <w:rPr>
          <w:rFonts w:eastAsia="DengXian"/>
        </w:rPr>
        <w:t xml:space="preserve"> policies and targets </w:t>
      </w:r>
      <w:r>
        <w:rPr>
          <w:rFonts w:eastAsia="DengXian"/>
        </w:rPr>
        <w:t xml:space="preserve">in their countries that may affect their RACHP equipment </w:t>
      </w:r>
      <w:r w:rsidRPr="00F867D0">
        <w:rPr>
          <w:rFonts w:eastAsia="DengXian"/>
        </w:rPr>
        <w:t>and key trading partners</w:t>
      </w:r>
      <w:r>
        <w:rPr>
          <w:rFonts w:eastAsia="DengXian"/>
        </w:rPr>
        <w:t>,</w:t>
      </w:r>
      <w:r w:rsidRPr="00F867D0">
        <w:rPr>
          <w:rFonts w:eastAsia="DengXian"/>
        </w:rPr>
        <w:t xml:space="preserve"> </w:t>
      </w:r>
      <w:r>
        <w:rPr>
          <w:rFonts w:eastAsia="DengXian"/>
        </w:rPr>
        <w:t>e</w:t>
      </w:r>
      <w:r w:rsidRPr="00F867D0">
        <w:rPr>
          <w:rFonts w:eastAsia="DengXian"/>
        </w:rPr>
        <w:t xml:space="preserve">specially </w:t>
      </w:r>
      <w:r>
        <w:rPr>
          <w:rFonts w:eastAsia="DengXian"/>
        </w:rPr>
        <w:t>those</w:t>
      </w:r>
      <w:r w:rsidRPr="00F867D0">
        <w:rPr>
          <w:rFonts w:eastAsia="DengXian"/>
        </w:rPr>
        <w:t xml:space="preserve"> countries that manufacture equipment</w:t>
      </w:r>
      <w:r>
        <w:rPr>
          <w:rFonts w:eastAsia="DengXian"/>
        </w:rPr>
        <w:t xml:space="preserve"> or components</w:t>
      </w:r>
      <w:r w:rsidRPr="00F867D0">
        <w:rPr>
          <w:rFonts w:eastAsia="DengXian"/>
        </w:rPr>
        <w:t xml:space="preserve">. Cooperation among </w:t>
      </w:r>
      <w:r>
        <w:rPr>
          <w:rFonts w:eastAsia="DengXian"/>
        </w:rPr>
        <w:t xml:space="preserve">NOOs </w:t>
      </w:r>
      <w:r w:rsidRPr="00F867D0">
        <w:rPr>
          <w:rFonts w:eastAsia="DengXian"/>
        </w:rPr>
        <w:t xml:space="preserve">and the authorities responsible for </w:t>
      </w:r>
      <w:r>
        <w:rPr>
          <w:rFonts w:eastAsia="DengXian"/>
        </w:rPr>
        <w:t xml:space="preserve">energy efficiency, who </w:t>
      </w:r>
      <w:r>
        <w:t xml:space="preserve">have </w:t>
      </w:r>
      <w:r>
        <w:lastRenderedPageBreak/>
        <w:t xml:space="preserve">limited experience and a limited role in the adoption of low- or zero-GWP-based technologies, </w:t>
      </w:r>
      <w:r>
        <w:rPr>
          <w:rFonts w:eastAsia="DengXian"/>
        </w:rPr>
        <w:t>might result in</w:t>
      </w:r>
      <w:r w:rsidRPr="00F867D0">
        <w:rPr>
          <w:rFonts w:eastAsia="DengXian"/>
        </w:rPr>
        <w:t xml:space="preserve"> reduce</w:t>
      </w:r>
      <w:r>
        <w:rPr>
          <w:rFonts w:eastAsia="DengXian"/>
        </w:rPr>
        <w:t>d</w:t>
      </w:r>
      <w:r w:rsidRPr="00F867D0">
        <w:rPr>
          <w:rFonts w:eastAsia="DengXian"/>
        </w:rPr>
        <w:t xml:space="preserve"> costs to manufacturers and </w:t>
      </w:r>
      <w:r>
        <w:rPr>
          <w:rFonts w:eastAsia="DengXian"/>
        </w:rPr>
        <w:t xml:space="preserve">might offer </w:t>
      </w:r>
      <w:r w:rsidRPr="00F867D0">
        <w:rPr>
          <w:rFonts w:eastAsia="DengXian"/>
        </w:rPr>
        <w:t>coordinated policy direction to meet national targets</w:t>
      </w:r>
      <w:r>
        <w:rPr>
          <w:rFonts w:eastAsia="DengXian"/>
        </w:rPr>
        <w:t>.</w:t>
      </w:r>
      <w:r>
        <w:t xml:space="preserve"> </w:t>
      </w:r>
    </w:p>
    <w:p w:rsidR="00BB5BFE" w:rsidRDefault="00BB5BFE" w:rsidP="00E479E5">
      <w:pPr>
        <w:spacing w:after="240"/>
        <w:outlineLvl w:val="0"/>
        <w:rPr>
          <w:b/>
          <w:u w:val="single"/>
        </w:rPr>
      </w:pPr>
      <w:r>
        <w:rPr>
          <w:rFonts w:eastAsiaTheme="minorHAnsi"/>
          <w:b/>
        </w:rPr>
        <w:t>M</w:t>
      </w:r>
      <w:r w:rsidRPr="00AC0DD4">
        <w:rPr>
          <w:rFonts w:eastAsiaTheme="minorHAnsi"/>
          <w:b/>
        </w:rPr>
        <w:t>aintaining energy efficiency in the servicing sector</w:t>
      </w:r>
      <w:r w:rsidRPr="00AC0DD4">
        <w:rPr>
          <w:b/>
          <w:u w:val="single"/>
        </w:rPr>
        <w:t xml:space="preserve"> </w:t>
      </w:r>
    </w:p>
    <w:p w:rsidR="00BB5BFE" w:rsidRDefault="00BB5BFE" w:rsidP="00E479E5">
      <w:pPr>
        <w:pStyle w:val="Heading1"/>
      </w:pPr>
      <w:r>
        <w:t>T</w:t>
      </w:r>
      <w:r w:rsidRPr="00857DFD">
        <w:t xml:space="preserve">he normal wear-and-tear </w:t>
      </w:r>
      <w:r>
        <w:t xml:space="preserve">of any refrigerator or air-conditioning equipment during its lifetime </w:t>
      </w:r>
      <w:r w:rsidRPr="00857DFD">
        <w:t xml:space="preserve">affects the operation of the </w:t>
      </w:r>
      <w:r>
        <w:t>equipment, reduces its energy efficiency</w:t>
      </w:r>
      <w:r w:rsidRPr="00857DFD">
        <w:t xml:space="preserve"> and increase</w:t>
      </w:r>
      <w:r>
        <w:t>s</w:t>
      </w:r>
      <w:r w:rsidRPr="00857DFD">
        <w:t xml:space="preserve"> energy consumption</w:t>
      </w:r>
      <w:r>
        <w:t>.</w:t>
      </w:r>
      <w:r w:rsidRPr="00857DFD">
        <w:t xml:space="preserve"> </w:t>
      </w:r>
      <w:r>
        <w:t>Proper i</w:t>
      </w:r>
      <w:r w:rsidRPr="00F27786">
        <w:t xml:space="preserve">nstallation, maintenance and servicing practices play a critical role in </w:t>
      </w:r>
      <w:r>
        <w:t xml:space="preserve">minimizing wear-and-tear and </w:t>
      </w:r>
      <w:r w:rsidRPr="00F27786">
        <w:t xml:space="preserve">ensuring </w:t>
      </w:r>
      <w:r>
        <w:t xml:space="preserve">the efficient </w:t>
      </w:r>
      <w:r w:rsidRPr="00F27786">
        <w:t xml:space="preserve">operation of </w:t>
      </w:r>
      <w:r>
        <w:t xml:space="preserve">the </w:t>
      </w:r>
      <w:r w:rsidRPr="00F27786">
        <w:t xml:space="preserve">equipment </w:t>
      </w:r>
      <w:r>
        <w:t xml:space="preserve">at the highest feasible energy efficiency </w:t>
      </w:r>
      <w:r w:rsidRPr="00F27786">
        <w:t xml:space="preserve">over the life of </w:t>
      </w:r>
      <w:r>
        <w:t xml:space="preserve">the </w:t>
      </w:r>
      <w:r w:rsidRPr="00F27786">
        <w:t>equipment.</w:t>
      </w:r>
      <w:r>
        <w:t xml:space="preserve"> Servicing sector training activities could change operating practices of technicians, thereby ensuring energy efficient operation of equipment.</w:t>
      </w:r>
    </w:p>
    <w:p w:rsidR="00BB5BFE" w:rsidRDefault="00BB5BFE" w:rsidP="00E479E5">
      <w:pPr>
        <w:pStyle w:val="Heading1"/>
      </w:pPr>
      <w:r>
        <w:rPr>
          <w:rFonts w:eastAsia="DengXian"/>
        </w:rPr>
        <w:t>T</w:t>
      </w:r>
      <w:r w:rsidRPr="005347AD">
        <w:rPr>
          <w:rFonts w:eastAsia="DengXian"/>
        </w:rPr>
        <w:t>he TEAP Decision XXIX/10 Task Force report</w:t>
      </w:r>
      <w:r>
        <w:t xml:space="preserve"> indicates that energy-efficient performance of RACHP equipment could be achieved, at low-to-medium cost levels, through the implementation of good servicing practices such as appropriate refrigerant and oil charge; good air circulation through the condenser; maintaining proper air flow through the evaporator; proper setting of the temperature sensor and of the thermostatic expansion valve; and proper setting of the condenser pressure control.</w:t>
      </w:r>
    </w:p>
    <w:p w:rsidR="00BB5BFE" w:rsidRDefault="00BB5BFE" w:rsidP="00E479E5">
      <w:pPr>
        <w:pStyle w:val="Heading1"/>
      </w:pPr>
      <w:r>
        <w:t xml:space="preserve">The performance of RACHP equipment associated with servicing and maintenance practices has been measured and published. </w:t>
      </w:r>
      <w:r w:rsidRPr="00D27621">
        <w:t xml:space="preserve">Studies conducted by the </w:t>
      </w:r>
      <w:r w:rsidRPr="000929FD">
        <w:t>United Kingdom of Great Britain and Northern Ireland,</w:t>
      </w:r>
      <w:r w:rsidRPr="00D27621">
        <w:t xml:space="preserve"> Australia and the European Partnership for Energy and the Environment </w:t>
      </w:r>
      <w:r>
        <w:t xml:space="preserve">report </w:t>
      </w:r>
      <w:r w:rsidRPr="00D27621">
        <w:t>energy savings ranging from 8 per cent to 40 per cent or more, depending on the improvements or servicing practices involved</w:t>
      </w:r>
      <w:r>
        <w:t>, as shown below:</w:t>
      </w:r>
      <w:r>
        <w:rPr>
          <w:rStyle w:val="FootnoteReference"/>
        </w:rPr>
        <w:footnoteReference w:id="42"/>
      </w:r>
      <w:r w:rsidRPr="00D27621">
        <w:t xml:space="preserve"> </w:t>
      </w:r>
    </w:p>
    <w:p w:rsidR="00BB5BFE" w:rsidRPr="00D27621" w:rsidRDefault="00BB5BFE" w:rsidP="00BB5BFE">
      <w:pPr>
        <w:pStyle w:val="Heading2"/>
        <w:numPr>
          <w:ilvl w:val="1"/>
          <w:numId w:val="1"/>
        </w:numPr>
      </w:pPr>
      <w:r w:rsidRPr="00D27621">
        <w:t xml:space="preserve">A study by the Department of Environment, Food, and Rural Affairs of the </w:t>
      </w:r>
      <w:r w:rsidRPr="00A97372">
        <w:t>United Kingdom of Great Britain and Northern Ireland,</w:t>
      </w:r>
      <w:r w:rsidRPr="00D27621">
        <w:t xml:space="preserve"> reported that cleaning a dirty condenser delivers an 8 per cent energy saving, and resetting the temperature set point to the design temperature yields an additional 1</w:t>
      </w:r>
      <w:r>
        <w:t>1 </w:t>
      </w:r>
      <w:r w:rsidRPr="00D27621">
        <w:t>per cent energy saving (Swain, 2009);</w:t>
      </w:r>
    </w:p>
    <w:p w:rsidR="00BB5BFE" w:rsidRPr="00D27621" w:rsidRDefault="00BB5BFE" w:rsidP="00BB5BFE">
      <w:pPr>
        <w:pStyle w:val="Heading2"/>
        <w:numPr>
          <w:ilvl w:val="1"/>
          <w:numId w:val="1"/>
        </w:numPr>
      </w:pPr>
      <w:r w:rsidRPr="00D27621">
        <w:t xml:space="preserve">A study by the Government of Victoria in Australia found that improvements to technical elements of </w:t>
      </w:r>
      <w:r>
        <w:t>refrigeration and air-conditioning</w:t>
      </w:r>
      <w:r w:rsidRPr="00D27621">
        <w:t xml:space="preserve"> systems have the potential to reduce</w:t>
      </w:r>
      <w:r>
        <w:t xml:space="preserve"> energy consumption by 15 to 40 </w:t>
      </w:r>
      <w:r w:rsidRPr="00D27621">
        <w:t>percent; improving operational practices with minimal expense can often reduce energy costs by 15 per cent or more (Sustainability Victoria 2009</w:t>
      </w:r>
      <w:r w:rsidRPr="00AF534A">
        <w:t>)</w:t>
      </w:r>
      <w:r w:rsidRPr="00D27621">
        <w:t>;</w:t>
      </w:r>
    </w:p>
    <w:p w:rsidR="00BB5BFE" w:rsidRPr="00D27621" w:rsidRDefault="00BB5BFE" w:rsidP="00BB5BFE">
      <w:pPr>
        <w:pStyle w:val="Heading2"/>
        <w:numPr>
          <w:ilvl w:val="1"/>
          <w:numId w:val="1"/>
        </w:numPr>
      </w:pPr>
      <w:r w:rsidRPr="00D27621">
        <w:t xml:space="preserve">The Chartered Institute of Building Services Engineers of the </w:t>
      </w:r>
      <w:r w:rsidRPr="000929FD">
        <w:t xml:space="preserve">United Kingdom of Great Britain and Northern Ireland </w:t>
      </w:r>
      <w:r w:rsidRPr="00D27621">
        <w:t>estimates that savings of around 15 per cent are achievable for residential buildings built according to standards and code; additionally</w:t>
      </w:r>
      <w:r>
        <w:t>,</w:t>
      </w:r>
      <w:r w:rsidRPr="00D27621">
        <w:t xml:space="preserve"> over 20</w:t>
      </w:r>
      <w:r>
        <w:t xml:space="preserve"> per cent</w:t>
      </w:r>
      <w:r w:rsidRPr="00D27621">
        <w:t xml:space="preserve"> of savings are achievable by following good practice guidelines; </w:t>
      </w:r>
      <w:r>
        <w:t>and</w:t>
      </w:r>
    </w:p>
    <w:p w:rsidR="00BB5BFE" w:rsidRPr="00D27621" w:rsidRDefault="00BB5BFE" w:rsidP="00BB5BFE">
      <w:pPr>
        <w:pStyle w:val="Heading2"/>
        <w:numPr>
          <w:ilvl w:val="1"/>
          <w:numId w:val="1"/>
        </w:numPr>
      </w:pPr>
      <w:r w:rsidRPr="00D27621">
        <w:t>Examples of RAC</w:t>
      </w:r>
      <w:r>
        <w:t>HP</w:t>
      </w:r>
      <w:r w:rsidRPr="00D27621">
        <w:t xml:space="preserve"> efficiency opportunities through improved operation and maintenance from the European Partnership for Energy and the Envir</w:t>
      </w:r>
      <w:r>
        <w:t>onment are presented in Table 2:</w:t>
      </w:r>
    </w:p>
    <w:p w:rsidR="00BB5BFE" w:rsidRPr="000E71B1" w:rsidRDefault="00BB5BFE" w:rsidP="00E479E5">
      <w:pPr>
        <w:rPr>
          <w:b/>
        </w:rPr>
      </w:pPr>
      <w:r w:rsidRPr="000E71B1">
        <w:rPr>
          <w:b/>
          <w:lang w:val="en-US"/>
        </w:rPr>
        <w:t>Table 2. Examples of RACHP efficiency opportunities through improved operation and maintenance</w:t>
      </w:r>
      <w:r w:rsidRPr="000E71B1">
        <w:rPr>
          <w:rStyle w:val="FootnoteReference"/>
          <w:b/>
          <w:lang w:val="en-US"/>
        </w:rPr>
        <w:footnoteReference w:id="43"/>
      </w:r>
    </w:p>
    <w:tbl>
      <w:tblPr>
        <w:tblStyle w:val="TableGrid"/>
        <w:tblW w:w="9445" w:type="dxa"/>
        <w:tblLook w:val="0420" w:firstRow="1" w:lastRow="0" w:firstColumn="0" w:lastColumn="0" w:noHBand="0" w:noVBand="1"/>
      </w:tblPr>
      <w:tblGrid>
        <w:gridCol w:w="2245"/>
        <w:gridCol w:w="5220"/>
        <w:gridCol w:w="1980"/>
      </w:tblGrid>
      <w:tr w:rsidR="00BB5BFE" w:rsidRPr="00D27621" w:rsidTr="00E479E5">
        <w:trPr>
          <w:tblHeader/>
        </w:trPr>
        <w:tc>
          <w:tcPr>
            <w:tcW w:w="2245" w:type="dxa"/>
            <w:hideMark/>
          </w:tcPr>
          <w:p w:rsidR="00BB5BFE" w:rsidRPr="00D27621" w:rsidRDefault="00BB5BFE" w:rsidP="00E479E5">
            <w:pPr>
              <w:pStyle w:val="ListParagraph"/>
              <w:ind w:left="0"/>
              <w:jc w:val="left"/>
              <w:rPr>
                <w:b/>
                <w:sz w:val="20"/>
                <w:szCs w:val="20"/>
                <w:lang w:val="en-CA"/>
              </w:rPr>
            </w:pPr>
            <w:r w:rsidRPr="00D27621">
              <w:rPr>
                <w:b/>
                <w:bCs/>
                <w:sz w:val="20"/>
                <w:szCs w:val="20"/>
                <w:lang w:val="de-DE"/>
              </w:rPr>
              <w:t>Action</w:t>
            </w:r>
          </w:p>
        </w:tc>
        <w:tc>
          <w:tcPr>
            <w:tcW w:w="5220" w:type="dxa"/>
            <w:hideMark/>
          </w:tcPr>
          <w:p w:rsidR="00BB5BFE" w:rsidRPr="00D27621" w:rsidRDefault="00BB5BFE" w:rsidP="00E479E5">
            <w:pPr>
              <w:jc w:val="left"/>
              <w:rPr>
                <w:b/>
                <w:sz w:val="20"/>
                <w:szCs w:val="20"/>
                <w:lang w:val="en-CA"/>
              </w:rPr>
            </w:pPr>
            <w:r w:rsidRPr="00D27621">
              <w:rPr>
                <w:b/>
                <w:bCs/>
                <w:sz w:val="20"/>
                <w:szCs w:val="20"/>
                <w:lang w:val="de-DE"/>
              </w:rPr>
              <w:t>Explanation</w:t>
            </w:r>
          </w:p>
        </w:tc>
        <w:tc>
          <w:tcPr>
            <w:tcW w:w="1980" w:type="dxa"/>
            <w:hideMark/>
          </w:tcPr>
          <w:p w:rsidR="00BB5BFE" w:rsidRPr="00D27621" w:rsidRDefault="00BB5BFE" w:rsidP="00E479E5">
            <w:pPr>
              <w:rPr>
                <w:b/>
                <w:sz w:val="20"/>
                <w:szCs w:val="20"/>
                <w:lang w:val="en-CA"/>
              </w:rPr>
            </w:pPr>
            <w:r w:rsidRPr="00D27621">
              <w:rPr>
                <w:b/>
                <w:bCs/>
                <w:sz w:val="20"/>
                <w:szCs w:val="20"/>
                <w:lang w:val="de-DE"/>
              </w:rPr>
              <w:t>Impact</w:t>
            </w:r>
          </w:p>
        </w:tc>
      </w:tr>
      <w:tr w:rsidR="00BB5BFE" w:rsidRPr="00D27621" w:rsidTr="00E479E5">
        <w:tc>
          <w:tcPr>
            <w:tcW w:w="2245" w:type="dxa"/>
            <w:hideMark/>
          </w:tcPr>
          <w:p w:rsidR="00BB5BFE" w:rsidRPr="00D27621" w:rsidRDefault="00BB5BFE" w:rsidP="00E479E5">
            <w:pPr>
              <w:jc w:val="left"/>
              <w:rPr>
                <w:sz w:val="20"/>
                <w:szCs w:val="20"/>
                <w:lang w:val="en-CA"/>
              </w:rPr>
            </w:pPr>
            <w:r w:rsidRPr="00D27621">
              <w:rPr>
                <w:bCs/>
                <w:sz w:val="20"/>
                <w:szCs w:val="20"/>
                <w:lang w:val="en-US"/>
              </w:rPr>
              <w:t>No refrigerant leaks</w:t>
            </w:r>
          </w:p>
        </w:tc>
        <w:tc>
          <w:tcPr>
            <w:tcW w:w="5220" w:type="dxa"/>
            <w:hideMark/>
          </w:tcPr>
          <w:p w:rsidR="00BB5BFE" w:rsidRPr="00D27621" w:rsidRDefault="00BB5BFE" w:rsidP="00E479E5">
            <w:pPr>
              <w:jc w:val="left"/>
              <w:rPr>
                <w:sz w:val="20"/>
                <w:szCs w:val="20"/>
                <w:lang w:val="en-CA"/>
              </w:rPr>
            </w:pPr>
            <w:r w:rsidRPr="00D27621">
              <w:rPr>
                <w:sz w:val="20"/>
                <w:szCs w:val="20"/>
                <w:lang w:val="en-US"/>
              </w:rPr>
              <w:t>Too low refrigerant charge increases compressor running time and eventual loss of capacity. Motor/compressors could eventually fail</w:t>
            </w:r>
          </w:p>
        </w:tc>
        <w:tc>
          <w:tcPr>
            <w:tcW w:w="1980" w:type="dxa"/>
            <w:hideMark/>
          </w:tcPr>
          <w:p w:rsidR="00BB5BFE" w:rsidRPr="00D27621" w:rsidRDefault="00BB5BFE" w:rsidP="00E479E5">
            <w:pPr>
              <w:jc w:val="left"/>
              <w:rPr>
                <w:sz w:val="20"/>
                <w:szCs w:val="20"/>
                <w:lang w:val="en-CA"/>
              </w:rPr>
            </w:pPr>
            <w:r w:rsidRPr="00D27621">
              <w:rPr>
                <w:bCs/>
                <w:sz w:val="20"/>
                <w:szCs w:val="20"/>
                <w:lang w:val="de-DE"/>
              </w:rPr>
              <w:t>+30 per cent energy consumption</w:t>
            </w:r>
          </w:p>
        </w:tc>
      </w:tr>
      <w:tr w:rsidR="00BB5BFE" w:rsidRPr="00D27621" w:rsidTr="00E479E5">
        <w:tc>
          <w:tcPr>
            <w:tcW w:w="2245" w:type="dxa"/>
            <w:hideMark/>
          </w:tcPr>
          <w:p w:rsidR="00BB5BFE" w:rsidRPr="00D27621" w:rsidRDefault="00BB5BFE" w:rsidP="00E479E5">
            <w:pPr>
              <w:jc w:val="left"/>
              <w:rPr>
                <w:sz w:val="20"/>
                <w:szCs w:val="20"/>
                <w:lang w:val="en-CA"/>
              </w:rPr>
            </w:pPr>
            <w:r w:rsidRPr="00D27621">
              <w:rPr>
                <w:bCs/>
                <w:sz w:val="20"/>
                <w:szCs w:val="20"/>
                <w:lang w:val="de-DE"/>
              </w:rPr>
              <w:lastRenderedPageBreak/>
              <w:t>Clean condensor and evaporator coils</w:t>
            </w:r>
          </w:p>
        </w:tc>
        <w:tc>
          <w:tcPr>
            <w:tcW w:w="5220" w:type="dxa"/>
            <w:hideMark/>
          </w:tcPr>
          <w:p w:rsidR="00BB5BFE" w:rsidRPr="00D27621" w:rsidRDefault="00BB5BFE" w:rsidP="00E479E5">
            <w:pPr>
              <w:jc w:val="left"/>
              <w:rPr>
                <w:sz w:val="20"/>
                <w:szCs w:val="20"/>
                <w:lang w:val="en-US"/>
              </w:rPr>
            </w:pPr>
            <w:r w:rsidRPr="00D27621">
              <w:rPr>
                <w:sz w:val="20"/>
                <w:szCs w:val="20"/>
                <w:lang w:val="en-US"/>
              </w:rPr>
              <w:t>Every 1K</w:t>
            </w:r>
            <w:r w:rsidRPr="00D27621">
              <w:rPr>
                <w:rStyle w:val="FootnoteReference"/>
                <w:sz w:val="20"/>
                <w:lang w:val="en-US"/>
              </w:rPr>
              <w:footnoteReference w:id="44"/>
            </w:r>
            <w:r w:rsidRPr="00D27621">
              <w:rPr>
                <w:sz w:val="20"/>
                <w:szCs w:val="20"/>
                <w:lang w:val="en-US"/>
              </w:rPr>
              <w:t xml:space="preserve"> rise in condensing temperature may reduce evaporator capacity by 1.35 per cent and increase power consumption</w:t>
            </w:r>
          </w:p>
          <w:p w:rsidR="00BB5BFE" w:rsidRPr="00D27621" w:rsidRDefault="00BB5BFE" w:rsidP="00E479E5">
            <w:pPr>
              <w:jc w:val="left"/>
              <w:rPr>
                <w:sz w:val="20"/>
                <w:szCs w:val="20"/>
                <w:lang w:val="en-CA"/>
              </w:rPr>
            </w:pPr>
            <w:r w:rsidRPr="00D27621">
              <w:rPr>
                <w:sz w:val="20"/>
                <w:szCs w:val="20"/>
                <w:lang w:val="en-US"/>
              </w:rPr>
              <w:t xml:space="preserve">A dirty evaporator coil would result in reduced system duty without a reduction in motor/compressor running current </w:t>
            </w:r>
          </w:p>
        </w:tc>
        <w:tc>
          <w:tcPr>
            <w:tcW w:w="1980" w:type="dxa"/>
            <w:hideMark/>
          </w:tcPr>
          <w:p w:rsidR="00BB5BFE" w:rsidRPr="00D27621" w:rsidRDefault="00BB5BFE" w:rsidP="00E479E5">
            <w:pPr>
              <w:jc w:val="left"/>
              <w:rPr>
                <w:sz w:val="20"/>
                <w:szCs w:val="20"/>
                <w:lang w:val="en-CA"/>
              </w:rPr>
            </w:pPr>
            <w:r w:rsidRPr="00D27621">
              <w:rPr>
                <w:bCs/>
                <w:sz w:val="20"/>
                <w:szCs w:val="20"/>
                <w:lang w:val="de-DE"/>
              </w:rPr>
              <w:t>+8 per cent energy consumption</w:t>
            </w:r>
          </w:p>
        </w:tc>
      </w:tr>
      <w:tr w:rsidR="00BB5BFE" w:rsidRPr="00D27621" w:rsidTr="00E479E5">
        <w:tc>
          <w:tcPr>
            <w:tcW w:w="2245" w:type="dxa"/>
            <w:hideMark/>
          </w:tcPr>
          <w:p w:rsidR="00BB5BFE" w:rsidRPr="00D27621" w:rsidRDefault="00BB5BFE" w:rsidP="00E479E5">
            <w:pPr>
              <w:jc w:val="left"/>
              <w:rPr>
                <w:sz w:val="20"/>
                <w:szCs w:val="20"/>
                <w:lang w:val="en-CA"/>
              </w:rPr>
            </w:pPr>
            <w:r w:rsidRPr="00D27621">
              <w:rPr>
                <w:bCs/>
                <w:sz w:val="20"/>
                <w:szCs w:val="20"/>
                <w:lang w:val="de-DE"/>
              </w:rPr>
              <w:t>Clean or replace filters regularly</w:t>
            </w:r>
          </w:p>
        </w:tc>
        <w:tc>
          <w:tcPr>
            <w:tcW w:w="5220" w:type="dxa"/>
            <w:hideMark/>
          </w:tcPr>
          <w:p w:rsidR="00BB5BFE" w:rsidRPr="00D27621" w:rsidRDefault="00BB5BFE" w:rsidP="00E479E5">
            <w:pPr>
              <w:jc w:val="left"/>
              <w:rPr>
                <w:sz w:val="20"/>
                <w:szCs w:val="20"/>
                <w:lang w:val="en-US"/>
              </w:rPr>
            </w:pPr>
            <w:r w:rsidRPr="00D27621">
              <w:rPr>
                <w:sz w:val="20"/>
                <w:szCs w:val="20"/>
                <w:lang w:val="en-US"/>
              </w:rPr>
              <w:t xml:space="preserve">Dirty filters would result in reduced system duty (2 - 4 per cent for every 1K reduction in evaporating temperature) without a reduction of compressor running current </w:t>
            </w:r>
          </w:p>
          <w:p w:rsidR="00BB5BFE" w:rsidRPr="00D27621" w:rsidRDefault="00BB5BFE" w:rsidP="00E479E5">
            <w:pPr>
              <w:jc w:val="left"/>
              <w:rPr>
                <w:sz w:val="20"/>
                <w:szCs w:val="20"/>
                <w:lang w:val="en-CA"/>
              </w:rPr>
            </w:pPr>
            <w:r w:rsidRPr="00D27621">
              <w:rPr>
                <w:sz w:val="20"/>
                <w:szCs w:val="20"/>
                <w:lang w:val="en-US"/>
              </w:rPr>
              <w:t>Filters with a too low filtration rate result in dirty cooling coils and fans</w:t>
            </w:r>
          </w:p>
        </w:tc>
        <w:tc>
          <w:tcPr>
            <w:tcW w:w="1980" w:type="dxa"/>
            <w:hideMark/>
          </w:tcPr>
          <w:p w:rsidR="00BB5BFE" w:rsidRPr="00D27621" w:rsidRDefault="00BB5BFE" w:rsidP="00E479E5">
            <w:pPr>
              <w:jc w:val="left"/>
              <w:rPr>
                <w:sz w:val="20"/>
                <w:szCs w:val="20"/>
                <w:lang w:val="en-CA"/>
              </w:rPr>
            </w:pPr>
            <w:r w:rsidRPr="00D27621">
              <w:rPr>
                <w:bCs/>
                <w:sz w:val="20"/>
                <w:szCs w:val="20"/>
                <w:lang w:val="de-DE"/>
              </w:rPr>
              <w:t>Average savings of 25 per cent</w:t>
            </w:r>
          </w:p>
        </w:tc>
      </w:tr>
      <w:tr w:rsidR="00BB5BFE" w:rsidRPr="00D27621" w:rsidTr="00E479E5">
        <w:tc>
          <w:tcPr>
            <w:tcW w:w="2245" w:type="dxa"/>
            <w:hideMark/>
          </w:tcPr>
          <w:p w:rsidR="00BB5BFE" w:rsidRPr="00D27621" w:rsidRDefault="00BB5BFE" w:rsidP="00E479E5">
            <w:pPr>
              <w:jc w:val="left"/>
              <w:rPr>
                <w:sz w:val="20"/>
                <w:szCs w:val="20"/>
                <w:lang w:val="en-CA"/>
              </w:rPr>
            </w:pPr>
            <w:r w:rsidRPr="00D27621">
              <w:rPr>
                <w:bCs/>
                <w:sz w:val="20"/>
                <w:szCs w:val="20"/>
                <w:lang w:val="de-DE"/>
              </w:rPr>
              <w:t>Check operations and settings of controller</w:t>
            </w:r>
          </w:p>
        </w:tc>
        <w:tc>
          <w:tcPr>
            <w:tcW w:w="5220" w:type="dxa"/>
            <w:hideMark/>
          </w:tcPr>
          <w:p w:rsidR="00BB5BFE" w:rsidRPr="00D27621" w:rsidRDefault="00BB5BFE" w:rsidP="00E479E5">
            <w:pPr>
              <w:jc w:val="left"/>
              <w:rPr>
                <w:sz w:val="20"/>
                <w:szCs w:val="20"/>
                <w:lang w:val="en-CA"/>
              </w:rPr>
            </w:pPr>
            <w:r w:rsidRPr="00D27621">
              <w:rPr>
                <w:sz w:val="20"/>
                <w:szCs w:val="20"/>
                <w:lang w:val="en-US"/>
              </w:rPr>
              <w:t>Ensure that appropriate mode is being used, the temperature is set correctly (generally between 19 and 23 °C), a suitable fan speed is selected, the time schedule is correct and that each function operates correctly</w:t>
            </w:r>
          </w:p>
        </w:tc>
        <w:tc>
          <w:tcPr>
            <w:tcW w:w="1980" w:type="dxa"/>
            <w:hideMark/>
          </w:tcPr>
          <w:p w:rsidR="00BB5BFE" w:rsidRPr="00D27621" w:rsidRDefault="00BB5BFE" w:rsidP="00E479E5">
            <w:pPr>
              <w:jc w:val="left"/>
              <w:rPr>
                <w:sz w:val="20"/>
                <w:szCs w:val="20"/>
                <w:lang w:val="en-CA"/>
              </w:rPr>
            </w:pPr>
            <w:r w:rsidRPr="00D27621">
              <w:rPr>
                <w:bCs/>
                <w:sz w:val="20"/>
                <w:szCs w:val="20"/>
                <w:lang w:val="de-DE"/>
              </w:rPr>
              <w:t>Average savings of 97 per cent</w:t>
            </w:r>
            <w:r>
              <w:rPr>
                <w:rStyle w:val="FootnoteReference"/>
                <w:bCs/>
                <w:sz w:val="20"/>
                <w:lang w:val="de-DE"/>
              </w:rPr>
              <w:footnoteReference w:id="45"/>
            </w:r>
          </w:p>
        </w:tc>
      </w:tr>
      <w:tr w:rsidR="00BB5BFE" w:rsidRPr="00D27621" w:rsidTr="00E479E5">
        <w:tc>
          <w:tcPr>
            <w:tcW w:w="2245" w:type="dxa"/>
            <w:hideMark/>
          </w:tcPr>
          <w:p w:rsidR="00BB5BFE" w:rsidRPr="00D27621" w:rsidRDefault="00BB5BFE" w:rsidP="00E479E5">
            <w:pPr>
              <w:jc w:val="left"/>
              <w:rPr>
                <w:sz w:val="20"/>
                <w:szCs w:val="20"/>
                <w:lang w:val="en-CA"/>
              </w:rPr>
            </w:pPr>
            <w:r w:rsidRPr="00D27621">
              <w:rPr>
                <w:bCs/>
                <w:sz w:val="20"/>
                <w:szCs w:val="20"/>
                <w:lang w:val="de-DE"/>
              </w:rPr>
              <w:t>Check condensor pressure controls</w:t>
            </w:r>
          </w:p>
        </w:tc>
        <w:tc>
          <w:tcPr>
            <w:tcW w:w="5220" w:type="dxa"/>
            <w:hideMark/>
          </w:tcPr>
          <w:p w:rsidR="00BB5BFE" w:rsidRPr="00D27621" w:rsidRDefault="00BB5BFE" w:rsidP="00E479E5">
            <w:pPr>
              <w:jc w:val="left"/>
              <w:rPr>
                <w:sz w:val="20"/>
                <w:szCs w:val="20"/>
                <w:lang w:val="en-US"/>
              </w:rPr>
            </w:pPr>
            <w:r w:rsidRPr="00D27621">
              <w:rPr>
                <w:sz w:val="20"/>
                <w:szCs w:val="20"/>
                <w:lang w:val="en-US"/>
              </w:rPr>
              <w:t>Condenser fan cycling/speed controllers and dampers not set correctly could cause over- or under-condensing, resulting in poor efficiency and longer compressor running time</w:t>
            </w:r>
          </w:p>
          <w:p w:rsidR="00BB5BFE" w:rsidRPr="00D27621" w:rsidRDefault="00BB5BFE" w:rsidP="00E479E5">
            <w:pPr>
              <w:jc w:val="left"/>
              <w:rPr>
                <w:sz w:val="20"/>
                <w:szCs w:val="20"/>
                <w:lang w:val="en-CA"/>
              </w:rPr>
            </w:pPr>
            <w:r w:rsidRPr="00D27621">
              <w:rPr>
                <w:sz w:val="20"/>
                <w:szCs w:val="20"/>
                <w:lang w:val="en-US"/>
              </w:rPr>
              <w:t>Under-condensing would result in higher running currents</w:t>
            </w:r>
          </w:p>
        </w:tc>
        <w:tc>
          <w:tcPr>
            <w:tcW w:w="1980" w:type="dxa"/>
            <w:hideMark/>
          </w:tcPr>
          <w:p w:rsidR="00BB5BFE" w:rsidRPr="00D27621" w:rsidRDefault="00BB5BFE" w:rsidP="00E479E5">
            <w:pPr>
              <w:jc w:val="left"/>
              <w:rPr>
                <w:sz w:val="20"/>
                <w:szCs w:val="20"/>
                <w:lang w:val="en-CA"/>
              </w:rPr>
            </w:pPr>
            <w:r w:rsidRPr="00D27621">
              <w:rPr>
                <w:bCs/>
                <w:sz w:val="20"/>
                <w:szCs w:val="20"/>
                <w:lang w:val="de-DE"/>
              </w:rPr>
              <w:t>Average savings 4 per cent</w:t>
            </w:r>
          </w:p>
        </w:tc>
      </w:tr>
    </w:tbl>
    <w:p w:rsidR="00BB5BFE" w:rsidRPr="00D27621" w:rsidRDefault="00BB5BFE" w:rsidP="00E479E5">
      <w:pPr>
        <w:pStyle w:val="Heading1"/>
        <w:numPr>
          <w:ilvl w:val="0"/>
          <w:numId w:val="0"/>
        </w:numPr>
        <w:spacing w:after="0"/>
        <w:rPr>
          <w:lang w:val="en-CA"/>
        </w:rPr>
      </w:pPr>
    </w:p>
    <w:p w:rsidR="00BB5BFE" w:rsidRPr="00F51C08" w:rsidRDefault="00BB5BFE" w:rsidP="00E479E5">
      <w:pPr>
        <w:pStyle w:val="Heading1"/>
        <w:rPr>
          <w:lang w:val="en-CA"/>
        </w:rPr>
      </w:pPr>
      <w:r>
        <w:t>T</w:t>
      </w:r>
      <w:r w:rsidRPr="00D27621">
        <w:t xml:space="preserve">he Multilateral Fund has supported training in good servicing practices for </w:t>
      </w:r>
      <w:r>
        <w:t>service</w:t>
      </w:r>
      <w:r w:rsidRPr="00D27621">
        <w:t xml:space="preserve"> technicians since the inception of the Fund</w:t>
      </w:r>
      <w:r>
        <w:t>;</w:t>
      </w:r>
      <w:r w:rsidRPr="00D27621">
        <w:t xml:space="preserve"> impact of the implementation of good servicing practices </w:t>
      </w:r>
      <w:r>
        <w:t xml:space="preserve">has not only reduced consumption of refrigerant, but also contributed to </w:t>
      </w:r>
      <w:r w:rsidRPr="00D27621">
        <w:t>efficient operation of the RAC</w:t>
      </w:r>
      <w:r>
        <w:t>HP</w:t>
      </w:r>
      <w:r w:rsidRPr="00D27621">
        <w:t xml:space="preserve"> equipment </w:t>
      </w:r>
      <w:r>
        <w:t>and</w:t>
      </w:r>
      <w:r w:rsidRPr="00D27621">
        <w:t xml:space="preserve"> maintain</w:t>
      </w:r>
      <w:r>
        <w:t>ed</w:t>
      </w:r>
      <w:r w:rsidRPr="00D27621">
        <w:t xml:space="preserve"> energy efficien</w:t>
      </w:r>
      <w:r>
        <w:t>t</w:t>
      </w:r>
      <w:r w:rsidRPr="00D27621">
        <w:t xml:space="preserve"> </w:t>
      </w:r>
      <w:r>
        <w:t>performance of equipment</w:t>
      </w:r>
      <w:r w:rsidRPr="00D27621">
        <w:t>. Training was initially provided as stand-alone training and has evolved to become an integral component of sector and/or national phase-</w:t>
      </w:r>
      <w:r>
        <w:t xml:space="preserve">out plans. In this process, NOUs have increased the involvement of national vocational/training centres in the implementation of training, and have ensured that the relevant subjects were included in the centres’ curricula. </w:t>
      </w:r>
    </w:p>
    <w:p w:rsidR="00BB5BFE" w:rsidRPr="00F51C08" w:rsidRDefault="00BB5BFE" w:rsidP="00E479E5">
      <w:pPr>
        <w:pStyle w:val="Heading1"/>
        <w:rPr>
          <w:lang w:val="en-CA"/>
        </w:rPr>
      </w:pPr>
      <w:r w:rsidRPr="00F51C08">
        <w:rPr>
          <w:lang w:val="en-CA"/>
        </w:rPr>
        <w:t>With the accelerated phase-out of HCFCs and the adoption of the Kigali Amendment, the number and variety of refrigeration and air-conditioning systems operating with low- or zero</w:t>
      </w:r>
      <w:r w:rsidRPr="00F51C08">
        <w:rPr>
          <w:lang w:val="en-CA"/>
        </w:rPr>
        <w:noBreakHyphen/>
        <w:t>GWP refrigerants has been increasing</w:t>
      </w:r>
      <w:r w:rsidRPr="009454C9">
        <w:rPr>
          <w:lang w:val="en-CA"/>
        </w:rPr>
        <w:t xml:space="preserve"> </w:t>
      </w:r>
      <w:r>
        <w:rPr>
          <w:lang w:val="en-CA"/>
        </w:rPr>
        <w:t>slowly</w:t>
      </w:r>
      <w:r w:rsidRPr="00F51C08">
        <w:rPr>
          <w:lang w:val="en-CA"/>
        </w:rPr>
        <w:t xml:space="preserve">. In this context, during the implementation of their HPMPs, several </w:t>
      </w:r>
      <w:r>
        <w:rPr>
          <w:lang w:val="en-CA"/>
        </w:rPr>
        <w:t xml:space="preserve">Article 5 countries </w:t>
      </w:r>
      <w:r w:rsidRPr="00F51C08">
        <w:rPr>
          <w:lang w:val="en-CA"/>
        </w:rPr>
        <w:t>have started strengthen</w:t>
      </w:r>
      <w:r>
        <w:rPr>
          <w:lang w:val="en-CA"/>
        </w:rPr>
        <w:t>ing</w:t>
      </w:r>
      <w:r w:rsidRPr="00F51C08">
        <w:rPr>
          <w:lang w:val="en-CA"/>
        </w:rPr>
        <w:t xml:space="preserve"> the local institutions and bodies involved in technician training and certification; expand</w:t>
      </w:r>
      <w:r>
        <w:rPr>
          <w:lang w:val="en-CA"/>
        </w:rPr>
        <w:t>ing</w:t>
      </w:r>
      <w:r w:rsidRPr="00F51C08">
        <w:rPr>
          <w:lang w:val="en-CA"/>
        </w:rPr>
        <w:t xml:space="preserve"> the code of good practices and the training of technicians to include the proper handling and management of flammable and toxic refrigerants; and facilitating the introduction of low- or zero-GWP technologies in the RAC</w:t>
      </w:r>
      <w:r>
        <w:rPr>
          <w:lang w:val="en-CA"/>
        </w:rPr>
        <w:t>HP</w:t>
      </w:r>
      <w:r w:rsidRPr="00F51C08">
        <w:rPr>
          <w:lang w:val="en-CA"/>
        </w:rPr>
        <w:t xml:space="preserve"> sector. </w:t>
      </w:r>
    </w:p>
    <w:p w:rsidR="00BB5BFE" w:rsidRPr="00392C78" w:rsidRDefault="00BB5BFE" w:rsidP="00E479E5">
      <w:pPr>
        <w:rPr>
          <w:b/>
        </w:rPr>
      </w:pPr>
      <w:r>
        <w:rPr>
          <w:rFonts w:eastAsia="Cambria"/>
          <w:b/>
        </w:rPr>
        <w:t>T</w:t>
      </w:r>
      <w:r w:rsidRPr="00392C78">
        <w:rPr>
          <w:rFonts w:eastAsia="Cambria"/>
          <w:b/>
        </w:rPr>
        <w:t>argeted training on certification, safety and standards, awareness</w:t>
      </w:r>
      <w:r>
        <w:rPr>
          <w:rFonts w:eastAsia="Cambria"/>
          <w:b/>
        </w:rPr>
        <w:t xml:space="preserve"> </w:t>
      </w:r>
      <w:r w:rsidRPr="00392C78">
        <w:rPr>
          <w:rFonts w:eastAsia="Cambria"/>
          <w:b/>
        </w:rPr>
        <w:t>raising and capacity</w:t>
      </w:r>
      <w:r>
        <w:rPr>
          <w:rFonts w:eastAsia="Cambria"/>
          <w:b/>
        </w:rPr>
        <w:t xml:space="preserve"> </w:t>
      </w:r>
      <w:r w:rsidRPr="00392C78">
        <w:rPr>
          <w:rFonts w:eastAsia="Cambria"/>
          <w:b/>
        </w:rPr>
        <w:t>building</w:t>
      </w:r>
    </w:p>
    <w:p w:rsidR="00BB5BFE" w:rsidRPr="00065732" w:rsidRDefault="00BB5BFE" w:rsidP="00E479E5">
      <w:pPr>
        <w:rPr>
          <w:lang w:val="en-CA"/>
        </w:rPr>
      </w:pPr>
    </w:p>
    <w:p w:rsidR="00BB5BFE" w:rsidRPr="00DB748F" w:rsidRDefault="00BB5BFE" w:rsidP="00E479E5">
      <w:pPr>
        <w:pStyle w:val="Heading1"/>
      </w:pPr>
      <w:r>
        <w:t xml:space="preserve">The level of funding for the implementation of HCFC phase-out plans in the refrigeration servicing sector for all Article 5 countries was established under decision 74/50. For LVC countries, the maximum funding levels were dependent on the HCFC baseline for compliance in the refrigeration servicing sector, and varied from US $587,500 for countries with a consumption below 15 </w:t>
      </w:r>
      <w:proofErr w:type="spellStart"/>
      <w:r>
        <w:t>mt</w:t>
      </w:r>
      <w:proofErr w:type="spellEnd"/>
      <w:r>
        <w:t xml:space="preserve">, to US $1,800,000 for countries with a consumption above 320 </w:t>
      </w:r>
      <w:proofErr w:type="spellStart"/>
      <w:r>
        <w:t>mt.</w:t>
      </w:r>
      <w:proofErr w:type="spellEnd"/>
      <w:r>
        <w:t xml:space="preserve"> For non-LVC countries (with a consumption above 360 </w:t>
      </w:r>
      <w:proofErr w:type="spellStart"/>
      <w:r>
        <w:t>mt</w:t>
      </w:r>
      <w:proofErr w:type="spellEnd"/>
      <w:r>
        <w:t xml:space="preserve">) </w:t>
      </w:r>
      <w:r w:rsidRPr="00DB748F">
        <w:t>funding was approved at US $4.80/kg of HCFC used in the servicing sector.</w:t>
      </w:r>
    </w:p>
    <w:p w:rsidR="00BB5BFE" w:rsidRPr="00D06555" w:rsidRDefault="00BB5BFE" w:rsidP="00E479E5">
      <w:pPr>
        <w:pStyle w:val="Heading1"/>
      </w:pPr>
      <w:r>
        <w:t xml:space="preserve">With the funding provided, the activities covered under stages I and II of the HPMPs include, </w:t>
      </w:r>
      <w:r>
        <w:rPr>
          <w:i/>
        </w:rPr>
        <w:t>inter </w:t>
      </w:r>
      <w:r w:rsidRPr="00D518F0">
        <w:rPr>
          <w:i/>
        </w:rPr>
        <w:t>alia</w:t>
      </w:r>
      <w:r>
        <w:t>, support</w:t>
      </w:r>
      <w:r w:rsidRPr="007C19A2">
        <w:t xml:space="preserve"> </w:t>
      </w:r>
      <w:r>
        <w:t xml:space="preserve">for the development of policy and regulations to facilitate the phase-out of controlled substances; training of customs and enforcement officers, including capacity building of these institutions </w:t>
      </w:r>
      <w:r>
        <w:lastRenderedPageBreak/>
        <w:t xml:space="preserve">for refrigerant identification; training of technicians in good service practices that often include safe adoption of flammable and toxic refrigerants; basic equipment and tools to support technicians and technical institutions in the adoption of good servicing practices; programmes for the recovery, reuse and reclamation of refrigerants; incentives for </w:t>
      </w:r>
      <w:r w:rsidRPr="00D06555">
        <w:t>replacement or retrofit with alternative refrigerants; and</w:t>
      </w:r>
      <w:r>
        <w:t xml:space="preserve"> </w:t>
      </w:r>
      <w:r w:rsidRPr="00D06555">
        <w:t xml:space="preserve">information outreach and awareness activities. </w:t>
      </w:r>
    </w:p>
    <w:p w:rsidR="00BB5BFE" w:rsidRPr="001404FB" w:rsidRDefault="00BB5BFE" w:rsidP="00E479E5">
      <w:pPr>
        <w:pStyle w:val="Heading1"/>
        <w:rPr>
          <w:lang w:val="en-CA"/>
        </w:rPr>
      </w:pPr>
      <w:r w:rsidRPr="00D06555">
        <w:t>Throughout the implementation of their HPMPs, Article 5 countries ha</w:t>
      </w:r>
      <w:r>
        <w:t>ve</w:t>
      </w:r>
      <w:r w:rsidRPr="00D06555">
        <w:t xml:space="preserve"> the flexibility to select phase-out activities that are mo</w:t>
      </w:r>
      <w:r>
        <w:t>st</w:t>
      </w:r>
      <w:r w:rsidRPr="00D06555">
        <w:t xml:space="preserve"> suitable for the circumstances prevailing in their local markets and </w:t>
      </w:r>
      <w:r>
        <w:t>that best enable</w:t>
      </w:r>
      <w:r w:rsidRPr="00D06555">
        <w:t xml:space="preserve"> them to </w:t>
      </w:r>
      <w:r>
        <w:t>meet</w:t>
      </w:r>
      <w:r w:rsidRPr="00D06555">
        <w:t xml:space="preserve"> their compliance obligations. </w:t>
      </w:r>
      <w:r>
        <w:t>Several Article 5 countries have included schemes for the certification of servicing technicians, with most of them strengthening the training infrastructure to support the introduction of low- or zero-GWP refrigerants, with their intrinsic flammability and toxicity characteristics. A few Article 5 countries have also supported end-users, mainly through customized training programmes for technicians keeping in mind the market structure (e.g., large supermarkets planning to convert to low-GWP technologies have in-house capacity to maintain and train technicians), and through financial incentives for retrofitting and/or replacing the baseline equipment to low- or zero</w:t>
      </w:r>
      <w:r>
        <w:noBreakHyphen/>
        <w:t xml:space="preserve">GWP alternatives. </w:t>
      </w:r>
    </w:p>
    <w:p w:rsidR="00BB5BFE" w:rsidRPr="004B75F6" w:rsidRDefault="00BB5BFE" w:rsidP="00E479E5">
      <w:pPr>
        <w:spacing w:after="240"/>
        <w:outlineLvl w:val="0"/>
        <w:rPr>
          <w:u w:val="single"/>
        </w:rPr>
      </w:pPr>
      <w:r w:rsidRPr="004B75F6">
        <w:rPr>
          <w:u w:val="single"/>
        </w:rPr>
        <w:t>Certification of technicians</w:t>
      </w:r>
    </w:p>
    <w:p w:rsidR="00BB5BFE" w:rsidRDefault="00BB5BFE" w:rsidP="00E479E5">
      <w:pPr>
        <w:pStyle w:val="Heading1"/>
      </w:pPr>
      <w:r>
        <w:t>During the implementation of HPMPs, several Article 5 countries have considered it relevant to ensure the long-term sustainability of servicing sector activities by including systems for certifying the competency of technicians in good installation and servicing practices</w:t>
      </w:r>
      <w:r w:rsidRPr="00D06555">
        <w:t xml:space="preserve"> </w:t>
      </w:r>
      <w:r w:rsidRPr="00B87525">
        <w:t>tailored to the specific circumstances of each country</w:t>
      </w:r>
      <w:r>
        <w:t xml:space="preserve">. </w:t>
      </w:r>
      <w:r w:rsidRPr="006C7D79">
        <w:t xml:space="preserve">Many countries have </w:t>
      </w:r>
      <w:r>
        <w:t xml:space="preserve">moved toward </w:t>
      </w:r>
      <w:r w:rsidRPr="006C7D79">
        <w:t xml:space="preserve">establishing </w:t>
      </w:r>
      <w:r>
        <w:t xml:space="preserve">voluntary </w:t>
      </w:r>
      <w:r w:rsidRPr="006C7D79">
        <w:t>certification schemes supported by regulations</w:t>
      </w:r>
      <w:r>
        <w:t xml:space="preserve">. </w:t>
      </w:r>
      <w:r w:rsidRPr="00BC128E">
        <w:t xml:space="preserve">An alternative </w:t>
      </w:r>
      <w:r>
        <w:t xml:space="preserve">approach </w:t>
      </w:r>
      <w:r w:rsidRPr="00BC128E">
        <w:t xml:space="preserve">considered in some countries is the issuing of environmental licenses, which would be under the </w:t>
      </w:r>
      <w:r>
        <w:t>purview</w:t>
      </w:r>
      <w:r w:rsidRPr="00BC128E">
        <w:t xml:space="preserve"> of the Ministries of </w:t>
      </w:r>
      <w:r w:rsidRPr="00795CB1">
        <w:t xml:space="preserve">Environment. </w:t>
      </w:r>
      <w:r>
        <w:t xml:space="preserve">Some countries are </w:t>
      </w:r>
      <w:r w:rsidRPr="00795CB1">
        <w:t xml:space="preserve">strengthening </w:t>
      </w:r>
      <w:r>
        <w:t xml:space="preserve">the refrigeration </w:t>
      </w:r>
      <w:r w:rsidRPr="00795CB1">
        <w:t>associations and involving them more closely in implement</w:t>
      </w:r>
      <w:r>
        <w:t>ing</w:t>
      </w:r>
      <w:r w:rsidRPr="00795CB1">
        <w:t xml:space="preserve"> the certification system for technicians</w:t>
      </w:r>
      <w:r>
        <w:t xml:space="preserve">. In some regions (e.g., Pacific Island countries), there is a preference for using regional organizations for the certification of technicians as this could result in harmonised and cost-effective implementation of certification of technicians. </w:t>
      </w:r>
    </w:p>
    <w:p w:rsidR="00BB5BFE" w:rsidRDefault="00BB5BFE" w:rsidP="00E479E5">
      <w:pPr>
        <w:pStyle w:val="Heading1"/>
      </w:pPr>
      <w:r>
        <w:t xml:space="preserve">Establishing mandatory certification of technicians </w:t>
      </w:r>
      <w:r w:rsidRPr="00BC128E">
        <w:t>is more challenging</w:t>
      </w:r>
      <w:r>
        <w:t>,</w:t>
      </w:r>
      <w:r w:rsidRPr="00BC128E">
        <w:t xml:space="preserve"> as </w:t>
      </w:r>
      <w:r>
        <w:t>such a</w:t>
      </w:r>
      <w:r w:rsidRPr="00BC128E">
        <w:t xml:space="preserve"> decision would often go beyond the NOU</w:t>
      </w:r>
      <w:r>
        <w:t>’</w:t>
      </w:r>
      <w:r w:rsidRPr="00BC128E">
        <w:t xml:space="preserve">s </w:t>
      </w:r>
      <w:r>
        <w:t>purview</w:t>
      </w:r>
      <w:r w:rsidRPr="00BC128E">
        <w:t xml:space="preserve"> and would require additional institutional work. </w:t>
      </w:r>
      <w:r>
        <w:t>The extent to which certification mechanisms serve as a “pre-condition” for technicians varies</w:t>
      </w:r>
      <w:r w:rsidDel="007F4AE5">
        <w:t xml:space="preserve"> </w:t>
      </w:r>
      <w:r>
        <w:t xml:space="preserve">when it comes to following procedures for good servicing of RACHP equipment, the procurement and use of different types of refrigerants, the recovery and reuse of refrigerants and the safe/effective disposal of equipment. </w:t>
      </w:r>
      <w:r w:rsidRPr="00FC4A4D">
        <w:t>In some countries</w:t>
      </w:r>
      <w:r>
        <w:t>,</w:t>
      </w:r>
      <w:r w:rsidRPr="00FC4A4D">
        <w:t xml:space="preserve"> there are specific bodies in charge of developing technical norms and certification</w:t>
      </w:r>
      <w:r>
        <w:t xml:space="preserve"> processes;</w:t>
      </w:r>
      <w:r w:rsidRPr="00FC4A4D">
        <w:t xml:space="preserve"> technicians obtain a competency-based certification issued by the relevant education or </w:t>
      </w:r>
      <w:r>
        <w:t>other relevant regulatory body (e.g., labour ministry, technical education department)</w:t>
      </w:r>
      <w:r w:rsidRPr="00FC4A4D">
        <w:t xml:space="preserve"> </w:t>
      </w:r>
      <w:r>
        <w:t>within</w:t>
      </w:r>
      <w:r w:rsidRPr="00FC4A4D">
        <w:t xml:space="preserve"> the Government</w:t>
      </w:r>
      <w:r>
        <w:t>.</w:t>
      </w:r>
      <w:r w:rsidRPr="00FC4A4D">
        <w:t xml:space="preserve"> </w:t>
      </w:r>
    </w:p>
    <w:p w:rsidR="00BB5BFE" w:rsidRDefault="00BB5BFE" w:rsidP="00E479E5">
      <w:pPr>
        <w:pStyle w:val="Heading1"/>
      </w:pPr>
      <w:r>
        <w:t xml:space="preserve">To ensure long-term sustainability of the certification of technicians, </w:t>
      </w:r>
      <w:r w:rsidRPr="007732BE">
        <w:t xml:space="preserve">certification systems need to be </w:t>
      </w:r>
      <w:r>
        <w:t xml:space="preserve">further </w:t>
      </w:r>
      <w:r w:rsidRPr="007732BE">
        <w:t xml:space="preserve">developed and/or strengthened </w:t>
      </w:r>
      <w:r>
        <w:t>with necessary regulatory measures at national level</w:t>
      </w:r>
      <w:r w:rsidRPr="007732BE">
        <w:t>.</w:t>
      </w:r>
      <w:r>
        <w:t xml:space="preserve"> The training curricula of institutions and vocational schools should be periodically updated to incorporate changes, technology upgrades of RACHP systems and </w:t>
      </w:r>
      <w:r w:rsidRPr="00FC4A4D">
        <w:t>the introduction of alternative refrigerants</w:t>
      </w:r>
      <w:r>
        <w:t xml:space="preserve">. Consideration should be given to: </w:t>
      </w:r>
      <w:r w:rsidRPr="00FC4A4D">
        <w:t xml:space="preserve">extending certification to enterprises involved in </w:t>
      </w:r>
      <w:r>
        <w:t xml:space="preserve">the </w:t>
      </w:r>
      <w:r w:rsidRPr="00FC4A4D">
        <w:t xml:space="preserve">installation, servicing, maintenance and decommissioning </w:t>
      </w:r>
      <w:r>
        <w:t xml:space="preserve">of RACHP </w:t>
      </w:r>
      <w:r w:rsidRPr="00FC4A4D">
        <w:t>equipment; linking technician certification to regulatory norms or standards adopted by the country; determining the number and levels of technician certification according to the specific needs of the country; and strengthening and involving refrigeration associations in the promotion or implementation of technician certification.</w:t>
      </w:r>
      <w:r>
        <w:t xml:space="preserve"> </w:t>
      </w:r>
      <w:r w:rsidRPr="007732BE">
        <w:t>The</w:t>
      </w:r>
      <w:r>
        <w:t xml:space="preserve"> certification programme </w:t>
      </w:r>
      <w:r w:rsidRPr="007732BE">
        <w:t xml:space="preserve">should include regulations to prevent uncertified technicians from working on and/or servicing </w:t>
      </w:r>
      <w:r>
        <w:t xml:space="preserve">RACHP </w:t>
      </w:r>
      <w:r w:rsidRPr="007732BE">
        <w:t>equipment with certain technologies</w:t>
      </w:r>
      <w:r>
        <w:t>, and purchasing and handling refrigerants, and should be supported by i</w:t>
      </w:r>
      <w:r w:rsidRPr="007732BE">
        <w:t xml:space="preserve">nformation outreach and awareness to ensure </w:t>
      </w:r>
      <w:r>
        <w:t xml:space="preserve">its </w:t>
      </w:r>
      <w:r w:rsidRPr="007732BE">
        <w:t xml:space="preserve">sustained adoption. </w:t>
      </w:r>
    </w:p>
    <w:p w:rsidR="00BB5BFE" w:rsidRDefault="00BB5BFE" w:rsidP="00E479E5">
      <w:pPr>
        <w:keepNext/>
        <w:spacing w:after="120"/>
        <w:outlineLvl w:val="0"/>
        <w:rPr>
          <w:u w:val="single"/>
        </w:rPr>
      </w:pPr>
    </w:p>
    <w:p w:rsidR="00BB5BFE" w:rsidRPr="00157691" w:rsidRDefault="00BB5BFE" w:rsidP="00E479E5">
      <w:pPr>
        <w:keepNext/>
        <w:spacing w:after="240"/>
        <w:outlineLvl w:val="0"/>
        <w:rPr>
          <w:u w:val="single"/>
        </w:rPr>
      </w:pPr>
      <w:r w:rsidRPr="00157691">
        <w:rPr>
          <w:u w:val="single"/>
        </w:rPr>
        <w:t xml:space="preserve">Safety and standards </w:t>
      </w:r>
    </w:p>
    <w:p w:rsidR="00BB5BFE" w:rsidRPr="009A6004" w:rsidRDefault="00BB5BFE" w:rsidP="00E479E5">
      <w:pPr>
        <w:pStyle w:val="Heading1"/>
      </w:pPr>
      <w:r>
        <w:t xml:space="preserve">As more low- or zero-GWP alternative refrigerants enter the markets in Article 5 countries, the </w:t>
      </w:r>
      <w:r w:rsidRPr="007732BE">
        <w:t xml:space="preserve">training infrastructure </w:t>
      </w:r>
      <w:r>
        <w:t>currently used for phasing out HCFCs should be assessed to determine whether it would need to be further strengthened or updated.</w:t>
      </w:r>
      <w:r w:rsidRPr="007732BE">
        <w:t xml:space="preserve"> </w:t>
      </w:r>
      <w:r>
        <w:t>Similarly, t</w:t>
      </w:r>
      <w:r w:rsidRPr="007732BE">
        <w:t xml:space="preserve">he </w:t>
      </w:r>
      <w:r>
        <w:t xml:space="preserve">current </w:t>
      </w:r>
      <w:r w:rsidRPr="007732BE">
        <w:t xml:space="preserve">training programmes </w:t>
      </w:r>
      <w:r>
        <w:t>must be</w:t>
      </w:r>
      <w:r w:rsidRPr="007732BE">
        <w:t xml:space="preserve"> </w:t>
      </w:r>
      <w:r>
        <w:t xml:space="preserve">reviewed in order to extend the </w:t>
      </w:r>
      <w:r w:rsidRPr="007732BE">
        <w:t xml:space="preserve">good servicing </w:t>
      </w:r>
      <w:r>
        <w:t xml:space="preserve">and maintenance </w:t>
      </w:r>
      <w:r w:rsidRPr="007732BE">
        <w:t xml:space="preserve">practices </w:t>
      </w:r>
      <w:r>
        <w:t>to cover the new technologies being introduced</w:t>
      </w:r>
      <w:r w:rsidRPr="007732BE">
        <w:t xml:space="preserve">. </w:t>
      </w:r>
      <w:r>
        <w:t xml:space="preserve">They should </w:t>
      </w:r>
      <w:r w:rsidRPr="009A6004">
        <w:t xml:space="preserve">be structured based on national priorities relating to </w:t>
      </w:r>
      <w:r>
        <w:t xml:space="preserve">the </w:t>
      </w:r>
      <w:r w:rsidRPr="009A6004">
        <w:t>servic</w:t>
      </w:r>
      <w:r>
        <w:t>ing</w:t>
      </w:r>
      <w:r w:rsidRPr="009A6004">
        <w:t xml:space="preserve"> sector</w:t>
      </w:r>
      <w:r>
        <w:t xml:space="preserve">’s </w:t>
      </w:r>
      <w:r w:rsidRPr="009A6004">
        <w:t xml:space="preserve">capacity and </w:t>
      </w:r>
      <w:r>
        <w:t xml:space="preserve">the </w:t>
      </w:r>
      <w:r w:rsidRPr="009A6004">
        <w:t>technologies that are expected to be introduced while phasing</w:t>
      </w:r>
      <w:r>
        <w:t xml:space="preserve"> </w:t>
      </w:r>
      <w:r w:rsidRPr="009A6004">
        <w:t>out HCFCs.</w:t>
      </w:r>
    </w:p>
    <w:p w:rsidR="00BB5BFE" w:rsidRPr="009A6004" w:rsidRDefault="00BB5BFE" w:rsidP="00E479E5">
      <w:pPr>
        <w:pStyle w:val="Heading1"/>
      </w:pPr>
      <w:r>
        <w:t>Adapting</w:t>
      </w:r>
      <w:r w:rsidRPr="009A6004">
        <w:t xml:space="preserve"> internationally approved standards</w:t>
      </w:r>
      <w:r w:rsidRPr="009A6004">
        <w:rPr>
          <w:rStyle w:val="FootnoteReference"/>
        </w:rPr>
        <w:footnoteReference w:id="46"/>
      </w:r>
      <w:r w:rsidRPr="009A6004">
        <w:t xml:space="preserve"> to suit nation</w:t>
      </w:r>
      <w:r>
        <w:t>al requirements could be a cost</w:t>
      </w:r>
      <w:r>
        <w:noBreakHyphen/>
      </w:r>
      <w:r w:rsidRPr="009A6004">
        <w:t xml:space="preserve">effective way </w:t>
      </w:r>
      <w:r>
        <w:t>of</w:t>
      </w:r>
      <w:r w:rsidRPr="009A6004">
        <w:t xml:space="preserve"> adopting standards. In the context of LVC countries, equipment standards would typically be adopted from the prevailing international standards and adapted to the extent required to suit local conditions. Servicing standards, however, need to be developed and integrated with the certification system to ensure sustainable adoption of equipment using low-GWP alternatives.</w:t>
      </w:r>
    </w:p>
    <w:p w:rsidR="00BB5BFE" w:rsidRPr="009A6004" w:rsidRDefault="00BB5BFE" w:rsidP="00E479E5">
      <w:pPr>
        <w:spacing w:after="240"/>
        <w:outlineLvl w:val="0"/>
        <w:rPr>
          <w:u w:val="single"/>
        </w:rPr>
      </w:pPr>
      <w:r w:rsidRPr="009A6004">
        <w:rPr>
          <w:u w:val="single"/>
        </w:rPr>
        <w:t>Awareness</w:t>
      </w:r>
      <w:r>
        <w:rPr>
          <w:u w:val="single"/>
        </w:rPr>
        <w:t xml:space="preserve"> </w:t>
      </w:r>
      <w:r w:rsidRPr="009A6004">
        <w:rPr>
          <w:u w:val="single"/>
        </w:rPr>
        <w:t>raising and capacity</w:t>
      </w:r>
      <w:r>
        <w:rPr>
          <w:u w:val="single"/>
        </w:rPr>
        <w:t xml:space="preserve"> </w:t>
      </w:r>
      <w:r w:rsidRPr="009A6004">
        <w:rPr>
          <w:u w:val="single"/>
        </w:rPr>
        <w:t>building</w:t>
      </w:r>
    </w:p>
    <w:p w:rsidR="00BB5BFE" w:rsidRDefault="00BB5BFE" w:rsidP="00E479E5">
      <w:pPr>
        <w:pStyle w:val="Heading1"/>
      </w:pPr>
      <w:r w:rsidRPr="009A6004">
        <w:t>Awareness</w:t>
      </w:r>
      <w:r>
        <w:t>-</w:t>
      </w:r>
      <w:r w:rsidRPr="009A6004">
        <w:t>raising activities are carried</w:t>
      </w:r>
      <w:r>
        <w:t xml:space="preserve"> out in LVC countries under HPMPs and as part of the institutional strengthening project, mainly to support the phase-out of controlled substances in line with the compliance targets of the Montreal Protocol. Energy efficiency-related awareness activities are not separately covered under HPMPs, though they at times are covered under training activities for the servicing sector. </w:t>
      </w:r>
    </w:p>
    <w:p w:rsidR="00BB5BFE" w:rsidRDefault="00BB5BFE" w:rsidP="00E479E5">
      <w:pPr>
        <w:pStyle w:val="Heading1"/>
      </w:pPr>
      <w:r w:rsidRPr="006D4390">
        <w:t xml:space="preserve">Capacity building </w:t>
      </w:r>
      <w:r>
        <w:t xml:space="preserve">for implementation of the Montreal Protocol has been funded since the inception of the Multilateral Fund directly to each Article 5 country, to </w:t>
      </w:r>
      <w:r w:rsidRPr="006D4390">
        <w:t>UNEP CAP through its clearinghouse function</w:t>
      </w:r>
      <w:r>
        <w:t>,</w:t>
      </w:r>
      <w:r w:rsidRPr="006D4390">
        <w:t xml:space="preserve"> and at the regional and global levels, mainly through regional network meetings</w:t>
      </w:r>
      <w:r>
        <w:t>. The list of tools developed by UNEP CAP</w:t>
      </w:r>
      <w:r>
        <w:rPr>
          <w:rStyle w:val="FootnoteReference"/>
        </w:rPr>
        <w:footnoteReference w:id="47"/>
      </w:r>
      <w:r>
        <w:t xml:space="preserve"> and other relevant tools developed by different implementing agencies can be used to develop certification programmes in a cost-effective manner, </w:t>
      </w:r>
      <w:r w:rsidRPr="007732BE">
        <w:t>tailored to country</w:t>
      </w:r>
      <w:r>
        <w:t>-</w:t>
      </w:r>
      <w:r w:rsidRPr="007732BE">
        <w:t>specific technical needs.</w:t>
      </w:r>
      <w:r>
        <w:t xml:space="preserve"> </w:t>
      </w:r>
    </w:p>
    <w:p w:rsidR="00BB5BFE" w:rsidRDefault="00BB5BFE" w:rsidP="00E479E5">
      <w:pPr>
        <w:pStyle w:val="Heading1"/>
      </w:pPr>
      <w:r>
        <w:t>Capacity building activities relating to regulations, training and institutional coordination with energy efficiency authorities are essential for facilitating the adoption of low- and zero-GWP refrigerants. These activities need to be customized based on national needs and priorities. Integrating energy efficiency</w:t>
      </w:r>
      <w:r>
        <w:noBreakHyphen/>
        <w:t>related aspects into outreach programmes can effectively disseminate information on energy issues to various stakeholders.</w:t>
      </w:r>
    </w:p>
    <w:p w:rsidR="00BB5BFE" w:rsidRPr="004A640F" w:rsidRDefault="00BB5BFE" w:rsidP="00E479E5">
      <w:pPr>
        <w:pStyle w:val="ListParagraph"/>
        <w:ind w:left="0"/>
        <w:rPr>
          <w:rFonts w:eastAsia="Cambria"/>
          <w:b/>
        </w:rPr>
      </w:pPr>
      <w:r w:rsidRPr="004A640F">
        <w:rPr>
          <w:b/>
        </w:rPr>
        <w:t>Criteria, performance indicators, and associated funding mechanisms of servicing sector plans in existing or new HPMPs</w:t>
      </w:r>
    </w:p>
    <w:p w:rsidR="00BB5BFE" w:rsidRDefault="00BB5BFE" w:rsidP="00E479E5">
      <w:pPr>
        <w:outlineLvl w:val="0"/>
        <w:rPr>
          <w:highlight w:val="green"/>
        </w:rPr>
      </w:pPr>
    </w:p>
    <w:p w:rsidR="00BB5BFE" w:rsidRPr="009A6004" w:rsidRDefault="00BB5BFE" w:rsidP="00E479E5">
      <w:pPr>
        <w:pStyle w:val="Heading1"/>
      </w:pPr>
      <w:r>
        <w:t xml:space="preserve">The Secretariat’s review of the regulatory framework and the phase-out plans for controlled substances, in particular those related to the refrigeration servicing sector, in light of decision 82/83(c) has led to the understanding that </w:t>
      </w:r>
      <w:r w:rsidRPr="009A6004">
        <w:t>introduc</w:t>
      </w:r>
      <w:r>
        <w:t>ing</w:t>
      </w:r>
      <w:r w:rsidRPr="009A6004">
        <w:t xml:space="preserve"> low- or zero-GWP technologies and maintaining </w:t>
      </w:r>
      <w:r>
        <w:t xml:space="preserve">the </w:t>
      </w:r>
      <w:r w:rsidRPr="009A6004">
        <w:t>energy efficiency of RAC</w:t>
      </w:r>
      <w:r>
        <w:t>HP</w:t>
      </w:r>
      <w:r w:rsidRPr="009A6004">
        <w:t xml:space="preserve"> equipment in the refrigeration servicing sector</w:t>
      </w:r>
      <w:r>
        <w:t xml:space="preserve"> would necessitate the following</w:t>
      </w:r>
      <w:r w:rsidRPr="009A6004">
        <w:t>:</w:t>
      </w:r>
    </w:p>
    <w:p w:rsidR="00BB5BFE" w:rsidRPr="009A6004" w:rsidRDefault="00BB5BFE" w:rsidP="00BB5BFE">
      <w:pPr>
        <w:pStyle w:val="Heading2"/>
        <w:numPr>
          <w:ilvl w:val="1"/>
          <w:numId w:val="1"/>
        </w:numPr>
      </w:pPr>
      <w:r w:rsidRPr="009A6004">
        <w:t xml:space="preserve">Strengthening existing policies and regulations, and developing new ones for </w:t>
      </w:r>
      <w:r>
        <w:t xml:space="preserve">the </w:t>
      </w:r>
      <w:r w:rsidRPr="009A6004">
        <w:t>staged reduction o</w:t>
      </w:r>
      <w:r>
        <w:t>f</w:t>
      </w:r>
      <w:r w:rsidRPr="009A6004">
        <w:t xml:space="preserve"> import</w:t>
      </w:r>
      <w:r>
        <w:t>s</w:t>
      </w:r>
      <w:r w:rsidRPr="009A6004">
        <w:t xml:space="preserve"> of HCFC-based RAC</w:t>
      </w:r>
      <w:r>
        <w:t>HP</w:t>
      </w:r>
      <w:r w:rsidRPr="009A6004">
        <w:t xml:space="preserve"> equipment, and for </w:t>
      </w:r>
      <w:r>
        <w:t xml:space="preserve">the </w:t>
      </w:r>
      <w:r w:rsidRPr="009A6004">
        <w:t xml:space="preserve">adoption of </w:t>
      </w:r>
      <w:r w:rsidRPr="009A6004">
        <w:lastRenderedPageBreak/>
        <w:t>energy</w:t>
      </w:r>
      <w:r>
        <w:noBreakHyphen/>
      </w:r>
      <w:r w:rsidRPr="009A6004">
        <w:t>efficien</w:t>
      </w:r>
      <w:r>
        <w:t xml:space="preserve">t equipment based on </w:t>
      </w:r>
      <w:r w:rsidRPr="009A6004">
        <w:t xml:space="preserve">low- or zero-GWP </w:t>
      </w:r>
      <w:r>
        <w:t xml:space="preserve">refrigerants </w:t>
      </w:r>
      <w:r w:rsidRPr="009A6004">
        <w:t>while phasing</w:t>
      </w:r>
      <w:r>
        <w:t xml:space="preserve"> </w:t>
      </w:r>
      <w:r w:rsidRPr="009A6004">
        <w:t>out HCFCs;</w:t>
      </w:r>
    </w:p>
    <w:p w:rsidR="00BB5BFE" w:rsidRPr="009A6004" w:rsidRDefault="00BB5BFE" w:rsidP="00BB5BFE">
      <w:pPr>
        <w:pStyle w:val="Heading2"/>
        <w:numPr>
          <w:ilvl w:val="1"/>
          <w:numId w:val="1"/>
        </w:numPr>
      </w:pPr>
      <w:r w:rsidRPr="009A6004">
        <w:t>Coordination with energy efficiency policy</w:t>
      </w:r>
      <w:r>
        <w:t xml:space="preserve"> </w:t>
      </w:r>
      <w:r w:rsidRPr="009A6004">
        <w:t>makers in setting</w:t>
      </w:r>
      <w:r>
        <w:t xml:space="preserve"> </w:t>
      </w:r>
      <w:r w:rsidRPr="009A6004">
        <w:t>up and/or operationali</w:t>
      </w:r>
      <w:r>
        <w:t>z</w:t>
      </w:r>
      <w:r w:rsidRPr="009A6004">
        <w:t>ing MEPS</w:t>
      </w:r>
      <w:r>
        <w:t xml:space="preserve">, </w:t>
      </w:r>
      <w:r w:rsidRPr="009A6004">
        <w:t>labelling system</w:t>
      </w:r>
      <w:r>
        <w:t>s and other mechanisms</w:t>
      </w:r>
      <w:r w:rsidRPr="009A6004">
        <w:t xml:space="preserve"> for the introduction of energy</w:t>
      </w:r>
      <w:r>
        <w:t>-</w:t>
      </w:r>
      <w:r w:rsidRPr="009A6004">
        <w:t>efficient RAC</w:t>
      </w:r>
      <w:r>
        <w:t>HP</w:t>
      </w:r>
      <w:r w:rsidRPr="009A6004">
        <w:t xml:space="preserve"> equipment (preventing </w:t>
      </w:r>
      <w:r>
        <w:t xml:space="preserve">the </w:t>
      </w:r>
      <w:r w:rsidRPr="009A6004">
        <w:t>introduction of energy</w:t>
      </w:r>
      <w:r>
        <w:t>-</w:t>
      </w:r>
      <w:r w:rsidRPr="009A6004">
        <w:t xml:space="preserve">inefficient </w:t>
      </w:r>
      <w:r>
        <w:t xml:space="preserve">low- and zero-GWP refrigerant-based </w:t>
      </w:r>
      <w:r w:rsidRPr="009A6004">
        <w:t>RAC</w:t>
      </w:r>
      <w:r>
        <w:t>HP</w:t>
      </w:r>
      <w:r w:rsidRPr="009A6004">
        <w:t xml:space="preserve"> equipment) into local markets;</w:t>
      </w:r>
    </w:p>
    <w:p w:rsidR="00BB5BFE" w:rsidRPr="009A6004" w:rsidRDefault="00BB5BFE" w:rsidP="00BB5BFE">
      <w:pPr>
        <w:pStyle w:val="Heading2"/>
        <w:numPr>
          <w:ilvl w:val="1"/>
          <w:numId w:val="1"/>
        </w:numPr>
      </w:pPr>
      <w:r w:rsidRPr="009A6004">
        <w:t>Continued implementation of standards for safe</w:t>
      </w:r>
      <w:r>
        <w:t>ty</w:t>
      </w:r>
      <w:r w:rsidRPr="009A6004">
        <w:t xml:space="preserve"> and </w:t>
      </w:r>
      <w:r>
        <w:t xml:space="preserve">for the </w:t>
      </w:r>
      <w:r w:rsidRPr="009A6004">
        <w:t>eff</w:t>
      </w:r>
      <w:r>
        <w:t>ective use of low- or zero</w:t>
      </w:r>
      <w:r>
        <w:noBreakHyphen/>
      </w:r>
      <w:r w:rsidRPr="009A6004">
        <w:t xml:space="preserve">GWP </w:t>
      </w:r>
      <w:r>
        <w:t>refrigerants</w:t>
      </w:r>
      <w:r w:rsidRPr="009A6004">
        <w:t xml:space="preserve">, and </w:t>
      </w:r>
      <w:r>
        <w:t xml:space="preserve">the </w:t>
      </w:r>
      <w:r w:rsidRPr="009A6004">
        <w:t>development and implementation of regulations to ensure that only certified technicians service and maintain RAC</w:t>
      </w:r>
      <w:r>
        <w:t>HP</w:t>
      </w:r>
      <w:r w:rsidRPr="009A6004">
        <w:t xml:space="preserve"> equipment and handle all types of refrigerants;</w:t>
      </w:r>
    </w:p>
    <w:p w:rsidR="00BB5BFE" w:rsidRPr="009A6004" w:rsidRDefault="00BB5BFE" w:rsidP="00BB5BFE">
      <w:pPr>
        <w:pStyle w:val="Heading2"/>
        <w:numPr>
          <w:ilvl w:val="1"/>
          <w:numId w:val="1"/>
        </w:numPr>
      </w:pPr>
      <w:r w:rsidRPr="009A6004">
        <w:t xml:space="preserve">Continued training and certification of technicians </w:t>
      </w:r>
      <w:r>
        <w:t>i</w:t>
      </w:r>
      <w:r w:rsidRPr="009A6004">
        <w:t xml:space="preserve">n </w:t>
      </w:r>
      <w:r>
        <w:t xml:space="preserve">the </w:t>
      </w:r>
      <w:r w:rsidRPr="009A6004">
        <w:t>installation, maintenance and servicing of RAC</w:t>
      </w:r>
      <w:r>
        <w:t>HP</w:t>
      </w:r>
      <w:r w:rsidRPr="009A6004">
        <w:t xml:space="preserve"> equipment to ensure efficient and safe operation of the equipment throughout its lifetime</w:t>
      </w:r>
      <w:r>
        <w:t>, and demonstration of new low- and zero-GWP refrigerant-based technologies</w:t>
      </w:r>
      <w:r w:rsidRPr="009A6004">
        <w:t>; and</w:t>
      </w:r>
    </w:p>
    <w:p w:rsidR="00BB5BFE" w:rsidRPr="009A6004" w:rsidRDefault="00BB5BFE" w:rsidP="00BB5BFE">
      <w:pPr>
        <w:pStyle w:val="Heading2"/>
        <w:numPr>
          <w:ilvl w:val="1"/>
          <w:numId w:val="1"/>
        </w:numPr>
      </w:pPr>
      <w:r w:rsidRPr="009A6004">
        <w:t xml:space="preserve">Awareness and information outreach on </w:t>
      </w:r>
      <w:r>
        <w:t xml:space="preserve">the </w:t>
      </w:r>
      <w:r w:rsidRPr="009A6004">
        <w:t>adoption of low- or zero-GWP energy</w:t>
      </w:r>
      <w:r>
        <w:t>-</w:t>
      </w:r>
      <w:r w:rsidRPr="009A6004">
        <w:t xml:space="preserve">efficient technologies, and </w:t>
      </w:r>
      <w:r>
        <w:t xml:space="preserve">on the </w:t>
      </w:r>
      <w:r w:rsidRPr="009A6004">
        <w:t xml:space="preserve">certification of technicians. </w:t>
      </w:r>
    </w:p>
    <w:p w:rsidR="00BB5BFE" w:rsidRDefault="00BB5BFE" w:rsidP="00E479E5">
      <w:pPr>
        <w:pStyle w:val="Heading1"/>
      </w:pPr>
      <w:r>
        <w:t xml:space="preserve">Given that most of the above-mentioned activities for facilitating the adoption of low- or zero-GWP technologies while phasing out HCFCs are currently being implemented under stages I and II of the HPMPs, operationalizing paragraph 16 of decision XXVIII/2 would involve identifying activities in addition to the existing activities under HPMPs. Activities relating to the introduction of energy-efficient RACHP equipment are being implemented as part of the enabling activities, albeit to a limited extent. The results of the outcomes of these activities have yet to be reported. </w:t>
      </w:r>
    </w:p>
    <w:p w:rsidR="00BB5BFE" w:rsidRDefault="00BB5BFE" w:rsidP="00E479E5">
      <w:pPr>
        <w:pStyle w:val="Heading1"/>
      </w:pPr>
      <w:r>
        <w:t xml:space="preserve">Based on the above considerations, the extent to which additional funds are required would depend upon the levels of additional activities to be implemented under existing stages or future stages of HPMPs. These could include the following, for countries not already implemented such activities: </w:t>
      </w:r>
    </w:p>
    <w:p w:rsidR="00BB5BFE" w:rsidRPr="006B17A8" w:rsidRDefault="00BB5BFE" w:rsidP="00BB5BFE">
      <w:pPr>
        <w:pStyle w:val="Heading2"/>
        <w:numPr>
          <w:ilvl w:val="1"/>
          <w:numId w:val="1"/>
        </w:numPr>
      </w:pPr>
      <w:r w:rsidRPr="006B17A8">
        <w:t xml:space="preserve">Pilot projects </w:t>
      </w:r>
      <w:r>
        <w:t xml:space="preserve">strategically designed and </w:t>
      </w:r>
      <w:r w:rsidRPr="006B17A8">
        <w:t>targeted to end-users</w:t>
      </w:r>
      <w:r>
        <w:t>, primarily for small capacity RACHP equipment,</w:t>
      </w:r>
      <w:r w:rsidRPr="006B17A8">
        <w:t xml:space="preserve"> for adoption of energy-efficient equipment operating with low- or zero-GWP refrigerants</w:t>
      </w:r>
      <w:r>
        <w:t xml:space="preserve"> for which manufacturing conversion projects have been funded under the HPMP and challenges are experienced in market acceptance</w:t>
      </w:r>
      <w:r w:rsidRPr="006B17A8">
        <w:t>;</w:t>
      </w:r>
    </w:p>
    <w:p w:rsidR="00BB5BFE" w:rsidRPr="006B17A8" w:rsidRDefault="00BB5BFE" w:rsidP="00BB5BFE">
      <w:pPr>
        <w:pStyle w:val="Heading2"/>
        <w:numPr>
          <w:ilvl w:val="1"/>
          <w:numId w:val="1"/>
        </w:numPr>
      </w:pPr>
      <w:r w:rsidRPr="006B17A8">
        <w:t>Updating training material to strengthen components relating to good practices for installation, maintenance and servicing of RAC</w:t>
      </w:r>
      <w:r>
        <w:t>HP</w:t>
      </w:r>
      <w:r w:rsidRPr="006B17A8">
        <w:t xml:space="preserve"> equipment based on refrigerants with different operating characteristics in regard to flammability, toxicity and pressure;</w:t>
      </w:r>
    </w:p>
    <w:p w:rsidR="00BB5BFE" w:rsidRPr="006B17A8" w:rsidRDefault="00BB5BFE" w:rsidP="00BB5BFE">
      <w:pPr>
        <w:pStyle w:val="Heading2"/>
        <w:numPr>
          <w:ilvl w:val="1"/>
          <w:numId w:val="1"/>
        </w:numPr>
      </w:pPr>
      <w:r w:rsidRPr="006B17A8">
        <w:t>Coordination and collaboration between the NO</w:t>
      </w:r>
      <w:r>
        <w:t>U</w:t>
      </w:r>
      <w:r w:rsidRPr="006B17A8">
        <w:t xml:space="preserve"> and the energy efficiency authorities to support the development and enforcement of MEPS, labelling programme and standards for the introduction of energy</w:t>
      </w:r>
      <w:r w:rsidRPr="00CF5D9B">
        <w:t>-</w:t>
      </w:r>
      <w:r w:rsidRPr="006B17A8">
        <w:t>efficient RAC</w:t>
      </w:r>
      <w:r>
        <w:t>HP</w:t>
      </w:r>
      <w:r w:rsidRPr="006B17A8">
        <w:t xml:space="preserve"> equipment based on low- and zero-GWP </w:t>
      </w:r>
      <w:r>
        <w:t xml:space="preserve">refrigerant </w:t>
      </w:r>
      <w:r w:rsidRPr="006B17A8">
        <w:t>technologies;</w:t>
      </w:r>
    </w:p>
    <w:p w:rsidR="00BB5BFE" w:rsidRPr="006B17A8" w:rsidRDefault="00BB5BFE" w:rsidP="00BB5BFE">
      <w:pPr>
        <w:pStyle w:val="Heading2"/>
        <w:numPr>
          <w:ilvl w:val="1"/>
          <w:numId w:val="1"/>
        </w:numPr>
      </w:pPr>
      <w:r w:rsidRPr="006B17A8">
        <w:t>Development and enforcement of certification schemes for technicians and strengthening infrastructure of national institutions on implementing certification systems</w:t>
      </w:r>
      <w:r>
        <w:t>. In particular, this is required due to the flammable or toxic characteristics of the low and zero-GWP refrigerants</w:t>
      </w:r>
      <w:r w:rsidRPr="006B17A8">
        <w:t>;</w:t>
      </w:r>
      <w:r>
        <w:t xml:space="preserve"> and</w:t>
      </w:r>
    </w:p>
    <w:p w:rsidR="00BB5BFE" w:rsidRPr="006B17A8" w:rsidRDefault="00BB5BFE" w:rsidP="00BB5BFE">
      <w:pPr>
        <w:pStyle w:val="Heading2"/>
        <w:keepNext/>
        <w:keepLines/>
        <w:numPr>
          <w:ilvl w:val="1"/>
          <w:numId w:val="1"/>
        </w:numPr>
      </w:pPr>
      <w:r w:rsidRPr="006B17A8">
        <w:lastRenderedPageBreak/>
        <w:t>Awareness and outreach programmes to promote the introduction of MEPS and labelling systems; mandatory certification of technicians; and introduction of energy efficiency RAC</w:t>
      </w:r>
      <w:r>
        <w:t>HP</w:t>
      </w:r>
      <w:r w:rsidRPr="006B17A8">
        <w:t xml:space="preserve"> equipment operating with low- and zero-GWP refrigerants.</w:t>
      </w:r>
    </w:p>
    <w:p w:rsidR="00BB5BFE" w:rsidRPr="00826306" w:rsidRDefault="00BB5BFE" w:rsidP="00E479E5">
      <w:pPr>
        <w:pStyle w:val="Heading1"/>
        <w:rPr>
          <w:color w:val="000000"/>
          <w:lang w:val="en-CA" w:eastAsia="en-CA"/>
        </w:rPr>
      </w:pPr>
      <w:r w:rsidRPr="00826306">
        <w:t xml:space="preserve">Currently, HPMP activities in LVC countries are funded in line with decision </w:t>
      </w:r>
      <w:r>
        <w:t>74/50(</w:t>
      </w:r>
      <w:r w:rsidRPr="00826306">
        <w:t>c</w:t>
      </w:r>
      <w:r>
        <w:t>)</w:t>
      </w:r>
      <w:r w:rsidRPr="00826306">
        <w:t>(xii)</w:t>
      </w:r>
      <w:r w:rsidRPr="00826306">
        <w:rPr>
          <w:color w:val="000000"/>
          <w:lang w:val="en-CA" w:eastAsia="en-CA"/>
        </w:rPr>
        <w:t>, as shown in Table 3.</w:t>
      </w:r>
    </w:p>
    <w:p w:rsidR="00BB5BFE" w:rsidRPr="00492C59" w:rsidRDefault="00BB5BFE" w:rsidP="00E479E5">
      <w:pPr>
        <w:rPr>
          <w:b/>
          <w:lang w:val="en-CA" w:eastAsia="en-CA"/>
        </w:rPr>
      </w:pPr>
      <w:r w:rsidRPr="00492C59">
        <w:rPr>
          <w:b/>
          <w:lang w:val="en-CA" w:eastAsia="en-CA"/>
        </w:rPr>
        <w:t>Table 3. Total funding approved for HPMP and enabling activities in LVC countries (US $)</w:t>
      </w:r>
    </w:p>
    <w:tbl>
      <w:tblPr>
        <w:tblW w:w="5000" w:type="pct"/>
        <w:tblCellMar>
          <w:left w:w="0" w:type="dxa"/>
          <w:right w:w="0" w:type="dxa"/>
        </w:tblCellMar>
        <w:tblLook w:val="04A0" w:firstRow="1" w:lastRow="0" w:firstColumn="1" w:lastColumn="0" w:noHBand="0" w:noVBand="1"/>
      </w:tblPr>
      <w:tblGrid>
        <w:gridCol w:w="3657"/>
        <w:gridCol w:w="1703"/>
        <w:gridCol w:w="1926"/>
        <w:gridCol w:w="2064"/>
      </w:tblGrid>
      <w:tr w:rsidR="00BB5BFE" w:rsidRPr="009F577F" w:rsidTr="00E479E5">
        <w:tc>
          <w:tcPr>
            <w:tcW w:w="1955" w:type="pct"/>
            <w:tcBorders>
              <w:top w:val="single" w:sz="4" w:space="0" w:color="auto"/>
              <w:left w:val="single" w:sz="4" w:space="0" w:color="auto"/>
              <w:bottom w:val="single" w:sz="4" w:space="0" w:color="auto"/>
              <w:right w:val="single" w:sz="4" w:space="0" w:color="auto"/>
            </w:tcBorders>
            <w:shd w:val="clear" w:color="auto" w:fill="auto"/>
            <w:noWrap/>
            <w:tcMar>
              <w:top w:w="15" w:type="dxa"/>
              <w:left w:w="115" w:type="dxa"/>
              <w:bottom w:w="0" w:type="dxa"/>
              <w:right w:w="15" w:type="dxa"/>
            </w:tcMar>
            <w:vAlign w:val="center"/>
            <w:hideMark/>
          </w:tcPr>
          <w:p w:rsidR="00BB5BFE" w:rsidRPr="00E3662F" w:rsidRDefault="00BB5BFE" w:rsidP="00E479E5">
            <w:pPr>
              <w:jc w:val="left"/>
              <w:rPr>
                <w:b/>
                <w:color w:val="000000"/>
                <w:sz w:val="21"/>
                <w:szCs w:val="21"/>
                <w:lang w:val="en-CA"/>
              </w:rPr>
            </w:pPr>
            <w:r w:rsidRPr="00E3662F">
              <w:rPr>
                <w:b/>
                <w:color w:val="000000"/>
                <w:sz w:val="21"/>
                <w:szCs w:val="21"/>
              </w:rPr>
              <w:t>Consumption (</w:t>
            </w:r>
            <w:proofErr w:type="spellStart"/>
            <w:r w:rsidRPr="00E3662F">
              <w:rPr>
                <w:b/>
                <w:color w:val="000000"/>
                <w:sz w:val="21"/>
                <w:szCs w:val="21"/>
              </w:rPr>
              <w:t>mt</w:t>
            </w:r>
            <w:proofErr w:type="spellEnd"/>
            <w:r w:rsidRPr="00E3662F">
              <w:rPr>
                <w:b/>
                <w:color w:val="000000"/>
                <w:sz w:val="21"/>
                <w:szCs w:val="21"/>
              </w:rPr>
              <w:t>)</w:t>
            </w:r>
          </w:p>
        </w:tc>
        <w:tc>
          <w:tcPr>
            <w:tcW w:w="910"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B5BFE" w:rsidRPr="00E3662F" w:rsidRDefault="00BB5BFE" w:rsidP="00E479E5">
            <w:pPr>
              <w:jc w:val="center"/>
              <w:rPr>
                <w:b/>
                <w:color w:val="000000"/>
                <w:sz w:val="21"/>
                <w:szCs w:val="21"/>
              </w:rPr>
            </w:pPr>
            <w:r w:rsidRPr="00E3662F">
              <w:rPr>
                <w:b/>
                <w:color w:val="000000"/>
                <w:sz w:val="21"/>
                <w:szCs w:val="21"/>
              </w:rPr>
              <w:t>Up to 2020</w:t>
            </w:r>
          </w:p>
        </w:tc>
        <w:tc>
          <w:tcPr>
            <w:tcW w:w="1030"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B5BFE" w:rsidRPr="00E3662F" w:rsidRDefault="00BB5BFE" w:rsidP="00E479E5">
            <w:pPr>
              <w:jc w:val="center"/>
              <w:rPr>
                <w:b/>
                <w:color w:val="000000"/>
                <w:sz w:val="21"/>
                <w:szCs w:val="21"/>
              </w:rPr>
            </w:pPr>
            <w:r w:rsidRPr="00E3662F">
              <w:rPr>
                <w:b/>
                <w:color w:val="000000"/>
                <w:sz w:val="21"/>
                <w:szCs w:val="21"/>
              </w:rPr>
              <w:t>Up to 2025</w:t>
            </w:r>
          </w:p>
        </w:tc>
        <w:tc>
          <w:tcPr>
            <w:tcW w:w="1104"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B5BFE" w:rsidRPr="00FB7D98" w:rsidRDefault="00BB5BFE" w:rsidP="00E479E5">
            <w:pPr>
              <w:jc w:val="center"/>
              <w:rPr>
                <w:b/>
                <w:color w:val="000000"/>
                <w:sz w:val="21"/>
                <w:szCs w:val="21"/>
              </w:rPr>
            </w:pPr>
            <w:r w:rsidRPr="00E3662F">
              <w:rPr>
                <w:b/>
                <w:color w:val="000000"/>
                <w:sz w:val="21"/>
                <w:szCs w:val="21"/>
              </w:rPr>
              <w:t>Total phase-out</w:t>
            </w:r>
          </w:p>
        </w:tc>
      </w:tr>
      <w:tr w:rsidR="00BB5BFE" w:rsidTr="00E479E5">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BB5BFE" w:rsidRPr="00FB7D98" w:rsidRDefault="00BB5BFE" w:rsidP="00E479E5">
            <w:pPr>
              <w:jc w:val="left"/>
              <w:rPr>
                <w:color w:val="000000"/>
                <w:sz w:val="21"/>
                <w:szCs w:val="21"/>
              </w:rPr>
            </w:pPr>
            <w:r w:rsidRPr="00FB7D98">
              <w:rPr>
                <w:color w:val="000000"/>
                <w:sz w:val="21"/>
                <w:szCs w:val="21"/>
              </w:rPr>
              <w:t>0-15</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BB5BFE" w:rsidRPr="00FB7D98" w:rsidRDefault="00BB5BFE" w:rsidP="00E479E5">
            <w:pPr>
              <w:jc w:val="center"/>
              <w:rPr>
                <w:color w:val="000000"/>
                <w:sz w:val="21"/>
                <w:szCs w:val="21"/>
              </w:rPr>
            </w:pPr>
            <w:r w:rsidRPr="00FB7D98">
              <w:rPr>
                <w:color w:val="000000"/>
                <w:sz w:val="21"/>
                <w:szCs w:val="21"/>
              </w:rPr>
              <w:t>205,625</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BB5BFE" w:rsidRPr="00FB7D98" w:rsidRDefault="00BB5BFE" w:rsidP="00E479E5">
            <w:pPr>
              <w:jc w:val="center"/>
              <w:rPr>
                <w:color w:val="000000"/>
                <w:sz w:val="21"/>
                <w:szCs w:val="21"/>
              </w:rPr>
            </w:pPr>
            <w:r w:rsidRPr="00FB7D98">
              <w:rPr>
                <w:color w:val="000000"/>
                <w:sz w:val="21"/>
                <w:szCs w:val="21"/>
              </w:rPr>
              <w:t>396,500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BB5BFE" w:rsidRPr="00FB7D98" w:rsidRDefault="00BB5BFE" w:rsidP="00E479E5">
            <w:pPr>
              <w:jc w:val="center"/>
              <w:rPr>
                <w:color w:val="000000"/>
                <w:sz w:val="21"/>
                <w:szCs w:val="21"/>
              </w:rPr>
            </w:pPr>
            <w:r w:rsidRPr="00FB7D98">
              <w:rPr>
                <w:color w:val="000000"/>
                <w:sz w:val="21"/>
                <w:szCs w:val="21"/>
              </w:rPr>
              <w:t>587,500</w:t>
            </w:r>
          </w:p>
        </w:tc>
      </w:tr>
      <w:tr w:rsidR="00BB5BFE" w:rsidTr="00E479E5">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BB5BFE" w:rsidRPr="00FB7D98" w:rsidRDefault="00BB5BFE" w:rsidP="00E479E5">
            <w:pPr>
              <w:jc w:val="left"/>
              <w:rPr>
                <w:color w:val="000000"/>
                <w:sz w:val="21"/>
                <w:szCs w:val="21"/>
              </w:rPr>
            </w:pPr>
            <w:r w:rsidRPr="00FB7D98">
              <w:rPr>
                <w:color w:val="000000"/>
                <w:sz w:val="21"/>
                <w:szCs w:val="21"/>
              </w:rPr>
              <w:t>15-40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BB5BFE" w:rsidRPr="00FB7D98" w:rsidRDefault="00BB5BFE" w:rsidP="00E479E5">
            <w:pPr>
              <w:jc w:val="center"/>
              <w:rPr>
                <w:color w:val="000000"/>
                <w:sz w:val="21"/>
                <w:szCs w:val="21"/>
              </w:rPr>
            </w:pPr>
            <w:r w:rsidRPr="00FB7D98">
              <w:rPr>
                <w:color w:val="000000"/>
                <w:sz w:val="21"/>
                <w:szCs w:val="21"/>
              </w:rPr>
              <w:t>262,500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BB5BFE" w:rsidRPr="00FB7D98" w:rsidRDefault="00BB5BFE" w:rsidP="00E479E5">
            <w:pPr>
              <w:jc w:val="center"/>
              <w:rPr>
                <w:color w:val="000000"/>
                <w:sz w:val="21"/>
                <w:szCs w:val="21"/>
              </w:rPr>
            </w:pPr>
            <w:r w:rsidRPr="00FB7D98">
              <w:rPr>
                <w:color w:val="000000"/>
                <w:sz w:val="21"/>
                <w:szCs w:val="21"/>
              </w:rPr>
              <w:t>506,250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BB5BFE" w:rsidRPr="00FB7D98" w:rsidRDefault="00BB5BFE" w:rsidP="00E479E5">
            <w:pPr>
              <w:jc w:val="center"/>
              <w:rPr>
                <w:color w:val="000000"/>
                <w:sz w:val="21"/>
                <w:szCs w:val="21"/>
              </w:rPr>
            </w:pPr>
            <w:r w:rsidRPr="00FB7D98">
              <w:rPr>
                <w:color w:val="000000"/>
                <w:sz w:val="21"/>
                <w:szCs w:val="21"/>
              </w:rPr>
              <w:t>750,000</w:t>
            </w:r>
          </w:p>
        </w:tc>
      </w:tr>
      <w:tr w:rsidR="00BB5BFE" w:rsidTr="00E479E5">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BB5BFE" w:rsidRPr="00FB7D98" w:rsidRDefault="00BB5BFE" w:rsidP="00E479E5">
            <w:pPr>
              <w:jc w:val="left"/>
              <w:rPr>
                <w:color w:val="000000"/>
                <w:sz w:val="21"/>
                <w:szCs w:val="21"/>
              </w:rPr>
            </w:pPr>
            <w:r w:rsidRPr="00FB7D98">
              <w:rPr>
                <w:color w:val="000000"/>
                <w:sz w:val="21"/>
                <w:szCs w:val="21"/>
              </w:rPr>
              <w:t>40-80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BB5BFE" w:rsidRPr="00FB7D98" w:rsidRDefault="00BB5BFE" w:rsidP="00E479E5">
            <w:pPr>
              <w:jc w:val="center"/>
              <w:rPr>
                <w:color w:val="000000"/>
                <w:sz w:val="21"/>
                <w:szCs w:val="21"/>
              </w:rPr>
            </w:pPr>
            <w:r w:rsidRPr="00FB7D98">
              <w:rPr>
                <w:color w:val="000000"/>
                <w:sz w:val="21"/>
                <w:szCs w:val="21"/>
              </w:rPr>
              <w:t>280,000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BB5BFE" w:rsidRPr="00FB7D98" w:rsidRDefault="00BB5BFE" w:rsidP="00E479E5">
            <w:pPr>
              <w:jc w:val="center"/>
              <w:rPr>
                <w:color w:val="000000"/>
                <w:sz w:val="21"/>
                <w:szCs w:val="21"/>
              </w:rPr>
            </w:pPr>
            <w:r w:rsidRPr="00FB7D98">
              <w:rPr>
                <w:color w:val="000000"/>
                <w:sz w:val="21"/>
                <w:szCs w:val="21"/>
              </w:rPr>
              <w:t>540,000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BB5BFE" w:rsidRPr="00FB7D98" w:rsidRDefault="00BB5BFE" w:rsidP="00E479E5">
            <w:pPr>
              <w:jc w:val="center"/>
              <w:rPr>
                <w:color w:val="000000"/>
                <w:sz w:val="21"/>
                <w:szCs w:val="21"/>
              </w:rPr>
            </w:pPr>
            <w:r w:rsidRPr="00FB7D98">
              <w:rPr>
                <w:color w:val="000000"/>
                <w:sz w:val="21"/>
                <w:szCs w:val="21"/>
              </w:rPr>
              <w:t>800,000</w:t>
            </w:r>
          </w:p>
        </w:tc>
      </w:tr>
      <w:tr w:rsidR="00BB5BFE" w:rsidTr="00E479E5">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BB5BFE" w:rsidRPr="00FB7D98" w:rsidRDefault="00BB5BFE" w:rsidP="00E479E5">
            <w:pPr>
              <w:jc w:val="left"/>
              <w:rPr>
                <w:color w:val="000000"/>
                <w:sz w:val="21"/>
                <w:szCs w:val="21"/>
              </w:rPr>
            </w:pPr>
            <w:r w:rsidRPr="00FB7D98">
              <w:rPr>
                <w:color w:val="000000"/>
                <w:sz w:val="21"/>
                <w:szCs w:val="21"/>
              </w:rPr>
              <w:t>80-120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BB5BFE" w:rsidRPr="00FB7D98" w:rsidRDefault="00BB5BFE" w:rsidP="00E479E5">
            <w:pPr>
              <w:jc w:val="center"/>
              <w:rPr>
                <w:color w:val="000000"/>
                <w:sz w:val="21"/>
                <w:szCs w:val="21"/>
              </w:rPr>
            </w:pPr>
            <w:r w:rsidRPr="00FB7D98">
              <w:rPr>
                <w:color w:val="000000"/>
                <w:sz w:val="21"/>
                <w:szCs w:val="21"/>
              </w:rPr>
              <w:t>315,000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BB5BFE" w:rsidRPr="00FB7D98" w:rsidRDefault="00BB5BFE" w:rsidP="00E479E5">
            <w:pPr>
              <w:jc w:val="center"/>
              <w:rPr>
                <w:color w:val="000000"/>
                <w:sz w:val="21"/>
                <w:szCs w:val="21"/>
              </w:rPr>
            </w:pPr>
            <w:r w:rsidRPr="00FB7D98">
              <w:rPr>
                <w:color w:val="000000"/>
                <w:sz w:val="21"/>
                <w:szCs w:val="21"/>
              </w:rPr>
              <w:t>607,500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BB5BFE" w:rsidRPr="00FB7D98" w:rsidRDefault="00BB5BFE" w:rsidP="00E479E5">
            <w:pPr>
              <w:jc w:val="center"/>
              <w:rPr>
                <w:color w:val="000000"/>
                <w:sz w:val="21"/>
                <w:szCs w:val="21"/>
              </w:rPr>
            </w:pPr>
            <w:r w:rsidRPr="00FB7D98">
              <w:rPr>
                <w:color w:val="000000"/>
                <w:sz w:val="21"/>
                <w:szCs w:val="21"/>
              </w:rPr>
              <w:t>900,000</w:t>
            </w:r>
          </w:p>
        </w:tc>
      </w:tr>
      <w:tr w:rsidR="00BB5BFE" w:rsidTr="00E479E5">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BB5BFE" w:rsidRPr="00FB7D98" w:rsidRDefault="00BB5BFE" w:rsidP="00E479E5">
            <w:pPr>
              <w:jc w:val="left"/>
              <w:rPr>
                <w:color w:val="000000"/>
                <w:sz w:val="21"/>
                <w:szCs w:val="21"/>
              </w:rPr>
            </w:pPr>
            <w:r w:rsidRPr="00FB7D98">
              <w:rPr>
                <w:color w:val="000000"/>
                <w:sz w:val="21"/>
                <w:szCs w:val="21"/>
              </w:rPr>
              <w:t>120-160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BB5BFE" w:rsidRPr="00FB7D98" w:rsidRDefault="00BB5BFE" w:rsidP="00E479E5">
            <w:pPr>
              <w:jc w:val="center"/>
              <w:rPr>
                <w:color w:val="000000"/>
                <w:sz w:val="21"/>
                <w:szCs w:val="21"/>
              </w:rPr>
            </w:pPr>
            <w:r w:rsidRPr="00FB7D98">
              <w:rPr>
                <w:color w:val="000000"/>
                <w:sz w:val="21"/>
                <w:szCs w:val="21"/>
              </w:rPr>
              <w:t>332,500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BB5BFE" w:rsidRPr="00FB7D98" w:rsidRDefault="00BB5BFE" w:rsidP="00E479E5">
            <w:pPr>
              <w:jc w:val="center"/>
              <w:rPr>
                <w:color w:val="000000"/>
                <w:sz w:val="21"/>
                <w:szCs w:val="21"/>
              </w:rPr>
            </w:pPr>
            <w:r w:rsidRPr="00FB7D98">
              <w:rPr>
                <w:color w:val="000000"/>
                <w:sz w:val="21"/>
                <w:szCs w:val="21"/>
              </w:rPr>
              <w:t>641,250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BB5BFE" w:rsidRPr="00FB7D98" w:rsidRDefault="00BB5BFE" w:rsidP="00E479E5">
            <w:pPr>
              <w:jc w:val="center"/>
              <w:rPr>
                <w:color w:val="000000"/>
                <w:sz w:val="21"/>
                <w:szCs w:val="21"/>
              </w:rPr>
            </w:pPr>
            <w:r w:rsidRPr="00FB7D98">
              <w:rPr>
                <w:color w:val="000000"/>
                <w:sz w:val="21"/>
                <w:szCs w:val="21"/>
              </w:rPr>
              <w:t>950,000</w:t>
            </w:r>
          </w:p>
        </w:tc>
      </w:tr>
      <w:tr w:rsidR="00BB5BFE" w:rsidTr="00E479E5">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BB5BFE" w:rsidRPr="00FB7D98" w:rsidRDefault="00BB5BFE" w:rsidP="00E479E5">
            <w:pPr>
              <w:jc w:val="left"/>
              <w:rPr>
                <w:color w:val="000000"/>
                <w:sz w:val="21"/>
                <w:szCs w:val="21"/>
              </w:rPr>
            </w:pPr>
            <w:r w:rsidRPr="00FB7D98">
              <w:rPr>
                <w:color w:val="000000"/>
                <w:sz w:val="21"/>
                <w:szCs w:val="21"/>
              </w:rPr>
              <w:t>160-200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BB5BFE" w:rsidRPr="00FB7D98" w:rsidRDefault="00BB5BFE" w:rsidP="00E479E5">
            <w:pPr>
              <w:jc w:val="center"/>
              <w:rPr>
                <w:color w:val="000000"/>
                <w:sz w:val="21"/>
                <w:szCs w:val="21"/>
              </w:rPr>
            </w:pPr>
            <w:r w:rsidRPr="00FB7D98">
              <w:rPr>
                <w:color w:val="000000"/>
                <w:sz w:val="21"/>
                <w:szCs w:val="21"/>
              </w:rPr>
              <w:t>350,000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BB5BFE" w:rsidRPr="00FB7D98" w:rsidRDefault="00BB5BFE" w:rsidP="00E479E5">
            <w:pPr>
              <w:jc w:val="center"/>
              <w:rPr>
                <w:color w:val="000000"/>
                <w:sz w:val="21"/>
                <w:szCs w:val="21"/>
              </w:rPr>
            </w:pPr>
            <w:r w:rsidRPr="00FB7D98">
              <w:rPr>
                <w:color w:val="000000"/>
                <w:sz w:val="21"/>
                <w:szCs w:val="21"/>
              </w:rPr>
              <w:t>675,000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BB5BFE" w:rsidRPr="00FB7D98" w:rsidRDefault="00BB5BFE" w:rsidP="00E479E5">
            <w:pPr>
              <w:jc w:val="center"/>
              <w:rPr>
                <w:color w:val="000000"/>
                <w:sz w:val="21"/>
                <w:szCs w:val="21"/>
              </w:rPr>
            </w:pPr>
            <w:r w:rsidRPr="00FB7D98">
              <w:rPr>
                <w:color w:val="000000"/>
                <w:sz w:val="21"/>
                <w:szCs w:val="21"/>
              </w:rPr>
              <w:t>1,000,000</w:t>
            </w:r>
          </w:p>
        </w:tc>
      </w:tr>
      <w:tr w:rsidR="00BB5BFE" w:rsidTr="00E479E5">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BB5BFE" w:rsidRPr="00FB7D98" w:rsidRDefault="00BB5BFE" w:rsidP="00E479E5">
            <w:pPr>
              <w:jc w:val="left"/>
              <w:rPr>
                <w:color w:val="000000"/>
                <w:sz w:val="21"/>
                <w:szCs w:val="21"/>
              </w:rPr>
            </w:pPr>
            <w:r w:rsidRPr="00FB7D98">
              <w:rPr>
                <w:color w:val="000000"/>
                <w:sz w:val="21"/>
                <w:szCs w:val="21"/>
              </w:rPr>
              <w:t>200-320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BB5BFE" w:rsidRPr="00FB7D98" w:rsidRDefault="00BB5BFE" w:rsidP="00E479E5">
            <w:pPr>
              <w:jc w:val="center"/>
              <w:rPr>
                <w:color w:val="000000"/>
                <w:sz w:val="21"/>
                <w:szCs w:val="21"/>
              </w:rPr>
            </w:pPr>
            <w:r w:rsidRPr="00FB7D98">
              <w:rPr>
                <w:color w:val="000000"/>
                <w:sz w:val="21"/>
                <w:szCs w:val="21"/>
              </w:rPr>
              <w:t>560,000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BB5BFE" w:rsidRPr="00FB7D98" w:rsidRDefault="00BB5BFE" w:rsidP="00E479E5">
            <w:pPr>
              <w:jc w:val="center"/>
              <w:rPr>
                <w:color w:val="000000"/>
                <w:sz w:val="21"/>
                <w:szCs w:val="21"/>
              </w:rPr>
            </w:pPr>
            <w:r w:rsidRPr="00FB7D98">
              <w:rPr>
                <w:color w:val="000000"/>
                <w:sz w:val="21"/>
                <w:szCs w:val="21"/>
              </w:rPr>
              <w:t>1,080,000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BB5BFE" w:rsidRPr="00FB7D98" w:rsidRDefault="00BB5BFE" w:rsidP="00E479E5">
            <w:pPr>
              <w:jc w:val="center"/>
              <w:rPr>
                <w:color w:val="000000"/>
                <w:sz w:val="21"/>
                <w:szCs w:val="21"/>
              </w:rPr>
            </w:pPr>
            <w:r w:rsidRPr="00FB7D98">
              <w:rPr>
                <w:color w:val="000000"/>
                <w:sz w:val="21"/>
                <w:szCs w:val="21"/>
              </w:rPr>
              <w:t>1,600,000</w:t>
            </w:r>
          </w:p>
        </w:tc>
      </w:tr>
      <w:tr w:rsidR="00BB5BFE" w:rsidTr="00E479E5">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BB5BFE" w:rsidRPr="00FB7D98" w:rsidRDefault="00BB5BFE" w:rsidP="00E479E5">
            <w:pPr>
              <w:jc w:val="left"/>
              <w:rPr>
                <w:color w:val="000000"/>
                <w:sz w:val="21"/>
                <w:szCs w:val="21"/>
              </w:rPr>
            </w:pPr>
            <w:r w:rsidRPr="00FB7D98">
              <w:rPr>
                <w:color w:val="000000"/>
                <w:sz w:val="21"/>
                <w:szCs w:val="21"/>
              </w:rPr>
              <w:t>320-360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BB5BFE" w:rsidRPr="00FB7D98" w:rsidRDefault="00BB5BFE" w:rsidP="00E479E5">
            <w:pPr>
              <w:jc w:val="center"/>
              <w:rPr>
                <w:color w:val="000000"/>
                <w:sz w:val="21"/>
                <w:szCs w:val="21"/>
              </w:rPr>
            </w:pPr>
            <w:r w:rsidRPr="00FB7D98">
              <w:rPr>
                <w:color w:val="000000"/>
                <w:sz w:val="21"/>
                <w:szCs w:val="21"/>
              </w:rPr>
              <w:t>630,000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BB5BFE" w:rsidRPr="00FB7D98" w:rsidRDefault="00BB5BFE" w:rsidP="00E479E5">
            <w:pPr>
              <w:jc w:val="center"/>
              <w:rPr>
                <w:color w:val="000000"/>
                <w:sz w:val="21"/>
                <w:szCs w:val="21"/>
              </w:rPr>
            </w:pPr>
            <w:r w:rsidRPr="00FB7D98">
              <w:rPr>
                <w:color w:val="000000"/>
                <w:sz w:val="21"/>
                <w:szCs w:val="21"/>
              </w:rPr>
              <w:t>1,215,000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BB5BFE" w:rsidRPr="00FB7D98" w:rsidRDefault="00BB5BFE" w:rsidP="00E479E5">
            <w:pPr>
              <w:jc w:val="center"/>
              <w:rPr>
                <w:color w:val="000000"/>
                <w:sz w:val="21"/>
                <w:szCs w:val="21"/>
              </w:rPr>
            </w:pPr>
            <w:r w:rsidRPr="00FB7D98">
              <w:rPr>
                <w:color w:val="000000"/>
                <w:sz w:val="21"/>
                <w:szCs w:val="21"/>
              </w:rPr>
              <w:t>1,800,000</w:t>
            </w:r>
          </w:p>
        </w:tc>
      </w:tr>
    </w:tbl>
    <w:p w:rsidR="00BB5BFE" w:rsidRDefault="00BB5BFE" w:rsidP="00E479E5">
      <w:pPr>
        <w:rPr>
          <w:b/>
          <w:sz w:val="21"/>
          <w:szCs w:val="21"/>
          <w:lang w:val="en-CA" w:eastAsia="en-CA"/>
        </w:rPr>
      </w:pPr>
    </w:p>
    <w:p w:rsidR="00BB5BFE" w:rsidRPr="00FB7D98" w:rsidRDefault="00BB5BFE" w:rsidP="00E479E5">
      <w:pPr>
        <w:pStyle w:val="Heading1"/>
      </w:pPr>
      <w:r w:rsidRPr="00FB7D98">
        <w:t xml:space="preserve">Additional funding needs for achieving the objectives of decision 82/83(c), would depend upon the design of </w:t>
      </w:r>
      <w:r>
        <w:t xml:space="preserve">stage II of the </w:t>
      </w:r>
      <w:r w:rsidRPr="00FB7D98">
        <w:t>HPMP</w:t>
      </w:r>
      <w:r>
        <w:t>s</w:t>
      </w:r>
      <w:r w:rsidRPr="00FB7D98">
        <w:t xml:space="preserve"> in terms of activities that would facilitate adoption of low-</w:t>
      </w:r>
      <w:r>
        <w:t xml:space="preserve"> and </w:t>
      </w:r>
      <w:r w:rsidRPr="00FB7D98">
        <w:t>zero-GWP alternatives and maintaining energy efficiency</w:t>
      </w:r>
      <w:r>
        <w:t>. W</w:t>
      </w:r>
      <w:r w:rsidRPr="00FB7D98">
        <w:t>ith the existing levels of funding under decision 74/50 and with suitable realignment of activities, technician training and awareness outreach activities could</w:t>
      </w:r>
      <w:r>
        <w:t xml:space="preserve"> also</w:t>
      </w:r>
      <w:r w:rsidRPr="00FB7D98">
        <w:t xml:space="preserve"> be undertaken for adoption of low-</w:t>
      </w:r>
      <w:r>
        <w:t xml:space="preserve"> and</w:t>
      </w:r>
      <w:r w:rsidRPr="00FB7D98">
        <w:t xml:space="preserve"> zero-GWP alternatives</w:t>
      </w:r>
      <w:r>
        <w:t>.</w:t>
      </w:r>
      <w:r w:rsidRPr="00FB7D98">
        <w:rPr>
          <w:rStyle w:val="FootnoteReference"/>
          <w:sz w:val="20"/>
        </w:rPr>
        <w:footnoteReference w:id="48"/>
      </w:r>
    </w:p>
    <w:p w:rsidR="00BB5BFE" w:rsidRPr="00826306" w:rsidRDefault="00BB5BFE" w:rsidP="00E479E5">
      <w:pPr>
        <w:pStyle w:val="Heading1"/>
      </w:pPr>
      <w:r>
        <w:t xml:space="preserve">The need for incremental activities would mainly arise </w:t>
      </w:r>
      <w:r w:rsidRPr="004657FD">
        <w:t xml:space="preserve">to address coordination of NOU with institutions/authorities handling energy efficiency matters to ensure energy efficiency regulations are integrated with establishment of </w:t>
      </w:r>
      <w:r>
        <w:t xml:space="preserve">national </w:t>
      </w:r>
      <w:r w:rsidRPr="004657FD">
        <w:t>standards for adoption low-</w:t>
      </w:r>
      <w:r>
        <w:t xml:space="preserve"> and </w:t>
      </w:r>
      <w:r w:rsidRPr="004657FD">
        <w:t>zero-GWP</w:t>
      </w:r>
      <w:r>
        <w:t xml:space="preserve"> </w:t>
      </w:r>
      <w:r w:rsidRPr="004657FD">
        <w:t>technologies</w:t>
      </w:r>
      <w:r>
        <w:t>;</w:t>
      </w:r>
      <w:r w:rsidRPr="004657FD">
        <w:t xml:space="preserve"> and strengthening certification infrastructure for safe adoption of low-</w:t>
      </w:r>
      <w:r>
        <w:t xml:space="preserve"> and zero</w:t>
      </w:r>
      <w:r>
        <w:noBreakHyphen/>
      </w:r>
      <w:r w:rsidRPr="004657FD">
        <w:t>GWP technologies</w:t>
      </w:r>
      <w:r>
        <w:t>. T</w:t>
      </w:r>
      <w:r w:rsidRPr="004657FD">
        <w:t xml:space="preserve">hese incremental activities will facilitate achievement of HCFC </w:t>
      </w:r>
      <w:r w:rsidRPr="00826306">
        <w:t xml:space="preserve">phase-out in a sustainable manner and would build a platform for HFC phase-down activities. </w:t>
      </w:r>
    </w:p>
    <w:p w:rsidR="00BB5BFE" w:rsidRPr="00826306" w:rsidRDefault="00BB5BFE" w:rsidP="00E479E5">
      <w:pPr>
        <w:pStyle w:val="Heading1"/>
      </w:pPr>
      <w:r w:rsidRPr="00826306">
        <w:t xml:space="preserve">For new </w:t>
      </w:r>
      <w:r>
        <w:t>HPMPs or new stage of HPMPs</w:t>
      </w:r>
      <w:r w:rsidRPr="00826306">
        <w:t xml:space="preserve">, the countries could submit additional funding requests based on incremental levels of funding </w:t>
      </w:r>
      <w:r>
        <w:t xml:space="preserve">to be agreed </w:t>
      </w:r>
      <w:r w:rsidRPr="00826306">
        <w:t>along with asso</w:t>
      </w:r>
      <w:r>
        <w:t>ciated conditions for the above</w:t>
      </w:r>
      <w:r>
        <w:noBreakHyphen/>
      </w:r>
      <w:r w:rsidRPr="00826306">
        <w:t>mentioned activities</w:t>
      </w:r>
      <w:r>
        <w:t>. F</w:t>
      </w:r>
      <w:r w:rsidRPr="00826306">
        <w:t xml:space="preserve">or already approved </w:t>
      </w:r>
      <w:r>
        <w:t xml:space="preserve">stage II of </w:t>
      </w:r>
      <w:r w:rsidRPr="00826306">
        <w:t>HPMP</w:t>
      </w:r>
      <w:r>
        <w:t>s</w:t>
      </w:r>
      <w:r w:rsidRPr="00826306">
        <w:t xml:space="preserve">, the </w:t>
      </w:r>
      <w:r>
        <w:t xml:space="preserve">additional </w:t>
      </w:r>
      <w:r w:rsidRPr="00826306">
        <w:t xml:space="preserve">funding </w:t>
      </w:r>
      <w:r>
        <w:t xml:space="preserve">and </w:t>
      </w:r>
      <w:r w:rsidRPr="00826306">
        <w:t xml:space="preserve">associated conditions, would be considered based on the revised plans while submitting the next </w:t>
      </w:r>
      <w:r>
        <w:t xml:space="preserve">funding </w:t>
      </w:r>
      <w:r w:rsidRPr="00826306">
        <w:t>tranche.</w:t>
      </w:r>
    </w:p>
    <w:p w:rsidR="00BB5BFE" w:rsidRDefault="00BB5BFE" w:rsidP="00E479E5">
      <w:pPr>
        <w:pStyle w:val="Heading1"/>
      </w:pPr>
      <w:r w:rsidRPr="00826306">
        <w:t>Performance indicators are linked to specific actions that are considered for implementation. The following performance indicators, with s</w:t>
      </w:r>
      <w:r>
        <w:t>uitable additions/modifications, could be adopted to measure the implementation of specific policies:</w:t>
      </w:r>
    </w:p>
    <w:p w:rsidR="00BB5BFE" w:rsidRDefault="00BB5BFE" w:rsidP="00BB5BFE">
      <w:pPr>
        <w:pStyle w:val="Heading2"/>
        <w:numPr>
          <w:ilvl w:val="1"/>
          <w:numId w:val="1"/>
        </w:numPr>
      </w:pPr>
      <w:r>
        <w:t>Number of policies and regulations developed and enforced for reducing and prohibiting import of HCFC-based RACHP equipment, and favouring the introduction of equipment based on low- and zero-GWP refrigerants;</w:t>
      </w:r>
    </w:p>
    <w:p w:rsidR="00BB5BFE" w:rsidRDefault="00BB5BFE" w:rsidP="00BB5BFE">
      <w:pPr>
        <w:pStyle w:val="Heading2"/>
        <w:numPr>
          <w:ilvl w:val="1"/>
          <w:numId w:val="1"/>
        </w:numPr>
      </w:pPr>
      <w:r>
        <w:t xml:space="preserve">Number of policies and regulations, such as MEPS and labelling systems, favouring the introduction of energy-efficient RACHP equipment; </w:t>
      </w:r>
    </w:p>
    <w:p w:rsidR="00BB5BFE" w:rsidRDefault="00BB5BFE" w:rsidP="00BB5BFE">
      <w:pPr>
        <w:pStyle w:val="Heading2"/>
        <w:numPr>
          <w:ilvl w:val="1"/>
          <w:numId w:val="1"/>
        </w:numPr>
      </w:pPr>
      <w:r>
        <w:t>Status of implementation of standards and labelling programmes for RACHP equipment based on low- and zero-GWP technologies;</w:t>
      </w:r>
    </w:p>
    <w:p w:rsidR="00BB5BFE" w:rsidRDefault="00BB5BFE" w:rsidP="00BB5BFE">
      <w:pPr>
        <w:pStyle w:val="Heading2"/>
        <w:numPr>
          <w:ilvl w:val="1"/>
          <w:numId w:val="1"/>
        </w:numPr>
      </w:pPr>
      <w:r>
        <w:lastRenderedPageBreak/>
        <w:t>Number of training institutions with infrastructure to train and certify technicians in good practices during installation, servicing and maintenance covering all types of RACHP equipment available in the country;</w:t>
      </w:r>
    </w:p>
    <w:p w:rsidR="00BB5BFE" w:rsidRDefault="00BB5BFE" w:rsidP="00BB5BFE">
      <w:pPr>
        <w:pStyle w:val="Heading2"/>
        <w:numPr>
          <w:ilvl w:val="1"/>
          <w:numId w:val="1"/>
        </w:numPr>
      </w:pPr>
      <w:r>
        <w:t>Number of training programmes conducted that include installation, servicing and maintenance of low and zero-GWP refrigerants, and number of technicians trained and integrated into training programs in the training institutions;</w:t>
      </w:r>
    </w:p>
    <w:p w:rsidR="00BB5BFE" w:rsidRDefault="00BB5BFE" w:rsidP="00BB5BFE">
      <w:pPr>
        <w:pStyle w:val="Heading2"/>
        <w:numPr>
          <w:ilvl w:val="1"/>
          <w:numId w:val="1"/>
        </w:numPr>
      </w:pPr>
      <w:r>
        <w:t>Status of enforcement of certification systems for servicing technicians;</w:t>
      </w:r>
    </w:p>
    <w:p w:rsidR="00BB5BFE" w:rsidRDefault="00BB5BFE" w:rsidP="00BB5BFE">
      <w:pPr>
        <w:pStyle w:val="Heading2"/>
        <w:numPr>
          <w:ilvl w:val="1"/>
          <w:numId w:val="1"/>
        </w:numPr>
      </w:pPr>
      <w:r>
        <w:t>Funds approved and disbursed for pilot end-user incentive programme and the ODS phase</w:t>
      </w:r>
      <w:r>
        <w:noBreakHyphen/>
        <w:t>out impact while adopting the technology;</w:t>
      </w:r>
    </w:p>
    <w:p w:rsidR="00BB5BFE" w:rsidRDefault="00BB5BFE" w:rsidP="00BB5BFE">
      <w:pPr>
        <w:pStyle w:val="Heading2"/>
        <w:numPr>
          <w:ilvl w:val="1"/>
          <w:numId w:val="1"/>
        </w:numPr>
      </w:pPr>
      <w:r>
        <w:t xml:space="preserve">Number of awareness and outreach programmes conducted favouring </w:t>
      </w:r>
      <w:r w:rsidRPr="006B597A">
        <w:t>the introduction of MEPS and labelling systems; mandatory certification of technicians; and introduction of energy</w:t>
      </w:r>
      <w:r>
        <w:t>-</w:t>
      </w:r>
      <w:r w:rsidRPr="006B597A">
        <w:t>efficien</w:t>
      </w:r>
      <w:r>
        <w:t>t</w:t>
      </w:r>
      <w:r w:rsidRPr="006B597A">
        <w:t xml:space="preserve"> RAC</w:t>
      </w:r>
      <w:r>
        <w:t>HP</w:t>
      </w:r>
      <w:r w:rsidRPr="006B597A">
        <w:t xml:space="preserve"> equipment operating with low- and zero-GWP refrigerants</w:t>
      </w:r>
      <w:r>
        <w:t>; and</w:t>
      </w:r>
    </w:p>
    <w:p w:rsidR="00BB5BFE" w:rsidRDefault="00BB5BFE" w:rsidP="00BB5BFE">
      <w:pPr>
        <w:pStyle w:val="Heading2"/>
        <w:numPr>
          <w:ilvl w:val="1"/>
          <w:numId w:val="1"/>
        </w:numPr>
      </w:pPr>
      <w:r>
        <w:t>Results of reports on monitoring, and reporting of activities undertaken and feedback received from NOUs and other national stakeholders on the impact of these programmes.</w:t>
      </w:r>
    </w:p>
    <w:p w:rsidR="00BB5BFE" w:rsidRPr="001170AB" w:rsidRDefault="00BB5BFE" w:rsidP="00E479E5">
      <w:pPr>
        <w:rPr>
          <w:b/>
        </w:rPr>
      </w:pPr>
      <w:r w:rsidRPr="001170AB">
        <w:rPr>
          <w:b/>
        </w:rPr>
        <w:t>Recommendation</w:t>
      </w:r>
    </w:p>
    <w:p w:rsidR="00BB5BFE" w:rsidRDefault="00BB5BFE" w:rsidP="00E479E5"/>
    <w:p w:rsidR="00BB5BFE" w:rsidRDefault="00BB5BFE" w:rsidP="00E479E5">
      <w:pPr>
        <w:pStyle w:val="Heading1"/>
      </w:pPr>
      <w:r w:rsidRPr="00B46E09">
        <w:rPr>
          <w:lang w:val="en-CA"/>
        </w:rPr>
        <w:t xml:space="preserve">The Executive Committee may wish </w:t>
      </w:r>
      <w:r>
        <w:rPr>
          <w:lang w:val="en-CA"/>
        </w:rPr>
        <w:t>t</w:t>
      </w:r>
      <w:r w:rsidRPr="00B46E09">
        <w:rPr>
          <w:lang w:val="en-CA"/>
        </w:rPr>
        <w:t>o note the</w:t>
      </w:r>
      <w:r>
        <w:rPr>
          <w:lang w:val="en-CA"/>
        </w:rPr>
        <w:t xml:space="preserve"> paper on</w:t>
      </w:r>
      <w:r w:rsidRPr="00B46E09">
        <w:rPr>
          <w:lang w:val="en-CA"/>
        </w:rPr>
        <w:t xml:space="preserve"> w</w:t>
      </w:r>
      <w:r>
        <w:rPr>
          <w:lang w:val="en-CA"/>
        </w:rPr>
        <w:t>ays to operationalize paragraph </w:t>
      </w:r>
      <w:r w:rsidRPr="00B46E09">
        <w:rPr>
          <w:lang w:val="en-CA"/>
        </w:rPr>
        <w:t>16 of decision XXVIII/2, and paragraph 2 of decision XXX/5</w:t>
      </w:r>
      <w:r>
        <w:rPr>
          <w:lang w:val="en-CA"/>
        </w:rPr>
        <w:t xml:space="preserve"> of the Parties</w:t>
      </w:r>
      <w:r w:rsidRPr="00B46E09">
        <w:rPr>
          <w:lang w:val="en-CA"/>
        </w:rPr>
        <w:t>, taking into account</w:t>
      </w:r>
      <w:r>
        <w:rPr>
          <w:lang w:val="en-CA"/>
        </w:rPr>
        <w:t xml:space="preserve"> the</w:t>
      </w:r>
      <w:r w:rsidRPr="00B46E09">
        <w:rPr>
          <w:lang w:val="en-CA"/>
        </w:rPr>
        <w:t xml:space="preserve"> criteria, performance indicators, and associated funding mechanisms </w:t>
      </w:r>
      <w:r>
        <w:rPr>
          <w:lang w:val="en-CA"/>
        </w:rPr>
        <w:t>of</w:t>
      </w:r>
      <w:r w:rsidRPr="00B46E09">
        <w:rPr>
          <w:lang w:val="en-CA"/>
        </w:rPr>
        <w:t xml:space="preserve"> servicing sector plans in existing or new HCFC phase-out management plans for low-volume-consuming countries</w:t>
      </w:r>
      <w:r>
        <w:rPr>
          <w:lang w:val="en-CA"/>
        </w:rPr>
        <w:t>,</w:t>
      </w:r>
      <w:r w:rsidRPr="00B46E09">
        <w:rPr>
          <w:lang w:val="en-CA"/>
        </w:rPr>
        <w:t xml:space="preserve"> contained in document </w:t>
      </w:r>
      <w:r>
        <w:t>UNEP/</w:t>
      </w:r>
      <w:proofErr w:type="spellStart"/>
      <w:r>
        <w:t>OzL.Pro</w:t>
      </w:r>
      <w:proofErr w:type="spellEnd"/>
      <w:r>
        <w:t>/</w:t>
      </w:r>
      <w:proofErr w:type="spellStart"/>
      <w:r>
        <w:t>ExCom</w:t>
      </w:r>
      <w:proofErr w:type="spellEnd"/>
      <w:r>
        <w:t>/83/40.</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B5BFE" w:rsidRPr="00052C5C" w:rsidTr="00E479E5">
        <w:tc>
          <w:tcPr>
            <w:tcW w:w="1871" w:type="dxa"/>
          </w:tcPr>
          <w:p w:rsidR="00BB5BFE" w:rsidRPr="00052C5C" w:rsidRDefault="00BB5BFE" w:rsidP="00052C5C">
            <w:pPr>
              <w:tabs>
                <w:tab w:val="left" w:pos="8280"/>
              </w:tabs>
            </w:pPr>
          </w:p>
        </w:tc>
        <w:tc>
          <w:tcPr>
            <w:tcW w:w="1872" w:type="dxa"/>
          </w:tcPr>
          <w:p w:rsidR="00BB5BFE" w:rsidRPr="00052C5C" w:rsidRDefault="00BB5BFE" w:rsidP="00052C5C">
            <w:pPr>
              <w:tabs>
                <w:tab w:val="left" w:pos="8280"/>
              </w:tabs>
            </w:pPr>
          </w:p>
        </w:tc>
        <w:tc>
          <w:tcPr>
            <w:tcW w:w="1872" w:type="dxa"/>
            <w:tcBorders>
              <w:bottom w:val="single" w:sz="4" w:space="0" w:color="auto"/>
            </w:tcBorders>
          </w:tcPr>
          <w:p w:rsidR="00BB5BFE" w:rsidRPr="00052C5C" w:rsidRDefault="00BB5BFE" w:rsidP="00052C5C">
            <w:pPr>
              <w:tabs>
                <w:tab w:val="left" w:pos="8280"/>
              </w:tabs>
            </w:pPr>
          </w:p>
        </w:tc>
        <w:tc>
          <w:tcPr>
            <w:tcW w:w="1872" w:type="dxa"/>
          </w:tcPr>
          <w:p w:rsidR="00BB5BFE" w:rsidRPr="00052C5C" w:rsidRDefault="00BB5BFE" w:rsidP="00052C5C">
            <w:pPr>
              <w:tabs>
                <w:tab w:val="left" w:pos="8280"/>
              </w:tabs>
            </w:pPr>
          </w:p>
        </w:tc>
        <w:tc>
          <w:tcPr>
            <w:tcW w:w="1873" w:type="dxa"/>
          </w:tcPr>
          <w:p w:rsidR="00BB5BFE" w:rsidRPr="00052C5C" w:rsidRDefault="00BB5BFE" w:rsidP="00052C5C">
            <w:pPr>
              <w:tabs>
                <w:tab w:val="left" w:pos="8280"/>
              </w:tabs>
            </w:pPr>
          </w:p>
        </w:tc>
      </w:tr>
    </w:tbl>
    <w:p w:rsidR="00BB5BFE" w:rsidRPr="00052C5C" w:rsidRDefault="00BB5BFE" w:rsidP="00052C5C">
      <w:pPr>
        <w:tabs>
          <w:tab w:val="left" w:pos="8280"/>
        </w:tabs>
        <w:rPr>
          <w:lang w:val="en-CA"/>
        </w:rPr>
      </w:pPr>
    </w:p>
    <w:p w:rsidR="00BB5BFE" w:rsidRPr="001C3C80" w:rsidRDefault="00BB5BFE" w:rsidP="001C3C80">
      <w:pPr>
        <w:tabs>
          <w:tab w:val="left" w:pos="8280"/>
        </w:tabs>
      </w:pPr>
    </w:p>
    <w:p w:rsidR="00210D86" w:rsidRPr="001C3C80" w:rsidRDefault="00210D86" w:rsidP="001C3C80">
      <w:pPr>
        <w:tabs>
          <w:tab w:val="left" w:pos="8280"/>
        </w:tabs>
      </w:pPr>
    </w:p>
    <w:sectPr w:rsidR="00210D86" w:rsidRPr="001C3C80" w:rsidSect="00E479E5">
      <w:headerReference w:type="even" r:id="rId15"/>
      <w:headerReference w:type="default" r:id="rId16"/>
      <w:footerReference w:type="even" r:id="rId17"/>
      <w:footerReference w:type="default" r:id="rId18"/>
      <w:headerReference w:type="first" r:id="rId19"/>
      <w:footerReference w:type="first" r:id="rId20"/>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66BC" w:rsidRDefault="008166BC" w:rsidP="004A504B">
      <w:r>
        <w:separator/>
      </w:r>
    </w:p>
  </w:endnote>
  <w:endnote w:type="continuationSeparator" w:id="0">
    <w:p w:rsidR="008166BC" w:rsidRDefault="008166B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00004FF" w:usb2="0000000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7522932"/>
      <w:docPartObj>
        <w:docPartGallery w:val="Page Numbers (Bottom of Page)"/>
        <w:docPartUnique/>
      </w:docPartObj>
    </w:sdtPr>
    <w:sdtEndPr>
      <w:rPr>
        <w:noProof/>
      </w:rPr>
    </w:sdtEndPr>
    <w:sdtContent>
      <w:p w:rsidR="00CA4D70" w:rsidRDefault="00CA4D70">
        <w:pPr>
          <w:pStyle w:val="Footer"/>
          <w:jc w:val="center"/>
        </w:pPr>
        <w:r>
          <w:fldChar w:fldCharType="begin"/>
        </w:r>
        <w:r>
          <w:instrText xml:space="preserve"> PAGE   \* MERGEFORMAT </w:instrText>
        </w:r>
        <w:r>
          <w:fldChar w:fldCharType="separate"/>
        </w:r>
        <w:r w:rsidR="00274B49">
          <w:rPr>
            <w:noProof/>
          </w:rPr>
          <w:t>4</w:t>
        </w:r>
        <w:r>
          <w:rPr>
            <w:noProof/>
          </w:rPr>
          <w:fldChar w:fldCharType="end"/>
        </w:r>
      </w:p>
    </w:sdtContent>
  </w:sdt>
  <w:p w:rsidR="00CA4D70" w:rsidRDefault="00CA4D70">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4440132"/>
      <w:docPartObj>
        <w:docPartGallery w:val="Page Numbers (Bottom of Page)"/>
        <w:docPartUnique/>
      </w:docPartObj>
    </w:sdtPr>
    <w:sdtEndPr>
      <w:rPr>
        <w:noProof/>
      </w:rPr>
    </w:sdtEndPr>
    <w:sdtContent>
      <w:p w:rsidR="00CA4D70" w:rsidRDefault="00CA4D70">
        <w:pPr>
          <w:pStyle w:val="Footer"/>
          <w:jc w:val="center"/>
        </w:pPr>
        <w:r>
          <w:fldChar w:fldCharType="begin"/>
        </w:r>
        <w:r>
          <w:instrText xml:space="preserve"> PAGE   \* MERGEFORMAT </w:instrText>
        </w:r>
        <w:r>
          <w:fldChar w:fldCharType="separate"/>
        </w:r>
        <w:r w:rsidR="00274B49">
          <w:rPr>
            <w:noProof/>
          </w:rPr>
          <w:t>3</w:t>
        </w:r>
        <w:r>
          <w:rPr>
            <w:noProof/>
          </w:rPr>
          <w:fldChar w:fldCharType="end"/>
        </w:r>
      </w:p>
    </w:sdtContent>
  </w:sdt>
  <w:p w:rsidR="00CA4D70" w:rsidRDefault="00CA4D70">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6AED" w:rsidRDefault="00126AED" w:rsidP="00126AED">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126AED" w:rsidRDefault="00126AED" w:rsidP="00126AED">
    <w:pPr>
      <w:pBdr>
        <w:top w:val="single" w:sz="4" w:space="1" w:color="auto"/>
        <w:left w:val="single" w:sz="4" w:space="4" w:color="auto"/>
        <w:bottom w:val="single" w:sz="4" w:space="1" w:color="auto"/>
        <w:right w:val="single" w:sz="4" w:space="4" w:color="auto"/>
      </w:pBdr>
      <w:jc w:val="center"/>
      <w:rPr>
        <w:sz w:val="18"/>
        <w:szCs w:val="18"/>
      </w:rPr>
    </w:pPr>
  </w:p>
  <w:p w:rsidR="0014654B" w:rsidRPr="00126AED" w:rsidRDefault="0014654B" w:rsidP="00126AED">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9E5" w:rsidRPr="0033525D" w:rsidRDefault="007663F3">
    <w:pPr>
      <w:jc w:val="center"/>
    </w:pPr>
    <w:r>
      <w:fldChar w:fldCharType="begin"/>
    </w:r>
    <w:r>
      <w:instrText xml:space="preserve"> PAGE </w:instrText>
    </w:r>
    <w:r>
      <w:fldChar w:fldCharType="separate"/>
    </w:r>
    <w:r w:rsidR="00274B49">
      <w:rPr>
        <w:noProof/>
      </w:rPr>
      <w:t>16</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9E5" w:rsidRPr="0033525D" w:rsidRDefault="007663F3">
    <w:pPr>
      <w:jc w:val="center"/>
    </w:pPr>
    <w:r>
      <w:fldChar w:fldCharType="begin"/>
    </w:r>
    <w:r>
      <w:instrText xml:space="preserve"> PAGE </w:instrText>
    </w:r>
    <w:r>
      <w:fldChar w:fldCharType="separate"/>
    </w:r>
    <w:r w:rsidR="00274B49">
      <w:rPr>
        <w:noProof/>
      </w:rPr>
      <w:t>15</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9E5" w:rsidRDefault="007663F3"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E479E5" w:rsidRDefault="00E479E5"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66BC" w:rsidRDefault="008166BC" w:rsidP="004A504B">
      <w:r>
        <w:separator/>
      </w:r>
    </w:p>
  </w:footnote>
  <w:footnote w:type="continuationSeparator" w:id="0">
    <w:p w:rsidR="008166BC" w:rsidRDefault="008166BC" w:rsidP="004A504B">
      <w:r>
        <w:continuationSeparator/>
      </w:r>
    </w:p>
  </w:footnote>
  <w:footnote w:id="1">
    <w:p w:rsidR="00D17060" w:rsidRPr="00D57928" w:rsidRDefault="00D17060" w:rsidP="00D17060">
      <w:pPr>
        <w:pStyle w:val="FootnoteText"/>
      </w:pPr>
      <w:r w:rsidRPr="00D57928">
        <w:rPr>
          <w:rStyle w:val="FootnoteReference"/>
        </w:rPr>
        <w:footnoteRef/>
      </w:r>
      <w:r w:rsidRPr="00D57928">
        <w:t xml:space="preserve"> To request the Executive Committee to increase in relation to the servicing sector the funding available under decision 74/50 above the amounts listed in that decision for parties with total HCFC baseline c</w:t>
      </w:r>
      <w:r>
        <w:t>onsumption up to 360 </w:t>
      </w:r>
      <w:r w:rsidRPr="00D57928">
        <w:t>metric tonnes, when needed, for the introduction of alternatives to HCFC with low-GWP and zero-GWP alternatives to HFC and maintaining energy efficiency also in the servicing/end-user sector.</w:t>
      </w:r>
    </w:p>
  </w:footnote>
  <w:footnote w:id="2">
    <w:p w:rsidR="00D17060" w:rsidRPr="00D57928" w:rsidRDefault="00D17060" w:rsidP="00D17060">
      <w:pPr>
        <w:pStyle w:val="FootnoteText"/>
      </w:pPr>
      <w:r w:rsidRPr="00D57928">
        <w:rPr>
          <w:rStyle w:val="FootnoteReference"/>
        </w:rPr>
        <w:footnoteRef/>
      </w:r>
      <w:r w:rsidRPr="00D57928">
        <w:t xml:space="preserve"> To request the Executive Committee to consider, within the context of paragraph 16 of decision XXVIII/2, increasing the funding provided to LVC countries to assist them in implementing the activities outlined in paragraph 1 of this decision.</w:t>
      </w:r>
    </w:p>
  </w:footnote>
  <w:footnote w:id="3">
    <w:p w:rsidR="00D17060" w:rsidRPr="00D57928" w:rsidRDefault="00D17060" w:rsidP="00D17060">
      <w:pPr>
        <w:pStyle w:val="FootnoteText"/>
      </w:pPr>
      <w:r w:rsidRPr="00D57928">
        <w:rPr>
          <w:rStyle w:val="FootnoteReference"/>
        </w:rPr>
        <w:footnoteRef/>
      </w:r>
      <w:r w:rsidRPr="00D57928">
        <w:t xml:space="preserve"> To request the Executive Committee to consider flexibility within the financial support provided through enabling activities for HFCs to enable Article 5 Parties, who wish to do so, to use part of this support for energy efficiency policy and training support as it relates to the phase-down of controlled substances, such as: developing and enforcing policies and regulations to avoid the market penetration of energy-inefficient refrigera</w:t>
      </w:r>
      <w:r>
        <w:t>tion, air-conditioning and heat</w:t>
      </w:r>
      <w:r>
        <w:noBreakHyphen/>
      </w:r>
      <w:r w:rsidRPr="00D57928">
        <w:t>pump equipment; promoting access to energy-efficient technologies in these sectors; and targeted training on certification, safety and standards, awareness raising and capacity building aimed at maintaining and enhancing the energy efficiency.</w:t>
      </w:r>
    </w:p>
  </w:footnote>
  <w:footnote w:id="4">
    <w:p w:rsidR="00D17060" w:rsidRPr="00D57928" w:rsidRDefault="00D17060" w:rsidP="00D17060">
      <w:pPr>
        <w:pStyle w:val="FootnoteText"/>
      </w:pPr>
      <w:r w:rsidRPr="00D57928">
        <w:rPr>
          <w:rStyle w:val="FootnoteReference"/>
        </w:rPr>
        <w:footnoteRef/>
      </w:r>
      <w:r w:rsidRPr="00D57928">
        <w:t xml:space="preserve"> Article 5 countries with total HCFC consumption of up to 360 metric tonnes would be provided with funding consistent with the level of consumption in the servicing sector, on the understanding that project proposals would still need to demonstrate that the funding level was necessary to achieve the 2020 and 2025 phase-out targets, or if the country so decided, later reduction targets.</w:t>
      </w:r>
    </w:p>
  </w:footnote>
  <w:footnote w:id="5">
    <w:p w:rsidR="00D17060" w:rsidRPr="00D57928" w:rsidRDefault="00D17060" w:rsidP="00D17060">
      <w:pPr>
        <w:pStyle w:val="FootnoteText"/>
        <w:rPr>
          <w:lang w:val="en-CA"/>
        </w:rPr>
      </w:pPr>
      <w:r w:rsidRPr="00D57928">
        <w:rPr>
          <w:rStyle w:val="FootnoteReference"/>
        </w:rPr>
        <w:footnoteRef/>
      </w:r>
      <w:r w:rsidRPr="00D57928">
        <w:t xml:space="preserve"> </w:t>
      </w:r>
      <w:r w:rsidRPr="00D57928">
        <w:rPr>
          <w:lang w:val="en-CA"/>
        </w:rPr>
        <w:t>Paragraph 16 of decision XXVIII/2</w:t>
      </w:r>
    </w:p>
  </w:footnote>
  <w:footnote w:id="6">
    <w:p w:rsidR="00D17060" w:rsidRPr="00D57928" w:rsidRDefault="00D17060" w:rsidP="00D17060">
      <w:pPr>
        <w:pStyle w:val="FootnoteText"/>
        <w:rPr>
          <w:lang w:val="en-CA"/>
        </w:rPr>
      </w:pPr>
      <w:r w:rsidRPr="00D57928">
        <w:rPr>
          <w:rStyle w:val="FootnoteReference"/>
        </w:rPr>
        <w:footnoteRef/>
      </w:r>
      <w:r w:rsidRPr="00D57928">
        <w:t xml:space="preserve"> </w:t>
      </w:r>
      <w:r w:rsidRPr="00D57928">
        <w:rPr>
          <w:lang w:val="en-CA"/>
        </w:rPr>
        <w:t>Paragraph 2 of decision XXX/5</w:t>
      </w:r>
    </w:p>
  </w:footnote>
  <w:footnote w:id="7">
    <w:p w:rsidR="00B03FD9" w:rsidRPr="00B03FD9" w:rsidRDefault="00B03FD9">
      <w:pPr>
        <w:pStyle w:val="FootnoteText"/>
      </w:pPr>
      <w:r>
        <w:rPr>
          <w:rStyle w:val="FootnoteReference"/>
        </w:rPr>
        <w:footnoteRef/>
      </w:r>
      <w:r>
        <w:t xml:space="preserve"> </w:t>
      </w:r>
      <w:bookmarkStart w:id="0" w:name="_GoBack"/>
      <w:bookmarkEnd w:id="0"/>
      <w:r w:rsidRPr="00E60E21">
        <w:rPr>
          <w:lang w:val="en-CA"/>
        </w:rPr>
        <w:t>UNEP/</w:t>
      </w:r>
      <w:proofErr w:type="spellStart"/>
      <w:r w:rsidRPr="00E60E21">
        <w:rPr>
          <w:lang w:val="en-CA"/>
        </w:rPr>
        <w:t>OzL.Pro</w:t>
      </w:r>
      <w:proofErr w:type="spellEnd"/>
      <w:r w:rsidRPr="00E60E21">
        <w:rPr>
          <w:lang w:val="en-CA"/>
        </w:rPr>
        <w:t>/</w:t>
      </w:r>
      <w:proofErr w:type="spellStart"/>
      <w:r w:rsidRPr="00E60E21">
        <w:rPr>
          <w:lang w:val="en-CA"/>
        </w:rPr>
        <w:t>ExCom</w:t>
      </w:r>
      <w:proofErr w:type="spellEnd"/>
      <w:r w:rsidRPr="00E60E21">
        <w:rPr>
          <w:lang w:val="en-CA"/>
        </w:rPr>
        <w:t>/83/40</w:t>
      </w:r>
    </w:p>
  </w:footnote>
  <w:footnote w:id="8">
    <w:p w:rsidR="00B03FD9" w:rsidRPr="00B03FD9" w:rsidRDefault="00B03FD9">
      <w:pPr>
        <w:pStyle w:val="FootnoteText"/>
      </w:pPr>
      <w:r>
        <w:rPr>
          <w:rStyle w:val="FootnoteReference"/>
        </w:rPr>
        <w:footnoteRef/>
      </w:r>
      <w:r>
        <w:t xml:space="preserve"> Paragraphs 234-240 of document UNEP/</w:t>
      </w:r>
      <w:proofErr w:type="spellStart"/>
      <w:r>
        <w:t>OzL.Pro</w:t>
      </w:r>
      <w:proofErr w:type="spellEnd"/>
      <w:r>
        <w:t>/</w:t>
      </w:r>
      <w:proofErr w:type="spellStart"/>
      <w:r>
        <w:t>ExCom</w:t>
      </w:r>
      <w:proofErr w:type="spellEnd"/>
      <w:r>
        <w:t>/83/48</w:t>
      </w:r>
    </w:p>
  </w:footnote>
  <w:footnote w:id="9">
    <w:p w:rsidR="00814ACD" w:rsidRPr="00814ACD" w:rsidRDefault="00814ACD">
      <w:pPr>
        <w:pStyle w:val="FootnoteText"/>
        <w:rPr>
          <w:lang w:val="en-CA"/>
        </w:rPr>
      </w:pPr>
      <w:r>
        <w:rPr>
          <w:rStyle w:val="FootnoteReference"/>
        </w:rPr>
        <w:footnoteRef/>
      </w:r>
      <w:r>
        <w:t xml:space="preserve"> </w:t>
      </w:r>
      <w:r w:rsidR="000A43EB" w:rsidRPr="000A43EB">
        <w:t>UNEP/</w:t>
      </w:r>
      <w:proofErr w:type="spellStart"/>
      <w:r w:rsidR="000A43EB" w:rsidRPr="000A43EB">
        <w:t>OzL.Pro</w:t>
      </w:r>
      <w:proofErr w:type="spellEnd"/>
      <w:r w:rsidR="000A43EB" w:rsidRPr="000A43EB">
        <w:t>/</w:t>
      </w:r>
      <w:proofErr w:type="spellStart"/>
      <w:r w:rsidR="000A43EB" w:rsidRPr="000A43EB">
        <w:t>ExCom</w:t>
      </w:r>
      <w:proofErr w:type="spellEnd"/>
      <w:r w:rsidR="000A43EB" w:rsidRPr="000A43EB">
        <w:t>/</w:t>
      </w:r>
      <w:r w:rsidR="000A43EB">
        <w:t>83</w:t>
      </w:r>
      <w:r w:rsidR="000A43EB" w:rsidRPr="000A43EB">
        <w:t>/</w:t>
      </w:r>
      <w:r w:rsidR="000A43EB">
        <w:t>10/Rev.1</w:t>
      </w:r>
    </w:p>
  </w:footnote>
  <w:footnote w:id="10">
    <w:p w:rsidR="00C93016" w:rsidRPr="00C93016" w:rsidRDefault="00C93016">
      <w:pPr>
        <w:pStyle w:val="FootnoteText"/>
      </w:pPr>
      <w:r>
        <w:rPr>
          <w:rStyle w:val="FootnoteReference"/>
        </w:rPr>
        <w:footnoteRef/>
      </w:r>
      <w:r>
        <w:t xml:space="preserve"> UNEP/</w:t>
      </w:r>
      <w:proofErr w:type="spellStart"/>
      <w:r>
        <w:t>OzL.Pro</w:t>
      </w:r>
      <w:proofErr w:type="spellEnd"/>
      <w:r>
        <w:t>/</w:t>
      </w:r>
      <w:proofErr w:type="spellStart"/>
      <w:r>
        <w:t>ExCom</w:t>
      </w:r>
      <w:proofErr w:type="spellEnd"/>
      <w:r>
        <w:t>/83/48</w:t>
      </w:r>
    </w:p>
  </w:footnote>
  <w:footnote w:id="11">
    <w:p w:rsidR="00BB5BFE" w:rsidRPr="00D57928" w:rsidRDefault="00BB5BFE" w:rsidP="00E479E5">
      <w:pPr>
        <w:pStyle w:val="FootnoteText"/>
      </w:pPr>
      <w:r w:rsidRPr="00D57928">
        <w:rPr>
          <w:rStyle w:val="FootnoteReference"/>
        </w:rPr>
        <w:footnoteRef/>
      </w:r>
      <w:r w:rsidRPr="00D57928">
        <w:t xml:space="preserve"> UNEP/</w:t>
      </w:r>
      <w:proofErr w:type="spellStart"/>
      <w:r w:rsidRPr="00D57928">
        <w:t>OzL.Pro</w:t>
      </w:r>
      <w:proofErr w:type="spellEnd"/>
      <w:r w:rsidRPr="00D57928">
        <w:t>/</w:t>
      </w:r>
      <w:proofErr w:type="spellStart"/>
      <w:r w:rsidRPr="00D57928">
        <w:t>ExCom</w:t>
      </w:r>
      <w:proofErr w:type="spellEnd"/>
      <w:r w:rsidRPr="00D57928">
        <w:t>/82/65 and Add.1</w:t>
      </w:r>
    </w:p>
  </w:footnote>
  <w:footnote w:id="12">
    <w:p w:rsidR="00BB5BFE" w:rsidRPr="00D57928" w:rsidRDefault="00BB5BFE" w:rsidP="00E479E5">
      <w:pPr>
        <w:pStyle w:val="FootnoteText"/>
      </w:pPr>
      <w:r w:rsidRPr="00D57928">
        <w:rPr>
          <w:rStyle w:val="FootnoteReference"/>
        </w:rPr>
        <w:footnoteRef/>
      </w:r>
      <w:r w:rsidRPr="00D57928">
        <w:t xml:space="preserve"> Decision XXIX/10 requested, in relation to maintaining and/or enhancing energy efficiency in the refrigeration</w:t>
      </w:r>
      <w:r>
        <w:t>, air</w:t>
      </w:r>
      <w:r>
        <w:noBreakHyphen/>
      </w:r>
      <w:r w:rsidRPr="00D57928">
        <w:t>conditioning and heat-pump (RACHP) sectors, an assessment of: technology options and requirements including challenges for their uptake, and their long-term sustainable performance and viability, their environmental benefits in terms of CO</w:t>
      </w:r>
      <w:r w:rsidRPr="00D57928">
        <w:rPr>
          <w:vertAlign w:val="subscript"/>
        </w:rPr>
        <w:t>2</w:t>
      </w:r>
      <w:r w:rsidRPr="00D57928">
        <w:t xml:space="preserve">-eq; capacity building and servicing sector requirements in the RACHP sectors; related capital and operating costs. It also requested </w:t>
      </w:r>
      <w:r>
        <w:t xml:space="preserve">the </w:t>
      </w:r>
      <w:r w:rsidRPr="00D57928">
        <w:t>TEAP to provide an overview of the activities and funding provided by other relevant institutions addressing energy efficiency in the RACHP sectors in relation to maintaining and/or enhancing energy efficiency while phasing down HFCs under the Kigali Amendment. Further, it requested the Ozone Secretariat to organize a workshop on energy efficiency opportunities while phasing down HFCs at the 40</w:t>
      </w:r>
      <w:r w:rsidRPr="00D57928">
        <w:rPr>
          <w:vertAlign w:val="superscript"/>
        </w:rPr>
        <w:t>th</w:t>
      </w:r>
      <w:r w:rsidRPr="00D57928">
        <w:t xml:space="preserve"> meeting of the OEWG, and, thereafter, for</w:t>
      </w:r>
      <w:r>
        <w:t xml:space="preserve"> the</w:t>
      </w:r>
      <w:r w:rsidRPr="00D57928">
        <w:t xml:space="preserve"> TEAP to prepare an updated final report for the Thirtieth Meeting of the Parties, taking into consideration the outcome of the workshop.</w:t>
      </w:r>
    </w:p>
  </w:footnote>
  <w:footnote w:id="13">
    <w:p w:rsidR="00BB5BFE" w:rsidRPr="00D57928" w:rsidRDefault="00BB5BFE" w:rsidP="00E479E5">
      <w:pPr>
        <w:pStyle w:val="FootnoteText"/>
      </w:pPr>
      <w:r w:rsidRPr="00D57928">
        <w:rPr>
          <w:rStyle w:val="FootnoteReference"/>
        </w:rPr>
        <w:footnoteRef/>
      </w:r>
      <w:r w:rsidRPr="00D57928">
        <w:t xml:space="preserve"> To request the Executive Committee to increase in relation to the servicing sector the funding available under decision 74/50 above the amounts listed in that decision for parties with total HCFC baseline c</w:t>
      </w:r>
      <w:r>
        <w:t>onsumption up to 360 </w:t>
      </w:r>
      <w:r w:rsidRPr="00D57928">
        <w:t>metric tonnes, when needed, for the introduction of alternatives to HCFC with low-GWP and zero-GWP alternatives to HFC and maintaining energy efficiency also in the servicing/end-user sector.</w:t>
      </w:r>
    </w:p>
  </w:footnote>
  <w:footnote w:id="14">
    <w:p w:rsidR="00BB5BFE" w:rsidRPr="00D57928" w:rsidRDefault="00BB5BFE" w:rsidP="00E479E5">
      <w:pPr>
        <w:pStyle w:val="FootnoteText"/>
      </w:pPr>
      <w:r w:rsidRPr="00D57928">
        <w:rPr>
          <w:rStyle w:val="FootnoteReference"/>
        </w:rPr>
        <w:footnoteRef/>
      </w:r>
      <w:r w:rsidRPr="00D57928">
        <w:t xml:space="preserve"> To request the Executive Committee to consider, within the context of paragraph 16 of decision XXVIII/2, increasing the funding provided to LVC countries to assist them in implementing the activities outlined in paragraph 1 of this decision.</w:t>
      </w:r>
    </w:p>
  </w:footnote>
  <w:footnote w:id="15">
    <w:p w:rsidR="00BB5BFE" w:rsidRPr="00D57928" w:rsidRDefault="00BB5BFE" w:rsidP="00E479E5">
      <w:pPr>
        <w:pStyle w:val="FootnoteText"/>
      </w:pPr>
      <w:r w:rsidRPr="00D57928">
        <w:rPr>
          <w:rStyle w:val="FootnoteReference"/>
        </w:rPr>
        <w:footnoteRef/>
      </w:r>
      <w:r w:rsidRPr="00D57928">
        <w:t xml:space="preserve"> To request the Executive Committee to consider flexibility within the financial support provided through enabling activities for HFCs to enable Article 5 Parties, who wish to do so, to use part of this support for energy efficiency policy and training support as it relates to the phase-down of controlled substances, such as: developing and enforcing policies and regulations to avoid the market penetration of energy-inefficient refrigera</w:t>
      </w:r>
      <w:r>
        <w:t>tion, air-conditioning and heat</w:t>
      </w:r>
      <w:r>
        <w:noBreakHyphen/>
      </w:r>
      <w:r w:rsidRPr="00D57928">
        <w:t>pump equipment; promoting access to energy-efficient technologies in these sectors; and targeted training on certification, safety and standards, awareness raising and capacity building aimed at maintaining and enhancing the energy efficiency.</w:t>
      </w:r>
    </w:p>
  </w:footnote>
  <w:footnote w:id="16">
    <w:p w:rsidR="00BB5BFE" w:rsidRPr="00D57928" w:rsidRDefault="00BB5BFE" w:rsidP="00E479E5">
      <w:pPr>
        <w:pStyle w:val="FootnoteText"/>
      </w:pPr>
      <w:r w:rsidRPr="00D57928">
        <w:rPr>
          <w:rStyle w:val="FootnoteReference"/>
        </w:rPr>
        <w:footnoteRef/>
      </w:r>
      <w:r w:rsidRPr="00D57928">
        <w:t xml:space="preserve"> Article 5 countries with total HCFC consumption of up to 360 metric tonnes would be provided with funding consistent with the level of consumption in the servicing sector, on the understanding that project proposals would still need to demonstrate that the funding level was necessary to achieve the 2020 and 2025 phase-out targets, or if the country so decided, later reduction targets.</w:t>
      </w:r>
    </w:p>
  </w:footnote>
  <w:footnote w:id="17">
    <w:p w:rsidR="00BB5BFE" w:rsidRPr="00D57928" w:rsidRDefault="00BB5BFE" w:rsidP="00E479E5">
      <w:pPr>
        <w:pStyle w:val="FootnoteText"/>
        <w:rPr>
          <w:lang w:val="en-CA"/>
        </w:rPr>
      </w:pPr>
      <w:r w:rsidRPr="00D57928">
        <w:rPr>
          <w:rStyle w:val="FootnoteReference"/>
        </w:rPr>
        <w:footnoteRef/>
      </w:r>
      <w:r w:rsidRPr="00D57928">
        <w:t xml:space="preserve"> </w:t>
      </w:r>
      <w:r w:rsidRPr="00D57928">
        <w:rPr>
          <w:lang w:val="en-CA"/>
        </w:rPr>
        <w:t>Paragraph 16 of decision XXVIII/2</w:t>
      </w:r>
    </w:p>
  </w:footnote>
  <w:footnote w:id="18">
    <w:p w:rsidR="00BB5BFE" w:rsidRPr="00D57928" w:rsidRDefault="00BB5BFE" w:rsidP="00E479E5">
      <w:pPr>
        <w:pStyle w:val="FootnoteText"/>
        <w:rPr>
          <w:lang w:val="en-CA"/>
        </w:rPr>
      </w:pPr>
      <w:r w:rsidRPr="00D57928">
        <w:rPr>
          <w:rStyle w:val="FootnoteReference"/>
        </w:rPr>
        <w:footnoteRef/>
      </w:r>
      <w:r w:rsidRPr="00D57928">
        <w:t xml:space="preserve"> </w:t>
      </w:r>
      <w:r w:rsidRPr="00D57928">
        <w:rPr>
          <w:lang w:val="en-CA"/>
        </w:rPr>
        <w:t>Paragraph 2 of decision XXX/5</w:t>
      </w:r>
    </w:p>
  </w:footnote>
  <w:footnote w:id="19">
    <w:p w:rsidR="00BB5BFE" w:rsidRPr="00D57928" w:rsidRDefault="00BB5BFE" w:rsidP="00E479E5">
      <w:pPr>
        <w:pStyle w:val="FootnoteText"/>
        <w:rPr>
          <w:lang w:val="en-CA"/>
        </w:rPr>
      </w:pPr>
      <w:r w:rsidRPr="00D57928">
        <w:rPr>
          <w:rStyle w:val="FootnoteReference"/>
        </w:rPr>
        <w:footnoteRef/>
      </w:r>
      <w:r w:rsidRPr="00D57928">
        <w:t xml:space="preserve"> </w:t>
      </w:r>
      <w:r w:rsidRPr="00D57928">
        <w:rPr>
          <w:lang w:val="en-CA"/>
        </w:rPr>
        <w:t>Many of the issues discussed here are applicable to service sector for non-LVC countries also.</w:t>
      </w:r>
    </w:p>
  </w:footnote>
  <w:footnote w:id="20">
    <w:p w:rsidR="00BB5BFE" w:rsidRPr="00D57928" w:rsidRDefault="00BB5BFE" w:rsidP="00E479E5">
      <w:pPr>
        <w:pStyle w:val="FootnoteText"/>
        <w:rPr>
          <w:lang w:val="en-CA"/>
        </w:rPr>
      </w:pPr>
      <w:r w:rsidRPr="00D57928">
        <w:rPr>
          <w:rStyle w:val="FootnoteReference"/>
        </w:rPr>
        <w:footnoteRef/>
      </w:r>
      <w:r w:rsidRPr="00D57928">
        <w:t xml:space="preserve"> </w:t>
      </w:r>
      <w:r w:rsidRPr="00D57928">
        <w:rPr>
          <w:lang w:val="en-CA"/>
        </w:rPr>
        <w:t>Integrated regulations addressing MEPS and labelling and low-GWP / zero-GWP refrigerants in RACHP</w:t>
      </w:r>
      <w:r>
        <w:rPr>
          <w:lang w:val="en-CA"/>
        </w:rPr>
        <w:t xml:space="preserve"> sectors are</w:t>
      </w:r>
      <w:r w:rsidRPr="00D57928">
        <w:rPr>
          <w:lang w:val="en-CA"/>
        </w:rPr>
        <w:t xml:space="preserve"> essential to avoid unintended growth of high-GWP refrigerant based RACHP equipment.</w:t>
      </w:r>
    </w:p>
  </w:footnote>
  <w:footnote w:id="21">
    <w:p w:rsidR="00BB5BFE" w:rsidRPr="00D57928" w:rsidRDefault="00BB5BFE" w:rsidP="00E479E5">
      <w:pPr>
        <w:pStyle w:val="FootnoteText"/>
      </w:pPr>
      <w:r w:rsidRPr="00D57928">
        <w:rPr>
          <w:rStyle w:val="FootnoteReference"/>
        </w:rPr>
        <w:footnoteRef/>
      </w:r>
      <w:r w:rsidRPr="00D57928">
        <w:t xml:space="preserve"> To facilitate the discussion of the Executive Committee, the relevant text of the documents has been incorporated into the present document.</w:t>
      </w:r>
    </w:p>
  </w:footnote>
  <w:footnote w:id="22">
    <w:p w:rsidR="00BB5BFE" w:rsidRPr="00D57928" w:rsidRDefault="00BB5BFE" w:rsidP="00E479E5">
      <w:pPr>
        <w:pStyle w:val="FootnoteText"/>
        <w:rPr>
          <w:lang w:val="en-US"/>
        </w:rPr>
      </w:pPr>
      <w:r w:rsidRPr="00D57928">
        <w:rPr>
          <w:rStyle w:val="FootnoteReference"/>
        </w:rPr>
        <w:footnoteRef/>
      </w:r>
      <w:r w:rsidRPr="00D57928">
        <w:t xml:space="preserve"> UNEP/</w:t>
      </w:r>
      <w:proofErr w:type="spellStart"/>
      <w:r w:rsidRPr="00D57928">
        <w:t>OzL.Pro</w:t>
      </w:r>
      <w:proofErr w:type="spellEnd"/>
      <w:r w:rsidRPr="00D57928">
        <w:t>/</w:t>
      </w:r>
      <w:proofErr w:type="spellStart"/>
      <w:r w:rsidRPr="00D57928">
        <w:t>ExCom</w:t>
      </w:r>
      <w:proofErr w:type="spellEnd"/>
      <w:r w:rsidRPr="00D57928">
        <w:t>/77/70/Rev.1 (paragraphs 50 to 57).</w:t>
      </w:r>
    </w:p>
  </w:footnote>
  <w:footnote w:id="23">
    <w:p w:rsidR="00BB5BFE" w:rsidRPr="00D57928" w:rsidRDefault="00BB5BFE" w:rsidP="00E479E5">
      <w:pPr>
        <w:pStyle w:val="FootnoteText"/>
        <w:rPr>
          <w:lang w:val="en-US"/>
        </w:rPr>
      </w:pPr>
      <w:r w:rsidRPr="00D57928">
        <w:rPr>
          <w:rStyle w:val="FootnoteReference"/>
        </w:rPr>
        <w:footnoteRef/>
      </w:r>
      <w:r w:rsidRPr="00D57928">
        <w:t xml:space="preserve"> UNEP/</w:t>
      </w:r>
      <w:proofErr w:type="spellStart"/>
      <w:r w:rsidRPr="00D57928">
        <w:t>OzL.Pro</w:t>
      </w:r>
      <w:proofErr w:type="spellEnd"/>
      <w:r w:rsidRPr="00D57928">
        <w:t>/</w:t>
      </w:r>
      <w:proofErr w:type="spellStart"/>
      <w:r w:rsidRPr="00D57928">
        <w:t>ExCom</w:t>
      </w:r>
      <w:proofErr w:type="spellEnd"/>
      <w:r w:rsidRPr="00D57928">
        <w:t>/78/5 and Corr.1 (paragraphs 107 to 115 and Annex V).</w:t>
      </w:r>
    </w:p>
  </w:footnote>
  <w:footnote w:id="24">
    <w:p w:rsidR="00BB5BFE" w:rsidRPr="00D57928" w:rsidRDefault="00BB5BFE" w:rsidP="00E479E5">
      <w:pPr>
        <w:pStyle w:val="FootnoteText"/>
        <w:rPr>
          <w:lang w:val="en-US"/>
        </w:rPr>
      </w:pPr>
      <w:r w:rsidRPr="00D57928">
        <w:rPr>
          <w:rStyle w:val="FootnoteReference"/>
        </w:rPr>
        <w:footnoteRef/>
      </w:r>
      <w:r w:rsidRPr="00D57928">
        <w:t xml:space="preserve"> UNEP/</w:t>
      </w:r>
      <w:proofErr w:type="spellStart"/>
      <w:r w:rsidRPr="00D57928">
        <w:t>OzL.Pro</w:t>
      </w:r>
      <w:proofErr w:type="spellEnd"/>
      <w:r w:rsidRPr="00D57928">
        <w:t>/</w:t>
      </w:r>
      <w:proofErr w:type="spellStart"/>
      <w:r w:rsidRPr="00D57928">
        <w:t>ExCom</w:t>
      </w:r>
      <w:proofErr w:type="spellEnd"/>
      <w:r w:rsidRPr="00D57928">
        <w:t>/82/64 (all the information contained therein is relevant for consideration of the present document</w:t>
      </w:r>
      <w:r>
        <w:t>)</w:t>
      </w:r>
      <w:r w:rsidRPr="00D57928">
        <w:t>. Paragraphs 77 to 83 refer specifically to considerations on energy efficiency in the servicing sector.</w:t>
      </w:r>
    </w:p>
  </w:footnote>
  <w:footnote w:id="25">
    <w:p w:rsidR="00BB5BFE" w:rsidRPr="00D57928" w:rsidRDefault="00BB5BFE" w:rsidP="00E479E5">
      <w:pPr>
        <w:pStyle w:val="FootnoteText"/>
        <w:rPr>
          <w:lang w:val="en-US"/>
        </w:rPr>
      </w:pPr>
      <w:r w:rsidRPr="00D57928">
        <w:rPr>
          <w:rStyle w:val="FootnoteReference"/>
        </w:rPr>
        <w:footnoteRef/>
      </w:r>
      <w:r w:rsidRPr="00D57928">
        <w:t xml:space="preserve"> Bangkok, 10 July 2017.</w:t>
      </w:r>
    </w:p>
  </w:footnote>
  <w:footnote w:id="26">
    <w:p w:rsidR="00BB5BFE" w:rsidRPr="00D57928" w:rsidRDefault="00BB5BFE" w:rsidP="00E479E5">
      <w:pPr>
        <w:pStyle w:val="FootnoteText"/>
      </w:pPr>
      <w:r w:rsidRPr="00D57928">
        <w:rPr>
          <w:rStyle w:val="FootnoteReference"/>
        </w:rPr>
        <w:footnoteRef/>
      </w:r>
      <w:r w:rsidRPr="00D57928">
        <w:t xml:space="preserve"> Vienna, 9-10 July 2018.</w:t>
      </w:r>
    </w:p>
  </w:footnote>
  <w:footnote w:id="27">
    <w:p w:rsidR="00BB5BFE" w:rsidRPr="00D57928" w:rsidRDefault="00BB5BFE" w:rsidP="00E479E5">
      <w:pPr>
        <w:pStyle w:val="FootnoteText"/>
      </w:pPr>
      <w:r w:rsidRPr="00D57928">
        <w:rPr>
          <w:rStyle w:val="FootnoteReference"/>
        </w:rPr>
        <w:footnoteRef/>
      </w:r>
      <w:r w:rsidRPr="00D57928">
        <w:t xml:space="preserve"> 6-8 March 2018; 4-6 September 2018; and 5-7 March 2019.</w:t>
      </w:r>
    </w:p>
  </w:footnote>
  <w:footnote w:id="28">
    <w:p w:rsidR="00BB5BFE" w:rsidRPr="00D57928" w:rsidRDefault="00BB5BFE" w:rsidP="00E479E5">
      <w:pPr>
        <w:pStyle w:val="FootnoteText"/>
        <w:rPr>
          <w:lang w:val="en-CA"/>
        </w:rPr>
      </w:pPr>
      <w:r w:rsidRPr="00D57928">
        <w:rPr>
          <w:rStyle w:val="FootnoteReference"/>
        </w:rPr>
        <w:footnoteRef/>
      </w:r>
      <w:r w:rsidRPr="00D57928">
        <w:t xml:space="preserve"> For the purpose of this document, the term “refrigeration servicing sector” will refer to both refrigeration and air</w:t>
      </w:r>
      <w:r w:rsidRPr="00D57928">
        <w:noBreakHyphen/>
        <w:t>conditioning.</w:t>
      </w:r>
    </w:p>
  </w:footnote>
  <w:footnote w:id="29">
    <w:p w:rsidR="00BB5BFE" w:rsidRPr="00D57928" w:rsidRDefault="00BB5BFE" w:rsidP="00E479E5">
      <w:pPr>
        <w:pStyle w:val="FootnoteText"/>
      </w:pPr>
      <w:r w:rsidRPr="00D57928">
        <w:rPr>
          <w:rStyle w:val="FootnoteReference"/>
        </w:rPr>
        <w:footnoteRef/>
      </w:r>
      <w:r w:rsidRPr="00D57928">
        <w:t xml:space="preserve"> The strategy could include </w:t>
      </w:r>
      <w:r w:rsidRPr="00D57928">
        <w:rPr>
          <w:i/>
        </w:rPr>
        <w:t>inter alia</w:t>
      </w:r>
      <w:r w:rsidRPr="00D57928">
        <w:t xml:space="preserve"> economic incentives and disincentives targeting suppliers, service technicians and equipment owners; technician training; public awareness activities; customs controls on new CFC-based equipment; the retirement of existing CFC-based equipment; and an increase in the supply of recycled CFCs.</w:t>
      </w:r>
    </w:p>
  </w:footnote>
  <w:footnote w:id="30">
    <w:p w:rsidR="00BB5BFE" w:rsidRPr="00D57928" w:rsidRDefault="00BB5BFE" w:rsidP="00E479E5">
      <w:pPr>
        <w:pStyle w:val="FootnoteText"/>
      </w:pPr>
      <w:r w:rsidRPr="00D57928">
        <w:rPr>
          <w:rStyle w:val="FootnoteReference"/>
        </w:rPr>
        <w:footnoteRef/>
      </w:r>
      <w:r w:rsidRPr="00D57928">
        <w:t xml:space="preserve"> Since the ratification of the Montreal Protocol, there have been a few countries th</w:t>
      </w:r>
      <w:r>
        <w:t>at have been found to be in non</w:t>
      </w:r>
      <w:r>
        <w:noBreakHyphen/>
      </w:r>
      <w:r w:rsidRPr="00D57928">
        <w:t>compliance with the Protocol. However, with the assistance of the Multilateral Fund, those Parties returned to compliance within a defined period.</w:t>
      </w:r>
    </w:p>
  </w:footnote>
  <w:footnote w:id="31">
    <w:p w:rsidR="00BB5BFE" w:rsidRPr="00D57928" w:rsidRDefault="00BB5BFE" w:rsidP="00E479E5">
      <w:pPr>
        <w:pStyle w:val="FootnoteText"/>
      </w:pPr>
      <w:r w:rsidRPr="00D57928">
        <w:rPr>
          <w:rStyle w:val="FootnoteReference"/>
        </w:rPr>
        <w:footnoteRef/>
      </w:r>
      <w:r w:rsidRPr="00D57928">
        <w:t xml:space="preserve"> For example, funding has been approved in principle to phase out 62 per cent of the aggregate HCFC baseline for compliance in Article 5 countries, well ahead of the 35 per cent control measure in 2020.</w:t>
      </w:r>
    </w:p>
  </w:footnote>
  <w:footnote w:id="32">
    <w:p w:rsidR="00BB5BFE" w:rsidRPr="00D57928" w:rsidRDefault="00BB5BFE" w:rsidP="00E479E5">
      <w:pPr>
        <w:pStyle w:val="FootnoteText"/>
      </w:pPr>
      <w:r w:rsidRPr="00D57928">
        <w:rPr>
          <w:rStyle w:val="FootnoteReference"/>
        </w:rPr>
        <w:footnoteRef/>
      </w:r>
      <w:r w:rsidRPr="00D57928">
        <w:t xml:space="preserve"> For substances, for equipment, for refrigerant containers, and on storage, transportation, design of systems and components, maximum refrigerant charge, installation, servicing and disposal of equipment, among others.</w:t>
      </w:r>
    </w:p>
  </w:footnote>
  <w:footnote w:id="33">
    <w:p w:rsidR="00BB5BFE" w:rsidRPr="00D57928" w:rsidRDefault="00BB5BFE" w:rsidP="00E479E5">
      <w:pPr>
        <w:pStyle w:val="FootnoteText"/>
      </w:pPr>
      <w:r w:rsidRPr="00D57928">
        <w:rPr>
          <w:rStyle w:val="FootnoteReference"/>
        </w:rPr>
        <w:footnoteRef/>
      </w:r>
      <w:r>
        <w:t xml:space="preserve"> Decision 72/41</w:t>
      </w:r>
    </w:p>
  </w:footnote>
  <w:footnote w:id="34">
    <w:p w:rsidR="00BB5BFE" w:rsidRPr="00D57928" w:rsidRDefault="00BB5BFE" w:rsidP="00E479E5">
      <w:pPr>
        <w:pStyle w:val="FootnoteText"/>
      </w:pPr>
      <w:r w:rsidRPr="00D57928">
        <w:rPr>
          <w:rStyle w:val="FootnoteReference"/>
        </w:rPr>
        <w:footnoteRef/>
      </w:r>
      <w:r w:rsidRPr="00D57928">
        <w:t xml:space="preserve"> The standards covered in the guide are grouped into four main categories: (a) Safety standards for design, construction and installation of RACHP products and systems; (b) Performance standards for determining the efficiency and performance of RACHP systems and equipment, as well as for refrigerants; (c) Practice standards for identifying knowledge and guiding best practices for refrigeration technicians when handling RACHP systems and refrigerants; and (d) Quality standards covering any industry, but applicable to processes involving refrigerants such as production, accounting, certification and training.</w:t>
      </w:r>
    </w:p>
  </w:footnote>
  <w:footnote w:id="35">
    <w:p w:rsidR="00BB5BFE" w:rsidRPr="00D57928" w:rsidRDefault="00BB5BFE" w:rsidP="00E479E5">
      <w:pPr>
        <w:pStyle w:val="FootnoteText"/>
        <w:rPr>
          <w:lang w:val="en-US"/>
        </w:rPr>
      </w:pPr>
      <w:r w:rsidRPr="00D57928">
        <w:rPr>
          <w:rStyle w:val="FootnoteReference"/>
        </w:rPr>
        <w:footnoteRef/>
      </w:r>
      <w:r w:rsidRPr="00D57928">
        <w:rPr>
          <w:lang w:val="en-US"/>
        </w:rPr>
        <w:t xml:space="preserve"> Energy labels results in differentiation of products making most efficient products fall in the high-price category with other associated features. The effect of MEPS is to push manufacturers to incorporate the energy-efficient components and designs into lower-priced (lower profit margin) larger-market product lines sooner than they otherwise would.</w:t>
      </w:r>
    </w:p>
  </w:footnote>
  <w:footnote w:id="36">
    <w:p w:rsidR="00BB5BFE" w:rsidRPr="00D57928" w:rsidRDefault="00BB5BFE" w:rsidP="00E479E5">
      <w:pPr>
        <w:pStyle w:val="FootnoteText"/>
      </w:pPr>
      <w:r w:rsidRPr="00D57928">
        <w:rPr>
          <w:rStyle w:val="FootnoteReference"/>
        </w:rPr>
        <w:footnoteRef/>
      </w:r>
      <w:r w:rsidRPr="00D57928">
        <w:t xml:space="preserve"> In MEPS-making processes, energy efficiency policy makers compare the increase in purchase price for higher efficiency equipment against the energy savings to the consumer, and set the level of MEPS level to “pay back” the average consumer within a specified time period.</w:t>
      </w:r>
    </w:p>
  </w:footnote>
  <w:footnote w:id="37">
    <w:p w:rsidR="00BB5BFE" w:rsidRPr="00D57928" w:rsidRDefault="00BB5BFE" w:rsidP="00E479E5">
      <w:pPr>
        <w:rPr>
          <w:sz w:val="20"/>
          <w:szCs w:val="20"/>
          <w:lang w:val="en-US"/>
        </w:rPr>
      </w:pPr>
      <w:r w:rsidRPr="00D57928">
        <w:rPr>
          <w:rStyle w:val="FootnoteReference"/>
          <w:sz w:val="20"/>
          <w:szCs w:val="20"/>
        </w:rPr>
        <w:footnoteRef/>
      </w:r>
      <w:r w:rsidRPr="00D57928">
        <w:rPr>
          <w:sz w:val="20"/>
          <w:szCs w:val="20"/>
          <w:lang w:val="en-US"/>
        </w:rPr>
        <w:t xml:space="preserve"> </w:t>
      </w:r>
      <w:r w:rsidRPr="00D57928">
        <w:rPr>
          <w:color w:val="000000" w:themeColor="text1"/>
          <w:sz w:val="20"/>
          <w:szCs w:val="20"/>
        </w:rPr>
        <w:t xml:space="preserve">Extracted from the TEAP Decision XXIX/10 Task Force report. The sources of information included: CLASP Policy Database (2018), </w:t>
      </w:r>
      <w:hyperlink r:id="rId1" w:history="1">
        <w:r w:rsidRPr="00D57928">
          <w:rPr>
            <w:rStyle w:val="Hyperlink"/>
            <w:color w:val="000000" w:themeColor="text1"/>
            <w:sz w:val="20"/>
            <w:szCs w:val="20"/>
          </w:rPr>
          <w:t>https://clasp.ngo/policies</w:t>
        </w:r>
      </w:hyperlink>
      <w:r w:rsidRPr="00D57928">
        <w:rPr>
          <w:rStyle w:val="Hyperlink"/>
          <w:color w:val="000000" w:themeColor="text1"/>
          <w:sz w:val="20"/>
          <w:szCs w:val="20"/>
        </w:rPr>
        <w:t xml:space="preserve"> </w:t>
      </w:r>
      <w:r w:rsidRPr="00D57928">
        <w:rPr>
          <w:color w:val="000000" w:themeColor="text1"/>
          <w:sz w:val="20"/>
          <w:szCs w:val="20"/>
        </w:rPr>
        <w:t xml:space="preserve">(accessed on 15 August 2018); Kigali Cooling Efficiency Program, Africa Cooling Map, </w:t>
      </w:r>
      <w:hyperlink r:id="rId2" w:history="1">
        <w:r w:rsidRPr="00D57928">
          <w:rPr>
            <w:rStyle w:val="Hyperlink"/>
            <w:color w:val="000000" w:themeColor="text1"/>
            <w:sz w:val="20"/>
            <w:szCs w:val="20"/>
          </w:rPr>
          <w:t>https://www.k-cep.org/wp-content/uploads/2018/05/Africa-Cooling-map.pdf</w:t>
        </w:r>
      </w:hyperlink>
      <w:r w:rsidRPr="00D57928">
        <w:rPr>
          <w:color w:val="000000" w:themeColor="text1"/>
          <w:sz w:val="20"/>
          <w:szCs w:val="20"/>
        </w:rPr>
        <w:t xml:space="preserve">; </w:t>
      </w:r>
      <w:r w:rsidRPr="00D57928">
        <w:rPr>
          <w:color w:val="000000" w:themeColor="text1"/>
          <w:sz w:val="20"/>
          <w:szCs w:val="20"/>
          <w:lang w:val="de-CH"/>
        </w:rPr>
        <w:t xml:space="preserve">Braungardt S and Göthner KC, 2017. </w:t>
      </w:r>
      <w:r w:rsidRPr="00D57928">
        <w:rPr>
          <w:color w:val="000000" w:themeColor="text1"/>
          <w:sz w:val="20"/>
          <w:szCs w:val="20"/>
        </w:rPr>
        <w:t xml:space="preserve">Harmonisation of MEPS and energy labelling in Latin America and the Caribbean – opportunities and challenges. </w:t>
      </w:r>
    </w:p>
  </w:footnote>
  <w:footnote w:id="38">
    <w:p w:rsidR="00BB5BFE" w:rsidRPr="00D57928" w:rsidRDefault="00BB5BFE" w:rsidP="00E479E5">
      <w:pPr>
        <w:pStyle w:val="FootnoteText"/>
      </w:pPr>
      <w:r w:rsidRPr="00D57928">
        <w:rPr>
          <w:rStyle w:val="FootnoteReference"/>
        </w:rPr>
        <w:footnoteRef/>
      </w:r>
      <w:r w:rsidRPr="00D57928">
        <w:t xml:space="preserve"> Comparative labels allow consumers to compare similar products to each other using an energy efficiency rating on the label.</w:t>
      </w:r>
    </w:p>
  </w:footnote>
  <w:footnote w:id="39">
    <w:p w:rsidR="00BB5BFE" w:rsidRPr="00D57928" w:rsidRDefault="00BB5BFE" w:rsidP="00E479E5">
      <w:pPr>
        <w:pStyle w:val="FootnoteText"/>
      </w:pPr>
      <w:r w:rsidRPr="00D57928">
        <w:rPr>
          <w:rStyle w:val="FootnoteReference"/>
        </w:rPr>
        <w:footnoteRef/>
      </w:r>
      <w:r w:rsidRPr="00D57928">
        <w:t xml:space="preserve"> Endorsement labels are granted if the product fulfils a set of criteria prescribed by the label.</w:t>
      </w:r>
    </w:p>
  </w:footnote>
  <w:footnote w:id="40">
    <w:p w:rsidR="00BB5BFE" w:rsidRPr="00D57928" w:rsidRDefault="00BB5BFE" w:rsidP="00E479E5">
      <w:pPr>
        <w:pStyle w:val="FootnoteText"/>
      </w:pPr>
      <w:r w:rsidRPr="00D57928">
        <w:rPr>
          <w:rStyle w:val="FootnoteReference"/>
        </w:rPr>
        <w:footnoteRef/>
      </w:r>
      <w:r w:rsidRPr="00D57928">
        <w:t xml:space="preserve"> At its 79</w:t>
      </w:r>
      <w:r w:rsidRPr="00D57928">
        <w:rPr>
          <w:vertAlign w:val="superscript"/>
        </w:rPr>
        <w:t>th</w:t>
      </w:r>
      <w:r w:rsidRPr="00D57928">
        <w:t xml:space="preserve"> meeting (July 2017), the Committee agreed to funding enabling activities to </w:t>
      </w:r>
      <w:r w:rsidRPr="00D57928">
        <w:rPr>
          <w:i/>
        </w:rPr>
        <w:t>inter alia</w:t>
      </w:r>
      <w:r w:rsidRPr="00D57928">
        <w:t xml:space="preserve"> support:</w:t>
      </w:r>
      <w:r>
        <w:t xml:space="preserve"> the phase</w:t>
      </w:r>
      <w:r>
        <w:noBreakHyphen/>
      </w:r>
      <w:r w:rsidRPr="00D57928">
        <w:t>down of HFCs; the early ratification of the Kigali Amendment aimed at initiating supporting institutional arrangements; the review of licensing systems; HFC data reporting; demonstration of non-investment activities; and national strategies (decision 79/46). As of the 82</w:t>
      </w:r>
      <w:r w:rsidRPr="00D57928">
        <w:rPr>
          <w:vertAlign w:val="superscript"/>
        </w:rPr>
        <w:t>nd</w:t>
      </w:r>
      <w:r w:rsidRPr="00D57928">
        <w:t xml:space="preserve"> meeting, 130 Article 5 countries had received funding for the implementation of enabling activities. Funding approved under enabling activities ranged from US $50,000 for countries with HCFC baseline consumption of up to 0.8 ODP tonnes to US $150,000 for countries with HCFC baseline consumption of 17.6 to 19.8 ODP tonnes.</w:t>
      </w:r>
    </w:p>
  </w:footnote>
  <w:footnote w:id="41">
    <w:p w:rsidR="00BB5BFE" w:rsidRPr="00D57928" w:rsidRDefault="00BB5BFE" w:rsidP="00E479E5">
      <w:pPr>
        <w:pStyle w:val="FootnoteText"/>
        <w:rPr>
          <w:lang w:val="en-CA"/>
        </w:rPr>
      </w:pPr>
      <w:r w:rsidRPr="00D57928">
        <w:rPr>
          <w:rStyle w:val="FootnoteReference"/>
        </w:rPr>
        <w:footnoteRef/>
      </w:r>
      <w:r w:rsidRPr="00D57928">
        <w:t xml:space="preserve"> </w:t>
      </w:r>
      <w:r w:rsidRPr="00D57928">
        <w:rPr>
          <w:lang w:val="en-CA"/>
        </w:rPr>
        <w:t>The impact of energy efficiency initiatives under enabling activities is not known and expected to be limited.</w:t>
      </w:r>
    </w:p>
  </w:footnote>
  <w:footnote w:id="42">
    <w:p w:rsidR="00BB5BFE" w:rsidRPr="00D45F83" w:rsidRDefault="00BB5BFE" w:rsidP="00E479E5">
      <w:pPr>
        <w:pStyle w:val="FootnoteText"/>
      </w:pPr>
      <w:r>
        <w:rPr>
          <w:rStyle w:val="FootnoteReference"/>
        </w:rPr>
        <w:footnoteRef/>
      </w:r>
      <w:r>
        <w:t xml:space="preserve"> </w:t>
      </w:r>
      <w:r>
        <w:rPr>
          <w:rFonts w:eastAsia="DengXian"/>
        </w:rPr>
        <w:t>T</w:t>
      </w:r>
      <w:r w:rsidRPr="005347AD">
        <w:rPr>
          <w:rFonts w:eastAsia="DengXian"/>
        </w:rPr>
        <w:t>he TEAP Decision XXIX/10 Task Force report</w:t>
      </w:r>
    </w:p>
  </w:footnote>
  <w:footnote w:id="43">
    <w:p w:rsidR="00BB5BFE" w:rsidRPr="00D57928" w:rsidRDefault="00BB5BFE" w:rsidP="00E479E5">
      <w:pPr>
        <w:pStyle w:val="FootnoteText"/>
        <w:rPr>
          <w:lang w:val="en-CA"/>
        </w:rPr>
      </w:pPr>
      <w:r w:rsidRPr="00D57928">
        <w:rPr>
          <w:rStyle w:val="FootnoteReference"/>
        </w:rPr>
        <w:footnoteRef/>
      </w:r>
      <w:r w:rsidRPr="00D57928">
        <w:t xml:space="preserve"> Presentation by Stefan </w:t>
      </w:r>
      <w:proofErr w:type="spellStart"/>
      <w:r w:rsidRPr="00D57928">
        <w:t>Thie</w:t>
      </w:r>
      <w:proofErr w:type="spellEnd"/>
      <w:r w:rsidRPr="00D57928">
        <w:t>, EPEE Technical Expert, at the workshop on energy efficiency opportunities while phasing down HFCs.</w:t>
      </w:r>
    </w:p>
  </w:footnote>
  <w:footnote w:id="44">
    <w:p w:rsidR="00BB5BFE" w:rsidRPr="00D57928" w:rsidRDefault="00BB5BFE" w:rsidP="00E479E5">
      <w:pPr>
        <w:pStyle w:val="FootnoteText"/>
      </w:pPr>
      <w:r w:rsidRPr="00D57928">
        <w:rPr>
          <w:rStyle w:val="FootnoteReference"/>
        </w:rPr>
        <w:footnoteRef/>
      </w:r>
      <w:r w:rsidRPr="00D57928">
        <w:t xml:space="preserve"> Zero on the Celsius scale (0°C) is equivalent to 273.15K (°Kelvin), with a temperature difference of 1°C equivalent to a difference of 1K i.e., 100°C, defined as the boiling point of water, is equivalent to 373.15K. Every 1K temperature difference could result in higher power consumption impact during equipment operations.</w:t>
      </w:r>
    </w:p>
  </w:footnote>
  <w:footnote w:id="45">
    <w:p w:rsidR="00BB5BFE" w:rsidRPr="00D57928" w:rsidRDefault="00BB5BFE" w:rsidP="00E479E5">
      <w:pPr>
        <w:pStyle w:val="FootnoteText"/>
        <w:rPr>
          <w:lang w:val="en-CA"/>
        </w:rPr>
      </w:pPr>
      <w:r w:rsidRPr="00D57928">
        <w:rPr>
          <w:rStyle w:val="FootnoteReference"/>
        </w:rPr>
        <w:footnoteRef/>
      </w:r>
      <w:r w:rsidRPr="00D57928">
        <w:t xml:space="preserve"> This value appears to be</w:t>
      </w:r>
      <w:r w:rsidRPr="00D57928">
        <w:rPr>
          <w:lang w:val="en-CA"/>
        </w:rPr>
        <w:t xml:space="preserve"> high. TEAP report indicates that controller settings adjus</w:t>
      </w:r>
      <w:r>
        <w:rPr>
          <w:lang w:val="en-CA"/>
        </w:rPr>
        <w:t>tments would result in about 10 </w:t>
      </w:r>
      <w:r w:rsidRPr="00D57928">
        <w:rPr>
          <w:lang w:val="en-CA"/>
        </w:rPr>
        <w:t>per cent savings.</w:t>
      </w:r>
    </w:p>
  </w:footnote>
  <w:footnote w:id="46">
    <w:p w:rsidR="00BB5BFE" w:rsidRPr="00D57928" w:rsidRDefault="00BB5BFE" w:rsidP="00E479E5">
      <w:pPr>
        <w:pStyle w:val="FootnoteText"/>
      </w:pPr>
      <w:r w:rsidRPr="00D57928">
        <w:rPr>
          <w:rStyle w:val="FootnoteReference"/>
        </w:rPr>
        <w:footnoteRef/>
      </w:r>
      <w:r w:rsidRPr="00D57928">
        <w:t xml:space="preserve"> The international bodies responsible for RACHP standards are the International Organisation for Standardisation (ISO) and the International </w:t>
      </w:r>
      <w:proofErr w:type="spellStart"/>
      <w:r w:rsidRPr="00D57928">
        <w:t>Electrotechnical</w:t>
      </w:r>
      <w:proofErr w:type="spellEnd"/>
      <w:r w:rsidRPr="00D57928">
        <w:t xml:space="preserve"> Commission (IEC). In addition, there are national and regional level standard bodies.</w:t>
      </w:r>
    </w:p>
  </w:footnote>
  <w:footnote w:id="47">
    <w:p w:rsidR="00BB5BFE" w:rsidRPr="00D57928" w:rsidRDefault="00BB5BFE" w:rsidP="00E479E5">
      <w:pPr>
        <w:pStyle w:val="FootnoteText"/>
      </w:pPr>
      <w:r w:rsidRPr="00D57928">
        <w:rPr>
          <w:rStyle w:val="FootnoteReference"/>
        </w:rPr>
        <w:footnoteRef/>
      </w:r>
      <w:r w:rsidRPr="00D57928">
        <w:t xml:space="preserve"> The tools, products and services provided by UNEP CAP are described in Annex III of document UNEP/</w:t>
      </w:r>
      <w:proofErr w:type="spellStart"/>
      <w:r w:rsidRPr="00D57928">
        <w:t>OzL.Pro</w:t>
      </w:r>
      <w:proofErr w:type="spellEnd"/>
      <w:r w:rsidRPr="00D57928">
        <w:t>/</w:t>
      </w:r>
      <w:proofErr w:type="spellStart"/>
      <w:r w:rsidRPr="00D57928">
        <w:t>ExCom</w:t>
      </w:r>
      <w:proofErr w:type="spellEnd"/>
      <w:r w:rsidRPr="00D57928">
        <w:t>/82/64.</w:t>
      </w:r>
    </w:p>
  </w:footnote>
  <w:footnote w:id="48">
    <w:p w:rsidR="00BB5BFE" w:rsidRPr="00D57928" w:rsidRDefault="00BB5BFE" w:rsidP="00E479E5">
      <w:pPr>
        <w:pStyle w:val="FootnoteText"/>
        <w:rPr>
          <w:lang w:val="en-CA"/>
        </w:rPr>
      </w:pPr>
      <w:r w:rsidRPr="00D57928">
        <w:rPr>
          <w:rStyle w:val="FootnoteReference"/>
        </w:rPr>
        <w:footnoteRef/>
      </w:r>
      <w:r w:rsidRPr="00D57928">
        <w:t xml:space="preserve"> </w:t>
      </w:r>
      <w:r w:rsidRPr="00D57928">
        <w:rPr>
          <w:lang w:val="en-CA"/>
        </w:rPr>
        <w:t xml:space="preserve">Pilot end-user incentive programmes and their impact would be analysed and presented in a separate paper to the </w:t>
      </w:r>
      <w:r w:rsidRPr="002F0BCE">
        <w:rPr>
          <w:lang w:val="en-CA"/>
        </w:rPr>
        <w:t>84</w:t>
      </w:r>
      <w:r w:rsidRPr="002F0BCE">
        <w:rPr>
          <w:vertAlign w:val="superscript"/>
          <w:lang w:val="en-CA"/>
        </w:rPr>
        <w:t>th</w:t>
      </w:r>
      <w:r w:rsidRPr="002F0BCE">
        <w:rPr>
          <w:lang w:val="en-CA"/>
        </w:rPr>
        <w:t xml:space="preserve"> meeting.</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654B" w:rsidRPr="0033525D" w:rsidRDefault="00274B49">
    <w:r>
      <w:fldChar w:fldCharType="begin"/>
    </w:r>
    <w:r>
      <w:instrText xml:space="preserve"> DOCPROPERTY "Document number"  \* MERGEFORMAT </w:instrText>
    </w:r>
    <w:r>
      <w:fldChar w:fldCharType="separate"/>
    </w:r>
    <w:r w:rsidR="00693B14">
      <w:t>UNEP/</w:t>
    </w:r>
    <w:proofErr w:type="spellStart"/>
    <w:r w:rsidR="00693B14">
      <w:t>OzL.Pro</w:t>
    </w:r>
    <w:proofErr w:type="spellEnd"/>
    <w:r w:rsidR="00693B14">
      <w:t>/</w:t>
    </w:r>
    <w:proofErr w:type="spellStart"/>
    <w:r w:rsidR="00693B14">
      <w:t>ExCom</w:t>
    </w:r>
    <w:proofErr w:type="spellEnd"/>
    <w:r w:rsidR="00693B14">
      <w:t>/84/67</w:t>
    </w:r>
    <w:r>
      <w:fldChar w:fldCharType="end"/>
    </w:r>
  </w:p>
  <w:p w:rsidR="0014654B" w:rsidRDefault="0014654B"/>
  <w:p w:rsidR="00CA4D70" w:rsidRPr="0033525D" w:rsidRDefault="00CA4D7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D70" w:rsidRPr="0033525D" w:rsidRDefault="00274B49" w:rsidP="00CA4D70">
    <w:pPr>
      <w:jc w:val="right"/>
    </w:pPr>
    <w:r>
      <w:fldChar w:fldCharType="begin"/>
    </w:r>
    <w:r>
      <w:instrText xml:space="preserve"> DOCPROPERTY "Document number"  \* MERGEFORMAT </w:instrText>
    </w:r>
    <w:r>
      <w:fldChar w:fldCharType="separate"/>
    </w:r>
    <w:r w:rsidR="00693B14">
      <w:t>UNEP/</w:t>
    </w:r>
    <w:proofErr w:type="spellStart"/>
    <w:r w:rsidR="00693B14">
      <w:t>OzL.Pro</w:t>
    </w:r>
    <w:proofErr w:type="spellEnd"/>
    <w:r w:rsidR="00693B14">
      <w:t>/</w:t>
    </w:r>
    <w:proofErr w:type="spellStart"/>
    <w:r w:rsidR="00693B14">
      <w:t>ExCom</w:t>
    </w:r>
    <w:proofErr w:type="spellEnd"/>
    <w:r w:rsidR="00693B14">
      <w:t>/84/67</w:t>
    </w:r>
    <w:r>
      <w:fldChar w:fldCharType="end"/>
    </w:r>
  </w:p>
  <w:p w:rsidR="00CA4D70" w:rsidRDefault="00CA4D70" w:rsidP="00CA4D70">
    <w:pPr>
      <w:pStyle w:val="Header"/>
      <w:jc w:val="right"/>
    </w:pPr>
  </w:p>
  <w:p w:rsidR="00CA4D70" w:rsidRDefault="00CA4D7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9E5" w:rsidRDefault="00BB5BFE">
    <w:r w:rsidRPr="00BB5BFE">
      <w:t>UNEP/</w:t>
    </w:r>
    <w:proofErr w:type="spellStart"/>
    <w:r w:rsidRPr="00BB5BFE">
      <w:t>OzL.Pro</w:t>
    </w:r>
    <w:proofErr w:type="spellEnd"/>
    <w:r w:rsidRPr="00BB5BFE">
      <w:t>/</w:t>
    </w:r>
    <w:proofErr w:type="spellStart"/>
    <w:r w:rsidRPr="00BB5BFE">
      <w:t>ExCom</w:t>
    </w:r>
    <w:proofErr w:type="spellEnd"/>
    <w:r w:rsidRPr="00BB5BFE">
      <w:t>/83/40</w:t>
    </w:r>
  </w:p>
  <w:p w:rsidR="00BB5BFE" w:rsidRPr="0033525D" w:rsidRDefault="00BB5BFE"/>
  <w:p w:rsidR="00E479E5" w:rsidRPr="0033525D" w:rsidRDefault="00E479E5"/>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5BFE" w:rsidRDefault="00BB5BFE" w:rsidP="00BB5BFE">
    <w:pPr>
      <w:jc w:val="right"/>
    </w:pPr>
    <w:r w:rsidRPr="00BB5BFE">
      <w:t>UNEP/</w:t>
    </w:r>
    <w:proofErr w:type="spellStart"/>
    <w:r w:rsidRPr="00BB5BFE">
      <w:t>OzL.Pro</w:t>
    </w:r>
    <w:proofErr w:type="spellEnd"/>
    <w:r w:rsidRPr="00BB5BFE">
      <w:t>/</w:t>
    </w:r>
    <w:proofErr w:type="spellStart"/>
    <w:r w:rsidRPr="00BB5BFE">
      <w:t>ExCom</w:t>
    </w:r>
    <w:proofErr w:type="spellEnd"/>
    <w:r w:rsidRPr="00BB5BFE">
      <w:t>/83/40</w:t>
    </w:r>
  </w:p>
  <w:p w:rsidR="00E479E5" w:rsidRPr="0033525D" w:rsidRDefault="00E479E5"/>
  <w:p w:rsidR="00E479E5" w:rsidRPr="0033525D" w:rsidRDefault="00E479E5">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5BFE" w:rsidRPr="00BB5BFE" w:rsidRDefault="00BB5BFE" w:rsidP="00BB5BF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DC0BD3"/>
    <w:multiLevelType w:val="hybridMultilevel"/>
    <w:tmpl w:val="9B266F7E"/>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83A4F78"/>
    <w:multiLevelType w:val="hybridMultilevel"/>
    <w:tmpl w:val="4D90E2D0"/>
    <w:lvl w:ilvl="0" w:tplc="04A0AE5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A3B3960"/>
    <w:multiLevelType w:val="hybridMultilevel"/>
    <w:tmpl w:val="A9083B76"/>
    <w:lvl w:ilvl="0" w:tplc="10090001">
      <w:start w:val="1"/>
      <w:numFmt w:val="bullet"/>
      <w:lvlText w:val=""/>
      <w:lvlJc w:val="left"/>
      <w:pPr>
        <w:ind w:left="2520" w:hanging="360"/>
      </w:pPr>
      <w:rPr>
        <w:rFonts w:ascii="Symbol" w:hAnsi="Symbol" w:hint="default"/>
      </w:rPr>
    </w:lvl>
    <w:lvl w:ilvl="1" w:tplc="10090003" w:tentative="1">
      <w:start w:val="1"/>
      <w:numFmt w:val="bullet"/>
      <w:lvlText w:val="o"/>
      <w:lvlJc w:val="left"/>
      <w:pPr>
        <w:ind w:left="3240" w:hanging="360"/>
      </w:pPr>
      <w:rPr>
        <w:rFonts w:ascii="Courier New" w:hAnsi="Courier New" w:cs="Courier New" w:hint="default"/>
      </w:rPr>
    </w:lvl>
    <w:lvl w:ilvl="2" w:tplc="10090005" w:tentative="1">
      <w:start w:val="1"/>
      <w:numFmt w:val="bullet"/>
      <w:lvlText w:val=""/>
      <w:lvlJc w:val="left"/>
      <w:pPr>
        <w:ind w:left="3960" w:hanging="360"/>
      </w:pPr>
      <w:rPr>
        <w:rFonts w:ascii="Wingdings" w:hAnsi="Wingdings" w:hint="default"/>
      </w:rPr>
    </w:lvl>
    <w:lvl w:ilvl="3" w:tplc="10090001" w:tentative="1">
      <w:start w:val="1"/>
      <w:numFmt w:val="bullet"/>
      <w:lvlText w:val=""/>
      <w:lvlJc w:val="left"/>
      <w:pPr>
        <w:ind w:left="4680" w:hanging="360"/>
      </w:pPr>
      <w:rPr>
        <w:rFonts w:ascii="Symbol" w:hAnsi="Symbol" w:hint="default"/>
      </w:rPr>
    </w:lvl>
    <w:lvl w:ilvl="4" w:tplc="10090003" w:tentative="1">
      <w:start w:val="1"/>
      <w:numFmt w:val="bullet"/>
      <w:lvlText w:val="o"/>
      <w:lvlJc w:val="left"/>
      <w:pPr>
        <w:ind w:left="5400" w:hanging="360"/>
      </w:pPr>
      <w:rPr>
        <w:rFonts w:ascii="Courier New" w:hAnsi="Courier New" w:cs="Courier New" w:hint="default"/>
      </w:rPr>
    </w:lvl>
    <w:lvl w:ilvl="5" w:tplc="10090005" w:tentative="1">
      <w:start w:val="1"/>
      <w:numFmt w:val="bullet"/>
      <w:lvlText w:val=""/>
      <w:lvlJc w:val="left"/>
      <w:pPr>
        <w:ind w:left="6120" w:hanging="360"/>
      </w:pPr>
      <w:rPr>
        <w:rFonts w:ascii="Wingdings" w:hAnsi="Wingdings" w:hint="default"/>
      </w:rPr>
    </w:lvl>
    <w:lvl w:ilvl="6" w:tplc="10090001" w:tentative="1">
      <w:start w:val="1"/>
      <w:numFmt w:val="bullet"/>
      <w:lvlText w:val=""/>
      <w:lvlJc w:val="left"/>
      <w:pPr>
        <w:ind w:left="6840" w:hanging="360"/>
      </w:pPr>
      <w:rPr>
        <w:rFonts w:ascii="Symbol" w:hAnsi="Symbol" w:hint="default"/>
      </w:rPr>
    </w:lvl>
    <w:lvl w:ilvl="7" w:tplc="10090003" w:tentative="1">
      <w:start w:val="1"/>
      <w:numFmt w:val="bullet"/>
      <w:lvlText w:val="o"/>
      <w:lvlJc w:val="left"/>
      <w:pPr>
        <w:ind w:left="7560" w:hanging="360"/>
      </w:pPr>
      <w:rPr>
        <w:rFonts w:ascii="Courier New" w:hAnsi="Courier New" w:cs="Courier New" w:hint="default"/>
      </w:rPr>
    </w:lvl>
    <w:lvl w:ilvl="8" w:tplc="10090005" w:tentative="1">
      <w:start w:val="1"/>
      <w:numFmt w:val="bullet"/>
      <w:lvlText w:val=""/>
      <w:lvlJc w:val="left"/>
      <w:pPr>
        <w:ind w:left="8280" w:hanging="360"/>
      </w:pPr>
      <w:rPr>
        <w:rFonts w:ascii="Wingdings" w:hAnsi="Wingdings" w:hint="default"/>
      </w:rPr>
    </w:lvl>
  </w:abstractNum>
  <w:abstractNum w:abstractNumId="14" w15:restartNumberingAfterBreak="0">
    <w:nsid w:val="0BEC0961"/>
    <w:multiLevelType w:val="hybridMultilevel"/>
    <w:tmpl w:val="0D4092A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5" w15:restartNumberingAfterBreak="0">
    <w:nsid w:val="0CB47D7B"/>
    <w:multiLevelType w:val="multilevel"/>
    <w:tmpl w:val="65B06BF2"/>
    <w:lvl w:ilvl="0">
      <w:start w:val="1"/>
      <w:numFmt w:val="bullet"/>
      <w:lvlText w:val=""/>
      <w:lvlJc w:val="left"/>
      <w:pPr>
        <w:tabs>
          <w:tab w:val="num" w:pos="360"/>
        </w:tabs>
        <w:ind w:left="360" w:hanging="360"/>
      </w:pPr>
      <w:rPr>
        <w:rFonts w:ascii="Symbol" w:hAnsi="Symbol"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0DBF7851"/>
    <w:multiLevelType w:val="hybridMultilevel"/>
    <w:tmpl w:val="0D2002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12614DE1"/>
    <w:multiLevelType w:val="hybridMultilevel"/>
    <w:tmpl w:val="FF224A60"/>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14D96F3C"/>
    <w:multiLevelType w:val="multilevel"/>
    <w:tmpl w:val="46024FC6"/>
    <w:lvl w:ilvl="0">
      <w:start w:val="7"/>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9" w15:restartNumberingAfterBreak="0">
    <w:nsid w:val="1B0F3EE2"/>
    <w:multiLevelType w:val="hybridMultilevel"/>
    <w:tmpl w:val="386C1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CF40339"/>
    <w:multiLevelType w:val="hybridMultilevel"/>
    <w:tmpl w:val="6ACEFECC"/>
    <w:lvl w:ilvl="0" w:tplc="ED36B258">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1" w15:restartNumberingAfterBreak="0">
    <w:nsid w:val="1D1C03A2"/>
    <w:multiLevelType w:val="hybridMultilevel"/>
    <w:tmpl w:val="D646C9A2"/>
    <w:lvl w:ilvl="0" w:tplc="FE024456">
      <w:start w:val="1"/>
      <w:numFmt w:val="lowerLetter"/>
      <w:lvlText w:val="(%1)"/>
      <w:lvlJc w:val="left"/>
      <w:pPr>
        <w:ind w:left="1440" w:hanging="360"/>
      </w:pPr>
      <w:rPr>
        <w:rFonts w:hint="default"/>
      </w:rPr>
    </w:lvl>
    <w:lvl w:ilvl="1" w:tplc="E3049D46">
      <w:numFmt w:val="bullet"/>
      <w:lvlText w:val="•"/>
      <w:lvlJc w:val="left"/>
      <w:pPr>
        <w:ind w:left="2520" w:hanging="720"/>
      </w:pPr>
      <w:rPr>
        <w:rFonts w:ascii="Times New Roman" w:eastAsia="Times New Roman" w:hAnsi="Times New Roman" w:cs="Times New Roman" w:hint="default"/>
      </w:r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2" w15:restartNumberingAfterBreak="0">
    <w:nsid w:val="1D7A15C6"/>
    <w:multiLevelType w:val="hybridMultilevel"/>
    <w:tmpl w:val="1B1C6EBC"/>
    <w:lvl w:ilvl="0" w:tplc="FE024456">
      <w:start w:val="1"/>
      <w:numFmt w:val="lowerLetter"/>
      <w:lvlText w:val="(%1)"/>
      <w:lvlJc w:val="left"/>
      <w:pPr>
        <w:ind w:left="1080" w:hanging="360"/>
      </w:pPr>
      <w:rPr>
        <w:rFont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3" w15:restartNumberingAfterBreak="0">
    <w:nsid w:val="20EB1B8C"/>
    <w:multiLevelType w:val="hybridMultilevel"/>
    <w:tmpl w:val="20E200F8"/>
    <w:lvl w:ilvl="0" w:tplc="FE024456">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2E9D7411"/>
    <w:multiLevelType w:val="hybridMultilevel"/>
    <w:tmpl w:val="04464174"/>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30375EB5"/>
    <w:multiLevelType w:val="hybridMultilevel"/>
    <w:tmpl w:val="3A4CD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8" w15:restartNumberingAfterBreak="0">
    <w:nsid w:val="3A417EC1"/>
    <w:multiLevelType w:val="hybridMultilevel"/>
    <w:tmpl w:val="1D1874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3E4B00FC"/>
    <w:multiLevelType w:val="hybridMultilevel"/>
    <w:tmpl w:val="E9784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0E60990"/>
    <w:multiLevelType w:val="hybridMultilevel"/>
    <w:tmpl w:val="C5AE3CB0"/>
    <w:lvl w:ilvl="0" w:tplc="8288034A">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1" w15:restartNumberingAfterBreak="0">
    <w:nsid w:val="46463B19"/>
    <w:multiLevelType w:val="hybridMultilevel"/>
    <w:tmpl w:val="F56CEAB0"/>
    <w:lvl w:ilvl="0" w:tplc="FE024456">
      <w:start w:val="1"/>
      <w:numFmt w:val="low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4" w15:restartNumberingAfterBreak="0">
    <w:nsid w:val="5267772B"/>
    <w:multiLevelType w:val="hybridMultilevel"/>
    <w:tmpl w:val="7A707782"/>
    <w:lvl w:ilvl="0" w:tplc="300473E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E7F039C"/>
    <w:multiLevelType w:val="hybridMultilevel"/>
    <w:tmpl w:val="37DA12F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6" w15:restartNumberingAfterBreak="0">
    <w:nsid w:val="65F36238"/>
    <w:multiLevelType w:val="hybridMultilevel"/>
    <w:tmpl w:val="5C522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87203C7"/>
    <w:multiLevelType w:val="multilevel"/>
    <w:tmpl w:val="238401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A7D5BDD"/>
    <w:multiLevelType w:val="hybridMultilevel"/>
    <w:tmpl w:val="05A4B640"/>
    <w:lvl w:ilvl="0" w:tplc="63D45262">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40" w15:restartNumberingAfterBreak="0">
    <w:nsid w:val="7FDA355D"/>
    <w:multiLevelType w:val="hybridMultilevel"/>
    <w:tmpl w:val="712293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4"/>
  </w:num>
  <w:num w:numId="17">
    <w:abstractNumId w:val="32"/>
  </w:num>
  <w:num w:numId="18">
    <w:abstractNumId w:val="33"/>
  </w:num>
  <w:num w:numId="19">
    <w:abstractNumId w:val="39"/>
  </w:num>
  <w:num w:numId="20">
    <w:abstractNumId w:val="27"/>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num>
  <w:num w:numId="23">
    <w:abstractNumId w:val="38"/>
  </w:num>
  <w:num w:numId="24">
    <w:abstractNumId w:val="17"/>
  </w:num>
  <w:num w:numId="25">
    <w:abstractNumId w:val="31"/>
  </w:num>
  <w:num w:numId="26">
    <w:abstractNumId w:val="22"/>
  </w:num>
  <w:num w:numId="27">
    <w:abstractNumId w:val="25"/>
  </w:num>
  <w:num w:numId="28">
    <w:abstractNumId w:val="23"/>
  </w:num>
  <w:num w:numId="29">
    <w:abstractNumId w:val="11"/>
  </w:num>
  <w:num w:numId="30">
    <w:abstractNumId w:val="21"/>
  </w:num>
  <w:num w:numId="31">
    <w:abstractNumId w:val="28"/>
  </w:num>
  <w:num w:numId="32">
    <w:abstractNumId w:val="13"/>
  </w:num>
  <w:num w:numId="33">
    <w:abstractNumId w:val="16"/>
  </w:num>
  <w:num w:numId="34">
    <w:abstractNumId w:val="40"/>
  </w:num>
  <w:num w:numId="35">
    <w:abstractNumId w:val="12"/>
  </w:num>
  <w:num w:numId="36">
    <w:abstractNumId w:val="35"/>
  </w:num>
  <w:num w:numId="37">
    <w:abstractNumId w:val="26"/>
  </w:num>
  <w:num w:numId="38">
    <w:abstractNumId w:val="14"/>
  </w:num>
  <w:num w:numId="39">
    <w:abstractNumId w:val="15"/>
  </w:num>
  <w:num w:numId="40">
    <w:abstractNumId w:val="34"/>
  </w:num>
  <w:num w:numId="41">
    <w:abstractNumId w:val="20"/>
  </w:num>
  <w:num w:numId="42">
    <w:abstractNumId w:val="19"/>
  </w:num>
  <w:num w:numId="43">
    <w:abstractNumId w:val="29"/>
  </w:num>
  <w:num w:numId="44">
    <w:abstractNumId w:val="30"/>
  </w:num>
  <w:num w:numId="45">
    <w:abstractNumId w:val="37"/>
  </w:num>
  <w:num w:numId="46">
    <w:abstractNumId w:val="36"/>
  </w:num>
  <w:num w:numId="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0"/>
  </w:num>
  <w:num w:numId="4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D17060"/>
    <w:rsid w:val="00000FED"/>
    <w:rsid w:val="00004254"/>
    <w:rsid w:val="0000434E"/>
    <w:rsid w:val="00017C3F"/>
    <w:rsid w:val="000211A9"/>
    <w:rsid w:val="00031260"/>
    <w:rsid w:val="0003681A"/>
    <w:rsid w:val="00052C5C"/>
    <w:rsid w:val="00061EC2"/>
    <w:rsid w:val="00080ED0"/>
    <w:rsid w:val="00085B8F"/>
    <w:rsid w:val="00090481"/>
    <w:rsid w:val="00092009"/>
    <w:rsid w:val="000A43EB"/>
    <w:rsid w:val="000A6C26"/>
    <w:rsid w:val="000D52A4"/>
    <w:rsid w:val="000E07BC"/>
    <w:rsid w:val="000E59CB"/>
    <w:rsid w:val="000F1CD4"/>
    <w:rsid w:val="000F4103"/>
    <w:rsid w:val="000F70A7"/>
    <w:rsid w:val="00113CCA"/>
    <w:rsid w:val="00122F25"/>
    <w:rsid w:val="00126AED"/>
    <w:rsid w:val="00135980"/>
    <w:rsid w:val="0014654B"/>
    <w:rsid w:val="0014704B"/>
    <w:rsid w:val="00162585"/>
    <w:rsid w:val="00164719"/>
    <w:rsid w:val="00166FC4"/>
    <w:rsid w:val="001677AC"/>
    <w:rsid w:val="001804EA"/>
    <w:rsid w:val="00190A61"/>
    <w:rsid w:val="001A3342"/>
    <w:rsid w:val="001A3E3D"/>
    <w:rsid w:val="001A7049"/>
    <w:rsid w:val="001B1D88"/>
    <w:rsid w:val="001B1E40"/>
    <w:rsid w:val="001B6487"/>
    <w:rsid w:val="001C3C80"/>
    <w:rsid w:val="001C764E"/>
    <w:rsid w:val="001E1052"/>
    <w:rsid w:val="001E21B1"/>
    <w:rsid w:val="001E2F93"/>
    <w:rsid w:val="001E61E5"/>
    <w:rsid w:val="001F2159"/>
    <w:rsid w:val="00210D86"/>
    <w:rsid w:val="00213B82"/>
    <w:rsid w:val="00214863"/>
    <w:rsid w:val="002156B4"/>
    <w:rsid w:val="00253222"/>
    <w:rsid w:val="00262847"/>
    <w:rsid w:val="002648BD"/>
    <w:rsid w:val="00264ACF"/>
    <w:rsid w:val="00274B49"/>
    <w:rsid w:val="00281BB2"/>
    <w:rsid w:val="002B08D9"/>
    <w:rsid w:val="002B72E9"/>
    <w:rsid w:val="002C7998"/>
    <w:rsid w:val="002F1E53"/>
    <w:rsid w:val="002F263D"/>
    <w:rsid w:val="002F2CAA"/>
    <w:rsid w:val="002F4901"/>
    <w:rsid w:val="0030052C"/>
    <w:rsid w:val="003306E1"/>
    <w:rsid w:val="003320E4"/>
    <w:rsid w:val="0033525D"/>
    <w:rsid w:val="003414F3"/>
    <w:rsid w:val="00346674"/>
    <w:rsid w:val="003512CB"/>
    <w:rsid w:val="0035613E"/>
    <w:rsid w:val="00363EE9"/>
    <w:rsid w:val="0036427C"/>
    <w:rsid w:val="00366505"/>
    <w:rsid w:val="00376128"/>
    <w:rsid w:val="0037742E"/>
    <w:rsid w:val="00377D56"/>
    <w:rsid w:val="0038245A"/>
    <w:rsid w:val="003840E6"/>
    <w:rsid w:val="00385613"/>
    <w:rsid w:val="00385CFC"/>
    <w:rsid w:val="003919B9"/>
    <w:rsid w:val="0039337A"/>
    <w:rsid w:val="003A3189"/>
    <w:rsid w:val="003A3CA7"/>
    <w:rsid w:val="003A62F1"/>
    <w:rsid w:val="003B2594"/>
    <w:rsid w:val="003B33BD"/>
    <w:rsid w:val="003B569D"/>
    <w:rsid w:val="003B5BC6"/>
    <w:rsid w:val="003C0C29"/>
    <w:rsid w:val="003C3C0E"/>
    <w:rsid w:val="003D4FAC"/>
    <w:rsid w:val="003E7906"/>
    <w:rsid w:val="003F3C50"/>
    <w:rsid w:val="003F5FBE"/>
    <w:rsid w:val="00406A6A"/>
    <w:rsid w:val="00406B22"/>
    <w:rsid w:val="004174B4"/>
    <w:rsid w:val="004328A7"/>
    <w:rsid w:val="00434C74"/>
    <w:rsid w:val="00444DEC"/>
    <w:rsid w:val="00456EB4"/>
    <w:rsid w:val="004718F3"/>
    <w:rsid w:val="004731B8"/>
    <w:rsid w:val="00475040"/>
    <w:rsid w:val="00493D40"/>
    <w:rsid w:val="004967B6"/>
    <w:rsid w:val="004A504B"/>
    <w:rsid w:val="004A6911"/>
    <w:rsid w:val="004B54E0"/>
    <w:rsid w:val="004B7384"/>
    <w:rsid w:val="004C4269"/>
    <w:rsid w:val="004D6236"/>
    <w:rsid w:val="004D7F90"/>
    <w:rsid w:val="004E4DBB"/>
    <w:rsid w:val="004E4E41"/>
    <w:rsid w:val="004E5038"/>
    <w:rsid w:val="004E7F9C"/>
    <w:rsid w:val="004F18A7"/>
    <w:rsid w:val="004F3493"/>
    <w:rsid w:val="004F5143"/>
    <w:rsid w:val="00512B09"/>
    <w:rsid w:val="00515B2F"/>
    <w:rsid w:val="00533796"/>
    <w:rsid w:val="005423D0"/>
    <w:rsid w:val="00555D75"/>
    <w:rsid w:val="00560DF0"/>
    <w:rsid w:val="0056759C"/>
    <w:rsid w:val="0059513E"/>
    <w:rsid w:val="0059668B"/>
    <w:rsid w:val="005A4390"/>
    <w:rsid w:val="005B48FF"/>
    <w:rsid w:val="00604C15"/>
    <w:rsid w:val="00607C38"/>
    <w:rsid w:val="00614BE0"/>
    <w:rsid w:val="006158D5"/>
    <w:rsid w:val="00622D65"/>
    <w:rsid w:val="00625D83"/>
    <w:rsid w:val="006445D2"/>
    <w:rsid w:val="006623E7"/>
    <w:rsid w:val="00662B80"/>
    <w:rsid w:val="00670F6C"/>
    <w:rsid w:val="00675795"/>
    <w:rsid w:val="006852C7"/>
    <w:rsid w:val="006852CE"/>
    <w:rsid w:val="00693B14"/>
    <w:rsid w:val="006C1727"/>
    <w:rsid w:val="006C32FD"/>
    <w:rsid w:val="006C39CE"/>
    <w:rsid w:val="006D0FCC"/>
    <w:rsid w:val="006D1D2D"/>
    <w:rsid w:val="006D54FC"/>
    <w:rsid w:val="006E1FC3"/>
    <w:rsid w:val="0070616B"/>
    <w:rsid w:val="00706FDA"/>
    <w:rsid w:val="00711F9A"/>
    <w:rsid w:val="00713810"/>
    <w:rsid w:val="00720A15"/>
    <w:rsid w:val="007303A5"/>
    <w:rsid w:val="00730B3E"/>
    <w:rsid w:val="0073420B"/>
    <w:rsid w:val="0074760E"/>
    <w:rsid w:val="00754ABA"/>
    <w:rsid w:val="00761F46"/>
    <w:rsid w:val="007663F3"/>
    <w:rsid w:val="007A1546"/>
    <w:rsid w:val="007A228C"/>
    <w:rsid w:val="007A368E"/>
    <w:rsid w:val="007A5868"/>
    <w:rsid w:val="007B04CE"/>
    <w:rsid w:val="007B4944"/>
    <w:rsid w:val="007B6871"/>
    <w:rsid w:val="007B7A2F"/>
    <w:rsid w:val="007C227C"/>
    <w:rsid w:val="007C3D33"/>
    <w:rsid w:val="007D294A"/>
    <w:rsid w:val="007D47D2"/>
    <w:rsid w:val="007D67FA"/>
    <w:rsid w:val="007D6EC0"/>
    <w:rsid w:val="007D7E1D"/>
    <w:rsid w:val="007E0E3E"/>
    <w:rsid w:val="00814ACD"/>
    <w:rsid w:val="008166BC"/>
    <w:rsid w:val="00831979"/>
    <w:rsid w:val="00851352"/>
    <w:rsid w:val="00863230"/>
    <w:rsid w:val="008717D8"/>
    <w:rsid w:val="0087215C"/>
    <w:rsid w:val="00880E35"/>
    <w:rsid w:val="008848D9"/>
    <w:rsid w:val="00886D30"/>
    <w:rsid w:val="008875FE"/>
    <w:rsid w:val="00887F8E"/>
    <w:rsid w:val="00896234"/>
    <w:rsid w:val="00897E43"/>
    <w:rsid w:val="008C5738"/>
    <w:rsid w:val="008C7EAD"/>
    <w:rsid w:val="008D0CFE"/>
    <w:rsid w:val="008D3375"/>
    <w:rsid w:val="008D54C2"/>
    <w:rsid w:val="008D6152"/>
    <w:rsid w:val="008F0F81"/>
    <w:rsid w:val="008F27BF"/>
    <w:rsid w:val="009142EC"/>
    <w:rsid w:val="009154C3"/>
    <w:rsid w:val="00923540"/>
    <w:rsid w:val="00926767"/>
    <w:rsid w:val="009361D5"/>
    <w:rsid w:val="009428A4"/>
    <w:rsid w:val="009659F4"/>
    <w:rsid w:val="009709B0"/>
    <w:rsid w:val="00970D60"/>
    <w:rsid w:val="009960E5"/>
    <w:rsid w:val="009A7ADC"/>
    <w:rsid w:val="009C19B7"/>
    <w:rsid w:val="009D7C51"/>
    <w:rsid w:val="009E196C"/>
    <w:rsid w:val="009F36BF"/>
    <w:rsid w:val="00A111B6"/>
    <w:rsid w:val="00A13CE2"/>
    <w:rsid w:val="00A2547B"/>
    <w:rsid w:val="00A26D27"/>
    <w:rsid w:val="00A376EE"/>
    <w:rsid w:val="00A42A99"/>
    <w:rsid w:val="00A5151A"/>
    <w:rsid w:val="00A56465"/>
    <w:rsid w:val="00A57E0A"/>
    <w:rsid w:val="00A823F6"/>
    <w:rsid w:val="00A93BBA"/>
    <w:rsid w:val="00AA0A89"/>
    <w:rsid w:val="00AA6429"/>
    <w:rsid w:val="00AB169A"/>
    <w:rsid w:val="00AB63EF"/>
    <w:rsid w:val="00AC01AA"/>
    <w:rsid w:val="00AC265B"/>
    <w:rsid w:val="00AC4F72"/>
    <w:rsid w:val="00AD5C6A"/>
    <w:rsid w:val="00AE77AA"/>
    <w:rsid w:val="00AF741A"/>
    <w:rsid w:val="00B01ADB"/>
    <w:rsid w:val="00B03FD9"/>
    <w:rsid w:val="00B04161"/>
    <w:rsid w:val="00B051C7"/>
    <w:rsid w:val="00B056F9"/>
    <w:rsid w:val="00B11E3D"/>
    <w:rsid w:val="00B17E82"/>
    <w:rsid w:val="00B4575A"/>
    <w:rsid w:val="00B575BA"/>
    <w:rsid w:val="00B76429"/>
    <w:rsid w:val="00B956D4"/>
    <w:rsid w:val="00B97446"/>
    <w:rsid w:val="00BA0AAA"/>
    <w:rsid w:val="00BA7432"/>
    <w:rsid w:val="00BB5BFE"/>
    <w:rsid w:val="00BC0530"/>
    <w:rsid w:val="00BC1AA0"/>
    <w:rsid w:val="00BC2495"/>
    <w:rsid w:val="00BC7EB9"/>
    <w:rsid w:val="00BD2643"/>
    <w:rsid w:val="00BD56B1"/>
    <w:rsid w:val="00BD6558"/>
    <w:rsid w:val="00BF3022"/>
    <w:rsid w:val="00BF3214"/>
    <w:rsid w:val="00BF5573"/>
    <w:rsid w:val="00C104A8"/>
    <w:rsid w:val="00C15867"/>
    <w:rsid w:val="00C2296D"/>
    <w:rsid w:val="00C23155"/>
    <w:rsid w:val="00C40C41"/>
    <w:rsid w:val="00C45885"/>
    <w:rsid w:val="00C50F22"/>
    <w:rsid w:val="00C55303"/>
    <w:rsid w:val="00C57971"/>
    <w:rsid w:val="00C65BD7"/>
    <w:rsid w:val="00C76BA4"/>
    <w:rsid w:val="00C83A48"/>
    <w:rsid w:val="00C85865"/>
    <w:rsid w:val="00C85E85"/>
    <w:rsid w:val="00C93016"/>
    <w:rsid w:val="00CA031D"/>
    <w:rsid w:val="00CA2EAE"/>
    <w:rsid w:val="00CA4AC1"/>
    <w:rsid w:val="00CA4D70"/>
    <w:rsid w:val="00CB0316"/>
    <w:rsid w:val="00CB0B11"/>
    <w:rsid w:val="00CB5354"/>
    <w:rsid w:val="00CC299E"/>
    <w:rsid w:val="00CC6236"/>
    <w:rsid w:val="00CC6A14"/>
    <w:rsid w:val="00CC70A3"/>
    <w:rsid w:val="00CD4442"/>
    <w:rsid w:val="00CD53C3"/>
    <w:rsid w:val="00CD574E"/>
    <w:rsid w:val="00CE4C22"/>
    <w:rsid w:val="00CF092E"/>
    <w:rsid w:val="00CF41EC"/>
    <w:rsid w:val="00CF5D04"/>
    <w:rsid w:val="00D04DE4"/>
    <w:rsid w:val="00D0546C"/>
    <w:rsid w:val="00D063F1"/>
    <w:rsid w:val="00D13CD0"/>
    <w:rsid w:val="00D14F22"/>
    <w:rsid w:val="00D17060"/>
    <w:rsid w:val="00D22563"/>
    <w:rsid w:val="00D4741C"/>
    <w:rsid w:val="00D51B89"/>
    <w:rsid w:val="00D57918"/>
    <w:rsid w:val="00D62899"/>
    <w:rsid w:val="00D66982"/>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250F1"/>
    <w:rsid w:val="00E34208"/>
    <w:rsid w:val="00E3550D"/>
    <w:rsid w:val="00E36210"/>
    <w:rsid w:val="00E41335"/>
    <w:rsid w:val="00E479E5"/>
    <w:rsid w:val="00E503C6"/>
    <w:rsid w:val="00E614E0"/>
    <w:rsid w:val="00E669D8"/>
    <w:rsid w:val="00E73CD3"/>
    <w:rsid w:val="00E73F7F"/>
    <w:rsid w:val="00E85409"/>
    <w:rsid w:val="00EA429F"/>
    <w:rsid w:val="00EA4F9E"/>
    <w:rsid w:val="00EA63CA"/>
    <w:rsid w:val="00EA6D3B"/>
    <w:rsid w:val="00EB00AD"/>
    <w:rsid w:val="00EB136C"/>
    <w:rsid w:val="00EB480E"/>
    <w:rsid w:val="00EB5EC6"/>
    <w:rsid w:val="00EB6456"/>
    <w:rsid w:val="00EB7FC9"/>
    <w:rsid w:val="00ED27E8"/>
    <w:rsid w:val="00ED7137"/>
    <w:rsid w:val="00EE66BA"/>
    <w:rsid w:val="00F07A58"/>
    <w:rsid w:val="00F178A6"/>
    <w:rsid w:val="00F21088"/>
    <w:rsid w:val="00F268BE"/>
    <w:rsid w:val="00F26E2B"/>
    <w:rsid w:val="00F327E7"/>
    <w:rsid w:val="00F35746"/>
    <w:rsid w:val="00F36CA0"/>
    <w:rsid w:val="00F447C7"/>
    <w:rsid w:val="00F51E88"/>
    <w:rsid w:val="00F5211B"/>
    <w:rsid w:val="00F554A9"/>
    <w:rsid w:val="00F716FD"/>
    <w:rsid w:val="00F80355"/>
    <w:rsid w:val="00F82545"/>
    <w:rsid w:val="00F87C43"/>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71193B60"/>
  <w15:docId w15:val="{6102B40C-0E2E-40E3-A092-5BB54CBB6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Geneva 9,Font: Geneva 9,Boston 10,f,Fußnotentextf,-E Fußnotentext,Fußnotentext Ursprung,-E Fußnotentext1,-E Fußnotentext2,-E Fußnotentext3,Fußnotentext Char1,Fußnotentext Char Char,Fußnotentext Char1 Char Char,Char1,Char1 Char Char, Char1"/>
    <w:basedOn w:val="Normal"/>
    <w:link w:val="FootnoteTextChar"/>
    <w:uiPriority w:val="99"/>
    <w:unhideWhenUsed/>
    <w:qFormat/>
    <w:rsid w:val="00D17060"/>
    <w:rPr>
      <w:sz w:val="20"/>
      <w:szCs w:val="20"/>
    </w:rPr>
  </w:style>
  <w:style w:type="character" w:customStyle="1" w:styleId="FootnoteTextChar">
    <w:name w:val="Footnote Text Char"/>
    <w:aliases w:val="Geneva 9 Char,Font: Geneva 9 Char,Boston 10 Char,f Char,Fußnotentextf Char,-E Fußnotentext Char,Fußnotentext Ursprung Char,-E Fußnotentext1 Char,-E Fußnotentext2 Char,-E Fußnotentext3 Char,Fußnotentext Char1 Char,Char1 Char"/>
    <w:basedOn w:val="DefaultParagraphFont"/>
    <w:link w:val="FootnoteText"/>
    <w:uiPriority w:val="99"/>
    <w:rsid w:val="00D17060"/>
    <w:rPr>
      <w:lang w:val="en-GB"/>
    </w:rPr>
  </w:style>
  <w:style w:type="character" w:styleId="FootnoteReference">
    <w:name w:val="footnote reference"/>
    <w:aliases w:val="Footnote text,16 Point,Superscript 6 Point,number,Footnote reference number,Footnote symbol,note TESI,-E Fußnotenzeichen,SUPERS,stylish,ftref,Footnote Reference Superscript,-E Fuﬂnotenzeichen,-E Fuûnotenzeichen,fr,Footnote Text1"/>
    <w:basedOn w:val="DefaultParagraphFont"/>
    <w:link w:val="CharCharCharCharCarChar"/>
    <w:uiPriority w:val="99"/>
    <w:unhideWhenUsed/>
    <w:qFormat/>
    <w:rsid w:val="00D17060"/>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17060"/>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4654B"/>
    <w:rPr>
      <w:sz w:val="22"/>
      <w:szCs w:val="22"/>
      <w:lang w:val="en-GB"/>
    </w:rPr>
  </w:style>
  <w:style w:type="character" w:customStyle="1" w:styleId="FooterChar">
    <w:name w:val="Footer Char"/>
    <w:basedOn w:val="DefaultParagraphFont"/>
    <w:link w:val="Footer"/>
    <w:uiPriority w:val="99"/>
    <w:rsid w:val="0014654B"/>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BB5BFE"/>
    <w:rPr>
      <w:sz w:val="22"/>
      <w:szCs w:val="22"/>
      <w:lang w:val="en-GB"/>
    </w:rPr>
  </w:style>
  <w:style w:type="paragraph" w:styleId="ListParagraph">
    <w:name w:val="List Paragraph"/>
    <w:basedOn w:val="Normal"/>
    <w:uiPriority w:val="34"/>
    <w:qFormat/>
    <w:rsid w:val="00BB5BFE"/>
    <w:pPr>
      <w:ind w:left="720"/>
      <w:contextualSpacing/>
    </w:pPr>
  </w:style>
  <w:style w:type="paragraph" w:customStyle="1" w:styleId="CH1">
    <w:name w:val="CH1"/>
    <w:basedOn w:val="Normal"/>
    <w:next w:val="Normal"/>
    <w:link w:val="CH1Char"/>
    <w:rsid w:val="00BB5BFE"/>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rPr>
  </w:style>
  <w:style w:type="character" w:customStyle="1" w:styleId="CH1Char">
    <w:name w:val="CH1 Char"/>
    <w:link w:val="CH1"/>
    <w:locked/>
    <w:rsid w:val="00BB5BFE"/>
    <w:rPr>
      <w:b/>
      <w:sz w:val="28"/>
      <w:szCs w:val="28"/>
      <w:lang w:val="en-GB"/>
    </w:rPr>
  </w:style>
  <w:style w:type="paragraph" w:customStyle="1" w:styleId="CH2">
    <w:name w:val="CH2"/>
    <w:basedOn w:val="Normal"/>
    <w:next w:val="Normal"/>
    <w:link w:val="CH2Char"/>
    <w:rsid w:val="00BB5BFE"/>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rPr>
  </w:style>
  <w:style w:type="paragraph" w:customStyle="1" w:styleId="Normalpool">
    <w:name w:val="Normal_pool"/>
    <w:link w:val="NormalpoolChar"/>
    <w:rsid w:val="00BB5BFE"/>
    <w:pPr>
      <w:tabs>
        <w:tab w:val="left" w:pos="1253"/>
        <w:tab w:val="left" w:pos="1814"/>
        <w:tab w:val="left" w:pos="2376"/>
        <w:tab w:val="left" w:pos="2952"/>
        <w:tab w:val="left" w:pos="3514"/>
      </w:tabs>
    </w:pPr>
    <w:rPr>
      <w:lang w:val="en-GB"/>
    </w:rPr>
  </w:style>
  <w:style w:type="character" w:customStyle="1" w:styleId="NormalpoolChar">
    <w:name w:val="Normal_pool Char"/>
    <w:link w:val="Normalpool"/>
    <w:locked/>
    <w:rsid w:val="00BB5BFE"/>
    <w:rPr>
      <w:lang w:val="en-GB"/>
    </w:rPr>
  </w:style>
  <w:style w:type="character" w:customStyle="1" w:styleId="CH2Char">
    <w:name w:val="CH2 Char"/>
    <w:link w:val="CH2"/>
    <w:locked/>
    <w:rsid w:val="00BB5BFE"/>
    <w:rPr>
      <w:b/>
      <w:sz w:val="24"/>
      <w:szCs w:val="24"/>
      <w:lang w:val="en-GB"/>
    </w:rPr>
  </w:style>
  <w:style w:type="character" w:styleId="Hyperlink">
    <w:name w:val="Hyperlink"/>
    <w:basedOn w:val="DefaultParagraphFont"/>
    <w:uiPriority w:val="99"/>
    <w:unhideWhenUsed/>
    <w:rsid w:val="00BB5BFE"/>
    <w:rPr>
      <w:color w:val="0000FF" w:themeColor="hyperlink"/>
      <w:u w:val="single"/>
    </w:rPr>
  </w:style>
  <w:style w:type="paragraph" w:styleId="Revision">
    <w:name w:val="Revision"/>
    <w:hidden/>
    <w:uiPriority w:val="99"/>
    <w:semiHidden/>
    <w:rsid w:val="00BB5BFE"/>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k-cep.org/wp-content/uploads/2018/05/Africa-Cooling-map.pdf" TargetMode="External"/><Relationship Id="rId1" Type="http://schemas.openxmlformats.org/officeDocument/2006/relationships/hyperlink" Target="https://clasp.ngo/poli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UNEP/OzL.Pro/ExCom/84/67</Document_x0020_Number>
    <DocumentType xmlns="64e33b30-101d-41de-b951-961aab25ea29">Pre-session</DocumentType>
  </documentManagement>
</p:properties>
</file>

<file path=customXml/itemProps1.xml><?xml version="1.0" encoding="utf-8"?>
<ds:datastoreItem xmlns:ds="http://schemas.openxmlformats.org/officeDocument/2006/customXml" ds:itemID="{CEF21E18-0C0B-4AB1-B46E-895FADA5E239}"/>
</file>

<file path=customXml/itemProps2.xml><?xml version="1.0" encoding="utf-8"?>
<ds:datastoreItem xmlns:ds="http://schemas.openxmlformats.org/officeDocument/2006/customXml" ds:itemID="{96E1449B-ABA0-4C38-B0DE-6ABF57ACF7EB}"/>
</file>

<file path=customXml/itemProps3.xml><?xml version="1.0" encoding="utf-8"?>
<ds:datastoreItem xmlns:ds="http://schemas.openxmlformats.org/officeDocument/2006/customXml" ds:itemID="{2350512E-1BA0-44FE-A9D5-E6F5C8BA890D}"/>
</file>

<file path=customXml/itemProps4.xml><?xml version="1.0" encoding="utf-8"?>
<ds:datastoreItem xmlns:ds="http://schemas.openxmlformats.org/officeDocument/2006/customXml" ds:itemID="{D7FE76EC-9684-4302-A104-90F566259C27}"/>
</file>

<file path=docProps/app.xml><?xml version="1.0" encoding="utf-8"?>
<Properties xmlns="http://schemas.openxmlformats.org/officeDocument/2006/extended-properties" xmlns:vt="http://schemas.openxmlformats.org/officeDocument/2006/docPropsVTypes">
  <Template>normal</Template>
  <TotalTime>3</TotalTime>
  <Pages>20</Pages>
  <Words>7757</Words>
  <Characters>46501</Characters>
  <Application>Microsoft Office Word</Application>
  <DocSecurity>0</DocSecurity>
  <Lines>387</Lines>
  <Paragraphs>108</Paragraphs>
  <ScaleCrop>false</ScaleCrop>
  <HeadingPairs>
    <vt:vector size="2" baseType="variant">
      <vt:variant>
        <vt:lpstr>Title</vt:lpstr>
      </vt:variant>
      <vt:variant>
        <vt:i4>1</vt:i4>
      </vt:variant>
    </vt:vector>
  </HeadingPairs>
  <TitlesOfParts>
    <vt:vector size="1" baseType="lpstr">
      <vt:lpstr>Paper On Ways to Operationalize Paragraph 16 of Decision XXVIII/2 and Paragraph 2 of Decision XXX/5 of the Parties (Decision 83/62)</vt:lpstr>
    </vt:vector>
  </TitlesOfParts>
  <Company/>
  <LinksUpToDate>false</LinksUpToDate>
  <CharactersWithSpaces>54150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on ways to operationalize paragraph 16 of decision XXVIII/2 and paragraph 2 of decision XXX/5 of the Parties</dc:title>
  <dc:subject/>
  <dc:creator/>
  <cp:keywords/>
  <dc:description/>
  <cp:lastModifiedBy>Elina Yuen</cp:lastModifiedBy>
  <cp:revision>5</cp:revision>
  <cp:lastPrinted>2001-05-26T16:40:00Z</cp:lastPrinted>
  <dcterms:created xsi:type="dcterms:W3CDTF">2019-11-15T21:29:00Z</dcterms:created>
  <dcterms:modified xsi:type="dcterms:W3CDTF">2019-11-15T22:33:00Z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UNEP/OzL.Pro/ExCom/84/67</vt:lpwstr>
  </property>
  <property fmtid="{D5CDD505-2E9C-101B-9397-08002B2CF9AE}" pid="3" name="Revision date">
    <vt:lpwstr>11/15/2019</vt:lpwstr>
  </property>
  <property fmtid="{D5CDD505-2E9C-101B-9397-08002B2CF9AE}" pid="4" name="ContentTypeId">
    <vt:lpwstr>0x010100D1FC51483EAF9547AF5405F34A68D8CF</vt:lpwstr>
  </property>
</Properties>
</file>