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F56E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12438</wp:posOffset>
                  </wp:positionH>
                  <wp:positionV relativeFrom="paragraph">
                    <wp:posOffset>962810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Default="0024162E" w:rsidP="00F56E0B">
            <w:pPr>
              <w:rPr>
                <w:lang w:val="es-ES"/>
              </w:rPr>
            </w:pPr>
            <w:r>
              <w:fldChar w:fldCharType="begin"/>
            </w:r>
            <w:r>
              <w:rPr>
                <w:lang w:val="es-ES"/>
              </w:rPr>
              <w:instrText xml:space="preserve"> DOCPROPERTY "Document number"  \* MERGEFORMAT </w:instrText>
            </w:r>
            <w:r>
              <w:fldChar w:fldCharType="separate"/>
            </w:r>
            <w:r w:rsidR="00F56E0B">
              <w:rPr>
                <w:lang w:val="es-ES"/>
              </w:rPr>
              <w:t>UNEP/</w:t>
            </w:r>
            <w:proofErr w:type="spellStart"/>
            <w:r w:rsidR="00F56E0B">
              <w:rPr>
                <w:lang w:val="es-ES"/>
              </w:rPr>
              <w:t>OzL.Pro</w:t>
            </w:r>
            <w:proofErr w:type="spellEnd"/>
            <w:r w:rsidR="00F56E0B">
              <w:rPr>
                <w:lang w:val="es-ES"/>
              </w:rPr>
              <w:t>/</w:t>
            </w:r>
            <w:proofErr w:type="spellStart"/>
            <w:r w:rsidR="00F56E0B">
              <w:rPr>
                <w:lang w:val="es-ES"/>
              </w:rPr>
              <w:t>ExCom</w:t>
            </w:r>
            <w:proofErr w:type="spellEnd"/>
            <w:r w:rsidR="00F56E0B">
              <w:rPr>
                <w:lang w:val="es-ES"/>
              </w:rPr>
              <w:t>/84/30</w:t>
            </w:r>
            <w:r>
              <w:fldChar w:fldCharType="end"/>
            </w:r>
          </w:p>
          <w:p w:rsidR="0087455A" w:rsidRDefault="001C2D22" w:rsidP="00F10CD9">
            <w:pPr>
              <w:rPr>
                <w:caps/>
                <w:lang w:val="es-ES"/>
              </w:rPr>
            </w:pPr>
            <w:r>
              <w:rPr>
                <w:caps/>
                <w:lang w:val="es-ES"/>
              </w:rPr>
              <w:t>2</w:t>
            </w:r>
            <w:r w:rsidR="009233D2">
              <w:rPr>
                <w:caps/>
                <w:lang w:val="es-ES"/>
              </w:rPr>
              <w:t>0</w:t>
            </w:r>
            <w:r w:rsidR="00114CAA">
              <w:rPr>
                <w:caps/>
                <w:lang w:val="es-ES"/>
              </w:rPr>
              <w:t xml:space="preserve"> </w:t>
            </w:r>
            <w:r w:rsidR="00114CAA">
              <w:rPr>
                <w:lang w:val="es-ES"/>
              </w:rPr>
              <w:t xml:space="preserve">de </w:t>
            </w:r>
            <w:r w:rsidR="009233D2">
              <w:rPr>
                <w:lang w:val="es-ES"/>
              </w:rPr>
              <w:t xml:space="preserve">noviembre </w:t>
            </w:r>
            <w:r w:rsidR="00114CAA">
              <w:rPr>
                <w:lang w:val="es-ES"/>
              </w:rPr>
              <w:t xml:space="preserve">de </w:t>
            </w:r>
            <w:r>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106F6E">
      <w:pPr>
        <w:jc w:val="left"/>
        <w:rPr>
          <w:lang w:val="es-ES"/>
        </w:rPr>
      </w:pPr>
    </w:p>
    <w:p w:rsidR="0087455A" w:rsidRDefault="0087455A">
      <w:pPr>
        <w:jc w:val="left"/>
        <w:rPr>
          <w:lang w:val="es-ES"/>
        </w:rPr>
      </w:pPr>
    </w:p>
    <w:p w:rsidR="009233D2" w:rsidRDefault="009233D2" w:rsidP="001462D6">
      <w:pPr>
        <w:pStyle w:val="Title2"/>
        <w:rPr>
          <w:caps w:val="0"/>
        </w:rPr>
      </w:pPr>
      <w:r>
        <w:rPr>
          <w:caps w:val="0"/>
        </w:rPr>
        <w:t>PLAN ADMINISTRATIVO DE LA ONUDI PARA 2020-2022</w:t>
      </w:r>
    </w:p>
    <w:p w:rsidR="00677916" w:rsidRPr="00AE7714" w:rsidRDefault="00677916" w:rsidP="001462D6">
      <w:pPr>
        <w:pStyle w:val="Title2"/>
        <w:rPr>
          <w:caps w:val="0"/>
        </w:rPr>
      </w:pPr>
    </w:p>
    <w:p w:rsidR="009233D2" w:rsidRPr="00DA0A01" w:rsidRDefault="009233D2" w:rsidP="009233D2">
      <w:pPr>
        <w:jc w:val="center"/>
        <w:rPr>
          <w:b/>
          <w:lang w:val="es-ES"/>
        </w:rPr>
      </w:pPr>
    </w:p>
    <w:p w:rsidR="009233D2" w:rsidRPr="00DA0A01" w:rsidRDefault="009233D2" w:rsidP="009233D2">
      <w:pPr>
        <w:pStyle w:val="Heading1"/>
        <w:rPr>
          <w:lang w:val="es-ES"/>
        </w:rPr>
      </w:pPr>
      <w:r w:rsidRPr="00DA0A01">
        <w:rPr>
          <w:lang w:val="es-ES"/>
        </w:rPr>
        <w:t>Este documento presenta el plan administrativo de la ONUDI para 2020-2022</w:t>
      </w:r>
      <w:r w:rsidRPr="00AE7714">
        <w:rPr>
          <w:rStyle w:val="FootnoteReference"/>
          <w:lang w:val="en-CA"/>
        </w:rPr>
        <w:footnoteReference w:id="1"/>
      </w:r>
      <w:r w:rsidRPr="00DA0A01">
        <w:rPr>
          <w:lang w:val="es-ES"/>
        </w:rPr>
        <w:t xml:space="preserve"> e incluye: las actividades planificadas para la eliminación de las sustancias controladas en el marco del Protocolo de Montreal (sustancias controladas) durante el período 2020-2022; los indicadores de desempeño del plan administrativo; y recomendaciones para su examen por el Comité Ejecutivo. El texto del plan administrativo de la ONUDI para 2020-2022 se adjunta al presente documento. </w:t>
      </w:r>
    </w:p>
    <w:p w:rsidR="009233D2" w:rsidRPr="00AE7714" w:rsidRDefault="009233D2" w:rsidP="009233D2">
      <w:pPr>
        <w:rPr>
          <w:b/>
        </w:rPr>
      </w:pPr>
      <w:proofErr w:type="spellStart"/>
      <w:r>
        <w:rPr>
          <w:b/>
        </w:rPr>
        <w:t>Actividades</w:t>
      </w:r>
      <w:proofErr w:type="spellEnd"/>
      <w:r>
        <w:rPr>
          <w:b/>
        </w:rPr>
        <w:t xml:space="preserve"> </w:t>
      </w:r>
      <w:proofErr w:type="spellStart"/>
      <w:r>
        <w:rPr>
          <w:b/>
        </w:rPr>
        <w:t>planificadas</w:t>
      </w:r>
      <w:proofErr w:type="spellEnd"/>
      <w:r>
        <w:rPr>
          <w:b/>
        </w:rPr>
        <w:t xml:space="preserve"> </w:t>
      </w:r>
      <w:proofErr w:type="spellStart"/>
      <w:r>
        <w:rPr>
          <w:b/>
        </w:rPr>
        <w:t>durante</w:t>
      </w:r>
      <w:proofErr w:type="spellEnd"/>
      <w:r>
        <w:rPr>
          <w:b/>
        </w:rPr>
        <w:t xml:space="preserve"> 2020-2022</w:t>
      </w:r>
    </w:p>
    <w:p w:rsidR="009233D2" w:rsidRPr="00AE7714" w:rsidRDefault="009233D2" w:rsidP="009233D2">
      <w:pPr>
        <w:rPr>
          <w:lang w:val="en-CA"/>
        </w:rPr>
      </w:pPr>
    </w:p>
    <w:p w:rsidR="009233D2" w:rsidRPr="00DA0A01" w:rsidRDefault="009233D2" w:rsidP="009233D2">
      <w:pPr>
        <w:pStyle w:val="Heading1"/>
        <w:rPr>
          <w:lang w:val="es-ES"/>
        </w:rPr>
      </w:pPr>
      <w:r w:rsidRPr="00DA0A01">
        <w:rPr>
          <w:lang w:val="es-ES"/>
        </w:rPr>
        <w:t xml:space="preserve">El Cuadro 1 muestra para cada año el valor de las actividades consignadas en el plan administrativo de la ONUDI. </w:t>
      </w:r>
    </w:p>
    <w:p w:rsidR="009233D2" w:rsidRPr="00AE7714" w:rsidRDefault="009233D2" w:rsidP="009233D2">
      <w:pPr>
        <w:pStyle w:val="subhead"/>
        <w:keepNext/>
        <w:jc w:val="both"/>
        <w:rPr>
          <w:b/>
          <w:sz w:val="22"/>
          <w:szCs w:val="22"/>
        </w:rPr>
      </w:pPr>
      <w:r>
        <w:rPr>
          <w:b/>
          <w:sz w:val="22"/>
          <w:szCs w:val="22"/>
        </w:rPr>
        <w:t xml:space="preserve">Cuadro 1. </w:t>
      </w:r>
      <w:r>
        <w:rPr>
          <w:b/>
        </w:rPr>
        <w:t>Asignación de recursos en el plan administrativo de la ONUDI para 2020-2022 tal como se ha presentado (en miles $</w:t>
      </w:r>
      <w:proofErr w:type="gramStart"/>
      <w:r>
        <w:rPr>
          <w:b/>
        </w:rPr>
        <w:t>EUA)*</w:t>
      </w:r>
      <w:proofErr w:type="gramEnd"/>
    </w:p>
    <w:tbl>
      <w:tblPr>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9233D2" w:rsidRPr="00AE7714" w:rsidTr="002B0B22">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9233D2" w:rsidRPr="00DA0A01" w:rsidRDefault="009233D2" w:rsidP="002B0B22">
            <w:pPr>
              <w:jc w:val="center"/>
              <w:rPr>
                <w:b/>
                <w:bCs/>
                <w:sz w:val="20"/>
                <w:szCs w:val="20"/>
                <w:lang w:val="es-ES"/>
              </w:rPr>
            </w:pPr>
            <w:r w:rsidRPr="00DA0A01">
              <w:rPr>
                <w:b/>
                <w:bCs/>
                <w:sz w:val="20"/>
                <w:szCs w:val="20"/>
                <w:lang w:val="es-ES"/>
              </w:rPr>
              <w:t> </w:t>
            </w:r>
          </w:p>
        </w:tc>
        <w:tc>
          <w:tcPr>
            <w:tcW w:w="1181"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2020</w:t>
            </w:r>
          </w:p>
        </w:tc>
        <w:tc>
          <w:tcPr>
            <w:tcW w:w="1181"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2021</w:t>
            </w:r>
          </w:p>
        </w:tc>
        <w:tc>
          <w:tcPr>
            <w:tcW w:w="1181"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2022</w:t>
            </w:r>
          </w:p>
        </w:tc>
        <w:tc>
          <w:tcPr>
            <w:tcW w:w="1418"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 xml:space="preserve">Total </w:t>
            </w:r>
          </w:p>
          <w:p w:rsidR="009233D2" w:rsidRPr="00AE7714" w:rsidRDefault="009233D2" w:rsidP="002B0B22">
            <w:pPr>
              <w:jc w:val="center"/>
              <w:rPr>
                <w:b/>
                <w:bCs/>
                <w:sz w:val="20"/>
                <w:szCs w:val="20"/>
              </w:rPr>
            </w:pPr>
            <w:r>
              <w:rPr>
                <w:b/>
                <w:bCs/>
                <w:sz w:val="20"/>
                <w:szCs w:val="20"/>
              </w:rPr>
              <w:t>(2020–2022)</w:t>
            </w:r>
          </w:p>
        </w:tc>
        <w:tc>
          <w:tcPr>
            <w:tcW w:w="1417"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 xml:space="preserve">Total </w:t>
            </w:r>
            <w:proofErr w:type="spellStart"/>
            <w:r>
              <w:rPr>
                <w:b/>
                <w:bCs/>
                <w:sz w:val="20"/>
                <w:szCs w:val="20"/>
              </w:rPr>
              <w:t>después</w:t>
            </w:r>
            <w:proofErr w:type="spellEnd"/>
            <w:r>
              <w:rPr>
                <w:b/>
                <w:bCs/>
                <w:sz w:val="20"/>
                <w:szCs w:val="20"/>
              </w:rPr>
              <w:t xml:space="preserve"> de 2022</w:t>
            </w:r>
          </w:p>
        </w:tc>
      </w:tr>
      <w:tr w:rsidR="009233D2" w:rsidRPr="00AE7714" w:rsidTr="002B0B22">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Planes de gestión de la eliminación de los HCFC aprobados</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37.782</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35.245</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32.005</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105.033</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59.500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Etapa I de los planes de gestión de la eliminación de los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196</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350</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546</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lastRenderedPageBreak/>
              <w:t>Etapa II - Preparación de proyectos de planes de gestión de la eliminación de los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277</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253</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529</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 xml:space="preserve">Etapa II de los planes de gestión de la eliminación de los HCFC </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4.591</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5.993</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6.178</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16.762</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44.896</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bookmarkStart w:id="0" w:name="_GoBack" w:colFirst="4" w:colLast="4"/>
            <w:r w:rsidRPr="00DA0A01">
              <w:rPr>
                <w:sz w:val="20"/>
                <w:szCs w:val="20"/>
                <w:lang w:val="es-ES"/>
              </w:rPr>
              <w:t>Etapa III - Preparación de proyectos de los planes de gestión de la eliminación de los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246</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257</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503</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r>
      <w:bookmarkEnd w:id="0"/>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Etapa III de los planes de gestión de la eliminación de los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5.092</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3.458</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8.551</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33.361</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Asistencia</w:t>
            </w:r>
            <w:proofErr w:type="spellEnd"/>
            <w:r>
              <w:rPr>
                <w:sz w:val="20"/>
                <w:szCs w:val="20"/>
              </w:rPr>
              <w:t xml:space="preserve"> </w:t>
            </w:r>
            <w:proofErr w:type="spellStart"/>
            <w:r>
              <w:rPr>
                <w:sz w:val="20"/>
                <w:szCs w:val="20"/>
              </w:rPr>
              <w:t>técnica</w:t>
            </w:r>
            <w:proofErr w:type="spellEnd"/>
            <w:r>
              <w:rPr>
                <w:sz w:val="20"/>
                <w:szCs w:val="20"/>
              </w:rPr>
              <w:t xml:space="preserve"> de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482</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482</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las actividades con los HCFC</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43.574</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46.840</w:t>
            </w:r>
          </w:p>
        </w:tc>
        <w:tc>
          <w:tcPr>
            <w:tcW w:w="1181"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41.992</w:t>
            </w:r>
          </w:p>
        </w:tc>
        <w:tc>
          <w:tcPr>
            <w:tcW w:w="1418"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132.405</w:t>
            </w:r>
          </w:p>
        </w:tc>
        <w:tc>
          <w:tcPr>
            <w:tcW w:w="1417"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137.758</w:t>
            </w:r>
          </w:p>
        </w:tc>
      </w:tr>
      <w:tr w:rsidR="009233D2" w:rsidRPr="00F56E0B" w:rsidTr="002B0B22">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Actividades relativas a los HFC</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r>
              <w:rPr>
                <w:sz w:val="20"/>
                <w:szCs w:val="20"/>
              </w:rPr>
              <w:t xml:space="preserve">HFC - </w:t>
            </w:r>
            <w:proofErr w:type="spellStart"/>
            <w:r>
              <w:rPr>
                <w:sz w:val="20"/>
                <w:szCs w:val="20"/>
              </w:rPr>
              <w:t>inversión</w:t>
            </w:r>
            <w:proofErr w:type="spellEnd"/>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1.819</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1.819</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Preparación de proyectos de la reducción de los HFC</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756</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225</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981</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actividades relativas a los HFC</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2.575</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225</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2.800</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r>
      <w:tr w:rsidR="009233D2" w:rsidRPr="00AE7714" w:rsidTr="002B0B22">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proofErr w:type="spellStart"/>
            <w:r>
              <w:rPr>
                <w:b/>
                <w:bCs/>
                <w:sz w:val="20"/>
                <w:szCs w:val="20"/>
              </w:rPr>
              <w:t>Actividades</w:t>
            </w:r>
            <w:proofErr w:type="spellEnd"/>
            <w:r>
              <w:rPr>
                <w:b/>
                <w:bCs/>
                <w:sz w:val="20"/>
                <w:szCs w:val="20"/>
              </w:rPr>
              <w:t xml:space="preserve"> </w:t>
            </w:r>
            <w:proofErr w:type="spellStart"/>
            <w:r>
              <w:rPr>
                <w:b/>
                <w:bCs/>
                <w:sz w:val="20"/>
                <w:szCs w:val="20"/>
              </w:rPr>
              <w:t>estándar</w:t>
            </w:r>
            <w:proofErr w:type="spellEnd"/>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Fortalecimiento</w:t>
            </w:r>
            <w:proofErr w:type="spellEnd"/>
            <w:r>
              <w:rPr>
                <w:sz w:val="20"/>
                <w:szCs w:val="20"/>
              </w:rPr>
              <w:t xml:space="preserve"> </w:t>
            </w:r>
            <w:proofErr w:type="spellStart"/>
            <w:r>
              <w:rPr>
                <w:sz w:val="20"/>
                <w:szCs w:val="20"/>
              </w:rPr>
              <w:t>institucional</w:t>
            </w:r>
            <w:proofErr w:type="spellEnd"/>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1.687</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1.186</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1.687</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4.560</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Unidad</w:t>
            </w:r>
            <w:proofErr w:type="spellEnd"/>
            <w:r>
              <w:rPr>
                <w:sz w:val="20"/>
                <w:szCs w:val="20"/>
              </w:rPr>
              <w:t xml:space="preserve"> central</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2.113</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2.128</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2.143</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6.384</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las actividades estándar</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3.800</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3.314</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3.830</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10.944</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r>
      <w:tr w:rsidR="009233D2" w:rsidRPr="00AE7714" w:rsidTr="002B0B22">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r>
              <w:rPr>
                <w:b/>
                <w:bCs/>
                <w:sz w:val="20"/>
                <w:szCs w:val="20"/>
              </w:rPr>
              <w:t>Total general</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49.949</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50.379</w:t>
            </w:r>
          </w:p>
        </w:tc>
        <w:tc>
          <w:tcPr>
            <w:tcW w:w="1181"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45.822</w:t>
            </w:r>
          </w:p>
        </w:tc>
        <w:tc>
          <w:tcPr>
            <w:tcW w:w="1418"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146.149</w:t>
            </w:r>
          </w:p>
        </w:tc>
        <w:tc>
          <w:tcPr>
            <w:tcW w:w="1417"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137.758</w:t>
            </w:r>
          </w:p>
        </w:tc>
      </w:tr>
    </w:tbl>
    <w:p w:rsidR="009233D2" w:rsidRPr="00DA0A01" w:rsidRDefault="009233D2" w:rsidP="009233D2">
      <w:pPr>
        <w:rPr>
          <w:sz w:val="18"/>
          <w:szCs w:val="18"/>
          <w:lang w:val="es-ES"/>
        </w:rPr>
      </w:pPr>
      <w:r w:rsidRPr="00DA0A01">
        <w:rPr>
          <w:sz w:val="18"/>
          <w:szCs w:val="18"/>
          <w:lang w:val="es-ES"/>
        </w:rPr>
        <w:t>* Incluidos los gastos de apoyo del organismo cuando corresponda.</w:t>
      </w:r>
    </w:p>
    <w:p w:rsidR="009233D2" w:rsidRPr="00DA0A01" w:rsidRDefault="009233D2" w:rsidP="009233D2">
      <w:pPr>
        <w:rPr>
          <w:lang w:val="es-ES"/>
        </w:rPr>
      </w:pPr>
    </w:p>
    <w:p w:rsidR="009233D2" w:rsidRPr="00DA0A01" w:rsidRDefault="009233D2" w:rsidP="009233D2">
      <w:pPr>
        <w:pStyle w:val="Heading1"/>
        <w:keepNext/>
        <w:numPr>
          <w:ilvl w:val="0"/>
          <w:numId w:val="0"/>
        </w:numPr>
        <w:rPr>
          <w:b/>
          <w:lang w:val="es-ES"/>
        </w:rPr>
      </w:pPr>
      <w:r w:rsidRPr="00DA0A01">
        <w:rPr>
          <w:b/>
          <w:lang w:val="es-ES"/>
        </w:rPr>
        <w:t xml:space="preserve">Comentarios de la Secretaría </w:t>
      </w:r>
    </w:p>
    <w:p w:rsidR="009233D2" w:rsidRPr="00DA0A01" w:rsidRDefault="009233D2" w:rsidP="009233D2">
      <w:pPr>
        <w:rPr>
          <w:u w:val="single"/>
          <w:lang w:val="es-ES"/>
        </w:rPr>
      </w:pPr>
      <w:r w:rsidRPr="00DA0A01">
        <w:rPr>
          <w:u w:val="single"/>
          <w:lang w:val="es-ES"/>
        </w:rPr>
        <w:t>Etapa I de los planes de gestión de la eliminación de los HCFC</w:t>
      </w:r>
    </w:p>
    <w:p w:rsidR="009233D2" w:rsidRPr="00DA0A01" w:rsidRDefault="009233D2" w:rsidP="009233D2">
      <w:pPr>
        <w:rPr>
          <w:u w:val="single"/>
          <w:lang w:val="es-ES"/>
        </w:rPr>
      </w:pPr>
    </w:p>
    <w:p w:rsidR="009233D2" w:rsidRPr="00DA0A01" w:rsidRDefault="009233D2" w:rsidP="009233D2">
      <w:pPr>
        <w:pStyle w:val="Heading1"/>
        <w:rPr>
          <w:lang w:val="es-ES"/>
        </w:rPr>
      </w:pPr>
      <w:r w:rsidRPr="00DA0A01">
        <w:rPr>
          <w:lang w:val="es-ES"/>
        </w:rPr>
        <w:t>El plan administrativo de la ONUDI para 2020-2022 destina a la República Árabe Siria</w:t>
      </w:r>
      <w:r w:rsidRPr="00AE7714">
        <w:rPr>
          <w:rStyle w:val="FootnoteReference"/>
          <w:lang w:val="en-CA"/>
        </w:rPr>
        <w:footnoteReference w:id="2"/>
      </w:r>
      <w:r w:rsidRPr="00DA0A01">
        <w:rPr>
          <w:lang w:val="es-ES"/>
        </w:rPr>
        <w:t xml:space="preserve"> un total de 546.137 $EUA. Sin embargo, la etapa I de los planes de gestión de la eliminación de los HCFC de dicho país no se ha aprobado todavía ni tampoco se presentado a la 84ª reunión.</w:t>
      </w:r>
    </w:p>
    <w:p w:rsidR="009233D2" w:rsidRPr="00DA0A01" w:rsidRDefault="009233D2" w:rsidP="009233D2">
      <w:pPr>
        <w:pStyle w:val="Heading1"/>
        <w:numPr>
          <w:ilvl w:val="0"/>
          <w:numId w:val="0"/>
        </w:numPr>
        <w:rPr>
          <w:u w:val="single"/>
          <w:lang w:val="es-ES"/>
        </w:rPr>
      </w:pPr>
      <w:r w:rsidRPr="00DA0A01">
        <w:rPr>
          <w:u w:val="single"/>
          <w:lang w:val="es-ES"/>
        </w:rPr>
        <w:t xml:space="preserve">Etapa II de los planes de gestión de eliminación de los HCFC </w:t>
      </w:r>
    </w:p>
    <w:p w:rsidR="009233D2" w:rsidRPr="00DA0A01" w:rsidRDefault="009233D2" w:rsidP="009233D2">
      <w:pPr>
        <w:pStyle w:val="Heading1"/>
        <w:rPr>
          <w:lang w:val="es-ES"/>
        </w:rPr>
      </w:pPr>
      <w:r w:rsidRPr="00DA0A01">
        <w:rPr>
          <w:lang w:val="es-ES"/>
        </w:rPr>
        <w:t>La financiación total necesaria para reducir un 67,5 por ciento el consumo base de HCFC en países de bajo consumo durante la etapa II de los planes de gestión de la eliminación de los HCFC asciende a 6,86 millones $EUA (incluidos 4,8 millones $EUA para el periodo 2020-2022) y a 43.902 $EUA en 2021 para lograr una reducción del 100 por ciento.</w:t>
      </w:r>
    </w:p>
    <w:p w:rsidR="009233D2" w:rsidRPr="00DA0A01" w:rsidRDefault="009233D2" w:rsidP="009233D2">
      <w:pPr>
        <w:pStyle w:val="Heading1"/>
        <w:rPr>
          <w:lang w:val="es-ES"/>
        </w:rPr>
      </w:pPr>
      <w:r w:rsidRPr="00DA0A01">
        <w:rPr>
          <w:lang w:val="es-ES"/>
        </w:rPr>
        <w:t xml:space="preserve">El Cuadro 2 muestra la distribución de la financiación para la etapa II </w:t>
      </w:r>
      <w:proofErr w:type="spellStart"/>
      <w:proofErr w:type="gramStart"/>
      <w:r w:rsidRPr="00DA0A01">
        <w:rPr>
          <w:lang w:val="es-ES"/>
        </w:rPr>
        <w:t>del</w:t>
      </w:r>
      <w:proofErr w:type="spellEnd"/>
      <w:r w:rsidRPr="00DA0A01">
        <w:rPr>
          <w:lang w:val="es-ES"/>
        </w:rPr>
        <w:t xml:space="preserve"> los planes</w:t>
      </w:r>
      <w:proofErr w:type="gramEnd"/>
      <w:r w:rsidRPr="00DA0A01">
        <w:rPr>
          <w:lang w:val="es-ES"/>
        </w:rPr>
        <w:t xml:space="preserve"> de gestión la eliminación de los HCFC en países que no son de bajo consumo, por sector.</w:t>
      </w:r>
    </w:p>
    <w:p w:rsidR="009233D2" w:rsidRPr="00DA0A01" w:rsidRDefault="009233D2" w:rsidP="009233D2">
      <w:pPr>
        <w:keepNext/>
        <w:rPr>
          <w:b/>
          <w:lang w:val="es-ES"/>
        </w:rPr>
      </w:pPr>
      <w:r w:rsidRPr="00DA0A01">
        <w:rPr>
          <w:b/>
          <w:lang w:val="es-ES"/>
        </w:rPr>
        <w:lastRenderedPageBreak/>
        <w:t>Cuadro 2. Distribución de la financiación de la etapa II de los planes de gestión de la eliminación de los HCFC en países que no son de bajo consumo, por sector (miles $EUA)</w:t>
      </w:r>
    </w:p>
    <w:tbl>
      <w:tblPr>
        <w:tblW w:w="9356" w:type="dxa"/>
        <w:tblInd w:w="-5" w:type="dxa"/>
        <w:tblLook w:val="04A0" w:firstRow="1" w:lastRow="0" w:firstColumn="1" w:lastColumn="0" w:noHBand="0" w:noVBand="1"/>
      </w:tblPr>
      <w:tblGrid>
        <w:gridCol w:w="2900"/>
        <w:gridCol w:w="1460"/>
        <w:gridCol w:w="1452"/>
        <w:gridCol w:w="1460"/>
        <w:gridCol w:w="2084"/>
      </w:tblGrid>
      <w:tr w:rsidR="009233D2" w:rsidRPr="00AE7714" w:rsidTr="002B0B22">
        <w:trPr>
          <w:trHeight w:val="95"/>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rsidR="009233D2" w:rsidRPr="00AE7714" w:rsidRDefault="009233D2" w:rsidP="002B0B22">
            <w:pPr>
              <w:keepNext/>
              <w:jc w:val="center"/>
              <w:rPr>
                <w:b/>
                <w:bCs/>
                <w:sz w:val="20"/>
                <w:szCs w:val="20"/>
              </w:rPr>
            </w:pPr>
            <w:r>
              <w:rPr>
                <w:b/>
                <w:bCs/>
                <w:sz w:val="20"/>
                <w:szCs w:val="20"/>
              </w:rPr>
              <w:t>Sector</w:t>
            </w:r>
          </w:p>
        </w:tc>
        <w:tc>
          <w:tcPr>
            <w:tcW w:w="1460" w:type="dxa"/>
            <w:tcBorders>
              <w:top w:val="single" w:sz="4" w:space="0" w:color="auto"/>
              <w:left w:val="nil"/>
              <w:bottom w:val="single" w:sz="4" w:space="0" w:color="auto"/>
              <w:right w:val="single" w:sz="4" w:space="0" w:color="auto"/>
            </w:tcBorders>
            <w:shd w:val="clear" w:color="auto" w:fill="auto"/>
            <w:hideMark/>
          </w:tcPr>
          <w:p w:rsidR="009233D2" w:rsidRPr="00AE7714" w:rsidRDefault="009233D2" w:rsidP="002B0B22">
            <w:pPr>
              <w:keepNext/>
              <w:jc w:val="center"/>
              <w:rPr>
                <w:b/>
                <w:bCs/>
                <w:sz w:val="20"/>
                <w:szCs w:val="20"/>
              </w:rPr>
            </w:pPr>
            <w:r>
              <w:rPr>
                <w:b/>
                <w:bCs/>
                <w:sz w:val="20"/>
                <w:szCs w:val="20"/>
              </w:rPr>
              <w:t>2020–2022</w:t>
            </w:r>
          </w:p>
        </w:tc>
        <w:tc>
          <w:tcPr>
            <w:tcW w:w="1452" w:type="dxa"/>
            <w:tcBorders>
              <w:top w:val="single" w:sz="4" w:space="0" w:color="auto"/>
              <w:left w:val="nil"/>
              <w:bottom w:val="single" w:sz="4" w:space="0" w:color="auto"/>
              <w:right w:val="single" w:sz="4" w:space="0" w:color="auto"/>
            </w:tcBorders>
            <w:shd w:val="clear" w:color="auto" w:fill="auto"/>
            <w:hideMark/>
          </w:tcPr>
          <w:p w:rsidR="009233D2" w:rsidRPr="00AE7714" w:rsidRDefault="009233D2" w:rsidP="002B0B22">
            <w:pPr>
              <w:keepNext/>
              <w:jc w:val="center"/>
              <w:rPr>
                <w:b/>
                <w:bCs/>
                <w:sz w:val="20"/>
                <w:szCs w:val="20"/>
              </w:rPr>
            </w:pPr>
            <w:proofErr w:type="spellStart"/>
            <w:r>
              <w:rPr>
                <w:b/>
                <w:bCs/>
                <w:sz w:val="20"/>
                <w:szCs w:val="20"/>
              </w:rPr>
              <w:t>Después</w:t>
            </w:r>
            <w:proofErr w:type="spellEnd"/>
            <w:r>
              <w:rPr>
                <w:b/>
                <w:bCs/>
                <w:sz w:val="20"/>
                <w:szCs w:val="20"/>
              </w:rPr>
              <w:t xml:space="preserve"> de 2022</w:t>
            </w:r>
          </w:p>
        </w:tc>
        <w:tc>
          <w:tcPr>
            <w:tcW w:w="1460"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keepNext/>
              <w:jc w:val="center"/>
              <w:rPr>
                <w:b/>
                <w:bCs/>
                <w:sz w:val="20"/>
                <w:szCs w:val="20"/>
              </w:rPr>
            </w:pPr>
            <w:r>
              <w:rPr>
                <w:b/>
                <w:bCs/>
                <w:sz w:val="20"/>
                <w:szCs w:val="20"/>
              </w:rPr>
              <w:t>Total</w:t>
            </w:r>
          </w:p>
        </w:tc>
        <w:tc>
          <w:tcPr>
            <w:tcW w:w="2084" w:type="dxa"/>
            <w:tcBorders>
              <w:top w:val="single" w:sz="4" w:space="0" w:color="auto"/>
              <w:left w:val="nil"/>
              <w:bottom w:val="single" w:sz="4" w:space="0" w:color="auto"/>
              <w:right w:val="single" w:sz="4" w:space="0" w:color="auto"/>
            </w:tcBorders>
            <w:shd w:val="clear" w:color="auto" w:fill="auto"/>
            <w:hideMark/>
          </w:tcPr>
          <w:p w:rsidR="009233D2" w:rsidRPr="00AE7714" w:rsidRDefault="009233D2" w:rsidP="002B0B22">
            <w:pPr>
              <w:keepNext/>
              <w:jc w:val="center"/>
              <w:rPr>
                <w:b/>
                <w:bCs/>
                <w:sz w:val="20"/>
                <w:szCs w:val="20"/>
              </w:rPr>
            </w:pPr>
            <w:proofErr w:type="spellStart"/>
            <w:r>
              <w:rPr>
                <w:b/>
                <w:bCs/>
                <w:sz w:val="20"/>
                <w:szCs w:val="20"/>
              </w:rPr>
              <w:t>Porcentaje</w:t>
            </w:r>
            <w:proofErr w:type="spellEnd"/>
            <w:r>
              <w:rPr>
                <w:b/>
                <w:bCs/>
                <w:sz w:val="20"/>
                <w:szCs w:val="20"/>
              </w:rPr>
              <w:t xml:space="preserve"> del total (%)</w:t>
            </w:r>
          </w:p>
        </w:tc>
      </w:tr>
      <w:tr w:rsidR="009233D2" w:rsidRPr="00AE7714" w:rsidTr="002B0B22">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AE7714" w:rsidRDefault="009233D2" w:rsidP="002B0B22">
            <w:pPr>
              <w:jc w:val="left"/>
              <w:rPr>
                <w:sz w:val="20"/>
                <w:szCs w:val="20"/>
              </w:rPr>
            </w:pPr>
            <w:proofErr w:type="spellStart"/>
            <w:r>
              <w:rPr>
                <w:sz w:val="20"/>
                <w:szCs w:val="20"/>
              </w:rPr>
              <w:t>Espumas</w:t>
            </w:r>
            <w:proofErr w:type="spellEnd"/>
            <w:r>
              <w:rPr>
                <w:sz w:val="20"/>
                <w:szCs w:val="20"/>
              </w:rPr>
              <w:t xml:space="preserve"> de </w:t>
            </w:r>
            <w:proofErr w:type="spellStart"/>
            <w:r>
              <w:rPr>
                <w:sz w:val="20"/>
                <w:szCs w:val="20"/>
              </w:rPr>
              <w:t>poliuretano</w:t>
            </w:r>
            <w:proofErr w:type="spellEnd"/>
            <w:r>
              <w:rPr>
                <w:sz w:val="20"/>
                <w:szCs w:val="20"/>
              </w:rPr>
              <w:t xml:space="preserve"> </w:t>
            </w:r>
            <w:proofErr w:type="spellStart"/>
            <w:r>
              <w:rPr>
                <w:sz w:val="20"/>
                <w:szCs w:val="20"/>
              </w:rPr>
              <w:t>rígido</w:t>
            </w:r>
            <w:proofErr w:type="spellEnd"/>
            <w:r>
              <w:rPr>
                <w:sz w:val="20"/>
                <w:szCs w:val="20"/>
              </w:rPr>
              <w:t xml:space="preserve"> </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1.461</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394</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1.855</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 xml:space="preserve">3,4 </w:t>
            </w:r>
          </w:p>
        </w:tc>
      </w:tr>
      <w:tr w:rsidR="009233D2" w:rsidRPr="00AE7714" w:rsidTr="002B0B22">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DA0A01" w:rsidRDefault="009233D2" w:rsidP="002B0B22">
            <w:pPr>
              <w:jc w:val="left"/>
              <w:rPr>
                <w:sz w:val="20"/>
                <w:szCs w:val="20"/>
                <w:lang w:val="es-ES"/>
              </w:rPr>
            </w:pPr>
            <w:r w:rsidRPr="00DA0A01">
              <w:rPr>
                <w:sz w:val="20"/>
                <w:szCs w:val="20"/>
                <w:lang w:val="es-ES"/>
              </w:rPr>
              <w:t>Equipos de refrigeración y climatización</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276</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276</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 xml:space="preserve">0,5 </w:t>
            </w:r>
          </w:p>
        </w:tc>
      </w:tr>
      <w:tr w:rsidR="009233D2" w:rsidRPr="00AE7714" w:rsidTr="002B0B22">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DA0A01" w:rsidRDefault="009233D2" w:rsidP="002B0B22">
            <w:pPr>
              <w:jc w:val="left"/>
              <w:rPr>
                <w:sz w:val="20"/>
                <w:szCs w:val="20"/>
                <w:lang w:val="es-ES"/>
              </w:rPr>
            </w:pPr>
            <w:r w:rsidRPr="00DA0A01">
              <w:rPr>
                <w:sz w:val="20"/>
                <w:szCs w:val="20"/>
                <w:lang w:val="es-ES"/>
              </w:rPr>
              <w:t>Ensamblaje de equipos de refrigeración</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645</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0</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645</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 xml:space="preserve">1,2 </w:t>
            </w:r>
          </w:p>
        </w:tc>
      </w:tr>
      <w:tr w:rsidR="009233D2" w:rsidRPr="00AE7714" w:rsidTr="002B0B22">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DA0A01" w:rsidRDefault="009233D2" w:rsidP="002B0B22">
            <w:pPr>
              <w:jc w:val="left"/>
              <w:rPr>
                <w:sz w:val="20"/>
                <w:szCs w:val="20"/>
                <w:lang w:val="es-ES"/>
              </w:rPr>
            </w:pPr>
            <w:r w:rsidRPr="00DA0A01">
              <w:rPr>
                <w:sz w:val="20"/>
                <w:szCs w:val="20"/>
                <w:lang w:val="es-ES"/>
              </w:rPr>
              <w:t>Fabricación de equipos de refrigeración</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2.609</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27.781</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30.390</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 xml:space="preserve">55,5 </w:t>
            </w:r>
          </w:p>
        </w:tc>
      </w:tr>
      <w:tr w:rsidR="009233D2" w:rsidRPr="00AE7714" w:rsidTr="002B0B22">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DA0A01" w:rsidRDefault="009233D2" w:rsidP="002B0B22">
            <w:pPr>
              <w:jc w:val="left"/>
              <w:rPr>
                <w:sz w:val="20"/>
                <w:szCs w:val="20"/>
                <w:lang w:val="es-ES"/>
              </w:rPr>
            </w:pPr>
            <w:r w:rsidRPr="00DA0A01">
              <w:rPr>
                <w:sz w:val="20"/>
                <w:szCs w:val="20"/>
                <w:lang w:val="es-ES"/>
              </w:rPr>
              <w:t>Servicio y mantenimiento de equipos de refrigeración</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6.926</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14.660</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21.586</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sz w:val="20"/>
                <w:szCs w:val="20"/>
              </w:rPr>
            </w:pPr>
            <w:r>
              <w:rPr>
                <w:sz w:val="20"/>
                <w:szCs w:val="20"/>
              </w:rPr>
              <w:t xml:space="preserve">39,4 </w:t>
            </w:r>
          </w:p>
        </w:tc>
      </w:tr>
      <w:tr w:rsidR="009233D2" w:rsidRPr="00AE7714" w:rsidTr="002B0B22">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rsidR="009233D2" w:rsidRPr="00AE7714" w:rsidRDefault="009233D2" w:rsidP="002B0B22">
            <w:pPr>
              <w:jc w:val="left"/>
              <w:rPr>
                <w:b/>
                <w:bCs/>
                <w:sz w:val="20"/>
                <w:szCs w:val="20"/>
              </w:rPr>
            </w:pPr>
            <w:r>
              <w:rPr>
                <w:b/>
                <w:bCs/>
                <w:sz w:val="20"/>
                <w:szCs w:val="20"/>
              </w:rPr>
              <w:t>Total</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11.917</w:t>
            </w:r>
          </w:p>
        </w:tc>
        <w:tc>
          <w:tcPr>
            <w:tcW w:w="1452"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42.835</w:t>
            </w:r>
          </w:p>
        </w:tc>
        <w:tc>
          <w:tcPr>
            <w:tcW w:w="1460"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54.752</w:t>
            </w:r>
          </w:p>
        </w:tc>
        <w:tc>
          <w:tcPr>
            <w:tcW w:w="2084" w:type="dxa"/>
            <w:tcBorders>
              <w:top w:val="nil"/>
              <w:left w:val="nil"/>
              <w:bottom w:val="single" w:sz="4" w:space="0" w:color="auto"/>
              <w:right w:val="single" w:sz="4" w:space="0" w:color="auto"/>
            </w:tcBorders>
            <w:shd w:val="clear" w:color="auto" w:fill="auto"/>
            <w:noWrap/>
            <w:hideMark/>
          </w:tcPr>
          <w:p w:rsidR="009233D2" w:rsidRPr="00AE7714" w:rsidRDefault="009233D2" w:rsidP="002B0B22">
            <w:pPr>
              <w:jc w:val="right"/>
              <w:rPr>
                <w:b/>
                <w:bCs/>
                <w:sz w:val="20"/>
                <w:szCs w:val="20"/>
              </w:rPr>
            </w:pPr>
            <w:r>
              <w:rPr>
                <w:b/>
                <w:bCs/>
                <w:sz w:val="20"/>
                <w:szCs w:val="20"/>
              </w:rPr>
              <w:t xml:space="preserve"> 100,0 </w:t>
            </w:r>
          </w:p>
        </w:tc>
      </w:tr>
    </w:tbl>
    <w:p w:rsidR="009233D2" w:rsidRPr="00AE7714" w:rsidRDefault="009233D2" w:rsidP="009233D2">
      <w:pPr>
        <w:jc w:val="left"/>
        <w:rPr>
          <w:b/>
          <w:lang w:val="en-CA"/>
        </w:rPr>
      </w:pPr>
    </w:p>
    <w:p w:rsidR="009233D2" w:rsidRPr="00DA0A01" w:rsidRDefault="009233D2" w:rsidP="009233D2">
      <w:pPr>
        <w:pStyle w:val="Heading1"/>
        <w:numPr>
          <w:ilvl w:val="0"/>
          <w:numId w:val="0"/>
        </w:numPr>
        <w:rPr>
          <w:u w:val="single"/>
          <w:lang w:val="es-ES"/>
        </w:rPr>
      </w:pPr>
      <w:r w:rsidRPr="00DA0A01">
        <w:rPr>
          <w:u w:val="single"/>
          <w:lang w:val="es-ES"/>
        </w:rPr>
        <w:t xml:space="preserve">Etapa III de los planes de gestión de eliminación de los HCFC </w:t>
      </w:r>
    </w:p>
    <w:p w:rsidR="009233D2" w:rsidRPr="00DA0A01" w:rsidRDefault="009233D2" w:rsidP="009233D2">
      <w:pPr>
        <w:pStyle w:val="Heading1"/>
        <w:rPr>
          <w:lang w:val="es-ES"/>
        </w:rPr>
      </w:pPr>
      <w:r w:rsidRPr="00DA0A01">
        <w:rPr>
          <w:lang w:val="es-ES"/>
        </w:rPr>
        <w:t>Se incluye un total de 41,91 millones $EUA en el plan administrativo para la etapa III de los planes de gestión de eliminación de los HCFC para seis países (Armenia, Chile, Filipinas, México, Nigeria y Sudán) (incluidos 8,55 millones $EUA para el periodo 2020-2022).  La inclusión de la etapa III de los planes de gestión de eliminación de los HCFC en el plan administrativo se permite únicamente para los países para los cuales se había aprobado la etapa III de los planes de gestión de eliminación de los HCFC para cumplir un objetivo de reducción para 2020 (decisión 82/45 c) i)). Cuatro de estos países tienen una etapa II aprobada con un objetivo de reducción para más allá de 2020 (Chile, Filipinas, México y Nigeria).</w:t>
      </w:r>
    </w:p>
    <w:p w:rsidR="009233D2" w:rsidRPr="00DA0A01" w:rsidRDefault="009233D2" w:rsidP="009233D2">
      <w:pPr>
        <w:rPr>
          <w:u w:val="single"/>
          <w:lang w:val="es-ES"/>
        </w:rPr>
      </w:pPr>
      <w:r w:rsidRPr="00DA0A01">
        <w:rPr>
          <w:u w:val="single"/>
          <w:lang w:val="es-ES"/>
        </w:rPr>
        <w:t>Proyecto regional de asistencia técnica de HCFC</w:t>
      </w:r>
    </w:p>
    <w:p w:rsidR="009233D2" w:rsidRPr="00DA0A01" w:rsidRDefault="009233D2" w:rsidP="009233D2">
      <w:pPr>
        <w:rPr>
          <w:u w:val="single"/>
          <w:lang w:val="es-ES"/>
        </w:rPr>
      </w:pPr>
    </w:p>
    <w:p w:rsidR="009233D2" w:rsidRPr="00DA0A01" w:rsidRDefault="009233D2" w:rsidP="009233D2">
      <w:pPr>
        <w:pStyle w:val="Heading1"/>
        <w:rPr>
          <w:lang w:val="es-ES"/>
        </w:rPr>
      </w:pPr>
      <w:r w:rsidRPr="00DA0A01">
        <w:rPr>
          <w:lang w:val="es-ES"/>
        </w:rPr>
        <w:t xml:space="preserve">La ONUDI ha incluido un proyecto regional de asistencia técnica de HCFC para el "fomento de los refrigerantes con bajo potencial de calentamiento atmosférico para los sectores de climatización en países con elevadas temperaturas ambiente (PRAHA III)", por un monto de 481.500 $EUA en 2020. No hay disponible ninguna ventana de financiación para dicho proyecto de demostración.  </w:t>
      </w:r>
    </w:p>
    <w:p w:rsidR="009233D2" w:rsidRPr="00AE7714" w:rsidRDefault="009233D2" w:rsidP="009233D2">
      <w:pPr>
        <w:keepNext/>
        <w:rPr>
          <w:u w:val="single"/>
        </w:rPr>
      </w:pPr>
      <w:proofErr w:type="spellStart"/>
      <w:r>
        <w:rPr>
          <w:u w:val="single"/>
        </w:rPr>
        <w:t>Actividades</w:t>
      </w:r>
      <w:proofErr w:type="spellEnd"/>
      <w:r>
        <w:rPr>
          <w:u w:val="single"/>
        </w:rPr>
        <w:t xml:space="preserve"> </w:t>
      </w:r>
      <w:proofErr w:type="spellStart"/>
      <w:r>
        <w:rPr>
          <w:u w:val="single"/>
        </w:rPr>
        <w:t>relacionadas</w:t>
      </w:r>
      <w:proofErr w:type="spellEnd"/>
      <w:r>
        <w:rPr>
          <w:u w:val="single"/>
        </w:rPr>
        <w:t xml:space="preserve"> con </w:t>
      </w:r>
      <w:proofErr w:type="spellStart"/>
      <w:r>
        <w:rPr>
          <w:u w:val="single"/>
        </w:rPr>
        <w:t>los</w:t>
      </w:r>
      <w:proofErr w:type="spellEnd"/>
      <w:r>
        <w:rPr>
          <w:u w:val="single"/>
        </w:rPr>
        <w:t xml:space="preserve"> HFC</w:t>
      </w:r>
    </w:p>
    <w:p w:rsidR="009233D2" w:rsidRPr="00AE7714" w:rsidRDefault="009233D2" w:rsidP="009233D2">
      <w:pPr>
        <w:keepNext/>
        <w:rPr>
          <w:b/>
          <w:lang w:val="en-CA"/>
        </w:rPr>
      </w:pPr>
    </w:p>
    <w:p w:rsidR="009233D2" w:rsidRPr="00DA0A01" w:rsidRDefault="009233D2" w:rsidP="009233D2">
      <w:pPr>
        <w:pStyle w:val="Heading1"/>
        <w:rPr>
          <w:lang w:val="es-ES"/>
        </w:rPr>
      </w:pPr>
      <w:r w:rsidRPr="00DA0A01">
        <w:rPr>
          <w:lang w:val="es-ES"/>
        </w:rPr>
        <w:t>Las actividades relacionadas con los HFC incluyen una actividad de inversión por un total de 1,82 millones $EUA en 2020 para un país (</w:t>
      </w:r>
      <w:proofErr w:type="gramStart"/>
      <w:r w:rsidRPr="00DA0A01">
        <w:rPr>
          <w:lang w:val="es-ES"/>
        </w:rPr>
        <w:t>China )</w:t>
      </w:r>
      <w:proofErr w:type="gramEnd"/>
      <w:r w:rsidRPr="00DA0A01">
        <w:rPr>
          <w:lang w:val="es-ES"/>
        </w:rPr>
        <w:t xml:space="preserve"> y proyectos de preparación para la reducción de los HFC para trece países por un total de 980.660 $EUA en 2020 y 2021. </w:t>
      </w:r>
    </w:p>
    <w:p w:rsidR="009233D2" w:rsidRPr="00DA0A01" w:rsidRDefault="009233D2" w:rsidP="009233D2">
      <w:pPr>
        <w:pStyle w:val="Heading1"/>
        <w:rPr>
          <w:lang w:val="es-ES"/>
        </w:rPr>
      </w:pPr>
      <w:r w:rsidRPr="00DA0A01">
        <w:rPr>
          <w:lang w:val="es-ES"/>
        </w:rPr>
        <w:t xml:space="preserve">Estaba prevista la presentación a la 84ª reunión del proyecto de inversión de HFC en el sector de la espuma de </w:t>
      </w:r>
      <w:proofErr w:type="spellStart"/>
      <w:r w:rsidRPr="00DA0A01">
        <w:rPr>
          <w:lang w:val="es-ES"/>
        </w:rPr>
        <w:t>poliestireno</w:t>
      </w:r>
      <w:proofErr w:type="spellEnd"/>
      <w:r w:rsidRPr="00DA0A01">
        <w:rPr>
          <w:lang w:val="es-ES"/>
        </w:rPr>
        <w:t xml:space="preserve"> extruido en China, conforme a la decisión 78/3 g), pero el Gobierno decidió retrasar la presentación a una reunión posterior ya que la prioridad era la presentación de la etapa II de sus planes de gestión de eliminación de los HCFC. Con respecto a la decisión 82/77 a) que requiere la ratificación de la Enmienda de Kigali como prerrequisito de aprobación de proyectos de HFC adicionales para China, el centro de Cooperación Medioambiental Exterior/Ministerio de Ecología y Medio Ambiente de China planea acelerar el proceso de ratificación y considerar la presentación una vez ratificada la Enmienda, o una vez que casi haya finalizado el proceso de ratificación. Este proyecto se mantiene en el plan administrativo pendiente de la decisión del Comité Ejecutivo sobre si permitir la presentación de este proyecto en una reunión posterior. </w:t>
      </w:r>
    </w:p>
    <w:p w:rsidR="009233D2" w:rsidRPr="00DA0A01" w:rsidRDefault="009233D2" w:rsidP="009233D2">
      <w:pPr>
        <w:pStyle w:val="Heading1"/>
        <w:rPr>
          <w:u w:val="single"/>
          <w:lang w:val="es-ES"/>
        </w:rPr>
      </w:pPr>
      <w:r w:rsidRPr="00DA0A01">
        <w:rPr>
          <w:lang w:val="es-ES"/>
        </w:rPr>
        <w:t xml:space="preserve">Respecto a las actividades de preparación, 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De los trece países, solo Turquía no ha ratificado la Enmienda </w:t>
      </w:r>
      <w:r w:rsidRPr="00DA0A01">
        <w:rPr>
          <w:lang w:val="es-ES"/>
        </w:rPr>
        <w:lastRenderedPageBreak/>
        <w:t>de Kigali, pero ha presentado la carta necesaria de su Gobierno que indica su intención de hacer todo lo posible para ratificar la Enmienda de Kigali.</w:t>
      </w:r>
    </w:p>
    <w:p w:rsidR="009233D2" w:rsidRPr="00AE7714" w:rsidRDefault="009233D2" w:rsidP="009233D2">
      <w:pPr>
        <w:pStyle w:val="Heading1"/>
        <w:numPr>
          <w:ilvl w:val="0"/>
          <w:numId w:val="0"/>
        </w:numPr>
        <w:rPr>
          <w:u w:val="single"/>
        </w:rPr>
      </w:pPr>
      <w:proofErr w:type="spellStart"/>
      <w:r>
        <w:rPr>
          <w:u w:val="single"/>
        </w:rPr>
        <w:t>Costos</w:t>
      </w:r>
      <w:proofErr w:type="spellEnd"/>
      <w:r>
        <w:rPr>
          <w:u w:val="single"/>
        </w:rPr>
        <w:t xml:space="preserve"> de la </w:t>
      </w:r>
      <w:proofErr w:type="spellStart"/>
      <w:r>
        <w:rPr>
          <w:u w:val="single"/>
        </w:rPr>
        <w:t>unidad</w:t>
      </w:r>
      <w:proofErr w:type="spellEnd"/>
      <w:r>
        <w:rPr>
          <w:u w:val="single"/>
        </w:rPr>
        <w:t xml:space="preserve"> central</w:t>
      </w:r>
    </w:p>
    <w:p w:rsidR="009233D2" w:rsidRPr="00DA0A01" w:rsidRDefault="009233D2" w:rsidP="009233D2">
      <w:pPr>
        <w:pStyle w:val="Heading1"/>
        <w:rPr>
          <w:lang w:val="es-ES"/>
        </w:rPr>
      </w:pPr>
      <w:r w:rsidRPr="00DA0A01">
        <w:rPr>
          <w:lang w:val="es-ES"/>
        </w:rPr>
        <w:t>Se espera que los costos de la unidad central</w:t>
      </w:r>
      <w:r w:rsidRPr="00AE7714">
        <w:rPr>
          <w:rStyle w:val="FootnoteReference"/>
          <w:lang w:val="en-CA"/>
        </w:rPr>
        <w:footnoteReference w:id="3"/>
      </w:r>
      <w:r w:rsidRPr="00DA0A01">
        <w:rPr>
          <w:lang w:val="es-ES"/>
        </w:rPr>
        <w:t xml:space="preserve"> aumenten a la tasa anual del 0,7% convenida.</w:t>
      </w:r>
    </w:p>
    <w:p w:rsidR="009233D2" w:rsidRPr="00AE7714" w:rsidRDefault="009233D2" w:rsidP="009233D2">
      <w:pPr>
        <w:spacing w:after="240"/>
        <w:rPr>
          <w:b/>
        </w:rPr>
      </w:pPr>
      <w:proofErr w:type="spellStart"/>
      <w:r>
        <w:rPr>
          <w:b/>
          <w:bCs/>
        </w:rPr>
        <w:t>Ajustes</w:t>
      </w:r>
      <w:proofErr w:type="spellEnd"/>
      <w:r>
        <w:rPr>
          <w:b/>
          <w:bCs/>
        </w:rPr>
        <w:t xml:space="preserve"> </w:t>
      </w:r>
      <w:proofErr w:type="spellStart"/>
      <w:r>
        <w:rPr>
          <w:b/>
          <w:bCs/>
        </w:rPr>
        <w:t>propuestos</w:t>
      </w:r>
      <w:proofErr w:type="spellEnd"/>
      <w:r>
        <w:rPr>
          <w:b/>
          <w:bCs/>
        </w:rPr>
        <w:t xml:space="preserve"> </w:t>
      </w:r>
      <w:proofErr w:type="spellStart"/>
      <w:r>
        <w:rPr>
          <w:b/>
          <w:bCs/>
        </w:rPr>
        <w:t>por</w:t>
      </w:r>
      <w:proofErr w:type="spellEnd"/>
      <w:r>
        <w:rPr>
          <w:b/>
          <w:bCs/>
        </w:rPr>
        <w:t xml:space="preserve"> la </w:t>
      </w:r>
      <w:proofErr w:type="spellStart"/>
      <w:r>
        <w:rPr>
          <w:b/>
          <w:bCs/>
        </w:rPr>
        <w:t>Secretaría</w:t>
      </w:r>
      <w:proofErr w:type="spellEnd"/>
    </w:p>
    <w:p w:rsidR="009233D2" w:rsidRPr="00DA0A01" w:rsidRDefault="009233D2" w:rsidP="009233D2">
      <w:pPr>
        <w:pStyle w:val="Heading1"/>
        <w:rPr>
          <w:lang w:val="es-ES"/>
        </w:rPr>
      </w:pPr>
      <w:r w:rsidRPr="00DA0A01">
        <w:rPr>
          <w:lang w:val="es-ES"/>
        </w:rPr>
        <w:t xml:space="preserve">Durante la IACM, se acordaron ajustes en los planes administrativos de los organismos bilaterales y de ejecución sobre la base de las decisiones pertinentes del Comité Ejecutivo. Al examinar la versión revisada del plan administrativo de la ONUDI para 2020-2022, la Secretaría señaló que no se habían incluido los ajustes siguientes: </w:t>
      </w:r>
    </w:p>
    <w:p w:rsidR="009233D2" w:rsidRPr="00DA0A01" w:rsidRDefault="009233D2" w:rsidP="009233D2">
      <w:pPr>
        <w:keepNext/>
        <w:rPr>
          <w:b/>
          <w:bCs/>
          <w:lang w:val="es-ES"/>
        </w:rPr>
      </w:pPr>
      <w:r w:rsidRPr="00DA0A01">
        <w:rPr>
          <w:b/>
          <w:lang w:val="es-ES"/>
        </w:rPr>
        <w:t xml:space="preserve">Cuadro 3. </w:t>
      </w:r>
      <w:r w:rsidRPr="00DA0A01">
        <w:rPr>
          <w:b/>
          <w:bCs/>
          <w:lang w:val="es-ES"/>
        </w:rPr>
        <w:t>Ajustes en el plan administrativo de la ONUDI para 2020-2022 (en miles $EUA)</w:t>
      </w:r>
    </w:p>
    <w:tbl>
      <w:tblPr>
        <w:tblStyle w:val="TableGrid"/>
        <w:tblW w:w="0" w:type="auto"/>
        <w:tblLook w:val="04A0" w:firstRow="1" w:lastRow="0" w:firstColumn="1" w:lastColumn="0" w:noHBand="0" w:noVBand="1"/>
      </w:tblPr>
      <w:tblGrid>
        <w:gridCol w:w="6722"/>
        <w:gridCol w:w="1271"/>
        <w:gridCol w:w="1357"/>
      </w:tblGrid>
      <w:tr w:rsidR="009233D2" w:rsidRPr="00AE7714" w:rsidTr="002B0B22">
        <w:tc>
          <w:tcPr>
            <w:tcW w:w="6722" w:type="dxa"/>
          </w:tcPr>
          <w:p w:rsidR="009233D2" w:rsidRPr="00AE7714" w:rsidRDefault="009233D2" w:rsidP="002B0B22">
            <w:pPr>
              <w:keepNext/>
              <w:rPr>
                <w:b/>
              </w:rPr>
            </w:pPr>
            <w:proofErr w:type="spellStart"/>
            <w:r>
              <w:rPr>
                <w:b/>
              </w:rPr>
              <w:t>Ajuste</w:t>
            </w:r>
            <w:proofErr w:type="spellEnd"/>
          </w:p>
        </w:tc>
        <w:tc>
          <w:tcPr>
            <w:tcW w:w="1271" w:type="dxa"/>
          </w:tcPr>
          <w:p w:rsidR="009233D2" w:rsidRPr="00AE7714" w:rsidRDefault="009233D2" w:rsidP="002B0B22">
            <w:pPr>
              <w:keepNext/>
              <w:jc w:val="center"/>
              <w:rPr>
                <w:b/>
              </w:rPr>
            </w:pPr>
            <w:r>
              <w:rPr>
                <w:b/>
              </w:rPr>
              <w:t xml:space="preserve">2020–2022 </w:t>
            </w:r>
          </w:p>
        </w:tc>
        <w:tc>
          <w:tcPr>
            <w:tcW w:w="1357" w:type="dxa"/>
          </w:tcPr>
          <w:p w:rsidR="009233D2" w:rsidRPr="00AE7714" w:rsidRDefault="009233D2" w:rsidP="002B0B22">
            <w:pPr>
              <w:keepNext/>
              <w:jc w:val="center"/>
              <w:rPr>
                <w:b/>
              </w:rPr>
            </w:pPr>
            <w:proofErr w:type="spellStart"/>
            <w:r>
              <w:rPr>
                <w:b/>
              </w:rPr>
              <w:t>Después</w:t>
            </w:r>
            <w:proofErr w:type="spellEnd"/>
            <w:r>
              <w:rPr>
                <w:b/>
              </w:rPr>
              <w:t xml:space="preserve"> de 2022</w:t>
            </w:r>
          </w:p>
        </w:tc>
      </w:tr>
      <w:tr w:rsidR="009233D2" w:rsidRPr="00AE7714" w:rsidTr="002B0B22">
        <w:tc>
          <w:tcPr>
            <w:tcW w:w="6722" w:type="dxa"/>
          </w:tcPr>
          <w:p w:rsidR="009233D2" w:rsidRPr="00DA0A01" w:rsidRDefault="009233D2" w:rsidP="002B0B22">
            <w:pPr>
              <w:keepNext/>
              <w:rPr>
                <w:lang w:val="es-ES"/>
              </w:rPr>
            </w:pPr>
            <w:r w:rsidRPr="00DA0A01">
              <w:rPr>
                <w:lang w:val="es-ES"/>
              </w:rPr>
              <w:t>Valores de planes de gestión de eliminación de los HCFC según los términos del Acuerdo revisado presentado a la 84ª reunión.</w:t>
            </w:r>
          </w:p>
        </w:tc>
        <w:tc>
          <w:tcPr>
            <w:tcW w:w="1271" w:type="dxa"/>
          </w:tcPr>
          <w:p w:rsidR="009233D2" w:rsidRPr="00AE7714" w:rsidRDefault="009233D2" w:rsidP="002B0B22">
            <w:pPr>
              <w:jc w:val="right"/>
            </w:pPr>
            <w:r>
              <w:t>16.925</w:t>
            </w:r>
          </w:p>
        </w:tc>
        <w:tc>
          <w:tcPr>
            <w:tcW w:w="1357" w:type="dxa"/>
          </w:tcPr>
          <w:p w:rsidR="009233D2" w:rsidRPr="00AE7714" w:rsidRDefault="009233D2" w:rsidP="002B0B22">
            <w:pPr>
              <w:jc w:val="right"/>
            </w:pPr>
            <w:r>
              <w:t>2.335</w:t>
            </w:r>
          </w:p>
        </w:tc>
      </w:tr>
      <w:tr w:rsidR="009233D2" w:rsidRPr="00AE7714" w:rsidTr="002B0B22">
        <w:tc>
          <w:tcPr>
            <w:tcW w:w="6722" w:type="dxa"/>
          </w:tcPr>
          <w:p w:rsidR="009233D2" w:rsidRPr="00DA0A01" w:rsidRDefault="009233D2" w:rsidP="002B0B22">
            <w:pPr>
              <w:rPr>
                <w:lang w:val="es-ES"/>
              </w:rPr>
            </w:pPr>
            <w:r w:rsidRPr="00DA0A01">
              <w:rPr>
                <w:lang w:val="es-ES"/>
              </w:rPr>
              <w:t>Preparación de proyectos para la etapa II de los planes de gestión de eliminación de los HCFC, conforme a lo dispuesto en la decisión 71/42</w:t>
            </w:r>
          </w:p>
        </w:tc>
        <w:tc>
          <w:tcPr>
            <w:tcW w:w="1271" w:type="dxa"/>
            <w:vAlign w:val="bottom"/>
          </w:tcPr>
          <w:p w:rsidR="009233D2" w:rsidRPr="00AE7714" w:rsidRDefault="009233D2" w:rsidP="002B0B22">
            <w:pPr>
              <w:keepNext/>
              <w:jc w:val="right"/>
            </w:pPr>
            <w:r>
              <w:t>(50)</w:t>
            </w:r>
          </w:p>
        </w:tc>
        <w:tc>
          <w:tcPr>
            <w:tcW w:w="1357" w:type="dxa"/>
            <w:vAlign w:val="bottom"/>
          </w:tcPr>
          <w:p w:rsidR="009233D2" w:rsidRPr="00AE7714" w:rsidRDefault="009233D2" w:rsidP="002B0B22">
            <w:pPr>
              <w:keepNext/>
              <w:jc w:val="right"/>
            </w:pPr>
            <w:r>
              <w:t>0</w:t>
            </w:r>
          </w:p>
        </w:tc>
      </w:tr>
      <w:tr w:rsidR="009233D2" w:rsidRPr="00AE7714" w:rsidTr="002B0B22">
        <w:tc>
          <w:tcPr>
            <w:tcW w:w="6722" w:type="dxa"/>
          </w:tcPr>
          <w:p w:rsidR="009233D2" w:rsidRPr="00DA0A01" w:rsidRDefault="009233D2" w:rsidP="002B0B22">
            <w:pPr>
              <w:rPr>
                <w:lang w:val="es-ES"/>
              </w:rPr>
            </w:pPr>
            <w:r w:rsidRPr="00DA0A01">
              <w:rPr>
                <w:lang w:val="es-ES"/>
              </w:rPr>
              <w:t>Etapa III de los planes de gestión de eliminación de los HCFC, conforme a la decisión 82/45 c) i).</w:t>
            </w:r>
          </w:p>
        </w:tc>
        <w:tc>
          <w:tcPr>
            <w:tcW w:w="1271" w:type="dxa"/>
            <w:vAlign w:val="bottom"/>
          </w:tcPr>
          <w:p w:rsidR="009233D2" w:rsidRPr="00AE7714" w:rsidRDefault="009233D2" w:rsidP="002B0B22">
            <w:pPr>
              <w:keepNext/>
              <w:jc w:val="right"/>
            </w:pPr>
            <w:r>
              <w:t>(8.404)</w:t>
            </w:r>
          </w:p>
        </w:tc>
        <w:tc>
          <w:tcPr>
            <w:tcW w:w="1357" w:type="dxa"/>
            <w:vAlign w:val="bottom"/>
          </w:tcPr>
          <w:p w:rsidR="009233D2" w:rsidRPr="00AE7714" w:rsidRDefault="009233D2" w:rsidP="002B0B22">
            <w:pPr>
              <w:keepNext/>
              <w:jc w:val="right"/>
            </w:pPr>
            <w:r>
              <w:t>(33.018)</w:t>
            </w:r>
          </w:p>
        </w:tc>
      </w:tr>
      <w:tr w:rsidR="009233D2" w:rsidRPr="00AE7714" w:rsidTr="002B0B22">
        <w:tc>
          <w:tcPr>
            <w:tcW w:w="6722" w:type="dxa"/>
          </w:tcPr>
          <w:p w:rsidR="009233D2" w:rsidRPr="00AE7714" w:rsidRDefault="009233D2" w:rsidP="002B0B22">
            <w:proofErr w:type="spellStart"/>
            <w:r>
              <w:t>Asistencia</w:t>
            </w:r>
            <w:proofErr w:type="spellEnd"/>
            <w:r>
              <w:t xml:space="preserve"> </w:t>
            </w:r>
            <w:proofErr w:type="spellStart"/>
            <w:r>
              <w:t>técnica</w:t>
            </w:r>
            <w:proofErr w:type="spellEnd"/>
            <w:r>
              <w:t xml:space="preserve"> de HCFC </w:t>
            </w:r>
          </w:p>
        </w:tc>
        <w:tc>
          <w:tcPr>
            <w:tcW w:w="1271" w:type="dxa"/>
            <w:vAlign w:val="bottom"/>
          </w:tcPr>
          <w:p w:rsidR="009233D2" w:rsidRPr="00AE7714" w:rsidRDefault="009233D2" w:rsidP="002B0B22">
            <w:pPr>
              <w:keepNext/>
              <w:jc w:val="right"/>
            </w:pPr>
            <w:r>
              <w:t>(482)</w:t>
            </w:r>
          </w:p>
        </w:tc>
        <w:tc>
          <w:tcPr>
            <w:tcW w:w="1357" w:type="dxa"/>
            <w:vAlign w:val="bottom"/>
          </w:tcPr>
          <w:p w:rsidR="009233D2" w:rsidRPr="00AE7714" w:rsidRDefault="009233D2" w:rsidP="002B0B22">
            <w:pPr>
              <w:keepNext/>
              <w:jc w:val="right"/>
            </w:pPr>
            <w:r>
              <w:t>0</w:t>
            </w:r>
          </w:p>
        </w:tc>
      </w:tr>
      <w:tr w:rsidR="009233D2" w:rsidRPr="00AE7714" w:rsidTr="002B0B22">
        <w:tc>
          <w:tcPr>
            <w:tcW w:w="6722" w:type="dxa"/>
          </w:tcPr>
          <w:p w:rsidR="009233D2" w:rsidRPr="00DA0A01" w:rsidRDefault="009233D2" w:rsidP="002B0B22">
            <w:pPr>
              <w:rPr>
                <w:lang w:val="es-ES"/>
              </w:rPr>
            </w:pPr>
            <w:r w:rsidRPr="00DA0A01">
              <w:rPr>
                <w:lang w:val="es-ES"/>
              </w:rPr>
              <w:t>Preparación de proyectos de producción para la reducción de los HFC en prosecución de la decisión 56/16 c) o países que no hayan ratificado la Enmienda de Kigali</w:t>
            </w:r>
          </w:p>
        </w:tc>
        <w:tc>
          <w:tcPr>
            <w:tcW w:w="1271" w:type="dxa"/>
          </w:tcPr>
          <w:p w:rsidR="009233D2" w:rsidRPr="00AE7714" w:rsidRDefault="009233D2" w:rsidP="002B0B22">
            <w:pPr>
              <w:jc w:val="right"/>
            </w:pPr>
            <w:r>
              <w:t>(209)</w:t>
            </w:r>
          </w:p>
        </w:tc>
        <w:tc>
          <w:tcPr>
            <w:tcW w:w="1357" w:type="dxa"/>
          </w:tcPr>
          <w:p w:rsidR="009233D2" w:rsidRPr="00AE7714" w:rsidRDefault="009233D2" w:rsidP="002B0B22">
            <w:pPr>
              <w:jc w:val="right"/>
            </w:pPr>
            <w:r>
              <w:t>0</w:t>
            </w:r>
          </w:p>
        </w:tc>
      </w:tr>
    </w:tbl>
    <w:p w:rsidR="009233D2" w:rsidRPr="00AE7714" w:rsidRDefault="009233D2" w:rsidP="009233D2">
      <w:pPr>
        <w:rPr>
          <w:b/>
          <w:bCs/>
          <w:caps/>
          <w:lang w:val="en-CA"/>
        </w:rPr>
      </w:pPr>
    </w:p>
    <w:p w:rsidR="009233D2" w:rsidRPr="00DA0A01" w:rsidRDefault="009233D2" w:rsidP="009233D2">
      <w:pPr>
        <w:pStyle w:val="Heading1"/>
        <w:rPr>
          <w:b/>
          <w:lang w:val="es-ES"/>
        </w:rPr>
      </w:pPr>
      <w:r w:rsidRPr="00DA0A01">
        <w:rPr>
          <w:lang w:val="es-ES"/>
        </w:rPr>
        <w:t>El Cuadro 4 presenta los resultados de los ajustes propuestos por la Secretaría en el plan administrativo de la ONUDI para 2020-2022, que también se abordan en el contexto del Plan administrativo refundido del Fondo Multilateral para 2020-2022.</w:t>
      </w:r>
      <w:r w:rsidRPr="00AE7714">
        <w:rPr>
          <w:rStyle w:val="FootnoteReference"/>
          <w:lang w:val="en-CA"/>
        </w:rPr>
        <w:footnoteReference w:id="4"/>
      </w:r>
    </w:p>
    <w:p w:rsidR="009233D2" w:rsidRPr="00DA0A01" w:rsidRDefault="009233D2" w:rsidP="009233D2">
      <w:pPr>
        <w:pStyle w:val="Heading1"/>
        <w:keepNext/>
        <w:numPr>
          <w:ilvl w:val="0"/>
          <w:numId w:val="0"/>
        </w:numPr>
        <w:spacing w:after="0"/>
        <w:rPr>
          <w:b/>
          <w:lang w:val="es-ES"/>
        </w:rPr>
      </w:pPr>
      <w:r w:rsidRPr="00DA0A01">
        <w:rPr>
          <w:b/>
          <w:lang w:val="es-ES"/>
        </w:rPr>
        <w:t>Cuadro 4. Asignación de recursos en el plan administrativo ajustado de la ONUDI para 2020-2022 (en miles $</w:t>
      </w:r>
      <w:proofErr w:type="gramStart"/>
      <w:r w:rsidRPr="00DA0A01">
        <w:rPr>
          <w:b/>
          <w:lang w:val="es-ES"/>
        </w:rPr>
        <w:t>EUA)*</w:t>
      </w:r>
      <w:proofErr w:type="gramEnd"/>
    </w:p>
    <w:tbl>
      <w:tblPr>
        <w:tblW w:w="9351" w:type="dxa"/>
        <w:tblLook w:val="04A0" w:firstRow="1" w:lastRow="0" w:firstColumn="1" w:lastColumn="0" w:noHBand="0" w:noVBand="1"/>
      </w:tblPr>
      <w:tblGrid>
        <w:gridCol w:w="3397"/>
        <w:gridCol w:w="1134"/>
        <w:gridCol w:w="1134"/>
        <w:gridCol w:w="1134"/>
        <w:gridCol w:w="1276"/>
        <w:gridCol w:w="1276"/>
      </w:tblGrid>
      <w:tr w:rsidR="009233D2" w:rsidRPr="00AE7714" w:rsidTr="002B0B22">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center"/>
              <w:rPr>
                <w:b/>
                <w:bCs/>
                <w:sz w:val="20"/>
                <w:szCs w:val="20"/>
                <w:lang w:val="es-ES"/>
              </w:rPr>
            </w:pPr>
            <w:r w:rsidRPr="00DA0A01">
              <w:rPr>
                <w:b/>
                <w:bCs/>
                <w:sz w:val="20"/>
                <w:szCs w:val="20"/>
                <w:lang w:val="es-ES"/>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2022</w:t>
            </w:r>
          </w:p>
        </w:tc>
        <w:tc>
          <w:tcPr>
            <w:tcW w:w="1276"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Total (2020–2022)</w:t>
            </w:r>
          </w:p>
        </w:tc>
        <w:tc>
          <w:tcPr>
            <w:tcW w:w="1276" w:type="dxa"/>
            <w:tcBorders>
              <w:top w:val="single" w:sz="4" w:space="0" w:color="auto"/>
              <w:left w:val="nil"/>
              <w:bottom w:val="single" w:sz="4" w:space="0" w:color="auto"/>
              <w:right w:val="single" w:sz="4" w:space="0" w:color="auto"/>
            </w:tcBorders>
            <w:shd w:val="clear" w:color="auto" w:fill="auto"/>
            <w:noWrap/>
            <w:hideMark/>
          </w:tcPr>
          <w:p w:rsidR="009233D2" w:rsidRPr="00AE7714" w:rsidRDefault="009233D2" w:rsidP="002B0B22">
            <w:pPr>
              <w:jc w:val="center"/>
              <w:rPr>
                <w:b/>
                <w:bCs/>
                <w:sz w:val="20"/>
                <w:szCs w:val="20"/>
              </w:rPr>
            </w:pPr>
            <w:r>
              <w:rPr>
                <w:b/>
                <w:bCs/>
                <w:sz w:val="20"/>
                <w:szCs w:val="20"/>
              </w:rPr>
              <w:t xml:space="preserve">Total </w:t>
            </w:r>
            <w:proofErr w:type="spellStart"/>
            <w:r>
              <w:rPr>
                <w:b/>
                <w:bCs/>
                <w:sz w:val="20"/>
                <w:szCs w:val="20"/>
              </w:rPr>
              <w:t>después</w:t>
            </w:r>
            <w:proofErr w:type="spellEnd"/>
            <w:r>
              <w:rPr>
                <w:b/>
                <w:bCs/>
                <w:sz w:val="20"/>
                <w:szCs w:val="20"/>
              </w:rPr>
              <w:t xml:space="preserve"> de 2022</w:t>
            </w:r>
          </w:p>
        </w:tc>
      </w:tr>
      <w:tr w:rsidR="009233D2" w:rsidRPr="00AE7714" w:rsidTr="002B0B22">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proofErr w:type="spellStart"/>
            <w:r>
              <w:rPr>
                <w:b/>
                <w:bCs/>
                <w:sz w:val="20"/>
                <w:szCs w:val="20"/>
              </w:rPr>
              <w:t>Actividades</w:t>
            </w:r>
            <w:proofErr w:type="spellEnd"/>
            <w:r>
              <w:rPr>
                <w:b/>
                <w:bCs/>
                <w:sz w:val="20"/>
                <w:szCs w:val="20"/>
              </w:rPr>
              <w:t xml:space="preserve"> con </w:t>
            </w:r>
            <w:proofErr w:type="spellStart"/>
            <w:r>
              <w:rPr>
                <w:b/>
                <w:bCs/>
                <w:sz w:val="20"/>
                <w:szCs w:val="20"/>
              </w:rPr>
              <w:t>los</w:t>
            </w:r>
            <w:proofErr w:type="spellEnd"/>
            <w:r>
              <w:rPr>
                <w:b/>
                <w:bCs/>
                <w:sz w:val="20"/>
                <w:szCs w:val="20"/>
              </w:rPr>
              <w:t xml:space="preserve"> HCFC</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Planes de gestión de la eliminación de los HCFC aprobados</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46.082</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40.797</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35.080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121.958</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61.834</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Etapa I de los planes de gestión de la eliminación de los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196</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350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546</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Etapa II - Preparación de proyectos de los planes de gestión de la eliminación de los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227</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253</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479</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 xml:space="preserve">Etapa II de los planes de gestión de la eliminación de los HCFC </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4.591</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5.993</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6.178</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16.762</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44.896</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Etapa III - Preparación de proyectos de los planes de gestión de la eliminación de los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246</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257</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503</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lastRenderedPageBreak/>
              <w:t>Etapa III de los planes de gestión de la eliminación de los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60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87</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147</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343</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Asistencia</w:t>
            </w:r>
            <w:proofErr w:type="spellEnd"/>
            <w:r>
              <w:rPr>
                <w:sz w:val="20"/>
                <w:szCs w:val="20"/>
              </w:rPr>
              <w:t xml:space="preserve"> </w:t>
            </w:r>
            <w:proofErr w:type="spellStart"/>
            <w:r>
              <w:rPr>
                <w:sz w:val="20"/>
                <w:szCs w:val="20"/>
              </w:rPr>
              <w:t>técnica</w:t>
            </w:r>
            <w:proofErr w:type="spellEnd"/>
            <w:r>
              <w:rPr>
                <w:sz w:val="20"/>
                <w:szCs w:val="20"/>
              </w:rPr>
              <w:t xml:space="preserve"> de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las actividades con los HCFC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51.342</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47.360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41.694</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140.396</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107.074</w:t>
            </w:r>
          </w:p>
        </w:tc>
      </w:tr>
      <w:tr w:rsidR="009233D2" w:rsidRPr="00F56E0B" w:rsidTr="002B0B22">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Actividades relativas a los HFC</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r>
              <w:rPr>
                <w:sz w:val="20"/>
                <w:szCs w:val="20"/>
              </w:rPr>
              <w:t xml:space="preserve">HFC - </w:t>
            </w:r>
            <w:proofErr w:type="spellStart"/>
            <w:r>
              <w:rPr>
                <w:sz w:val="20"/>
                <w:szCs w:val="20"/>
              </w:rPr>
              <w:t>inversión</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1.819</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1.819</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sz w:val="20"/>
                <w:szCs w:val="20"/>
                <w:lang w:val="es-ES"/>
              </w:rPr>
            </w:pPr>
            <w:r w:rsidRPr="00DA0A01">
              <w:rPr>
                <w:sz w:val="20"/>
                <w:szCs w:val="20"/>
                <w:lang w:val="es-ES"/>
              </w:rPr>
              <w:t>Preparación de proyectos de la reducción de los HFC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547</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225</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772</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actividades relativas a los HFC</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2.366</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225</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2.591</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r>
      <w:tr w:rsidR="009233D2" w:rsidRPr="00AE7714" w:rsidTr="002B0B22">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proofErr w:type="spellStart"/>
            <w:r>
              <w:rPr>
                <w:b/>
                <w:bCs/>
                <w:sz w:val="20"/>
                <w:szCs w:val="20"/>
              </w:rPr>
              <w:t>Actividades</w:t>
            </w:r>
            <w:proofErr w:type="spellEnd"/>
            <w:r>
              <w:rPr>
                <w:b/>
                <w:bCs/>
                <w:sz w:val="20"/>
                <w:szCs w:val="20"/>
              </w:rPr>
              <w:t xml:space="preserve"> </w:t>
            </w:r>
            <w:proofErr w:type="spellStart"/>
            <w:r>
              <w:rPr>
                <w:b/>
                <w:bCs/>
                <w:sz w:val="20"/>
                <w:szCs w:val="20"/>
              </w:rPr>
              <w:t>estándar</w:t>
            </w:r>
            <w:proofErr w:type="spellEnd"/>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Fortalecimiento</w:t>
            </w:r>
            <w:proofErr w:type="spellEnd"/>
            <w:r>
              <w:rPr>
                <w:sz w:val="20"/>
                <w:szCs w:val="20"/>
              </w:rPr>
              <w:t xml:space="preserve"> </w:t>
            </w:r>
            <w:proofErr w:type="spellStart"/>
            <w:r>
              <w:rPr>
                <w:sz w:val="20"/>
                <w:szCs w:val="20"/>
              </w:rPr>
              <w:t>institucional</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1.687</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1.186</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1.687</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4.560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sz w:val="20"/>
                <w:szCs w:val="20"/>
              </w:rPr>
            </w:pPr>
            <w:proofErr w:type="spellStart"/>
            <w:r>
              <w:rPr>
                <w:sz w:val="20"/>
                <w:szCs w:val="20"/>
              </w:rPr>
              <w:t>Unidad</w:t>
            </w:r>
            <w:proofErr w:type="spellEnd"/>
            <w:r>
              <w:rPr>
                <w:sz w:val="20"/>
                <w:szCs w:val="20"/>
              </w:rPr>
              <w:t xml:space="preserve"> central</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2.113</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2.128</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2.143</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6.384</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sz w:val="20"/>
                <w:szCs w:val="20"/>
              </w:rPr>
            </w:pPr>
            <w:r>
              <w:rPr>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DA0A01" w:rsidRDefault="009233D2" w:rsidP="002B0B22">
            <w:pPr>
              <w:jc w:val="left"/>
              <w:rPr>
                <w:b/>
                <w:bCs/>
                <w:sz w:val="20"/>
                <w:szCs w:val="20"/>
                <w:lang w:val="es-ES"/>
              </w:rPr>
            </w:pPr>
            <w:r w:rsidRPr="00DA0A01">
              <w:rPr>
                <w:b/>
                <w:bCs/>
                <w:sz w:val="20"/>
                <w:szCs w:val="20"/>
                <w:lang w:val="es-ES"/>
              </w:rPr>
              <w:t xml:space="preserve">   Subtotal de las actividades estándar</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3.800</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3.314</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3.830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10.944</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0</w:t>
            </w:r>
          </w:p>
        </w:tc>
      </w:tr>
      <w:tr w:rsidR="009233D2" w:rsidRPr="00AE7714" w:rsidTr="002B0B22">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9233D2" w:rsidRPr="00AE7714" w:rsidRDefault="009233D2" w:rsidP="002B0B22">
            <w:pPr>
              <w:jc w:val="left"/>
              <w:rPr>
                <w:b/>
                <w:bCs/>
                <w:sz w:val="20"/>
                <w:szCs w:val="20"/>
              </w:rPr>
            </w:pPr>
            <w:r>
              <w:rPr>
                <w:b/>
                <w:bCs/>
                <w:sz w:val="20"/>
                <w:szCs w:val="20"/>
              </w:rPr>
              <w:t>Total general</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57.508</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50.899</w:t>
            </w:r>
          </w:p>
        </w:tc>
        <w:tc>
          <w:tcPr>
            <w:tcW w:w="1134"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45.524</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153.930</w:t>
            </w:r>
          </w:p>
        </w:tc>
        <w:tc>
          <w:tcPr>
            <w:tcW w:w="1276" w:type="dxa"/>
            <w:tcBorders>
              <w:top w:val="nil"/>
              <w:left w:val="nil"/>
              <w:bottom w:val="single" w:sz="4" w:space="0" w:color="auto"/>
              <w:right w:val="single" w:sz="4" w:space="0" w:color="auto"/>
            </w:tcBorders>
            <w:shd w:val="clear" w:color="auto" w:fill="auto"/>
            <w:noWrap/>
            <w:vAlign w:val="center"/>
            <w:hideMark/>
          </w:tcPr>
          <w:p w:rsidR="009233D2" w:rsidRPr="00AE7714" w:rsidRDefault="009233D2" w:rsidP="002B0B22">
            <w:pPr>
              <w:jc w:val="right"/>
              <w:rPr>
                <w:b/>
                <w:bCs/>
                <w:sz w:val="20"/>
                <w:szCs w:val="20"/>
              </w:rPr>
            </w:pPr>
            <w:r>
              <w:rPr>
                <w:b/>
                <w:bCs/>
                <w:sz w:val="20"/>
                <w:szCs w:val="20"/>
              </w:rPr>
              <w:t>107.074</w:t>
            </w:r>
          </w:p>
        </w:tc>
      </w:tr>
    </w:tbl>
    <w:p w:rsidR="009233D2" w:rsidRPr="00DA0A01" w:rsidRDefault="009233D2" w:rsidP="009233D2">
      <w:pPr>
        <w:rPr>
          <w:sz w:val="20"/>
          <w:szCs w:val="20"/>
          <w:lang w:val="es-ES"/>
        </w:rPr>
      </w:pPr>
      <w:r w:rsidRPr="00DA0A01">
        <w:rPr>
          <w:sz w:val="20"/>
          <w:szCs w:val="20"/>
          <w:lang w:val="es-ES"/>
        </w:rPr>
        <w:t>* Incluidos los gastos de apoyo del organismo cuando corresponda.</w:t>
      </w:r>
    </w:p>
    <w:p w:rsidR="009233D2" w:rsidRPr="00DA0A01" w:rsidRDefault="009233D2" w:rsidP="009233D2">
      <w:pPr>
        <w:rPr>
          <w:lang w:val="es-ES"/>
        </w:rPr>
      </w:pPr>
    </w:p>
    <w:p w:rsidR="009233D2" w:rsidRPr="00AE7714" w:rsidRDefault="009233D2" w:rsidP="009233D2">
      <w:pPr>
        <w:pStyle w:val="sub-title"/>
        <w:keepNext/>
        <w:spacing w:after="240"/>
        <w:rPr>
          <w:noProof w:val="0"/>
        </w:rPr>
      </w:pPr>
      <w:r>
        <w:t xml:space="preserve">Indicadores de desempeño </w:t>
      </w:r>
    </w:p>
    <w:p w:rsidR="009233D2" w:rsidRPr="00DA0A01" w:rsidRDefault="009233D2" w:rsidP="009233D2">
      <w:pPr>
        <w:pStyle w:val="Heading1"/>
        <w:rPr>
          <w:lang w:val="es-ES"/>
        </w:rPr>
      </w:pPr>
      <w:r w:rsidRPr="00DA0A01">
        <w:rPr>
          <w:lang w:val="es-ES"/>
        </w:rPr>
        <w:t>La ONUDI presentó indicadores de desempeño conforme a la decisión 71/28 en el texto del plan administrativo. La Secretaría informó a la ONUDI sobre las metas que figuran en el Cuadro 5.</w:t>
      </w:r>
    </w:p>
    <w:p w:rsidR="009233D2" w:rsidRPr="00AE7714" w:rsidRDefault="009233D2" w:rsidP="009233D2">
      <w:pPr>
        <w:pStyle w:val="subhead"/>
        <w:keepNext/>
        <w:jc w:val="left"/>
        <w:rPr>
          <w:b/>
          <w:sz w:val="22"/>
          <w:szCs w:val="22"/>
        </w:rPr>
      </w:pPr>
      <w:r>
        <w:rPr>
          <w:b/>
          <w:sz w:val="22"/>
          <w:szCs w:val="22"/>
        </w:rPr>
        <w:t>Cuadro 5. Indicadores de desempeño para la ONUDI correspondientes a 2020</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449"/>
        <w:gridCol w:w="2072"/>
        <w:gridCol w:w="4340"/>
        <w:gridCol w:w="1488"/>
      </w:tblGrid>
      <w:tr w:rsidR="009233D2" w:rsidRPr="00AE7714" w:rsidTr="002B0B22">
        <w:trPr>
          <w:trHeight w:val="465"/>
          <w:tblHeader/>
          <w:jc w:val="center"/>
        </w:trPr>
        <w:tc>
          <w:tcPr>
            <w:tcW w:w="1449" w:type="dxa"/>
            <w:shd w:val="clear" w:color="auto" w:fill="auto"/>
            <w:hideMark/>
          </w:tcPr>
          <w:p w:rsidR="009233D2" w:rsidRDefault="009233D2" w:rsidP="002B0B22">
            <w:pPr>
              <w:keepNext/>
              <w:jc w:val="left"/>
              <w:rPr>
                <w:b/>
                <w:bCs/>
                <w:sz w:val="20"/>
                <w:szCs w:val="20"/>
              </w:rPr>
            </w:pPr>
            <w:proofErr w:type="spellStart"/>
            <w:r>
              <w:rPr>
                <w:b/>
                <w:bCs/>
                <w:sz w:val="20"/>
                <w:szCs w:val="20"/>
              </w:rPr>
              <w:t>Tipo</w:t>
            </w:r>
            <w:proofErr w:type="spellEnd"/>
            <w:r>
              <w:rPr>
                <w:b/>
                <w:bCs/>
                <w:sz w:val="20"/>
                <w:szCs w:val="20"/>
              </w:rPr>
              <w:t xml:space="preserve"> de </w:t>
            </w:r>
            <w:proofErr w:type="spellStart"/>
            <w:r>
              <w:rPr>
                <w:b/>
                <w:bCs/>
                <w:sz w:val="20"/>
                <w:szCs w:val="20"/>
              </w:rPr>
              <w:t>indicador</w:t>
            </w:r>
            <w:proofErr w:type="spellEnd"/>
            <w:r>
              <w:rPr>
                <w:b/>
                <w:bCs/>
                <w:sz w:val="20"/>
                <w:szCs w:val="20"/>
              </w:rPr>
              <w:t xml:space="preserve"> </w:t>
            </w:r>
          </w:p>
          <w:p w:rsidR="001462D6" w:rsidRPr="00AE7714" w:rsidRDefault="001462D6" w:rsidP="002B0B22">
            <w:pPr>
              <w:keepNext/>
              <w:jc w:val="left"/>
              <w:rPr>
                <w:b/>
                <w:bCs/>
                <w:sz w:val="20"/>
                <w:szCs w:val="20"/>
              </w:rPr>
            </w:pPr>
          </w:p>
        </w:tc>
        <w:tc>
          <w:tcPr>
            <w:tcW w:w="2072" w:type="dxa"/>
            <w:shd w:val="clear" w:color="auto" w:fill="auto"/>
            <w:hideMark/>
          </w:tcPr>
          <w:p w:rsidR="009233D2" w:rsidRPr="00AE7714" w:rsidRDefault="009233D2" w:rsidP="002B0B22">
            <w:pPr>
              <w:keepNext/>
              <w:jc w:val="center"/>
              <w:rPr>
                <w:b/>
                <w:bCs/>
                <w:sz w:val="20"/>
                <w:szCs w:val="20"/>
              </w:rPr>
            </w:pPr>
            <w:proofErr w:type="spellStart"/>
            <w:r>
              <w:rPr>
                <w:b/>
                <w:bCs/>
                <w:sz w:val="20"/>
                <w:szCs w:val="20"/>
              </w:rPr>
              <w:t>Título</w:t>
            </w:r>
            <w:proofErr w:type="spellEnd"/>
            <w:r>
              <w:rPr>
                <w:b/>
                <w:bCs/>
                <w:sz w:val="20"/>
                <w:szCs w:val="20"/>
              </w:rPr>
              <w:t xml:space="preserve"> </w:t>
            </w:r>
            <w:proofErr w:type="spellStart"/>
            <w:r>
              <w:rPr>
                <w:b/>
                <w:bCs/>
                <w:sz w:val="20"/>
                <w:szCs w:val="20"/>
              </w:rPr>
              <w:t>abreviado</w:t>
            </w:r>
            <w:proofErr w:type="spellEnd"/>
          </w:p>
        </w:tc>
        <w:tc>
          <w:tcPr>
            <w:tcW w:w="4340" w:type="dxa"/>
            <w:shd w:val="clear" w:color="auto" w:fill="auto"/>
            <w:hideMark/>
          </w:tcPr>
          <w:p w:rsidR="009233D2" w:rsidRPr="00AE7714" w:rsidRDefault="009233D2" w:rsidP="002B0B22">
            <w:pPr>
              <w:keepNext/>
              <w:jc w:val="center"/>
              <w:rPr>
                <w:b/>
                <w:bCs/>
                <w:sz w:val="20"/>
                <w:szCs w:val="20"/>
              </w:rPr>
            </w:pPr>
            <w:proofErr w:type="spellStart"/>
            <w:r>
              <w:rPr>
                <w:b/>
                <w:bCs/>
                <w:sz w:val="20"/>
                <w:szCs w:val="20"/>
              </w:rPr>
              <w:t>Criterio</w:t>
            </w:r>
            <w:proofErr w:type="spellEnd"/>
          </w:p>
        </w:tc>
        <w:tc>
          <w:tcPr>
            <w:tcW w:w="1488" w:type="dxa"/>
          </w:tcPr>
          <w:p w:rsidR="009233D2" w:rsidRPr="00AE7714" w:rsidRDefault="009233D2" w:rsidP="002B0B22">
            <w:pPr>
              <w:keepNext/>
              <w:jc w:val="center"/>
              <w:rPr>
                <w:b/>
                <w:bCs/>
                <w:sz w:val="20"/>
                <w:szCs w:val="20"/>
              </w:rPr>
            </w:pPr>
            <w:proofErr w:type="spellStart"/>
            <w:r>
              <w:rPr>
                <w:b/>
                <w:bCs/>
                <w:sz w:val="20"/>
                <w:szCs w:val="20"/>
              </w:rPr>
              <w:t>Objetivo</w:t>
            </w:r>
            <w:proofErr w:type="spellEnd"/>
            <w:r>
              <w:rPr>
                <w:b/>
                <w:bCs/>
                <w:sz w:val="20"/>
                <w:szCs w:val="20"/>
              </w:rPr>
              <w:t xml:space="preserve"> para 2020</w:t>
            </w:r>
          </w:p>
        </w:tc>
      </w:tr>
      <w:tr w:rsidR="009233D2" w:rsidRPr="00AE7714" w:rsidTr="002B0B22">
        <w:trPr>
          <w:trHeight w:val="457"/>
          <w:jc w:val="center"/>
        </w:trPr>
        <w:tc>
          <w:tcPr>
            <w:tcW w:w="1449" w:type="dxa"/>
            <w:shd w:val="clear" w:color="auto" w:fill="auto"/>
            <w:hideMark/>
          </w:tcPr>
          <w:p w:rsidR="009233D2" w:rsidRPr="00AE7714" w:rsidRDefault="009233D2" w:rsidP="002B0B22">
            <w:pPr>
              <w:keepNext/>
              <w:jc w:val="left"/>
              <w:rPr>
                <w:sz w:val="20"/>
                <w:szCs w:val="20"/>
              </w:rPr>
            </w:pPr>
            <w:proofErr w:type="spellStart"/>
            <w:r>
              <w:rPr>
                <w:sz w:val="20"/>
                <w:szCs w:val="20"/>
              </w:rPr>
              <w:t>Planificación</w:t>
            </w:r>
            <w:proofErr w:type="spellEnd"/>
            <w:r>
              <w:rPr>
                <w:sz w:val="20"/>
                <w:szCs w:val="20"/>
              </w:rPr>
              <w:t xml:space="preserve">-- </w:t>
            </w:r>
            <w:proofErr w:type="spellStart"/>
            <w:r>
              <w:rPr>
                <w:sz w:val="20"/>
                <w:szCs w:val="20"/>
              </w:rPr>
              <w:t>Aprobación</w:t>
            </w:r>
            <w:proofErr w:type="spellEnd"/>
            <w:r>
              <w:rPr>
                <w:sz w:val="20"/>
                <w:szCs w:val="20"/>
              </w:rPr>
              <w:t xml:space="preserve"> </w:t>
            </w:r>
          </w:p>
        </w:tc>
        <w:tc>
          <w:tcPr>
            <w:tcW w:w="2072" w:type="dxa"/>
            <w:shd w:val="clear" w:color="auto" w:fill="auto"/>
            <w:hideMark/>
          </w:tcPr>
          <w:p w:rsidR="009233D2" w:rsidRPr="00AE7714" w:rsidRDefault="009233D2" w:rsidP="002B0B22">
            <w:pPr>
              <w:keepNext/>
              <w:jc w:val="left"/>
              <w:rPr>
                <w:sz w:val="20"/>
                <w:szCs w:val="20"/>
              </w:rPr>
            </w:pPr>
            <w:proofErr w:type="spellStart"/>
            <w:r>
              <w:rPr>
                <w:sz w:val="20"/>
                <w:szCs w:val="20"/>
              </w:rPr>
              <w:t>Tramos</w:t>
            </w:r>
            <w:proofErr w:type="spellEnd"/>
            <w:r>
              <w:rPr>
                <w:sz w:val="20"/>
                <w:szCs w:val="20"/>
              </w:rPr>
              <w:t xml:space="preserve"> </w:t>
            </w:r>
            <w:proofErr w:type="spellStart"/>
            <w:r>
              <w:rPr>
                <w:sz w:val="20"/>
                <w:szCs w:val="20"/>
              </w:rPr>
              <w:t>aprobados</w:t>
            </w:r>
            <w:proofErr w:type="spellEnd"/>
          </w:p>
        </w:tc>
        <w:tc>
          <w:tcPr>
            <w:tcW w:w="4340" w:type="dxa"/>
            <w:shd w:val="clear" w:color="auto" w:fill="auto"/>
            <w:hideMark/>
          </w:tcPr>
          <w:p w:rsidR="009233D2" w:rsidRPr="00DA0A01" w:rsidRDefault="009233D2" w:rsidP="002B0B22">
            <w:pPr>
              <w:keepNext/>
              <w:jc w:val="left"/>
              <w:rPr>
                <w:sz w:val="20"/>
                <w:szCs w:val="20"/>
                <w:lang w:val="es-ES"/>
              </w:rPr>
            </w:pPr>
            <w:r w:rsidRPr="00DA0A01">
              <w:rPr>
                <w:sz w:val="20"/>
                <w:szCs w:val="20"/>
                <w:lang w:val="es-ES"/>
              </w:rPr>
              <w:t>Número de tramos aprobados en comparación con los previstos*</w:t>
            </w:r>
          </w:p>
        </w:tc>
        <w:tc>
          <w:tcPr>
            <w:tcW w:w="1488" w:type="dxa"/>
          </w:tcPr>
          <w:p w:rsidR="009233D2" w:rsidRPr="00AE7714" w:rsidRDefault="009233D2" w:rsidP="002B0B22">
            <w:pPr>
              <w:keepNext/>
              <w:jc w:val="right"/>
              <w:rPr>
                <w:sz w:val="20"/>
                <w:szCs w:val="20"/>
              </w:rPr>
            </w:pPr>
            <w:r>
              <w:rPr>
                <w:sz w:val="20"/>
                <w:szCs w:val="20"/>
              </w:rPr>
              <w:t>59</w:t>
            </w:r>
          </w:p>
        </w:tc>
      </w:tr>
      <w:tr w:rsidR="009233D2" w:rsidRPr="00AE7714" w:rsidTr="002B0B22">
        <w:trPr>
          <w:trHeight w:val="465"/>
          <w:jc w:val="center"/>
        </w:trPr>
        <w:tc>
          <w:tcPr>
            <w:tcW w:w="1449" w:type="dxa"/>
            <w:shd w:val="clear" w:color="auto" w:fill="auto"/>
            <w:hideMark/>
          </w:tcPr>
          <w:p w:rsidR="009233D2" w:rsidRPr="00AE7714" w:rsidRDefault="009233D2" w:rsidP="002B0B22">
            <w:pPr>
              <w:keepNext/>
              <w:jc w:val="left"/>
              <w:rPr>
                <w:sz w:val="20"/>
                <w:szCs w:val="20"/>
              </w:rPr>
            </w:pPr>
            <w:proofErr w:type="spellStart"/>
            <w:r>
              <w:rPr>
                <w:sz w:val="20"/>
                <w:szCs w:val="20"/>
              </w:rPr>
              <w:t>Planificación</w:t>
            </w:r>
            <w:proofErr w:type="spellEnd"/>
            <w:r>
              <w:rPr>
                <w:sz w:val="20"/>
                <w:szCs w:val="20"/>
              </w:rPr>
              <w:t xml:space="preserve">-- </w:t>
            </w:r>
            <w:proofErr w:type="spellStart"/>
            <w:r>
              <w:rPr>
                <w:sz w:val="20"/>
                <w:szCs w:val="20"/>
              </w:rPr>
              <w:t>Aprobación</w:t>
            </w:r>
            <w:proofErr w:type="spellEnd"/>
            <w:r>
              <w:rPr>
                <w:sz w:val="20"/>
                <w:szCs w:val="20"/>
              </w:rPr>
              <w:t xml:space="preserve"> </w:t>
            </w:r>
          </w:p>
        </w:tc>
        <w:tc>
          <w:tcPr>
            <w:tcW w:w="2072" w:type="dxa"/>
            <w:shd w:val="clear" w:color="auto" w:fill="auto"/>
            <w:hideMark/>
          </w:tcPr>
          <w:p w:rsidR="009233D2" w:rsidRPr="00AE7714" w:rsidRDefault="009233D2" w:rsidP="002B0B22">
            <w:pPr>
              <w:keepNext/>
              <w:jc w:val="left"/>
              <w:rPr>
                <w:sz w:val="20"/>
                <w:szCs w:val="20"/>
              </w:rPr>
            </w:pPr>
            <w:proofErr w:type="spellStart"/>
            <w:r>
              <w:rPr>
                <w:sz w:val="20"/>
                <w:szCs w:val="20"/>
              </w:rPr>
              <w:t>Proyectos</w:t>
            </w:r>
            <w:proofErr w:type="spellEnd"/>
            <w:r>
              <w:rPr>
                <w:sz w:val="20"/>
                <w:szCs w:val="20"/>
              </w:rPr>
              <w:t>/</w:t>
            </w:r>
            <w:proofErr w:type="spellStart"/>
            <w:r>
              <w:rPr>
                <w:sz w:val="20"/>
                <w:szCs w:val="20"/>
              </w:rPr>
              <w:t>actividades</w:t>
            </w:r>
            <w:proofErr w:type="spellEnd"/>
            <w:r>
              <w:rPr>
                <w:sz w:val="20"/>
                <w:szCs w:val="20"/>
              </w:rPr>
              <w:t xml:space="preserve"> </w:t>
            </w:r>
            <w:proofErr w:type="spellStart"/>
            <w:r>
              <w:rPr>
                <w:sz w:val="20"/>
                <w:szCs w:val="20"/>
              </w:rPr>
              <w:t>aprobados</w:t>
            </w:r>
            <w:proofErr w:type="spellEnd"/>
          </w:p>
        </w:tc>
        <w:tc>
          <w:tcPr>
            <w:tcW w:w="4340" w:type="dxa"/>
            <w:shd w:val="clear" w:color="auto" w:fill="auto"/>
            <w:hideMark/>
          </w:tcPr>
          <w:p w:rsidR="009233D2" w:rsidRPr="00DA0A01" w:rsidRDefault="009233D2" w:rsidP="002B0B22">
            <w:pPr>
              <w:keepNext/>
              <w:jc w:val="left"/>
              <w:rPr>
                <w:sz w:val="20"/>
                <w:szCs w:val="20"/>
                <w:lang w:val="es-ES"/>
              </w:rPr>
            </w:pPr>
            <w:r w:rsidRPr="00DA0A01">
              <w:rPr>
                <w:sz w:val="20"/>
                <w:szCs w:val="20"/>
                <w:lang w:val="es-ES"/>
              </w:rPr>
              <w:t>Número de proyectos/actividades aprobados en comparación con los previstos (incluye actividades de preparación de proyectos)**</w:t>
            </w:r>
          </w:p>
        </w:tc>
        <w:tc>
          <w:tcPr>
            <w:tcW w:w="1488" w:type="dxa"/>
          </w:tcPr>
          <w:p w:rsidR="009233D2" w:rsidRPr="00AE7714" w:rsidRDefault="009233D2" w:rsidP="002B0B22">
            <w:pPr>
              <w:keepNext/>
              <w:jc w:val="right"/>
              <w:rPr>
                <w:sz w:val="20"/>
                <w:szCs w:val="20"/>
              </w:rPr>
            </w:pPr>
            <w:r>
              <w:rPr>
                <w:sz w:val="20"/>
                <w:szCs w:val="20"/>
              </w:rPr>
              <w:t>29</w:t>
            </w:r>
          </w:p>
        </w:tc>
      </w:tr>
      <w:tr w:rsidR="009233D2" w:rsidRPr="00AE7714" w:rsidTr="002B0B22">
        <w:trPr>
          <w:trHeight w:val="232"/>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t>Ejecución</w:t>
            </w:r>
            <w:proofErr w:type="spellEnd"/>
            <w:r>
              <w:rPr>
                <w:sz w:val="20"/>
                <w:szCs w:val="20"/>
              </w:rPr>
              <w:t xml:space="preserve"> </w:t>
            </w:r>
          </w:p>
        </w:tc>
        <w:tc>
          <w:tcPr>
            <w:tcW w:w="2072" w:type="dxa"/>
            <w:shd w:val="clear" w:color="auto" w:fill="auto"/>
            <w:hideMark/>
          </w:tcPr>
          <w:p w:rsidR="009233D2" w:rsidRPr="00AE7714" w:rsidRDefault="009233D2" w:rsidP="002B0B22">
            <w:pPr>
              <w:jc w:val="left"/>
              <w:rPr>
                <w:sz w:val="20"/>
                <w:szCs w:val="20"/>
              </w:rPr>
            </w:pPr>
            <w:proofErr w:type="spellStart"/>
            <w:r>
              <w:rPr>
                <w:sz w:val="20"/>
                <w:szCs w:val="20"/>
              </w:rPr>
              <w:t>Fondos</w:t>
            </w:r>
            <w:proofErr w:type="spellEnd"/>
            <w:r>
              <w:rPr>
                <w:sz w:val="20"/>
                <w:szCs w:val="20"/>
              </w:rPr>
              <w:t xml:space="preserve"> </w:t>
            </w:r>
            <w:proofErr w:type="spellStart"/>
            <w:r>
              <w:rPr>
                <w:sz w:val="20"/>
                <w:szCs w:val="20"/>
              </w:rPr>
              <w:t>desembolsados</w:t>
            </w:r>
            <w:proofErr w:type="spellEnd"/>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Sobre la base de desembolsos estimados en el informe sobre la marcha de las actividades</w:t>
            </w:r>
          </w:p>
        </w:tc>
        <w:tc>
          <w:tcPr>
            <w:tcW w:w="1488" w:type="dxa"/>
          </w:tcPr>
          <w:p w:rsidR="009233D2" w:rsidRPr="00AE7714" w:rsidRDefault="009233D2" w:rsidP="002B0B22">
            <w:pPr>
              <w:jc w:val="right"/>
              <w:rPr>
                <w:sz w:val="20"/>
                <w:szCs w:val="20"/>
              </w:rPr>
            </w:pPr>
            <w:r>
              <w:rPr>
                <w:sz w:val="20"/>
                <w:szCs w:val="20"/>
              </w:rPr>
              <w:t>23.582.315 $EUA</w:t>
            </w:r>
          </w:p>
        </w:tc>
      </w:tr>
      <w:tr w:rsidR="009233D2" w:rsidRPr="00AE7714" w:rsidTr="002B0B22">
        <w:trPr>
          <w:trHeight w:val="698"/>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t>Ejecución</w:t>
            </w:r>
            <w:proofErr w:type="spellEnd"/>
          </w:p>
        </w:tc>
        <w:tc>
          <w:tcPr>
            <w:tcW w:w="2072" w:type="dxa"/>
            <w:shd w:val="clear" w:color="auto" w:fill="auto"/>
            <w:hideMark/>
          </w:tcPr>
          <w:p w:rsidR="009233D2" w:rsidRPr="00AE7714" w:rsidRDefault="009233D2" w:rsidP="002B0B22">
            <w:pPr>
              <w:jc w:val="left"/>
              <w:rPr>
                <w:sz w:val="20"/>
                <w:szCs w:val="20"/>
              </w:rPr>
            </w:pPr>
            <w:proofErr w:type="spellStart"/>
            <w:r>
              <w:rPr>
                <w:sz w:val="20"/>
                <w:szCs w:val="20"/>
              </w:rPr>
              <w:t>Eliminación</w:t>
            </w:r>
            <w:proofErr w:type="spellEnd"/>
            <w:r>
              <w:rPr>
                <w:sz w:val="20"/>
                <w:szCs w:val="20"/>
              </w:rPr>
              <w:t xml:space="preserve"> de SAO</w:t>
            </w:r>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Eliminación de SAO para el tramo al momento de aprobarse el siguiente tramo en comparación con lo previsto en los planes administrativos</w:t>
            </w:r>
          </w:p>
        </w:tc>
        <w:tc>
          <w:tcPr>
            <w:tcW w:w="1488" w:type="dxa"/>
          </w:tcPr>
          <w:p w:rsidR="009233D2" w:rsidRPr="00AE7714" w:rsidRDefault="009233D2" w:rsidP="002B0B22">
            <w:pPr>
              <w:jc w:val="right"/>
              <w:rPr>
                <w:sz w:val="20"/>
                <w:szCs w:val="20"/>
              </w:rPr>
            </w:pPr>
            <w:r>
              <w:rPr>
                <w:sz w:val="20"/>
                <w:szCs w:val="20"/>
              </w:rPr>
              <w:t xml:space="preserve">796,41 </w:t>
            </w:r>
            <w:proofErr w:type="spellStart"/>
            <w:r>
              <w:rPr>
                <w:sz w:val="20"/>
                <w:szCs w:val="20"/>
              </w:rPr>
              <w:t>toneladas</w:t>
            </w:r>
            <w:proofErr w:type="spellEnd"/>
            <w:r>
              <w:rPr>
                <w:sz w:val="20"/>
                <w:szCs w:val="20"/>
              </w:rPr>
              <w:t xml:space="preserve"> PAO</w:t>
            </w:r>
          </w:p>
        </w:tc>
      </w:tr>
      <w:tr w:rsidR="009233D2" w:rsidRPr="00AE7714" w:rsidTr="002B0B22">
        <w:trPr>
          <w:trHeight w:val="457"/>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t>Ejecución</w:t>
            </w:r>
            <w:proofErr w:type="spellEnd"/>
            <w:r>
              <w:rPr>
                <w:sz w:val="20"/>
                <w:szCs w:val="20"/>
              </w:rPr>
              <w:t xml:space="preserve"> </w:t>
            </w:r>
          </w:p>
        </w:tc>
        <w:tc>
          <w:tcPr>
            <w:tcW w:w="2072" w:type="dxa"/>
            <w:shd w:val="clear" w:color="auto" w:fill="auto"/>
            <w:hideMark/>
          </w:tcPr>
          <w:p w:rsidR="009233D2" w:rsidRPr="00DA0A01" w:rsidRDefault="009233D2" w:rsidP="002B0B22">
            <w:pPr>
              <w:jc w:val="left"/>
              <w:rPr>
                <w:sz w:val="20"/>
                <w:szCs w:val="20"/>
                <w:lang w:val="es-ES"/>
              </w:rPr>
            </w:pPr>
            <w:r w:rsidRPr="00DA0A01">
              <w:rPr>
                <w:sz w:val="20"/>
                <w:szCs w:val="20"/>
                <w:lang w:val="es-ES"/>
              </w:rPr>
              <w:t>Terminación de proyectos por actividades</w:t>
            </w:r>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Terminación de proyectos en comparación con lo planificado en los informes sobre la marcha de las actividades para todas las actividades (excluida la preparación de proyectos)</w:t>
            </w:r>
          </w:p>
        </w:tc>
        <w:tc>
          <w:tcPr>
            <w:tcW w:w="1488" w:type="dxa"/>
          </w:tcPr>
          <w:p w:rsidR="009233D2" w:rsidRPr="00AE7714" w:rsidRDefault="009233D2" w:rsidP="002B0B22">
            <w:pPr>
              <w:jc w:val="right"/>
              <w:rPr>
                <w:sz w:val="20"/>
                <w:szCs w:val="20"/>
              </w:rPr>
            </w:pPr>
            <w:r>
              <w:rPr>
                <w:sz w:val="20"/>
                <w:szCs w:val="20"/>
              </w:rPr>
              <w:t>64</w:t>
            </w:r>
          </w:p>
        </w:tc>
      </w:tr>
      <w:tr w:rsidR="009233D2" w:rsidRPr="00F56E0B" w:rsidTr="002B0B22">
        <w:trPr>
          <w:trHeight w:val="698"/>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t>Administrativo</w:t>
            </w:r>
            <w:proofErr w:type="spellEnd"/>
          </w:p>
        </w:tc>
        <w:tc>
          <w:tcPr>
            <w:tcW w:w="2072" w:type="dxa"/>
            <w:shd w:val="clear" w:color="auto" w:fill="auto"/>
            <w:hideMark/>
          </w:tcPr>
          <w:p w:rsidR="009233D2" w:rsidRPr="00DA0A01" w:rsidRDefault="009233D2" w:rsidP="002B0B22">
            <w:pPr>
              <w:jc w:val="left"/>
              <w:rPr>
                <w:sz w:val="20"/>
                <w:szCs w:val="20"/>
                <w:lang w:val="es-ES"/>
              </w:rPr>
            </w:pPr>
            <w:r w:rsidRPr="00DA0A01">
              <w:rPr>
                <w:sz w:val="20"/>
                <w:szCs w:val="20"/>
                <w:lang w:val="es-ES"/>
              </w:rPr>
              <w:t>Diligencia en el cierre financiero</w:t>
            </w:r>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Grado de finalización financiera 12 meses después de la terminación del proyecto</w:t>
            </w:r>
          </w:p>
        </w:tc>
        <w:tc>
          <w:tcPr>
            <w:tcW w:w="1488" w:type="dxa"/>
          </w:tcPr>
          <w:p w:rsidR="009233D2" w:rsidRPr="00DA0A01" w:rsidRDefault="009233D2" w:rsidP="002B0B22">
            <w:pPr>
              <w:jc w:val="right"/>
              <w:rPr>
                <w:sz w:val="20"/>
                <w:szCs w:val="20"/>
                <w:lang w:val="es-ES"/>
              </w:rPr>
            </w:pPr>
            <w:r w:rsidRPr="00DA0A01">
              <w:rPr>
                <w:sz w:val="20"/>
                <w:szCs w:val="20"/>
                <w:lang w:val="es-ES"/>
              </w:rPr>
              <w:t>Doce meses después de concluir las operaciones</w:t>
            </w:r>
          </w:p>
        </w:tc>
      </w:tr>
      <w:tr w:rsidR="009233D2" w:rsidRPr="00AE7714" w:rsidTr="002B0B22">
        <w:trPr>
          <w:trHeight w:val="690"/>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t>Administrativo</w:t>
            </w:r>
            <w:proofErr w:type="spellEnd"/>
            <w:r>
              <w:rPr>
                <w:sz w:val="20"/>
                <w:szCs w:val="20"/>
              </w:rPr>
              <w:t xml:space="preserve"> </w:t>
            </w:r>
          </w:p>
        </w:tc>
        <w:tc>
          <w:tcPr>
            <w:tcW w:w="2072" w:type="dxa"/>
            <w:shd w:val="clear" w:color="auto" w:fill="auto"/>
            <w:hideMark/>
          </w:tcPr>
          <w:p w:rsidR="009233D2" w:rsidRPr="00DA0A01" w:rsidRDefault="009233D2" w:rsidP="002B0B22">
            <w:pPr>
              <w:jc w:val="left"/>
              <w:rPr>
                <w:sz w:val="20"/>
                <w:szCs w:val="20"/>
                <w:lang w:val="es-ES"/>
              </w:rPr>
            </w:pPr>
            <w:r w:rsidRPr="00DA0A01">
              <w:rPr>
                <w:sz w:val="20"/>
                <w:szCs w:val="20"/>
                <w:lang w:val="es-ES"/>
              </w:rPr>
              <w:t>Entrega puntual de informes de terminación de proyecto</w:t>
            </w:r>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Entrega puntual de informes de terminación de proyecto en comparación con lo acordado</w:t>
            </w:r>
          </w:p>
        </w:tc>
        <w:tc>
          <w:tcPr>
            <w:tcW w:w="1488" w:type="dxa"/>
          </w:tcPr>
          <w:p w:rsidR="009233D2" w:rsidRPr="00AE7714" w:rsidRDefault="009233D2" w:rsidP="002B0B22">
            <w:pPr>
              <w:jc w:val="right"/>
              <w:rPr>
                <w:sz w:val="20"/>
                <w:szCs w:val="20"/>
              </w:rPr>
            </w:pPr>
            <w:r>
              <w:rPr>
                <w:sz w:val="20"/>
                <w:szCs w:val="20"/>
              </w:rPr>
              <w:t>5</w:t>
            </w:r>
          </w:p>
        </w:tc>
      </w:tr>
      <w:tr w:rsidR="009233D2" w:rsidRPr="00AE7714" w:rsidTr="002B0B22">
        <w:trPr>
          <w:trHeight w:val="376"/>
          <w:jc w:val="center"/>
        </w:trPr>
        <w:tc>
          <w:tcPr>
            <w:tcW w:w="1449" w:type="dxa"/>
            <w:shd w:val="clear" w:color="auto" w:fill="auto"/>
            <w:hideMark/>
          </w:tcPr>
          <w:p w:rsidR="009233D2" w:rsidRPr="00AE7714" w:rsidRDefault="009233D2" w:rsidP="002B0B22">
            <w:pPr>
              <w:jc w:val="left"/>
              <w:rPr>
                <w:sz w:val="20"/>
                <w:szCs w:val="20"/>
              </w:rPr>
            </w:pPr>
            <w:proofErr w:type="spellStart"/>
            <w:r>
              <w:rPr>
                <w:sz w:val="20"/>
                <w:szCs w:val="20"/>
              </w:rPr>
              <w:lastRenderedPageBreak/>
              <w:t>Administrativo</w:t>
            </w:r>
            <w:proofErr w:type="spellEnd"/>
            <w:r>
              <w:rPr>
                <w:sz w:val="20"/>
                <w:szCs w:val="20"/>
              </w:rPr>
              <w:t xml:space="preserve"> </w:t>
            </w:r>
          </w:p>
        </w:tc>
        <w:tc>
          <w:tcPr>
            <w:tcW w:w="2072" w:type="dxa"/>
            <w:shd w:val="clear" w:color="auto" w:fill="auto"/>
            <w:hideMark/>
          </w:tcPr>
          <w:p w:rsidR="009233D2" w:rsidRPr="00DA0A01" w:rsidRDefault="009233D2" w:rsidP="002B0B22">
            <w:pPr>
              <w:jc w:val="left"/>
              <w:rPr>
                <w:sz w:val="20"/>
                <w:szCs w:val="20"/>
                <w:lang w:val="es-ES"/>
              </w:rPr>
            </w:pPr>
            <w:r w:rsidRPr="00DA0A01">
              <w:rPr>
                <w:sz w:val="20"/>
                <w:szCs w:val="20"/>
                <w:lang w:val="es-ES"/>
              </w:rPr>
              <w:t>Entrega puntual de informes sobre la marcha de las actividades</w:t>
            </w:r>
          </w:p>
        </w:tc>
        <w:tc>
          <w:tcPr>
            <w:tcW w:w="4340" w:type="dxa"/>
            <w:shd w:val="clear" w:color="auto" w:fill="auto"/>
            <w:hideMark/>
          </w:tcPr>
          <w:p w:rsidR="009233D2" w:rsidRPr="00DA0A01" w:rsidRDefault="009233D2" w:rsidP="002B0B22">
            <w:pPr>
              <w:jc w:val="left"/>
              <w:rPr>
                <w:sz w:val="20"/>
                <w:szCs w:val="20"/>
                <w:lang w:val="es-ES"/>
              </w:rPr>
            </w:pPr>
            <w:r w:rsidRPr="00DA0A01">
              <w:rPr>
                <w:sz w:val="20"/>
                <w:szCs w:val="20"/>
                <w:lang w:val="es-ES"/>
              </w:rPr>
              <w:t>Entrega puntual de informes sobre la marcha de las actividades, planes administrativos y respuestas a menos que se haya acordado otra cosa</w:t>
            </w:r>
          </w:p>
        </w:tc>
        <w:tc>
          <w:tcPr>
            <w:tcW w:w="1488" w:type="dxa"/>
          </w:tcPr>
          <w:p w:rsidR="009233D2" w:rsidRPr="00AE7714" w:rsidRDefault="009233D2" w:rsidP="002B0B22">
            <w:pPr>
              <w:jc w:val="right"/>
              <w:rPr>
                <w:sz w:val="20"/>
                <w:szCs w:val="20"/>
              </w:rPr>
            </w:pPr>
            <w:proofErr w:type="spellStart"/>
            <w:r>
              <w:rPr>
                <w:sz w:val="20"/>
                <w:szCs w:val="20"/>
              </w:rPr>
              <w:t>Puntual</w:t>
            </w:r>
            <w:proofErr w:type="spellEnd"/>
          </w:p>
        </w:tc>
      </w:tr>
    </w:tbl>
    <w:p w:rsidR="009233D2" w:rsidRPr="00DA0A01" w:rsidRDefault="009233D2" w:rsidP="009233D2">
      <w:pPr>
        <w:rPr>
          <w:sz w:val="20"/>
          <w:lang w:val="es-ES"/>
        </w:rPr>
      </w:pPr>
      <w:r w:rsidRPr="00DA0A01">
        <w:rPr>
          <w:sz w:val="20"/>
          <w:lang w:val="es-ES"/>
        </w:rPr>
        <w:t>* El objetivo previsto por un organismo se reduciría si no pudiera presentar un tramo como consecuencia de otro organismo director o cooperante, de haberse acordado así con este último organismo.</w:t>
      </w:r>
    </w:p>
    <w:p w:rsidR="009233D2" w:rsidRPr="00DA0A01" w:rsidRDefault="009233D2" w:rsidP="009233D2">
      <w:pPr>
        <w:rPr>
          <w:sz w:val="20"/>
          <w:lang w:val="es-ES"/>
        </w:rPr>
      </w:pPr>
      <w:r w:rsidRPr="00DA0A01">
        <w:rPr>
          <w:sz w:val="20"/>
          <w:lang w:val="es-ES"/>
        </w:rPr>
        <w:t xml:space="preserve">** La preparación de proyecto no se evaluará si el Comité Ejecutivo no ha tomado una decisión sobre su financiación. </w:t>
      </w:r>
    </w:p>
    <w:p w:rsidR="009233D2" w:rsidRPr="00DA0A01" w:rsidRDefault="009233D2" w:rsidP="009233D2">
      <w:pPr>
        <w:rPr>
          <w:lang w:val="es-ES"/>
        </w:rPr>
      </w:pPr>
    </w:p>
    <w:p w:rsidR="009233D2" w:rsidRPr="00AE7714" w:rsidRDefault="009233D2" w:rsidP="009233D2">
      <w:pPr>
        <w:pStyle w:val="sub-title"/>
        <w:keepNext/>
        <w:keepLines/>
        <w:spacing w:after="240"/>
        <w:rPr>
          <w:noProof w:val="0"/>
        </w:rPr>
      </w:pPr>
      <w:r>
        <w:t>RECOMENDACIÓN</w:t>
      </w:r>
    </w:p>
    <w:p w:rsidR="009233D2" w:rsidRPr="00DA0A01" w:rsidRDefault="009233D2" w:rsidP="009233D2">
      <w:pPr>
        <w:pStyle w:val="Heading1"/>
        <w:rPr>
          <w:lang w:val="es-ES"/>
        </w:rPr>
      </w:pPr>
      <w:r w:rsidRPr="00DA0A01">
        <w:rPr>
          <w:lang w:val="es-ES"/>
        </w:rPr>
        <w:t>El Comité Ejecutivo puede estimar oportuno:</w:t>
      </w:r>
    </w:p>
    <w:p w:rsidR="009233D2" w:rsidRPr="00DA0A01" w:rsidRDefault="009233D2" w:rsidP="009233D2">
      <w:pPr>
        <w:pStyle w:val="Heading2"/>
        <w:rPr>
          <w:lang w:val="es-ES"/>
        </w:rPr>
      </w:pPr>
      <w:r w:rsidRPr="00DA0A01">
        <w:rPr>
          <w:lang w:val="es-ES"/>
        </w:rPr>
        <w:t>Tomar nota del plan administrativo de la ONUDI para 2020-2022 que se recoge en el documento UNEP/</w:t>
      </w:r>
      <w:proofErr w:type="spellStart"/>
      <w:r w:rsidRPr="00DA0A01">
        <w:rPr>
          <w:lang w:val="es-ES"/>
        </w:rPr>
        <w:t>OzL.Pro</w:t>
      </w:r>
      <w:proofErr w:type="spellEnd"/>
      <w:r w:rsidRPr="00DA0A01">
        <w:rPr>
          <w:lang w:val="es-ES"/>
        </w:rPr>
        <w:t>/</w:t>
      </w:r>
      <w:proofErr w:type="spellStart"/>
      <w:r w:rsidRPr="00DA0A01">
        <w:rPr>
          <w:lang w:val="es-ES"/>
        </w:rPr>
        <w:t>ExCom</w:t>
      </w:r>
      <w:proofErr w:type="spellEnd"/>
      <w:r w:rsidRPr="00DA0A01">
        <w:rPr>
          <w:lang w:val="es-ES"/>
        </w:rPr>
        <w:t>/84/30; y</w:t>
      </w:r>
    </w:p>
    <w:p w:rsidR="009233D2" w:rsidRPr="00DA0A01" w:rsidRDefault="009233D2" w:rsidP="009233D2">
      <w:pPr>
        <w:pStyle w:val="Heading2"/>
        <w:rPr>
          <w:lang w:val="es-ES"/>
        </w:rPr>
      </w:pPr>
      <w:r w:rsidRPr="00DA0A01">
        <w:rPr>
          <w:lang w:val="es-ES"/>
        </w:rPr>
        <w:t>Aprobar los indicadores de desempeño para la ONUDI expuestos en el Cuadro 5 del presente documento UNEP/</w:t>
      </w:r>
      <w:proofErr w:type="spellStart"/>
      <w:r w:rsidRPr="00DA0A01">
        <w:rPr>
          <w:lang w:val="es-ES"/>
        </w:rPr>
        <w:t>OzL.Pro</w:t>
      </w:r>
      <w:proofErr w:type="spellEnd"/>
      <w:r w:rsidRPr="00DA0A01">
        <w:rPr>
          <w:lang w:val="es-ES"/>
        </w:rPr>
        <w:t>/</w:t>
      </w:r>
      <w:proofErr w:type="spellStart"/>
      <w:r w:rsidRPr="00DA0A01">
        <w:rPr>
          <w:lang w:val="es-ES"/>
        </w:rPr>
        <w:t>ExCom</w:t>
      </w:r>
      <w:proofErr w:type="spellEnd"/>
      <w:r w:rsidRPr="00DA0A01">
        <w:rPr>
          <w:lang w:val="es-ES"/>
        </w:rPr>
        <w:t>/84/30.</w:t>
      </w:r>
    </w:p>
    <w:p w:rsidR="0087455A" w:rsidRPr="00DA0A01" w:rsidRDefault="0087455A">
      <w:pPr>
        <w:rPr>
          <w:lang w:val="es-ES"/>
        </w:rPr>
      </w:pPr>
    </w:p>
    <w:p w:rsidR="0087455A" w:rsidRDefault="0087455A">
      <w:pPr>
        <w:jc w:val="center"/>
        <w:rPr>
          <w:b/>
          <w:bCs/>
          <w:lang w:val="es-ES"/>
        </w:rPr>
      </w:pPr>
    </w:p>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039" w:rsidRDefault="004B5039">
      <w:r>
        <w:separator/>
      </w:r>
    </w:p>
  </w:endnote>
  <w:endnote w:type="continuationSeparator" w:id="0">
    <w:p w:rsidR="004B5039" w:rsidRDefault="004B5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9233D2" w:rsidRDefault="009233D2" w:rsidP="009233D2">
        <w:pPr>
          <w:pStyle w:val="Footer"/>
          <w:jc w:val="center"/>
          <w:rPr>
            <w:noProof/>
          </w:rPr>
        </w:pPr>
        <w:r>
          <w:fldChar w:fldCharType="begin"/>
        </w:r>
        <w:r>
          <w:instrText xml:space="preserve"> PAGE   \* MERGEFORMAT </w:instrText>
        </w:r>
        <w:r>
          <w:fldChar w:fldCharType="separate"/>
        </w:r>
        <w:r w:rsidR="00F56E0B">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278955"/>
      <w:docPartObj>
        <w:docPartGallery w:val="Page Numbers (Bottom of Page)"/>
        <w:docPartUnique/>
      </w:docPartObj>
    </w:sdtPr>
    <w:sdtEndPr>
      <w:rPr>
        <w:noProof/>
      </w:rPr>
    </w:sdtEndPr>
    <w:sdtContent>
      <w:p w:rsidR="009233D2" w:rsidRDefault="009233D2" w:rsidP="009233D2">
        <w:pPr>
          <w:pStyle w:val="Footer"/>
          <w:jc w:val="center"/>
          <w:rPr>
            <w:noProof/>
          </w:rPr>
        </w:pPr>
        <w:r>
          <w:fldChar w:fldCharType="begin"/>
        </w:r>
        <w:r>
          <w:instrText xml:space="preserve"> PAGE   \* MERGEFORMAT </w:instrText>
        </w:r>
        <w:r>
          <w:fldChar w:fldCharType="separate"/>
        </w:r>
        <w:r w:rsidR="00F56E0B">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Pr>
      <w:pStyle w:val="Footer"/>
      <w:jc w:val="center"/>
    </w:pPr>
  </w:p>
  <w:p w:rsidR="0087455A" w:rsidRPr="009233D2" w:rsidRDefault="009233D2" w:rsidP="009233D2">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039" w:rsidRDefault="004B5039">
      <w:r>
        <w:separator/>
      </w:r>
    </w:p>
  </w:footnote>
  <w:footnote w:type="continuationSeparator" w:id="0">
    <w:p w:rsidR="004B5039" w:rsidRDefault="004B5039">
      <w:r>
        <w:continuationSeparator/>
      </w:r>
    </w:p>
  </w:footnote>
  <w:footnote w:id="1">
    <w:p w:rsidR="009233D2" w:rsidRPr="002D337D" w:rsidRDefault="009233D2" w:rsidP="009233D2">
      <w:pPr>
        <w:pStyle w:val="FootnoteText"/>
      </w:pPr>
      <w:r>
        <w:rPr>
          <w:rStyle w:val="FootnoteReference"/>
        </w:rPr>
        <w:footnoteRef/>
      </w:r>
      <w:r>
        <w:t xml:space="preserve"> En la reunión de coordinación entre organismos (IACM), celebrada en Montreal del 9 al 11 de octubre de 2019, se debatió un proyecto de plan administrativo de la ONUDI para 2020–2022. En el plan administrativo que figura en este documento se abordan las cuestiones planteadas en la reunión.</w:t>
      </w:r>
    </w:p>
  </w:footnote>
  <w:footnote w:id="2">
    <w:p w:rsidR="009233D2" w:rsidRPr="002D337D" w:rsidRDefault="009233D2" w:rsidP="009233D2">
      <w:pPr>
        <w:pStyle w:val="FootnoteText"/>
      </w:pPr>
      <w:r>
        <w:rPr>
          <w:rStyle w:val="FootnoteReference"/>
        </w:rPr>
        <w:footnoteRef/>
      </w:r>
      <w:r>
        <w:t xml:space="preserve"> Para el sector de refrigeración y climatización sirio se aprobó financiar la eliminación de 12,9 toneladas PAO de HCFC. Se trata de un proyecto autónomo adicional al plan de gestión de la eliminación de los HCFC y que equivale al 9,6% de la cifra base.</w:t>
      </w:r>
    </w:p>
  </w:footnote>
  <w:footnote w:id="3">
    <w:p w:rsidR="009233D2" w:rsidRPr="0069500F" w:rsidRDefault="009233D2" w:rsidP="009233D2">
      <w:pPr>
        <w:pStyle w:val="FootnoteText"/>
      </w:pPr>
      <w:r>
        <w:rPr>
          <w:rStyle w:val="FootnoteReference"/>
        </w:rPr>
        <w:footnoteRef/>
      </w:r>
      <w:r>
        <w:t xml:space="preserve"> La solicitud de costos de la unidad central de la ONUDI para 2020 se ha presentado a la 84ª reunión (UNEP/</w:t>
      </w:r>
      <w:proofErr w:type="spellStart"/>
      <w:r>
        <w:t>OzL.Pro</w:t>
      </w:r>
      <w:proofErr w:type="spellEnd"/>
      <w:r>
        <w:t>/</w:t>
      </w:r>
      <w:proofErr w:type="spellStart"/>
      <w:r>
        <w:t>ExCom</w:t>
      </w:r>
      <w:proofErr w:type="spellEnd"/>
      <w:r>
        <w:t>/84/38).</w:t>
      </w:r>
    </w:p>
  </w:footnote>
  <w:footnote w:id="4">
    <w:p w:rsidR="009233D2" w:rsidRPr="003D249D" w:rsidRDefault="009233D2" w:rsidP="009233D2">
      <w:pPr>
        <w:pStyle w:val="FootnoteText"/>
      </w:pPr>
      <w:r>
        <w:rPr>
          <w:rStyle w:val="FootnoteReference"/>
        </w:rPr>
        <w:footnoteRef/>
      </w:r>
      <w:r>
        <w:t xml:space="preserve"> UNEP/</w:t>
      </w:r>
      <w:proofErr w:type="spellStart"/>
      <w:r>
        <w:t>OzL.Pro</w:t>
      </w:r>
      <w:proofErr w:type="spellEnd"/>
      <w:r>
        <w:t>/</w:t>
      </w:r>
      <w:proofErr w:type="spellStart"/>
      <w:r>
        <w:t>ExCom</w:t>
      </w:r>
      <w:proofErr w:type="spellEnd"/>
      <w: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3D2" w:rsidRDefault="00677916">
    <w:pPr>
      <w:pStyle w:val="Header"/>
    </w:pPr>
    <w:r>
      <w:fldChar w:fldCharType="begin"/>
    </w:r>
    <w:r>
      <w:instrText xml:space="preserve"> DOCPROPERTY "Document number"  \* MERGEFORMAT </w:instrText>
    </w:r>
    <w:r>
      <w:fldChar w:fldCharType="separate"/>
    </w:r>
    <w:r w:rsidR="00F56E0B">
      <w:t>UNEP/</w:t>
    </w:r>
    <w:proofErr w:type="spellStart"/>
    <w:r w:rsidR="00F56E0B">
      <w:t>OzL.Pro</w:t>
    </w:r>
    <w:proofErr w:type="spellEnd"/>
    <w:r w:rsidR="00F56E0B">
      <w:t>/</w:t>
    </w:r>
    <w:proofErr w:type="spellStart"/>
    <w:r w:rsidR="00F56E0B">
      <w:t>ExCom</w:t>
    </w:r>
    <w:proofErr w:type="spellEnd"/>
    <w:r w:rsidR="00F56E0B">
      <w:t>/84/30</w:t>
    </w:r>
    <w:r>
      <w:fldChar w:fldCharType="end"/>
    </w:r>
  </w:p>
  <w:p w:rsidR="009233D2" w:rsidRDefault="009233D2">
    <w:pPr>
      <w:pStyle w:val="Header"/>
    </w:pPr>
  </w:p>
  <w:p w:rsidR="009233D2" w:rsidRDefault="009233D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3D2" w:rsidRDefault="00677916" w:rsidP="009233D2">
    <w:pPr>
      <w:pStyle w:val="Header"/>
      <w:jc w:val="right"/>
    </w:pPr>
    <w:r>
      <w:fldChar w:fldCharType="begin"/>
    </w:r>
    <w:r>
      <w:instrText xml:space="preserve"> DOCPROPERTY "Document number"  \* MERGEFORMAT </w:instrText>
    </w:r>
    <w:r>
      <w:fldChar w:fldCharType="separate"/>
    </w:r>
    <w:r w:rsidR="00F56E0B">
      <w:t>UNEP/</w:t>
    </w:r>
    <w:proofErr w:type="spellStart"/>
    <w:r w:rsidR="00F56E0B">
      <w:t>OzL.Pro</w:t>
    </w:r>
    <w:proofErr w:type="spellEnd"/>
    <w:r w:rsidR="00F56E0B">
      <w:t>/</w:t>
    </w:r>
    <w:proofErr w:type="spellStart"/>
    <w:r w:rsidR="00F56E0B">
      <w:t>ExCom</w:t>
    </w:r>
    <w:proofErr w:type="spellEnd"/>
    <w:r w:rsidR="00F56E0B">
      <w:t>/84/30</w:t>
    </w:r>
    <w:r>
      <w:fldChar w:fldCharType="end"/>
    </w:r>
  </w:p>
  <w:p w:rsidR="009233D2" w:rsidRDefault="009233D2">
    <w:pPr>
      <w:pStyle w:val="Header"/>
    </w:pPr>
  </w:p>
  <w:p w:rsidR="009233D2" w:rsidRDefault="009233D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Pr>
      <w:jc w:val="right"/>
    </w:pP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925"/>
    <w:rsid w:val="00106F6E"/>
    <w:rsid w:val="00114CAA"/>
    <w:rsid w:val="001462D6"/>
    <w:rsid w:val="001C2D22"/>
    <w:rsid w:val="001F4047"/>
    <w:rsid w:val="00235D4C"/>
    <w:rsid w:val="0024162E"/>
    <w:rsid w:val="003863A4"/>
    <w:rsid w:val="003B7115"/>
    <w:rsid w:val="00455352"/>
    <w:rsid w:val="00476E28"/>
    <w:rsid w:val="004B5039"/>
    <w:rsid w:val="00677916"/>
    <w:rsid w:val="00831BC5"/>
    <w:rsid w:val="0087455A"/>
    <w:rsid w:val="009233D2"/>
    <w:rsid w:val="00AB56E5"/>
    <w:rsid w:val="00C14E67"/>
    <w:rsid w:val="00C31925"/>
    <w:rsid w:val="00C74638"/>
    <w:rsid w:val="00DA0A01"/>
    <w:rsid w:val="00DB795B"/>
    <w:rsid w:val="00E17F97"/>
    <w:rsid w:val="00F10CD9"/>
    <w:rsid w:val="00F25F7C"/>
    <w:rsid w:val="00F56E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9A340"/>
  <w15:docId w15:val="{05E56F0E-83B1-4CC2-9C89-CA377760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9233D2"/>
    <w:pPr>
      <w:jc w:val="center"/>
      <w:outlineLvl w:val="0"/>
    </w:pPr>
    <w:rPr>
      <w:b/>
      <w:caps/>
      <w:sz w:val="22"/>
      <w:szCs w:val="22"/>
      <w:lang w:val="es-ES"/>
    </w:rPr>
  </w:style>
  <w:style w:type="paragraph" w:customStyle="1" w:styleId="subhead">
    <w:name w:val="subhead"/>
    <w:basedOn w:val="Normal"/>
    <w:next w:val="Normal"/>
    <w:uiPriority w:val="99"/>
    <w:rsid w:val="009233D2"/>
    <w:pPr>
      <w:tabs>
        <w:tab w:val="left" w:pos="-720"/>
        <w:tab w:val="left" w:pos="0"/>
        <w:tab w:val="left" w:pos="720"/>
        <w:tab w:val="left" w:pos="1440"/>
        <w:tab w:val="left" w:pos="2160"/>
        <w:tab w:val="left" w:pos="2880"/>
        <w:tab w:val="left" w:pos="3600"/>
      </w:tabs>
      <w:jc w:val="center"/>
    </w:pPr>
    <w:rPr>
      <w:sz w:val="24"/>
      <w:szCs w:val="24"/>
      <w:lang w:val="es-ES"/>
    </w:rPr>
  </w:style>
  <w:style w:type="paragraph" w:styleId="FootnoteText">
    <w:name w:val="footnote text"/>
    <w:basedOn w:val="Normal"/>
    <w:link w:val="FootnoteTextChar"/>
    <w:semiHidden/>
    <w:rsid w:val="009233D2"/>
    <w:rPr>
      <w:sz w:val="20"/>
      <w:szCs w:val="20"/>
      <w:lang w:val="es-ES"/>
    </w:rPr>
  </w:style>
  <w:style w:type="character" w:customStyle="1" w:styleId="FootnoteTextChar">
    <w:name w:val="Footnote Text Char"/>
    <w:basedOn w:val="DefaultParagraphFont"/>
    <w:link w:val="FootnoteText"/>
    <w:semiHidden/>
    <w:rsid w:val="009233D2"/>
    <w:rPr>
      <w:lang w:val="es-ES"/>
    </w:rPr>
  </w:style>
  <w:style w:type="character" w:styleId="FootnoteReference">
    <w:name w:val="footnote reference"/>
    <w:semiHidden/>
    <w:rsid w:val="009233D2"/>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9233D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quinto%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UNEP/OzL.Pro/ExCom/84/30</Document_x0020_Number>
  </documentManagement>
</p:properties>
</file>

<file path=customXml/itemProps1.xml><?xml version="1.0" encoding="utf-8"?>
<ds:datastoreItem xmlns:ds="http://schemas.openxmlformats.org/officeDocument/2006/customXml" ds:itemID="{B38D020A-AFDB-4397-9BDC-C6309BCE7AA3}"/>
</file>

<file path=customXml/itemProps2.xml><?xml version="1.0" encoding="utf-8"?>
<ds:datastoreItem xmlns:ds="http://schemas.openxmlformats.org/officeDocument/2006/customXml" ds:itemID="{C57931C6-5617-4E44-8523-9E42A7C88AB8}"/>
</file>

<file path=customXml/itemProps3.xml><?xml version="1.0" encoding="utf-8"?>
<ds:datastoreItem xmlns:ds="http://schemas.openxmlformats.org/officeDocument/2006/customXml" ds:itemID="{7DD3C0FA-6ED2-440E-B8A2-4A969B6D53B0}"/>
</file>

<file path=customXml/itemProps4.xml><?xml version="1.0" encoding="utf-8"?>
<ds:datastoreItem xmlns:ds="http://schemas.openxmlformats.org/officeDocument/2006/customXml" ds:itemID="{C43A61FC-D0A3-44C5-92C0-7F9738C34D11}"/>
</file>

<file path=docProps/app.xml><?xml version="1.0" encoding="utf-8"?>
<Properties xmlns="http://schemas.openxmlformats.org/officeDocument/2006/extended-properties" xmlns:vt="http://schemas.openxmlformats.org/officeDocument/2006/docPropsVTypes">
  <Template>S84-template</Template>
  <TotalTime>6</TotalTime>
  <Pages>6</Pages>
  <Words>2041</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Plan administrativo de la ONUDI para 2020-2022</vt:lpstr>
    </vt:vector>
  </TitlesOfParts>
  <Company>UNMFS</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2020-2022</dc:title>
  <dc:creator>Alejandro Moreno-Ramos</dc:creator>
  <cp:lastModifiedBy>HBE</cp:lastModifiedBy>
  <cp:revision>9</cp:revision>
  <cp:lastPrinted>2001-05-26T16:40:00Z</cp:lastPrinted>
  <dcterms:created xsi:type="dcterms:W3CDTF">2019-11-30T07:10:00Z</dcterms:created>
  <dcterms:modified xsi:type="dcterms:W3CDTF">2019-11-30T22:03:00Z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UNEP/OzL.Pro/ExCom/84/30</vt:lpwstr>
  </property>
  <property fmtid="{D5CDD505-2E9C-101B-9397-08002B2CF9AE}" pid="3" name="Revision date">
    <vt:lpwstr>11/20/2019</vt:lpwstr>
  </property>
  <property fmtid="{D5CDD505-2E9C-101B-9397-08002B2CF9AE}" pid="4" name="ContentTypeId">
    <vt:lpwstr>0x010100CF2D22381220FE4184AFB35730DED85F</vt:lpwstr>
  </property>
</Properties>
</file>