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rsidP="003E1E63">
            <w:pPr>
              <w:rPr>
                <w:rFonts w:ascii="Univers" w:hAnsi="Univers"/>
                <w:b/>
                <w:sz w:val="28"/>
                <w:szCs w:val="28"/>
                <w:lang w:val="es-MX"/>
              </w:rPr>
            </w:pPr>
            <w:r>
              <w:rPr>
                <w:rFonts w:ascii="Univers" w:hAnsi="Univers"/>
                <w:b/>
                <w:sz w:val="28"/>
                <w:szCs w:val="28"/>
                <w:lang w:val="es-MX"/>
              </w:rPr>
              <w:t>NACIONES</w:t>
            </w:r>
          </w:p>
          <w:p w:rsidR="0087455A" w:rsidRDefault="0024162E" w:rsidP="003E1E63">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rsidP="003E1E63">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rsidP="003E1E63">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rsidP="003E1E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rsidP="003E1E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rsidP="003E1E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rsidP="003E1E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rsidP="003E1E6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rsidP="003E1E63">
            <w:pPr>
              <w:spacing w:before="720"/>
              <w:ind w:left="158"/>
              <w:rPr>
                <w:lang w:val="es-ES"/>
              </w:rPr>
            </w:pPr>
          </w:p>
        </w:tc>
        <w:tc>
          <w:tcPr>
            <w:tcW w:w="4590" w:type="dxa"/>
            <w:tcBorders>
              <w:top w:val="nil"/>
              <w:left w:val="nil"/>
              <w:bottom w:val="single" w:sz="36" w:space="0" w:color="auto"/>
              <w:right w:val="nil"/>
            </w:tcBorders>
          </w:tcPr>
          <w:p w:rsidR="0087455A" w:rsidRDefault="0087455A" w:rsidP="003E1E63">
            <w:pPr>
              <w:rPr>
                <w:lang w:val="es-ES"/>
              </w:rPr>
            </w:pPr>
          </w:p>
          <w:p w:rsidR="0087455A" w:rsidRDefault="0024162E" w:rsidP="003E1E63">
            <w:pPr>
              <w:rPr>
                <w:lang w:val="es-ES"/>
              </w:rPr>
            </w:pPr>
            <w:r>
              <w:rPr>
                <w:lang w:val="es-ES"/>
              </w:rPr>
              <w:t>Distr.</w:t>
            </w:r>
          </w:p>
          <w:p w:rsidR="0087455A" w:rsidRDefault="0024162E" w:rsidP="003E1E63">
            <w:pPr>
              <w:rPr>
                <w:lang w:val="es-ES"/>
              </w:rPr>
            </w:pPr>
            <w:r>
              <w:rPr>
                <w:lang w:val="es-ES"/>
              </w:rPr>
              <w:t>GENERAL</w:t>
            </w:r>
          </w:p>
          <w:p w:rsidR="0087455A" w:rsidRDefault="0087455A" w:rsidP="003E1E63">
            <w:pPr>
              <w:rPr>
                <w:lang w:val="es-ES"/>
              </w:rPr>
            </w:pPr>
          </w:p>
          <w:p w:rsidR="0087455A" w:rsidRDefault="0024162E" w:rsidP="003E1E63">
            <w:pPr>
              <w:rPr>
                <w:lang w:val="es-ES"/>
              </w:rPr>
            </w:pPr>
            <w:r>
              <w:fldChar w:fldCharType="begin"/>
            </w:r>
            <w:r>
              <w:rPr>
                <w:lang w:val="es-ES"/>
              </w:rPr>
              <w:instrText xml:space="preserve"> DOCPROPERTY "Document number"  \* MERGEFORMAT </w:instrText>
            </w:r>
            <w:r>
              <w:fldChar w:fldCharType="separate"/>
            </w:r>
            <w:r w:rsidR="00677917">
              <w:rPr>
                <w:lang w:val="es-ES"/>
              </w:rPr>
              <w:t>UNEP/OzL.Pro/ExCom/84/64</w:t>
            </w:r>
            <w:r>
              <w:fldChar w:fldCharType="end"/>
            </w:r>
          </w:p>
          <w:p w:rsidR="0087455A" w:rsidRDefault="00677917" w:rsidP="003E1E63">
            <w:pPr>
              <w:rPr>
                <w:caps/>
                <w:lang w:val="es-ES"/>
              </w:rPr>
            </w:pPr>
            <w:r>
              <w:rPr>
                <w:caps/>
                <w:lang w:val="es-ES"/>
              </w:rPr>
              <w:t xml:space="preserve">18 </w:t>
            </w:r>
            <w:r w:rsidR="00114CAA">
              <w:rPr>
                <w:lang w:val="es-ES"/>
              </w:rPr>
              <w:t xml:space="preserve">de </w:t>
            </w:r>
            <w:r>
              <w:rPr>
                <w:lang w:val="es-ES"/>
              </w:rPr>
              <w:t xml:space="preserve">noviembre de </w:t>
            </w:r>
            <w:r w:rsidR="001C2D22">
              <w:rPr>
                <w:caps/>
                <w:lang w:val="es-ES"/>
              </w:rPr>
              <w:t>2019</w:t>
            </w:r>
          </w:p>
          <w:p w:rsidR="00114CAA" w:rsidRDefault="00114CAA" w:rsidP="003E1E63">
            <w:pPr>
              <w:rPr>
                <w:caps/>
                <w:lang w:val="es-ES"/>
              </w:rPr>
            </w:pPr>
          </w:p>
          <w:p w:rsidR="0087455A" w:rsidRDefault="0024162E" w:rsidP="003E1E63">
            <w:pPr>
              <w:rPr>
                <w:lang w:val="es-MX"/>
              </w:rPr>
            </w:pPr>
            <w:r>
              <w:rPr>
                <w:lang w:val="es-MX"/>
              </w:rPr>
              <w:t xml:space="preserve">ESPAÑOL </w:t>
            </w:r>
          </w:p>
          <w:p w:rsidR="0087455A" w:rsidRDefault="0024162E" w:rsidP="003E1E63">
            <w:pPr>
              <w:rPr>
                <w:lang w:val="es-ES"/>
              </w:rPr>
            </w:pPr>
            <w:r>
              <w:rPr>
                <w:lang w:val="es-ES"/>
              </w:rPr>
              <w:t xml:space="preserve">ORIGINAL: </w:t>
            </w:r>
            <w:r>
              <w:rPr>
                <w:lang w:val="es-MX"/>
              </w:rPr>
              <w:t>INGLÉS</w:t>
            </w:r>
          </w:p>
        </w:tc>
      </w:tr>
    </w:tbl>
    <w:p w:rsidR="0087455A" w:rsidRDefault="0087455A" w:rsidP="003E1E63">
      <w:pPr>
        <w:jc w:val="left"/>
        <w:rPr>
          <w:lang w:val="es-MX"/>
        </w:rPr>
      </w:pPr>
    </w:p>
    <w:p w:rsidR="0087455A" w:rsidRDefault="0024162E" w:rsidP="003E1E63">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3E1E63">
      <w:pPr>
        <w:jc w:val="left"/>
        <w:rPr>
          <w:lang w:val="es-ES"/>
        </w:rPr>
      </w:pPr>
      <w:r>
        <w:rPr>
          <w:lang w:val="es-ES"/>
        </w:rPr>
        <w:t xml:space="preserve">Octogésima </w:t>
      </w:r>
      <w:r w:rsidR="003863A4">
        <w:rPr>
          <w:lang w:val="es-ES"/>
        </w:rPr>
        <w:t>cuarta Reunión</w:t>
      </w:r>
      <w:r w:rsidR="003863A4">
        <w:rPr>
          <w:lang w:val="es-ES"/>
        </w:rPr>
        <w:br/>
        <w:t xml:space="preserve">Montreal, 16 </w:t>
      </w:r>
      <w:r>
        <w:rPr>
          <w:lang w:val="es-ES"/>
        </w:rPr>
        <w:t xml:space="preserve">– </w:t>
      </w:r>
      <w:r w:rsidR="003863A4">
        <w:rPr>
          <w:lang w:val="es-ES"/>
        </w:rPr>
        <w:t>20</w:t>
      </w:r>
      <w:r>
        <w:rPr>
          <w:lang w:val="es-ES"/>
        </w:rPr>
        <w:t xml:space="preserve"> de </w:t>
      </w:r>
      <w:r w:rsidR="001F4047">
        <w:rPr>
          <w:lang w:val="es-ES"/>
        </w:rPr>
        <w:t>diciembre</w:t>
      </w:r>
      <w:r w:rsidR="001C2D22">
        <w:rPr>
          <w:lang w:val="es-ES"/>
        </w:rPr>
        <w:t xml:space="preserve"> de 2019</w:t>
      </w:r>
    </w:p>
    <w:p w:rsidR="00106F6E" w:rsidRDefault="00106F6E" w:rsidP="003E1E63">
      <w:pPr>
        <w:jc w:val="left"/>
        <w:rPr>
          <w:lang w:val="es-ES"/>
        </w:rPr>
      </w:pPr>
    </w:p>
    <w:p w:rsidR="003E1E63" w:rsidRPr="00A11846" w:rsidRDefault="003E1E63" w:rsidP="003E1E63">
      <w:pPr>
        <w:tabs>
          <w:tab w:val="left" w:pos="8280"/>
        </w:tabs>
        <w:rPr>
          <w:lang w:val="es-419"/>
        </w:rPr>
      </w:pPr>
    </w:p>
    <w:p w:rsidR="003E1E63" w:rsidRPr="00A11846" w:rsidRDefault="003E1E63" w:rsidP="003E1E63">
      <w:pPr>
        <w:tabs>
          <w:tab w:val="left" w:pos="8280"/>
        </w:tabs>
        <w:jc w:val="center"/>
        <w:rPr>
          <w:b/>
          <w:lang w:val="es-419"/>
        </w:rPr>
      </w:pPr>
      <w:r w:rsidRPr="00A11846">
        <w:rPr>
          <w:b/>
          <w:caps/>
          <w:lang w:val="es-419"/>
        </w:rPr>
        <w:t>Reseña de los sistemas vigentes de supervisión, presentación de informes, verificación y concesión de licencias y cupos exigibles desarrollados con apoyo del Fondo Multilateral (decisión 83/60 c))</w:t>
      </w:r>
    </w:p>
    <w:p w:rsidR="003E1E63" w:rsidRPr="00A11846" w:rsidRDefault="003E1E63" w:rsidP="003E1E63">
      <w:pPr>
        <w:tabs>
          <w:tab w:val="left" w:pos="8280"/>
        </w:tabs>
        <w:rPr>
          <w:lang w:val="es-419"/>
        </w:rPr>
      </w:pPr>
    </w:p>
    <w:p w:rsidR="003E1E63" w:rsidRPr="006E3712" w:rsidRDefault="003E1E63" w:rsidP="003E1E63">
      <w:pPr>
        <w:tabs>
          <w:tab w:val="left" w:pos="8280"/>
        </w:tabs>
        <w:rPr>
          <w:b/>
        </w:rPr>
      </w:pPr>
      <w:r>
        <w:rPr>
          <w:b/>
        </w:rPr>
        <w:t>Antecedentes</w:t>
      </w:r>
    </w:p>
    <w:p w:rsidR="003E1E63" w:rsidRPr="006E3712" w:rsidRDefault="003E1E63" w:rsidP="003E1E63">
      <w:pPr>
        <w:tabs>
          <w:tab w:val="left" w:pos="8280"/>
        </w:tabs>
        <w:rPr>
          <w:lang w:val="en-CA"/>
        </w:rPr>
      </w:pPr>
    </w:p>
    <w:p w:rsidR="003E1E63" w:rsidRPr="00A11846" w:rsidRDefault="003E1E63" w:rsidP="003E1E63">
      <w:pPr>
        <w:pStyle w:val="Heading1"/>
        <w:rPr>
          <w:lang w:val="es-419"/>
        </w:rPr>
      </w:pPr>
      <w:r w:rsidRPr="00A11846">
        <w:rPr>
          <w:lang w:val="es-419"/>
        </w:rPr>
        <w:t xml:space="preserve">En su 82ª reunión, el Comité Ejecutivo examinó una nota de la Secretaría sobre cuestiones relacionadas con lo siguiente: eficiencia energética; directrices sobre los costos para la reducción de los HFC; y el aumento de las emisiones mundiales de </w:t>
      </w:r>
      <w:r w:rsidR="004909D2" w:rsidRPr="00A11846">
        <w:rPr>
          <w:lang w:val="es-419"/>
        </w:rPr>
        <w:t>CFC</w:t>
      </w:r>
      <w:r w:rsidR="004909D2" w:rsidRPr="00A11846">
        <w:rPr>
          <w:lang w:val="es-419"/>
        </w:rPr>
        <w:noBreakHyphen/>
      </w:r>
      <w:r w:rsidRPr="00A11846">
        <w:rPr>
          <w:lang w:val="es-419"/>
        </w:rPr>
        <w:t>11</w:t>
      </w:r>
      <w:r w:rsidRPr="006E3712">
        <w:rPr>
          <w:rStyle w:val="FootnoteReference"/>
          <w:lang w:val="en-CA"/>
        </w:rPr>
        <w:footnoteReference w:id="1"/>
      </w:r>
      <w:r w:rsidRPr="00A11846">
        <w:rPr>
          <w:lang w:val="es-419"/>
        </w:rPr>
        <w:t>, en relación con la cuestión 12 del orden del día sobre cuestiones pertinentes para el Fondo Multilateral derivadas de la 40ª reunión del Grupo de Trabajo de composición abierta de las Partes y la 30ª Reunión de las Partes</w:t>
      </w:r>
      <w:r w:rsidRPr="006E3712">
        <w:rPr>
          <w:rStyle w:val="FootnoteReference"/>
          <w:lang w:val="en-CA"/>
        </w:rPr>
        <w:footnoteReference w:id="2"/>
      </w:r>
      <w:r w:rsidRPr="00A11846">
        <w:rPr>
          <w:lang w:val="es-419"/>
        </w:rPr>
        <w:t>. Tras las deliberaciones, el Comité Ejecutivo decidió, entre otras cosas, pedir a la Secretaría que elabore un documento, para que fuera examinado por el Comité Ejecutivo en la 83ª reunión, en el que incluya una reseña de los sistemas vigentes de supervisión, presentación de informes, verificación y concesión de licencias y cupos exigibles, incluidos los requisitos y las prácticas de los sistemas para presentar informes al Comité Ejecutivo que se habían elaborado con apoyo del Fondo Multilateral (decisión 82/86 c)).</w:t>
      </w:r>
    </w:p>
    <w:p w:rsidR="003E1E63" w:rsidRPr="00A11846" w:rsidRDefault="003E1E63" w:rsidP="003E1E63">
      <w:pPr>
        <w:pStyle w:val="Heading1"/>
        <w:rPr>
          <w:lang w:val="es-419"/>
        </w:rPr>
      </w:pPr>
      <w:r w:rsidRPr="00A11846">
        <w:rPr>
          <w:lang w:val="es-419"/>
        </w:rPr>
        <w:t xml:space="preserve">De conformidad con la decisión 82/86 c), la Secretaría presentó a la 83ª reunión el documento UNEP/OzL.Pro/ExCom/83/38. </w:t>
      </w:r>
    </w:p>
    <w:p w:rsidR="003E1E63" w:rsidRPr="00A11846" w:rsidRDefault="003E1E63" w:rsidP="003E1E63">
      <w:pPr>
        <w:pStyle w:val="Heading1"/>
        <w:numPr>
          <w:ilvl w:val="0"/>
          <w:numId w:val="0"/>
        </w:numPr>
        <w:rPr>
          <w:u w:val="single"/>
          <w:lang w:val="es-419"/>
        </w:rPr>
      </w:pPr>
      <w:r w:rsidRPr="00A11846">
        <w:rPr>
          <w:u w:val="single"/>
          <w:lang w:val="es-419"/>
        </w:rPr>
        <w:t>Deliberaciones que mantuvieron en la 83ª reunión</w:t>
      </w:r>
    </w:p>
    <w:p w:rsidR="003E1E63" w:rsidRPr="00A11846" w:rsidRDefault="003E1E63" w:rsidP="003E1E63">
      <w:pPr>
        <w:pStyle w:val="Heading1"/>
        <w:rPr>
          <w:lang w:val="es-419"/>
        </w:rPr>
      </w:pPr>
      <w:r w:rsidRPr="00A11846">
        <w:rPr>
          <w:lang w:val="es-419"/>
        </w:rPr>
        <w:t>Durante las deliberaciones subsiguientes</w:t>
      </w:r>
      <w:r w:rsidRPr="006E3712">
        <w:rPr>
          <w:rStyle w:val="FootnoteReference"/>
          <w:lang w:val="en-CA"/>
        </w:rPr>
        <w:footnoteReference w:id="3"/>
      </w:r>
      <w:r w:rsidRPr="00A11846">
        <w:rPr>
          <w:lang w:val="es-419"/>
        </w:rPr>
        <w:t xml:space="preserve"> se observó, entre otras cosas, que algunas sugerencias para mejorar el sistema actual, tales como aquellas relacionadas con el comercio ilícito y las zonas de libre comercio, se abordarían mejor por las Partes o, en el caso de la vigilancia atmosférica, por la Conferencia de las Partes en el Convenio de Viena. Se destacó que se deben respetar las funciones de las distintas instituciones. </w:t>
      </w:r>
    </w:p>
    <w:p w:rsidR="003E1E63" w:rsidRPr="00A11846" w:rsidRDefault="003E1E63" w:rsidP="003E1E63">
      <w:pPr>
        <w:pStyle w:val="Heading1"/>
        <w:keepNext/>
        <w:keepLines/>
        <w:rPr>
          <w:lang w:val="es-419"/>
        </w:rPr>
      </w:pPr>
      <w:r w:rsidRPr="00A11846">
        <w:rPr>
          <w:lang w:val="es-419"/>
        </w:rPr>
        <w:lastRenderedPageBreak/>
        <w:t>Algunos miembros expresaron su apoyo a garantizar la continuidad de las dependencias de gestión de proyectos en los acuerdos plurianuales, mientras que otros preguntaron cómo se financiaría y si la supervisión sería responsabilidad de las dependencias nacionales del ozono. La supervisión de las empresas que habían terminado la conversión era costosa y no podría cubrirse con los fondos de fortalecimiento institucional y también era necesario asegurar que las dependencias nacionales del ozono pudieran llevar a cabo la tarea que habían realizado las dependencias de gestión de proyectos. Para los países que operan al amparo del artículo 5, un esfuerzo adicional también significa costos adicionales.</w:t>
      </w:r>
    </w:p>
    <w:p w:rsidR="003E1E63" w:rsidRPr="00A11846" w:rsidRDefault="003E1E63" w:rsidP="003E1E63">
      <w:pPr>
        <w:pStyle w:val="Heading1"/>
        <w:rPr>
          <w:lang w:val="es-419"/>
        </w:rPr>
      </w:pPr>
      <w:r w:rsidRPr="00A11846">
        <w:rPr>
          <w:lang w:val="es-419"/>
        </w:rPr>
        <w:t xml:space="preserve">Respecto de ampliar las verificaciones a sustancias controladas anteriormente eliminadas, no se debería exigir a los países la supervisión continua de proyectos finalizados. No obstante, la Secretaria podría hacer un análisis de la viabilidad y costo adicional de hacerlo y presentar dicho análisis al Comité. También sería problemático pedir a los países que pagaran una penalización por cualquier desviación del Acuerdo una vez terminado el proyecto, porque, para entonces, no quedarían fondos del proyecto. </w:t>
      </w:r>
    </w:p>
    <w:p w:rsidR="003E1E63" w:rsidRPr="00A11846" w:rsidRDefault="003E1E63" w:rsidP="003E1E63">
      <w:pPr>
        <w:pStyle w:val="Heading1"/>
        <w:rPr>
          <w:lang w:val="es-419"/>
        </w:rPr>
      </w:pPr>
      <w:r w:rsidRPr="00A11846">
        <w:rPr>
          <w:lang w:val="es-419"/>
        </w:rPr>
        <w:t xml:space="preserve">El representante de Kuwait preguntó por qué el documento preparado por la Secretaría incluía mecanismos nuevos e innovadores que aún no se habían usado en el marco del Fondo Multilateral. Dijo que todo el mundo conocía el tema de las emisiones inesperadas de </w:t>
      </w:r>
      <w:r w:rsidR="004909D2" w:rsidRPr="00A11846">
        <w:rPr>
          <w:lang w:val="es-419"/>
        </w:rPr>
        <w:t>CFC</w:t>
      </w:r>
      <w:r w:rsidR="004909D2" w:rsidRPr="00A11846">
        <w:rPr>
          <w:lang w:val="es-419"/>
        </w:rPr>
        <w:noBreakHyphen/>
      </w:r>
      <w:r w:rsidRPr="00A11846">
        <w:rPr>
          <w:lang w:val="es-419"/>
        </w:rPr>
        <w:t xml:space="preserve">11, pero que no existían pruebas de que proviniesen solo de países que operan al amparo del artículo 5. La mitad de las emisiones seguían careciendo de explicación y pedía claridad sobre la procedencia de las otras emisiones antes de que el Comité Ejecutivo tomara medidas que afectarían y estigmatizarían únicamente a países que operan al amparo del artículo 5. No debería pedirse a estos países cargar con toda la responsabilidad y, si se les invitaba a tratar de resolver el problema, también debería invitarse a los países que no operan al amparo del artículo 5. Si se determina un mecanismo para hacer frente al comercio ilícito deberían participar todos y, por ende, el problema debía tratarse en la Reunión de las Partes y no en el Comité Ejecutivo. </w:t>
      </w:r>
    </w:p>
    <w:p w:rsidR="003E1E63" w:rsidRPr="00A11846" w:rsidRDefault="003E1E63" w:rsidP="003E1E63">
      <w:pPr>
        <w:pStyle w:val="Heading1"/>
        <w:rPr>
          <w:lang w:val="es-419"/>
        </w:rPr>
      </w:pPr>
      <w:r w:rsidRPr="00A11846">
        <w:rPr>
          <w:lang w:val="es-419"/>
        </w:rPr>
        <w:t>Varios miembros apoyaron las opiniones expresadas por el representante de Kuwait y observaron la importancia de no tomar medidas precipitadas. En cuanto a los proyectos terminados, se señaló que la supervisión era una cuestión de soberanía nacional. Resolver el problema de las emisiones inesperadas de SAO exige una mejor comprensión de los motivos. Aunque las cuestiones planteadas afectaban tanto a los países que operan al amparo del artículo 5 como a los que no, era mejor concentrarse en las actividades que eran responsabilidad del Comité.</w:t>
      </w:r>
    </w:p>
    <w:p w:rsidR="003E1E63" w:rsidRPr="00A11846" w:rsidRDefault="003E1E63" w:rsidP="003E1E63">
      <w:pPr>
        <w:pStyle w:val="Heading1"/>
        <w:rPr>
          <w:lang w:val="es-419"/>
        </w:rPr>
      </w:pPr>
      <w:r w:rsidRPr="00A11846">
        <w:rPr>
          <w:lang w:val="es-419"/>
        </w:rPr>
        <w:t xml:space="preserve">El Director recordó que el documento era el resultado de un examen de varios miles de documentos, en el transcurso de cuya elaboración se habían planteado diversas cuestiones que estaban comprendidas en el ámbito de competencia del Comité Ejecutivo. Destacó que los países que operan al amparo del artículo 5 hacen lo posible por cumplir con los términos de sus respectivos Acuerdos con el Comité y que los sistemas dispuestos para facilitar el logro de este objetivo eran sólidos. </w:t>
      </w:r>
    </w:p>
    <w:p w:rsidR="003E1E63" w:rsidRPr="00A11846" w:rsidRDefault="003E1E63" w:rsidP="003E1E63">
      <w:pPr>
        <w:pStyle w:val="Heading1"/>
        <w:rPr>
          <w:lang w:val="es-419"/>
        </w:rPr>
      </w:pPr>
      <w:r w:rsidRPr="00A11846">
        <w:rPr>
          <w:lang w:val="es-419"/>
        </w:rPr>
        <w:t>Tras las deliberaciones que continuaron en un grupo de contacto, el Comité Ejecutivo: a) tomó nota del documento UNEP/OzL.Pro/ExCom/83/38; b) solicitó a la Secretaría que remitiera el documento a la Secretaría del Ozono a fin de fuera anexado al Resumen de los procedimientos previstos en el Protocolo de Montreal en virtud de los cuales las Partes examinan y garantizan el cumplimiento de los términos de los acuerdos alcanzados en el marco del Fondo (nota de la Secretaría del Fondo Multilateral), y puesto a disposición de las Partes en la 41ª reunión del Grupo de Trabajo de composición abierta, según lo dispuesto en la decisión 82/86 b); y c) postergó el análisis del documento hasta la 84ª reunión a fin de tener en cuenta las decisiones que las Partes pudieran alcanzar al respecto en la 31ª Reunión</w:t>
      </w:r>
      <w:r w:rsidRPr="006E3712">
        <w:rPr>
          <w:rStyle w:val="FootnoteReference"/>
          <w:lang w:val="en-CA"/>
        </w:rPr>
        <w:footnoteReference w:id="4"/>
      </w:r>
      <w:r w:rsidRPr="00A11846">
        <w:rPr>
          <w:lang w:val="es-419"/>
        </w:rPr>
        <w:t xml:space="preserve"> (decisión 83/60).</w:t>
      </w:r>
    </w:p>
    <w:p w:rsidR="003E1E63" w:rsidRPr="00A11846" w:rsidRDefault="003E1E63" w:rsidP="003E1E63">
      <w:pPr>
        <w:keepNext/>
        <w:keepLines/>
        <w:tabs>
          <w:tab w:val="left" w:pos="8280"/>
        </w:tabs>
        <w:rPr>
          <w:u w:val="single"/>
          <w:lang w:val="es-419"/>
        </w:rPr>
      </w:pPr>
      <w:r w:rsidRPr="00A11846">
        <w:rPr>
          <w:u w:val="single"/>
          <w:lang w:val="es-419"/>
        </w:rPr>
        <w:lastRenderedPageBreak/>
        <w:t>Medidas adoptadas desde la 83ª reunión</w:t>
      </w:r>
    </w:p>
    <w:p w:rsidR="003E1E63" w:rsidRPr="00A11846" w:rsidRDefault="003E1E63" w:rsidP="003E1E63">
      <w:pPr>
        <w:keepNext/>
        <w:keepLines/>
        <w:tabs>
          <w:tab w:val="left" w:pos="8280"/>
        </w:tabs>
        <w:rPr>
          <w:lang w:val="es-419"/>
        </w:rPr>
      </w:pPr>
    </w:p>
    <w:p w:rsidR="003E1E63" w:rsidRPr="00A11846" w:rsidRDefault="003E1E63" w:rsidP="003E1E63">
      <w:pPr>
        <w:pStyle w:val="Heading1"/>
        <w:keepNext/>
        <w:keepLines/>
        <w:rPr>
          <w:lang w:val="es-419"/>
        </w:rPr>
      </w:pPr>
      <w:r w:rsidRPr="00A11846">
        <w:rPr>
          <w:lang w:val="es-419"/>
        </w:rPr>
        <w:t>De conformidad con la decisión 83/60 b), la Secretaría presentó a la Secretaría del Ozono el documento UNEP/OzL.Pro/ExCom/83/38, que se examinó en relación con el tema 3 del programa de la 41ª reunión del Grupo de Trabajo de composición abierta: Emisiones inesperadas de triclorofluorometano (</w:t>
      </w:r>
      <w:r w:rsidR="004909D2" w:rsidRPr="00A11846">
        <w:rPr>
          <w:lang w:val="es-419"/>
        </w:rPr>
        <w:t>CFC</w:t>
      </w:r>
      <w:r w:rsidR="004909D2" w:rsidRPr="00A11846">
        <w:rPr>
          <w:lang w:val="es-419"/>
        </w:rPr>
        <w:noBreakHyphen/>
      </w:r>
      <w:r w:rsidRPr="00A11846">
        <w:rPr>
          <w:lang w:val="es-419"/>
        </w:rPr>
        <w:t>11) (decisión XXX/3).</w:t>
      </w:r>
    </w:p>
    <w:p w:rsidR="003E1E63" w:rsidRPr="00A11846" w:rsidRDefault="003E1E63" w:rsidP="003E1E63">
      <w:pPr>
        <w:pStyle w:val="Heading1"/>
        <w:rPr>
          <w:lang w:val="es-419"/>
        </w:rPr>
      </w:pPr>
      <w:r w:rsidRPr="00A11846">
        <w:rPr>
          <w:lang w:val="es-419"/>
        </w:rPr>
        <w:t>El Copresidente presentó el tema, y, entre otras cosas, recordó que en la decisión XXX/3 las Partes habían solicitado a la Secretaría del Ozono que, en consulta con la Secretaría del Fondo, facilite a las Partes un resumen en el que se esbocen los procedimientos previstos por el Protocolo y el Fondo en relación con las sustancias controladas, en virtud de los cuales las Partes examinen y garanticen el cumplimiento de las obligaciones dimanantes del Protocolo y los términos de sus acuerdos con el Comité ejecutivo, en particular con respecto a la vigilancia, notificación y verificación. Ese resumen figuraba en el documento UNEP/OzL.Pro.WG.1/41/3, y se prepararía una versión actualizada para la 31ª Reunión de las Partes.</w:t>
      </w:r>
    </w:p>
    <w:p w:rsidR="003E1E63" w:rsidRPr="00A11846" w:rsidRDefault="003E1E63" w:rsidP="003E1E63">
      <w:pPr>
        <w:pStyle w:val="Heading1"/>
        <w:rPr>
          <w:lang w:val="es-419"/>
        </w:rPr>
      </w:pPr>
      <w:r w:rsidRPr="00A11846">
        <w:rPr>
          <w:lang w:val="es-419"/>
        </w:rPr>
        <w:t>Además, el Copresidente señaló que el Comité Ejecutivo había solicitado a la Secretaría que remitiera a la Secretaría del Ozono el documento UNEP/OzL.Pro/ExCom/83/38, que se había publicado como documento de antecedentes para la reunión</w:t>
      </w:r>
      <w:r w:rsidRPr="006E3712">
        <w:rPr>
          <w:rStyle w:val="FootnoteReference"/>
          <w:lang w:val="en-CA"/>
        </w:rPr>
        <w:footnoteReference w:id="5"/>
      </w:r>
      <w:r w:rsidRPr="00A11846">
        <w:rPr>
          <w:lang w:val="es-419"/>
        </w:rPr>
        <w:t xml:space="preserve">. </w:t>
      </w:r>
    </w:p>
    <w:p w:rsidR="003E1E63" w:rsidRPr="00A11846" w:rsidRDefault="003E1E63" w:rsidP="003E1E63">
      <w:pPr>
        <w:pStyle w:val="Heading1"/>
        <w:rPr>
          <w:lang w:val="es-419"/>
        </w:rPr>
      </w:pPr>
      <w:r w:rsidRPr="00A11846">
        <w:rPr>
          <w:lang w:val="es-419"/>
        </w:rPr>
        <w:t>En el debate que tuvo lugar a continuación, se agradeció la información y la documentación facilitadas por las Secretarías del Fondo Multilateral y del Ozono, el Grupo de Evaluación Tecnológica y Económica, el Grupo de Evaluación Científica, el Gobierno de China y otras Partes que hicieron aportaciones, todo lo cual se calificó de gran ayuda para comprender la cuestión. Algunos representantes también encomiaron al Gobierno de China por su cooperación y las medidas que estaba emprendiendo.</w:t>
      </w:r>
    </w:p>
    <w:p w:rsidR="003E1E63" w:rsidRPr="00A11846" w:rsidRDefault="003E1E63" w:rsidP="003E1E63">
      <w:pPr>
        <w:pStyle w:val="Heading1"/>
        <w:rPr>
          <w:lang w:val="es-419"/>
        </w:rPr>
      </w:pPr>
      <w:r w:rsidRPr="00A11846">
        <w:rPr>
          <w:lang w:val="es-419"/>
        </w:rPr>
        <w:t xml:space="preserve">Varios representantes señalaron que se necesitaba más información y nuevas aclaraciones sobre algunos asuntos, en particular la forma de asegurar la sostenibilidad de la reducción de la producción y el consumo y la eliminación gradual de las SAO mediante el fortalecimiento de la vigilancia, la presentación de informes y la verificación en el marco del Protocolo. Varios representantes expresaron su profunda preocupación por el hecho de que se hubiese producido semejante situación, que socavaba la ardua labor y la dedicación de la comunidad mundial y ponía en peligro la recuperación de la capa de ozono. Algunos subrayaron que, sin dejar de centrarse en el futuro, hacía falta comprender el pasado: lo que había ocurrido, la manera en que había ocurrido y los motivos, así como sus implicaciones. El representante de una Parte que era uno de los principales donantes del Fondo Multilateral recalcó que mientras no se conociera el origen de las emisiones de </w:t>
      </w:r>
      <w:r w:rsidR="004909D2" w:rsidRPr="00A11846">
        <w:rPr>
          <w:lang w:val="es-419"/>
        </w:rPr>
        <w:t>CFC</w:t>
      </w:r>
      <w:r w:rsidR="004909D2" w:rsidRPr="00A11846">
        <w:rPr>
          <w:lang w:val="es-419"/>
        </w:rPr>
        <w:noBreakHyphen/>
      </w:r>
      <w:r w:rsidRPr="00A11846">
        <w:rPr>
          <w:lang w:val="es-419"/>
        </w:rPr>
        <w:t>11 y se atajaran sus causas, sería difícil que el Gobierno de su país siguiera contribuyendo al Fondo dada la responsabilidad que tenía con sus contribuyentes. Otro representante expresó preocupaciones similares con respecto a la rendición de cuentas a los contribuyentes de su país.</w:t>
      </w:r>
    </w:p>
    <w:p w:rsidR="003E1E63" w:rsidRPr="00A11846" w:rsidRDefault="003E1E63" w:rsidP="003E1E63">
      <w:pPr>
        <w:pStyle w:val="Heading1"/>
        <w:rPr>
          <w:lang w:val="es-419"/>
        </w:rPr>
      </w:pPr>
      <w:r w:rsidRPr="00A11846">
        <w:rPr>
          <w:lang w:val="es-419"/>
        </w:rPr>
        <w:t xml:space="preserve">Varios representantes hicieron hincapié en que todas las Partes debían recibir igual trato, tanto desde el punto de vista de la vigilancia exhaustiva en todo el mundo como en lo referente a cualquier obligación futura. Se debatió un poco acerca de la atención que se prestaba a las Partes que operan al amparo del artículo 5 del Protocolo de Montreal en cuanto a la presentación de informes, la vigilancia y la verificación en el marco del Fondo Multilateral. Se propuso que las nuevas obligaciones en materia de vigilancia, por ejemplo, en relación con las propuestas de nuevos mecanismos para asegurar el cumplimiento sostenido que figuraban en el documento de antecedentes preparado por la Secretaría del Fondo, debían aplicarse por igual tanto a las Partes que operan al amparo del artículo 5 como a las que no operan de esa manera. </w:t>
      </w:r>
    </w:p>
    <w:p w:rsidR="003E1E63" w:rsidRPr="00A11846" w:rsidRDefault="003E1E63" w:rsidP="003E1E63">
      <w:pPr>
        <w:pStyle w:val="Heading1"/>
        <w:rPr>
          <w:lang w:val="es-419"/>
        </w:rPr>
      </w:pPr>
      <w:r w:rsidRPr="00A11846">
        <w:rPr>
          <w:lang w:val="es-419"/>
        </w:rPr>
        <w:lastRenderedPageBreak/>
        <w:t>Varios representantes mencionaron la necesidad de combatir el comercio ilícito como parte de la respuesta a las emisiones inesperadas y del fortalecimiento de la vigilancia, la presentación de informes y la verificación en términos más generales. Varios representantes dijeron que había llegado la hora de examinar los procesos y mecanismos institucionales en el marco del Convenio de Viena y el Protocolo de Montreal, en particular si estaban funcionando con eficacia y si podían servir a las Partes adecuadamente en los próximos decenios.</w:t>
      </w:r>
    </w:p>
    <w:p w:rsidR="003E1E63" w:rsidRPr="00A11846" w:rsidRDefault="003E1E63" w:rsidP="003E1E63">
      <w:pPr>
        <w:pStyle w:val="Heading1"/>
        <w:rPr>
          <w:lang w:val="es-419"/>
        </w:rPr>
      </w:pPr>
      <w:r w:rsidRPr="00A11846">
        <w:rPr>
          <w:lang w:val="es-419"/>
        </w:rPr>
        <w:t xml:space="preserve">El Grupo de Trabajo de composición abierta acordó establecer un grupo de contacto para seguir examinando cuestiones técnicas y científicas relacionadas con las emisiones inesperadas de </w:t>
      </w:r>
      <w:r w:rsidR="004909D2" w:rsidRPr="00A11846">
        <w:rPr>
          <w:lang w:val="es-419"/>
        </w:rPr>
        <w:t>CFC</w:t>
      </w:r>
      <w:r w:rsidR="004909D2" w:rsidRPr="00A11846">
        <w:rPr>
          <w:lang w:val="es-419"/>
        </w:rPr>
        <w:noBreakHyphen/>
      </w:r>
      <w:r w:rsidRPr="00A11846">
        <w:rPr>
          <w:lang w:val="es-419"/>
        </w:rPr>
        <w:t>11 con miras a determinar la información que debía mejorarse y cuestiones y procesos institucionales relacionados con el Convenio de Viena y el Protocolo de Montreal, en particular la vigilancia, la presentación de informes y la verificación, el cumplimiento, la concesión de licencias y el comercio ilícito. De ser necesario, se podrían añadir al mandato del grupo otras cuestiones que habría que abordar.</w:t>
      </w:r>
    </w:p>
    <w:p w:rsidR="003E1E63" w:rsidRPr="00A11846" w:rsidRDefault="003E1E63" w:rsidP="003E1E63">
      <w:pPr>
        <w:pStyle w:val="Heading1"/>
        <w:rPr>
          <w:lang w:val="es-419"/>
        </w:rPr>
      </w:pPr>
      <w:r w:rsidRPr="00A11846">
        <w:rPr>
          <w:lang w:val="es-419"/>
        </w:rPr>
        <w:t>A continuación, los Copresidentes del grupo de contacto presentaron un informe oral sobre sus debates a fin de que sirviera de fundamento para las deliberaciones que sobre el particular pudiese mantener la 31ª Reunión de las Partes. El informe se reproduce en el anexo I del presente documento</w:t>
      </w:r>
      <w:r w:rsidRPr="006E3712">
        <w:rPr>
          <w:rStyle w:val="FootnoteReference"/>
          <w:lang w:val="en-CA"/>
        </w:rPr>
        <w:footnoteReference w:id="6"/>
      </w:r>
      <w:r w:rsidRPr="00A11846">
        <w:rPr>
          <w:lang w:val="es-419"/>
        </w:rPr>
        <w:t>. El Grupo de Trabajo convino en aplazar el examen del tema hasta la 31ª Reunión de las Partes.</w:t>
      </w:r>
    </w:p>
    <w:p w:rsidR="003E1E63" w:rsidRPr="00A11846" w:rsidRDefault="003E1E63" w:rsidP="003E1E63">
      <w:pPr>
        <w:tabs>
          <w:tab w:val="left" w:pos="8280"/>
        </w:tabs>
        <w:rPr>
          <w:lang w:val="es-419"/>
        </w:rPr>
      </w:pPr>
      <w:r w:rsidRPr="00A11846">
        <w:rPr>
          <w:u w:val="single"/>
          <w:lang w:val="es-419"/>
        </w:rPr>
        <w:t>Deliberaciones que se mantuvieron en la 31ª Reunión de las Partes</w:t>
      </w:r>
    </w:p>
    <w:p w:rsidR="003E1E63" w:rsidRPr="00A11846" w:rsidRDefault="003E1E63" w:rsidP="003E1E63">
      <w:pPr>
        <w:tabs>
          <w:tab w:val="left" w:pos="8280"/>
        </w:tabs>
        <w:rPr>
          <w:lang w:val="es-419"/>
        </w:rPr>
      </w:pPr>
    </w:p>
    <w:p w:rsidR="003E1E63" w:rsidRPr="00A11846" w:rsidRDefault="003E1E63" w:rsidP="003E1E63">
      <w:pPr>
        <w:pStyle w:val="Heading1"/>
        <w:rPr>
          <w:lang w:val="es-419"/>
        </w:rPr>
      </w:pPr>
      <w:r w:rsidRPr="00A11846">
        <w:rPr>
          <w:lang w:val="es-419"/>
        </w:rPr>
        <w:t>En su 31ª Reunión, las Partes continuaron debatiendo sobre el documento UNEP/OzL.Pro/ExCom/83/38, que estaba disponible como documento de antecedentes en relación con el tema 6 de la serie de sesiones preparatorias, sobre Emisiones inesperadas de triclorofluorometano (</w:t>
      </w:r>
      <w:r w:rsidR="004909D2" w:rsidRPr="00A11846">
        <w:rPr>
          <w:lang w:val="es-419"/>
        </w:rPr>
        <w:t>CFC</w:t>
      </w:r>
      <w:r w:rsidR="004909D2" w:rsidRPr="00A11846">
        <w:rPr>
          <w:lang w:val="es-419"/>
        </w:rPr>
        <w:noBreakHyphen/>
      </w:r>
      <w:r w:rsidRPr="00A11846">
        <w:rPr>
          <w:lang w:val="es-419"/>
        </w:rPr>
        <w:t xml:space="preserve">11). Tras las deliberaciones, las Partes tomaron una decisión sobre las emisiones inesperadas de </w:t>
      </w:r>
      <w:r w:rsidR="004909D2" w:rsidRPr="00A11846">
        <w:rPr>
          <w:lang w:val="es-419"/>
        </w:rPr>
        <w:t>CFC</w:t>
      </w:r>
      <w:r w:rsidR="004909D2" w:rsidRPr="00A11846">
        <w:rPr>
          <w:lang w:val="es-419"/>
        </w:rPr>
        <w:noBreakHyphen/>
      </w:r>
      <w:r w:rsidRPr="00A11846">
        <w:rPr>
          <w:lang w:val="es-419"/>
        </w:rPr>
        <w:t>11 y los procesos institucionales que sería necesario mejorar para fortalecer la aplicación efectiva y la observancia del Protocolo de Montreal</w:t>
      </w:r>
      <w:r w:rsidRPr="006E3712">
        <w:rPr>
          <w:rStyle w:val="FootnoteReference"/>
          <w:lang w:val="en-CA"/>
        </w:rPr>
        <w:footnoteReference w:id="7"/>
      </w:r>
      <w:r w:rsidRPr="00A11846">
        <w:rPr>
          <w:lang w:val="es-419"/>
        </w:rPr>
        <w:t xml:space="preserve">, en la que las Partes tomaron nota del documento UNEP/OzL.Pro/ExCom/83/38. Aunque el grupo de contacto sobre emisiones inesperadas de </w:t>
      </w:r>
      <w:r w:rsidR="004909D2" w:rsidRPr="00A11846">
        <w:rPr>
          <w:lang w:val="es-419"/>
        </w:rPr>
        <w:t>CFC</w:t>
      </w:r>
      <w:r w:rsidR="004909D2" w:rsidRPr="00A11846">
        <w:rPr>
          <w:lang w:val="es-419"/>
        </w:rPr>
        <w:noBreakHyphen/>
      </w:r>
      <w:r w:rsidRPr="00A11846">
        <w:rPr>
          <w:lang w:val="es-419"/>
        </w:rPr>
        <w:t>11 que se restableció debatió sobre el documento, las Partes no proporcionaron orientación sobre cuál de las observaciones de la Secretaría, si las hubiera, sería apropiado que abordara el Comité Ejecutivo.</w:t>
      </w:r>
    </w:p>
    <w:p w:rsidR="003E1E63" w:rsidRPr="006E3712" w:rsidRDefault="003E1E63" w:rsidP="003E1E63">
      <w:pPr>
        <w:rPr>
          <w:b/>
        </w:rPr>
      </w:pPr>
      <w:r>
        <w:rPr>
          <w:b/>
        </w:rPr>
        <w:t>Observaciones de la Secretaría</w:t>
      </w:r>
    </w:p>
    <w:p w:rsidR="003E1E63" w:rsidRPr="006E3712" w:rsidRDefault="003E1E63" w:rsidP="003E1E63">
      <w:pPr>
        <w:rPr>
          <w:lang w:val="en-CA"/>
        </w:rPr>
      </w:pPr>
    </w:p>
    <w:p w:rsidR="003E1E63" w:rsidRPr="00A11846" w:rsidRDefault="003E1E63" w:rsidP="003E1E63">
      <w:pPr>
        <w:pStyle w:val="Heading1"/>
        <w:rPr>
          <w:lang w:val="es-419"/>
        </w:rPr>
      </w:pPr>
      <w:r w:rsidRPr="00A11846">
        <w:rPr>
          <w:lang w:val="es-419"/>
        </w:rPr>
        <w:t>De conformidad con la decisión 83/60 c), la Secretaría ha adjuntado el documento UNEP/OzL.Pro/ExCom/83/38 al presente documento.</w:t>
      </w:r>
    </w:p>
    <w:p w:rsidR="003E1E63" w:rsidRPr="00A11846" w:rsidRDefault="003E1E63" w:rsidP="003E1E63">
      <w:pPr>
        <w:pStyle w:val="Heading1"/>
        <w:rPr>
          <w:lang w:val="es-419"/>
        </w:rPr>
      </w:pPr>
      <w:r w:rsidRPr="00A11846">
        <w:rPr>
          <w:lang w:val="es-419"/>
        </w:rPr>
        <w:t xml:space="preserve">En el párrafo 67 del documento se presentó un resumen de las observaciones de la Secretaría que el Comité Ejecutivo tal vez desee considerar. Para facilitar la referencia, el resumen se presenta a continuación: </w:t>
      </w:r>
    </w:p>
    <w:p w:rsidR="003E1E63" w:rsidRPr="00A11846" w:rsidRDefault="003E1E63" w:rsidP="003E1E63">
      <w:pPr>
        <w:rPr>
          <w:i/>
          <w:lang w:val="es-419"/>
        </w:rPr>
      </w:pPr>
      <w:r w:rsidRPr="00A11846">
        <w:rPr>
          <w:i/>
          <w:lang w:val="es-419"/>
        </w:rPr>
        <w:t>Asegurar la continuidad de las dependencias de gestión de proyectos en los proyectos plurianuales</w:t>
      </w:r>
    </w:p>
    <w:p w:rsidR="003E1E63" w:rsidRPr="00A11846" w:rsidRDefault="003E1E63" w:rsidP="003E1E63">
      <w:pPr>
        <w:rPr>
          <w:i/>
          <w:lang w:val="es-419"/>
        </w:rPr>
      </w:pPr>
    </w:p>
    <w:p w:rsidR="003E1E63" w:rsidRPr="00A11846" w:rsidRDefault="003E1E63" w:rsidP="003E1E63">
      <w:pPr>
        <w:pStyle w:val="Heading2"/>
        <w:widowControl/>
        <w:rPr>
          <w:lang w:val="es-419"/>
        </w:rPr>
      </w:pPr>
      <w:r w:rsidRPr="00A11846">
        <w:rPr>
          <w:lang w:val="es-419"/>
        </w:rPr>
        <w:t>Asegurar que existe una superposición entre dos acuerdos plurianuales simultáneos para asegurar la continuidad de las dependencias de gestión de proyectos en los acuerdos plurianuales, reiterando al mismo tiempo la necesidad de que exista una contabilidad financiera y una presentación de informes independiente de los acuerdos plurianuales;</w:t>
      </w:r>
    </w:p>
    <w:p w:rsidR="003E1E63" w:rsidRPr="00A11846" w:rsidRDefault="003E1E63" w:rsidP="003E1E63">
      <w:pPr>
        <w:pStyle w:val="Heading2"/>
        <w:widowControl/>
        <w:rPr>
          <w:lang w:val="es-419"/>
        </w:rPr>
      </w:pPr>
      <w:r w:rsidRPr="00A11846">
        <w:rPr>
          <w:lang w:val="es-419"/>
        </w:rPr>
        <w:t xml:space="preserve">Modificar el Apéndice 5-A de la plantilla de los proyectos de acuerdo, para incluir una solicitud de que el país y el organismo de ejecución principal especifiquen la función de </w:t>
      </w:r>
      <w:r w:rsidRPr="00A11846">
        <w:rPr>
          <w:lang w:val="es-419"/>
        </w:rPr>
        <w:lastRenderedPageBreak/>
        <w:t>la DNO y la dependencia de gestión de proyectos, según sea pertinente, para la supervisión y la presentación de informes tras la terminación del proyecto;</w:t>
      </w:r>
    </w:p>
    <w:p w:rsidR="003E1E63" w:rsidRPr="006E3712" w:rsidRDefault="003E1E63" w:rsidP="003E1E63">
      <w:pPr>
        <w:rPr>
          <w:i/>
        </w:rPr>
      </w:pPr>
      <w:r>
        <w:rPr>
          <w:i/>
        </w:rPr>
        <w:t>Comercio ilícito</w:t>
      </w:r>
    </w:p>
    <w:p w:rsidR="003E1E63" w:rsidRPr="006E3712" w:rsidRDefault="003E1E63" w:rsidP="003E1E63">
      <w:pPr>
        <w:rPr>
          <w:i/>
          <w:lang w:val="en-CA"/>
        </w:rPr>
      </w:pPr>
    </w:p>
    <w:p w:rsidR="003E1E63" w:rsidRPr="00A11846" w:rsidRDefault="003E1E63" w:rsidP="003E1E63">
      <w:pPr>
        <w:pStyle w:val="Heading2"/>
        <w:widowControl/>
        <w:rPr>
          <w:lang w:val="es-419"/>
        </w:rPr>
      </w:pPr>
      <w:r w:rsidRPr="00A11846">
        <w:rPr>
          <w:lang w:val="es-419"/>
        </w:rPr>
        <w:t>Alentar a los países que operan al amparo del artículo 5 a notificar a la Secretaría incautaciones de comercio ilícito mediante el organismo bilateral o de ejecución pertinente encargado del proyecto de fortalecimiento institucional;</w:t>
      </w:r>
    </w:p>
    <w:p w:rsidR="003E1E63" w:rsidRPr="00A11846" w:rsidRDefault="003E1E63" w:rsidP="003E1E63">
      <w:pPr>
        <w:pStyle w:val="Heading2"/>
        <w:keepNext/>
        <w:keepLines/>
        <w:widowControl/>
        <w:rPr>
          <w:lang w:val="es-419"/>
        </w:rPr>
      </w:pPr>
      <w:r w:rsidRPr="00A11846">
        <w:rPr>
          <w:lang w:val="es-419"/>
        </w:rPr>
        <w:t xml:space="preserve">Aclarar que la cláusula de penalización estipulada en el acuerdo con el país en cuestión no se aplicará en los casos en que el país que opera al amparo del artículo 5 notifique la incautación de sustancias controladas comercializadas de forma ilícita que son gestionadas posteriormente conforme a la legislación nacional (p. ej., confiscada, destruida y/o exportada); </w:t>
      </w:r>
    </w:p>
    <w:p w:rsidR="003E1E63" w:rsidRPr="00A11846" w:rsidRDefault="003E1E63" w:rsidP="003E1E63">
      <w:pPr>
        <w:pStyle w:val="Heading2"/>
        <w:widowControl/>
        <w:rPr>
          <w:lang w:val="es-419"/>
        </w:rPr>
      </w:pPr>
      <w:r w:rsidRPr="00A11846">
        <w:rPr>
          <w:lang w:val="es-419"/>
        </w:rPr>
        <w:t>Pedir a la Secretaría que incluya en el documento sobre los datos de los programas de país y las perspectivas de cumplimiento una sección en la que se resuma las incautaciones notificadas de sustancias controladas comercializadas de forma ilícita;</w:t>
      </w:r>
    </w:p>
    <w:p w:rsidR="003E1E63" w:rsidRPr="006E3712" w:rsidRDefault="003E1E63" w:rsidP="003E1E63">
      <w:pPr>
        <w:rPr>
          <w:i/>
        </w:rPr>
      </w:pPr>
      <w:r>
        <w:rPr>
          <w:i/>
        </w:rPr>
        <w:t>Zonas de libre comercio</w:t>
      </w:r>
    </w:p>
    <w:p w:rsidR="003E1E63" w:rsidRPr="006E3712" w:rsidRDefault="003E1E63" w:rsidP="003E1E63">
      <w:pPr>
        <w:rPr>
          <w:lang w:val="en-CA"/>
        </w:rPr>
      </w:pPr>
    </w:p>
    <w:p w:rsidR="003E1E63" w:rsidRPr="00A11846" w:rsidRDefault="003E1E63" w:rsidP="003E1E63">
      <w:pPr>
        <w:pStyle w:val="Heading2"/>
        <w:widowControl/>
        <w:rPr>
          <w:lang w:val="es-419"/>
        </w:rPr>
      </w:pPr>
      <w:r w:rsidRPr="00A11846">
        <w:rPr>
          <w:lang w:val="es-419"/>
        </w:rPr>
        <w:t>Pedir a todos los países que operan al amparo del artículo 5 que reciben financiación para el fortalecimiento institucional, que presenten informes a la Secretaría acerca del movimiento de sustancias controladas a través de las zonas de libre comercio, independientemente de si el país del caso no contabiliza dicho movimiento de sustancias controladas a través de zonas de libre comercio en el consumo del país;</w:t>
      </w:r>
    </w:p>
    <w:p w:rsidR="003E1E63" w:rsidRPr="00A11846" w:rsidRDefault="003E1E63" w:rsidP="003E1E63">
      <w:pPr>
        <w:pStyle w:val="Heading2"/>
        <w:widowControl/>
        <w:rPr>
          <w:lang w:val="es-419"/>
        </w:rPr>
      </w:pPr>
      <w:r w:rsidRPr="00A11846">
        <w:rPr>
          <w:lang w:val="es-419"/>
        </w:rPr>
        <w:t xml:space="preserve">Pedir a la Secretaría que incluya en el documento sobre los datos de los programas de país y las perspectivas de cumplimiento una sección sobre el movimiento notificado de las sustancias controladas a través de las zonas de libre comercio;  </w:t>
      </w:r>
    </w:p>
    <w:p w:rsidR="003E1E63" w:rsidRPr="00A11846" w:rsidRDefault="003E1E63" w:rsidP="003E1E63">
      <w:pPr>
        <w:rPr>
          <w:i/>
          <w:lang w:val="es-419"/>
        </w:rPr>
      </w:pPr>
      <w:r w:rsidRPr="00A11846">
        <w:rPr>
          <w:i/>
          <w:lang w:val="es-419"/>
        </w:rPr>
        <w:t>Exportación de SAO presentes en polioles premezclados</w:t>
      </w:r>
    </w:p>
    <w:p w:rsidR="003E1E63" w:rsidRPr="00A11846" w:rsidRDefault="003E1E63" w:rsidP="003E1E63">
      <w:pPr>
        <w:rPr>
          <w:lang w:val="es-419"/>
        </w:rPr>
      </w:pPr>
    </w:p>
    <w:p w:rsidR="003E1E63" w:rsidRPr="00A11846" w:rsidRDefault="003E1E63" w:rsidP="003E1E63">
      <w:pPr>
        <w:pStyle w:val="Heading2"/>
        <w:widowControl/>
        <w:rPr>
          <w:lang w:val="es-419"/>
        </w:rPr>
      </w:pPr>
      <w:r w:rsidRPr="00A11846">
        <w:rPr>
          <w:lang w:val="es-419"/>
        </w:rPr>
        <w:t>Pedir a todos los países que operan al amparo del artículo 5 que reciben asistencia del Fondo Multilateral y que producen o importan sustancias controladas para mezclarlas en polioles premezclados para exportación, que notifiquen dichas exportaciones, identificando el país o países a los que se exportan los polioles premezclados, y las cantidades respectivas de SAO presentes en ellos;</w:t>
      </w:r>
    </w:p>
    <w:p w:rsidR="003E1E63" w:rsidRPr="00A11846" w:rsidRDefault="003E1E63" w:rsidP="003E1E63">
      <w:pPr>
        <w:pStyle w:val="Heading2"/>
        <w:keepNext/>
        <w:keepLines/>
        <w:widowControl/>
        <w:rPr>
          <w:lang w:val="es-419"/>
        </w:rPr>
      </w:pPr>
      <w:r w:rsidRPr="00A11846">
        <w:rPr>
          <w:lang w:val="es-419"/>
        </w:rPr>
        <w:t>Pedir a la Secretaría que incluya en el documento sobre los datos de los programas de país y las perspectivas de cumplimiento, una sección en que se resuman las exportaciones notificados de las SAO presentes en los polioles premezclados;</w:t>
      </w:r>
    </w:p>
    <w:p w:rsidR="003E1E63" w:rsidRPr="00A11846" w:rsidRDefault="003E1E63" w:rsidP="003E1E63">
      <w:pPr>
        <w:pStyle w:val="Heading1"/>
        <w:numPr>
          <w:ilvl w:val="0"/>
          <w:numId w:val="0"/>
        </w:numPr>
        <w:rPr>
          <w:i/>
          <w:lang w:val="es-419"/>
        </w:rPr>
      </w:pPr>
      <w:r w:rsidRPr="00A11846">
        <w:rPr>
          <w:i/>
          <w:lang w:val="es-419"/>
        </w:rPr>
        <w:t>Continua supervisión y presentación de informes de la producción con arreglo a Acuerdos de no producción</w:t>
      </w:r>
    </w:p>
    <w:p w:rsidR="003E1E63" w:rsidRPr="00A11846" w:rsidRDefault="003E1E63" w:rsidP="003E1E63">
      <w:pPr>
        <w:pStyle w:val="Heading2"/>
        <w:widowControl/>
        <w:rPr>
          <w:lang w:val="es-419"/>
        </w:rPr>
      </w:pPr>
      <w:r w:rsidRPr="00A11846">
        <w:rPr>
          <w:lang w:val="es-419"/>
        </w:rPr>
        <w:t xml:space="preserve">Pedir a los Gobiernos de la Argentina, la India, México, la República Popular Democrática de Corea y Venezuela (República Bolivariana de), que incluyan una solicitud de financiación de la verificación y supervisión anual de la producción de HCFC hasta que dicha producción se haya eliminado por completo, ya sea al presentar la etapa siguiente de sus PGEH, o al presentar un proyecto para controlar las emisiones de los subproductos de HFC-23, según cuál se haya producido en primer lugar; </w:t>
      </w:r>
    </w:p>
    <w:p w:rsidR="003E1E63" w:rsidRPr="00A11846" w:rsidRDefault="003E1E63" w:rsidP="003E1E63">
      <w:pPr>
        <w:rPr>
          <w:i/>
          <w:lang w:val="es-419"/>
        </w:rPr>
      </w:pPr>
      <w:r w:rsidRPr="00A11846">
        <w:rPr>
          <w:i/>
          <w:lang w:val="es-419"/>
        </w:rPr>
        <w:lastRenderedPageBreak/>
        <w:t>Aclaración de una continua presentación de informes del sector de producción</w:t>
      </w:r>
    </w:p>
    <w:p w:rsidR="003E1E63" w:rsidRPr="00A11846" w:rsidRDefault="003E1E63" w:rsidP="003E1E63">
      <w:pPr>
        <w:rPr>
          <w:lang w:val="es-419"/>
        </w:rPr>
      </w:pPr>
    </w:p>
    <w:p w:rsidR="003E1E63" w:rsidRPr="00A11846" w:rsidRDefault="003E1E63" w:rsidP="003E1E63">
      <w:pPr>
        <w:pStyle w:val="Heading2"/>
        <w:widowControl/>
        <w:rPr>
          <w:lang w:val="es-419"/>
        </w:rPr>
      </w:pPr>
      <w:r w:rsidRPr="00A11846">
        <w:rPr>
          <w:lang w:val="es-419"/>
        </w:rPr>
        <w:t>Pedir a todos los países que operan al amparo del artículo 5 que recibieron financiación para el fortalecimiento institucional y para la eliminación de la producción de SAO para usos controlados, que sigan supervisando su cumplimiento de los objetivos fijados en su acuerdo con el Comité Ejecutivo después de la terminación del proyecto, y que notifiquen a la Secretaría toda instancia en la que el país no cumplió dichos objetivos o hayan encontrado casos de producción ilícita;</w:t>
      </w:r>
    </w:p>
    <w:p w:rsidR="003E1E63" w:rsidRPr="00A11846" w:rsidRDefault="003E1E63" w:rsidP="003E1E63">
      <w:pPr>
        <w:pStyle w:val="Heading2"/>
        <w:widowControl/>
        <w:rPr>
          <w:lang w:val="es-419"/>
        </w:rPr>
      </w:pPr>
      <w:r w:rsidRPr="00A11846">
        <w:rPr>
          <w:lang w:val="es-419"/>
        </w:rPr>
        <w:t>Pedir a la Secretaría que notifique al Comité Ejecutivo dichos casos, para que pueda decidir si sería apropiado adoptar medidas o actuaciones; y</w:t>
      </w:r>
    </w:p>
    <w:p w:rsidR="003E1E63" w:rsidRPr="00A11846" w:rsidRDefault="003E1E63" w:rsidP="003E1E63">
      <w:pPr>
        <w:keepNext/>
        <w:keepLines/>
        <w:rPr>
          <w:i/>
          <w:lang w:val="es-419"/>
        </w:rPr>
      </w:pPr>
      <w:r w:rsidRPr="00A11846">
        <w:rPr>
          <w:i/>
          <w:lang w:val="es-419"/>
        </w:rPr>
        <w:t>Modificaciones a la plantilla de los Acuerdos para el sector de producción</w:t>
      </w:r>
    </w:p>
    <w:p w:rsidR="003E1E63" w:rsidRPr="00A11846" w:rsidRDefault="003E1E63" w:rsidP="003E1E63">
      <w:pPr>
        <w:keepNext/>
        <w:keepLines/>
        <w:rPr>
          <w:i/>
          <w:lang w:val="es-419"/>
        </w:rPr>
      </w:pPr>
    </w:p>
    <w:p w:rsidR="003E1E63" w:rsidRPr="00A11846" w:rsidRDefault="003E1E63" w:rsidP="003E1E63">
      <w:pPr>
        <w:pStyle w:val="Heading2"/>
        <w:keepNext/>
        <w:keepLines/>
        <w:widowControl/>
        <w:rPr>
          <w:lang w:val="es-419"/>
        </w:rPr>
      </w:pPr>
      <w:r w:rsidRPr="00A11846">
        <w:rPr>
          <w:lang w:val="es-419"/>
        </w:rPr>
        <w:t>Introducir las siguientes modificaciones a la plantilla de futuros acuerdos para el sector de producción:</w:t>
      </w:r>
    </w:p>
    <w:p w:rsidR="003E1E63" w:rsidRPr="00A11846" w:rsidRDefault="003E1E63" w:rsidP="003E1E63">
      <w:pPr>
        <w:pStyle w:val="Heading3"/>
        <w:keepNext/>
        <w:keepLines/>
        <w:widowControl/>
        <w:rPr>
          <w:lang w:val="es-419"/>
        </w:rPr>
      </w:pPr>
      <w:r w:rsidRPr="00A11846">
        <w:rPr>
          <w:lang w:val="es-419"/>
        </w:rPr>
        <w:t>Aclarar que el organismo principal está encargado de asistir al país en caso de posible incumplimiento, si así lo solicita el país, incluso después de que el proyecto haya terminado;</w:t>
      </w:r>
    </w:p>
    <w:p w:rsidR="003E1E63" w:rsidRPr="00A11846" w:rsidRDefault="003E1E63" w:rsidP="003E1E63">
      <w:pPr>
        <w:pStyle w:val="Heading3"/>
        <w:widowControl/>
        <w:rPr>
          <w:lang w:val="es-419"/>
        </w:rPr>
      </w:pPr>
      <w:r w:rsidRPr="00A11846">
        <w:rPr>
          <w:lang w:val="es-419"/>
        </w:rPr>
        <w:t xml:space="preserve">Que el país seguirá supervisando su cumplimiento de los objetivos fijados en el acuerdo después de la terminación del proyecto, y notificará a la Secretaría cualquier instancia en las que no cumplió dichos objetivos o que había encontrado casos de producción ilícita; </w:t>
      </w:r>
    </w:p>
    <w:p w:rsidR="003E1E63" w:rsidRPr="00A11846" w:rsidRDefault="003E1E63" w:rsidP="003E1E63">
      <w:pPr>
        <w:pStyle w:val="Heading3"/>
        <w:widowControl/>
        <w:rPr>
          <w:lang w:val="es-419"/>
        </w:rPr>
      </w:pPr>
      <w:r w:rsidRPr="00A11846">
        <w:rPr>
          <w:lang w:val="es-419"/>
        </w:rPr>
        <w:t xml:space="preserve">Aclarar que, en los años posteriores a la terminación del Proyecto, si el país no cumpliera el objetivo final de eliminación para la eliminación de sustancias controladas con arreglo al acuerdo, devolverá al Fondo Multilateral, a través del organismo principal, los fondos asociados con la penalización indicada en dicho acuerdo;  </w:t>
      </w:r>
    </w:p>
    <w:p w:rsidR="003E1E63" w:rsidRPr="00A11846" w:rsidRDefault="003E1E63" w:rsidP="003E1E63">
      <w:pPr>
        <w:pStyle w:val="Heading1"/>
        <w:numPr>
          <w:ilvl w:val="0"/>
          <w:numId w:val="0"/>
        </w:numPr>
        <w:rPr>
          <w:u w:val="single"/>
          <w:lang w:val="es-419"/>
        </w:rPr>
      </w:pPr>
      <w:r w:rsidRPr="00A11846">
        <w:rPr>
          <w:u w:val="single"/>
          <w:lang w:val="es-419"/>
        </w:rPr>
        <w:t>Verificación en el marco de los acuerdos plurianuales</w:t>
      </w:r>
    </w:p>
    <w:p w:rsidR="003E1E63" w:rsidRPr="00A11846" w:rsidRDefault="003E1E63" w:rsidP="003E1E63">
      <w:pPr>
        <w:pStyle w:val="Heading3"/>
        <w:widowControl/>
        <w:rPr>
          <w:u w:val="single"/>
          <w:lang w:val="es-419"/>
        </w:rPr>
      </w:pPr>
      <w:r w:rsidRPr="00A11846">
        <w:rPr>
          <w:lang w:val="es-419"/>
        </w:rPr>
        <w:t>Invitar a los organismos bilaterales y de ejecución a incluir información sobre todas las sustancias controladas que se encuentren en un procedimiento de verificación regular, independientemente de si la sustancia controlada esté incluida en el acuerdo para el cual se efectúa la verificación; y</w:t>
      </w:r>
    </w:p>
    <w:p w:rsidR="003E1E63" w:rsidRPr="00A11846" w:rsidRDefault="003E1E63" w:rsidP="003E1E63">
      <w:pPr>
        <w:pStyle w:val="Heading3"/>
        <w:widowControl/>
        <w:rPr>
          <w:lang w:val="es-419"/>
        </w:rPr>
      </w:pPr>
      <w:r w:rsidRPr="00A11846">
        <w:rPr>
          <w:lang w:val="es-419"/>
        </w:rPr>
        <w:t>Pedir a la Secretaría que presente un análisis a la 85ª reunión de la viabilidad de ampliar las condiciones de las verificaciones, así como sus costos adicionales, para incluir a sustancias controladas previamente eliminadas.</w:t>
      </w:r>
    </w:p>
    <w:p w:rsidR="003E1E63" w:rsidRPr="00A11846" w:rsidRDefault="003E1E63" w:rsidP="003E1E63">
      <w:pPr>
        <w:pStyle w:val="Heading1"/>
        <w:rPr>
          <w:lang w:val="es-419"/>
        </w:rPr>
      </w:pPr>
      <w:r w:rsidRPr="00A11846">
        <w:rPr>
          <w:lang w:val="es-419"/>
        </w:rPr>
        <w:t xml:space="preserve">Además de formular las observaciones precedentes, la Secretaría examinó tres mecanismos adicionales que hasta la fecha no se han utilizado con arreglo al Fondo Multilateral: supervisión de la atmósfera, muestreo aleatorio de productos o equipos y supervisión de materias primas necesarias para el uso o producción de sustancias controladas, que solo serían aplicables a un número limitado de países que operan al amparo del artículo 5. Estos mecanismos adicionales se describen en los párrafos 68 a 75 del documento UNEP/OzL.Pro/ExCom/83/38. </w:t>
      </w:r>
    </w:p>
    <w:p w:rsidR="003E1E63" w:rsidRPr="006E3712" w:rsidRDefault="003E1E63" w:rsidP="003E1E63">
      <w:pPr>
        <w:keepNext/>
        <w:rPr>
          <w:b/>
        </w:rPr>
      </w:pPr>
      <w:r>
        <w:rPr>
          <w:b/>
        </w:rPr>
        <w:lastRenderedPageBreak/>
        <w:t>Recomendación</w:t>
      </w:r>
    </w:p>
    <w:p w:rsidR="003E1E63" w:rsidRPr="006E3712" w:rsidRDefault="003E1E63" w:rsidP="003E1E63">
      <w:pPr>
        <w:keepNext/>
        <w:rPr>
          <w:lang w:val="en-CA"/>
        </w:rPr>
      </w:pPr>
    </w:p>
    <w:p w:rsidR="003E1E63" w:rsidRPr="00A11846" w:rsidRDefault="003E1E63" w:rsidP="003E1E63">
      <w:pPr>
        <w:pStyle w:val="Heading1"/>
        <w:keepNext/>
        <w:rPr>
          <w:lang w:val="es-419"/>
        </w:rPr>
      </w:pPr>
      <w:r w:rsidRPr="00A11846">
        <w:rPr>
          <w:lang w:val="es-419"/>
        </w:rPr>
        <w:t>El Comité Ejecutivo tal vez desee:</w:t>
      </w:r>
    </w:p>
    <w:p w:rsidR="003E1E63" w:rsidRPr="00A11846" w:rsidRDefault="003E1E63" w:rsidP="003E1E63">
      <w:pPr>
        <w:pStyle w:val="Heading2"/>
        <w:widowControl/>
        <w:rPr>
          <w:lang w:val="es-419"/>
        </w:rPr>
      </w:pPr>
      <w:r w:rsidRPr="00A11846">
        <w:rPr>
          <w:lang w:val="es-419"/>
        </w:rPr>
        <w:t>Tomar nota de la reseña de los sistemas vigentes de supervisión, presentación de informes, verificación y concesión de licencias y cupos exigibles que figura en el documento UNEP/OzL.Pro/ExCom/84/64; y</w:t>
      </w:r>
    </w:p>
    <w:p w:rsidR="003E1E63" w:rsidRPr="00A11846" w:rsidRDefault="003E1E63" w:rsidP="003E1E63">
      <w:pPr>
        <w:pStyle w:val="Heading2"/>
        <w:widowControl/>
        <w:rPr>
          <w:lang w:val="es-419"/>
        </w:rPr>
      </w:pPr>
      <w:r w:rsidRPr="00A11846">
        <w:rPr>
          <w:lang w:val="es-419"/>
        </w:rPr>
        <w:t>Considerar la conveniencia de aplicar o no las observaciones resumidas en los párrafos</w:t>
      </w:r>
      <w:r w:rsidR="004909D2" w:rsidRPr="00A11846">
        <w:rPr>
          <w:lang w:val="es-419"/>
        </w:rPr>
        <w:t> </w:t>
      </w:r>
      <w:r w:rsidRPr="00A11846">
        <w:rPr>
          <w:lang w:val="es-419"/>
        </w:rPr>
        <w:t>21 y 22 del presente documento.</w:t>
      </w:r>
    </w:p>
    <w:p w:rsidR="003E1E63" w:rsidRPr="00A11846" w:rsidRDefault="003E1E63" w:rsidP="003E1E63">
      <w:pPr>
        <w:rPr>
          <w:lang w:val="es-419"/>
        </w:rPr>
      </w:pPr>
    </w:p>
    <w:p w:rsidR="003E1E63" w:rsidRPr="00A11846" w:rsidRDefault="003E1E63" w:rsidP="003E1E63">
      <w:pPr>
        <w:tabs>
          <w:tab w:val="left" w:pos="8280"/>
        </w:tabs>
        <w:rPr>
          <w:lang w:val="es-419"/>
        </w:rPr>
      </w:pPr>
    </w:p>
    <w:p w:rsidR="0087455A" w:rsidRDefault="0087455A" w:rsidP="003E1E63">
      <w:pPr>
        <w:pStyle w:val="StyleHeader4Para4Left0Firstline0"/>
        <w:widowControl/>
        <w:numPr>
          <w:ilvl w:val="0"/>
          <w:numId w:val="0"/>
        </w:numPr>
        <w:rPr>
          <w:lang w:val="es-ES"/>
        </w:rPr>
      </w:pPr>
    </w:p>
    <w:p w:rsidR="0087455A" w:rsidRDefault="0087455A" w:rsidP="003E1E63">
      <w:pPr>
        <w:rPr>
          <w:lang w:val="es-ES"/>
        </w:rPr>
        <w:sectPr w:rsidR="0087455A">
          <w:headerReference w:type="even" r:id="rId10"/>
          <w:headerReference w:type="default" r:id="rId11"/>
          <w:footerReference w:type="even" r:id="rId12"/>
          <w:footerReference w:type="default" r:id="rId13"/>
          <w:footerReference w:type="first" r:id="rId14"/>
          <w:footnotePr>
            <w:numRestart w:val="eachSect"/>
          </w:footnotePr>
          <w:pgSz w:w="12240" w:h="15840" w:code="1"/>
          <w:pgMar w:top="720" w:right="1440" w:bottom="864" w:left="1440" w:header="720" w:footer="475" w:gutter="0"/>
          <w:cols w:space="720"/>
          <w:titlePg/>
        </w:sectPr>
      </w:pPr>
    </w:p>
    <w:p w:rsidR="0087455A" w:rsidRDefault="0087455A" w:rsidP="003E1E63">
      <w:pPr>
        <w:jc w:val="center"/>
        <w:rPr>
          <w:b/>
          <w:bCs/>
          <w:lang w:val="es-ES"/>
        </w:rPr>
      </w:pPr>
      <w:bookmarkStart w:id="0" w:name="_GoBack"/>
      <w:bookmarkEnd w:id="0"/>
    </w:p>
    <w:sectPr w:rsidR="0087455A" w:rsidSect="00E74329">
      <w:headerReference w:type="even" r:id="rId15"/>
      <w:headerReference w:type="default" r:id="rId16"/>
      <w:footerReference w:type="default" r:id="rId17"/>
      <w:headerReference w:type="first" r:id="rId18"/>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0EE5" w:rsidRDefault="00680EE5">
      <w:r>
        <w:separator/>
      </w:r>
    </w:p>
  </w:endnote>
  <w:endnote w:type="continuationSeparator" w:id="0">
    <w:p w:rsidR="00680EE5" w:rsidRDefault="00680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jc w:val="center"/>
    </w:pPr>
    <w:r>
      <w:fldChar w:fldCharType="begin"/>
    </w:r>
    <w:r>
      <w:instrText xml:space="preserve"> PAGE </w:instrText>
    </w:r>
    <w:r>
      <w:fldChar w:fldCharType="separate"/>
    </w:r>
    <w:r w:rsidR="00411A7C">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jc w:val="center"/>
    </w:pPr>
    <w:r>
      <w:fldChar w:fldCharType="begin"/>
    </w:r>
    <w:r>
      <w:instrText xml:space="preserve"> PAGE </w:instrText>
    </w:r>
    <w:r>
      <w:fldChar w:fldCharType="separate"/>
    </w:r>
    <w:r w:rsidR="00411A7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42C" w:rsidRPr="0033525D" w:rsidRDefault="00420914">
    <w:pPr>
      <w:jc w:val="center"/>
    </w:pPr>
    <w:r>
      <w:fldChar w:fldCharType="begin"/>
    </w:r>
    <w:r>
      <w:instrText xml:space="preserve"> PAGE </w:instrText>
    </w:r>
    <w:r>
      <w:fldChar w:fldCharType="separate"/>
    </w:r>
    <w:r w:rsidR="00411A7C">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0EE5" w:rsidRDefault="00680EE5">
      <w:r>
        <w:separator/>
      </w:r>
    </w:p>
  </w:footnote>
  <w:footnote w:type="continuationSeparator" w:id="0">
    <w:p w:rsidR="00680EE5" w:rsidRDefault="00680EE5">
      <w:r>
        <w:continuationSeparator/>
      </w:r>
    </w:p>
  </w:footnote>
  <w:footnote w:id="1">
    <w:p w:rsidR="003E1E63" w:rsidRPr="002D6CF1" w:rsidRDefault="003E1E63" w:rsidP="003E1E63">
      <w:pPr>
        <w:pStyle w:val="FootnoteText"/>
      </w:pPr>
      <w:r>
        <w:rPr>
          <w:rStyle w:val="FootnoteReference"/>
        </w:rPr>
        <w:footnoteRef/>
      </w:r>
      <w:r>
        <w:t xml:space="preserve"> UNEP/OzL.Pro/ExCom/82/70.</w:t>
      </w:r>
    </w:p>
  </w:footnote>
  <w:footnote w:id="2">
    <w:p w:rsidR="003E1E63" w:rsidRPr="000069F7" w:rsidRDefault="003E1E63" w:rsidP="003E1E63">
      <w:pPr>
        <w:pStyle w:val="FootnoteText"/>
      </w:pPr>
      <w:r>
        <w:rPr>
          <w:rStyle w:val="FootnoteReference"/>
        </w:rPr>
        <w:footnoteRef/>
      </w:r>
      <w:r>
        <w:t xml:space="preserve"> Quito (Ecuador), 5 a 9 de noviembre de 2018.</w:t>
      </w:r>
    </w:p>
  </w:footnote>
  <w:footnote w:id="3">
    <w:p w:rsidR="003E1E63" w:rsidRDefault="003E1E63" w:rsidP="003E1E63">
      <w:pPr>
        <w:pStyle w:val="FootnoteText"/>
      </w:pPr>
      <w:r>
        <w:rPr>
          <w:rStyle w:val="FootnoteReference"/>
        </w:rPr>
        <w:footnoteRef/>
      </w:r>
      <w:r>
        <w:t xml:space="preserve"> Párrafos 216 a 224 del documento UNEP/OzL.Pro/ExCom/83/48.</w:t>
      </w:r>
    </w:p>
    <w:p w:rsidR="003E1E63" w:rsidRPr="00A11846" w:rsidRDefault="003E1E63" w:rsidP="003E1E63">
      <w:pPr>
        <w:pStyle w:val="FootnoteText"/>
        <w:rPr>
          <w:lang w:val="es-419"/>
        </w:rPr>
      </w:pPr>
    </w:p>
  </w:footnote>
  <w:footnote w:id="4">
    <w:p w:rsidR="003E1E63" w:rsidRPr="000069F7" w:rsidRDefault="003E1E63" w:rsidP="003E1E63">
      <w:pPr>
        <w:pStyle w:val="FootnoteText"/>
      </w:pPr>
      <w:r>
        <w:rPr>
          <w:rStyle w:val="FootnoteReference"/>
        </w:rPr>
        <w:footnoteRef/>
      </w:r>
      <w:r>
        <w:t xml:space="preserve"> Roma (Italia), 4 a 8 de noviembre de 2019.</w:t>
      </w:r>
    </w:p>
  </w:footnote>
  <w:footnote w:id="5">
    <w:p w:rsidR="003E1E63" w:rsidRPr="00B902C8" w:rsidRDefault="003E1E63" w:rsidP="003E1E63">
      <w:pPr>
        <w:pStyle w:val="FootnoteText"/>
      </w:pPr>
      <w:r>
        <w:rPr>
          <w:rStyle w:val="FootnoteReference"/>
        </w:rPr>
        <w:footnoteRef/>
      </w:r>
      <w:r>
        <w:t xml:space="preserve"> Los debates que se mantuvieron tras la introducción del Copresidente figuran en los párrafos 29 a 44 del documento UNEP/OzL.Pro.WG.1/41/5.</w:t>
      </w:r>
    </w:p>
  </w:footnote>
  <w:footnote w:id="6">
    <w:p w:rsidR="003E1E63" w:rsidRPr="004521E4" w:rsidRDefault="003E1E63" w:rsidP="003E1E63">
      <w:pPr>
        <w:pStyle w:val="FootnoteText"/>
      </w:pPr>
      <w:r>
        <w:rPr>
          <w:rStyle w:val="FootnoteReference"/>
        </w:rPr>
        <w:footnoteRef/>
      </w:r>
      <w:r>
        <w:t xml:space="preserve"> Anexo II del documento UNEP/OzL.Pro.WG.1/41/5.</w:t>
      </w:r>
    </w:p>
  </w:footnote>
  <w:footnote w:id="7">
    <w:p w:rsidR="003E1E63" w:rsidRPr="00A11846" w:rsidRDefault="003E1E63" w:rsidP="003E1E63">
      <w:pPr>
        <w:pStyle w:val="FootnoteText"/>
        <w:rPr>
          <w:lang w:val="en-CA"/>
        </w:rPr>
      </w:pPr>
      <w:r>
        <w:rPr>
          <w:rStyle w:val="FootnoteReference"/>
        </w:rPr>
        <w:footnoteRef/>
      </w:r>
      <w:r w:rsidRPr="00A11846">
        <w:rPr>
          <w:lang w:val="en-CA"/>
        </w:rPr>
        <w:t xml:space="preserve"> UNEP/OzL.Pro.31/L.2/Add.3.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411A7C">
    <w:r>
      <w:fldChar w:fldCharType="begin"/>
    </w:r>
    <w:r>
      <w:instrText xml:space="preserve"> DOCPROPERTY "Document number"  \* MERGEFORMAT </w:instrText>
    </w:r>
    <w:r>
      <w:fldChar w:fldCharType="separate"/>
    </w:r>
    <w:r w:rsidR="00040EAB">
      <w:t>UNEP/OzL.Pro/ExCom/84/64</w:t>
    </w:r>
    <w:r>
      <w:fldChar w:fldCharType="end"/>
    </w:r>
  </w:p>
  <w:p w:rsidR="0087455A" w:rsidRDefault="0087455A"/>
  <w:p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411A7C">
    <w:pPr>
      <w:jc w:val="right"/>
    </w:pPr>
    <w:r>
      <w:fldChar w:fldCharType="begin"/>
    </w:r>
    <w:r>
      <w:instrText xml:space="preserve"> DOCPROPERTY "Document number"  \* MERGEFORMAT </w:instrText>
    </w:r>
    <w:r>
      <w:fldChar w:fldCharType="separate"/>
    </w:r>
    <w:r w:rsidR="00040EAB">
      <w:t>UNEP/OzL.Pro/ExCom/84/64</w:t>
    </w:r>
    <w:r>
      <w:fldChar w:fldCharType="end"/>
    </w:r>
  </w:p>
  <w:p w:rsidR="0087455A" w:rsidRDefault="0087455A"/>
  <w:p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42C" w:rsidRPr="004A5C6A" w:rsidRDefault="00420914">
    <w:r>
      <w:fldChar w:fldCharType="begin"/>
    </w:r>
    <w:r w:rsidRPr="004A5C6A">
      <w:instrText xml:space="preserve"> DOCPROPERTY "Document number"  \* MERGEFORMAT </w:instrText>
    </w:r>
    <w:r>
      <w:fldChar w:fldCharType="separate"/>
    </w:r>
    <w:r>
      <w:t>UNEP/OzL.Pro/ExCom/83/38</w:t>
    </w:r>
    <w:r>
      <w:fldChar w:fldCharType="end"/>
    </w:r>
  </w:p>
  <w:p w:rsidR="00D0642C" w:rsidRDefault="00420914">
    <w:r>
      <w:t>Anexo II</w:t>
    </w:r>
  </w:p>
  <w:p w:rsidR="00D0642C" w:rsidRPr="0033525D" w:rsidRDefault="00411A7C"/>
  <w:p w:rsidR="00D0642C" w:rsidRPr="0033525D" w:rsidRDefault="00411A7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42C" w:rsidRPr="0033525D" w:rsidRDefault="00411A7C">
    <w:pPr>
      <w:jc w:val="right"/>
    </w:pPr>
    <w:r>
      <w:fldChar w:fldCharType="begin"/>
    </w:r>
    <w:r>
      <w:instrText xml:space="preserve"> DOCPROPERTY "Document number"  \* MERGEFORMAT </w:instrText>
    </w:r>
    <w:r>
      <w:fldChar w:fldCharType="separate"/>
    </w:r>
    <w:r w:rsidR="00420914">
      <w:t>UNEP/OzL.Pro/ExCom/83/38</w:t>
    </w:r>
    <w:r>
      <w:fldChar w:fldCharType="end"/>
    </w:r>
  </w:p>
  <w:p w:rsidR="00D0642C" w:rsidRDefault="00420914" w:rsidP="00E74329">
    <w:pPr>
      <w:jc w:val="right"/>
    </w:pPr>
    <w:r>
      <w:t>Anexo I</w:t>
    </w:r>
  </w:p>
  <w:p w:rsidR="00D0642C" w:rsidRPr="0033525D" w:rsidRDefault="00411A7C"/>
  <w:p w:rsidR="00D0642C" w:rsidRPr="0033525D" w:rsidRDefault="00411A7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42C" w:rsidRDefault="00411A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D4693A"/>
    <w:multiLevelType w:val="hybridMultilevel"/>
    <w:tmpl w:val="5AD4D88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AF7505E"/>
    <w:multiLevelType w:val="hybridMultilevel"/>
    <w:tmpl w:val="DA8A6F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F2B0F81"/>
    <w:multiLevelType w:val="hybridMultilevel"/>
    <w:tmpl w:val="D15407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2046B1"/>
    <w:multiLevelType w:val="hybridMultilevel"/>
    <w:tmpl w:val="75662F10"/>
    <w:lvl w:ilvl="0" w:tplc="18A28228">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1F8D10E0"/>
    <w:multiLevelType w:val="hybridMultilevel"/>
    <w:tmpl w:val="497A43CE"/>
    <w:lvl w:ilvl="0" w:tplc="18A28228">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25E16E08"/>
    <w:multiLevelType w:val="hybridMultilevel"/>
    <w:tmpl w:val="06C880DA"/>
    <w:lvl w:ilvl="0" w:tplc="B6B24176">
      <w:start w:val="1"/>
      <w:numFmt w:val="decimal"/>
      <w:lvlText w:val="%1."/>
      <w:lvlJc w:val="left"/>
      <w:pPr>
        <w:ind w:left="1220" w:hanging="720"/>
      </w:pPr>
      <w:rPr>
        <w:rFonts w:ascii="Times New Roman" w:eastAsia="Times New Roman" w:hAnsi="Times New Roman" w:cs="Times New Roman" w:hint="default"/>
        <w:w w:val="99"/>
        <w:sz w:val="22"/>
        <w:szCs w:val="22"/>
      </w:rPr>
    </w:lvl>
    <w:lvl w:ilvl="1" w:tplc="DC4E4E36">
      <w:numFmt w:val="bullet"/>
      <w:lvlText w:val="•"/>
      <w:lvlJc w:val="left"/>
      <w:pPr>
        <w:ind w:left="2274" w:hanging="720"/>
      </w:pPr>
      <w:rPr>
        <w:rFonts w:hint="default"/>
      </w:rPr>
    </w:lvl>
    <w:lvl w:ilvl="2" w:tplc="DEC2424A">
      <w:numFmt w:val="bullet"/>
      <w:lvlText w:val="•"/>
      <w:lvlJc w:val="left"/>
      <w:pPr>
        <w:ind w:left="3328" w:hanging="720"/>
      </w:pPr>
      <w:rPr>
        <w:rFonts w:hint="default"/>
      </w:rPr>
    </w:lvl>
    <w:lvl w:ilvl="3" w:tplc="778CD3F2">
      <w:numFmt w:val="bullet"/>
      <w:lvlText w:val="•"/>
      <w:lvlJc w:val="left"/>
      <w:pPr>
        <w:ind w:left="4382" w:hanging="720"/>
      </w:pPr>
      <w:rPr>
        <w:rFonts w:hint="default"/>
      </w:rPr>
    </w:lvl>
    <w:lvl w:ilvl="4" w:tplc="93128360">
      <w:numFmt w:val="bullet"/>
      <w:lvlText w:val="•"/>
      <w:lvlJc w:val="left"/>
      <w:pPr>
        <w:ind w:left="5436" w:hanging="720"/>
      </w:pPr>
      <w:rPr>
        <w:rFonts w:hint="default"/>
      </w:rPr>
    </w:lvl>
    <w:lvl w:ilvl="5" w:tplc="9ADEBCB4">
      <w:numFmt w:val="bullet"/>
      <w:lvlText w:val="•"/>
      <w:lvlJc w:val="left"/>
      <w:pPr>
        <w:ind w:left="6490" w:hanging="720"/>
      </w:pPr>
      <w:rPr>
        <w:rFonts w:hint="default"/>
      </w:rPr>
    </w:lvl>
    <w:lvl w:ilvl="6" w:tplc="DB18E426">
      <w:numFmt w:val="bullet"/>
      <w:lvlText w:val="•"/>
      <w:lvlJc w:val="left"/>
      <w:pPr>
        <w:ind w:left="7544" w:hanging="720"/>
      </w:pPr>
      <w:rPr>
        <w:rFonts w:hint="default"/>
      </w:rPr>
    </w:lvl>
    <w:lvl w:ilvl="7" w:tplc="48C8815C">
      <w:numFmt w:val="bullet"/>
      <w:lvlText w:val="•"/>
      <w:lvlJc w:val="left"/>
      <w:pPr>
        <w:ind w:left="8598" w:hanging="720"/>
      </w:pPr>
      <w:rPr>
        <w:rFonts w:hint="default"/>
      </w:rPr>
    </w:lvl>
    <w:lvl w:ilvl="8" w:tplc="03703352">
      <w:numFmt w:val="bullet"/>
      <w:lvlText w:val="•"/>
      <w:lvlJc w:val="left"/>
      <w:pPr>
        <w:ind w:left="9652" w:hanging="720"/>
      </w:pPr>
      <w:rPr>
        <w:rFont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30BD08E5"/>
    <w:multiLevelType w:val="hybridMultilevel"/>
    <w:tmpl w:val="CF7446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2" w15:restartNumberingAfterBreak="0">
    <w:nsid w:val="4E83432A"/>
    <w:multiLevelType w:val="hybridMultilevel"/>
    <w:tmpl w:val="E60601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432570B"/>
    <w:multiLevelType w:val="hybridMultilevel"/>
    <w:tmpl w:val="26C8356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0167BC0"/>
    <w:multiLevelType w:val="hybridMultilevel"/>
    <w:tmpl w:val="6E38E5F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3F4185"/>
    <w:multiLevelType w:val="hybridMultilevel"/>
    <w:tmpl w:val="B0A63F5E"/>
    <w:lvl w:ilvl="0" w:tplc="81E6BC44">
      <w:start w:val="1"/>
      <w:numFmt w:val="decimal"/>
      <w:lvlText w:val="%1."/>
      <w:lvlJc w:val="left"/>
      <w:pPr>
        <w:ind w:left="1220" w:hanging="720"/>
      </w:pPr>
      <w:rPr>
        <w:rFonts w:ascii="Times New Roman" w:eastAsia="Times New Roman" w:hAnsi="Times New Roman" w:cs="Times New Roman" w:hint="default"/>
        <w:w w:val="99"/>
        <w:sz w:val="22"/>
        <w:szCs w:val="22"/>
      </w:rPr>
    </w:lvl>
    <w:lvl w:ilvl="1" w:tplc="2174DC76">
      <w:start w:val="1"/>
      <w:numFmt w:val="lowerLetter"/>
      <w:lvlText w:val="(%2)"/>
      <w:lvlJc w:val="left"/>
      <w:pPr>
        <w:ind w:left="2660" w:hanging="720"/>
      </w:pPr>
      <w:rPr>
        <w:rFonts w:ascii="Times New Roman" w:eastAsia="Times New Roman" w:hAnsi="Times New Roman" w:cs="Times New Roman" w:hint="default"/>
        <w:spacing w:val="-1"/>
        <w:w w:val="99"/>
        <w:sz w:val="22"/>
        <w:szCs w:val="22"/>
      </w:rPr>
    </w:lvl>
    <w:lvl w:ilvl="2" w:tplc="56602890">
      <w:numFmt w:val="bullet"/>
      <w:lvlText w:val="•"/>
      <w:lvlJc w:val="left"/>
      <w:pPr>
        <w:ind w:left="3671" w:hanging="720"/>
      </w:pPr>
      <w:rPr>
        <w:rFonts w:hint="default"/>
      </w:rPr>
    </w:lvl>
    <w:lvl w:ilvl="3" w:tplc="738AD550">
      <w:numFmt w:val="bullet"/>
      <w:lvlText w:val="•"/>
      <w:lvlJc w:val="left"/>
      <w:pPr>
        <w:ind w:left="4682" w:hanging="720"/>
      </w:pPr>
      <w:rPr>
        <w:rFonts w:hint="default"/>
      </w:rPr>
    </w:lvl>
    <w:lvl w:ilvl="4" w:tplc="F9827C6C">
      <w:numFmt w:val="bullet"/>
      <w:lvlText w:val="•"/>
      <w:lvlJc w:val="left"/>
      <w:pPr>
        <w:ind w:left="5693" w:hanging="720"/>
      </w:pPr>
      <w:rPr>
        <w:rFonts w:hint="default"/>
      </w:rPr>
    </w:lvl>
    <w:lvl w:ilvl="5" w:tplc="A6429E1A">
      <w:numFmt w:val="bullet"/>
      <w:lvlText w:val="•"/>
      <w:lvlJc w:val="left"/>
      <w:pPr>
        <w:ind w:left="6704" w:hanging="720"/>
      </w:pPr>
      <w:rPr>
        <w:rFonts w:hint="default"/>
      </w:rPr>
    </w:lvl>
    <w:lvl w:ilvl="6" w:tplc="BB7C0142">
      <w:numFmt w:val="bullet"/>
      <w:lvlText w:val="•"/>
      <w:lvlJc w:val="left"/>
      <w:pPr>
        <w:ind w:left="7715" w:hanging="720"/>
      </w:pPr>
      <w:rPr>
        <w:rFonts w:hint="default"/>
      </w:rPr>
    </w:lvl>
    <w:lvl w:ilvl="7" w:tplc="798699CC">
      <w:numFmt w:val="bullet"/>
      <w:lvlText w:val="•"/>
      <w:lvlJc w:val="left"/>
      <w:pPr>
        <w:ind w:left="8726" w:hanging="720"/>
      </w:pPr>
      <w:rPr>
        <w:rFonts w:hint="default"/>
      </w:rPr>
    </w:lvl>
    <w:lvl w:ilvl="8" w:tplc="B1B28CE6">
      <w:numFmt w:val="bullet"/>
      <w:lvlText w:val="•"/>
      <w:lvlJc w:val="left"/>
      <w:pPr>
        <w:ind w:left="9737" w:hanging="720"/>
      </w:pPr>
      <w:rPr>
        <w:rFonts w:hint="default"/>
      </w:rPr>
    </w:lvl>
  </w:abstractNum>
  <w:abstractNum w:abstractNumId="30" w15:restartNumberingAfterBreak="0">
    <w:nsid w:val="7B5C4489"/>
    <w:multiLevelType w:val="hybridMultilevel"/>
    <w:tmpl w:val="2196F0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3"/>
  </w:num>
  <w:num w:numId="18">
    <w:abstractNumId w:val="24"/>
  </w:num>
  <w:num w:numId="19">
    <w:abstractNumId w:val="31"/>
  </w:num>
  <w:num w:numId="20">
    <w:abstractNumId w:val="2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8"/>
  </w:num>
  <w:num w:numId="24">
    <w:abstractNumId w:val="28"/>
  </w:num>
  <w:num w:numId="25">
    <w:abstractNumId w:val="26"/>
  </w:num>
  <w:num w:numId="26">
    <w:abstractNumId w:val="27"/>
  </w:num>
  <w:num w:numId="27">
    <w:abstractNumId w:val="12"/>
  </w:num>
  <w:num w:numId="28">
    <w:abstractNumId w:val="16"/>
  </w:num>
  <w:num w:numId="29">
    <w:abstractNumId w:val="29"/>
  </w:num>
  <w:num w:numId="30">
    <w:abstractNumId w:val="25"/>
  </w:num>
  <w:num w:numId="31">
    <w:abstractNumId w:val="11"/>
  </w:num>
  <w:num w:numId="32">
    <w:abstractNumId w:val="14"/>
  </w:num>
  <w:num w:numId="33">
    <w:abstractNumId w:val="22"/>
  </w:num>
  <w:num w:numId="34">
    <w:abstractNumId w:val="13"/>
  </w:num>
  <w:num w:numId="35">
    <w:abstractNumId w:val="19"/>
  </w:num>
  <w:num w:numId="36">
    <w:abstractNumId w:val="30"/>
  </w:num>
  <w:num w:numId="37">
    <w:abstractNumId w:val="15"/>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95C"/>
    <w:rsid w:val="00040EAB"/>
    <w:rsid w:val="00106F6E"/>
    <w:rsid w:val="00114CAA"/>
    <w:rsid w:val="001C2D22"/>
    <w:rsid w:val="001F4047"/>
    <w:rsid w:val="00235D4C"/>
    <w:rsid w:val="0024162E"/>
    <w:rsid w:val="00281F33"/>
    <w:rsid w:val="002E03ED"/>
    <w:rsid w:val="003863A4"/>
    <w:rsid w:val="003A3F05"/>
    <w:rsid w:val="003A5943"/>
    <w:rsid w:val="003B7115"/>
    <w:rsid w:val="003D293E"/>
    <w:rsid w:val="003E1E63"/>
    <w:rsid w:val="00411A7C"/>
    <w:rsid w:val="00420914"/>
    <w:rsid w:val="00455352"/>
    <w:rsid w:val="00476E28"/>
    <w:rsid w:val="004909D2"/>
    <w:rsid w:val="00677917"/>
    <w:rsid w:val="00680EE5"/>
    <w:rsid w:val="00831BC5"/>
    <w:rsid w:val="0087455A"/>
    <w:rsid w:val="00A11846"/>
    <w:rsid w:val="00AB56E5"/>
    <w:rsid w:val="00B7595C"/>
    <w:rsid w:val="00C14E67"/>
    <w:rsid w:val="00DB795B"/>
    <w:rsid w:val="00E17F97"/>
    <w:rsid w:val="00F10CD9"/>
    <w:rsid w:val="00F25F7C"/>
    <w:rsid w:val="00FC33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72E944-9750-4C15-A701-D243CE9F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E1E63"/>
    <w:rPr>
      <w:sz w:val="22"/>
      <w:szCs w:val="22"/>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qFormat/>
    <w:rsid w:val="003E1E63"/>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3E1E63"/>
    <w:pPr>
      <w:tabs>
        <w:tab w:val="left" w:pos="1247"/>
        <w:tab w:val="left" w:pos="1814"/>
        <w:tab w:val="left" w:pos="2381"/>
        <w:tab w:val="left" w:pos="2948"/>
        <w:tab w:val="left" w:pos="3515"/>
      </w:tabs>
    </w:pPr>
    <w:rPr>
      <w:sz w:val="20"/>
      <w:szCs w:val="24"/>
      <w:lang w:val="es-ES"/>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3E1E63"/>
    <w:rPr>
      <w:szCs w:val="24"/>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E1E63"/>
    <w:pPr>
      <w:spacing w:after="160" w:line="240" w:lineRule="exact"/>
    </w:pPr>
    <w:rPr>
      <w:sz w:val="20"/>
      <w:szCs w:val="18"/>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3E1E63"/>
    <w:rPr>
      <w:sz w:val="22"/>
      <w:szCs w:val="22"/>
      <w:lang w:val="en-GB"/>
    </w:rPr>
  </w:style>
  <w:style w:type="character" w:styleId="Hyperlink">
    <w:name w:val="Hyperlink"/>
    <w:basedOn w:val="DefaultParagraphFont"/>
    <w:uiPriority w:val="99"/>
    <w:semiHidden/>
    <w:unhideWhenUsed/>
    <w:rsid w:val="00420914"/>
    <w:rPr>
      <w:color w:val="0000FF"/>
      <w:u w:val="single"/>
    </w:rPr>
  </w:style>
  <w:style w:type="paragraph" w:styleId="ListParagraph">
    <w:name w:val="List Paragraph"/>
    <w:basedOn w:val="Normal"/>
    <w:uiPriority w:val="1"/>
    <w:qFormat/>
    <w:rsid w:val="00420914"/>
    <w:pPr>
      <w:ind w:left="720"/>
      <w:contextualSpacing/>
    </w:pPr>
  </w:style>
  <w:style w:type="paragraph" w:customStyle="1" w:styleId="rtejustify">
    <w:name w:val="rtejustify"/>
    <w:basedOn w:val="Normal"/>
    <w:rsid w:val="00420914"/>
    <w:pPr>
      <w:spacing w:before="100" w:beforeAutospacing="1" w:after="100" w:afterAutospacing="1"/>
    </w:pPr>
    <w:rPr>
      <w:sz w:val="24"/>
      <w:szCs w:val="24"/>
      <w:lang w:eastAsia="en-GB"/>
    </w:rPr>
  </w:style>
  <w:style w:type="character" w:customStyle="1" w:styleId="awspan">
    <w:name w:val="awspan"/>
    <w:basedOn w:val="DefaultParagraphFont"/>
    <w:rsid w:val="00420914"/>
  </w:style>
  <w:style w:type="paragraph" w:styleId="BodyText">
    <w:name w:val="Body Text"/>
    <w:basedOn w:val="Normal"/>
    <w:link w:val="BodyTextChar"/>
    <w:uiPriority w:val="99"/>
    <w:semiHidden/>
    <w:unhideWhenUsed/>
    <w:rsid w:val="00420914"/>
    <w:pPr>
      <w:spacing w:after="120"/>
    </w:pPr>
  </w:style>
  <w:style w:type="character" w:customStyle="1" w:styleId="BodyTextChar">
    <w:name w:val="Body Text Char"/>
    <w:basedOn w:val="DefaultParagraphFont"/>
    <w:link w:val="BodyText"/>
    <w:uiPriority w:val="99"/>
    <w:semiHidden/>
    <w:rsid w:val="00420914"/>
    <w:rPr>
      <w:sz w:val="22"/>
      <w:szCs w:val="22"/>
      <w:lang w:val="en-GB"/>
    </w:rPr>
  </w:style>
  <w:style w:type="character" w:styleId="Emphasis">
    <w:name w:val="Emphasis"/>
    <w:basedOn w:val="DefaultParagraphFont"/>
    <w:uiPriority w:val="20"/>
    <w:qFormat/>
    <w:rsid w:val="004209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UNEP/OzL.Pro/ExCom/84/64</Document_x0020_Number>
  </documentManagement>
</p:properties>
</file>

<file path=customXml/itemProps1.xml><?xml version="1.0" encoding="utf-8"?>
<ds:datastoreItem xmlns:ds="http://schemas.openxmlformats.org/officeDocument/2006/customXml" ds:itemID="{93FB0D4D-4509-40CA-9863-859534855F3D}"/>
</file>

<file path=customXml/itemProps2.xml><?xml version="1.0" encoding="utf-8"?>
<ds:datastoreItem xmlns:ds="http://schemas.openxmlformats.org/officeDocument/2006/customXml" ds:itemID="{EB02B9EC-2ECC-45E0-935C-21EE17160E42}"/>
</file>

<file path=customXml/itemProps3.xml><?xml version="1.0" encoding="utf-8"?>
<ds:datastoreItem xmlns:ds="http://schemas.openxmlformats.org/officeDocument/2006/customXml" ds:itemID="{C28CDAF3-2055-4998-9F2B-C9428229C378}"/>
</file>

<file path=customXml/itemProps4.xml><?xml version="1.0" encoding="utf-8"?>
<ds:datastoreItem xmlns:ds="http://schemas.openxmlformats.org/officeDocument/2006/customXml" ds:itemID="{C326090F-315C-4656-9053-AA363CA3C242}"/>
</file>

<file path=docProps/app.xml><?xml version="1.0" encoding="utf-8"?>
<Properties xmlns="http://schemas.openxmlformats.org/officeDocument/2006/extended-properties" xmlns:vt="http://schemas.openxmlformats.org/officeDocument/2006/docPropsVTypes">
  <Template>normal</Template>
  <TotalTime>250</TotalTime>
  <Pages>9</Pages>
  <Words>2954</Words>
  <Characters>16841</Characters>
  <Application>Microsoft Office Word</Application>
  <DocSecurity>0</DocSecurity>
  <Lines>140</Lines>
  <Paragraphs>39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Reseña de los sistemas vigentes de supervisión, presentación de informes, verificación y concesión de licencias y cupos exigibles desarrollados con apoyo del fondo multilateral (decisión 83/60 c))</vt:lpstr>
      <vt:lpstr/>
    </vt:vector>
  </TitlesOfParts>
  <Company>UNMFS</Company>
  <LinksUpToDate>false</LinksUpToDate>
  <CharactersWithSpaces>19756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Reseña de los sistemas vigentes de supervisión, presentación de informes, verificación y concesión de licencias y cupos exigibles desarrollados con apoyo del fondo multilateral</dc:title>
  <dc:creator>Maria Adela Troitino</dc:creator>
  <cp:lastModifiedBy>HBE</cp:lastModifiedBy>
  <cp:revision>10</cp:revision>
  <cp:lastPrinted>2001-05-26T16:40:00Z</cp:lastPrinted>
  <dcterms:created xsi:type="dcterms:W3CDTF">2019-11-20T20:53:00Z</dcterms:created>
  <dcterms:modified xsi:type="dcterms:W3CDTF">2019-12-06T16:46:00Z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UNEP/OzL.Pro/ExCom/84/64</vt:lpwstr>
  </property>
  <property fmtid="{D5CDD505-2E9C-101B-9397-08002B2CF9AE}" pid="3" name="Revision date">
    <vt:lpwstr>10/1/2019</vt:lpwstr>
  </property>
  <property fmtid="{D5CDD505-2E9C-101B-9397-08002B2CF9AE}" pid="4" name="ContentTypeId">
    <vt:lpwstr>0x010100CF2D22381220FE4184AFB35730DED85F</vt:lpwstr>
  </property>
</Properties>
</file>