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230"/>
      </w:tblGrid>
      <w:tr w:rsidR="00C15867" w:rsidRPr="00E27C84" w:rsidTr="00B46B1D">
        <w:trPr>
          <w:trHeight w:val="720"/>
        </w:trPr>
        <w:tc>
          <w:tcPr>
            <w:tcW w:w="5490" w:type="dxa"/>
            <w:gridSpan w:val="2"/>
            <w:tcBorders>
              <w:bottom w:val="single" w:sz="18" w:space="0" w:color="auto"/>
            </w:tcBorders>
          </w:tcPr>
          <w:p w:rsidR="00C15867" w:rsidRPr="00E27C84" w:rsidRDefault="00C15867" w:rsidP="008F7254">
            <w:pPr>
              <w:widowControl w:val="0"/>
              <w:suppressAutoHyphens/>
              <w:rPr>
                <w:color w:val="000000" w:themeColor="text1"/>
                <w:sz w:val="28"/>
                <w:szCs w:val="28"/>
                <w:lang w:val="en-CA"/>
              </w:rPr>
            </w:pPr>
            <w:r w:rsidRPr="00E27C84">
              <w:rPr>
                <w:rFonts w:ascii="Univers" w:hAnsi="Univers"/>
                <w:b/>
                <w:color w:val="000000" w:themeColor="text1"/>
                <w:sz w:val="28"/>
                <w:szCs w:val="28"/>
                <w:lang w:val="en-CA"/>
              </w:rPr>
              <w:t>UNITED</w:t>
            </w:r>
            <w:r w:rsidRPr="00E27C84">
              <w:rPr>
                <w:rFonts w:ascii="Univers" w:hAnsi="Univers"/>
                <w:b/>
                <w:color w:val="000000" w:themeColor="text1"/>
                <w:sz w:val="28"/>
                <w:szCs w:val="28"/>
                <w:lang w:val="en-CA"/>
              </w:rPr>
              <w:br/>
              <w:t>NATIONS</w:t>
            </w:r>
          </w:p>
        </w:tc>
        <w:tc>
          <w:tcPr>
            <w:tcW w:w="4230" w:type="dxa"/>
            <w:tcBorders>
              <w:bottom w:val="single" w:sz="18" w:space="0" w:color="auto"/>
            </w:tcBorders>
          </w:tcPr>
          <w:p w:rsidR="00C15867" w:rsidRPr="00E27C84" w:rsidRDefault="00C15867" w:rsidP="008F7254">
            <w:pPr>
              <w:widowControl w:val="0"/>
              <w:jc w:val="right"/>
              <w:rPr>
                <w:color w:val="000000" w:themeColor="text1"/>
                <w:sz w:val="52"/>
                <w:szCs w:val="52"/>
                <w:lang w:val="en-CA"/>
              </w:rPr>
            </w:pPr>
            <w:r w:rsidRPr="00E27C84">
              <w:rPr>
                <w:rFonts w:ascii="Univers Bold" w:hAnsi="Univers Bold"/>
                <w:b/>
                <w:color w:val="000000" w:themeColor="text1"/>
                <w:sz w:val="72"/>
                <w:lang w:val="en-CA"/>
              </w:rPr>
              <w:t>EP</w:t>
            </w:r>
          </w:p>
        </w:tc>
      </w:tr>
      <w:tr w:rsidR="00C15867" w:rsidRPr="00E27C84" w:rsidTr="00B46B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E27C84" w:rsidRDefault="00C15867" w:rsidP="008F7254">
            <w:pPr>
              <w:widowControl w:val="0"/>
              <w:spacing w:before="120"/>
              <w:rPr>
                <w:color w:val="000000" w:themeColor="text1"/>
                <w:lang w:val="en-CA"/>
              </w:rPr>
            </w:pPr>
            <w:r w:rsidRPr="00E27C84">
              <w:rPr>
                <w:noProof/>
                <w:color w:val="000000" w:themeColor="text1"/>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E27C84">
              <w:rPr>
                <w:noProof/>
                <w:color w:val="000000" w:themeColor="text1"/>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E27C84" w:rsidRDefault="00C15867" w:rsidP="008F7254">
            <w:pPr>
              <w:widowControl w:val="0"/>
              <w:suppressAutoHyphens/>
              <w:rPr>
                <w:rFonts w:ascii="Univers" w:hAnsi="Univers"/>
                <w:b/>
                <w:color w:val="000000" w:themeColor="text1"/>
                <w:sz w:val="32"/>
                <w:lang w:val="en-CA"/>
              </w:rPr>
            </w:pPr>
            <w:r w:rsidRPr="00E27C84">
              <w:rPr>
                <w:rFonts w:ascii="Univers" w:hAnsi="Univers"/>
                <w:b/>
                <w:color w:val="000000" w:themeColor="text1"/>
                <w:sz w:val="32"/>
                <w:lang w:val="en-CA"/>
              </w:rPr>
              <w:t>United Nations</w:t>
            </w:r>
          </w:p>
          <w:p w:rsidR="00C15867" w:rsidRPr="00E27C84" w:rsidRDefault="00C15867" w:rsidP="008F7254">
            <w:pPr>
              <w:widowControl w:val="0"/>
              <w:suppressAutoHyphens/>
              <w:rPr>
                <w:rFonts w:ascii="Univers" w:hAnsi="Univers"/>
                <w:color w:val="000000" w:themeColor="text1"/>
                <w:lang w:val="en-CA"/>
              </w:rPr>
            </w:pPr>
            <w:r w:rsidRPr="00E27C84">
              <w:rPr>
                <w:rFonts w:ascii="Univers" w:hAnsi="Univers"/>
                <w:b/>
                <w:color w:val="000000" w:themeColor="text1"/>
                <w:sz w:val="32"/>
                <w:lang w:val="en-CA"/>
              </w:rPr>
              <w:t>Environment</w:t>
            </w:r>
          </w:p>
          <w:p w:rsidR="00C15867" w:rsidRPr="00E27C84" w:rsidRDefault="00C15867" w:rsidP="008F7254">
            <w:pPr>
              <w:widowControl w:val="0"/>
              <w:suppressAutoHyphens/>
              <w:rPr>
                <w:rFonts w:ascii="Univers Bold" w:hAnsi="Univers Bold"/>
                <w:b/>
                <w:color w:val="000000" w:themeColor="text1"/>
                <w:sz w:val="32"/>
                <w:lang w:val="en-CA"/>
              </w:rPr>
            </w:pPr>
            <w:r w:rsidRPr="00E27C84">
              <w:rPr>
                <w:rFonts w:ascii="Univers" w:hAnsi="Univers"/>
                <w:b/>
                <w:color w:val="000000" w:themeColor="text1"/>
                <w:sz w:val="32"/>
                <w:lang w:val="en-CA"/>
              </w:rPr>
              <w:t>Programme</w:t>
            </w:r>
          </w:p>
          <w:p w:rsidR="00C15867" w:rsidRPr="00E27C84" w:rsidRDefault="00C15867" w:rsidP="008F7254">
            <w:pPr>
              <w:widowControl w:val="0"/>
              <w:spacing w:before="720"/>
              <w:ind w:left="158"/>
              <w:rPr>
                <w:color w:val="000000" w:themeColor="text1"/>
                <w:lang w:val="en-CA"/>
              </w:rPr>
            </w:pPr>
          </w:p>
        </w:tc>
        <w:tc>
          <w:tcPr>
            <w:tcW w:w="4230" w:type="dxa"/>
            <w:tcBorders>
              <w:top w:val="nil"/>
              <w:left w:val="nil"/>
              <w:bottom w:val="single" w:sz="36" w:space="0" w:color="auto"/>
              <w:right w:val="nil"/>
            </w:tcBorders>
          </w:tcPr>
          <w:p w:rsidR="00C15867" w:rsidRPr="00E27C84" w:rsidRDefault="00C15867" w:rsidP="008F7254">
            <w:pPr>
              <w:widowControl w:val="0"/>
              <w:rPr>
                <w:color w:val="000000" w:themeColor="text1"/>
                <w:lang w:val="en-CA"/>
              </w:rPr>
            </w:pPr>
            <w:r w:rsidRPr="00E27C84">
              <w:rPr>
                <w:color w:val="000000" w:themeColor="text1"/>
                <w:lang w:val="en-CA"/>
              </w:rPr>
              <w:t>Distr.</w:t>
            </w:r>
          </w:p>
          <w:p w:rsidR="00923540" w:rsidRPr="00E27C84" w:rsidRDefault="00923540" w:rsidP="008F7254">
            <w:pPr>
              <w:widowControl w:val="0"/>
              <w:rPr>
                <w:color w:val="000000" w:themeColor="text1"/>
                <w:lang w:val="en-CA"/>
              </w:rPr>
            </w:pPr>
            <w:r w:rsidRPr="00E27C84">
              <w:rPr>
                <w:color w:val="000000" w:themeColor="text1"/>
                <w:lang w:val="en-CA"/>
              </w:rPr>
              <w:t>GENERAL</w:t>
            </w:r>
          </w:p>
          <w:p w:rsidR="00C15867" w:rsidRPr="00E27C84" w:rsidRDefault="00C15867" w:rsidP="008F7254">
            <w:pPr>
              <w:widowControl w:val="0"/>
              <w:rPr>
                <w:color w:val="000000" w:themeColor="text1"/>
                <w:lang w:val="en-CA"/>
              </w:rPr>
            </w:pPr>
          </w:p>
          <w:p w:rsidR="00C15867" w:rsidRPr="00E27C84" w:rsidRDefault="00C15867" w:rsidP="000C004B">
            <w:pPr>
              <w:widowControl w:val="0"/>
              <w:jc w:val="center"/>
              <w:rPr>
                <w:color w:val="000000" w:themeColor="text1"/>
                <w:lang w:val="en-CA"/>
              </w:rPr>
            </w:pPr>
          </w:p>
          <w:p w:rsidR="00C15867" w:rsidRPr="00E27C84" w:rsidRDefault="00C87DB7" w:rsidP="008F7254">
            <w:pPr>
              <w:widowControl w:val="0"/>
              <w:rPr>
                <w:color w:val="000000" w:themeColor="text1"/>
                <w:lang w:val="en-CA"/>
              </w:rPr>
            </w:pPr>
            <w:r w:rsidRPr="00E27C84">
              <w:rPr>
                <w:lang w:val="en-CA"/>
              </w:rPr>
              <w:fldChar w:fldCharType="begin"/>
            </w:r>
            <w:r w:rsidR="009B2B03" w:rsidRPr="00E27C84">
              <w:rPr>
                <w:lang w:val="en-CA"/>
              </w:rPr>
              <w:instrText xml:space="preserve"> DOCPROPERTY "Document number"  \* MERGEFORMAT </w:instrText>
            </w:r>
            <w:r w:rsidRPr="00E27C84">
              <w:rPr>
                <w:lang w:val="en-CA"/>
              </w:rPr>
              <w:fldChar w:fldCharType="separate"/>
            </w:r>
            <w:r w:rsidR="00601609" w:rsidRPr="00601609">
              <w:rPr>
                <w:color w:val="000000" w:themeColor="text1"/>
                <w:lang w:val="en-CA"/>
              </w:rPr>
              <w:t>UNEP/OzL.Pro/ExCom/78/</w:t>
            </w:r>
            <w:r w:rsidR="00601609">
              <w:rPr>
                <w:lang w:val="en-CA"/>
              </w:rPr>
              <w:t>5</w:t>
            </w:r>
            <w:r w:rsidRPr="00E27C84">
              <w:rPr>
                <w:color w:val="000000" w:themeColor="text1"/>
                <w:lang w:val="en-CA"/>
              </w:rPr>
              <w:fldChar w:fldCharType="end"/>
            </w:r>
          </w:p>
          <w:p w:rsidR="00C15867" w:rsidRPr="00E27C84" w:rsidRDefault="00C87DB7" w:rsidP="008F7254">
            <w:pPr>
              <w:widowControl w:val="0"/>
              <w:rPr>
                <w:color w:val="000000" w:themeColor="text1"/>
                <w:lang w:val="en-CA"/>
              </w:rPr>
            </w:pPr>
            <w:r w:rsidRPr="00E27C84">
              <w:rPr>
                <w:color w:val="000000" w:themeColor="text1"/>
                <w:lang w:val="en-CA"/>
              </w:rPr>
              <w:fldChar w:fldCharType="begin"/>
            </w:r>
            <w:r w:rsidR="00851352" w:rsidRPr="00E27C84">
              <w:rPr>
                <w:color w:val="000000" w:themeColor="text1"/>
                <w:lang w:val="en-CA"/>
              </w:rPr>
              <w:instrText xml:space="preserve"> DOCPROPERTY "Revision date" \@ "d MMMM YYYY"  \* MERGEFORMAT </w:instrText>
            </w:r>
            <w:r w:rsidRPr="00E27C84">
              <w:rPr>
                <w:color w:val="000000" w:themeColor="text1"/>
                <w:lang w:val="en-CA"/>
              </w:rPr>
              <w:fldChar w:fldCharType="separate"/>
            </w:r>
            <w:r w:rsidR="00DE74E9">
              <w:rPr>
                <w:color w:val="000000" w:themeColor="text1"/>
                <w:lang w:val="en-CA"/>
              </w:rPr>
              <w:t>7 March 2017</w:t>
            </w:r>
            <w:r w:rsidRPr="00E27C84">
              <w:rPr>
                <w:color w:val="000000" w:themeColor="text1"/>
                <w:lang w:val="en-CA"/>
              </w:rPr>
              <w:fldChar w:fldCharType="end"/>
            </w:r>
          </w:p>
          <w:p w:rsidR="00C15867" w:rsidRPr="00E27C84" w:rsidRDefault="00C15867" w:rsidP="008F7254">
            <w:pPr>
              <w:widowControl w:val="0"/>
              <w:rPr>
                <w:caps/>
                <w:color w:val="000000" w:themeColor="text1"/>
                <w:lang w:val="en-CA"/>
              </w:rPr>
            </w:pPr>
          </w:p>
          <w:p w:rsidR="00C15867" w:rsidRPr="00E27C84" w:rsidRDefault="00C15867" w:rsidP="008F7254">
            <w:pPr>
              <w:widowControl w:val="0"/>
              <w:rPr>
                <w:color w:val="000000" w:themeColor="text1"/>
                <w:lang w:val="en-CA"/>
              </w:rPr>
            </w:pPr>
            <w:r w:rsidRPr="00E27C84">
              <w:rPr>
                <w:color w:val="000000" w:themeColor="text1"/>
                <w:lang w:val="en-CA"/>
              </w:rPr>
              <w:t>ORIGINAL: ENGLISH</w:t>
            </w:r>
          </w:p>
        </w:tc>
      </w:tr>
    </w:tbl>
    <w:p w:rsidR="005D2D47" w:rsidRPr="00E27C84" w:rsidRDefault="00C15867" w:rsidP="008F7254">
      <w:pPr>
        <w:widowControl w:val="0"/>
        <w:jc w:val="left"/>
        <w:rPr>
          <w:color w:val="000000" w:themeColor="text1"/>
          <w:lang w:val="en-CA"/>
        </w:rPr>
      </w:pPr>
      <w:r w:rsidRPr="00E27C84">
        <w:rPr>
          <w:color w:val="000000" w:themeColor="text1"/>
          <w:lang w:val="en-CA"/>
        </w:rPr>
        <w:t>EXECUTIVE COMMITTEE OF</w:t>
      </w:r>
      <w:r w:rsidRPr="00E27C84">
        <w:rPr>
          <w:color w:val="000000" w:themeColor="text1"/>
          <w:lang w:val="en-CA"/>
        </w:rPr>
        <w:br/>
      </w:r>
      <w:r w:rsidR="002F6FA0" w:rsidRPr="00E27C84">
        <w:rPr>
          <w:color w:val="000000" w:themeColor="text1"/>
          <w:lang w:val="en-CA"/>
        </w:rPr>
        <w:t xml:space="preserve"> </w:t>
      </w:r>
      <w:r w:rsidRPr="00E27C84">
        <w:rPr>
          <w:color w:val="000000" w:themeColor="text1"/>
          <w:lang w:val="en-CA"/>
        </w:rPr>
        <w:t>THE MULTILATERAL FUND FOR THE</w:t>
      </w:r>
      <w:r w:rsidRPr="00E27C84">
        <w:rPr>
          <w:color w:val="000000" w:themeColor="text1"/>
          <w:lang w:val="en-CA"/>
        </w:rPr>
        <w:br/>
      </w:r>
      <w:r w:rsidR="002F6FA0" w:rsidRPr="00E27C84">
        <w:rPr>
          <w:color w:val="000000" w:themeColor="text1"/>
          <w:lang w:val="en-CA"/>
        </w:rPr>
        <w:t xml:space="preserve"> </w:t>
      </w:r>
      <w:r w:rsidRPr="00E27C84">
        <w:rPr>
          <w:color w:val="000000" w:themeColor="text1"/>
          <w:lang w:val="en-CA"/>
        </w:rPr>
        <w:t>IMPLEMENTATION OF THE MONTREAL PROTOCOL</w:t>
      </w:r>
      <w:r w:rsidRPr="00E27C84">
        <w:rPr>
          <w:color w:val="000000" w:themeColor="text1"/>
          <w:lang w:val="en-CA"/>
        </w:rPr>
        <w:br/>
      </w:r>
      <w:r w:rsidR="005D2D47" w:rsidRPr="00E27C84">
        <w:rPr>
          <w:color w:val="000000" w:themeColor="text1"/>
          <w:lang w:val="en-CA"/>
        </w:rPr>
        <w:t>Seventy-</w:t>
      </w:r>
      <w:r w:rsidR="00E27C84" w:rsidRPr="00E27C84">
        <w:rPr>
          <w:color w:val="000000" w:themeColor="text1"/>
          <w:lang w:val="en-CA"/>
        </w:rPr>
        <w:t>eighth</w:t>
      </w:r>
      <w:r w:rsidR="005D2D47" w:rsidRPr="00E27C84">
        <w:rPr>
          <w:color w:val="000000" w:themeColor="text1"/>
          <w:lang w:val="en-CA"/>
        </w:rPr>
        <w:t xml:space="preserve"> Meeting</w:t>
      </w:r>
    </w:p>
    <w:p w:rsidR="00667244" w:rsidRPr="00E27C84" w:rsidRDefault="005D2D47" w:rsidP="008F7254">
      <w:pPr>
        <w:widowControl w:val="0"/>
        <w:jc w:val="left"/>
        <w:rPr>
          <w:color w:val="000000" w:themeColor="text1"/>
          <w:lang w:val="en-CA"/>
        </w:rPr>
      </w:pPr>
      <w:r w:rsidRPr="00E27C84">
        <w:rPr>
          <w:color w:val="000000" w:themeColor="text1"/>
          <w:lang w:val="en-CA"/>
        </w:rPr>
        <w:t xml:space="preserve">Montreal, </w:t>
      </w:r>
      <w:r w:rsidR="00E27C84" w:rsidRPr="00E27C84">
        <w:rPr>
          <w:color w:val="000000" w:themeColor="text1"/>
          <w:lang w:val="en-CA"/>
        </w:rPr>
        <w:t xml:space="preserve">4–7 April </w:t>
      </w:r>
      <w:r w:rsidRPr="00E27C84">
        <w:rPr>
          <w:color w:val="000000" w:themeColor="text1"/>
          <w:lang w:val="en-CA"/>
        </w:rPr>
        <w:t>201</w:t>
      </w:r>
      <w:r w:rsidR="00E27C84" w:rsidRPr="00E27C84">
        <w:rPr>
          <w:color w:val="000000" w:themeColor="text1"/>
          <w:lang w:val="en-CA"/>
        </w:rPr>
        <w:t>7</w:t>
      </w:r>
    </w:p>
    <w:p w:rsidR="002B71A1" w:rsidRPr="00E27C84" w:rsidRDefault="002B71A1" w:rsidP="008F7254">
      <w:pPr>
        <w:widowControl w:val="0"/>
        <w:rPr>
          <w:color w:val="000000" w:themeColor="text1"/>
          <w:lang w:val="en-CA"/>
        </w:rPr>
      </w:pPr>
    </w:p>
    <w:p w:rsidR="00274388" w:rsidRDefault="00274388" w:rsidP="00274388">
      <w:pPr>
        <w:autoSpaceDE w:val="0"/>
        <w:autoSpaceDN w:val="0"/>
        <w:adjustRightInd w:val="0"/>
        <w:jc w:val="left"/>
        <w:rPr>
          <w:rFonts w:ascii="Roboto" w:hAnsi="Roboto" w:cs="Roboto"/>
          <w:color w:val="000000"/>
          <w:lang w:val="en-US"/>
        </w:rPr>
      </w:pPr>
    </w:p>
    <w:p w:rsidR="00276077" w:rsidRPr="008F7254" w:rsidRDefault="008147CC" w:rsidP="008F7254">
      <w:pPr>
        <w:tabs>
          <w:tab w:val="left" w:pos="720"/>
          <w:tab w:val="left" w:pos="1440"/>
          <w:tab w:val="left" w:pos="2160"/>
        </w:tabs>
        <w:autoSpaceDE w:val="0"/>
        <w:autoSpaceDN w:val="0"/>
        <w:adjustRightInd w:val="0"/>
        <w:spacing w:after="100" w:afterAutospacing="1"/>
        <w:jc w:val="center"/>
        <w:rPr>
          <w:b/>
          <w:caps/>
        </w:rPr>
      </w:pPr>
      <w:r w:rsidRPr="008F7254">
        <w:rPr>
          <w:b/>
          <w:caps/>
        </w:rPr>
        <w:t xml:space="preserve">information </w:t>
      </w:r>
      <w:r w:rsidR="00C91130" w:rsidRPr="008F7254">
        <w:rPr>
          <w:b/>
          <w:caps/>
        </w:rPr>
        <w:t xml:space="preserve">RELEVANT </w:t>
      </w:r>
      <w:r w:rsidR="002919C3" w:rsidRPr="008F7254">
        <w:rPr>
          <w:b/>
          <w:caps/>
        </w:rPr>
        <w:t>TO</w:t>
      </w:r>
      <w:r w:rsidRPr="008F7254">
        <w:rPr>
          <w:b/>
          <w:caps/>
        </w:rPr>
        <w:t xml:space="preserve"> the development of </w:t>
      </w:r>
      <w:r w:rsidR="00601609">
        <w:rPr>
          <w:b/>
          <w:caps/>
        </w:rPr>
        <w:t xml:space="preserve">THE </w:t>
      </w:r>
      <w:r w:rsidRPr="008F7254">
        <w:rPr>
          <w:b/>
          <w:caps/>
        </w:rPr>
        <w:t>cost guidelines for the phase-down of hfc</w:t>
      </w:r>
      <w:r w:rsidRPr="008F7254">
        <w:rPr>
          <w:b/>
        </w:rPr>
        <w:t>s</w:t>
      </w:r>
      <w:r w:rsidR="00601609">
        <w:rPr>
          <w:b/>
        </w:rPr>
        <w:t xml:space="preserve"> IN ARTICLE 5 COUNTRIES: DRAFT CRITERIA FOR FUNDING</w:t>
      </w:r>
    </w:p>
    <w:p w:rsidR="007761B8" w:rsidRPr="008F7254" w:rsidRDefault="007761B8" w:rsidP="008F7254">
      <w:pPr>
        <w:widowControl w:val="0"/>
        <w:rPr>
          <w:b/>
          <w:color w:val="000000" w:themeColor="text1"/>
          <w:lang w:val="en-CA"/>
        </w:rPr>
      </w:pPr>
      <w:r w:rsidRPr="008F7254">
        <w:rPr>
          <w:b/>
          <w:color w:val="000000" w:themeColor="text1"/>
          <w:lang w:val="en-CA"/>
        </w:rPr>
        <w:t>Background</w:t>
      </w:r>
    </w:p>
    <w:p w:rsidR="007761B8" w:rsidRPr="008F7254" w:rsidRDefault="007761B8" w:rsidP="008F7254">
      <w:pPr>
        <w:widowControl w:val="0"/>
        <w:rPr>
          <w:b/>
          <w:color w:val="000000" w:themeColor="text1"/>
          <w:lang w:val="en-CA"/>
        </w:rPr>
      </w:pPr>
    </w:p>
    <w:p w:rsidR="00010AE1" w:rsidRPr="00010AE1" w:rsidRDefault="00010AE1" w:rsidP="00010AE1">
      <w:pPr>
        <w:numPr>
          <w:ilvl w:val="0"/>
          <w:numId w:val="1"/>
        </w:numPr>
        <w:spacing w:after="240"/>
        <w:outlineLvl w:val="0"/>
      </w:pPr>
      <w:r w:rsidRPr="00010AE1">
        <w:t>At their Twenty-</w:t>
      </w:r>
      <w:r w:rsidR="00404F88">
        <w:t>E</w:t>
      </w:r>
      <w:r w:rsidRPr="00010AE1">
        <w:t>ighth Meeting</w:t>
      </w:r>
      <w:r w:rsidRPr="00010AE1">
        <w:rPr>
          <w:vertAlign w:val="superscript"/>
        </w:rPr>
        <w:footnoteReference w:id="1"/>
      </w:r>
      <w:r w:rsidRPr="00010AE1">
        <w:t>, the Parties to the Montreal Protocol adopted the Kigali Amendment</w:t>
      </w:r>
      <w:r w:rsidRPr="00010AE1">
        <w:rPr>
          <w:vertAlign w:val="superscript"/>
        </w:rPr>
        <w:footnoteReference w:id="2"/>
      </w:r>
      <w:r w:rsidRPr="00010AE1">
        <w:t xml:space="preserve">, and </w:t>
      </w:r>
      <w:r w:rsidRPr="00010AE1">
        <w:rPr>
          <w:lang w:val="en-CA"/>
        </w:rPr>
        <w:t>de</w:t>
      </w:r>
      <w:r w:rsidR="00BF6681">
        <w:rPr>
          <w:lang w:val="en-CA"/>
        </w:rPr>
        <w:t>cision XXVIII/2 related to the A</w:t>
      </w:r>
      <w:r w:rsidRPr="00010AE1">
        <w:rPr>
          <w:lang w:val="en-CA"/>
        </w:rPr>
        <w:t xml:space="preserve">mendment </w:t>
      </w:r>
      <w:r w:rsidR="00271BD4">
        <w:rPr>
          <w:lang w:val="en-CA"/>
        </w:rPr>
        <w:t xml:space="preserve">to phase down the </w:t>
      </w:r>
      <w:r w:rsidR="00274388">
        <w:rPr>
          <w:lang w:val="en-CA"/>
        </w:rPr>
        <w:t>p</w:t>
      </w:r>
      <w:r w:rsidR="00271BD4">
        <w:rPr>
          <w:lang w:val="en-CA"/>
        </w:rPr>
        <w:t>roduction and consumption of hydrofluorocarbons</w:t>
      </w:r>
      <w:r w:rsidRPr="00010AE1">
        <w:rPr>
          <w:lang w:val="en-CA"/>
        </w:rPr>
        <w:t xml:space="preserve"> </w:t>
      </w:r>
      <w:r w:rsidR="00271BD4">
        <w:rPr>
          <w:lang w:val="en-CA"/>
        </w:rPr>
        <w:t>(</w:t>
      </w:r>
      <w:r w:rsidRPr="00010AE1">
        <w:rPr>
          <w:lang w:val="en-CA"/>
        </w:rPr>
        <w:t>HFCs</w:t>
      </w:r>
      <w:r w:rsidR="00271BD4">
        <w:rPr>
          <w:lang w:val="en-CA"/>
        </w:rPr>
        <w:t>)</w:t>
      </w:r>
      <w:r w:rsidRPr="00010AE1">
        <w:rPr>
          <w:lang w:val="en-CA"/>
        </w:rPr>
        <w:t xml:space="preserve">. In </w:t>
      </w:r>
      <w:r w:rsidRPr="00010AE1">
        <w:t xml:space="preserve">paragraph 10 of decision XXVIII/2 the Parties </w:t>
      </w:r>
      <w:r w:rsidRPr="00010AE1">
        <w:rPr>
          <w:lang w:val="en-CA"/>
        </w:rPr>
        <w:t xml:space="preserve">requested the Executive Committee to develop, within two years of the adoption of the </w:t>
      </w:r>
      <w:r w:rsidR="00271BD4">
        <w:rPr>
          <w:lang w:val="en-CA"/>
        </w:rPr>
        <w:t>A</w:t>
      </w:r>
      <w:r w:rsidR="00271BD4" w:rsidRPr="00010AE1">
        <w:rPr>
          <w:lang w:val="en-CA"/>
        </w:rPr>
        <w:t>mendment</w:t>
      </w:r>
      <w:r w:rsidRPr="00010AE1">
        <w:rPr>
          <w:lang w:val="en-CA"/>
        </w:rPr>
        <w:t xml:space="preserve">, guidelines for financing the phase-down of HFC consumption and production, including cost-effectiveness thresholds. </w:t>
      </w:r>
      <w:r w:rsidR="00271BD4">
        <w:rPr>
          <w:lang w:val="en-CA"/>
        </w:rPr>
        <w:t>The decision requests the Executive Committee to present those guidelines to the Meeting of the Parties for the parties’ views and inputs before their finalization by the Executive Committee.</w:t>
      </w:r>
    </w:p>
    <w:p w:rsidR="00010AE1" w:rsidRPr="00010AE1" w:rsidRDefault="00010AE1" w:rsidP="00010AE1">
      <w:pPr>
        <w:numPr>
          <w:ilvl w:val="0"/>
          <w:numId w:val="1"/>
        </w:numPr>
        <w:spacing w:after="240"/>
        <w:outlineLvl w:val="0"/>
        <w:rPr>
          <w:lang w:val="en-CA"/>
        </w:rPr>
      </w:pPr>
      <w:r w:rsidRPr="00010AE1">
        <w:t>In the context of agenda item 10 on Issues relevant to the Executive Committee arising from the Twenty-</w:t>
      </w:r>
      <w:r w:rsidR="002120F4">
        <w:t>E</w:t>
      </w:r>
      <w:r w:rsidRPr="00010AE1">
        <w:t xml:space="preserve">ighth Meeting of the Parties to the Montreal Protocol </w:t>
      </w:r>
      <w:r w:rsidR="004E6A79">
        <w:t>at</w:t>
      </w:r>
      <w:r w:rsidRPr="00010AE1">
        <w:t xml:space="preserve"> the 77</w:t>
      </w:r>
      <w:r w:rsidRPr="00010AE1">
        <w:rPr>
          <w:vertAlign w:val="superscript"/>
        </w:rPr>
        <w:t>th</w:t>
      </w:r>
      <w:r w:rsidR="00AF6D51">
        <w:rPr>
          <w:vertAlign w:val="superscript"/>
        </w:rPr>
        <w:t> </w:t>
      </w:r>
      <w:r w:rsidRPr="00010AE1">
        <w:t>meeting</w:t>
      </w:r>
      <w:r w:rsidR="00364C66">
        <w:t xml:space="preserve"> (November</w:t>
      </w:r>
      <w:r w:rsidR="00B27315">
        <w:noBreakHyphen/>
      </w:r>
      <w:r w:rsidR="00364C66">
        <w:t>December</w:t>
      </w:r>
      <w:r w:rsidR="003B5F68">
        <w:t> </w:t>
      </w:r>
      <w:r w:rsidR="00364C66">
        <w:t>2016)</w:t>
      </w:r>
      <w:r w:rsidRPr="00010AE1">
        <w:t xml:space="preserve">, the Executive Committee discussed a note from the Secretariat aimed at seeking guidance from the Executive Committee on </w:t>
      </w:r>
      <w:r w:rsidR="00271BD4">
        <w:t>the</w:t>
      </w:r>
      <w:r w:rsidR="00271BD4" w:rsidRPr="00010AE1">
        <w:t xml:space="preserve"> </w:t>
      </w:r>
      <w:r w:rsidRPr="00010AE1">
        <w:t xml:space="preserve">way forward to address decision XXVIII/2. Further to </w:t>
      </w:r>
      <w:r w:rsidR="00271BD4">
        <w:t>the</w:t>
      </w:r>
      <w:r w:rsidR="00271BD4" w:rsidRPr="00010AE1">
        <w:t xml:space="preserve"> </w:t>
      </w:r>
      <w:r w:rsidRPr="00010AE1">
        <w:t xml:space="preserve">discussion, </w:t>
      </w:r>
      <w:r w:rsidRPr="00010AE1">
        <w:rPr>
          <w:lang w:val="en-CA"/>
        </w:rPr>
        <w:t xml:space="preserve">the Executive Committee requested the Secretariat to prepare a document containing preliminary information in response to the elements in decision XXVIII/2 that requested the Executive Committee to take action, and addressing </w:t>
      </w:r>
      <w:r w:rsidRPr="00010AE1">
        <w:rPr>
          <w:i/>
          <w:lang w:val="en-CA"/>
        </w:rPr>
        <w:t>inter alia</w:t>
      </w:r>
      <w:r w:rsidRPr="00010AE1">
        <w:rPr>
          <w:lang w:val="en-CA"/>
        </w:rPr>
        <w:t xml:space="preserve"> information relevant to the development of the cost guidelines requested from the Executive Committee (decision 77/59(b)(v)).</w:t>
      </w:r>
    </w:p>
    <w:p w:rsidR="00010AE1" w:rsidRPr="00010AE1" w:rsidRDefault="00010AE1" w:rsidP="00010AE1">
      <w:pPr>
        <w:numPr>
          <w:ilvl w:val="0"/>
          <w:numId w:val="1"/>
        </w:numPr>
        <w:spacing w:after="240"/>
        <w:outlineLvl w:val="0"/>
      </w:pPr>
      <w:r w:rsidRPr="00010AE1">
        <w:t>The Executive Committee further invited members at the 77</w:t>
      </w:r>
      <w:r w:rsidRPr="00010AE1">
        <w:rPr>
          <w:vertAlign w:val="superscript"/>
        </w:rPr>
        <w:t>th</w:t>
      </w:r>
      <w:r w:rsidRPr="00010AE1">
        <w:t xml:space="preserve"> meeting to share relevant information with the Secretariat no later than 31 January 2017, owing to the limited time remaining before the end of 2016 (decision 77/59(c))</w:t>
      </w:r>
      <w:r w:rsidRPr="00010AE1">
        <w:rPr>
          <w:vertAlign w:val="superscript"/>
        </w:rPr>
        <w:footnoteReference w:id="3"/>
      </w:r>
      <w:r w:rsidRPr="00010AE1">
        <w:t xml:space="preserve">. </w:t>
      </w:r>
    </w:p>
    <w:p w:rsidR="00010AE1" w:rsidRPr="00010AE1" w:rsidRDefault="00010AE1" w:rsidP="00010AE1">
      <w:pPr>
        <w:numPr>
          <w:ilvl w:val="0"/>
          <w:numId w:val="1"/>
        </w:numPr>
        <w:spacing w:after="240"/>
        <w:outlineLvl w:val="0"/>
      </w:pPr>
      <w:r w:rsidRPr="00010AE1">
        <w:t>The Secretariat has developed the present document</w:t>
      </w:r>
      <w:r w:rsidRPr="00010AE1" w:rsidDel="001A4FD0">
        <w:t xml:space="preserve"> </w:t>
      </w:r>
      <w:r w:rsidRPr="00010AE1">
        <w:t xml:space="preserve">in response to decision 77/59. </w:t>
      </w:r>
    </w:p>
    <w:p w:rsidR="00532C33" w:rsidRPr="00B11E84" w:rsidRDefault="007761B8" w:rsidP="00A7286A">
      <w:pPr>
        <w:keepNext/>
        <w:rPr>
          <w:color w:val="000000" w:themeColor="text1"/>
          <w:u w:val="single"/>
          <w:lang w:val="en-CA"/>
        </w:rPr>
      </w:pPr>
      <w:r w:rsidRPr="00B11E84">
        <w:rPr>
          <w:color w:val="000000" w:themeColor="text1"/>
          <w:u w:val="single"/>
          <w:lang w:val="en-CA"/>
        </w:rPr>
        <w:lastRenderedPageBreak/>
        <w:t>Structure of the document</w:t>
      </w:r>
    </w:p>
    <w:p w:rsidR="005813CE" w:rsidRPr="008F7254" w:rsidRDefault="005813CE" w:rsidP="00A7286A">
      <w:pPr>
        <w:keepNext/>
        <w:rPr>
          <w:lang w:val="en-CA"/>
        </w:rPr>
      </w:pPr>
    </w:p>
    <w:p w:rsidR="000D0614" w:rsidRPr="000D0614" w:rsidRDefault="000D0614" w:rsidP="00A7286A">
      <w:pPr>
        <w:keepNext/>
        <w:numPr>
          <w:ilvl w:val="0"/>
          <w:numId w:val="1"/>
        </w:numPr>
        <w:spacing w:after="240"/>
        <w:outlineLvl w:val="0"/>
      </w:pPr>
      <w:r w:rsidRPr="000D0614">
        <w:rPr>
          <w:lang w:val="en-CA"/>
        </w:rPr>
        <w:t>For the preparation of this document, the Secretariat reviewed the decisions by the Parties and the Executive Committee (and supporting documents as necessary) related to each of the relevant elements of decision XXVIII/2. Particular attention was given to the approved criteria for funding HCFC phase-out in</w:t>
      </w:r>
      <w:r w:rsidRPr="000D0614">
        <w:t xml:space="preserve"> response to decision XIX/6 (September 2007), namely, decision 60/44 on the criteria </w:t>
      </w:r>
      <w:r w:rsidR="00271BD4">
        <w:t>for funding</w:t>
      </w:r>
      <w:r w:rsidRPr="000D0614">
        <w:t xml:space="preserve"> stage I of HCFC phase-out management plans (HPMPs)</w:t>
      </w:r>
      <w:r w:rsidR="009C7DA7">
        <w:t>,</w:t>
      </w:r>
      <w:r w:rsidRPr="000D0614">
        <w:t xml:space="preserve"> </w:t>
      </w:r>
      <w:r w:rsidR="009C7DA7">
        <w:t xml:space="preserve">and </w:t>
      </w:r>
      <w:r w:rsidRPr="000D0614">
        <w:t xml:space="preserve">decision 74/50 </w:t>
      </w:r>
      <w:r w:rsidR="009C7DA7">
        <w:t>on</w:t>
      </w:r>
      <w:r w:rsidR="00736570" w:rsidRPr="000D0614">
        <w:t xml:space="preserve"> </w:t>
      </w:r>
      <w:r w:rsidRPr="000D0614">
        <w:t>the criteria for funding HCFC phase-out in the consumption s</w:t>
      </w:r>
      <w:r w:rsidR="009C7DA7">
        <w:t>ector for stage II of the HPMPs.</w:t>
      </w:r>
      <w:r w:rsidRPr="000D0614">
        <w:t xml:space="preserve"> </w:t>
      </w:r>
    </w:p>
    <w:p w:rsidR="000D0614" w:rsidRPr="00583C8E" w:rsidRDefault="000D0614" w:rsidP="000D0614">
      <w:pPr>
        <w:numPr>
          <w:ilvl w:val="0"/>
          <w:numId w:val="1"/>
        </w:numPr>
        <w:spacing w:after="240"/>
        <w:outlineLvl w:val="0"/>
      </w:pPr>
      <w:r w:rsidRPr="000D0614">
        <w:t xml:space="preserve">Given the </w:t>
      </w:r>
      <w:r w:rsidR="000535ED" w:rsidRPr="00583C8E">
        <w:t>experience</w:t>
      </w:r>
      <w:r w:rsidRPr="000D0614">
        <w:t xml:space="preserve"> of the Executive </w:t>
      </w:r>
      <w:r w:rsidRPr="00583C8E">
        <w:t xml:space="preserve">Committee </w:t>
      </w:r>
      <w:r w:rsidR="000535ED" w:rsidRPr="00583C8E">
        <w:t>in</w:t>
      </w:r>
      <w:r w:rsidRPr="00583C8E">
        <w:t xml:space="preserve"> </w:t>
      </w:r>
      <w:r w:rsidR="00736570" w:rsidRPr="00583C8E">
        <w:t>developing</w:t>
      </w:r>
      <w:r w:rsidR="00736570">
        <w:t xml:space="preserve"> and approving </w:t>
      </w:r>
      <w:r w:rsidRPr="000D0614">
        <w:t xml:space="preserve">the funding criteria for HCFCs, this document </w:t>
      </w:r>
      <w:r w:rsidR="00736570">
        <w:t xml:space="preserve">presents </w:t>
      </w:r>
      <w:r w:rsidRPr="000D0614">
        <w:t xml:space="preserve">the elements of decision XXVIII/2 </w:t>
      </w:r>
      <w:r w:rsidR="00736570">
        <w:t xml:space="preserve">which are </w:t>
      </w:r>
      <w:r w:rsidRPr="000D0614">
        <w:t xml:space="preserve">relevant to the cost guidelines </w:t>
      </w:r>
      <w:r w:rsidR="00736570">
        <w:t xml:space="preserve">to be developed </w:t>
      </w:r>
      <w:r w:rsidRPr="000D0614">
        <w:t xml:space="preserve">for </w:t>
      </w:r>
      <w:r w:rsidR="004E6A79">
        <w:t xml:space="preserve">the </w:t>
      </w:r>
      <w:r w:rsidRPr="000D0614">
        <w:t xml:space="preserve">phase-down of HFCs </w:t>
      </w:r>
      <w:r w:rsidR="00736570">
        <w:t xml:space="preserve">by </w:t>
      </w:r>
      <w:r w:rsidRPr="000D0614">
        <w:t>follow</w:t>
      </w:r>
      <w:r w:rsidR="00736570">
        <w:t>ing</w:t>
      </w:r>
      <w:r w:rsidRPr="000D0614">
        <w:t xml:space="preserve"> the framework of the funding criteria</w:t>
      </w:r>
      <w:r w:rsidR="00736570">
        <w:t xml:space="preserve"> </w:t>
      </w:r>
      <w:r w:rsidRPr="000D0614">
        <w:t xml:space="preserve">for HCFCs. Table 1 </w:t>
      </w:r>
      <w:r w:rsidR="00A729FB">
        <w:t>lists</w:t>
      </w:r>
      <w:r w:rsidRPr="000D0614">
        <w:t xml:space="preserve"> the elements of the cost guidelines </w:t>
      </w:r>
      <w:r w:rsidR="00A729FB">
        <w:t>alongside</w:t>
      </w:r>
      <w:r w:rsidRPr="000D0614">
        <w:t xml:space="preserve"> the </w:t>
      </w:r>
      <w:r w:rsidR="00A729FB">
        <w:t>relevant</w:t>
      </w:r>
      <w:r w:rsidRPr="000D0614">
        <w:t xml:space="preserve"> paragraphs of decision XXVIII/2. </w:t>
      </w:r>
      <w:r w:rsidR="000535ED">
        <w:t>T</w:t>
      </w:r>
      <w:r w:rsidRPr="000D0614">
        <w:t xml:space="preserve">he Secretariat </w:t>
      </w:r>
      <w:r w:rsidR="004E6A79">
        <w:t>believes</w:t>
      </w:r>
      <w:r w:rsidRPr="000D0614">
        <w:t xml:space="preserve"> that </w:t>
      </w:r>
      <w:r w:rsidRPr="00940E20">
        <w:t xml:space="preserve">this </w:t>
      </w:r>
      <w:r w:rsidR="004E6A79" w:rsidRPr="00940E20">
        <w:t>way of organizing the document will</w:t>
      </w:r>
      <w:r w:rsidR="00545222" w:rsidRPr="00940E20">
        <w:t xml:space="preserve"> </w:t>
      </w:r>
      <w:r w:rsidRPr="00940E20">
        <w:t xml:space="preserve">facilitate the work by the Executive </w:t>
      </w:r>
      <w:r w:rsidRPr="00583C8E">
        <w:t>Committee</w:t>
      </w:r>
      <w:r w:rsidR="00C6102B" w:rsidRPr="00583C8E">
        <w:t>;</w:t>
      </w:r>
      <w:r w:rsidR="000535ED" w:rsidRPr="00583C8E">
        <w:t xml:space="preserve"> however</w:t>
      </w:r>
      <w:r w:rsidR="00BF4E2A" w:rsidRPr="00583C8E">
        <w:t>,</w:t>
      </w:r>
      <w:r w:rsidRPr="00583C8E">
        <w:t xml:space="preserve"> the Committee may wish to </w:t>
      </w:r>
      <w:r w:rsidR="00A729FB" w:rsidRPr="00583C8E">
        <w:t xml:space="preserve">structure its discussion in any way </w:t>
      </w:r>
      <w:r w:rsidRPr="00583C8E">
        <w:t xml:space="preserve">it considers most appropriate. </w:t>
      </w:r>
    </w:p>
    <w:p w:rsidR="00094AC7" w:rsidRPr="008F7254" w:rsidRDefault="00094AC7" w:rsidP="00601609">
      <w:pPr>
        <w:keepNext/>
        <w:keepLines/>
        <w:rPr>
          <w:b/>
        </w:rPr>
      </w:pPr>
      <w:proofErr w:type="gramStart"/>
      <w:r w:rsidRPr="00583C8E">
        <w:rPr>
          <w:b/>
        </w:rPr>
        <w:t>Table 1.</w:t>
      </w:r>
      <w:proofErr w:type="gramEnd"/>
      <w:r w:rsidRPr="00583C8E">
        <w:rPr>
          <w:b/>
        </w:rPr>
        <w:t xml:space="preserve"> Proposed structure </w:t>
      </w:r>
      <w:r w:rsidR="00A729FB" w:rsidRPr="00583C8E">
        <w:rPr>
          <w:b/>
        </w:rPr>
        <w:t>for consideration of the funding criteria for the pha</w:t>
      </w:r>
      <w:r w:rsidR="00BF4E2A" w:rsidRPr="00583C8E">
        <w:rPr>
          <w:b/>
        </w:rPr>
        <w:t>s</w:t>
      </w:r>
      <w:r w:rsidR="00A729FB" w:rsidRPr="00583C8E">
        <w:rPr>
          <w:b/>
        </w:rPr>
        <w:t>e-down of HFCs</w:t>
      </w:r>
    </w:p>
    <w:tbl>
      <w:tblPr>
        <w:tblStyle w:val="TableGrid"/>
        <w:tblW w:w="0" w:type="auto"/>
        <w:tblInd w:w="108" w:type="dxa"/>
        <w:tblLook w:val="04A0" w:firstRow="1" w:lastRow="0" w:firstColumn="1" w:lastColumn="0" w:noHBand="0" w:noVBand="1"/>
      </w:tblPr>
      <w:tblGrid>
        <w:gridCol w:w="6750"/>
        <w:gridCol w:w="2610"/>
      </w:tblGrid>
      <w:tr w:rsidR="00094AC7" w:rsidRPr="00DD53AB" w:rsidTr="00056698">
        <w:trPr>
          <w:tblHeader/>
        </w:trPr>
        <w:tc>
          <w:tcPr>
            <w:tcW w:w="6750" w:type="dxa"/>
            <w:vAlign w:val="center"/>
          </w:tcPr>
          <w:p w:rsidR="00094AC7" w:rsidRPr="00DD53AB" w:rsidRDefault="00094AC7" w:rsidP="00056698">
            <w:pPr>
              <w:jc w:val="left"/>
              <w:rPr>
                <w:b/>
                <w:sz w:val="21"/>
                <w:szCs w:val="21"/>
              </w:rPr>
            </w:pPr>
            <w:r>
              <w:rPr>
                <w:b/>
                <w:sz w:val="21"/>
                <w:szCs w:val="21"/>
              </w:rPr>
              <w:t xml:space="preserve">Elements of </w:t>
            </w:r>
            <w:r w:rsidR="004E6A79">
              <w:rPr>
                <w:b/>
                <w:sz w:val="21"/>
                <w:szCs w:val="21"/>
              </w:rPr>
              <w:t xml:space="preserve">the </w:t>
            </w:r>
            <w:r>
              <w:rPr>
                <w:b/>
                <w:sz w:val="21"/>
                <w:szCs w:val="21"/>
              </w:rPr>
              <w:t>guidelines for phase-down of HFCs</w:t>
            </w:r>
          </w:p>
        </w:tc>
        <w:tc>
          <w:tcPr>
            <w:tcW w:w="2610" w:type="dxa"/>
            <w:vAlign w:val="center"/>
          </w:tcPr>
          <w:p w:rsidR="00094AC7" w:rsidRPr="00DD53AB" w:rsidRDefault="00094AC7" w:rsidP="00056698">
            <w:pPr>
              <w:jc w:val="center"/>
              <w:rPr>
                <w:b/>
                <w:sz w:val="21"/>
                <w:szCs w:val="21"/>
              </w:rPr>
            </w:pPr>
            <w:r w:rsidRPr="00DD53AB">
              <w:rPr>
                <w:b/>
                <w:sz w:val="21"/>
                <w:szCs w:val="21"/>
              </w:rPr>
              <w:t xml:space="preserve">Paragraphs in </w:t>
            </w:r>
            <w:r w:rsidR="006F3CDE">
              <w:rPr>
                <w:b/>
                <w:sz w:val="21"/>
                <w:szCs w:val="21"/>
              </w:rPr>
              <w:t>decision</w:t>
            </w:r>
            <w:r w:rsidRPr="00DD53AB">
              <w:rPr>
                <w:b/>
                <w:sz w:val="21"/>
                <w:szCs w:val="21"/>
              </w:rPr>
              <w:t xml:space="preserve"> XXVIII/2</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sidRPr="00186FB4">
              <w:rPr>
                <w:sz w:val="21"/>
                <w:szCs w:val="21"/>
              </w:rPr>
              <w:t>Overarching principles and timelines</w:t>
            </w:r>
          </w:p>
        </w:tc>
        <w:tc>
          <w:tcPr>
            <w:tcW w:w="2610" w:type="dxa"/>
            <w:vAlign w:val="center"/>
          </w:tcPr>
          <w:p w:rsidR="00094AC7" w:rsidRPr="00DD53AB" w:rsidRDefault="00094AC7" w:rsidP="00056698">
            <w:pPr>
              <w:jc w:val="right"/>
              <w:rPr>
                <w:sz w:val="21"/>
                <w:szCs w:val="21"/>
              </w:rPr>
            </w:pPr>
            <w:r w:rsidRPr="00DD53AB">
              <w:rPr>
                <w:sz w:val="21"/>
                <w:szCs w:val="21"/>
              </w:rPr>
              <w:t>9, 10</w:t>
            </w:r>
            <w:r>
              <w:rPr>
                <w:sz w:val="21"/>
                <w:szCs w:val="21"/>
              </w:rPr>
              <w:t xml:space="preserve">, </w:t>
            </w:r>
            <w:r w:rsidRPr="00DD53AB">
              <w:rPr>
                <w:sz w:val="21"/>
                <w:szCs w:val="21"/>
              </w:rPr>
              <w:t>11</w:t>
            </w:r>
            <w:r>
              <w:rPr>
                <w:sz w:val="21"/>
                <w:szCs w:val="21"/>
              </w:rPr>
              <w:t xml:space="preserve"> and 12</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sidRPr="00186FB4">
              <w:rPr>
                <w:sz w:val="21"/>
                <w:szCs w:val="21"/>
              </w:rPr>
              <w:t>Flexibility in implementation</w:t>
            </w:r>
            <w:r w:rsidR="006B754D">
              <w:rPr>
                <w:sz w:val="21"/>
                <w:szCs w:val="21"/>
              </w:rPr>
              <w:t xml:space="preserve"> (</w:t>
            </w:r>
            <w:r>
              <w:rPr>
                <w:sz w:val="21"/>
                <w:szCs w:val="21"/>
              </w:rPr>
              <w:t>*</w:t>
            </w:r>
            <w:r w:rsidR="006B754D">
              <w:rPr>
                <w:sz w:val="21"/>
                <w:szCs w:val="21"/>
              </w:rPr>
              <w:t>)</w:t>
            </w:r>
          </w:p>
        </w:tc>
        <w:tc>
          <w:tcPr>
            <w:tcW w:w="2610" w:type="dxa"/>
            <w:vAlign w:val="center"/>
          </w:tcPr>
          <w:p w:rsidR="00094AC7" w:rsidRPr="00DD53AB" w:rsidRDefault="00094AC7" w:rsidP="00056698">
            <w:pPr>
              <w:jc w:val="right"/>
              <w:rPr>
                <w:sz w:val="21"/>
                <w:szCs w:val="21"/>
              </w:rPr>
            </w:pPr>
            <w:r w:rsidRPr="00DD53AB">
              <w:rPr>
                <w:sz w:val="21"/>
                <w:szCs w:val="21"/>
              </w:rPr>
              <w:t>13 and</w:t>
            </w:r>
            <w:r w:rsidR="002A22AD">
              <w:rPr>
                <w:sz w:val="21"/>
                <w:szCs w:val="21"/>
              </w:rPr>
              <w:t xml:space="preserve"> </w:t>
            </w:r>
            <w:r w:rsidRPr="00DD53AB">
              <w:rPr>
                <w:sz w:val="21"/>
                <w:szCs w:val="21"/>
              </w:rPr>
              <w:t>14</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sidRPr="00186FB4">
              <w:rPr>
                <w:sz w:val="21"/>
                <w:szCs w:val="21"/>
              </w:rPr>
              <w:t>Cut-off date</w:t>
            </w:r>
            <w:r w:rsidR="006F79AC">
              <w:rPr>
                <w:sz w:val="21"/>
                <w:szCs w:val="21"/>
              </w:rPr>
              <w:t xml:space="preserve"> for eligible capacity</w:t>
            </w:r>
            <w:r w:rsidR="006B754D">
              <w:rPr>
                <w:sz w:val="21"/>
                <w:szCs w:val="21"/>
              </w:rPr>
              <w:t xml:space="preserve"> (</w:t>
            </w:r>
            <w:r>
              <w:rPr>
                <w:sz w:val="21"/>
                <w:szCs w:val="21"/>
              </w:rPr>
              <w:t>*</w:t>
            </w:r>
            <w:r w:rsidR="006B754D">
              <w:rPr>
                <w:sz w:val="21"/>
                <w:szCs w:val="21"/>
              </w:rPr>
              <w:t>)</w:t>
            </w:r>
          </w:p>
        </w:tc>
        <w:tc>
          <w:tcPr>
            <w:tcW w:w="2610" w:type="dxa"/>
            <w:vAlign w:val="center"/>
          </w:tcPr>
          <w:p w:rsidR="00094AC7" w:rsidRPr="00DD53AB" w:rsidRDefault="00094AC7" w:rsidP="00056698">
            <w:pPr>
              <w:jc w:val="right"/>
              <w:rPr>
                <w:sz w:val="21"/>
                <w:szCs w:val="21"/>
              </w:rPr>
            </w:pPr>
            <w:r w:rsidRPr="00DD53AB">
              <w:rPr>
                <w:sz w:val="21"/>
                <w:szCs w:val="21"/>
              </w:rPr>
              <w:t>17</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Pr>
                <w:sz w:val="21"/>
                <w:szCs w:val="21"/>
              </w:rPr>
              <w:t>Second and third conversions</w:t>
            </w:r>
            <w:r w:rsidR="006B754D">
              <w:rPr>
                <w:sz w:val="21"/>
                <w:szCs w:val="21"/>
              </w:rPr>
              <w:t xml:space="preserve"> (</w:t>
            </w:r>
            <w:r>
              <w:rPr>
                <w:sz w:val="21"/>
                <w:szCs w:val="21"/>
              </w:rPr>
              <w:t>*</w:t>
            </w:r>
            <w:r w:rsidR="006B754D">
              <w:rPr>
                <w:sz w:val="21"/>
                <w:szCs w:val="21"/>
              </w:rPr>
              <w:t>)</w:t>
            </w:r>
          </w:p>
        </w:tc>
        <w:tc>
          <w:tcPr>
            <w:tcW w:w="2610" w:type="dxa"/>
            <w:vAlign w:val="center"/>
          </w:tcPr>
          <w:p w:rsidR="00094AC7" w:rsidRPr="00DD53AB" w:rsidRDefault="00094AC7" w:rsidP="00056698">
            <w:pPr>
              <w:jc w:val="right"/>
              <w:rPr>
                <w:sz w:val="21"/>
                <w:szCs w:val="21"/>
              </w:rPr>
            </w:pPr>
            <w:r w:rsidRPr="00DD53AB">
              <w:rPr>
                <w:sz w:val="21"/>
                <w:szCs w:val="21"/>
              </w:rPr>
              <w:t>18</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Pr>
                <w:sz w:val="21"/>
                <w:szCs w:val="21"/>
              </w:rPr>
              <w:t>S</w:t>
            </w:r>
            <w:r w:rsidRPr="00186FB4">
              <w:rPr>
                <w:sz w:val="21"/>
                <w:szCs w:val="21"/>
              </w:rPr>
              <w:t>ustained aggregate reductions</w:t>
            </w:r>
            <w:r>
              <w:rPr>
                <w:sz w:val="21"/>
                <w:szCs w:val="21"/>
              </w:rPr>
              <w:t xml:space="preserve"> in HFC consumption and production</w:t>
            </w:r>
          </w:p>
        </w:tc>
        <w:tc>
          <w:tcPr>
            <w:tcW w:w="2610" w:type="dxa"/>
            <w:vAlign w:val="center"/>
          </w:tcPr>
          <w:p w:rsidR="00094AC7" w:rsidRPr="00DD53AB" w:rsidRDefault="00094AC7" w:rsidP="00056698">
            <w:pPr>
              <w:jc w:val="right"/>
              <w:rPr>
                <w:sz w:val="21"/>
                <w:szCs w:val="21"/>
              </w:rPr>
            </w:pPr>
            <w:r w:rsidRPr="00DD53AB">
              <w:rPr>
                <w:sz w:val="21"/>
                <w:szCs w:val="21"/>
              </w:rPr>
              <w:t>19</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sidRPr="00186FB4">
              <w:rPr>
                <w:sz w:val="21"/>
                <w:szCs w:val="21"/>
              </w:rPr>
              <w:t>Enabling activities</w:t>
            </w:r>
            <w:r w:rsidR="00E52BCA">
              <w:rPr>
                <w:sz w:val="21"/>
                <w:szCs w:val="21"/>
              </w:rPr>
              <w:t xml:space="preserve"> [1]</w:t>
            </w:r>
          </w:p>
        </w:tc>
        <w:tc>
          <w:tcPr>
            <w:tcW w:w="2610" w:type="dxa"/>
            <w:vAlign w:val="center"/>
          </w:tcPr>
          <w:p w:rsidR="00094AC7" w:rsidRPr="00D445D4" w:rsidRDefault="00094AC7" w:rsidP="00056698">
            <w:pPr>
              <w:jc w:val="right"/>
              <w:rPr>
                <w:sz w:val="21"/>
                <w:szCs w:val="21"/>
              </w:rPr>
            </w:pPr>
            <w:r w:rsidRPr="00D445D4">
              <w:rPr>
                <w:sz w:val="21"/>
                <w:szCs w:val="21"/>
              </w:rPr>
              <w:t>3, 20, 23</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sidRPr="00186FB4">
              <w:rPr>
                <w:sz w:val="21"/>
                <w:szCs w:val="21"/>
              </w:rPr>
              <w:t>Eligible incremental cost</w:t>
            </w:r>
            <w:r w:rsidR="004E6A79">
              <w:rPr>
                <w:sz w:val="21"/>
                <w:szCs w:val="21"/>
              </w:rPr>
              <w:t>s</w:t>
            </w:r>
          </w:p>
        </w:tc>
        <w:tc>
          <w:tcPr>
            <w:tcW w:w="2610" w:type="dxa"/>
            <w:vAlign w:val="center"/>
          </w:tcPr>
          <w:p w:rsidR="00094AC7" w:rsidRPr="00D445D4" w:rsidRDefault="00094AC7" w:rsidP="00056698">
            <w:pPr>
              <w:jc w:val="right"/>
              <w:rPr>
                <w:sz w:val="21"/>
                <w:szCs w:val="21"/>
              </w:rPr>
            </w:pPr>
            <w:r w:rsidRPr="00D445D4">
              <w:rPr>
                <w:sz w:val="21"/>
                <w:szCs w:val="21"/>
              </w:rPr>
              <w:t>15</w:t>
            </w:r>
          </w:p>
        </w:tc>
      </w:tr>
      <w:tr w:rsidR="00094AC7" w:rsidRPr="00DD53AB" w:rsidTr="00056698">
        <w:tc>
          <w:tcPr>
            <w:tcW w:w="6750" w:type="dxa"/>
            <w:vAlign w:val="center"/>
          </w:tcPr>
          <w:p w:rsidR="00094AC7" w:rsidRPr="00DD53AB" w:rsidRDefault="006F79AC" w:rsidP="00056698">
            <w:pPr>
              <w:pStyle w:val="ListParagraph"/>
              <w:numPr>
                <w:ilvl w:val="0"/>
                <w:numId w:val="13"/>
              </w:numPr>
              <w:ind w:left="540" w:firstLine="0"/>
              <w:jc w:val="left"/>
              <w:rPr>
                <w:sz w:val="21"/>
                <w:szCs w:val="21"/>
              </w:rPr>
            </w:pPr>
            <w:r>
              <w:rPr>
                <w:sz w:val="21"/>
                <w:szCs w:val="21"/>
              </w:rPr>
              <w:t>Consumption m</w:t>
            </w:r>
            <w:r w:rsidR="00094AC7" w:rsidRPr="00DD53AB">
              <w:rPr>
                <w:sz w:val="21"/>
                <w:szCs w:val="21"/>
              </w:rPr>
              <w:t>anufacturing</w:t>
            </w:r>
            <w:r>
              <w:rPr>
                <w:sz w:val="21"/>
                <w:szCs w:val="21"/>
              </w:rPr>
              <w:t xml:space="preserve"> sector</w:t>
            </w:r>
          </w:p>
        </w:tc>
        <w:tc>
          <w:tcPr>
            <w:tcW w:w="2610" w:type="dxa"/>
            <w:vAlign w:val="center"/>
          </w:tcPr>
          <w:p w:rsidR="006F79AC" w:rsidRPr="00C6102B" w:rsidRDefault="00094AC7" w:rsidP="00583C8E">
            <w:pPr>
              <w:jc w:val="right"/>
              <w:rPr>
                <w:strike/>
                <w:sz w:val="21"/>
                <w:szCs w:val="21"/>
              </w:rPr>
            </w:pPr>
            <w:r w:rsidRPr="00D445D4">
              <w:rPr>
                <w:sz w:val="21"/>
                <w:szCs w:val="21"/>
              </w:rPr>
              <w:t>3, 15(a), 23</w:t>
            </w:r>
          </w:p>
        </w:tc>
      </w:tr>
      <w:tr w:rsidR="00094AC7" w:rsidRPr="00DD53AB" w:rsidTr="00056698">
        <w:tc>
          <w:tcPr>
            <w:tcW w:w="6750" w:type="dxa"/>
            <w:vAlign w:val="center"/>
          </w:tcPr>
          <w:p w:rsidR="00094AC7" w:rsidRPr="00DD53AB" w:rsidRDefault="00094AC7" w:rsidP="00056698">
            <w:pPr>
              <w:pStyle w:val="ListParagraph"/>
              <w:numPr>
                <w:ilvl w:val="0"/>
                <w:numId w:val="13"/>
              </w:numPr>
              <w:ind w:left="540" w:firstLine="0"/>
              <w:jc w:val="left"/>
              <w:rPr>
                <w:sz w:val="21"/>
                <w:szCs w:val="21"/>
              </w:rPr>
            </w:pPr>
            <w:r w:rsidRPr="00DD53AB">
              <w:rPr>
                <w:sz w:val="21"/>
                <w:szCs w:val="21"/>
              </w:rPr>
              <w:t>Production</w:t>
            </w:r>
            <w:r w:rsidR="00E52BCA">
              <w:rPr>
                <w:sz w:val="21"/>
                <w:szCs w:val="21"/>
              </w:rPr>
              <w:t xml:space="preserve"> </w:t>
            </w:r>
            <w:r w:rsidR="006F79AC">
              <w:rPr>
                <w:sz w:val="21"/>
                <w:szCs w:val="21"/>
              </w:rPr>
              <w:t xml:space="preserve">sector </w:t>
            </w:r>
            <w:r w:rsidR="00E52BCA">
              <w:rPr>
                <w:sz w:val="21"/>
                <w:szCs w:val="21"/>
              </w:rPr>
              <w:t>[2]</w:t>
            </w:r>
          </w:p>
        </w:tc>
        <w:tc>
          <w:tcPr>
            <w:tcW w:w="2610" w:type="dxa"/>
            <w:vAlign w:val="center"/>
          </w:tcPr>
          <w:p w:rsidR="00094AC7" w:rsidRPr="00D445D4" w:rsidRDefault="00094AC7" w:rsidP="00056698">
            <w:pPr>
              <w:jc w:val="right"/>
              <w:rPr>
                <w:sz w:val="21"/>
                <w:szCs w:val="21"/>
              </w:rPr>
            </w:pPr>
            <w:r w:rsidRPr="00D445D4">
              <w:rPr>
                <w:sz w:val="21"/>
                <w:szCs w:val="21"/>
              </w:rPr>
              <w:t>15(b)</w:t>
            </w:r>
          </w:p>
        </w:tc>
      </w:tr>
      <w:tr w:rsidR="00094AC7" w:rsidRPr="00DD53AB" w:rsidTr="00056698">
        <w:tc>
          <w:tcPr>
            <w:tcW w:w="6750" w:type="dxa"/>
          </w:tcPr>
          <w:p w:rsidR="00094AC7" w:rsidRPr="00DD53AB" w:rsidRDefault="006F79AC" w:rsidP="00056698">
            <w:pPr>
              <w:pStyle w:val="ListParagraph"/>
              <w:numPr>
                <w:ilvl w:val="0"/>
                <w:numId w:val="13"/>
              </w:numPr>
              <w:ind w:left="540" w:firstLine="0"/>
              <w:jc w:val="left"/>
              <w:rPr>
                <w:sz w:val="21"/>
                <w:szCs w:val="21"/>
              </w:rPr>
            </w:pPr>
            <w:r>
              <w:rPr>
                <w:sz w:val="21"/>
                <w:szCs w:val="21"/>
              </w:rPr>
              <w:t>Refrigeration s</w:t>
            </w:r>
            <w:r w:rsidR="00094AC7" w:rsidRPr="00DD53AB">
              <w:rPr>
                <w:sz w:val="21"/>
                <w:szCs w:val="21"/>
              </w:rPr>
              <w:t>ervicing</w:t>
            </w:r>
            <w:r>
              <w:rPr>
                <w:sz w:val="21"/>
                <w:szCs w:val="21"/>
              </w:rPr>
              <w:t xml:space="preserve"> sector</w:t>
            </w:r>
          </w:p>
        </w:tc>
        <w:tc>
          <w:tcPr>
            <w:tcW w:w="2610" w:type="dxa"/>
          </w:tcPr>
          <w:p w:rsidR="00094AC7" w:rsidRPr="00D445D4" w:rsidRDefault="00094AC7" w:rsidP="00056698">
            <w:pPr>
              <w:jc w:val="right"/>
              <w:rPr>
                <w:sz w:val="21"/>
                <w:szCs w:val="21"/>
              </w:rPr>
            </w:pPr>
            <w:r w:rsidRPr="00D445D4">
              <w:rPr>
                <w:sz w:val="21"/>
                <w:szCs w:val="21"/>
              </w:rPr>
              <w:t>3, 15(c), 16 and 23</w:t>
            </w:r>
          </w:p>
        </w:tc>
      </w:tr>
      <w:tr w:rsidR="00094AC7" w:rsidRPr="00DD53AB" w:rsidTr="00056698">
        <w:tc>
          <w:tcPr>
            <w:tcW w:w="6750" w:type="dxa"/>
            <w:vAlign w:val="center"/>
          </w:tcPr>
          <w:p w:rsidR="00094AC7" w:rsidRPr="00DD53AB" w:rsidRDefault="00094AC7" w:rsidP="00056698">
            <w:pPr>
              <w:pStyle w:val="ListParagraph"/>
              <w:numPr>
                <w:ilvl w:val="0"/>
                <w:numId w:val="13"/>
              </w:numPr>
              <w:ind w:left="540" w:firstLine="0"/>
              <w:jc w:val="left"/>
              <w:rPr>
                <w:sz w:val="21"/>
                <w:szCs w:val="21"/>
              </w:rPr>
            </w:pPr>
            <w:r w:rsidRPr="00DD53AB">
              <w:rPr>
                <w:sz w:val="21"/>
                <w:szCs w:val="21"/>
              </w:rPr>
              <w:t>Other</w:t>
            </w:r>
            <w:r>
              <w:rPr>
                <w:sz w:val="21"/>
                <w:szCs w:val="21"/>
              </w:rPr>
              <w:t xml:space="preserve"> costs</w:t>
            </w:r>
            <w:r w:rsidR="00C279A0">
              <w:rPr>
                <w:sz w:val="21"/>
                <w:szCs w:val="21"/>
              </w:rPr>
              <w:t xml:space="preserve"> (*)</w:t>
            </w:r>
          </w:p>
        </w:tc>
        <w:tc>
          <w:tcPr>
            <w:tcW w:w="2610" w:type="dxa"/>
            <w:vAlign w:val="center"/>
          </w:tcPr>
          <w:p w:rsidR="00094AC7" w:rsidRPr="00D445D4" w:rsidRDefault="00094AC7" w:rsidP="00056698">
            <w:pPr>
              <w:jc w:val="right"/>
              <w:rPr>
                <w:sz w:val="21"/>
                <w:szCs w:val="21"/>
              </w:rPr>
            </w:pPr>
            <w:r w:rsidRPr="00D445D4">
              <w:rPr>
                <w:sz w:val="21"/>
                <w:szCs w:val="21"/>
              </w:rPr>
              <w:t>25</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sidRPr="00186FB4">
              <w:rPr>
                <w:sz w:val="21"/>
                <w:szCs w:val="21"/>
              </w:rPr>
              <w:t>Institutional strengthening</w:t>
            </w:r>
            <w:r>
              <w:rPr>
                <w:sz w:val="21"/>
                <w:szCs w:val="21"/>
              </w:rPr>
              <w:t xml:space="preserve"> </w:t>
            </w:r>
            <w:r w:rsidR="00E52BCA">
              <w:rPr>
                <w:sz w:val="21"/>
                <w:szCs w:val="21"/>
              </w:rPr>
              <w:t>[3]</w:t>
            </w:r>
          </w:p>
        </w:tc>
        <w:tc>
          <w:tcPr>
            <w:tcW w:w="2610" w:type="dxa"/>
            <w:vAlign w:val="center"/>
          </w:tcPr>
          <w:p w:rsidR="00094AC7" w:rsidRPr="00D445D4" w:rsidRDefault="00094AC7" w:rsidP="00056698">
            <w:pPr>
              <w:jc w:val="right"/>
              <w:rPr>
                <w:sz w:val="21"/>
                <w:szCs w:val="21"/>
              </w:rPr>
            </w:pPr>
            <w:r w:rsidRPr="00D445D4">
              <w:rPr>
                <w:sz w:val="21"/>
                <w:szCs w:val="21"/>
              </w:rPr>
              <w:t>21</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Pr>
                <w:sz w:val="21"/>
                <w:szCs w:val="21"/>
              </w:rPr>
              <w:t>Energy e</w:t>
            </w:r>
            <w:r w:rsidRPr="00186FB4">
              <w:rPr>
                <w:sz w:val="21"/>
                <w:szCs w:val="21"/>
              </w:rPr>
              <w:t>fficiency</w:t>
            </w:r>
          </w:p>
        </w:tc>
        <w:tc>
          <w:tcPr>
            <w:tcW w:w="2610" w:type="dxa"/>
            <w:vAlign w:val="center"/>
          </w:tcPr>
          <w:p w:rsidR="00094AC7" w:rsidRPr="00D445D4" w:rsidRDefault="00094AC7" w:rsidP="00056698">
            <w:pPr>
              <w:jc w:val="right"/>
              <w:rPr>
                <w:sz w:val="21"/>
                <w:szCs w:val="21"/>
              </w:rPr>
            </w:pPr>
            <w:r w:rsidRPr="00D445D4">
              <w:rPr>
                <w:sz w:val="21"/>
                <w:szCs w:val="21"/>
              </w:rPr>
              <w:t>22</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Pr>
                <w:sz w:val="21"/>
                <w:szCs w:val="21"/>
              </w:rPr>
              <w:t>Capacity building to address safety</w:t>
            </w:r>
          </w:p>
        </w:tc>
        <w:tc>
          <w:tcPr>
            <w:tcW w:w="2610" w:type="dxa"/>
            <w:vAlign w:val="center"/>
          </w:tcPr>
          <w:p w:rsidR="00094AC7" w:rsidRPr="00D445D4" w:rsidRDefault="00094AC7" w:rsidP="00056698">
            <w:pPr>
              <w:jc w:val="right"/>
              <w:rPr>
                <w:sz w:val="21"/>
                <w:szCs w:val="21"/>
                <w:lang w:val="en-US"/>
              </w:rPr>
            </w:pPr>
            <w:r w:rsidRPr="00D445D4">
              <w:rPr>
                <w:sz w:val="21"/>
                <w:szCs w:val="21"/>
                <w:lang w:val="en-US"/>
              </w:rPr>
              <w:t>3, 23</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Pr>
                <w:sz w:val="21"/>
                <w:szCs w:val="21"/>
              </w:rPr>
              <w:t>D</w:t>
            </w:r>
            <w:r w:rsidRPr="00186FB4">
              <w:rPr>
                <w:sz w:val="21"/>
                <w:szCs w:val="21"/>
              </w:rPr>
              <w:t>isposal</w:t>
            </w:r>
          </w:p>
        </w:tc>
        <w:tc>
          <w:tcPr>
            <w:tcW w:w="2610" w:type="dxa"/>
            <w:vAlign w:val="center"/>
          </w:tcPr>
          <w:p w:rsidR="00094AC7" w:rsidRPr="00D445D4" w:rsidRDefault="00094AC7" w:rsidP="00056698">
            <w:pPr>
              <w:jc w:val="right"/>
              <w:rPr>
                <w:sz w:val="21"/>
                <w:szCs w:val="21"/>
              </w:rPr>
            </w:pPr>
            <w:r w:rsidRPr="00D445D4">
              <w:rPr>
                <w:sz w:val="21"/>
                <w:szCs w:val="21"/>
              </w:rPr>
              <w:t>24</w:t>
            </w:r>
          </w:p>
        </w:tc>
      </w:tr>
      <w:tr w:rsidR="00094AC7" w:rsidRPr="00DD53AB" w:rsidTr="00056698">
        <w:tc>
          <w:tcPr>
            <w:tcW w:w="6750" w:type="dxa"/>
            <w:vAlign w:val="center"/>
          </w:tcPr>
          <w:p w:rsidR="004E6A79" w:rsidRDefault="00094AC7" w:rsidP="00DE74E9">
            <w:pPr>
              <w:pStyle w:val="ListParagraph"/>
              <w:numPr>
                <w:ilvl w:val="0"/>
                <w:numId w:val="25"/>
              </w:numPr>
              <w:ind w:left="540" w:hanging="540"/>
              <w:jc w:val="left"/>
              <w:rPr>
                <w:sz w:val="21"/>
                <w:szCs w:val="21"/>
              </w:rPr>
            </w:pPr>
            <w:r w:rsidRPr="005938AC">
              <w:rPr>
                <w:sz w:val="21"/>
                <w:szCs w:val="21"/>
              </w:rPr>
              <w:t>Eligibility of Annex F substances subject to high ambient temperature exemptions</w:t>
            </w:r>
            <w:r w:rsidR="005938AC">
              <w:rPr>
                <w:sz w:val="21"/>
                <w:szCs w:val="21"/>
              </w:rPr>
              <w:t xml:space="preserve"> (*)</w:t>
            </w:r>
          </w:p>
        </w:tc>
        <w:tc>
          <w:tcPr>
            <w:tcW w:w="2610" w:type="dxa"/>
            <w:vAlign w:val="center"/>
          </w:tcPr>
          <w:p w:rsidR="00094AC7" w:rsidRPr="00D445D4" w:rsidRDefault="00094AC7" w:rsidP="00056698">
            <w:pPr>
              <w:jc w:val="right"/>
              <w:rPr>
                <w:sz w:val="21"/>
                <w:szCs w:val="21"/>
              </w:rPr>
            </w:pPr>
            <w:r w:rsidRPr="00D445D4">
              <w:rPr>
                <w:sz w:val="21"/>
                <w:szCs w:val="21"/>
              </w:rPr>
              <w:t>35</w:t>
            </w:r>
          </w:p>
        </w:tc>
      </w:tr>
    </w:tbl>
    <w:p w:rsidR="00094AC7" w:rsidRPr="00583C8E" w:rsidRDefault="00094AC7" w:rsidP="008F7254">
      <w:pPr>
        <w:rPr>
          <w:sz w:val="20"/>
          <w:szCs w:val="20"/>
        </w:rPr>
      </w:pPr>
      <w:r w:rsidRPr="00583C8E">
        <w:rPr>
          <w:sz w:val="20"/>
          <w:szCs w:val="20"/>
        </w:rPr>
        <w:t>*</w:t>
      </w:r>
      <w:r w:rsidR="00634999" w:rsidRPr="00583C8E">
        <w:rPr>
          <w:sz w:val="20"/>
          <w:szCs w:val="20"/>
        </w:rPr>
        <w:t xml:space="preserve"> Principle already </w:t>
      </w:r>
      <w:r w:rsidRPr="00583C8E">
        <w:rPr>
          <w:sz w:val="20"/>
          <w:szCs w:val="20"/>
        </w:rPr>
        <w:t xml:space="preserve">agreed by the </w:t>
      </w:r>
      <w:r w:rsidR="00634999" w:rsidRPr="00583C8E">
        <w:rPr>
          <w:sz w:val="20"/>
          <w:szCs w:val="20"/>
        </w:rPr>
        <w:t>P</w:t>
      </w:r>
      <w:r w:rsidRPr="00583C8E">
        <w:rPr>
          <w:sz w:val="20"/>
          <w:szCs w:val="20"/>
        </w:rPr>
        <w:t>arties</w:t>
      </w:r>
      <w:r w:rsidR="00634999" w:rsidRPr="00583C8E">
        <w:rPr>
          <w:sz w:val="20"/>
          <w:szCs w:val="20"/>
        </w:rPr>
        <w:t xml:space="preserve">. </w:t>
      </w:r>
      <w:r w:rsidR="00A45DE3" w:rsidRPr="00583C8E">
        <w:rPr>
          <w:sz w:val="20"/>
          <w:szCs w:val="20"/>
        </w:rPr>
        <w:t xml:space="preserve">Text has been included in the </w:t>
      </w:r>
      <w:r w:rsidR="0032242C">
        <w:rPr>
          <w:sz w:val="20"/>
          <w:szCs w:val="20"/>
        </w:rPr>
        <w:t xml:space="preserve">proposed </w:t>
      </w:r>
      <w:r w:rsidR="00A45DE3" w:rsidRPr="00583C8E">
        <w:rPr>
          <w:sz w:val="20"/>
          <w:szCs w:val="20"/>
        </w:rPr>
        <w:t xml:space="preserve">template for </w:t>
      </w:r>
      <w:r w:rsidR="0032242C">
        <w:rPr>
          <w:sz w:val="20"/>
          <w:szCs w:val="20"/>
        </w:rPr>
        <w:t>a</w:t>
      </w:r>
      <w:r w:rsidR="00A45DE3" w:rsidRPr="00583C8E">
        <w:rPr>
          <w:sz w:val="20"/>
          <w:szCs w:val="20"/>
        </w:rPr>
        <w:t xml:space="preserve"> </w:t>
      </w:r>
      <w:r w:rsidR="0032242C">
        <w:rPr>
          <w:sz w:val="20"/>
          <w:szCs w:val="20"/>
        </w:rPr>
        <w:t xml:space="preserve">draft </w:t>
      </w:r>
      <w:r w:rsidR="00A45DE3" w:rsidRPr="00583C8E">
        <w:rPr>
          <w:sz w:val="20"/>
          <w:szCs w:val="20"/>
        </w:rPr>
        <w:t>cost guidelines contained in Annex I to the present document</w:t>
      </w:r>
      <w:r w:rsidR="00634999" w:rsidRPr="00583C8E">
        <w:rPr>
          <w:sz w:val="20"/>
          <w:szCs w:val="20"/>
        </w:rPr>
        <w:t>.</w:t>
      </w:r>
    </w:p>
    <w:p w:rsidR="0095625A" w:rsidRPr="005057B6" w:rsidRDefault="00E52BCA" w:rsidP="008F7254">
      <w:pPr>
        <w:rPr>
          <w:sz w:val="20"/>
          <w:szCs w:val="20"/>
          <w:lang w:val="fr-CA"/>
        </w:rPr>
      </w:pPr>
      <w:r w:rsidRPr="005057B6">
        <w:rPr>
          <w:sz w:val="20"/>
          <w:szCs w:val="20"/>
          <w:lang w:val="fr-CA"/>
        </w:rPr>
        <w:t>[1]</w:t>
      </w:r>
      <w:r w:rsidR="00480809" w:rsidRPr="005057B6">
        <w:rPr>
          <w:sz w:val="20"/>
          <w:szCs w:val="20"/>
          <w:lang w:val="fr-CA"/>
        </w:rPr>
        <w:t>D</w:t>
      </w:r>
      <w:r w:rsidR="00861A34" w:rsidRPr="005057B6">
        <w:rPr>
          <w:sz w:val="20"/>
          <w:szCs w:val="20"/>
          <w:lang w:val="fr-CA"/>
        </w:rPr>
        <w:t>ocument UNEP/OzL.Pro/ExCom/78/</w:t>
      </w:r>
      <w:r w:rsidR="00601609" w:rsidRPr="005057B6">
        <w:rPr>
          <w:sz w:val="20"/>
          <w:szCs w:val="20"/>
          <w:lang w:val="fr-CA"/>
        </w:rPr>
        <w:t>6.</w:t>
      </w:r>
    </w:p>
    <w:p w:rsidR="00861A34" w:rsidRPr="00381371" w:rsidRDefault="00E52BCA" w:rsidP="008F7254">
      <w:pPr>
        <w:jc w:val="left"/>
        <w:rPr>
          <w:sz w:val="20"/>
          <w:szCs w:val="20"/>
          <w:lang w:val="en-US"/>
        </w:rPr>
      </w:pPr>
      <w:r w:rsidRPr="00056698">
        <w:rPr>
          <w:sz w:val="20"/>
          <w:szCs w:val="20"/>
          <w:lang w:val="en-US"/>
        </w:rPr>
        <w:t>[2]</w:t>
      </w:r>
      <w:r w:rsidR="004F60E0" w:rsidRPr="00056698">
        <w:rPr>
          <w:sz w:val="20"/>
          <w:szCs w:val="20"/>
        </w:rPr>
        <w:t xml:space="preserve">Issues related to </w:t>
      </w:r>
      <w:r w:rsidR="004F60E0" w:rsidRPr="00056698">
        <w:rPr>
          <w:sz w:val="20"/>
          <w:szCs w:val="20"/>
          <w:lang w:val="en-US"/>
        </w:rPr>
        <w:t xml:space="preserve">HFC-23 </w:t>
      </w:r>
      <w:r w:rsidR="00464CD1" w:rsidRPr="00056698">
        <w:rPr>
          <w:sz w:val="20"/>
          <w:szCs w:val="20"/>
          <w:lang w:val="en-US"/>
        </w:rPr>
        <w:t>by-product</w:t>
      </w:r>
      <w:r w:rsidR="00030276" w:rsidRPr="00056698">
        <w:rPr>
          <w:sz w:val="20"/>
          <w:szCs w:val="20"/>
          <w:lang w:val="en-US"/>
        </w:rPr>
        <w:t>-</w:t>
      </w:r>
      <w:r w:rsidR="00464CD1" w:rsidRPr="00056698">
        <w:rPr>
          <w:sz w:val="20"/>
          <w:szCs w:val="20"/>
          <w:lang w:val="en-US"/>
        </w:rPr>
        <w:t>control technologies</w:t>
      </w:r>
      <w:r w:rsidR="004F60E0" w:rsidRPr="00056698">
        <w:rPr>
          <w:sz w:val="20"/>
          <w:szCs w:val="20"/>
          <w:lang w:val="en-US"/>
        </w:rPr>
        <w:t xml:space="preserve"> included in d</w:t>
      </w:r>
      <w:r w:rsidR="00861A34" w:rsidRPr="00056698">
        <w:rPr>
          <w:sz w:val="20"/>
          <w:szCs w:val="20"/>
          <w:lang w:val="en-US"/>
        </w:rPr>
        <w:t>ocument UNEP/OzL.Pro/ExCom/78/</w:t>
      </w:r>
      <w:r w:rsidR="004F60E0" w:rsidRPr="00056698">
        <w:rPr>
          <w:sz w:val="20"/>
          <w:szCs w:val="20"/>
          <w:lang w:val="en-US"/>
        </w:rPr>
        <w:t>9</w:t>
      </w:r>
      <w:r w:rsidR="00601609" w:rsidRPr="00056698">
        <w:rPr>
          <w:sz w:val="20"/>
          <w:szCs w:val="20"/>
          <w:lang w:val="en-US"/>
        </w:rPr>
        <w:t>.</w:t>
      </w:r>
    </w:p>
    <w:p w:rsidR="00861A34" w:rsidRPr="00601609" w:rsidRDefault="00E52BCA" w:rsidP="008F7254">
      <w:pPr>
        <w:jc w:val="left"/>
        <w:rPr>
          <w:sz w:val="20"/>
          <w:szCs w:val="20"/>
          <w:lang w:val="fr-CA"/>
        </w:rPr>
      </w:pPr>
      <w:r>
        <w:rPr>
          <w:sz w:val="20"/>
          <w:szCs w:val="20"/>
          <w:lang w:val="fr-CA"/>
        </w:rPr>
        <w:t>[3]</w:t>
      </w:r>
      <w:r w:rsidR="00480809" w:rsidRPr="00601609">
        <w:rPr>
          <w:sz w:val="20"/>
          <w:szCs w:val="20"/>
          <w:lang w:val="fr-CA"/>
        </w:rPr>
        <w:t>D</w:t>
      </w:r>
      <w:r w:rsidR="00861A34" w:rsidRPr="00601609">
        <w:rPr>
          <w:sz w:val="20"/>
          <w:szCs w:val="20"/>
          <w:lang w:val="fr-CA"/>
        </w:rPr>
        <w:t>ocument UNEP/OzL.Pro/ExCom/78/</w:t>
      </w:r>
      <w:r w:rsidR="00601609" w:rsidRPr="00601609">
        <w:rPr>
          <w:sz w:val="20"/>
          <w:szCs w:val="20"/>
          <w:lang w:val="fr-CA"/>
        </w:rPr>
        <w:t>7</w:t>
      </w:r>
      <w:r w:rsidR="00601609">
        <w:rPr>
          <w:sz w:val="20"/>
          <w:szCs w:val="20"/>
          <w:lang w:val="fr-CA"/>
        </w:rPr>
        <w:t>.</w:t>
      </w:r>
    </w:p>
    <w:p w:rsidR="00861A34" w:rsidRPr="00056698" w:rsidRDefault="00861A34" w:rsidP="008F7254">
      <w:pPr>
        <w:jc w:val="left"/>
        <w:rPr>
          <w:b/>
          <w:lang w:val="fr-CA"/>
        </w:rPr>
      </w:pPr>
    </w:p>
    <w:p w:rsidR="000D0614" w:rsidRDefault="000D0614" w:rsidP="000D0614">
      <w:pPr>
        <w:pStyle w:val="Heading1"/>
      </w:pPr>
      <w:r>
        <w:t xml:space="preserve">Each </w:t>
      </w:r>
      <w:r w:rsidR="00404F88">
        <w:t xml:space="preserve">section </w:t>
      </w:r>
      <w:r>
        <w:t xml:space="preserve">of the </w:t>
      </w:r>
      <w:r w:rsidR="00404F88">
        <w:t xml:space="preserve">present document dealing with an </w:t>
      </w:r>
      <w:r>
        <w:t xml:space="preserve">element </w:t>
      </w:r>
      <w:r w:rsidRPr="00345D7E">
        <w:t xml:space="preserve">of the cost guidelines for </w:t>
      </w:r>
      <w:r>
        <w:t xml:space="preserve">the </w:t>
      </w:r>
      <w:r w:rsidRPr="00345D7E">
        <w:t xml:space="preserve">phase-down of HFCs </w:t>
      </w:r>
      <w:r>
        <w:t xml:space="preserve">contains the following information: </w:t>
      </w:r>
    </w:p>
    <w:p w:rsidR="000D0614" w:rsidRPr="008F7254" w:rsidRDefault="000D0614" w:rsidP="004F2C9D">
      <w:pPr>
        <w:pStyle w:val="Heading2"/>
        <w:ind w:left="1418" w:hanging="709"/>
      </w:pPr>
      <w:r w:rsidRPr="008F7254">
        <w:t xml:space="preserve">The </w:t>
      </w:r>
      <w:r>
        <w:t xml:space="preserve">actual </w:t>
      </w:r>
      <w:r w:rsidRPr="008F7254">
        <w:t xml:space="preserve">text </w:t>
      </w:r>
      <w:r>
        <w:t xml:space="preserve">of the </w:t>
      </w:r>
      <w:r w:rsidR="00A729FB">
        <w:t xml:space="preserve">paragraph </w:t>
      </w:r>
      <w:r>
        <w:t xml:space="preserve">in </w:t>
      </w:r>
      <w:r w:rsidRPr="00B35CFA">
        <w:t>decision</w:t>
      </w:r>
      <w:r w:rsidRPr="008F7254">
        <w:t xml:space="preserve"> XXVIII/2 </w:t>
      </w:r>
      <w:r>
        <w:t>(the text is presented in italic font with reference to the paragraph number of the decision)</w:t>
      </w:r>
      <w:r w:rsidRPr="008F7254">
        <w:t xml:space="preserve">; </w:t>
      </w:r>
    </w:p>
    <w:p w:rsidR="000D0614" w:rsidRPr="008F7254" w:rsidRDefault="000D0614" w:rsidP="004F2C9D">
      <w:pPr>
        <w:pStyle w:val="Heading2"/>
        <w:keepNext/>
        <w:widowControl/>
        <w:ind w:left="1418" w:hanging="709"/>
      </w:pPr>
      <w:r>
        <w:lastRenderedPageBreak/>
        <w:t>I</w:t>
      </w:r>
      <w:r w:rsidRPr="008F7254">
        <w:t xml:space="preserve">nformation provided by Executive Committee members in accordance </w:t>
      </w:r>
      <w:r w:rsidR="00404F88">
        <w:t xml:space="preserve">with </w:t>
      </w:r>
      <w:r w:rsidRPr="008F7254">
        <w:t>decision</w:t>
      </w:r>
      <w:r w:rsidR="00545222">
        <w:t> </w:t>
      </w:r>
      <w:r w:rsidRPr="008F7254">
        <w:t>77/59(c)</w:t>
      </w:r>
      <w:r>
        <w:t xml:space="preserve"> in reference to the element (the Secretariat </w:t>
      </w:r>
      <w:r w:rsidR="00404F88">
        <w:t xml:space="preserve">has </w:t>
      </w:r>
      <w:r>
        <w:t>summarized the information highlighting the key points to facilitate consideration of the document</w:t>
      </w:r>
      <w:r w:rsidR="0089588B">
        <w:t>)</w:t>
      </w:r>
      <w:r w:rsidR="00056698">
        <w:rPr>
          <w:rStyle w:val="FootnoteReference"/>
        </w:rPr>
        <w:footnoteReference w:id="4"/>
      </w:r>
      <w:r>
        <w:t>;</w:t>
      </w:r>
      <w:r w:rsidR="008F2FEF">
        <w:t xml:space="preserve"> and</w:t>
      </w:r>
    </w:p>
    <w:p w:rsidR="000D0614" w:rsidRPr="008F7254" w:rsidRDefault="000D0614" w:rsidP="004F2C9D">
      <w:pPr>
        <w:pStyle w:val="Heading2"/>
        <w:ind w:left="1418" w:hanging="709"/>
      </w:pPr>
      <w:r>
        <w:t xml:space="preserve">Information on decisions, guidelines and/or processes of the Parties or the Executive Committee that is relevant to the element. </w:t>
      </w:r>
      <w:r w:rsidRPr="00B35CFA">
        <w:t>In line with the Executive Committee’s mandate the document does not include observations</w:t>
      </w:r>
      <w:r w:rsidR="00404F88">
        <w:t>,</w:t>
      </w:r>
      <w:r>
        <w:t xml:space="preserve"> comments </w:t>
      </w:r>
      <w:r w:rsidRPr="00B35CFA">
        <w:t>or policy proposals</w:t>
      </w:r>
      <w:r w:rsidR="00404F88">
        <w:t xml:space="preserve"> by the Secretariat</w:t>
      </w:r>
      <w:r w:rsidRPr="008F7254">
        <w:t>.</w:t>
      </w:r>
    </w:p>
    <w:p w:rsidR="000D0614" w:rsidRPr="00900CD7" w:rsidRDefault="000D0614" w:rsidP="000D0614">
      <w:pPr>
        <w:pStyle w:val="Heading1"/>
        <w:rPr>
          <w:b/>
          <w:sz w:val="20"/>
          <w:szCs w:val="20"/>
        </w:rPr>
      </w:pPr>
      <w:r>
        <w:rPr>
          <w:lang w:val="en-CA"/>
        </w:rPr>
        <w:t xml:space="preserve">This document also </w:t>
      </w:r>
      <w:r w:rsidR="00A729FB">
        <w:rPr>
          <w:lang w:val="en-CA"/>
        </w:rPr>
        <w:t xml:space="preserve">includes </w:t>
      </w:r>
      <w:r>
        <w:rPr>
          <w:lang w:val="en-CA"/>
        </w:rPr>
        <w:t>the following five annexes:</w:t>
      </w:r>
    </w:p>
    <w:p w:rsidR="000D0614" w:rsidRDefault="000D0614" w:rsidP="00083D87">
      <w:pPr>
        <w:pStyle w:val="Heading2"/>
        <w:numPr>
          <w:ilvl w:val="0"/>
          <w:numId w:val="0"/>
        </w:numPr>
        <w:ind w:left="2160" w:hanging="1440"/>
      </w:pPr>
      <w:r>
        <w:rPr>
          <w:lang w:val="en-GB"/>
        </w:rPr>
        <w:t>Annex I</w:t>
      </w:r>
      <w:r>
        <w:rPr>
          <w:lang w:val="en-GB"/>
        </w:rPr>
        <w:tab/>
      </w:r>
      <w:r w:rsidR="000535ED" w:rsidRPr="00583C8E">
        <w:rPr>
          <w:lang w:val="en-GB"/>
        </w:rPr>
        <w:t>Proposed</w:t>
      </w:r>
      <w:r w:rsidRPr="00583C8E">
        <w:rPr>
          <w:lang w:val="en-GB"/>
        </w:rPr>
        <w:t xml:space="preserve"> </w:t>
      </w:r>
      <w:r w:rsidR="009E74CB" w:rsidRPr="00583C8E">
        <w:t xml:space="preserve">template for </w:t>
      </w:r>
      <w:r w:rsidR="000535ED" w:rsidRPr="00583C8E">
        <w:t>a</w:t>
      </w:r>
      <w:r w:rsidR="009E74CB" w:rsidRPr="00583C8E">
        <w:t xml:space="preserve"> </w:t>
      </w:r>
      <w:r w:rsidR="000535ED" w:rsidRPr="00583C8E">
        <w:t xml:space="preserve">draft </w:t>
      </w:r>
      <w:r w:rsidRPr="00583C8E">
        <w:t>cost guidelines for the phase-down of HFCs, including the following elements of decision XXVIII/2 that were agreed by the Parties at their Twenty-</w:t>
      </w:r>
      <w:r w:rsidR="003B5F68" w:rsidRPr="00583C8E">
        <w:t>E</w:t>
      </w:r>
      <w:r w:rsidRPr="00583C8E">
        <w:t>ighth Meeting: paragraph 13 (flexibility in implementation); paragraph 17 (cut-off date); paragraph 18 (second and third conversions)</w:t>
      </w:r>
      <w:r w:rsidR="000445B5" w:rsidRPr="00583C8E">
        <w:t>; paragraph 25 (other costs) and paragraph 35 (</w:t>
      </w:r>
      <w:r w:rsidR="00583C8E" w:rsidRPr="00583C8E">
        <w:t>e</w:t>
      </w:r>
      <w:r w:rsidR="000445B5" w:rsidRPr="00583C8E">
        <w:t>ligibility of Annex F substances subject to high ambient temperature exemptions)</w:t>
      </w:r>
    </w:p>
    <w:p w:rsidR="000D0614" w:rsidRDefault="000D0614" w:rsidP="00083D87">
      <w:pPr>
        <w:ind w:left="2160" w:hanging="1440"/>
        <w:rPr>
          <w:lang w:val="en-CA"/>
        </w:rPr>
      </w:pPr>
      <w:r>
        <w:rPr>
          <w:lang w:val="en-CA"/>
        </w:rPr>
        <w:t>Annex II</w:t>
      </w:r>
      <w:r>
        <w:rPr>
          <w:lang w:val="en-CA"/>
        </w:rPr>
        <w:tab/>
      </w:r>
      <w:r w:rsidR="00234A83">
        <w:rPr>
          <w:lang w:val="en-CA"/>
        </w:rPr>
        <w:t>D</w:t>
      </w:r>
      <w:r>
        <w:rPr>
          <w:lang w:val="en-CA"/>
        </w:rPr>
        <w:t>ecisions of the Executive Committee relevant to elements of decision XXVIII/2</w:t>
      </w:r>
    </w:p>
    <w:p w:rsidR="000D0614" w:rsidRDefault="000D0614" w:rsidP="00083D87">
      <w:pPr>
        <w:ind w:left="2160" w:hanging="720"/>
        <w:rPr>
          <w:lang w:val="en-CA"/>
        </w:rPr>
      </w:pPr>
    </w:p>
    <w:p w:rsidR="000D0614" w:rsidRDefault="000D0614" w:rsidP="00083D87">
      <w:pPr>
        <w:ind w:left="2160" w:hanging="1440"/>
        <w:rPr>
          <w:lang w:val="en-CA"/>
        </w:rPr>
      </w:pPr>
      <w:r>
        <w:rPr>
          <w:lang w:val="en-CA"/>
        </w:rPr>
        <w:t>Annex III</w:t>
      </w:r>
      <w:r>
        <w:rPr>
          <w:lang w:val="en-CA"/>
        </w:rPr>
        <w:tab/>
      </w:r>
      <w:r w:rsidR="007C4A18">
        <w:rPr>
          <w:lang w:val="en-CA"/>
        </w:rPr>
        <w:t>T</w:t>
      </w:r>
      <w:r w:rsidRPr="00900CD7">
        <w:rPr>
          <w:lang w:val="en-CA"/>
        </w:rPr>
        <w:t>he rules of procedure of the Executive Committee</w:t>
      </w:r>
    </w:p>
    <w:p w:rsidR="000D0614" w:rsidRDefault="000D0614" w:rsidP="00083D87">
      <w:pPr>
        <w:ind w:left="2160" w:hanging="720"/>
        <w:rPr>
          <w:lang w:val="en-CA"/>
        </w:rPr>
      </w:pPr>
    </w:p>
    <w:p w:rsidR="000D0614" w:rsidRDefault="000D0614" w:rsidP="00083D87">
      <w:pPr>
        <w:ind w:left="2160" w:hanging="1440"/>
        <w:rPr>
          <w:lang w:val="en-CA"/>
        </w:rPr>
      </w:pPr>
      <w:r>
        <w:rPr>
          <w:lang w:val="en-CA"/>
        </w:rPr>
        <w:t>Annex IV</w:t>
      </w:r>
      <w:r>
        <w:rPr>
          <w:lang w:val="en-CA"/>
        </w:rPr>
        <w:tab/>
      </w:r>
      <w:r w:rsidR="00830E87">
        <w:rPr>
          <w:lang w:val="en-CA"/>
        </w:rPr>
        <w:t>In</w:t>
      </w:r>
      <w:r w:rsidR="00830E87" w:rsidRPr="008F7254">
        <w:t xml:space="preserve">formation relating to </w:t>
      </w:r>
      <w:r w:rsidR="00830E87">
        <w:t>the refrigeration servicing sector</w:t>
      </w:r>
    </w:p>
    <w:p w:rsidR="000D0614" w:rsidRDefault="000D0614" w:rsidP="00083D87">
      <w:pPr>
        <w:ind w:left="2160" w:hanging="1440"/>
        <w:rPr>
          <w:lang w:val="en-CA"/>
        </w:rPr>
      </w:pPr>
    </w:p>
    <w:p w:rsidR="000D0614" w:rsidRDefault="000D0614" w:rsidP="00083D87">
      <w:pPr>
        <w:ind w:left="2160" w:hanging="1440"/>
        <w:rPr>
          <w:lang w:val="en-CA"/>
        </w:rPr>
      </w:pPr>
      <w:r>
        <w:rPr>
          <w:lang w:val="en-CA"/>
        </w:rPr>
        <w:t>Annex V</w:t>
      </w:r>
      <w:r>
        <w:rPr>
          <w:lang w:val="en-CA"/>
        </w:rPr>
        <w:tab/>
      </w:r>
      <w:r w:rsidR="00830E87">
        <w:rPr>
          <w:lang w:val="en-CA"/>
        </w:rPr>
        <w:t>I</w:t>
      </w:r>
      <w:r w:rsidR="00830E87" w:rsidRPr="00571638">
        <w:rPr>
          <w:lang w:val="en-CA"/>
        </w:rPr>
        <w:t>nformation relating to maintaining/enhancing energy efficiency</w:t>
      </w:r>
    </w:p>
    <w:p w:rsidR="000D0614" w:rsidRPr="00900CD7" w:rsidRDefault="000D0614" w:rsidP="000D0614">
      <w:pPr>
        <w:rPr>
          <w:lang w:val="en-CA"/>
        </w:rPr>
      </w:pPr>
    </w:p>
    <w:p w:rsidR="00715971" w:rsidRPr="00BB4680" w:rsidRDefault="00A34C9D" w:rsidP="00A34C9D">
      <w:pPr>
        <w:pStyle w:val="Heading1"/>
      </w:pPr>
      <w:r w:rsidRPr="00BB4680">
        <w:t xml:space="preserve">Given the relevance of </w:t>
      </w:r>
      <w:r w:rsidRPr="00583C8E">
        <w:t>enabling activities (s</w:t>
      </w:r>
      <w:r w:rsidR="00715971" w:rsidRPr="00583C8E">
        <w:t>ection VI</w:t>
      </w:r>
      <w:r w:rsidR="00BB4680" w:rsidRPr="00583C8E">
        <w:t xml:space="preserve"> in Table 1 above</w:t>
      </w:r>
      <w:r w:rsidR="00715971" w:rsidRPr="00583C8E">
        <w:t xml:space="preserve">), </w:t>
      </w:r>
      <w:r w:rsidRPr="00583C8E">
        <w:t>HFC-23 by-product</w:t>
      </w:r>
      <w:r w:rsidR="00234A83" w:rsidRPr="00583C8E">
        <w:t>-</w:t>
      </w:r>
      <w:r w:rsidRPr="00583C8E">
        <w:t>control technologies (</w:t>
      </w:r>
      <w:r w:rsidR="00715971" w:rsidRPr="00583C8E">
        <w:t xml:space="preserve">part of section VII) and </w:t>
      </w:r>
      <w:r w:rsidRPr="00583C8E">
        <w:t>institutional strengthening (</w:t>
      </w:r>
      <w:r w:rsidR="00715971" w:rsidRPr="00583C8E">
        <w:t xml:space="preserve">section </w:t>
      </w:r>
      <w:r w:rsidR="00D1244C" w:rsidRPr="00583C8E">
        <w:t>VIII</w:t>
      </w:r>
      <w:r w:rsidR="00715971" w:rsidRPr="00583C8E">
        <w:t xml:space="preserve">), </w:t>
      </w:r>
      <w:r w:rsidR="00BB4680" w:rsidRPr="00583C8E">
        <w:t xml:space="preserve">which </w:t>
      </w:r>
      <w:r w:rsidRPr="00583C8E">
        <w:t xml:space="preserve">are </w:t>
      </w:r>
      <w:r w:rsidR="00BB4680" w:rsidRPr="00583C8E">
        <w:t xml:space="preserve">elements </w:t>
      </w:r>
      <w:r w:rsidR="00715971" w:rsidRPr="00583C8E">
        <w:t xml:space="preserve">of </w:t>
      </w:r>
      <w:r w:rsidRPr="00583C8E">
        <w:t>decision</w:t>
      </w:r>
      <w:r w:rsidR="00381371" w:rsidRPr="00583C8E">
        <w:t xml:space="preserve"> </w:t>
      </w:r>
      <w:r w:rsidRPr="00583C8E">
        <w:t xml:space="preserve">XXVIII/2 and </w:t>
      </w:r>
      <w:r w:rsidR="00EA0911" w:rsidRPr="00583C8E">
        <w:t xml:space="preserve">included in </w:t>
      </w:r>
      <w:r w:rsidR="00715971" w:rsidRPr="00583C8E">
        <w:t>the structure of th</w:t>
      </w:r>
      <w:r w:rsidRPr="00583C8E">
        <w:t xml:space="preserve">e present </w:t>
      </w:r>
      <w:r w:rsidR="00715971" w:rsidRPr="00583C8E">
        <w:t xml:space="preserve">document, </w:t>
      </w:r>
      <w:r w:rsidRPr="00583C8E">
        <w:t>they are</w:t>
      </w:r>
      <w:r w:rsidR="00715971" w:rsidRPr="00BB4680">
        <w:t xml:space="preserve"> discussed in detail in separate documents </w:t>
      </w:r>
      <w:r w:rsidRPr="00BB4680">
        <w:t>(i.e., UNEP/OzL.Pro/ExCom/78/6, UNEP/OzL.Pro/ExCom/78/9, and UNEP/OzL.Pro/ExCom/78/7</w:t>
      </w:r>
      <w:r w:rsidR="00BB4680">
        <w:t>,</w:t>
      </w:r>
      <w:r w:rsidRPr="00BB4680">
        <w:t xml:space="preserve"> respectively).</w:t>
      </w:r>
    </w:p>
    <w:p w:rsidR="000D0614" w:rsidRPr="008F7254" w:rsidRDefault="000D0614" w:rsidP="007C4A18">
      <w:pPr>
        <w:pStyle w:val="Heading1"/>
      </w:pPr>
      <w:r>
        <w:t xml:space="preserve">During the preparation of the document, the Secretariat gave due consideration to all </w:t>
      </w:r>
      <w:r w:rsidRPr="008F7254">
        <w:t xml:space="preserve">paragraphs of decision XXVIII/2 </w:t>
      </w:r>
      <w:r>
        <w:t xml:space="preserve">and concluded that the following ones </w:t>
      </w:r>
      <w:r w:rsidRPr="008F7254">
        <w:t>did not call for specific action by the Executive Committee</w:t>
      </w:r>
      <w:r>
        <w:t xml:space="preserve"> and, therefore, ha</w:t>
      </w:r>
      <w:r w:rsidR="00545222">
        <w:t>ve</w:t>
      </w:r>
      <w:r>
        <w:t xml:space="preserve"> not been included in the document</w:t>
      </w:r>
      <w:r w:rsidRPr="008F7254">
        <w:t>:</w:t>
      </w:r>
    </w:p>
    <w:p w:rsidR="000D0614" w:rsidRPr="008F7254" w:rsidRDefault="000D0614" w:rsidP="004F2C9D">
      <w:pPr>
        <w:pStyle w:val="Heading2"/>
        <w:ind w:left="1418" w:hanging="709"/>
      </w:pPr>
      <w:r w:rsidRPr="008F7254">
        <w:t xml:space="preserve">Paragraphs 1 and 2 refer to the application of specific paragraphs of the </w:t>
      </w:r>
      <w:r w:rsidR="008F2FEF">
        <w:t>A</w:t>
      </w:r>
      <w:r w:rsidRPr="008F7254">
        <w:t xml:space="preserve">mendment to different groups of countries and do not include a specific mandate </w:t>
      </w:r>
      <w:r w:rsidR="00545222">
        <w:t>f</w:t>
      </w:r>
      <w:r w:rsidRPr="008F7254">
        <w:t>o</w:t>
      </w:r>
      <w:r w:rsidR="00545222">
        <w:t>r</w:t>
      </w:r>
      <w:r w:rsidRPr="008F7254">
        <w:t xml:space="preserve"> the Executive Committee; </w:t>
      </w:r>
    </w:p>
    <w:p w:rsidR="000D0614" w:rsidRPr="008F7254" w:rsidRDefault="000D0614" w:rsidP="004F2C9D">
      <w:pPr>
        <w:pStyle w:val="Heading2"/>
        <w:ind w:left="1418" w:hanging="709"/>
      </w:pPr>
      <w:r w:rsidRPr="008F7254">
        <w:t xml:space="preserve">Paragraphs 4 and 5 refer to specific </w:t>
      </w:r>
      <w:r w:rsidR="002120F4">
        <w:t>requests</w:t>
      </w:r>
      <w:r w:rsidRPr="008F7254">
        <w:t xml:space="preserve"> to the Technology and Economic Assessment Panel (TEAP)</w:t>
      </w:r>
      <w:r w:rsidR="002120F4">
        <w:t xml:space="preserve"> to conduct technology reviews</w:t>
      </w:r>
      <w:r w:rsidRPr="008F7254">
        <w:t>; and</w:t>
      </w:r>
    </w:p>
    <w:p w:rsidR="000D0614" w:rsidRDefault="000D0614" w:rsidP="004F2C9D">
      <w:pPr>
        <w:pStyle w:val="Heading2"/>
        <w:ind w:left="1418" w:hanging="709"/>
      </w:pPr>
      <w:r w:rsidRPr="008F7254">
        <w:t xml:space="preserve">Paragraphs 25 to 34 and 36 to 40 </w:t>
      </w:r>
      <w:r w:rsidR="002120F4">
        <w:t xml:space="preserve">are </w:t>
      </w:r>
      <w:r w:rsidRPr="008F7254">
        <w:t xml:space="preserve">on </w:t>
      </w:r>
      <w:r w:rsidR="002120F4">
        <w:t xml:space="preserve">criteria, conditions and the process for </w:t>
      </w:r>
      <w:r w:rsidRPr="008F7254">
        <w:t xml:space="preserve">exemptions for high-ambient-temperature parties and other exemptions </w:t>
      </w:r>
      <w:r w:rsidR="002120F4">
        <w:t xml:space="preserve">for the </w:t>
      </w:r>
      <w:r w:rsidR="008F2FEF">
        <w:t>P</w:t>
      </w:r>
      <w:r w:rsidR="002120F4">
        <w:t>arties</w:t>
      </w:r>
      <w:r w:rsidRPr="008F7254">
        <w:t>.</w:t>
      </w:r>
    </w:p>
    <w:p w:rsidR="004E6A79" w:rsidRPr="00583C8E" w:rsidRDefault="00E52BCA">
      <w:pPr>
        <w:pStyle w:val="Heading1"/>
      </w:pPr>
      <w:r w:rsidRPr="00C01ABD">
        <w:t xml:space="preserve">The Secretariat notes that paragraphs 6 to 8 </w:t>
      </w:r>
      <w:r w:rsidR="00234A83" w:rsidRPr="00C01ABD">
        <w:t xml:space="preserve">on relationship with the HCFC phase-out </w:t>
      </w:r>
      <w:r w:rsidRPr="00C01ABD">
        <w:t xml:space="preserve">did not call for specific action by the Executive Committee. However, the Secretariat considers that these paragraphs </w:t>
      </w:r>
      <w:r w:rsidR="000535ED" w:rsidRPr="00583C8E">
        <w:t xml:space="preserve">may </w:t>
      </w:r>
      <w:r w:rsidRPr="00583C8E">
        <w:t xml:space="preserve">be </w:t>
      </w:r>
      <w:r w:rsidR="000535ED" w:rsidRPr="00583C8E">
        <w:t>relevant</w:t>
      </w:r>
      <w:r w:rsidRPr="00583C8E">
        <w:t xml:space="preserve"> to the HCFC phase-out and the HFC phase-down</w:t>
      </w:r>
      <w:r w:rsidR="00C01ABD" w:rsidRPr="00583C8E">
        <w:t xml:space="preserve"> and, therefore, have been included in the document</w:t>
      </w:r>
      <w:r w:rsidRPr="00583C8E">
        <w:t xml:space="preserve">. </w:t>
      </w:r>
    </w:p>
    <w:p w:rsidR="00E52BCA" w:rsidRPr="001F031B" w:rsidRDefault="00082683" w:rsidP="001F031B">
      <w:pPr>
        <w:keepNext/>
        <w:rPr>
          <w:b/>
        </w:rPr>
      </w:pPr>
      <w:r w:rsidRPr="001F031B">
        <w:rPr>
          <w:b/>
        </w:rPr>
        <w:lastRenderedPageBreak/>
        <w:t>Relationship with the HCFC phase-out</w:t>
      </w:r>
    </w:p>
    <w:p w:rsidR="004E6A79" w:rsidRPr="001F031B" w:rsidRDefault="004E6A79">
      <w:pPr>
        <w:pStyle w:val="ListParagraph"/>
        <w:keepNext/>
        <w:ind w:left="709"/>
        <w:rPr>
          <w:b/>
          <w:lang w:val="en-GB"/>
        </w:rPr>
      </w:pPr>
    </w:p>
    <w:p w:rsidR="00082683" w:rsidRPr="00082683" w:rsidRDefault="00C87DB7" w:rsidP="00FA165E">
      <w:pPr>
        <w:spacing w:after="240"/>
        <w:outlineLvl w:val="0"/>
        <w:rPr>
          <w:rFonts w:eastAsiaTheme="minorHAnsi"/>
          <w:i/>
        </w:rPr>
      </w:pPr>
      <w:r w:rsidRPr="00C87DB7">
        <w:rPr>
          <w:rFonts w:eastAsiaTheme="minorHAnsi"/>
          <w:u w:val="single"/>
        </w:rPr>
        <w:t>Paragraph 6, decision XXVIII/2</w:t>
      </w:r>
      <w:r w:rsidRPr="00C87DB7">
        <w:rPr>
          <w:rFonts w:eastAsiaTheme="minorHAnsi"/>
        </w:rPr>
        <w:t>:</w:t>
      </w:r>
      <w:r w:rsidR="00082683">
        <w:rPr>
          <w:rFonts w:eastAsiaTheme="minorHAnsi"/>
          <w:i/>
        </w:rPr>
        <w:t xml:space="preserve"> </w:t>
      </w:r>
      <w:r w:rsidR="00082683" w:rsidRPr="00082683">
        <w:rPr>
          <w:rFonts w:eastAsiaTheme="minorHAnsi"/>
          <w:i/>
        </w:rPr>
        <w:t>“To acknowledge the linkage between the HFC and HCFC reduction schedules relevant to sectors and the preference to avoid transitions from HCFC to high</w:t>
      </w:r>
      <w:r w:rsidR="0089588B">
        <w:rPr>
          <w:rFonts w:eastAsiaTheme="minorHAnsi"/>
          <w:i/>
        </w:rPr>
        <w:t xml:space="preserve"> global-warming-potential (</w:t>
      </w:r>
      <w:r w:rsidR="00082683" w:rsidRPr="00082683">
        <w:rPr>
          <w:rFonts w:eastAsiaTheme="minorHAnsi"/>
          <w:i/>
        </w:rPr>
        <w:t>GWP</w:t>
      </w:r>
      <w:r w:rsidR="0089588B">
        <w:rPr>
          <w:rFonts w:eastAsiaTheme="minorHAnsi"/>
          <w:i/>
        </w:rPr>
        <w:t>)</w:t>
      </w:r>
      <w:r w:rsidR="00082683" w:rsidRPr="00082683">
        <w:rPr>
          <w:rFonts w:eastAsiaTheme="minorHAnsi"/>
          <w:i/>
        </w:rPr>
        <w:t xml:space="preserve"> HFC and to provide flexibility if no other technically proven and economically viable alternatives are available</w:t>
      </w:r>
      <w:r w:rsidR="0089588B">
        <w:rPr>
          <w:rFonts w:eastAsiaTheme="minorHAnsi"/>
          <w:i/>
        </w:rPr>
        <w:t>”</w:t>
      </w:r>
      <w:r w:rsidR="00082683" w:rsidRPr="00082683">
        <w:rPr>
          <w:rFonts w:eastAsiaTheme="minorHAnsi"/>
          <w:i/>
        </w:rPr>
        <w:t>.</w:t>
      </w:r>
    </w:p>
    <w:p w:rsidR="00082683" w:rsidRPr="00082683" w:rsidRDefault="00082683" w:rsidP="00FA165E">
      <w:pPr>
        <w:spacing w:after="240"/>
        <w:outlineLvl w:val="0"/>
        <w:rPr>
          <w:rFonts w:eastAsiaTheme="minorHAnsi"/>
          <w:i/>
        </w:rPr>
      </w:pPr>
      <w:r>
        <w:rPr>
          <w:rFonts w:eastAsiaTheme="minorHAnsi"/>
          <w:u w:val="single"/>
        </w:rPr>
        <w:t>Paragraph 7</w:t>
      </w:r>
      <w:r w:rsidRPr="001317AA">
        <w:rPr>
          <w:rFonts w:eastAsiaTheme="minorHAnsi"/>
          <w:u w:val="single"/>
        </w:rPr>
        <w:t>, decision XXVIII/2</w:t>
      </w:r>
      <w:r w:rsidRPr="001317AA">
        <w:rPr>
          <w:rFonts w:eastAsiaTheme="minorHAnsi"/>
        </w:rPr>
        <w:t>:</w:t>
      </w:r>
      <w:r>
        <w:rPr>
          <w:rFonts w:eastAsiaTheme="minorHAnsi"/>
          <w:i/>
        </w:rPr>
        <w:t xml:space="preserve"> </w:t>
      </w:r>
      <w:r w:rsidR="0089588B">
        <w:rPr>
          <w:rFonts w:eastAsiaTheme="minorHAnsi"/>
          <w:i/>
        </w:rPr>
        <w:t>“</w:t>
      </w:r>
      <w:r w:rsidRPr="00082683">
        <w:rPr>
          <w:rFonts w:eastAsiaTheme="minorHAnsi"/>
          <w:i/>
        </w:rPr>
        <w:t>To also acknowledge these linkages with respect to certain sectors, in particular industrial process refrigeration, and the preference to avoid transitions from HCFC to high</w:t>
      </w:r>
      <w:r w:rsidR="003F2A23">
        <w:rPr>
          <w:rFonts w:eastAsiaTheme="minorHAnsi"/>
          <w:i/>
        </w:rPr>
        <w:noBreakHyphen/>
      </w:r>
      <w:r w:rsidRPr="00082683">
        <w:rPr>
          <w:rFonts w:eastAsiaTheme="minorHAnsi"/>
          <w:i/>
        </w:rPr>
        <w:t xml:space="preserve">GWP HFCs and to be willing to provide flexibility, if no other alternatives are available, in cases where: </w:t>
      </w:r>
    </w:p>
    <w:p w:rsidR="00082683" w:rsidRPr="00082683" w:rsidRDefault="00082683" w:rsidP="00082683">
      <w:pPr>
        <w:widowControl w:val="0"/>
        <w:numPr>
          <w:ilvl w:val="1"/>
          <w:numId w:val="1"/>
        </w:numPr>
        <w:spacing w:after="240"/>
        <w:ind w:left="1440"/>
        <w:outlineLvl w:val="1"/>
        <w:rPr>
          <w:rFonts w:eastAsiaTheme="minorHAnsi"/>
          <w:i/>
          <w:color w:val="000000" w:themeColor="text1"/>
          <w:lang w:val="en-CA"/>
        </w:rPr>
      </w:pPr>
      <w:r w:rsidRPr="00082683">
        <w:rPr>
          <w:rFonts w:eastAsiaTheme="minorHAnsi"/>
          <w:i/>
          <w:color w:val="000000" w:themeColor="text1"/>
          <w:lang w:val="en-CA"/>
        </w:rPr>
        <w:t xml:space="preserve">HCFC supply may be unavailable from existing allowable consumption, stocks as well as recovered/recycled material, and </w:t>
      </w:r>
    </w:p>
    <w:p w:rsidR="00082683" w:rsidRPr="00082683" w:rsidRDefault="00082683" w:rsidP="00082683">
      <w:pPr>
        <w:widowControl w:val="0"/>
        <w:numPr>
          <w:ilvl w:val="1"/>
          <w:numId w:val="1"/>
        </w:numPr>
        <w:spacing w:after="240"/>
        <w:ind w:left="1440"/>
        <w:outlineLvl w:val="1"/>
        <w:rPr>
          <w:rFonts w:eastAsiaTheme="minorHAnsi"/>
          <w:i/>
          <w:color w:val="000000" w:themeColor="text1"/>
          <w:lang w:val="en-CA"/>
        </w:rPr>
      </w:pPr>
      <w:r w:rsidRPr="00082683">
        <w:rPr>
          <w:rFonts w:eastAsiaTheme="minorHAnsi"/>
          <w:i/>
          <w:color w:val="000000" w:themeColor="text1"/>
          <w:lang w:val="en-CA"/>
        </w:rPr>
        <w:t>It would allow for a direct transition at a later date from HCFC to low-GWP or zero-GWP alternatives</w:t>
      </w:r>
      <w:r w:rsidR="0089588B">
        <w:rPr>
          <w:rFonts w:eastAsiaTheme="minorHAnsi"/>
          <w:i/>
          <w:color w:val="000000" w:themeColor="text1"/>
          <w:lang w:val="en-CA"/>
        </w:rPr>
        <w:t>”</w:t>
      </w:r>
      <w:r w:rsidR="00545222">
        <w:rPr>
          <w:rFonts w:eastAsiaTheme="minorHAnsi"/>
          <w:i/>
          <w:color w:val="000000" w:themeColor="text1"/>
          <w:lang w:val="en-CA"/>
        </w:rPr>
        <w:t>.</w:t>
      </w:r>
    </w:p>
    <w:p w:rsidR="004E6A79" w:rsidRDefault="00082683" w:rsidP="00FA165E">
      <w:pPr>
        <w:spacing w:after="240"/>
        <w:outlineLvl w:val="0"/>
        <w:rPr>
          <w:rFonts w:eastAsiaTheme="minorHAnsi"/>
        </w:rPr>
      </w:pPr>
      <w:r>
        <w:rPr>
          <w:rFonts w:eastAsiaTheme="minorHAnsi"/>
          <w:u w:val="single"/>
        </w:rPr>
        <w:t>Paragraph 8</w:t>
      </w:r>
      <w:r w:rsidRPr="001317AA">
        <w:rPr>
          <w:rFonts w:eastAsiaTheme="minorHAnsi"/>
          <w:u w:val="single"/>
        </w:rPr>
        <w:t>, decision XXVIII/2</w:t>
      </w:r>
      <w:r w:rsidRPr="001317AA">
        <w:rPr>
          <w:rFonts w:eastAsiaTheme="minorHAnsi"/>
        </w:rPr>
        <w:t>:</w:t>
      </w:r>
      <w:r>
        <w:rPr>
          <w:rFonts w:eastAsiaTheme="minorHAnsi"/>
          <w:i/>
        </w:rPr>
        <w:t xml:space="preserve"> </w:t>
      </w:r>
      <w:r w:rsidR="0089588B">
        <w:rPr>
          <w:rFonts w:eastAsiaTheme="minorHAnsi"/>
          <w:i/>
        </w:rPr>
        <w:t>“</w:t>
      </w:r>
      <w:r w:rsidRPr="00082683">
        <w:rPr>
          <w:rFonts w:eastAsiaTheme="minorHAnsi"/>
          <w:i/>
        </w:rPr>
        <w:t>To provide, prior to the commencement of the Article 5 HFC freeze and in the light of the acknowledgement in the paragraph above, flexibility measures in relation to the HCFC phase-out relevant to certain sectors, in particular the industrial process refrigeration subsector, in order to avoid double conversions”</w:t>
      </w:r>
      <w:r>
        <w:rPr>
          <w:rFonts w:eastAsiaTheme="minorHAnsi"/>
          <w:i/>
        </w:rPr>
        <w:t>.</w:t>
      </w:r>
    </w:p>
    <w:p w:rsidR="004E6A79" w:rsidRPr="00545222" w:rsidRDefault="00D3486F">
      <w:pPr>
        <w:spacing w:after="240"/>
        <w:outlineLvl w:val="0"/>
        <w:rPr>
          <w:rFonts w:eastAsiaTheme="minorHAnsi"/>
          <w:u w:val="single"/>
        </w:rPr>
      </w:pPr>
      <w:r w:rsidRPr="00545222">
        <w:rPr>
          <w:u w:val="single"/>
        </w:rPr>
        <w:t>Information from Executive Committee members in accordance with decision 77/59(c)</w:t>
      </w:r>
    </w:p>
    <w:p w:rsidR="00FE2B11" w:rsidRPr="00FE2B11" w:rsidRDefault="00FE2B11" w:rsidP="00FE2B11">
      <w:pPr>
        <w:numPr>
          <w:ilvl w:val="0"/>
          <w:numId w:val="1"/>
        </w:numPr>
        <w:spacing w:after="240"/>
        <w:outlineLvl w:val="0"/>
      </w:pPr>
      <w:r w:rsidRPr="00FE2B11">
        <w:t xml:space="preserve">The Government of Germany recommended that parties acknowledge the linkages between HFC and HCFC reduction schedules with respect to certain sub-sectors, in particular industrial process refrigeration, in order to avoid double conversions, and by acknowledging this linkage, the Parties signalled their alignment with the principle of using resources in the most cost-effective manner by seeking synergies between the HCFC phase-out and HFC phase-down regimes. With regard to such synergies in the consumption sector, </w:t>
      </w:r>
      <w:r w:rsidR="0089588B">
        <w:t>Germany</w:t>
      </w:r>
      <w:r w:rsidRPr="00FE2B11">
        <w:t xml:space="preserve"> suggested the following questions for consideration:</w:t>
      </w:r>
    </w:p>
    <w:p w:rsidR="00FE2B11" w:rsidRPr="00FE2B11" w:rsidRDefault="00FE2B11" w:rsidP="00FE2B11">
      <w:pPr>
        <w:widowControl w:val="0"/>
        <w:numPr>
          <w:ilvl w:val="1"/>
          <w:numId w:val="1"/>
        </w:numPr>
        <w:tabs>
          <w:tab w:val="clear" w:pos="720"/>
          <w:tab w:val="num" w:pos="0"/>
        </w:tabs>
        <w:spacing w:after="240"/>
        <w:ind w:left="1440"/>
        <w:outlineLvl w:val="1"/>
      </w:pPr>
      <w:r w:rsidRPr="00FE2B11">
        <w:t>How could leapfrogging of HFC transitions be further maximised;</w:t>
      </w:r>
    </w:p>
    <w:p w:rsidR="00FE2B11" w:rsidRPr="00FE2B11" w:rsidRDefault="00FE2B11" w:rsidP="00FE2B11">
      <w:pPr>
        <w:widowControl w:val="0"/>
        <w:numPr>
          <w:ilvl w:val="1"/>
          <w:numId w:val="1"/>
        </w:numPr>
        <w:tabs>
          <w:tab w:val="clear" w:pos="720"/>
          <w:tab w:val="num" w:pos="0"/>
        </w:tabs>
        <w:spacing w:after="240"/>
        <w:ind w:left="1440"/>
        <w:outlineLvl w:val="1"/>
      </w:pPr>
      <w:r w:rsidRPr="00FE2B11">
        <w:t>Could this also apply to HPMP projects where high</w:t>
      </w:r>
      <w:r w:rsidRPr="00FE2B11">
        <w:noBreakHyphen/>
        <w:t>GWP alternatives have been approved already, but have not yet been implemented;</w:t>
      </w:r>
    </w:p>
    <w:p w:rsidR="00FE2B11" w:rsidRPr="00FE2B11" w:rsidRDefault="00FE2B11" w:rsidP="00FE2B11">
      <w:pPr>
        <w:widowControl w:val="0"/>
        <w:numPr>
          <w:ilvl w:val="1"/>
          <w:numId w:val="1"/>
        </w:numPr>
        <w:tabs>
          <w:tab w:val="clear" w:pos="720"/>
          <w:tab w:val="num" w:pos="0"/>
        </w:tabs>
        <w:spacing w:after="240"/>
        <w:ind w:left="1440"/>
        <w:outlineLvl w:val="1"/>
      </w:pPr>
      <w:r w:rsidRPr="00FE2B11">
        <w:t>How to account for additional funding resources in view of the starting point for HFC, when avoiding the phase-in of high-GWP HFCs; and</w:t>
      </w:r>
    </w:p>
    <w:p w:rsidR="00FE2B11" w:rsidRPr="00FE2B11" w:rsidRDefault="00FE2B11" w:rsidP="00FE2B11">
      <w:pPr>
        <w:widowControl w:val="0"/>
        <w:numPr>
          <w:ilvl w:val="1"/>
          <w:numId w:val="1"/>
        </w:numPr>
        <w:tabs>
          <w:tab w:val="clear" w:pos="720"/>
          <w:tab w:val="num" w:pos="0"/>
        </w:tabs>
        <w:spacing w:after="240"/>
        <w:ind w:left="1440"/>
        <w:outlineLvl w:val="1"/>
      </w:pPr>
      <w:r w:rsidRPr="00FE2B11">
        <w:t>How to rationalise costs following the synergizing effects of implementing servicing simultaneously under the HCFC phase-out and HFC phase-down.</w:t>
      </w:r>
    </w:p>
    <w:p w:rsidR="00082683" w:rsidRPr="00082683" w:rsidRDefault="00082683" w:rsidP="00082683">
      <w:pPr>
        <w:numPr>
          <w:ilvl w:val="0"/>
          <w:numId w:val="1"/>
        </w:numPr>
        <w:spacing w:after="240"/>
        <w:outlineLvl w:val="0"/>
      </w:pPr>
      <w:r w:rsidRPr="00082683">
        <w:t>On the integration of the production sector</w:t>
      </w:r>
      <w:r w:rsidR="00FE2B11">
        <w:t xml:space="preserve"> the Government of </w:t>
      </w:r>
      <w:r w:rsidRPr="00082683">
        <w:t>Germany would like to know how the transition to high</w:t>
      </w:r>
      <w:r w:rsidR="00545222">
        <w:t xml:space="preserve">-GWP production will be avoided or </w:t>
      </w:r>
      <w:r w:rsidRPr="00082683">
        <w:t>minimized.</w:t>
      </w:r>
    </w:p>
    <w:p w:rsidR="00FE2B11" w:rsidRPr="00FE2B11" w:rsidRDefault="00FE2B11" w:rsidP="00FE2B11">
      <w:pPr>
        <w:pStyle w:val="Heading1"/>
      </w:pPr>
      <w:r w:rsidRPr="00FE2B11">
        <w:t>The Government of Japan indicated that the activities aimed at securing compliance of Article 5 countries with the HCFC phase-out schedule should not be delayed as HFC phase-down activities commence.</w:t>
      </w:r>
    </w:p>
    <w:p w:rsidR="00082683" w:rsidRPr="00082683" w:rsidRDefault="00082683" w:rsidP="004F2C9D">
      <w:pPr>
        <w:keepNext/>
        <w:spacing w:after="240"/>
        <w:outlineLvl w:val="0"/>
        <w:rPr>
          <w:u w:val="single"/>
        </w:rPr>
      </w:pPr>
      <w:r w:rsidRPr="00082683">
        <w:rPr>
          <w:u w:val="single"/>
        </w:rPr>
        <w:lastRenderedPageBreak/>
        <w:t>Previous Executive Committee decisions and practice</w:t>
      </w:r>
    </w:p>
    <w:p w:rsidR="00082683" w:rsidRPr="00082683" w:rsidRDefault="006220F3" w:rsidP="004F2C9D">
      <w:pPr>
        <w:keepNext/>
        <w:numPr>
          <w:ilvl w:val="0"/>
          <w:numId w:val="1"/>
        </w:numPr>
        <w:spacing w:after="240"/>
        <w:outlineLvl w:val="0"/>
      </w:pPr>
      <w:r>
        <w:t>In accordance with decision 77/59(b</w:t>
      </w:r>
      <w:proofErr w:type="gramStart"/>
      <w:r>
        <w:t>)(</w:t>
      </w:r>
      <w:proofErr w:type="gramEnd"/>
      <w:r>
        <w:t>iv), the Secretariat has compiled issues in relation to existing HCFC phase</w:t>
      </w:r>
      <w:r w:rsidR="00404F88">
        <w:t>-</w:t>
      </w:r>
      <w:r>
        <w:t>out activities in a separate document (UNEP/OzL.Pro/ExCom/78</w:t>
      </w:r>
      <w:r w:rsidR="00404F88">
        <w:t>/8</w:t>
      </w:r>
      <w:r w:rsidRPr="00404F88">
        <w:t>)</w:t>
      </w:r>
      <w:r>
        <w:t xml:space="preserve"> for the </w:t>
      </w:r>
      <w:r w:rsidR="00404F88">
        <w:t xml:space="preserve">Executive </w:t>
      </w:r>
      <w:r>
        <w:t>Committee’s consideration</w:t>
      </w:r>
      <w:r w:rsidR="00082683" w:rsidRPr="00082683">
        <w:t>.</w:t>
      </w:r>
    </w:p>
    <w:p w:rsidR="00186FB4" w:rsidRPr="008F7254" w:rsidRDefault="00186FB4" w:rsidP="004F2C9D">
      <w:pPr>
        <w:pStyle w:val="ListParagraph"/>
        <w:keepNext/>
        <w:numPr>
          <w:ilvl w:val="0"/>
          <w:numId w:val="14"/>
        </w:numPr>
        <w:ind w:left="709" w:hanging="709"/>
        <w:rPr>
          <w:b/>
        </w:rPr>
      </w:pPr>
      <w:r w:rsidRPr="008F7254">
        <w:rPr>
          <w:b/>
        </w:rPr>
        <w:t>Overarching principles and timelines</w:t>
      </w:r>
      <w:r w:rsidR="0017135B" w:rsidRPr="008F7254">
        <w:rPr>
          <w:b/>
        </w:rPr>
        <w:t xml:space="preserve"> </w:t>
      </w:r>
    </w:p>
    <w:p w:rsidR="00186FB4" w:rsidRPr="008F7254" w:rsidRDefault="00186FB4" w:rsidP="008F7254">
      <w:pPr>
        <w:keepNext/>
        <w:rPr>
          <w:lang w:val="en-CA"/>
        </w:rPr>
      </w:pPr>
    </w:p>
    <w:p w:rsidR="00D351C3" w:rsidRPr="008F7254" w:rsidRDefault="0017135B" w:rsidP="00FA165E">
      <w:pPr>
        <w:pStyle w:val="Heading1"/>
        <w:keepNext/>
        <w:numPr>
          <w:ilvl w:val="0"/>
          <w:numId w:val="0"/>
        </w:numPr>
        <w:rPr>
          <w:lang w:val="en-CA"/>
        </w:rPr>
      </w:pPr>
      <w:r w:rsidRPr="008F7254">
        <w:rPr>
          <w:u w:val="single"/>
          <w:lang w:val="en-CA"/>
        </w:rPr>
        <w:t>Paragraph 9, decision XXVIII/2</w:t>
      </w:r>
      <w:r w:rsidRPr="008F7254">
        <w:rPr>
          <w:lang w:val="en-CA"/>
        </w:rPr>
        <w:t xml:space="preserve">: </w:t>
      </w:r>
      <w:r w:rsidR="003953EE" w:rsidRPr="008F7254">
        <w:rPr>
          <w:rFonts w:eastAsiaTheme="minorHAnsi"/>
          <w:i/>
        </w:rPr>
        <w:t>“</w:t>
      </w:r>
      <w:r w:rsidRPr="008F7254">
        <w:rPr>
          <w:rFonts w:eastAsiaTheme="minorHAnsi"/>
          <w:i/>
        </w:rPr>
        <w:t xml:space="preserve">To </w:t>
      </w:r>
      <w:r w:rsidR="00450FFA" w:rsidRPr="008F7254">
        <w:rPr>
          <w:rFonts w:eastAsiaTheme="minorHAnsi"/>
          <w:i/>
        </w:rPr>
        <w:t xml:space="preserve">recognize that the Amendment maintains the Multilateral Fund for the Implementation of the Montreal Protocol as the financial mechanism and that sufficient additional financial resources will be provided by </w:t>
      </w:r>
      <w:r w:rsidR="003D5F6F">
        <w:rPr>
          <w:rFonts w:eastAsiaTheme="minorHAnsi"/>
          <w:i/>
        </w:rPr>
        <w:t xml:space="preserve">Parties </w:t>
      </w:r>
      <w:r w:rsidR="00450FFA" w:rsidRPr="008F7254">
        <w:rPr>
          <w:rFonts w:eastAsiaTheme="minorHAnsi"/>
          <w:i/>
        </w:rPr>
        <w:t xml:space="preserve">not operating under paragraph 1 of Article 5 to offset costs arising out of </w:t>
      </w:r>
      <w:r w:rsidR="003953EE" w:rsidRPr="008F7254">
        <w:rPr>
          <w:rFonts w:eastAsiaTheme="minorHAnsi"/>
          <w:i/>
        </w:rPr>
        <w:t>HFC</w:t>
      </w:r>
      <w:r w:rsidR="00450FFA" w:rsidRPr="008F7254">
        <w:rPr>
          <w:rFonts w:eastAsiaTheme="minorHAnsi"/>
          <w:i/>
        </w:rPr>
        <w:t xml:space="preserve"> obligations for </w:t>
      </w:r>
      <w:r w:rsidR="003D5F6F">
        <w:rPr>
          <w:rFonts w:eastAsiaTheme="minorHAnsi"/>
          <w:i/>
        </w:rPr>
        <w:t xml:space="preserve">Parties </w:t>
      </w:r>
      <w:r w:rsidR="00450FFA" w:rsidRPr="008F7254">
        <w:rPr>
          <w:rFonts w:eastAsiaTheme="minorHAnsi"/>
          <w:i/>
        </w:rPr>
        <w:t>operating under paragraph 1 of Article 5 under the Amendment</w:t>
      </w:r>
      <w:r w:rsidR="0089588B">
        <w:rPr>
          <w:rFonts w:eastAsiaTheme="minorHAnsi"/>
          <w:i/>
        </w:rPr>
        <w:t>”</w:t>
      </w:r>
      <w:r w:rsidRPr="008F7254">
        <w:rPr>
          <w:rFonts w:eastAsiaTheme="minorHAnsi"/>
          <w:i/>
        </w:rPr>
        <w:t>.</w:t>
      </w:r>
    </w:p>
    <w:p w:rsidR="00D351C3" w:rsidRPr="008F7254" w:rsidRDefault="001E4765" w:rsidP="00FA165E">
      <w:pPr>
        <w:pStyle w:val="Heading1"/>
        <w:numPr>
          <w:ilvl w:val="0"/>
          <w:numId w:val="0"/>
        </w:numPr>
        <w:rPr>
          <w:i/>
        </w:rPr>
      </w:pPr>
      <w:r w:rsidRPr="008F7254">
        <w:rPr>
          <w:u w:val="single"/>
          <w:lang w:val="en-CA"/>
        </w:rPr>
        <w:t>Paragraph 10, decision XXVIII/2</w:t>
      </w:r>
      <w:r w:rsidRPr="008F7254">
        <w:rPr>
          <w:lang w:val="en-CA"/>
        </w:rPr>
        <w:t>:</w:t>
      </w:r>
      <w:r w:rsidR="00480809">
        <w:rPr>
          <w:lang w:val="en-CA"/>
        </w:rPr>
        <w:t xml:space="preserve"> </w:t>
      </w:r>
      <w:r w:rsidR="0089588B">
        <w:rPr>
          <w:lang w:val="en-CA"/>
        </w:rPr>
        <w:t>“</w:t>
      </w:r>
      <w:r w:rsidR="003953EE" w:rsidRPr="008F7254">
        <w:rPr>
          <w:i/>
        </w:rPr>
        <w:t xml:space="preserve">To request the Executive Committee to develop, within two years of the adoption of the Amendment, guidelines for financing the phase-down of HFC consumption and production, including cost-effectiveness thresholds, and to present those guidelines to the Meeting of the </w:t>
      </w:r>
      <w:r w:rsidR="003D5F6F">
        <w:rPr>
          <w:i/>
        </w:rPr>
        <w:t xml:space="preserve">Parties </w:t>
      </w:r>
      <w:r w:rsidR="003953EE" w:rsidRPr="008F7254">
        <w:rPr>
          <w:i/>
        </w:rPr>
        <w:t xml:space="preserve">for the </w:t>
      </w:r>
      <w:r w:rsidR="00480809">
        <w:rPr>
          <w:i/>
        </w:rPr>
        <w:t>Parties</w:t>
      </w:r>
      <w:r w:rsidR="003953EE" w:rsidRPr="008F7254">
        <w:rPr>
          <w:i/>
        </w:rPr>
        <w:t>’ views and inputs before their finalization by the Executive Committee”</w:t>
      </w:r>
      <w:r w:rsidR="00757813" w:rsidRPr="008F7254">
        <w:rPr>
          <w:i/>
        </w:rPr>
        <w:t>.</w:t>
      </w:r>
    </w:p>
    <w:p w:rsidR="008E679B" w:rsidRPr="00083D87" w:rsidRDefault="00D83378" w:rsidP="00AF3303">
      <w:pPr>
        <w:pStyle w:val="Heading2"/>
        <w:numPr>
          <w:ilvl w:val="0"/>
          <w:numId w:val="0"/>
        </w:numPr>
        <w:rPr>
          <w:u w:val="single"/>
        </w:rPr>
      </w:pPr>
      <w:r w:rsidRPr="00083D87">
        <w:rPr>
          <w:u w:val="single"/>
        </w:rPr>
        <w:t>Information from Executive Committee members in accordance with decision 77/59(c)</w:t>
      </w:r>
    </w:p>
    <w:p w:rsidR="008E679B" w:rsidRPr="00583C8E" w:rsidRDefault="00A11FA6" w:rsidP="008F7254">
      <w:pPr>
        <w:pStyle w:val="Heading1"/>
        <w:rPr>
          <w:lang w:val="en-CA"/>
        </w:rPr>
      </w:pPr>
      <w:r>
        <w:rPr>
          <w:lang w:val="en-CA"/>
        </w:rPr>
        <w:t>The Government of Argentina</w:t>
      </w:r>
      <w:r w:rsidR="004C25DB" w:rsidRPr="008F7254">
        <w:rPr>
          <w:lang w:val="en-CA"/>
        </w:rPr>
        <w:t xml:space="preserve"> </w:t>
      </w:r>
      <w:r w:rsidR="008E679B" w:rsidRPr="008F7254">
        <w:rPr>
          <w:lang w:val="en-CA"/>
        </w:rPr>
        <w:t>suggested</w:t>
      </w:r>
      <w:r w:rsidR="003953EE" w:rsidRPr="008F7254">
        <w:rPr>
          <w:lang w:val="en-CA"/>
        </w:rPr>
        <w:t>,</w:t>
      </w:r>
      <w:r w:rsidR="008E679B" w:rsidRPr="008F7254">
        <w:rPr>
          <w:lang w:val="en-CA"/>
        </w:rPr>
        <w:t xml:space="preserve"> </w:t>
      </w:r>
      <w:r w:rsidR="003953EE" w:rsidRPr="008F7254">
        <w:rPr>
          <w:lang w:val="en-CA"/>
        </w:rPr>
        <w:t>in view of the limited time available</w:t>
      </w:r>
      <w:r w:rsidR="003953EE" w:rsidRPr="00583C8E">
        <w:rPr>
          <w:lang w:val="en-CA"/>
        </w:rPr>
        <w:t xml:space="preserve">, </w:t>
      </w:r>
      <w:r w:rsidR="008C1B12" w:rsidRPr="00583C8E">
        <w:rPr>
          <w:lang w:val="en-CA"/>
        </w:rPr>
        <w:t xml:space="preserve">that the Executive Committee give </w:t>
      </w:r>
      <w:r w:rsidR="008E679B" w:rsidRPr="00583C8E">
        <w:rPr>
          <w:lang w:val="en-CA"/>
        </w:rPr>
        <w:t>first priority to the development and submission to the Parties of the financing guidelines for HFC phase-down including the cost</w:t>
      </w:r>
      <w:r w:rsidR="000E1FD4" w:rsidRPr="00583C8E">
        <w:rPr>
          <w:lang w:val="en-CA"/>
        </w:rPr>
        <w:noBreakHyphen/>
      </w:r>
      <w:r w:rsidR="008E679B" w:rsidRPr="00583C8E">
        <w:rPr>
          <w:lang w:val="en-CA"/>
        </w:rPr>
        <w:t>effectiveness thresholds.</w:t>
      </w:r>
    </w:p>
    <w:p w:rsidR="00493033" w:rsidRPr="00587256" w:rsidRDefault="00A11FA6" w:rsidP="00614368">
      <w:pPr>
        <w:pStyle w:val="Heading1"/>
      </w:pPr>
      <w:r w:rsidRPr="00583C8E">
        <w:rPr>
          <w:lang w:val="en-CA"/>
        </w:rPr>
        <w:t>The Government of Germany</w:t>
      </w:r>
      <w:r w:rsidR="00493033" w:rsidRPr="00583C8E">
        <w:rPr>
          <w:lang w:val="en-CA"/>
        </w:rPr>
        <w:t xml:space="preserve"> indicated that</w:t>
      </w:r>
      <w:r w:rsidR="00CC27F6" w:rsidRPr="00583C8E">
        <w:rPr>
          <w:lang w:val="en-CA"/>
        </w:rPr>
        <w:t>,</w:t>
      </w:r>
      <w:r w:rsidR="00493033" w:rsidRPr="00583C8E">
        <w:rPr>
          <w:lang w:val="en-CA"/>
        </w:rPr>
        <w:t xml:space="preserve"> as a principle the existing ODS guidelines should be</w:t>
      </w:r>
      <w:r w:rsidR="00493033" w:rsidRPr="00587256">
        <w:rPr>
          <w:lang w:val="en-CA"/>
        </w:rPr>
        <w:t xml:space="preserve"> maintained as much as possible as they are well understood by members and implementing agencies and are operating well. </w:t>
      </w:r>
      <w:r w:rsidRPr="00587256">
        <w:rPr>
          <w:lang w:val="en-CA"/>
        </w:rPr>
        <w:t xml:space="preserve">The Government </w:t>
      </w:r>
      <w:r w:rsidR="00646969" w:rsidRPr="00587256">
        <w:rPr>
          <w:lang w:val="en-CA"/>
        </w:rPr>
        <w:t xml:space="preserve">also provided an overarching comment on funding issues, which </w:t>
      </w:r>
      <w:r w:rsidR="00C64374" w:rsidRPr="00587256">
        <w:rPr>
          <w:lang w:val="en-CA"/>
        </w:rPr>
        <w:t>indicated that t</w:t>
      </w:r>
      <w:r w:rsidR="00493033" w:rsidRPr="00587256">
        <w:rPr>
          <w:lang w:val="en-CA"/>
        </w:rPr>
        <w:t>he evaluation of requests for financing incremental costs of a given HFC</w:t>
      </w:r>
      <w:r w:rsidR="00360438" w:rsidRPr="00587256">
        <w:rPr>
          <w:lang w:val="en-CA"/>
        </w:rPr>
        <w:noBreakHyphen/>
        <w:t xml:space="preserve">project should </w:t>
      </w:r>
      <w:r w:rsidR="00493033" w:rsidRPr="00587256">
        <w:rPr>
          <w:lang w:val="en-CA"/>
        </w:rPr>
        <w:t xml:space="preserve">take into account </w:t>
      </w:r>
      <w:r w:rsidR="00C64374" w:rsidRPr="00587256">
        <w:rPr>
          <w:lang w:val="en-CA"/>
        </w:rPr>
        <w:t>a number of principles</w:t>
      </w:r>
      <w:r w:rsidR="00681823" w:rsidRPr="00587256">
        <w:rPr>
          <w:lang w:val="en-CA"/>
        </w:rPr>
        <w:t xml:space="preserve"> listed</w:t>
      </w:r>
      <w:r w:rsidR="000A0AE7" w:rsidRPr="00587256">
        <w:rPr>
          <w:lang w:val="en-CA"/>
        </w:rPr>
        <w:t xml:space="preserve"> in detail in </w:t>
      </w:r>
      <w:r w:rsidR="008F2FEF" w:rsidRPr="00587256">
        <w:t xml:space="preserve">Annex II of </w:t>
      </w:r>
      <w:r w:rsidR="00B413EB">
        <w:t xml:space="preserve">the </w:t>
      </w:r>
      <w:r w:rsidR="008F2FEF" w:rsidRPr="00587256">
        <w:t>Annotated provisional agenda</w:t>
      </w:r>
      <w:r w:rsidR="000A0AE7" w:rsidRPr="00587256">
        <w:rPr>
          <w:lang w:val="en-CA"/>
        </w:rPr>
        <w:t>.</w:t>
      </w:r>
      <w:r w:rsidR="00B413EB">
        <w:rPr>
          <w:rStyle w:val="FootnoteReference"/>
          <w:lang w:val="en-CA"/>
        </w:rPr>
        <w:footnoteReference w:id="5"/>
      </w:r>
      <w:r w:rsidR="000A0AE7" w:rsidRPr="00587256">
        <w:rPr>
          <w:lang w:val="en-CA"/>
        </w:rPr>
        <w:t xml:space="preserve"> These principles include, among others, that the </w:t>
      </w:r>
      <w:r w:rsidR="00493033" w:rsidRPr="00587256">
        <w:t>most cost-effective and efficient option</w:t>
      </w:r>
      <w:r w:rsidR="000A0AE7" w:rsidRPr="00587256">
        <w:t xml:space="preserve"> should be chosen</w:t>
      </w:r>
      <w:r w:rsidR="00493033" w:rsidRPr="00587256">
        <w:t>, taking into account the national industrial strategy of the recipient country;</w:t>
      </w:r>
      <w:r w:rsidR="000A0AE7" w:rsidRPr="00587256">
        <w:t xml:space="preserve"> that the o</w:t>
      </w:r>
      <w:r w:rsidR="00493033" w:rsidRPr="00587256">
        <w:t>perational policies, guidelines and administrative arrangements, including the disbursement of resources, for the purpose of achieving the objectives of the Multilateral Fund (Article 10(5)) should strictly relate to compliance with the provisions of the Protocol, and meet agreed incremental costs (Article 10(6));</w:t>
      </w:r>
      <w:r w:rsidR="000A0AE7" w:rsidRPr="00587256">
        <w:t xml:space="preserve"> that </w:t>
      </w:r>
      <w:r w:rsidR="00493033" w:rsidRPr="00587256">
        <w:t>all activities which require funding, including energy efficiency, should be strictly related to the phase</w:t>
      </w:r>
      <w:r w:rsidR="00301AC9" w:rsidRPr="00587256">
        <w:t>-</w:t>
      </w:r>
      <w:r w:rsidR="00493033" w:rsidRPr="00587256">
        <w:t>down of HFCs, and kep</w:t>
      </w:r>
      <w:r w:rsidR="00646969" w:rsidRPr="00587256">
        <w:t>t within agreed cost thresholds</w:t>
      </w:r>
      <w:r w:rsidR="00F8582B" w:rsidRPr="00587256">
        <w:t xml:space="preserve">; that any saving or benefits during the transition process are considered when establishing the incremental costs in the various subsectors; that any request (HFC, energy use) shall be presented with a baseline and the respective reduction targets that are measureable, (independently) verifiable and reportable, matching the requirements of both the Montreal Protocol and the United Nations Framework Convention on Climate Change (UNFCCC); </w:t>
      </w:r>
      <w:r w:rsidR="00F365E4" w:rsidRPr="00587256">
        <w:t>t</w:t>
      </w:r>
      <w:r w:rsidR="00F8582B" w:rsidRPr="00587256">
        <w:t>hat methodologies and procedures for conservatively projecting and measuring greenhouse gas (GHG) reductions in the refrigeration and air-conditioning sector are developed together with renown institutions in the field of energy; and that in the evaluation of GHG reductions, the impact in tCO</w:t>
      </w:r>
      <w:r w:rsidR="00F8582B" w:rsidRPr="00587256">
        <w:rPr>
          <w:vertAlign w:val="subscript"/>
        </w:rPr>
        <w:t>2</w:t>
      </w:r>
      <w:r w:rsidR="00F8582B" w:rsidRPr="00587256">
        <w:t>eq</w:t>
      </w:r>
      <w:r w:rsidR="00842CEA" w:rsidRPr="00587256">
        <w:t xml:space="preserve"> is measured and illustrated</w:t>
      </w:r>
      <w:r w:rsidR="00F8582B" w:rsidRPr="00587256">
        <w:t xml:space="preserve"> on the basis of annual consumption, lifetime emissions and aggregated savings until 2050 v</w:t>
      </w:r>
      <w:r w:rsidR="00F365E4" w:rsidRPr="00587256">
        <w:t>ersus</w:t>
      </w:r>
      <w:r w:rsidR="00F8582B" w:rsidRPr="00587256">
        <w:t xml:space="preserve"> a business</w:t>
      </w:r>
      <w:r w:rsidR="003B5F68">
        <w:noBreakHyphen/>
      </w:r>
      <w:r w:rsidR="00F8582B" w:rsidRPr="00587256">
        <w:t>as</w:t>
      </w:r>
      <w:r w:rsidR="0066065E">
        <w:t>-</w:t>
      </w:r>
      <w:r w:rsidR="00F8582B" w:rsidRPr="00587256">
        <w:t>usual scenario</w:t>
      </w:r>
      <w:r w:rsidR="00842CEA" w:rsidRPr="00587256">
        <w:t>.</w:t>
      </w:r>
    </w:p>
    <w:p w:rsidR="008E679B" w:rsidRPr="008F7254" w:rsidRDefault="008E679B" w:rsidP="00083D87">
      <w:pPr>
        <w:pStyle w:val="Heading1"/>
        <w:widowControl w:val="0"/>
        <w:numPr>
          <w:ilvl w:val="0"/>
          <w:numId w:val="0"/>
        </w:numPr>
        <w:rPr>
          <w:u w:val="single"/>
        </w:rPr>
      </w:pPr>
      <w:r w:rsidRPr="008F7254">
        <w:rPr>
          <w:u w:val="single"/>
        </w:rPr>
        <w:t>Previous Executive Committee decisions and practice</w:t>
      </w:r>
    </w:p>
    <w:p w:rsidR="005271F8" w:rsidRDefault="005271F8" w:rsidP="00083D87">
      <w:pPr>
        <w:pStyle w:val="Heading1"/>
        <w:widowControl w:val="0"/>
        <w:rPr>
          <w:lang w:val="en-CA"/>
        </w:rPr>
      </w:pPr>
      <w:r w:rsidRPr="005271F8">
        <w:rPr>
          <w:lang w:val="en-CA"/>
        </w:rPr>
        <w:t xml:space="preserve">National strategies have been the basis for </w:t>
      </w:r>
      <w:r>
        <w:rPr>
          <w:lang w:val="en-CA"/>
        </w:rPr>
        <w:t>providing a</w:t>
      </w:r>
      <w:r w:rsidRPr="005271F8">
        <w:rPr>
          <w:lang w:val="en-CA"/>
        </w:rPr>
        <w:t>ssist</w:t>
      </w:r>
      <w:r>
        <w:rPr>
          <w:lang w:val="en-CA"/>
        </w:rPr>
        <w:t>ance to</w:t>
      </w:r>
      <w:r w:rsidRPr="005271F8">
        <w:rPr>
          <w:lang w:val="en-CA"/>
        </w:rPr>
        <w:t xml:space="preserve"> Article 5 countries </w:t>
      </w:r>
      <w:r>
        <w:rPr>
          <w:lang w:val="en-CA"/>
        </w:rPr>
        <w:t xml:space="preserve">to </w:t>
      </w:r>
      <w:r w:rsidRPr="005271F8">
        <w:rPr>
          <w:lang w:val="en-CA"/>
        </w:rPr>
        <w:t>phas</w:t>
      </w:r>
      <w:r>
        <w:rPr>
          <w:lang w:val="en-CA"/>
        </w:rPr>
        <w:t>e</w:t>
      </w:r>
      <w:r w:rsidRPr="005271F8">
        <w:rPr>
          <w:lang w:val="en-CA"/>
        </w:rPr>
        <w:t xml:space="preserve"> out </w:t>
      </w:r>
      <w:r>
        <w:rPr>
          <w:lang w:val="en-CA"/>
        </w:rPr>
        <w:t xml:space="preserve">controlled substances. </w:t>
      </w:r>
      <w:r w:rsidR="00B413EB">
        <w:rPr>
          <w:lang w:val="en-CA"/>
        </w:rPr>
        <w:t>The d</w:t>
      </w:r>
      <w:r>
        <w:rPr>
          <w:lang w:val="en-CA"/>
        </w:rPr>
        <w:t xml:space="preserve">ocument </w:t>
      </w:r>
      <w:r w:rsidR="00B413EB">
        <w:rPr>
          <w:lang w:val="en-CA"/>
        </w:rPr>
        <w:t xml:space="preserve">on </w:t>
      </w:r>
      <w:r w:rsidR="00583C8E" w:rsidRPr="00BF63D6">
        <w:t>information</w:t>
      </w:r>
      <w:r w:rsidR="00B413EB" w:rsidRPr="00BF63D6">
        <w:t xml:space="preserve"> relevant to the development of the cost guidelines </w:t>
      </w:r>
      <w:r w:rsidR="00B413EB" w:rsidRPr="00BF63D6">
        <w:lastRenderedPageBreak/>
        <w:t xml:space="preserve">for the phase-down of </w:t>
      </w:r>
      <w:r w:rsidR="00B413EB">
        <w:t xml:space="preserve">HFCs </w:t>
      </w:r>
      <w:r w:rsidR="00B413EB" w:rsidRPr="00BF63D6">
        <w:t xml:space="preserve">in </w:t>
      </w:r>
      <w:r w:rsidR="00B413EB">
        <w:t>A</w:t>
      </w:r>
      <w:r w:rsidR="00B413EB" w:rsidRPr="00BF63D6">
        <w:t>rticle 5 countries: enabling activities</w:t>
      </w:r>
      <w:r w:rsidR="00B413EB">
        <w:rPr>
          <w:rStyle w:val="FootnoteReference"/>
        </w:rPr>
        <w:footnoteReference w:id="6"/>
      </w:r>
      <w:r>
        <w:rPr>
          <w:lang w:val="en-CA"/>
        </w:rPr>
        <w:t xml:space="preserve"> provides a comprehensive overview of the different </w:t>
      </w:r>
      <w:r w:rsidRPr="005271F8">
        <w:rPr>
          <w:lang w:val="en-CA"/>
        </w:rPr>
        <w:t>national strategies</w:t>
      </w:r>
      <w:r>
        <w:rPr>
          <w:lang w:val="en-CA"/>
        </w:rPr>
        <w:t xml:space="preserve"> used to provide assistance to Article 5 countries at different points </w:t>
      </w:r>
      <w:r w:rsidR="002120F4">
        <w:rPr>
          <w:lang w:val="en-CA"/>
        </w:rPr>
        <w:t xml:space="preserve">in </w:t>
      </w:r>
      <w:r>
        <w:rPr>
          <w:lang w:val="en-CA"/>
        </w:rPr>
        <w:t>time, from country programmes to</w:t>
      </w:r>
      <w:r w:rsidR="00341129">
        <w:rPr>
          <w:lang w:val="en-CA"/>
        </w:rPr>
        <w:t xml:space="preserve"> HPMPs</w:t>
      </w:r>
      <w:r>
        <w:rPr>
          <w:lang w:val="en-CA"/>
        </w:rPr>
        <w:t>.</w:t>
      </w:r>
    </w:p>
    <w:p w:rsidR="00CF6EC3" w:rsidRPr="00CF6EC3" w:rsidRDefault="002F7DF3" w:rsidP="00CF6EC3">
      <w:pPr>
        <w:pStyle w:val="Heading1"/>
        <w:rPr>
          <w:lang w:val="en-CA"/>
        </w:rPr>
      </w:pPr>
      <w:r>
        <w:rPr>
          <w:lang w:val="en-CA"/>
        </w:rPr>
        <w:t>I</w:t>
      </w:r>
      <w:r w:rsidR="005271F8">
        <w:rPr>
          <w:lang w:val="en-CA"/>
        </w:rPr>
        <w:t xml:space="preserve">n </w:t>
      </w:r>
      <w:r w:rsidR="00CF6EC3">
        <w:rPr>
          <w:lang w:val="en-CA"/>
        </w:rPr>
        <w:t>the case of the acceleration of the HCFC phase-out</w:t>
      </w:r>
      <w:r w:rsidR="005271F8">
        <w:rPr>
          <w:lang w:val="en-CA"/>
        </w:rPr>
        <w:t>, sub</w:t>
      </w:r>
      <w:r w:rsidR="009C445D" w:rsidRPr="008F7254">
        <w:rPr>
          <w:lang w:val="en-CA"/>
        </w:rPr>
        <w:t xml:space="preserve">sequent to the decision XIX/6 </w:t>
      </w:r>
      <w:r w:rsidR="00F820B0" w:rsidRPr="008F7254">
        <w:rPr>
          <w:lang w:val="en-CA"/>
        </w:rPr>
        <w:t xml:space="preserve">(September 2007), </w:t>
      </w:r>
      <w:r w:rsidR="009C445D" w:rsidRPr="008F7254">
        <w:rPr>
          <w:lang w:val="en-CA"/>
        </w:rPr>
        <w:t xml:space="preserve">the </w:t>
      </w:r>
      <w:r>
        <w:rPr>
          <w:lang w:val="en-CA"/>
        </w:rPr>
        <w:t xml:space="preserve">Executive Committee </w:t>
      </w:r>
      <w:r w:rsidR="00D445D4">
        <w:rPr>
          <w:lang w:val="en-CA"/>
        </w:rPr>
        <w:t xml:space="preserve">at </w:t>
      </w:r>
      <w:r>
        <w:rPr>
          <w:lang w:val="en-CA"/>
        </w:rPr>
        <w:t>its 53</w:t>
      </w:r>
      <w:r w:rsidRPr="002F7DF3">
        <w:rPr>
          <w:vertAlign w:val="superscript"/>
          <w:lang w:val="en-CA"/>
        </w:rPr>
        <w:t>rd</w:t>
      </w:r>
      <w:r>
        <w:rPr>
          <w:lang w:val="en-CA"/>
        </w:rPr>
        <w:t xml:space="preserve"> meeting (October 2007) </w:t>
      </w:r>
      <w:r w:rsidR="00F31D8D">
        <w:rPr>
          <w:lang w:val="en-CA"/>
        </w:rPr>
        <w:t>started discuss</w:t>
      </w:r>
      <w:r w:rsidR="002B51A0">
        <w:rPr>
          <w:lang w:val="en-CA"/>
        </w:rPr>
        <w:t>ing</w:t>
      </w:r>
      <w:r w:rsidR="00F31D8D">
        <w:rPr>
          <w:lang w:val="en-CA"/>
        </w:rPr>
        <w:t xml:space="preserve"> </w:t>
      </w:r>
      <w:r>
        <w:rPr>
          <w:lang w:val="en-CA"/>
        </w:rPr>
        <w:t>several issues rel</w:t>
      </w:r>
      <w:r w:rsidR="009C445D" w:rsidRPr="008F7254">
        <w:rPr>
          <w:lang w:val="en-CA"/>
        </w:rPr>
        <w:t>ated to the funding o</w:t>
      </w:r>
      <w:r w:rsidR="00682E05" w:rsidRPr="008F7254">
        <w:rPr>
          <w:lang w:val="en-CA"/>
        </w:rPr>
        <w:t>f HCFC phase-out</w:t>
      </w:r>
      <w:r>
        <w:rPr>
          <w:lang w:val="en-CA"/>
        </w:rPr>
        <w:t xml:space="preserve">, including the most suitable type of national strategy to provide assistance for HCFC phase-out. </w:t>
      </w:r>
      <w:r w:rsidR="00CF6EC3">
        <w:rPr>
          <w:lang w:val="en-CA"/>
        </w:rPr>
        <w:t xml:space="preserve">Given that the </w:t>
      </w:r>
      <w:r w:rsidR="00CF6EC3" w:rsidRPr="00CF6EC3">
        <w:rPr>
          <w:lang w:val="en-CA"/>
        </w:rPr>
        <w:t xml:space="preserve">baselines </w:t>
      </w:r>
      <w:r w:rsidR="008A5A32">
        <w:rPr>
          <w:lang w:val="en-CA"/>
        </w:rPr>
        <w:t>had</w:t>
      </w:r>
      <w:r w:rsidR="00CF6EC3" w:rsidRPr="00CF6EC3">
        <w:rPr>
          <w:lang w:val="en-CA"/>
        </w:rPr>
        <w:t xml:space="preserve"> </w:t>
      </w:r>
      <w:r w:rsidR="00CF6EC3">
        <w:rPr>
          <w:lang w:val="en-CA"/>
        </w:rPr>
        <w:t xml:space="preserve">not </w:t>
      </w:r>
      <w:r w:rsidR="008A5A32">
        <w:rPr>
          <w:lang w:val="en-CA"/>
        </w:rPr>
        <w:t xml:space="preserve">been </w:t>
      </w:r>
      <w:r w:rsidR="00CF6EC3" w:rsidRPr="00CF6EC3">
        <w:rPr>
          <w:lang w:val="en-CA"/>
        </w:rPr>
        <w:t>established and there were still uncertainties with respect to future technologies, a staged approach was agreed. Th</w:t>
      </w:r>
      <w:r w:rsidR="00CF6EC3">
        <w:rPr>
          <w:lang w:val="en-CA"/>
        </w:rPr>
        <w:t xml:space="preserve">is approach </w:t>
      </w:r>
      <w:r w:rsidR="008A5A32">
        <w:rPr>
          <w:lang w:val="en-CA"/>
        </w:rPr>
        <w:t xml:space="preserve">made it possible to take </w:t>
      </w:r>
      <w:r w:rsidR="00CF6EC3" w:rsidRPr="00CF6EC3">
        <w:rPr>
          <w:lang w:val="en-CA"/>
        </w:rPr>
        <w:t xml:space="preserve">on sectors where substitute technologies were more developed and new technologies </w:t>
      </w:r>
      <w:r w:rsidR="008A5A32">
        <w:rPr>
          <w:lang w:val="en-CA"/>
        </w:rPr>
        <w:t xml:space="preserve">had </w:t>
      </w:r>
      <w:r w:rsidR="00CF6EC3" w:rsidRPr="00CF6EC3">
        <w:rPr>
          <w:lang w:val="en-CA"/>
        </w:rPr>
        <w:t>become available.</w:t>
      </w:r>
    </w:p>
    <w:p w:rsidR="009C445D" w:rsidRPr="00CF6EC3" w:rsidRDefault="00CF6EC3" w:rsidP="007350BF">
      <w:pPr>
        <w:pStyle w:val="Heading1"/>
        <w:rPr>
          <w:lang w:val="en-CA"/>
        </w:rPr>
      </w:pPr>
      <w:r w:rsidRPr="00AF3303">
        <w:rPr>
          <w:lang w:val="en-CA"/>
        </w:rPr>
        <w:t xml:space="preserve">Other issues on which the </w:t>
      </w:r>
      <w:r w:rsidR="009C445D" w:rsidRPr="00AF3303">
        <w:rPr>
          <w:lang w:val="en-CA"/>
        </w:rPr>
        <w:t xml:space="preserve">Executive Committee </w:t>
      </w:r>
      <w:r w:rsidRPr="00AF3303">
        <w:rPr>
          <w:lang w:val="en-CA"/>
        </w:rPr>
        <w:t>reached agreement at the 53</w:t>
      </w:r>
      <w:r w:rsidRPr="00AF3303">
        <w:rPr>
          <w:vertAlign w:val="superscript"/>
          <w:lang w:val="en-CA"/>
        </w:rPr>
        <w:t>rd</w:t>
      </w:r>
      <w:r w:rsidRPr="00AF3303">
        <w:rPr>
          <w:lang w:val="en-CA"/>
        </w:rPr>
        <w:t xml:space="preserve"> meeting before agreeing on cost guidelines included</w:t>
      </w:r>
      <w:r w:rsidR="00682531" w:rsidRPr="00AF3303">
        <w:rPr>
          <w:lang w:val="en-CA"/>
        </w:rPr>
        <w:t xml:space="preserve"> </w:t>
      </w:r>
      <w:r w:rsidR="00682531" w:rsidRPr="00AF3303">
        <w:rPr>
          <w:i/>
          <w:lang w:val="en-CA"/>
        </w:rPr>
        <w:t>inter alia</w:t>
      </w:r>
      <w:r w:rsidR="009C445D" w:rsidRPr="00AF3303">
        <w:rPr>
          <w:lang w:val="en-CA"/>
        </w:rPr>
        <w:t xml:space="preserve"> the legal prerequisite</w:t>
      </w:r>
      <w:r w:rsidR="008A5A32" w:rsidRPr="00AF3303">
        <w:rPr>
          <w:lang w:val="en-CA"/>
        </w:rPr>
        <w:t>s</w:t>
      </w:r>
      <w:r w:rsidR="009C445D" w:rsidRPr="00AF3303">
        <w:rPr>
          <w:lang w:val="en-CA"/>
        </w:rPr>
        <w:t xml:space="preserve"> for accessing Multilateral Fund funding for HCFC phase-out (</w:t>
      </w:r>
      <w:r w:rsidR="00B87834" w:rsidRPr="00AF3303">
        <w:rPr>
          <w:lang w:val="en-CA"/>
        </w:rPr>
        <w:t>i.e.,</w:t>
      </w:r>
      <w:r w:rsidR="000E1FD4" w:rsidRPr="00AF3303">
        <w:rPr>
          <w:lang w:val="en-CA"/>
        </w:rPr>
        <w:t> </w:t>
      </w:r>
      <w:r w:rsidR="009C445D" w:rsidRPr="00AF3303">
        <w:rPr>
          <w:lang w:val="en-CA"/>
        </w:rPr>
        <w:t>ratification of the Copenhagen Amendment for consumption and</w:t>
      </w:r>
      <w:r w:rsidR="009C445D" w:rsidRPr="008F7254">
        <w:rPr>
          <w:lang w:val="en-CA"/>
        </w:rPr>
        <w:t xml:space="preserve"> the Beijing Amendment for production)</w:t>
      </w:r>
      <w:r w:rsidR="00B87834" w:rsidRPr="008F7254">
        <w:rPr>
          <w:lang w:val="en-CA"/>
        </w:rPr>
        <w:t>;</w:t>
      </w:r>
      <w:r w:rsidR="009C445D" w:rsidRPr="008F7254">
        <w:rPr>
          <w:lang w:val="en-CA"/>
        </w:rPr>
        <w:t xml:space="preserve"> continued applicability of the existing policies and guidelines of the Multilater</w:t>
      </w:r>
      <w:r w:rsidR="00682E05" w:rsidRPr="008F7254">
        <w:rPr>
          <w:lang w:val="en-CA"/>
        </w:rPr>
        <w:t>a</w:t>
      </w:r>
      <w:r w:rsidR="009C445D" w:rsidRPr="008F7254">
        <w:rPr>
          <w:lang w:val="en-CA"/>
        </w:rPr>
        <w:t>l Fund in</w:t>
      </w:r>
      <w:r w:rsidR="00682E05" w:rsidRPr="008F7254">
        <w:rPr>
          <w:lang w:val="en-CA"/>
        </w:rPr>
        <w:t xml:space="preserve"> funding phase</w:t>
      </w:r>
      <w:r w:rsidR="00622924" w:rsidRPr="008F7254">
        <w:rPr>
          <w:lang w:val="en-CA"/>
        </w:rPr>
        <w:noBreakHyphen/>
      </w:r>
      <w:r w:rsidR="00682E05" w:rsidRPr="008F7254">
        <w:rPr>
          <w:lang w:val="en-CA"/>
        </w:rPr>
        <w:t>out of ODS other than HCFCs</w:t>
      </w:r>
      <w:r w:rsidR="00B87834" w:rsidRPr="008F7254">
        <w:rPr>
          <w:lang w:val="en-CA"/>
        </w:rPr>
        <w:t>;</w:t>
      </w:r>
      <w:r w:rsidR="00682E05" w:rsidRPr="008F7254">
        <w:rPr>
          <w:lang w:val="en-CA"/>
        </w:rPr>
        <w:t xml:space="preserve"> continued use of the institutions and capacities in Article 5 countries developed through Multilateral Fund assistance</w:t>
      </w:r>
      <w:r w:rsidR="00B87834" w:rsidRPr="008F7254">
        <w:rPr>
          <w:lang w:val="en-CA"/>
        </w:rPr>
        <w:t>;</w:t>
      </w:r>
      <w:r w:rsidR="00682E05" w:rsidRPr="008F7254">
        <w:rPr>
          <w:lang w:val="en-CA"/>
        </w:rPr>
        <w:t xml:space="preserve"> </w:t>
      </w:r>
      <w:r w:rsidR="002F7DF3">
        <w:rPr>
          <w:lang w:val="en-CA"/>
        </w:rPr>
        <w:t xml:space="preserve">a request to the </w:t>
      </w:r>
      <w:r w:rsidR="007350BF" w:rsidRPr="007350BF">
        <w:rPr>
          <w:lang w:val="en-CA"/>
        </w:rPr>
        <w:t xml:space="preserve">Secretariat </w:t>
      </w:r>
      <w:r w:rsidR="002F7DF3">
        <w:rPr>
          <w:lang w:val="en-CA"/>
        </w:rPr>
        <w:t xml:space="preserve">and the </w:t>
      </w:r>
      <w:r w:rsidR="007350BF" w:rsidRPr="007350BF">
        <w:rPr>
          <w:lang w:val="en-CA"/>
        </w:rPr>
        <w:t>implementing agencies to examine the existing guidelines for country programmes and sector plans (decision taken at the 3</w:t>
      </w:r>
      <w:r w:rsidR="007350BF" w:rsidRPr="00381371">
        <w:rPr>
          <w:vertAlign w:val="superscript"/>
          <w:lang w:val="en-CA"/>
        </w:rPr>
        <w:t>rd</w:t>
      </w:r>
      <w:r w:rsidR="007350BF" w:rsidRPr="007350BF">
        <w:rPr>
          <w:lang w:val="en-CA"/>
        </w:rPr>
        <w:t xml:space="preserve"> </w:t>
      </w:r>
      <w:r w:rsidR="00341129">
        <w:rPr>
          <w:lang w:val="en-CA"/>
        </w:rPr>
        <w:t>m</w:t>
      </w:r>
      <w:r w:rsidR="007350BF" w:rsidRPr="007350BF">
        <w:rPr>
          <w:lang w:val="en-CA"/>
        </w:rPr>
        <w:t>eeting</w:t>
      </w:r>
      <w:r w:rsidR="00386042">
        <w:rPr>
          <w:lang w:val="en-CA"/>
        </w:rPr>
        <w:t xml:space="preserve"> (June 1991)</w:t>
      </w:r>
      <w:r w:rsidR="007350BF" w:rsidRPr="007350BF">
        <w:rPr>
          <w:lang w:val="en-CA"/>
        </w:rPr>
        <w:t xml:space="preserve"> and decision 38/65), and </w:t>
      </w:r>
      <w:r w:rsidR="008A5A32">
        <w:rPr>
          <w:lang w:val="en-CA"/>
        </w:rPr>
        <w:t xml:space="preserve">to </w:t>
      </w:r>
      <w:r w:rsidR="007350BF" w:rsidRPr="007350BF">
        <w:rPr>
          <w:lang w:val="en-CA"/>
        </w:rPr>
        <w:t>propose draft guidelines for the preparation of H</w:t>
      </w:r>
      <w:r w:rsidR="002F7DF3">
        <w:rPr>
          <w:lang w:val="en-CA"/>
        </w:rPr>
        <w:t xml:space="preserve">PMPs </w:t>
      </w:r>
      <w:r w:rsidR="007350BF" w:rsidRPr="007350BF">
        <w:rPr>
          <w:lang w:val="en-CA"/>
        </w:rPr>
        <w:t>incorporating HCFC surveys</w:t>
      </w:r>
      <w:r w:rsidR="002F7DF3">
        <w:rPr>
          <w:lang w:val="en-CA"/>
        </w:rPr>
        <w:t xml:space="preserve"> and</w:t>
      </w:r>
      <w:r w:rsidR="00750BD4" w:rsidRPr="008F7254">
        <w:rPr>
          <w:lang w:val="en-CA"/>
        </w:rPr>
        <w:t xml:space="preserve"> taking into consideration views expressed by the members; a request to the Secretariat to work in consultation with technical experts to prepare a preliminary discussion document providing analysis on all relevant cost considerations</w:t>
      </w:r>
      <w:r w:rsidR="00682E05" w:rsidRPr="008F7254">
        <w:rPr>
          <w:lang w:val="en-CA"/>
        </w:rPr>
        <w:t xml:space="preserve"> </w:t>
      </w:r>
      <w:r w:rsidR="00750BD4" w:rsidRPr="008F7254">
        <w:rPr>
          <w:lang w:val="en-CA"/>
        </w:rPr>
        <w:t>taking into consideration the</w:t>
      </w:r>
      <w:r w:rsidR="0089588B">
        <w:rPr>
          <w:lang w:val="en-CA"/>
        </w:rPr>
        <w:t xml:space="preserve"> views expressed by the members;</w:t>
      </w:r>
      <w:r w:rsidR="00750BD4" w:rsidRPr="008F7254">
        <w:rPr>
          <w:lang w:val="en-CA"/>
        </w:rPr>
        <w:t xml:space="preserve"> and the approval of an expenditure of up to US</w:t>
      </w:r>
      <w:r w:rsidR="00D3798F">
        <w:rPr>
          <w:lang w:val="en-CA"/>
        </w:rPr>
        <w:t> </w:t>
      </w:r>
      <w:r w:rsidR="00750BD4" w:rsidRPr="008F7254">
        <w:rPr>
          <w:lang w:val="en-CA"/>
        </w:rPr>
        <w:t>$150,</w:t>
      </w:r>
      <w:r w:rsidR="00750BD4" w:rsidRPr="00CF6EC3">
        <w:rPr>
          <w:lang w:val="en-CA"/>
        </w:rPr>
        <w:t>000 to cover the cost of consultations with technical experts and other stakeholders for the preparation of the document referred to in the decision</w:t>
      </w:r>
      <w:r w:rsidR="00583C8E">
        <w:rPr>
          <w:lang w:val="en-CA"/>
        </w:rPr>
        <w:t>.</w:t>
      </w:r>
      <w:r w:rsidR="00583C8E">
        <w:rPr>
          <w:rStyle w:val="FootnoteReference"/>
          <w:lang w:val="en-CA"/>
        </w:rPr>
        <w:footnoteReference w:id="7"/>
      </w:r>
    </w:p>
    <w:p w:rsidR="00D351C3" w:rsidRPr="008F7254" w:rsidRDefault="00622924" w:rsidP="00FA165E">
      <w:pPr>
        <w:pStyle w:val="Heading1"/>
        <w:numPr>
          <w:ilvl w:val="0"/>
          <w:numId w:val="0"/>
        </w:numPr>
      </w:pPr>
      <w:r w:rsidRPr="008F7254">
        <w:rPr>
          <w:u w:val="single"/>
        </w:rPr>
        <w:t>Paragraph 11, decision X</w:t>
      </w:r>
      <w:r w:rsidR="00566B08" w:rsidRPr="008F7254">
        <w:rPr>
          <w:u w:val="single"/>
        </w:rPr>
        <w:t>X</w:t>
      </w:r>
      <w:r w:rsidRPr="008F7254">
        <w:rPr>
          <w:u w:val="single"/>
        </w:rPr>
        <w:t>VIII/2</w:t>
      </w:r>
      <w:r w:rsidRPr="008F7254">
        <w:t xml:space="preserve">: </w:t>
      </w:r>
      <w:r w:rsidR="003953EE" w:rsidRPr="008F7254">
        <w:rPr>
          <w:i/>
        </w:rPr>
        <w:t>“To request the Chair of the Executive Committee to report back to the Meeting of the Parties on the progress made in accordance with this decision, including on cases where Executive Committee deliberations have resulted in a change in a national strategy or a national technology choice submitted to the Executive Committee</w:t>
      </w:r>
      <w:r w:rsidR="008A5A32">
        <w:rPr>
          <w:i/>
        </w:rPr>
        <w:t>”</w:t>
      </w:r>
      <w:r w:rsidR="00757813" w:rsidRPr="008F7254">
        <w:rPr>
          <w:i/>
        </w:rPr>
        <w:t>.</w:t>
      </w:r>
    </w:p>
    <w:p w:rsidR="008E679B" w:rsidRPr="008F7254" w:rsidRDefault="00D83378" w:rsidP="008F7254">
      <w:pPr>
        <w:pStyle w:val="Heading1"/>
        <w:widowControl w:val="0"/>
        <w:numPr>
          <w:ilvl w:val="0"/>
          <w:numId w:val="0"/>
        </w:numPr>
        <w:rPr>
          <w:u w:val="single"/>
        </w:rPr>
      </w:pPr>
      <w:r>
        <w:rPr>
          <w:u w:val="single"/>
        </w:rPr>
        <w:t>Information from Executive Committee members in accordance with decision 77/59(c)</w:t>
      </w:r>
    </w:p>
    <w:p w:rsidR="008E679B" w:rsidRPr="008F7254" w:rsidRDefault="00A11FA6" w:rsidP="008F7254">
      <w:pPr>
        <w:pStyle w:val="Heading1"/>
        <w:widowControl w:val="0"/>
        <w:rPr>
          <w:lang w:val="en-CA"/>
        </w:rPr>
      </w:pPr>
      <w:r>
        <w:rPr>
          <w:lang w:val="en-CA"/>
        </w:rPr>
        <w:t>The Government of Argentina</w:t>
      </w:r>
      <w:r w:rsidR="004C25DB" w:rsidRPr="008F7254">
        <w:rPr>
          <w:lang w:val="en-CA"/>
        </w:rPr>
        <w:t xml:space="preserve"> </w:t>
      </w:r>
      <w:r w:rsidR="008E679B" w:rsidRPr="008F7254">
        <w:rPr>
          <w:lang w:val="en-CA"/>
        </w:rPr>
        <w:t>suggested</w:t>
      </w:r>
      <w:r w:rsidR="008A5A32">
        <w:rPr>
          <w:lang w:val="en-CA"/>
        </w:rPr>
        <w:t xml:space="preserve"> that</w:t>
      </w:r>
      <w:r w:rsidR="008E679B" w:rsidRPr="008F7254">
        <w:rPr>
          <w:lang w:val="en-CA"/>
        </w:rPr>
        <w:t>,</w:t>
      </w:r>
      <w:r w:rsidR="00372000" w:rsidRPr="008F7254">
        <w:rPr>
          <w:lang w:val="en-CA"/>
        </w:rPr>
        <w:t xml:space="preserve"> in order </w:t>
      </w:r>
      <w:r w:rsidR="008E679B" w:rsidRPr="008F7254">
        <w:rPr>
          <w:lang w:val="en-CA"/>
        </w:rPr>
        <w:t>to ensure transparency and equity across Executive Committee approvals, the Secretariat</w:t>
      </w:r>
      <w:r w:rsidR="008A5A32">
        <w:rPr>
          <w:lang w:val="en-CA"/>
        </w:rPr>
        <w:t xml:space="preserve"> should </w:t>
      </w:r>
      <w:r w:rsidR="008E679B" w:rsidRPr="008F7254">
        <w:rPr>
          <w:lang w:val="en-CA"/>
        </w:rPr>
        <w:t xml:space="preserve">prepare an overview table for the project review agenda item, summarizing for each country proposal (regardless </w:t>
      </w:r>
      <w:r w:rsidR="008A5A32">
        <w:rPr>
          <w:lang w:val="en-CA"/>
        </w:rPr>
        <w:t>of whether it is</w:t>
      </w:r>
      <w:r w:rsidR="008E679B" w:rsidRPr="008F7254">
        <w:rPr>
          <w:lang w:val="en-CA"/>
        </w:rPr>
        <w:t xml:space="preserve"> recommended for blanket approval or not), </w:t>
      </w:r>
      <w:r w:rsidR="008A5A32">
        <w:rPr>
          <w:lang w:val="en-CA"/>
        </w:rPr>
        <w:t xml:space="preserve">the </w:t>
      </w:r>
      <w:r w:rsidR="008E679B" w:rsidRPr="008F7254">
        <w:rPr>
          <w:lang w:val="en-CA"/>
        </w:rPr>
        <w:t xml:space="preserve">proposed and agreed strategy, </w:t>
      </w:r>
      <w:r w:rsidR="008A5A32">
        <w:rPr>
          <w:lang w:val="en-CA"/>
        </w:rPr>
        <w:t xml:space="preserve">the </w:t>
      </w:r>
      <w:r w:rsidR="008E679B" w:rsidRPr="008F7254">
        <w:rPr>
          <w:lang w:val="en-CA"/>
        </w:rPr>
        <w:t xml:space="preserve">technology choice and recommended level of funding, </w:t>
      </w:r>
      <w:r w:rsidR="008A5A32">
        <w:rPr>
          <w:lang w:val="en-CA"/>
        </w:rPr>
        <w:t xml:space="preserve">the </w:t>
      </w:r>
      <w:r w:rsidR="008E679B" w:rsidRPr="008F7254">
        <w:rPr>
          <w:lang w:val="en-CA"/>
        </w:rPr>
        <w:t xml:space="preserve">sectors and selected technologies covered by each project, </w:t>
      </w:r>
      <w:r w:rsidR="008A5A32">
        <w:rPr>
          <w:lang w:val="en-CA"/>
        </w:rPr>
        <w:t xml:space="preserve">the </w:t>
      </w:r>
      <w:r w:rsidR="008E679B" w:rsidRPr="008F7254">
        <w:rPr>
          <w:lang w:val="en-CA"/>
        </w:rPr>
        <w:t>total eligible cost</w:t>
      </w:r>
      <w:r w:rsidR="008A5A32">
        <w:rPr>
          <w:lang w:val="en-CA"/>
        </w:rPr>
        <w:t>s</w:t>
      </w:r>
      <w:r w:rsidR="008E679B" w:rsidRPr="008F7254">
        <w:rPr>
          <w:lang w:val="en-CA"/>
        </w:rPr>
        <w:t xml:space="preserve"> and cost</w:t>
      </w:r>
      <w:r w:rsidR="008A5A32">
        <w:rPr>
          <w:lang w:val="en-CA"/>
        </w:rPr>
        <w:noBreakHyphen/>
      </w:r>
      <w:r w:rsidR="008E679B" w:rsidRPr="008F7254">
        <w:rPr>
          <w:lang w:val="en-CA"/>
        </w:rPr>
        <w:t>effectiveness based on eligible consumption for each sector as well as overall coverage (percentage of the baseline level)</w:t>
      </w:r>
      <w:r w:rsidR="0089588B">
        <w:rPr>
          <w:lang w:val="en-CA"/>
        </w:rPr>
        <w:t>,</w:t>
      </w:r>
      <w:r w:rsidR="008E679B" w:rsidRPr="008F7254">
        <w:rPr>
          <w:lang w:val="en-CA"/>
        </w:rPr>
        <w:t xml:space="preserve"> and the reason why the Secretariat </w:t>
      </w:r>
      <w:r w:rsidR="008A5A32">
        <w:rPr>
          <w:lang w:val="en-CA"/>
        </w:rPr>
        <w:t xml:space="preserve">has </w:t>
      </w:r>
      <w:r w:rsidR="008E679B" w:rsidRPr="008F7254">
        <w:rPr>
          <w:lang w:val="en-CA"/>
        </w:rPr>
        <w:t>suggest</w:t>
      </w:r>
      <w:r w:rsidR="007318F3" w:rsidRPr="008F7254">
        <w:rPr>
          <w:lang w:val="en-CA"/>
        </w:rPr>
        <w:t>ed</w:t>
      </w:r>
      <w:r w:rsidR="008E679B" w:rsidRPr="008F7254">
        <w:rPr>
          <w:lang w:val="en-CA"/>
        </w:rPr>
        <w:t xml:space="preserve"> changing the proposed strategy chosen by the country, if this is the case. </w:t>
      </w:r>
    </w:p>
    <w:p w:rsidR="008E679B" w:rsidRPr="008F7254" w:rsidRDefault="008E679B" w:rsidP="00AF3303">
      <w:pPr>
        <w:pStyle w:val="Heading1"/>
        <w:keepNext/>
        <w:numPr>
          <w:ilvl w:val="0"/>
          <w:numId w:val="0"/>
        </w:numPr>
        <w:rPr>
          <w:u w:val="single"/>
        </w:rPr>
      </w:pPr>
      <w:r w:rsidRPr="008F7254">
        <w:rPr>
          <w:u w:val="single"/>
        </w:rPr>
        <w:t>Previous Executive Committee decisions and practice</w:t>
      </w:r>
    </w:p>
    <w:p w:rsidR="00AF3303" w:rsidRDefault="00DB0FF3" w:rsidP="008F7254">
      <w:pPr>
        <w:pStyle w:val="Heading1"/>
      </w:pPr>
      <w:r w:rsidRPr="008F7254">
        <w:t xml:space="preserve">With regard to the reporting practice, </w:t>
      </w:r>
      <w:r w:rsidR="001D625C" w:rsidRPr="008F7254">
        <w:t xml:space="preserve">the Chair of the Executive Committee provides a report at each </w:t>
      </w:r>
      <w:r w:rsidR="00B27315">
        <w:t>Meeting of the Parties</w:t>
      </w:r>
      <w:r w:rsidR="001D625C" w:rsidRPr="008F7254">
        <w:t xml:space="preserve"> high-level segment </w:t>
      </w:r>
      <w:r w:rsidR="008A5A32">
        <w:t xml:space="preserve">that </w:t>
      </w:r>
      <w:r w:rsidR="001D625C" w:rsidRPr="008F7254">
        <w:t xml:space="preserve">describes the work of the Executive Committee </w:t>
      </w:r>
      <w:r w:rsidR="00F231FD">
        <w:t>since the previous M</w:t>
      </w:r>
      <w:r w:rsidR="00B27315">
        <w:t>eeting of the Parties</w:t>
      </w:r>
      <w:r w:rsidR="001D625C" w:rsidRPr="008F7254">
        <w:t>, including highlights of achievements</w:t>
      </w:r>
      <w:r w:rsidR="00F231FD">
        <w:t xml:space="preserve">, policies </w:t>
      </w:r>
      <w:r w:rsidR="001D625C" w:rsidRPr="008F7254">
        <w:t xml:space="preserve">and projects approved, noting and acknowledging the work that is done by each bilateral and implementing agency. This report is </w:t>
      </w:r>
      <w:r w:rsidR="001D625C" w:rsidRPr="008F7254">
        <w:lastRenderedPageBreak/>
        <w:t xml:space="preserve">prepared by the Secretariat and approved by the Executive Committee at the meeting preceding the </w:t>
      </w:r>
      <w:r w:rsidR="00B27315">
        <w:t>Meeting of the Parties</w:t>
      </w:r>
      <w:r w:rsidR="00B27315" w:rsidRPr="008F7254">
        <w:t xml:space="preserve"> </w:t>
      </w:r>
      <w:r w:rsidR="001D625C" w:rsidRPr="008F7254">
        <w:t xml:space="preserve">where this report is presented. </w:t>
      </w:r>
      <w:r w:rsidR="002B51A0">
        <w:t>T</w:t>
      </w:r>
      <w:r w:rsidR="0097486D" w:rsidRPr="0097486D">
        <w:t xml:space="preserve">he agenda of the </w:t>
      </w:r>
      <w:r w:rsidR="00AF3303">
        <w:t>Thirty</w:t>
      </w:r>
      <w:r w:rsidR="003B5F68">
        <w:noBreakHyphen/>
      </w:r>
      <w:r w:rsidR="00AF3303">
        <w:t xml:space="preserve">ninth </w:t>
      </w:r>
      <w:r w:rsidR="00BA04D0">
        <w:t xml:space="preserve">meeting of the </w:t>
      </w:r>
      <w:r w:rsidR="0097486D" w:rsidRPr="0097486D">
        <w:t>Open-Ended Working Group (OEWG) includes an item on the update on the Executive Committee</w:t>
      </w:r>
      <w:r w:rsidR="008A5A32">
        <w:t xml:space="preserve">’s progress </w:t>
      </w:r>
      <w:r w:rsidR="0097486D" w:rsidRPr="0097486D">
        <w:t>in relation to decision</w:t>
      </w:r>
      <w:r w:rsidR="0097486D">
        <w:t> </w:t>
      </w:r>
      <w:r w:rsidR="0097486D" w:rsidRPr="0097486D">
        <w:t xml:space="preserve">XXVIII/2. This update </w:t>
      </w:r>
      <w:r w:rsidR="00897260">
        <w:t xml:space="preserve">at the OEWG </w:t>
      </w:r>
      <w:r w:rsidR="0097486D" w:rsidRPr="0097486D">
        <w:t xml:space="preserve">could be made </w:t>
      </w:r>
      <w:r w:rsidR="008B1BCA">
        <w:t>through</w:t>
      </w:r>
      <w:r w:rsidR="00AF3303">
        <w:t xml:space="preserve"> </w:t>
      </w:r>
      <w:r w:rsidR="0097486D" w:rsidRPr="0097486D">
        <w:t xml:space="preserve">a note </w:t>
      </w:r>
      <w:r w:rsidR="0097486D" w:rsidRPr="00D445D4">
        <w:t>prepared</w:t>
      </w:r>
      <w:r w:rsidR="0097486D" w:rsidRPr="0097486D">
        <w:t xml:space="preserve"> by the Secretariat on behalf of the Executive Committee or by any </w:t>
      </w:r>
      <w:r w:rsidR="008A5A32">
        <w:t xml:space="preserve">other </w:t>
      </w:r>
      <w:r w:rsidR="0097486D" w:rsidRPr="0097486D">
        <w:t xml:space="preserve">manner </w:t>
      </w:r>
      <w:r w:rsidR="008B1BCA">
        <w:t>through</w:t>
      </w:r>
      <w:r w:rsidR="0097486D" w:rsidRPr="0097486D">
        <w:t xml:space="preserve"> which the Executive Committee decides to update the Parties. </w:t>
      </w:r>
    </w:p>
    <w:p w:rsidR="00F231FD" w:rsidRDefault="0097486D" w:rsidP="008F7254">
      <w:pPr>
        <w:pStyle w:val="Heading1"/>
      </w:pPr>
      <w:r w:rsidRPr="0097486D">
        <w:t>The Secretariat seeks guidance from the Executive Committee on how it wishes to update the Parties on its progress in relation to decision XXVIII/2 to the OEWG</w:t>
      </w:r>
      <w:r w:rsidR="008A5A32">
        <w:t xml:space="preserve"> </w:t>
      </w:r>
      <w:r w:rsidRPr="0097486D">
        <w:t xml:space="preserve">and </w:t>
      </w:r>
      <w:r w:rsidR="008A5A32">
        <w:t xml:space="preserve">on </w:t>
      </w:r>
      <w:r w:rsidRPr="0097486D">
        <w:t xml:space="preserve">changes to the format </w:t>
      </w:r>
      <w:r w:rsidR="008A5A32">
        <w:t xml:space="preserve">of the report </w:t>
      </w:r>
      <w:r w:rsidRPr="0097486D">
        <w:t>to the M</w:t>
      </w:r>
      <w:r w:rsidR="00DA52D1">
        <w:t>eeting of the Parties</w:t>
      </w:r>
      <w:r w:rsidR="00F35A15">
        <w:t xml:space="preserve"> </w:t>
      </w:r>
      <w:r w:rsidR="00F35A15" w:rsidRPr="00DA52D1">
        <w:t>where required</w:t>
      </w:r>
      <w:r w:rsidRPr="00DA52D1">
        <w:t>, following</w:t>
      </w:r>
      <w:r w:rsidRPr="0097486D">
        <w:t xml:space="preserve"> paragraph 11 of </w:t>
      </w:r>
      <w:r>
        <w:t>d</w:t>
      </w:r>
      <w:r w:rsidRPr="0097486D">
        <w:t>ecision XXVIII/2</w:t>
      </w:r>
      <w:r w:rsidR="00024391">
        <w:t>.</w:t>
      </w:r>
      <w:r w:rsidR="002D787B">
        <w:t xml:space="preserve"> </w:t>
      </w:r>
    </w:p>
    <w:p w:rsidR="002F49A8" w:rsidRPr="008F7254" w:rsidRDefault="001D625C" w:rsidP="00FA165E">
      <w:pPr>
        <w:pStyle w:val="Heading1"/>
        <w:numPr>
          <w:ilvl w:val="0"/>
          <w:numId w:val="0"/>
        </w:numPr>
      </w:pPr>
      <w:r w:rsidRPr="00F231FD">
        <w:rPr>
          <w:u w:val="single"/>
        </w:rPr>
        <w:t>Paragraph 12, decision X</w:t>
      </w:r>
      <w:r w:rsidR="00566B08" w:rsidRPr="00F231FD">
        <w:rPr>
          <w:u w:val="single"/>
        </w:rPr>
        <w:t>X</w:t>
      </w:r>
      <w:r w:rsidRPr="00F231FD">
        <w:rPr>
          <w:u w:val="single"/>
        </w:rPr>
        <w:t>VIII/2</w:t>
      </w:r>
      <w:r w:rsidRPr="008F7254">
        <w:t xml:space="preserve">: </w:t>
      </w:r>
      <w:r w:rsidR="00B26D4A" w:rsidRPr="00F231FD">
        <w:t>“</w:t>
      </w:r>
      <w:r w:rsidR="00C87DB7" w:rsidRPr="00C87DB7">
        <w:rPr>
          <w:i/>
        </w:rPr>
        <w:t>To request the Executive Committee to revise the rules of procedure of the Executive Committee with a view to building in more flexibility for Parties operating under paragraph</w:t>
      </w:r>
      <w:r w:rsidR="00DA52D1">
        <w:rPr>
          <w:i/>
        </w:rPr>
        <w:t> </w:t>
      </w:r>
      <w:r w:rsidR="00C87DB7" w:rsidRPr="00C87DB7">
        <w:rPr>
          <w:i/>
        </w:rPr>
        <w:t>1 of Article 5</w:t>
      </w:r>
      <w:r w:rsidR="00B26D4A" w:rsidRPr="00F231FD">
        <w:t>”</w:t>
      </w:r>
      <w:r w:rsidR="00CE725F" w:rsidRPr="00F231FD">
        <w:t>.</w:t>
      </w:r>
    </w:p>
    <w:p w:rsidR="00E01AEA" w:rsidRPr="008F7254" w:rsidRDefault="00D83378" w:rsidP="008F7254">
      <w:pPr>
        <w:pStyle w:val="Heading1"/>
        <w:numPr>
          <w:ilvl w:val="0"/>
          <w:numId w:val="0"/>
        </w:numPr>
        <w:rPr>
          <w:u w:val="single"/>
        </w:rPr>
      </w:pPr>
      <w:r>
        <w:rPr>
          <w:u w:val="single"/>
        </w:rPr>
        <w:t>Information from Executive Committee members in accordance with decision 77/59(c)</w:t>
      </w:r>
    </w:p>
    <w:p w:rsidR="00E01AEA" w:rsidRPr="008F7254" w:rsidRDefault="00A11FA6" w:rsidP="008F7254">
      <w:pPr>
        <w:pStyle w:val="Heading1"/>
        <w:rPr>
          <w:lang w:val="en-CA"/>
        </w:rPr>
      </w:pPr>
      <w:r>
        <w:rPr>
          <w:lang w:val="en-CA"/>
        </w:rPr>
        <w:t>The Government of Argentina</w:t>
      </w:r>
      <w:r w:rsidR="00E01AEA" w:rsidRPr="008F7254">
        <w:rPr>
          <w:lang w:val="en-CA"/>
        </w:rPr>
        <w:t xml:space="preserve"> indicated that decisions that are clearly directed at individual investment projects approved prior to the performance-based project modality should be retired to prevent misuse (i.e.</w:t>
      </w:r>
      <w:r w:rsidR="00AD00B9" w:rsidRPr="008F7254">
        <w:rPr>
          <w:lang w:val="en-CA"/>
        </w:rPr>
        <w:t>,</w:t>
      </w:r>
      <w:r w:rsidR="00E01AEA" w:rsidRPr="008F7254">
        <w:rPr>
          <w:lang w:val="en-CA"/>
        </w:rPr>
        <w:t xml:space="preserve"> to limit country flexibility or funding levels)</w:t>
      </w:r>
      <w:r w:rsidR="00EB2EBA" w:rsidRPr="008F7254">
        <w:rPr>
          <w:lang w:val="en-CA"/>
        </w:rPr>
        <w:t xml:space="preserve">; and that the </w:t>
      </w:r>
      <w:r w:rsidR="00E01AEA" w:rsidRPr="008F7254">
        <w:rPr>
          <w:lang w:val="en-CA"/>
        </w:rPr>
        <w:t>Ex</w:t>
      </w:r>
      <w:r w:rsidR="00B26D4A" w:rsidRPr="008F7254">
        <w:rPr>
          <w:lang w:val="en-CA"/>
        </w:rPr>
        <w:t>ecutive Committee</w:t>
      </w:r>
      <w:r w:rsidR="00E01AEA" w:rsidRPr="008F7254">
        <w:rPr>
          <w:lang w:val="en-CA"/>
        </w:rPr>
        <w:t xml:space="preserve"> should commission</w:t>
      </w:r>
      <w:r w:rsidR="00301AC9">
        <w:rPr>
          <w:lang w:val="en-CA"/>
        </w:rPr>
        <w:t xml:space="preserve"> a</w:t>
      </w:r>
      <w:r w:rsidR="00E01AEA" w:rsidRPr="008F7254">
        <w:rPr>
          <w:lang w:val="en-CA"/>
        </w:rPr>
        <w:t xml:space="preserve"> report, to be updated periodically, containing a rolling list of decisions that </w:t>
      </w:r>
      <w:r w:rsidR="00877D60" w:rsidRPr="008F7254">
        <w:rPr>
          <w:lang w:val="en-CA"/>
        </w:rPr>
        <w:t xml:space="preserve">can </w:t>
      </w:r>
      <w:r w:rsidR="00E01AEA" w:rsidRPr="008F7254">
        <w:rPr>
          <w:lang w:val="en-CA"/>
        </w:rPr>
        <w:t>no longer be a</w:t>
      </w:r>
      <w:r w:rsidR="00925C50" w:rsidRPr="008F7254">
        <w:rPr>
          <w:lang w:val="en-CA"/>
        </w:rPr>
        <w:t>pplied to sector/national plans</w:t>
      </w:r>
      <w:r w:rsidR="00094AC7" w:rsidRPr="008F7254">
        <w:rPr>
          <w:lang w:val="en-CA"/>
        </w:rPr>
        <w:t>.</w:t>
      </w:r>
      <w:r w:rsidR="00BC7050">
        <w:rPr>
          <w:lang w:val="en-CA"/>
        </w:rPr>
        <w:t xml:space="preserve"> </w:t>
      </w:r>
    </w:p>
    <w:p w:rsidR="00990010" w:rsidRPr="008F7254" w:rsidRDefault="00990010" w:rsidP="008F7254">
      <w:pPr>
        <w:rPr>
          <w:u w:val="single"/>
          <w:lang w:val="en-CA"/>
        </w:rPr>
      </w:pPr>
      <w:r w:rsidRPr="008F7254">
        <w:rPr>
          <w:u w:val="single"/>
          <w:lang w:val="en-CA"/>
        </w:rPr>
        <w:t>Previous Executive Committee decisions and practice</w:t>
      </w:r>
    </w:p>
    <w:p w:rsidR="00990010" w:rsidRPr="008F7254" w:rsidRDefault="00990010" w:rsidP="008F7254">
      <w:pPr>
        <w:rPr>
          <w:lang w:val="en-CA"/>
        </w:rPr>
      </w:pPr>
    </w:p>
    <w:p w:rsidR="00990010" w:rsidRPr="008F7254" w:rsidRDefault="00990010" w:rsidP="008F7254">
      <w:pPr>
        <w:pStyle w:val="Heading1"/>
        <w:rPr>
          <w:lang w:val="en-CA"/>
        </w:rPr>
      </w:pPr>
      <w:r w:rsidRPr="008F7254">
        <w:rPr>
          <w:lang w:val="en-CA"/>
        </w:rPr>
        <w:t>The rules of procedure of the Executive Committee indicated in the decision are presented for reference in Annex I</w:t>
      </w:r>
      <w:r w:rsidR="00F231FD">
        <w:rPr>
          <w:lang w:val="en-CA"/>
        </w:rPr>
        <w:t>II</w:t>
      </w:r>
      <w:r w:rsidR="00D83378">
        <w:rPr>
          <w:lang w:val="en-CA"/>
        </w:rPr>
        <w:t xml:space="preserve"> to the present document</w:t>
      </w:r>
      <w:r w:rsidRPr="008F7254">
        <w:rPr>
          <w:lang w:val="en-CA"/>
        </w:rPr>
        <w:t>.</w:t>
      </w:r>
    </w:p>
    <w:p w:rsidR="00186FB4" w:rsidRPr="008F7254" w:rsidRDefault="00FD2F73" w:rsidP="008F7254">
      <w:pPr>
        <w:pStyle w:val="ListParagraph"/>
        <w:keepNext/>
        <w:numPr>
          <w:ilvl w:val="0"/>
          <w:numId w:val="14"/>
        </w:numPr>
        <w:ind w:left="709" w:hanging="709"/>
        <w:rPr>
          <w:b/>
        </w:rPr>
      </w:pPr>
      <w:r w:rsidRPr="008F7254">
        <w:rPr>
          <w:b/>
        </w:rPr>
        <w:t xml:space="preserve">Flexibility in implementation that enables </w:t>
      </w:r>
      <w:r w:rsidR="003D5F6F">
        <w:rPr>
          <w:b/>
        </w:rPr>
        <w:t xml:space="preserve">Parties </w:t>
      </w:r>
      <w:r w:rsidRPr="008F7254">
        <w:rPr>
          <w:b/>
        </w:rPr>
        <w:t>to select their own strategies and priorities in sectors and technologies</w:t>
      </w:r>
    </w:p>
    <w:p w:rsidR="005813CE" w:rsidRPr="008F7254" w:rsidRDefault="005813CE" w:rsidP="008F7254">
      <w:pPr>
        <w:keepNext/>
        <w:rPr>
          <w:lang w:val="en-CA"/>
        </w:rPr>
      </w:pPr>
    </w:p>
    <w:p w:rsidR="00FD2F73" w:rsidRPr="008F7254" w:rsidRDefault="00896B90" w:rsidP="00FA165E">
      <w:pPr>
        <w:pStyle w:val="Heading1"/>
        <w:keepNext/>
        <w:numPr>
          <w:ilvl w:val="0"/>
          <w:numId w:val="0"/>
        </w:numPr>
        <w:rPr>
          <w:rFonts w:eastAsiaTheme="minorHAnsi"/>
          <w:i/>
        </w:rPr>
      </w:pPr>
      <w:r w:rsidRPr="008F7254">
        <w:rPr>
          <w:u w:val="single"/>
        </w:rPr>
        <w:t>Paragraph 13, decision X</w:t>
      </w:r>
      <w:r w:rsidR="00566B08" w:rsidRPr="008F7254">
        <w:rPr>
          <w:u w:val="single"/>
        </w:rPr>
        <w:t>X</w:t>
      </w:r>
      <w:r w:rsidRPr="008F7254">
        <w:rPr>
          <w:u w:val="single"/>
        </w:rPr>
        <w:t>VIII/2</w:t>
      </w:r>
      <w:r w:rsidRPr="008F7254">
        <w:t xml:space="preserve">: </w:t>
      </w:r>
      <w:r w:rsidR="00FD2F73" w:rsidRPr="008F7254">
        <w:rPr>
          <w:rFonts w:eastAsiaTheme="minorHAnsi"/>
          <w:i/>
        </w:rPr>
        <w:t>“Parties operating under paragraph 1 of Article 5 will have flexibility to prioritize HFCs, define sectors, select technologies and alternatives and elaborate and implement their strategies to meet agreed HFC obligations, based on their specific needs and national circumstances, following a country-driven approach</w:t>
      </w:r>
      <w:r w:rsidR="0089588B">
        <w:rPr>
          <w:rFonts w:eastAsiaTheme="minorHAnsi"/>
          <w:i/>
        </w:rPr>
        <w:t>”</w:t>
      </w:r>
      <w:r w:rsidR="00FD2F73" w:rsidRPr="008F7254">
        <w:rPr>
          <w:rFonts w:eastAsiaTheme="minorHAnsi"/>
          <w:i/>
        </w:rPr>
        <w:t>.</w:t>
      </w:r>
      <w:r w:rsidR="00FD2F73" w:rsidRPr="008F7254">
        <w:rPr>
          <w:i/>
        </w:rPr>
        <w:t xml:space="preserve"> </w:t>
      </w:r>
    </w:p>
    <w:p w:rsidR="00607BC7" w:rsidRDefault="00896B90" w:rsidP="00FA165E">
      <w:pPr>
        <w:pStyle w:val="Heading1"/>
        <w:numPr>
          <w:ilvl w:val="0"/>
          <w:numId w:val="0"/>
        </w:numPr>
        <w:rPr>
          <w:rFonts w:eastAsiaTheme="minorHAnsi"/>
        </w:rPr>
      </w:pPr>
      <w:r w:rsidRPr="008F7254">
        <w:rPr>
          <w:u w:val="single"/>
        </w:rPr>
        <w:t>Paragraph 14, decision X</w:t>
      </w:r>
      <w:r w:rsidR="00566B08" w:rsidRPr="008F7254">
        <w:rPr>
          <w:u w:val="single"/>
        </w:rPr>
        <w:t>X</w:t>
      </w:r>
      <w:r w:rsidRPr="008F7254">
        <w:rPr>
          <w:u w:val="single"/>
        </w:rPr>
        <w:t>VIII/2</w:t>
      </w:r>
      <w:r w:rsidRPr="008F7254">
        <w:t>: “</w:t>
      </w:r>
      <w:r w:rsidR="00FD2F73" w:rsidRPr="008F7254">
        <w:rPr>
          <w:rFonts w:eastAsiaTheme="minorHAnsi"/>
          <w:i/>
        </w:rPr>
        <w:t xml:space="preserve">To request the Executive Committee of the Multilateral Fund to incorporate the principle referred to in </w:t>
      </w:r>
      <w:r w:rsidR="008A5A32">
        <w:rPr>
          <w:rFonts w:eastAsiaTheme="minorHAnsi"/>
          <w:i/>
        </w:rPr>
        <w:t xml:space="preserve">the </w:t>
      </w:r>
      <w:r w:rsidR="00FD2F73" w:rsidRPr="008F7254">
        <w:rPr>
          <w:rFonts w:eastAsiaTheme="minorHAnsi"/>
          <w:i/>
        </w:rPr>
        <w:t>paragraph above into relevant funding guidelines for the phase down of HFCs and in its decision-making process”</w:t>
      </w:r>
      <w:r w:rsidR="00607BC7" w:rsidRPr="008F7254">
        <w:rPr>
          <w:rFonts w:eastAsiaTheme="minorHAnsi"/>
        </w:rPr>
        <w:t>.</w:t>
      </w:r>
    </w:p>
    <w:p w:rsidR="00623617" w:rsidRPr="00623617" w:rsidRDefault="00623617" w:rsidP="00623617">
      <w:pPr>
        <w:pStyle w:val="Heading1"/>
        <w:rPr>
          <w:rFonts w:eastAsiaTheme="minorHAnsi"/>
        </w:rPr>
      </w:pPr>
      <w:r w:rsidRPr="00EE1F96">
        <w:t>Paragraph 13 of decision XXVIII/2 has been included in the</w:t>
      </w:r>
      <w:r w:rsidR="00DA52D1">
        <w:t xml:space="preserve"> proposed templat</w:t>
      </w:r>
      <w:r>
        <w:t xml:space="preserve">e for </w:t>
      </w:r>
      <w:r w:rsidR="00DA52D1">
        <w:t>a draft</w:t>
      </w:r>
      <w:r>
        <w:t xml:space="preserve"> cost</w:t>
      </w:r>
      <w:r w:rsidRPr="00EE1F96">
        <w:t xml:space="preserve"> guidelines contained in Annex I</w:t>
      </w:r>
      <w:r>
        <w:t xml:space="preserve"> to the present document</w:t>
      </w:r>
      <w:r w:rsidRPr="00EE1F96">
        <w:t>.</w:t>
      </w:r>
    </w:p>
    <w:p w:rsidR="002F49A8" w:rsidRPr="00C9503D" w:rsidRDefault="00D83378" w:rsidP="00AF3303">
      <w:pPr>
        <w:pStyle w:val="Heading2"/>
        <w:numPr>
          <w:ilvl w:val="0"/>
          <w:numId w:val="0"/>
        </w:numPr>
        <w:rPr>
          <w:u w:val="single"/>
        </w:rPr>
      </w:pPr>
      <w:r w:rsidRPr="00C9503D">
        <w:rPr>
          <w:u w:val="single"/>
        </w:rPr>
        <w:t>Information from Executive Committee members in accordance with decision 77/59(c)</w:t>
      </w:r>
    </w:p>
    <w:p w:rsidR="009D0410" w:rsidRPr="008F7254" w:rsidRDefault="00A11FA6" w:rsidP="008F7254">
      <w:pPr>
        <w:pStyle w:val="Heading1"/>
        <w:rPr>
          <w:rFonts w:eastAsiaTheme="minorHAnsi"/>
        </w:rPr>
      </w:pPr>
      <w:r>
        <w:rPr>
          <w:rFonts w:eastAsiaTheme="minorHAnsi"/>
        </w:rPr>
        <w:t>The Government of Argentina</w:t>
      </w:r>
      <w:r w:rsidR="00925C50" w:rsidRPr="008F7254">
        <w:rPr>
          <w:rFonts w:eastAsiaTheme="minorHAnsi"/>
        </w:rPr>
        <w:t xml:space="preserve"> </w:t>
      </w:r>
      <w:r w:rsidR="008D601E" w:rsidRPr="008F7254">
        <w:rPr>
          <w:rFonts w:eastAsiaTheme="minorHAnsi"/>
        </w:rPr>
        <w:t>suggested that this principle needs to be included in a decision</w:t>
      </w:r>
      <w:r w:rsidR="00094AC7" w:rsidRPr="008F7254">
        <w:rPr>
          <w:rFonts w:eastAsiaTheme="minorHAnsi"/>
        </w:rPr>
        <w:t>.</w:t>
      </w:r>
    </w:p>
    <w:p w:rsidR="002F49A8" w:rsidRPr="008F7254" w:rsidRDefault="002F49A8" w:rsidP="00083D87">
      <w:pPr>
        <w:pStyle w:val="Heading1"/>
        <w:keepNext/>
        <w:numPr>
          <w:ilvl w:val="0"/>
          <w:numId w:val="0"/>
        </w:numPr>
        <w:rPr>
          <w:u w:val="single"/>
        </w:rPr>
      </w:pPr>
      <w:r w:rsidRPr="008F7254">
        <w:rPr>
          <w:u w:val="single"/>
        </w:rPr>
        <w:lastRenderedPageBreak/>
        <w:t>Previous Executive Committee decisions and practice</w:t>
      </w:r>
    </w:p>
    <w:p w:rsidR="009D0410" w:rsidRPr="008F7254" w:rsidRDefault="00623617" w:rsidP="00EE1F96">
      <w:pPr>
        <w:pStyle w:val="Heading1"/>
      </w:pPr>
      <w:r>
        <w:t>T</w:t>
      </w:r>
      <w:r w:rsidR="009D0410" w:rsidRPr="008F7254">
        <w:t xml:space="preserve">he </w:t>
      </w:r>
      <w:r w:rsidR="00113142">
        <w:t>evaluation</w:t>
      </w:r>
      <w:r w:rsidR="00113142" w:rsidRPr="008F7254">
        <w:t xml:space="preserve"> </w:t>
      </w:r>
      <w:r w:rsidR="008A1931">
        <w:t xml:space="preserve">of requests for financing </w:t>
      </w:r>
      <w:r w:rsidR="00DC01C3" w:rsidRPr="008F7254">
        <w:t>of</w:t>
      </w:r>
      <w:r w:rsidR="009D0410" w:rsidRPr="008F7254">
        <w:t xml:space="preserve"> incremental costs of projects </w:t>
      </w:r>
      <w:r w:rsidR="00DC01C3" w:rsidRPr="008F7254">
        <w:t xml:space="preserve">submitted to </w:t>
      </w:r>
      <w:r w:rsidR="009D0410" w:rsidRPr="008F7254">
        <w:t>the Multilateral Fund</w:t>
      </w:r>
      <w:r w:rsidR="00DC01C3" w:rsidRPr="008F7254">
        <w:t xml:space="preserve"> (individual and multiyear projects to phase out all ODS)</w:t>
      </w:r>
      <w:r w:rsidR="009D0410" w:rsidRPr="008F7254">
        <w:t xml:space="preserve"> has been based on the</w:t>
      </w:r>
      <w:r w:rsidR="00DC01C3" w:rsidRPr="008F7254">
        <w:t xml:space="preserve"> following</w:t>
      </w:r>
      <w:r w:rsidR="009D0410" w:rsidRPr="008F7254">
        <w:t xml:space="preserve"> general principles agreed by the Second </w:t>
      </w:r>
      <w:r w:rsidR="00B27315">
        <w:t>MEETING OF THE PARTIES</w:t>
      </w:r>
      <w:r w:rsidR="009D0410" w:rsidRPr="008F7254">
        <w:t xml:space="preserve"> (June 1990)</w:t>
      </w:r>
      <w:r w:rsidR="00083D87">
        <w:t>.</w:t>
      </w:r>
      <w:r w:rsidR="009D0410" w:rsidRPr="008F7254">
        <w:rPr>
          <w:rStyle w:val="FootnoteReference"/>
        </w:rPr>
        <w:footnoteReference w:id="8"/>
      </w:r>
      <w:r w:rsidR="009D0410" w:rsidRPr="008F7254">
        <w:t xml:space="preserve"> </w:t>
      </w:r>
    </w:p>
    <w:p w:rsidR="009D0410" w:rsidRPr="008F7254" w:rsidRDefault="009D0410" w:rsidP="004F2C9D">
      <w:pPr>
        <w:pStyle w:val="Heading2"/>
        <w:ind w:left="1418" w:hanging="709"/>
      </w:pPr>
      <w:r w:rsidRPr="008F7254">
        <w:t>The most cost-effective and efficient option should be chosen, taking into account the national industrial strategy of the recipient Party. It should be considered carefully to what extent the infrastructure at present</w:t>
      </w:r>
      <w:r w:rsidR="008A5A32">
        <w:t>ly</w:t>
      </w:r>
      <w:r w:rsidRPr="008F7254">
        <w:t xml:space="preserve"> used for production of the controlled substances could be put to alternative uses, thus resulting in decreased capital abandonment, and how to avoid deindustrialization and loss of export revenues;</w:t>
      </w:r>
    </w:p>
    <w:p w:rsidR="009D0410" w:rsidRPr="008F7254" w:rsidRDefault="009D0410" w:rsidP="004F2C9D">
      <w:pPr>
        <w:pStyle w:val="Heading2"/>
        <w:ind w:left="1418" w:hanging="709"/>
      </w:pPr>
      <w:r w:rsidRPr="008F7254">
        <w:t>Consideration of project proposals for funding should involve the careful scrutiny of cost items listed in an effort to ensure that there is no double-counting;</w:t>
      </w:r>
    </w:p>
    <w:p w:rsidR="009D0410" w:rsidRPr="008F7254" w:rsidRDefault="009D0410" w:rsidP="004F2C9D">
      <w:pPr>
        <w:pStyle w:val="Heading2"/>
        <w:ind w:left="1418" w:hanging="709"/>
      </w:pPr>
      <w:r w:rsidRPr="008F7254">
        <w:t xml:space="preserve">Savings or benefits that will be gained at both the strategic and project levels during the transition </w:t>
      </w:r>
      <w:r w:rsidRPr="00AF3303">
        <w:t>process</w:t>
      </w:r>
      <w:r w:rsidRPr="008F7254">
        <w:t xml:space="preserve"> should be taken into account on a case-by-case basis, according to criteria decided by the Parties and as elaborated in the guidelines of the Executive Committee; and</w:t>
      </w:r>
    </w:p>
    <w:p w:rsidR="009D0410" w:rsidRPr="008F7254" w:rsidRDefault="009D0410" w:rsidP="004F2C9D">
      <w:pPr>
        <w:pStyle w:val="Heading2"/>
        <w:ind w:left="1418" w:hanging="709"/>
      </w:pPr>
      <w:r w:rsidRPr="008F7254">
        <w:t>The funding of incremental costs is intended as an incentive for early adoption of ozone protecting technologies. In this respect the Executive Committee shall agree which time scales for payment of incremental costs are appropriate in each sector</w:t>
      </w:r>
      <w:r w:rsidR="00083D87">
        <w:t>.</w:t>
      </w:r>
      <w:r w:rsidRPr="008F7254">
        <w:rPr>
          <w:rStyle w:val="FootnoteReference"/>
          <w:lang w:val="en-US"/>
        </w:rPr>
        <w:footnoteReference w:id="9"/>
      </w:r>
    </w:p>
    <w:p w:rsidR="00DC01C3" w:rsidRPr="008F7254" w:rsidRDefault="00DC01C3" w:rsidP="008F7254">
      <w:pPr>
        <w:pStyle w:val="Heading1"/>
        <w:keepNext/>
        <w:rPr>
          <w:rFonts w:eastAsiaTheme="minorHAnsi"/>
        </w:rPr>
      </w:pPr>
      <w:r w:rsidRPr="008F7254">
        <w:rPr>
          <w:rFonts w:eastAsiaTheme="minorHAnsi"/>
        </w:rPr>
        <w:t xml:space="preserve">Specific decisions of the </w:t>
      </w:r>
      <w:r w:rsidR="00B11E84">
        <w:rPr>
          <w:rFonts w:eastAsiaTheme="minorHAnsi"/>
        </w:rPr>
        <w:t>M</w:t>
      </w:r>
      <w:r w:rsidR="00DA52D1">
        <w:rPr>
          <w:rFonts w:eastAsiaTheme="minorHAnsi"/>
        </w:rPr>
        <w:t>eeting of the Parties</w:t>
      </w:r>
      <w:r w:rsidRPr="008F7254">
        <w:rPr>
          <w:rFonts w:eastAsiaTheme="minorHAnsi"/>
        </w:rPr>
        <w:t xml:space="preserve"> and the Executive Committee on prioritization</w:t>
      </w:r>
      <w:r w:rsidR="00485627" w:rsidRPr="008F7254">
        <w:rPr>
          <w:rFonts w:eastAsiaTheme="minorHAnsi"/>
        </w:rPr>
        <w:t xml:space="preserve"> during HCFC phase-out</w:t>
      </w:r>
      <w:r w:rsidRPr="008F7254">
        <w:rPr>
          <w:rFonts w:eastAsiaTheme="minorHAnsi"/>
        </w:rPr>
        <w:t xml:space="preserve"> have been implemented respecting the main principles on incremental cost</w:t>
      </w:r>
      <w:r w:rsidR="00404F88">
        <w:rPr>
          <w:rFonts w:eastAsiaTheme="minorHAnsi"/>
        </w:rPr>
        <w:t>s</w:t>
      </w:r>
      <w:r w:rsidRPr="008F7254">
        <w:rPr>
          <w:rFonts w:eastAsiaTheme="minorHAnsi"/>
        </w:rPr>
        <w:t xml:space="preserve"> above:</w:t>
      </w:r>
    </w:p>
    <w:p w:rsidR="003B6EDD" w:rsidRPr="008F7254" w:rsidRDefault="00971901" w:rsidP="004F2C9D">
      <w:pPr>
        <w:pStyle w:val="Heading2"/>
        <w:ind w:left="1418" w:hanging="709"/>
        <w:rPr>
          <w:rFonts w:eastAsiaTheme="minorHAnsi"/>
        </w:rPr>
      </w:pPr>
      <w:r w:rsidRPr="008F7254">
        <w:rPr>
          <w:rFonts w:eastAsiaTheme="minorHAnsi"/>
        </w:rPr>
        <w:t>D</w:t>
      </w:r>
      <w:r w:rsidR="00412607" w:rsidRPr="008F7254">
        <w:rPr>
          <w:rFonts w:eastAsiaTheme="minorHAnsi"/>
        </w:rPr>
        <w:t xml:space="preserve">ecision XIX/6 </w:t>
      </w:r>
      <w:r w:rsidRPr="008F7254">
        <w:rPr>
          <w:rFonts w:eastAsiaTheme="minorHAnsi"/>
        </w:rPr>
        <w:t xml:space="preserve">requested that </w:t>
      </w:r>
      <w:r w:rsidR="003B6EDD" w:rsidRPr="008F7254">
        <w:rPr>
          <w:rFonts w:eastAsiaTheme="minorHAnsi"/>
        </w:rPr>
        <w:t>the Executive Committee, when developing and applying funding criteria for projects and programmes, g</w:t>
      </w:r>
      <w:r w:rsidR="00DC01C3" w:rsidRPr="008F7254">
        <w:rPr>
          <w:rFonts w:eastAsiaTheme="minorHAnsi"/>
        </w:rPr>
        <w:t>i</w:t>
      </w:r>
      <w:r w:rsidR="003B6EDD" w:rsidRPr="008F7254">
        <w:rPr>
          <w:rFonts w:eastAsiaTheme="minorHAnsi"/>
        </w:rPr>
        <w:t xml:space="preserve">ve priority to cost-effective projects and programmes which focus on, </w:t>
      </w:r>
      <w:r w:rsidR="003B6EDD" w:rsidRPr="008F7254">
        <w:rPr>
          <w:rFonts w:eastAsiaTheme="minorHAnsi"/>
          <w:i/>
        </w:rPr>
        <w:t>inter alia</w:t>
      </w:r>
      <w:r w:rsidR="00412607" w:rsidRPr="008F7254">
        <w:rPr>
          <w:rFonts w:eastAsiaTheme="minorHAnsi"/>
        </w:rPr>
        <w:t xml:space="preserve"> p</w:t>
      </w:r>
      <w:r w:rsidR="003B6EDD" w:rsidRPr="008F7254">
        <w:rPr>
          <w:rFonts w:eastAsiaTheme="minorHAnsi"/>
        </w:rPr>
        <w:t>hasing</w:t>
      </w:r>
      <w:r w:rsidR="003B5F68">
        <w:rPr>
          <w:rFonts w:eastAsiaTheme="minorHAnsi"/>
        </w:rPr>
        <w:t xml:space="preserve"> </w:t>
      </w:r>
      <w:r w:rsidR="003B6EDD" w:rsidRPr="008F7254">
        <w:rPr>
          <w:rFonts w:eastAsiaTheme="minorHAnsi"/>
        </w:rPr>
        <w:t xml:space="preserve">out first those HCFCs with higher </w:t>
      </w:r>
      <w:r w:rsidR="00DC01C3" w:rsidRPr="008F7254">
        <w:rPr>
          <w:rFonts w:eastAsiaTheme="minorHAnsi"/>
        </w:rPr>
        <w:t>ODP</w:t>
      </w:r>
      <w:r w:rsidR="003B6EDD" w:rsidRPr="008F7254">
        <w:rPr>
          <w:rFonts w:eastAsiaTheme="minorHAnsi"/>
        </w:rPr>
        <w:t>, taking into account national circumstances;</w:t>
      </w:r>
      <w:r w:rsidR="00412607" w:rsidRPr="008F7254">
        <w:rPr>
          <w:rFonts w:eastAsiaTheme="minorHAnsi"/>
        </w:rPr>
        <w:t xml:space="preserve"> s</w:t>
      </w:r>
      <w:r w:rsidR="003B6EDD" w:rsidRPr="008F7254">
        <w:rPr>
          <w:rFonts w:eastAsiaTheme="minorHAnsi"/>
        </w:rPr>
        <w:t xml:space="preserve">ubstitutes and alternatives that minimize other impacts on the environment, including on the climate, taking into </w:t>
      </w:r>
      <w:r w:rsidR="003B5F68">
        <w:rPr>
          <w:rFonts w:eastAsiaTheme="minorHAnsi"/>
        </w:rPr>
        <w:t>account global</w:t>
      </w:r>
      <w:r w:rsidR="003B5F68">
        <w:rPr>
          <w:rFonts w:eastAsiaTheme="minorHAnsi"/>
        </w:rPr>
        <w:noBreakHyphen/>
      </w:r>
      <w:r w:rsidR="003B6EDD" w:rsidRPr="008F7254">
        <w:rPr>
          <w:rFonts w:eastAsiaTheme="minorHAnsi"/>
        </w:rPr>
        <w:t>warming potential</w:t>
      </w:r>
      <w:r w:rsidR="00DC01C3" w:rsidRPr="008F7254">
        <w:rPr>
          <w:rFonts w:eastAsiaTheme="minorHAnsi"/>
        </w:rPr>
        <w:t xml:space="preserve"> (GWP)</w:t>
      </w:r>
      <w:r w:rsidR="003B6EDD" w:rsidRPr="008F7254">
        <w:rPr>
          <w:rFonts w:eastAsiaTheme="minorHAnsi"/>
        </w:rPr>
        <w:t>, energy use and other relevant factors;</w:t>
      </w:r>
      <w:r w:rsidR="00412607" w:rsidRPr="008F7254">
        <w:rPr>
          <w:rFonts w:eastAsiaTheme="minorHAnsi"/>
        </w:rPr>
        <w:t xml:space="preserve"> and s</w:t>
      </w:r>
      <w:r w:rsidR="003B6EDD" w:rsidRPr="008F7254">
        <w:rPr>
          <w:rFonts w:eastAsiaTheme="minorHAnsi"/>
        </w:rPr>
        <w:t>mall and medium</w:t>
      </w:r>
      <w:r w:rsidR="003B5F68">
        <w:rPr>
          <w:rFonts w:eastAsiaTheme="minorHAnsi"/>
        </w:rPr>
        <w:t>-</w:t>
      </w:r>
      <w:r w:rsidR="003B6EDD" w:rsidRPr="008F7254">
        <w:rPr>
          <w:rFonts w:eastAsiaTheme="minorHAnsi"/>
        </w:rPr>
        <w:t>size enterprises</w:t>
      </w:r>
      <w:r w:rsidR="00DC01C3" w:rsidRPr="008F7254">
        <w:rPr>
          <w:rFonts w:eastAsiaTheme="minorHAnsi"/>
        </w:rPr>
        <w:t xml:space="preserve"> (SMEs);</w:t>
      </w:r>
    </w:p>
    <w:p w:rsidR="007C02B4" w:rsidRPr="00F15E8E" w:rsidRDefault="009412DC" w:rsidP="004F2C9D">
      <w:pPr>
        <w:pStyle w:val="Heading2"/>
        <w:ind w:left="1418" w:hanging="709"/>
        <w:rPr>
          <w:rFonts w:eastAsiaTheme="minorHAnsi"/>
        </w:rPr>
      </w:pPr>
      <w:r w:rsidRPr="00DA52D1">
        <w:rPr>
          <w:rFonts w:eastAsiaTheme="minorHAnsi"/>
        </w:rPr>
        <w:t>Accordingly, d</w:t>
      </w:r>
      <w:r w:rsidR="00C81DD1" w:rsidRPr="00DA52D1">
        <w:rPr>
          <w:rFonts w:eastAsiaTheme="minorHAnsi"/>
        </w:rPr>
        <w:t>ecision 59/11 request</w:t>
      </w:r>
      <w:r w:rsidRPr="00DA52D1">
        <w:rPr>
          <w:rFonts w:eastAsiaTheme="minorHAnsi"/>
        </w:rPr>
        <w:t>ed</w:t>
      </w:r>
      <w:r w:rsidR="00C81DD1" w:rsidRPr="00DA52D1">
        <w:rPr>
          <w:rFonts w:eastAsiaTheme="minorHAnsi"/>
        </w:rPr>
        <w:t xml:space="preserve"> bilateral and implementing agencies to submit as </w:t>
      </w:r>
      <w:r w:rsidR="0025219D" w:rsidRPr="00DA52D1">
        <w:rPr>
          <w:rFonts w:eastAsiaTheme="minorHAnsi"/>
        </w:rPr>
        <w:t xml:space="preserve">a </w:t>
      </w:r>
      <w:r w:rsidR="00C81DD1" w:rsidRPr="00DA52D1">
        <w:rPr>
          <w:rFonts w:eastAsiaTheme="minorHAnsi"/>
        </w:rPr>
        <w:t>priority HCFC</w:t>
      </w:r>
      <w:r w:rsidR="00C81DD1" w:rsidRPr="00DA52D1">
        <w:rPr>
          <w:rFonts w:eastAsiaTheme="minorHAnsi"/>
        </w:rPr>
        <w:noBreakHyphen/>
        <w:t>141b phase</w:t>
      </w:r>
      <w:r w:rsidR="0025219D" w:rsidRPr="00DA52D1">
        <w:rPr>
          <w:rFonts w:eastAsiaTheme="minorHAnsi"/>
        </w:rPr>
        <w:t>-</w:t>
      </w:r>
      <w:r w:rsidR="00C81DD1" w:rsidRPr="00DA52D1">
        <w:rPr>
          <w:rFonts w:eastAsiaTheme="minorHAnsi"/>
        </w:rPr>
        <w:t xml:space="preserve">out projects. </w:t>
      </w:r>
      <w:r w:rsidR="009D0410" w:rsidRPr="00DA52D1">
        <w:rPr>
          <w:rFonts w:eastAsiaTheme="minorHAnsi"/>
        </w:rPr>
        <w:t xml:space="preserve">Decision 60/44 </w:t>
      </w:r>
      <w:r w:rsidR="00C222EE" w:rsidRPr="00DA52D1">
        <w:rPr>
          <w:rFonts w:eastAsiaTheme="minorHAnsi"/>
        </w:rPr>
        <w:t xml:space="preserve">(stage I of HPMPs) </w:t>
      </w:r>
      <w:r w:rsidR="00971901" w:rsidRPr="00DA52D1">
        <w:rPr>
          <w:rFonts w:eastAsiaTheme="minorHAnsi"/>
        </w:rPr>
        <w:t>established that non-</w:t>
      </w:r>
      <w:r w:rsidR="0089588B" w:rsidRPr="00DA52D1">
        <w:t xml:space="preserve"> </w:t>
      </w:r>
      <w:r w:rsidR="0089588B" w:rsidRPr="00DA52D1">
        <w:rPr>
          <w:rFonts w:eastAsiaTheme="minorHAnsi"/>
        </w:rPr>
        <w:t>low-volume-consuming (</w:t>
      </w:r>
      <w:r w:rsidR="00971901" w:rsidRPr="00DA52D1">
        <w:rPr>
          <w:rFonts w:eastAsiaTheme="minorHAnsi"/>
        </w:rPr>
        <w:t>LVC</w:t>
      </w:r>
      <w:r w:rsidR="0089588B" w:rsidRPr="00DA52D1">
        <w:rPr>
          <w:rFonts w:eastAsiaTheme="minorHAnsi"/>
        </w:rPr>
        <w:t>)</w:t>
      </w:r>
      <w:r w:rsidR="00971901" w:rsidRPr="00DA52D1">
        <w:rPr>
          <w:rFonts w:eastAsiaTheme="minorHAnsi"/>
        </w:rPr>
        <w:t xml:space="preserve"> </w:t>
      </w:r>
      <w:r w:rsidR="009D0410" w:rsidRPr="00DA52D1">
        <w:rPr>
          <w:rFonts w:eastAsiaTheme="minorHAnsi"/>
        </w:rPr>
        <w:t>Article 5 countries</w:t>
      </w:r>
      <w:r w:rsidR="00C222EE" w:rsidRPr="00DA52D1">
        <w:rPr>
          <w:rFonts w:eastAsiaTheme="minorHAnsi"/>
        </w:rPr>
        <w:t xml:space="preserve"> </w:t>
      </w:r>
      <w:r w:rsidR="00996834" w:rsidRPr="00DA52D1">
        <w:rPr>
          <w:rFonts w:eastAsiaTheme="minorHAnsi"/>
        </w:rPr>
        <w:t xml:space="preserve">should </w:t>
      </w:r>
      <w:r w:rsidR="00C222EE" w:rsidRPr="00DA52D1">
        <w:rPr>
          <w:rFonts w:eastAsiaTheme="minorHAnsi"/>
        </w:rPr>
        <w:t>first address consumption in the manufacturing sector to meet the reduction steps in 2013 and 2015</w:t>
      </w:r>
      <w:r w:rsidR="008A5A32" w:rsidRPr="00DA52D1">
        <w:rPr>
          <w:rFonts w:eastAsiaTheme="minorHAnsi"/>
        </w:rPr>
        <w:t>,</w:t>
      </w:r>
      <w:r w:rsidR="009D0410" w:rsidRPr="00DA52D1">
        <w:rPr>
          <w:rFonts w:eastAsiaTheme="minorHAnsi"/>
        </w:rPr>
        <w:t xml:space="preserve"> </w:t>
      </w:r>
      <w:r w:rsidR="00C222EE" w:rsidRPr="00DA52D1">
        <w:rPr>
          <w:rFonts w:eastAsiaTheme="minorHAnsi"/>
        </w:rPr>
        <w:t xml:space="preserve">and </w:t>
      </w:r>
      <w:r w:rsidR="008A5A32" w:rsidRPr="00DA52D1">
        <w:rPr>
          <w:rFonts w:eastAsiaTheme="minorHAnsi"/>
        </w:rPr>
        <w:t xml:space="preserve">that </w:t>
      </w:r>
      <w:r w:rsidR="00C222EE" w:rsidRPr="00DA52D1">
        <w:rPr>
          <w:rFonts w:eastAsiaTheme="minorHAnsi"/>
        </w:rPr>
        <w:t>funding for servicing</w:t>
      </w:r>
      <w:r w:rsidR="00971901" w:rsidRPr="00DA52D1">
        <w:rPr>
          <w:rFonts w:eastAsiaTheme="minorHAnsi"/>
        </w:rPr>
        <w:t xml:space="preserve"> would be provided i</w:t>
      </w:r>
      <w:r w:rsidR="00C222EE" w:rsidRPr="00DA52D1">
        <w:rPr>
          <w:rFonts w:eastAsiaTheme="minorHAnsi"/>
        </w:rPr>
        <w:t>f such countries clearly demonstrated that they required assistance in this sector to comply with these targets</w:t>
      </w:r>
      <w:r w:rsidR="007C02B4" w:rsidRPr="00DA52D1">
        <w:rPr>
          <w:rFonts w:eastAsiaTheme="minorHAnsi"/>
        </w:rPr>
        <w:t xml:space="preserve">. </w:t>
      </w:r>
      <w:r w:rsidR="00C81DD1" w:rsidRPr="00DA52D1">
        <w:rPr>
          <w:rFonts w:eastAsiaTheme="minorHAnsi"/>
        </w:rPr>
        <w:t>Decision 62/12</w:t>
      </w:r>
      <w:r w:rsidRPr="00DA52D1">
        <w:rPr>
          <w:rFonts w:eastAsiaTheme="minorHAnsi"/>
        </w:rPr>
        <w:t xml:space="preserve"> requested additional justification for the submission of projects in sectors not considered as </w:t>
      </w:r>
      <w:r w:rsidR="0025219D" w:rsidRPr="00DA52D1">
        <w:rPr>
          <w:rFonts w:eastAsiaTheme="minorHAnsi"/>
        </w:rPr>
        <w:t xml:space="preserve">a </w:t>
      </w:r>
      <w:r w:rsidRPr="00DA52D1">
        <w:rPr>
          <w:rFonts w:eastAsiaTheme="minorHAnsi"/>
        </w:rPr>
        <w:t>priority</w:t>
      </w:r>
      <w:r w:rsidR="00F15E8E" w:rsidRPr="00DA52D1">
        <w:rPr>
          <w:rFonts w:eastAsiaTheme="minorHAnsi"/>
        </w:rPr>
        <w:t>, and decision 72/18 reminded bilateral and implementing agencies and Article 5 countries to prioritize the phase-out of HCFC-141b and compliance with the 2020 target when requesting and using project preparation funds for projects in non-LVC countries</w:t>
      </w:r>
      <w:r w:rsidRPr="00DA52D1">
        <w:rPr>
          <w:rFonts w:eastAsiaTheme="minorHAnsi"/>
        </w:rPr>
        <w:t xml:space="preserve">. </w:t>
      </w:r>
      <w:r w:rsidR="00C0550B" w:rsidRPr="00DA52D1">
        <w:rPr>
          <w:rFonts w:eastAsiaTheme="minorHAnsi"/>
        </w:rPr>
        <w:t>Subsequently, d</w:t>
      </w:r>
      <w:r w:rsidR="009D0410" w:rsidRPr="00DA52D1">
        <w:rPr>
          <w:rFonts w:eastAsiaTheme="minorHAnsi"/>
        </w:rPr>
        <w:t xml:space="preserve">ecision 74/50 </w:t>
      </w:r>
      <w:r w:rsidR="00C0550B" w:rsidRPr="00DA52D1">
        <w:rPr>
          <w:rFonts w:eastAsiaTheme="minorHAnsi"/>
        </w:rPr>
        <w:t xml:space="preserve">(stage II of HPMPs) </w:t>
      </w:r>
      <w:r w:rsidR="00971901" w:rsidRPr="00DA52D1">
        <w:rPr>
          <w:rFonts w:eastAsiaTheme="minorHAnsi"/>
        </w:rPr>
        <w:t xml:space="preserve">established </w:t>
      </w:r>
      <w:r w:rsidR="00996834" w:rsidRPr="00DA52D1">
        <w:rPr>
          <w:rFonts w:eastAsiaTheme="minorHAnsi"/>
        </w:rPr>
        <w:t xml:space="preserve">that </w:t>
      </w:r>
      <w:r w:rsidR="008A1931" w:rsidRPr="00DA52D1">
        <w:rPr>
          <w:rFonts w:eastAsiaTheme="minorHAnsi"/>
        </w:rPr>
        <w:t xml:space="preserve">non-LVC countries </w:t>
      </w:r>
      <w:r w:rsidR="00996834" w:rsidRPr="00DA52D1">
        <w:rPr>
          <w:rFonts w:eastAsiaTheme="minorHAnsi"/>
        </w:rPr>
        <w:t>should prioritize</w:t>
      </w:r>
      <w:r w:rsidR="00996834" w:rsidRPr="00F15E8E">
        <w:rPr>
          <w:rFonts w:eastAsiaTheme="minorHAnsi"/>
        </w:rPr>
        <w:t xml:space="preserve"> consumption in the manufac</w:t>
      </w:r>
      <w:r w:rsidR="002F7B36" w:rsidRPr="00F15E8E">
        <w:rPr>
          <w:rFonts w:eastAsiaTheme="minorHAnsi"/>
        </w:rPr>
        <w:t>t</w:t>
      </w:r>
      <w:r w:rsidR="00996834" w:rsidRPr="00F15E8E">
        <w:rPr>
          <w:rFonts w:eastAsiaTheme="minorHAnsi"/>
        </w:rPr>
        <w:t>ur</w:t>
      </w:r>
      <w:r w:rsidR="002F7B36" w:rsidRPr="00F15E8E">
        <w:rPr>
          <w:rFonts w:eastAsiaTheme="minorHAnsi"/>
        </w:rPr>
        <w:t>i</w:t>
      </w:r>
      <w:r w:rsidR="00996834" w:rsidRPr="00F15E8E">
        <w:rPr>
          <w:rFonts w:eastAsiaTheme="minorHAnsi"/>
        </w:rPr>
        <w:t>ng sector to meet the reduc</w:t>
      </w:r>
      <w:r w:rsidR="002F7B36" w:rsidRPr="00F15E8E">
        <w:rPr>
          <w:rFonts w:eastAsiaTheme="minorHAnsi"/>
        </w:rPr>
        <w:t>tion</w:t>
      </w:r>
      <w:r w:rsidR="00996834" w:rsidRPr="00F15E8E">
        <w:rPr>
          <w:rFonts w:eastAsiaTheme="minorHAnsi"/>
        </w:rPr>
        <w:t xml:space="preserve"> steps in 2020, where</w:t>
      </w:r>
      <w:r w:rsidR="00C0550B" w:rsidRPr="00F15E8E">
        <w:rPr>
          <w:rFonts w:eastAsiaTheme="minorHAnsi"/>
        </w:rPr>
        <w:t xml:space="preserve"> possible;</w:t>
      </w:r>
    </w:p>
    <w:p w:rsidR="00C0550B" w:rsidRPr="008F7254" w:rsidRDefault="00C0550B" w:rsidP="004F2C9D">
      <w:pPr>
        <w:pStyle w:val="Heading2"/>
        <w:ind w:left="1418" w:hanging="709"/>
        <w:rPr>
          <w:rFonts w:eastAsiaTheme="minorHAnsi"/>
        </w:rPr>
      </w:pPr>
      <w:r w:rsidRPr="008F7254">
        <w:rPr>
          <w:rFonts w:eastAsiaTheme="minorHAnsi"/>
        </w:rPr>
        <w:lastRenderedPageBreak/>
        <w:t xml:space="preserve">In following the </w:t>
      </w:r>
      <w:r w:rsidR="00971901" w:rsidRPr="008F7254">
        <w:rPr>
          <w:rFonts w:eastAsiaTheme="minorHAnsi"/>
        </w:rPr>
        <w:t>prioritization principles</w:t>
      </w:r>
      <w:r w:rsidRPr="008F7254">
        <w:rPr>
          <w:rFonts w:eastAsiaTheme="minorHAnsi"/>
        </w:rPr>
        <w:t xml:space="preserve"> described above</w:t>
      </w:r>
      <w:r w:rsidR="00971901" w:rsidRPr="008F7254">
        <w:rPr>
          <w:rFonts w:eastAsiaTheme="minorHAnsi"/>
        </w:rPr>
        <w:t>, flexibility has been applied</w:t>
      </w:r>
      <w:r w:rsidR="007C02B4" w:rsidRPr="008F7254">
        <w:rPr>
          <w:rFonts w:eastAsiaTheme="minorHAnsi"/>
        </w:rPr>
        <w:t xml:space="preserve"> when </w:t>
      </w:r>
      <w:r w:rsidR="007C02B4" w:rsidRPr="00AF3303">
        <w:rPr>
          <w:rFonts w:eastAsiaTheme="minorHAnsi"/>
        </w:rPr>
        <w:t>required</w:t>
      </w:r>
      <w:r w:rsidR="00971901" w:rsidRPr="00AF3303">
        <w:rPr>
          <w:rFonts w:eastAsiaTheme="minorHAnsi"/>
        </w:rPr>
        <w:t xml:space="preserve"> </w:t>
      </w:r>
      <w:r w:rsidR="003A7A81" w:rsidRPr="00AF3303">
        <w:rPr>
          <w:rFonts w:eastAsiaTheme="minorHAnsi"/>
        </w:rPr>
        <w:t xml:space="preserve">whether to include sectors that were not considered priority (e.g., </w:t>
      </w:r>
      <w:r w:rsidR="00AF3303" w:rsidRPr="00AF3303">
        <w:rPr>
          <w:rFonts w:eastAsiaTheme="minorHAnsi"/>
        </w:rPr>
        <w:t xml:space="preserve">refrigeration </w:t>
      </w:r>
      <w:r w:rsidR="003A7A81" w:rsidRPr="00AF3303">
        <w:rPr>
          <w:rFonts w:eastAsiaTheme="minorHAnsi"/>
        </w:rPr>
        <w:t>servicing sector) or to continue using HCFCs in certain applications and submit stand-alone projects when a suitable technology was identified</w:t>
      </w:r>
      <w:r w:rsidR="00AF3303" w:rsidRPr="00AF3303">
        <w:rPr>
          <w:rFonts w:eastAsiaTheme="minorHAnsi"/>
        </w:rPr>
        <w:t>.</w:t>
      </w:r>
      <w:r w:rsidR="003A7A81" w:rsidRPr="00AF3303">
        <w:rPr>
          <w:rStyle w:val="FootnoteReference"/>
          <w:rFonts w:eastAsiaTheme="minorHAnsi"/>
          <w:color w:val="auto"/>
        </w:rPr>
        <w:footnoteReference w:id="10"/>
      </w:r>
      <w:r w:rsidR="003A7A81" w:rsidRPr="00AF3303">
        <w:rPr>
          <w:rFonts w:eastAsiaTheme="minorHAnsi"/>
        </w:rPr>
        <w:t xml:space="preserve"> As</w:t>
      </w:r>
      <w:r w:rsidR="007C02B4" w:rsidRPr="00AF3303">
        <w:rPr>
          <w:rFonts w:eastAsiaTheme="minorHAnsi"/>
        </w:rPr>
        <w:t xml:space="preserve"> a result,</w:t>
      </w:r>
      <w:r w:rsidR="00971901" w:rsidRPr="00AF3303">
        <w:rPr>
          <w:rFonts w:eastAsiaTheme="minorHAnsi"/>
        </w:rPr>
        <w:t xml:space="preserve"> </w:t>
      </w:r>
      <w:r w:rsidR="007C02B4" w:rsidRPr="00AF3303">
        <w:rPr>
          <w:rFonts w:eastAsiaTheme="minorHAnsi"/>
        </w:rPr>
        <w:t>a</w:t>
      </w:r>
      <w:r w:rsidR="00996834" w:rsidRPr="00AF3303">
        <w:rPr>
          <w:rFonts w:eastAsiaTheme="minorHAnsi"/>
        </w:rPr>
        <w:t>ctivities in the refrigeration</w:t>
      </w:r>
      <w:r w:rsidR="002F7B36" w:rsidRPr="00AF3303">
        <w:rPr>
          <w:rFonts w:eastAsiaTheme="minorHAnsi"/>
        </w:rPr>
        <w:t xml:space="preserve"> </w:t>
      </w:r>
      <w:r w:rsidR="00996834" w:rsidRPr="00AF3303">
        <w:rPr>
          <w:rFonts w:eastAsiaTheme="minorHAnsi"/>
        </w:rPr>
        <w:t>servicing sector have been approved in virtually all countries</w:t>
      </w:r>
      <w:r w:rsidR="00996834" w:rsidRPr="008F7254">
        <w:rPr>
          <w:rFonts w:eastAsiaTheme="minorHAnsi"/>
        </w:rPr>
        <w:t xml:space="preserve"> that have requested </w:t>
      </w:r>
      <w:r w:rsidR="002F7B36" w:rsidRPr="008F7254">
        <w:rPr>
          <w:rFonts w:eastAsiaTheme="minorHAnsi"/>
        </w:rPr>
        <w:t>funding for this sector</w:t>
      </w:r>
      <w:r w:rsidR="007C02B4" w:rsidRPr="008F7254">
        <w:rPr>
          <w:rFonts w:eastAsiaTheme="minorHAnsi"/>
        </w:rPr>
        <w:t xml:space="preserve"> in stage I and stage II</w:t>
      </w:r>
      <w:r w:rsidR="00AF3303">
        <w:rPr>
          <w:rFonts w:eastAsiaTheme="minorHAnsi"/>
        </w:rPr>
        <w:t xml:space="preserve"> of HPMPs</w:t>
      </w:r>
      <w:r w:rsidR="00996834" w:rsidRPr="008F7254">
        <w:rPr>
          <w:rFonts w:eastAsiaTheme="minorHAnsi"/>
        </w:rPr>
        <w:t>.</w:t>
      </w:r>
      <w:r w:rsidR="002F7B36" w:rsidRPr="008F7254">
        <w:rPr>
          <w:rFonts w:eastAsiaTheme="minorHAnsi"/>
        </w:rPr>
        <w:t xml:space="preserve"> In </w:t>
      </w:r>
      <w:r w:rsidR="008A5A32">
        <w:rPr>
          <w:rFonts w:eastAsiaTheme="minorHAnsi"/>
        </w:rPr>
        <w:t xml:space="preserve">a </w:t>
      </w:r>
      <w:r w:rsidR="002F7B36" w:rsidRPr="008F7254">
        <w:rPr>
          <w:rFonts w:eastAsiaTheme="minorHAnsi"/>
        </w:rPr>
        <w:t xml:space="preserve">few countries (e.g., Chile and </w:t>
      </w:r>
      <w:r w:rsidR="00601609">
        <w:rPr>
          <w:rFonts w:eastAsiaTheme="minorHAnsi"/>
        </w:rPr>
        <w:t xml:space="preserve">the Bolivarian Republic of </w:t>
      </w:r>
      <w:r w:rsidR="002F7B36" w:rsidRPr="008F7254">
        <w:rPr>
          <w:rFonts w:eastAsiaTheme="minorHAnsi"/>
        </w:rPr>
        <w:t xml:space="preserve">Venezuela) stage I </w:t>
      </w:r>
      <w:r w:rsidR="00AF3303">
        <w:rPr>
          <w:rFonts w:eastAsiaTheme="minorHAnsi"/>
        </w:rPr>
        <w:t xml:space="preserve">of the HPMP </w:t>
      </w:r>
      <w:r w:rsidR="002F7B36" w:rsidRPr="008F7254">
        <w:rPr>
          <w:rFonts w:eastAsiaTheme="minorHAnsi"/>
        </w:rPr>
        <w:t xml:space="preserve">was approved </w:t>
      </w:r>
      <w:r w:rsidR="00971901" w:rsidRPr="008F7254">
        <w:rPr>
          <w:rFonts w:eastAsiaTheme="minorHAnsi"/>
        </w:rPr>
        <w:t xml:space="preserve">exclusively for the </w:t>
      </w:r>
      <w:r w:rsidR="002F7B36" w:rsidRPr="008F7254">
        <w:rPr>
          <w:rFonts w:eastAsiaTheme="minorHAnsi"/>
        </w:rPr>
        <w:t>refrigeration servicing sector</w:t>
      </w:r>
      <w:r w:rsidR="00971901" w:rsidRPr="008F7254">
        <w:rPr>
          <w:rFonts w:eastAsiaTheme="minorHAnsi"/>
        </w:rPr>
        <w:t xml:space="preserve"> instead of the manufacturing sector</w:t>
      </w:r>
      <w:r w:rsidR="002F7B36" w:rsidRPr="008F7254">
        <w:rPr>
          <w:rFonts w:eastAsiaTheme="minorHAnsi"/>
        </w:rPr>
        <w:t xml:space="preserve">, </w:t>
      </w:r>
      <w:r w:rsidR="00971901" w:rsidRPr="008F7254">
        <w:rPr>
          <w:rFonts w:eastAsiaTheme="minorHAnsi"/>
        </w:rPr>
        <w:t xml:space="preserve">upon clear </w:t>
      </w:r>
      <w:r w:rsidR="002F7B36" w:rsidRPr="008F7254">
        <w:rPr>
          <w:rFonts w:eastAsiaTheme="minorHAnsi"/>
        </w:rPr>
        <w:t>demonstrat</w:t>
      </w:r>
      <w:r w:rsidR="00971901" w:rsidRPr="008F7254">
        <w:rPr>
          <w:rFonts w:eastAsiaTheme="minorHAnsi"/>
        </w:rPr>
        <w:t>ion by the countries that</w:t>
      </w:r>
      <w:r w:rsidR="002F7B36" w:rsidRPr="008F7254">
        <w:rPr>
          <w:rFonts w:eastAsiaTheme="minorHAnsi"/>
        </w:rPr>
        <w:t xml:space="preserve"> they required assistance in th</w:t>
      </w:r>
      <w:r w:rsidR="00971901" w:rsidRPr="008F7254">
        <w:rPr>
          <w:rFonts w:eastAsiaTheme="minorHAnsi"/>
        </w:rPr>
        <w:t xml:space="preserve">e refrigeration servicing </w:t>
      </w:r>
      <w:r w:rsidR="002F7B36" w:rsidRPr="008F7254">
        <w:rPr>
          <w:rFonts w:eastAsiaTheme="minorHAnsi"/>
        </w:rPr>
        <w:t>sector to comply with the</w:t>
      </w:r>
      <w:r w:rsidR="00971901" w:rsidRPr="008F7254">
        <w:rPr>
          <w:rFonts w:eastAsiaTheme="minorHAnsi"/>
        </w:rPr>
        <w:t xml:space="preserve"> reduction </w:t>
      </w:r>
      <w:r w:rsidR="002F7B36" w:rsidRPr="008F7254">
        <w:rPr>
          <w:rFonts w:eastAsiaTheme="minorHAnsi"/>
        </w:rPr>
        <w:t>targets</w:t>
      </w:r>
      <w:r w:rsidRPr="008F7254">
        <w:rPr>
          <w:rFonts w:eastAsiaTheme="minorHAnsi"/>
        </w:rPr>
        <w:t>;</w:t>
      </w:r>
      <w:r w:rsidR="0014123C" w:rsidRPr="008F7254">
        <w:rPr>
          <w:rFonts w:eastAsiaTheme="minorHAnsi"/>
        </w:rPr>
        <w:t xml:space="preserve"> and</w:t>
      </w:r>
    </w:p>
    <w:p w:rsidR="0014123C" w:rsidRPr="008F7254" w:rsidRDefault="00566B08" w:rsidP="004F2C9D">
      <w:pPr>
        <w:pStyle w:val="Heading2"/>
        <w:ind w:left="1418" w:hanging="709"/>
        <w:rPr>
          <w:rFonts w:eastAsiaTheme="minorHAnsi"/>
        </w:rPr>
      </w:pPr>
      <w:r w:rsidRPr="008F7254">
        <w:rPr>
          <w:rFonts w:eastAsiaTheme="minorHAnsi"/>
        </w:rPr>
        <w:t>T</w:t>
      </w:r>
      <w:r w:rsidR="00871048" w:rsidRPr="008F7254">
        <w:rPr>
          <w:rFonts w:eastAsiaTheme="minorHAnsi"/>
        </w:rPr>
        <w:t>here have</w:t>
      </w:r>
      <w:r w:rsidRPr="008F7254">
        <w:rPr>
          <w:rFonts w:eastAsiaTheme="minorHAnsi"/>
        </w:rPr>
        <w:t xml:space="preserve"> also</w:t>
      </w:r>
      <w:r w:rsidR="00871048" w:rsidRPr="008F7254">
        <w:rPr>
          <w:rFonts w:eastAsiaTheme="minorHAnsi"/>
        </w:rPr>
        <w:t xml:space="preserve"> been in</w:t>
      </w:r>
      <w:r w:rsidR="00C0550B" w:rsidRPr="008F7254">
        <w:rPr>
          <w:rFonts w:eastAsiaTheme="minorHAnsi"/>
        </w:rPr>
        <w:t>stances</w:t>
      </w:r>
      <w:r w:rsidR="00871048" w:rsidRPr="008F7254">
        <w:rPr>
          <w:rFonts w:eastAsiaTheme="minorHAnsi"/>
        </w:rPr>
        <w:t xml:space="preserve"> in which </w:t>
      </w:r>
      <w:r w:rsidR="00C0550B" w:rsidRPr="008F7254">
        <w:rPr>
          <w:rFonts w:eastAsiaTheme="minorHAnsi"/>
        </w:rPr>
        <w:t>three</w:t>
      </w:r>
      <w:r w:rsidR="0014123C" w:rsidRPr="008F7254">
        <w:rPr>
          <w:rFonts w:eastAsiaTheme="minorHAnsi"/>
        </w:rPr>
        <w:t xml:space="preserve"> or more</w:t>
      </w:r>
      <w:r w:rsidR="00C0550B" w:rsidRPr="008F7254">
        <w:rPr>
          <w:rFonts w:eastAsiaTheme="minorHAnsi"/>
        </w:rPr>
        <w:t xml:space="preserve"> sectors</w:t>
      </w:r>
      <w:r w:rsidRPr="008F7254">
        <w:rPr>
          <w:rFonts w:eastAsiaTheme="minorHAnsi"/>
        </w:rPr>
        <w:t xml:space="preserve"> in a country</w:t>
      </w:r>
      <w:r w:rsidR="00C0550B" w:rsidRPr="008F7254">
        <w:rPr>
          <w:rFonts w:eastAsiaTheme="minorHAnsi"/>
        </w:rPr>
        <w:t xml:space="preserve"> ha</w:t>
      </w:r>
      <w:r w:rsidR="00871048" w:rsidRPr="008F7254">
        <w:rPr>
          <w:rFonts w:eastAsiaTheme="minorHAnsi"/>
        </w:rPr>
        <w:t>ve</w:t>
      </w:r>
      <w:r w:rsidR="00C0550B" w:rsidRPr="008F7254">
        <w:rPr>
          <w:rFonts w:eastAsiaTheme="minorHAnsi"/>
        </w:rPr>
        <w:t xml:space="preserve"> received the same priority resulting in a proposal</w:t>
      </w:r>
      <w:r w:rsidR="004538DA" w:rsidRPr="008F7254">
        <w:rPr>
          <w:rFonts w:eastAsiaTheme="minorHAnsi"/>
        </w:rPr>
        <w:t xml:space="preserve"> to phase out more</w:t>
      </w:r>
      <w:r w:rsidR="006B22C4">
        <w:rPr>
          <w:rFonts w:eastAsiaTheme="minorHAnsi"/>
        </w:rPr>
        <w:t xml:space="preserve"> consumption of</w:t>
      </w:r>
      <w:r w:rsidR="004538DA" w:rsidRPr="008F7254">
        <w:rPr>
          <w:rFonts w:eastAsiaTheme="minorHAnsi"/>
        </w:rPr>
        <w:t xml:space="preserve"> HCFC</w:t>
      </w:r>
      <w:r w:rsidR="000477D4">
        <w:rPr>
          <w:rFonts w:eastAsiaTheme="minorHAnsi"/>
        </w:rPr>
        <w:t>s</w:t>
      </w:r>
      <w:r w:rsidR="004538DA" w:rsidRPr="008F7254">
        <w:rPr>
          <w:rFonts w:eastAsiaTheme="minorHAnsi"/>
        </w:rPr>
        <w:t xml:space="preserve"> than </w:t>
      </w:r>
      <w:r w:rsidR="006B22C4">
        <w:rPr>
          <w:rFonts w:eastAsiaTheme="minorHAnsi"/>
        </w:rPr>
        <w:t xml:space="preserve">would be </w:t>
      </w:r>
      <w:r w:rsidR="00C0550B" w:rsidRPr="008F7254">
        <w:rPr>
          <w:rFonts w:eastAsiaTheme="minorHAnsi"/>
        </w:rPr>
        <w:t>required to comply with the next reduction target</w:t>
      </w:r>
      <w:r w:rsidR="00871048" w:rsidRPr="008F7254">
        <w:rPr>
          <w:rFonts w:eastAsiaTheme="minorHAnsi"/>
        </w:rPr>
        <w:t xml:space="preserve"> (a common case when there are several implementing agencies),</w:t>
      </w:r>
      <w:r w:rsidR="00D46A2A">
        <w:rPr>
          <w:rFonts w:eastAsiaTheme="minorHAnsi"/>
        </w:rPr>
        <w:t xml:space="preserve"> </w:t>
      </w:r>
      <w:r w:rsidR="00BC1C3A" w:rsidRPr="008F7254">
        <w:rPr>
          <w:rFonts w:eastAsiaTheme="minorHAnsi"/>
        </w:rPr>
        <w:t xml:space="preserve">and in cases </w:t>
      </w:r>
      <w:r w:rsidR="00871048" w:rsidRPr="008F7254">
        <w:rPr>
          <w:rFonts w:eastAsiaTheme="minorHAnsi"/>
        </w:rPr>
        <w:t xml:space="preserve">with funding values </w:t>
      </w:r>
      <w:r w:rsidR="00BC1C3A" w:rsidRPr="008F7254">
        <w:rPr>
          <w:rFonts w:eastAsiaTheme="minorHAnsi"/>
        </w:rPr>
        <w:t>substantially above the submitted business plans</w:t>
      </w:r>
      <w:r w:rsidR="00C0550B" w:rsidRPr="008F7254">
        <w:rPr>
          <w:rFonts w:eastAsiaTheme="minorHAnsi"/>
        </w:rPr>
        <w:t xml:space="preserve">. </w:t>
      </w:r>
      <w:r w:rsidR="00485627" w:rsidRPr="008F7254">
        <w:rPr>
          <w:rFonts w:eastAsiaTheme="minorHAnsi"/>
        </w:rPr>
        <w:t xml:space="preserve">Each of these cases has been discussed at the </w:t>
      </w:r>
      <w:r w:rsidR="0014123C" w:rsidRPr="008F7254">
        <w:rPr>
          <w:rFonts w:eastAsiaTheme="minorHAnsi"/>
        </w:rPr>
        <w:t>Executive Committee</w:t>
      </w:r>
      <w:r w:rsidR="00485627" w:rsidRPr="008F7254">
        <w:rPr>
          <w:rFonts w:eastAsiaTheme="minorHAnsi"/>
        </w:rPr>
        <w:t xml:space="preserve"> </w:t>
      </w:r>
      <w:r w:rsidR="00BD4BA0" w:rsidRPr="008F7254">
        <w:rPr>
          <w:rFonts w:eastAsiaTheme="minorHAnsi"/>
        </w:rPr>
        <w:t xml:space="preserve">in light </w:t>
      </w:r>
      <w:r w:rsidR="00485627" w:rsidRPr="008F7254">
        <w:rPr>
          <w:rFonts w:eastAsiaTheme="minorHAnsi"/>
        </w:rPr>
        <w:t xml:space="preserve">of the specific circumstances of the country, resulting </w:t>
      </w:r>
      <w:r w:rsidR="000477D4">
        <w:rPr>
          <w:rFonts w:eastAsiaTheme="minorHAnsi"/>
        </w:rPr>
        <w:t>i</w:t>
      </w:r>
      <w:r w:rsidR="0014123C" w:rsidRPr="008F7254">
        <w:rPr>
          <w:rFonts w:eastAsiaTheme="minorHAnsi"/>
        </w:rPr>
        <w:t>n</w:t>
      </w:r>
      <w:r w:rsidR="00BD4BA0" w:rsidRPr="008F7254">
        <w:rPr>
          <w:rFonts w:eastAsiaTheme="minorHAnsi"/>
        </w:rPr>
        <w:t xml:space="preserve"> the approval of the strategy as submitted in many cases,</w:t>
      </w:r>
      <w:r w:rsidR="0014123C" w:rsidRPr="008F7254">
        <w:rPr>
          <w:rFonts w:eastAsiaTheme="minorHAnsi"/>
        </w:rPr>
        <w:t xml:space="preserve"> </w:t>
      </w:r>
      <w:r w:rsidR="00BD4BA0" w:rsidRPr="008F7254">
        <w:rPr>
          <w:rFonts w:eastAsiaTheme="minorHAnsi"/>
        </w:rPr>
        <w:t xml:space="preserve">and in other cases </w:t>
      </w:r>
      <w:r w:rsidR="0014123C" w:rsidRPr="008F7254">
        <w:rPr>
          <w:rFonts w:eastAsiaTheme="minorHAnsi"/>
        </w:rPr>
        <w:t>additional HCFC reduction commitment</w:t>
      </w:r>
      <w:r w:rsidR="004538DA" w:rsidRPr="008F7254">
        <w:rPr>
          <w:rFonts w:eastAsiaTheme="minorHAnsi"/>
        </w:rPr>
        <w:t>s</w:t>
      </w:r>
      <w:r w:rsidR="0014123C" w:rsidRPr="008F7254">
        <w:rPr>
          <w:rFonts w:eastAsiaTheme="minorHAnsi"/>
        </w:rPr>
        <w:t>, longer implementation periods and/or prioritizat</w:t>
      </w:r>
      <w:r w:rsidR="00871048" w:rsidRPr="008F7254">
        <w:rPr>
          <w:rFonts w:eastAsiaTheme="minorHAnsi"/>
        </w:rPr>
        <w:t>ion of some sectors over others</w:t>
      </w:r>
      <w:r w:rsidR="00485627" w:rsidRPr="008F7254">
        <w:rPr>
          <w:rFonts w:eastAsiaTheme="minorHAnsi"/>
        </w:rPr>
        <w:t>.</w:t>
      </w:r>
    </w:p>
    <w:p w:rsidR="00E441E0" w:rsidRPr="008F7254" w:rsidRDefault="00E441E0" w:rsidP="008F7254">
      <w:pPr>
        <w:pStyle w:val="ListParagraph"/>
        <w:keepNext/>
        <w:numPr>
          <w:ilvl w:val="0"/>
          <w:numId w:val="14"/>
        </w:numPr>
        <w:ind w:left="709" w:hanging="709"/>
        <w:rPr>
          <w:b/>
          <w:lang w:val="en-CA"/>
        </w:rPr>
      </w:pPr>
      <w:r w:rsidRPr="008F7254">
        <w:rPr>
          <w:b/>
          <w:lang w:val="en-CA"/>
        </w:rPr>
        <w:t>Cut-off date f</w:t>
      </w:r>
      <w:r w:rsidR="008A5A32">
        <w:rPr>
          <w:b/>
          <w:lang w:val="en-CA"/>
        </w:rPr>
        <w:t>or</w:t>
      </w:r>
      <w:r w:rsidRPr="008F7254">
        <w:rPr>
          <w:b/>
          <w:lang w:val="en-CA"/>
        </w:rPr>
        <w:t xml:space="preserve"> </w:t>
      </w:r>
      <w:r w:rsidR="006F79AC">
        <w:rPr>
          <w:b/>
          <w:lang w:val="en-CA"/>
        </w:rPr>
        <w:t>eligible</w:t>
      </w:r>
      <w:r w:rsidRPr="008F7254">
        <w:rPr>
          <w:b/>
          <w:lang w:val="en-CA"/>
        </w:rPr>
        <w:t xml:space="preserve"> capacity</w:t>
      </w:r>
    </w:p>
    <w:p w:rsidR="00C91130" w:rsidRPr="008F7254" w:rsidRDefault="00C91130" w:rsidP="008F7254">
      <w:pPr>
        <w:keepNext/>
        <w:rPr>
          <w:b/>
          <w:lang w:val="en-CA"/>
        </w:rPr>
      </w:pPr>
    </w:p>
    <w:p w:rsidR="00E441E0" w:rsidRDefault="000C7A1E" w:rsidP="00FA165E">
      <w:pPr>
        <w:pStyle w:val="Heading1"/>
        <w:numPr>
          <w:ilvl w:val="0"/>
          <w:numId w:val="0"/>
        </w:numPr>
        <w:rPr>
          <w:i/>
          <w:lang w:val="en-CA"/>
        </w:rPr>
      </w:pPr>
      <w:r w:rsidRPr="008F7254">
        <w:rPr>
          <w:u w:val="single"/>
          <w:lang w:val="en-CA"/>
        </w:rPr>
        <w:t>Paragraph 17, decision XXVIII/2</w:t>
      </w:r>
      <w:r w:rsidRPr="008F7254">
        <w:rPr>
          <w:lang w:val="en-CA"/>
        </w:rPr>
        <w:t xml:space="preserve">: </w:t>
      </w:r>
      <w:r w:rsidR="00B6576D" w:rsidRPr="008F7254">
        <w:rPr>
          <w:i/>
          <w:lang w:val="en-CA"/>
        </w:rPr>
        <w:t xml:space="preserve">“That the cut-off date for eligible capacity is 1 January 2020 for those </w:t>
      </w:r>
      <w:r w:rsidR="003D5F6F">
        <w:rPr>
          <w:i/>
          <w:lang w:val="en-CA"/>
        </w:rPr>
        <w:t xml:space="preserve">Parties </w:t>
      </w:r>
      <w:r w:rsidR="00B6576D" w:rsidRPr="008F7254">
        <w:rPr>
          <w:i/>
          <w:lang w:val="en-CA"/>
        </w:rPr>
        <w:t xml:space="preserve">with baseline years from 2020 to 2022 and 1 January 2024 for those </w:t>
      </w:r>
      <w:r w:rsidR="003D5F6F">
        <w:rPr>
          <w:i/>
          <w:lang w:val="en-CA"/>
        </w:rPr>
        <w:t xml:space="preserve">Parties </w:t>
      </w:r>
      <w:r w:rsidR="00B6576D" w:rsidRPr="008F7254">
        <w:rPr>
          <w:i/>
          <w:lang w:val="en-CA"/>
        </w:rPr>
        <w:t>with baseline years from 2024 to 2026”</w:t>
      </w:r>
      <w:r w:rsidRPr="008F7254">
        <w:rPr>
          <w:i/>
          <w:lang w:val="en-CA"/>
        </w:rPr>
        <w:t>.</w:t>
      </w:r>
    </w:p>
    <w:p w:rsidR="00EE1F96" w:rsidRDefault="00EE1F96" w:rsidP="00B803A4">
      <w:pPr>
        <w:pStyle w:val="Heading1"/>
        <w:rPr>
          <w:lang w:val="en-CA"/>
        </w:rPr>
      </w:pPr>
      <w:r>
        <w:t xml:space="preserve">Paragraph 17 of decision XXVIII/2 has been included in the </w:t>
      </w:r>
      <w:r w:rsidR="00DA52D1">
        <w:t xml:space="preserve">proposed </w:t>
      </w:r>
      <w:r w:rsidR="00B803A4" w:rsidRPr="00B803A4">
        <w:t xml:space="preserve">template for </w:t>
      </w:r>
      <w:r w:rsidR="00DA52D1">
        <w:t>a draft</w:t>
      </w:r>
      <w:r w:rsidR="00B803A4" w:rsidRPr="00B803A4">
        <w:t xml:space="preserve"> cost</w:t>
      </w:r>
      <w:r>
        <w:t xml:space="preserve"> guidelines contained in Annex I</w:t>
      </w:r>
      <w:r w:rsidR="004372D0">
        <w:t xml:space="preserve"> to the present document</w:t>
      </w:r>
      <w:r w:rsidRPr="008F7254">
        <w:rPr>
          <w:i/>
          <w:lang w:val="en-CA"/>
        </w:rPr>
        <w:t>.</w:t>
      </w:r>
    </w:p>
    <w:p w:rsidR="00E441E0" w:rsidRPr="008F7254" w:rsidRDefault="00D91D53" w:rsidP="008F7254">
      <w:pPr>
        <w:pStyle w:val="ListParagraph"/>
        <w:keepNext/>
        <w:numPr>
          <w:ilvl w:val="0"/>
          <w:numId w:val="14"/>
        </w:numPr>
        <w:ind w:left="709" w:hanging="709"/>
        <w:rPr>
          <w:b/>
          <w:lang w:val="en-CA"/>
        </w:rPr>
      </w:pPr>
      <w:r w:rsidRPr="008F7254">
        <w:rPr>
          <w:b/>
          <w:lang w:val="en-CA"/>
        </w:rPr>
        <w:t>Second and third conversions</w:t>
      </w:r>
    </w:p>
    <w:p w:rsidR="00C91130" w:rsidRPr="008F7254" w:rsidRDefault="00C91130" w:rsidP="008F7254">
      <w:pPr>
        <w:keepNext/>
        <w:rPr>
          <w:b/>
          <w:lang w:val="en-CA"/>
        </w:rPr>
      </w:pPr>
    </w:p>
    <w:p w:rsidR="004F099D" w:rsidRPr="008F7254" w:rsidRDefault="0011093E" w:rsidP="00FA165E">
      <w:pPr>
        <w:pStyle w:val="Heading1"/>
        <w:numPr>
          <w:ilvl w:val="0"/>
          <w:numId w:val="0"/>
        </w:numPr>
        <w:rPr>
          <w:rFonts w:eastAsiaTheme="minorHAnsi"/>
          <w:i/>
          <w:lang w:val="en-US"/>
        </w:rPr>
      </w:pPr>
      <w:r w:rsidRPr="008F7254">
        <w:rPr>
          <w:u w:val="single"/>
        </w:rPr>
        <w:t>Paragraph 18, decision XXVIII/2</w:t>
      </w:r>
      <w:r w:rsidRPr="008F7254">
        <w:t xml:space="preserve">: </w:t>
      </w:r>
      <w:r w:rsidR="00756381" w:rsidRPr="008F7254">
        <w:rPr>
          <w:rFonts w:eastAsiaTheme="minorHAnsi"/>
          <w:i/>
        </w:rPr>
        <w:t>“T</w:t>
      </w:r>
      <w:r w:rsidR="00B15CAA" w:rsidRPr="008F7254">
        <w:rPr>
          <w:rFonts w:eastAsiaTheme="minorHAnsi"/>
          <w:i/>
        </w:rPr>
        <w:t xml:space="preserve">o </w:t>
      </w:r>
      <w:r w:rsidR="004F099D" w:rsidRPr="008F7254">
        <w:rPr>
          <w:rFonts w:eastAsiaTheme="minorHAnsi"/>
          <w:i/>
        </w:rPr>
        <w:t>request the Executive Committee to incorporate the following principles relating to second and third conversions into funding guidelines</w:t>
      </w:r>
      <w:r w:rsidR="004F099D" w:rsidRPr="008F7254">
        <w:rPr>
          <w:i/>
          <w:lang w:val="en-CA"/>
        </w:rPr>
        <w:t>:</w:t>
      </w:r>
    </w:p>
    <w:p w:rsidR="004F099D" w:rsidRPr="003B5F68" w:rsidRDefault="004F099D" w:rsidP="004F2C9D">
      <w:pPr>
        <w:pStyle w:val="Heading2"/>
        <w:ind w:left="1418" w:hanging="709"/>
        <w:rPr>
          <w:rFonts w:eastAsiaTheme="minorHAnsi"/>
          <w:i/>
          <w:lang w:val="en-US"/>
        </w:rPr>
      </w:pPr>
      <w:r w:rsidRPr="003B5F68">
        <w:rPr>
          <w:rFonts w:eastAsiaTheme="minorHAnsi"/>
          <w:i/>
        </w:rPr>
        <w:t xml:space="preserve">First conversions, in the context of a phase-down of HFCs, are defined as conversions to low-GWP or zero-GWP alternatives of enterprises that have never received any direct or indirect support, in part or in full, from the Multilateral Fund, including enterprises that converted to HFCs with their own resources; </w:t>
      </w:r>
    </w:p>
    <w:p w:rsidR="004F099D" w:rsidRPr="003B5F68" w:rsidRDefault="004F099D" w:rsidP="004F2C9D">
      <w:pPr>
        <w:pStyle w:val="Heading2"/>
        <w:ind w:left="1418" w:hanging="709"/>
        <w:rPr>
          <w:rFonts w:eastAsiaTheme="minorHAnsi"/>
          <w:i/>
          <w:lang w:val="en-US"/>
        </w:rPr>
      </w:pPr>
      <w:r w:rsidRPr="003B5F68">
        <w:rPr>
          <w:rFonts w:eastAsiaTheme="minorHAnsi"/>
          <w:i/>
        </w:rPr>
        <w:t>Enterprises that have already converted to HFCs in phasing out CFCs and/or HCFCs will be eligible to receive funding from the Multilateral Fund to meet agreed incremental costs in the same manner as enterprises eligible for first conversions;</w:t>
      </w:r>
    </w:p>
    <w:p w:rsidR="004F099D" w:rsidRPr="003B5F68" w:rsidRDefault="004F099D" w:rsidP="004F2C9D">
      <w:pPr>
        <w:pStyle w:val="Heading2"/>
        <w:ind w:left="1418" w:hanging="709"/>
        <w:rPr>
          <w:rFonts w:eastAsiaTheme="minorHAnsi"/>
          <w:i/>
          <w:lang w:val="en-US"/>
        </w:rPr>
      </w:pPr>
      <w:r w:rsidRPr="003B5F68">
        <w:rPr>
          <w:rFonts w:eastAsiaTheme="minorHAnsi"/>
          <w:i/>
        </w:rPr>
        <w:t xml:space="preserve">Enterprises that convert from HCFCs to high-GWP HFCs, after the date of adoption of the Amendment, under HCFC phase-out management plans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rsidR="004F099D" w:rsidRPr="003B5F68" w:rsidRDefault="004F099D" w:rsidP="004F2C9D">
      <w:pPr>
        <w:pStyle w:val="Heading2"/>
        <w:ind w:left="1418" w:hanging="709"/>
        <w:rPr>
          <w:rFonts w:eastAsiaTheme="minorHAnsi"/>
          <w:i/>
          <w:lang w:val="en-US"/>
        </w:rPr>
      </w:pPr>
      <w:r w:rsidRPr="003B5F68">
        <w:rPr>
          <w:rFonts w:eastAsiaTheme="minorHAnsi"/>
          <w:i/>
        </w:rPr>
        <w:t xml:space="preserve">Enterprises that convert from HCFCs to high-GWP HFCs with their own resources </w:t>
      </w:r>
      <w:r w:rsidRPr="003B5F68">
        <w:rPr>
          <w:rFonts w:eastAsiaTheme="minorHAnsi"/>
          <w:i/>
        </w:rPr>
        <w:lastRenderedPageBreak/>
        <w:t>before 2025 under the Amendment will be eligible to receive funding from the Multilateral Fund to meet agreed incremental costs in the same manner as enterprises eligible for first conversions; and</w:t>
      </w:r>
    </w:p>
    <w:p w:rsidR="00E441E0" w:rsidRPr="003B5F68" w:rsidRDefault="004F099D" w:rsidP="004F2C9D">
      <w:pPr>
        <w:pStyle w:val="Heading2"/>
        <w:ind w:left="1418" w:hanging="709"/>
        <w:rPr>
          <w:i/>
        </w:rPr>
      </w:pPr>
      <w:r w:rsidRPr="003B5F68">
        <w:rPr>
          <w:rFonts w:eastAsiaTheme="minorHAnsi"/>
          <w:i/>
        </w:rPr>
        <w:t>Enterprises that convert from HFCs to lower-GWP HFCs with Multilateral Fund support when no other alternatives are available will be eligible to receive funding from the Multilateral Fund for a subsequent conversion to low-GWP or zero-GWP alternatives if necessary to meet the final HFC phase-down ste</w:t>
      </w:r>
      <w:r w:rsidR="00B15CAA" w:rsidRPr="003B5F68">
        <w:rPr>
          <w:rFonts w:eastAsiaTheme="minorHAnsi"/>
          <w:i/>
        </w:rPr>
        <w:t>p”</w:t>
      </w:r>
      <w:r w:rsidR="00210B0D" w:rsidRPr="003B5F68">
        <w:rPr>
          <w:i/>
        </w:rPr>
        <w:t>.</w:t>
      </w:r>
    </w:p>
    <w:p w:rsidR="00EE1F96" w:rsidRPr="008F7254" w:rsidRDefault="00EE1F96" w:rsidP="00B803A4">
      <w:pPr>
        <w:pStyle w:val="Heading1"/>
        <w:rPr>
          <w:lang w:val="en-CA"/>
        </w:rPr>
      </w:pPr>
      <w:r>
        <w:t xml:space="preserve">Paragraph 18 of decision XXVIII/2 has been included in </w:t>
      </w:r>
      <w:r w:rsidR="00B803A4" w:rsidRPr="00B803A4">
        <w:t xml:space="preserve">the </w:t>
      </w:r>
      <w:r w:rsidR="003B3F4B">
        <w:t xml:space="preserve">proposed </w:t>
      </w:r>
      <w:r w:rsidR="003B3F4B" w:rsidRPr="00B803A4">
        <w:t xml:space="preserve">template for </w:t>
      </w:r>
      <w:r w:rsidR="003B3F4B">
        <w:t>a draft</w:t>
      </w:r>
      <w:r w:rsidR="00B803A4" w:rsidRPr="00B803A4">
        <w:t xml:space="preserve"> cost </w:t>
      </w:r>
      <w:r>
        <w:t>guidelines contained in Annex I</w:t>
      </w:r>
      <w:r w:rsidR="004372D0">
        <w:t xml:space="preserve"> to the present document</w:t>
      </w:r>
      <w:r w:rsidRPr="008F7254">
        <w:rPr>
          <w:i/>
          <w:lang w:val="en-CA"/>
        </w:rPr>
        <w:t>.</w:t>
      </w:r>
    </w:p>
    <w:p w:rsidR="006219EE" w:rsidRPr="008F7254" w:rsidRDefault="006219EE" w:rsidP="008F7254">
      <w:pPr>
        <w:pStyle w:val="ListParagraph"/>
        <w:keepNext/>
        <w:numPr>
          <w:ilvl w:val="0"/>
          <w:numId w:val="14"/>
        </w:numPr>
        <w:ind w:left="709" w:hanging="709"/>
        <w:rPr>
          <w:b/>
          <w:lang w:val="en-CA"/>
        </w:rPr>
      </w:pPr>
      <w:r w:rsidRPr="008F7254">
        <w:rPr>
          <w:b/>
          <w:lang w:val="en-CA"/>
        </w:rPr>
        <w:t>Sustained aggregate reductions in HFC consumption and production</w:t>
      </w:r>
    </w:p>
    <w:p w:rsidR="00C91130" w:rsidRPr="008F7254" w:rsidRDefault="00C91130" w:rsidP="008F7254">
      <w:pPr>
        <w:keepNext/>
        <w:rPr>
          <w:b/>
          <w:lang w:val="en-CA"/>
        </w:rPr>
      </w:pPr>
    </w:p>
    <w:p w:rsidR="006219EE" w:rsidRPr="008F7254" w:rsidRDefault="00756381" w:rsidP="00FA165E">
      <w:pPr>
        <w:pStyle w:val="Heading1"/>
        <w:numPr>
          <w:ilvl w:val="0"/>
          <w:numId w:val="0"/>
        </w:numPr>
        <w:rPr>
          <w:lang w:val="en-CA"/>
        </w:rPr>
      </w:pPr>
      <w:r w:rsidRPr="008F7254">
        <w:rPr>
          <w:u w:val="single"/>
        </w:rPr>
        <w:t>Paragraph 19, decision XXVIII/2</w:t>
      </w:r>
      <w:r w:rsidRPr="008F7254">
        <w:t xml:space="preserve">: </w:t>
      </w:r>
      <w:r w:rsidR="00583249" w:rsidRPr="008F7254">
        <w:rPr>
          <w:i/>
          <w:lang w:val="en-CA"/>
        </w:rPr>
        <w:t>“</w:t>
      </w:r>
      <w:r w:rsidRPr="008F7254">
        <w:rPr>
          <w:i/>
          <w:lang w:val="en-CA"/>
        </w:rPr>
        <w:t>T</w:t>
      </w:r>
      <w:r w:rsidR="00583249" w:rsidRPr="008F7254">
        <w:rPr>
          <w:i/>
          <w:lang w:val="en-CA"/>
        </w:rPr>
        <w:t xml:space="preserve">o </w:t>
      </w:r>
      <w:r w:rsidR="004F04EA" w:rsidRPr="008F7254">
        <w:rPr>
          <w:i/>
          <w:lang w:val="en-CA"/>
        </w:rPr>
        <w:t xml:space="preserve">request the Executive Committee </w:t>
      </w:r>
      <w:r w:rsidR="00285D1C" w:rsidRPr="008F7254">
        <w:rPr>
          <w:i/>
          <w:lang w:val="en-CA"/>
        </w:rPr>
        <w:t>to incorporate the following principle related to sustained aggregate reductions into Multilateral Fund policies: remaining eligible consumption for funding in tonnage will be determined on the basis of the starting point of national aggregate consumption less the amount funded by previously approved projects in future multi</w:t>
      </w:r>
      <w:r w:rsidR="00615963" w:rsidRPr="008F7254">
        <w:rPr>
          <w:i/>
          <w:lang w:val="en-CA"/>
        </w:rPr>
        <w:noBreakHyphen/>
      </w:r>
      <w:r w:rsidR="00285D1C" w:rsidRPr="008F7254">
        <w:rPr>
          <w:i/>
          <w:lang w:val="en-CA"/>
        </w:rPr>
        <w:t xml:space="preserve">year agreement templates for </w:t>
      </w:r>
      <w:r w:rsidR="00CB72A1" w:rsidRPr="008F7254">
        <w:rPr>
          <w:i/>
          <w:lang w:val="en-CA"/>
        </w:rPr>
        <w:t>HFC</w:t>
      </w:r>
      <w:r w:rsidR="00285D1C" w:rsidRPr="008F7254">
        <w:rPr>
          <w:i/>
          <w:lang w:val="en-CA"/>
        </w:rPr>
        <w:t xml:space="preserve"> phase-down plans, consistent with Executive Committee decision 35/57”</w:t>
      </w:r>
      <w:r w:rsidR="006219EE" w:rsidRPr="008F7254">
        <w:rPr>
          <w:lang w:val="en-CA"/>
        </w:rPr>
        <w:t>.</w:t>
      </w:r>
    </w:p>
    <w:p w:rsidR="002F49A8" w:rsidRPr="00C9503D" w:rsidRDefault="00D83378" w:rsidP="00AF3303">
      <w:pPr>
        <w:pStyle w:val="Heading2"/>
        <w:numPr>
          <w:ilvl w:val="0"/>
          <w:numId w:val="0"/>
        </w:numPr>
        <w:rPr>
          <w:u w:val="single"/>
        </w:rPr>
      </w:pPr>
      <w:r w:rsidRPr="00C9503D">
        <w:rPr>
          <w:u w:val="single"/>
        </w:rPr>
        <w:t>Information from Executive Committee members in accordance with decision 77/59(c)</w:t>
      </w:r>
    </w:p>
    <w:p w:rsidR="00513743" w:rsidRPr="008F7254" w:rsidRDefault="00A11FA6" w:rsidP="008F7254">
      <w:pPr>
        <w:pStyle w:val="Heading1"/>
        <w:keepNext/>
        <w:rPr>
          <w:lang w:val="en-CA"/>
        </w:rPr>
      </w:pPr>
      <w:r>
        <w:rPr>
          <w:lang w:val="en-CA"/>
        </w:rPr>
        <w:t>The Government of Germany</w:t>
      </w:r>
      <w:r w:rsidR="00583249" w:rsidRPr="008F7254">
        <w:rPr>
          <w:lang w:val="en-CA"/>
        </w:rPr>
        <w:t xml:space="preserve"> </w:t>
      </w:r>
      <w:r w:rsidR="00513743" w:rsidRPr="008F7254">
        <w:rPr>
          <w:lang w:val="en-CA"/>
        </w:rPr>
        <w:t xml:space="preserve">expressed the following points: </w:t>
      </w:r>
    </w:p>
    <w:p w:rsidR="0001406F" w:rsidRPr="008F7254" w:rsidRDefault="00513743" w:rsidP="004F2C9D">
      <w:pPr>
        <w:pStyle w:val="Heading2"/>
        <w:ind w:left="1418" w:hanging="709"/>
      </w:pPr>
      <w:r w:rsidRPr="008F7254">
        <w:t>T</w:t>
      </w:r>
      <w:r w:rsidR="0001406F" w:rsidRPr="008F7254">
        <w:t xml:space="preserve">he starting point for aggregate reduction in HFC consumption </w:t>
      </w:r>
      <w:r w:rsidR="004B21B9" w:rsidRPr="008F7254">
        <w:t>sh</w:t>
      </w:r>
      <w:r w:rsidR="0001406F" w:rsidRPr="008F7254">
        <w:t>ould be established at the time of submission of either the</w:t>
      </w:r>
      <w:r w:rsidRPr="008F7254">
        <w:t xml:space="preserve"> first</w:t>
      </w:r>
      <w:r w:rsidR="0001406F" w:rsidRPr="008F7254">
        <w:t xml:space="preserve"> HFC investment project or the HFC</w:t>
      </w:r>
      <w:r w:rsidR="00615963" w:rsidRPr="008F7254">
        <w:noBreakHyphen/>
        <w:t>m</w:t>
      </w:r>
      <w:r w:rsidR="0001406F" w:rsidRPr="008F7254">
        <w:t>anagement plan, whichever was submitted first to the Executive Committee. In cases where calculated HFC baselines, based on reported Article 7 data, were different from the calculated starting point before the baseline, the sta</w:t>
      </w:r>
      <w:r w:rsidR="00B80195" w:rsidRPr="008F7254">
        <w:t>rting points could be adjusted;</w:t>
      </w:r>
    </w:p>
    <w:p w:rsidR="0001406F" w:rsidRPr="008F7254" w:rsidRDefault="001E0992" w:rsidP="004F2C9D">
      <w:pPr>
        <w:pStyle w:val="Heading2"/>
        <w:ind w:left="1418" w:hanging="709"/>
      </w:pPr>
      <w:r>
        <w:t>F</w:t>
      </w:r>
      <w:r w:rsidR="0001406F" w:rsidRPr="008F7254">
        <w:t>ixing a starting point</w:t>
      </w:r>
      <w:r w:rsidR="008A5A32">
        <w:t xml:space="preserve"> for </w:t>
      </w:r>
      <w:r w:rsidR="0001406F" w:rsidRPr="008F7254">
        <w:t>eligible funding, clearly divided in</w:t>
      </w:r>
      <w:r w:rsidR="008A5A32">
        <w:t xml:space="preserve">to </w:t>
      </w:r>
      <w:r w:rsidR="0001406F" w:rsidRPr="008F7254">
        <w:t xml:space="preserve">subsectors and respective eligible HFC consumption in kg substance will provide predictable clarity about financial needs for the </w:t>
      </w:r>
      <w:r w:rsidR="003D5F6F">
        <w:t xml:space="preserve">Parties </w:t>
      </w:r>
      <w:r w:rsidR="0001406F" w:rsidRPr="008F7254">
        <w:t>in each of the subsectors</w:t>
      </w:r>
      <w:r w:rsidR="004B21B9" w:rsidRPr="008F7254">
        <w:t>;</w:t>
      </w:r>
    </w:p>
    <w:p w:rsidR="0001406F" w:rsidRPr="008F7254" w:rsidRDefault="004B21B9" w:rsidP="004F2C9D">
      <w:pPr>
        <w:pStyle w:val="Heading2"/>
        <w:ind w:left="1418" w:hanging="709"/>
      </w:pPr>
      <w:r w:rsidRPr="008F7254">
        <w:t xml:space="preserve">In accordance with </w:t>
      </w:r>
      <w:r w:rsidR="0001406F" w:rsidRPr="008F7254">
        <w:t>the Multilateral Fund’s strategy o</w:t>
      </w:r>
      <w:r w:rsidR="001E3680">
        <w:t>f</w:t>
      </w:r>
      <w:r w:rsidR="0001406F" w:rsidRPr="008F7254">
        <w:t xml:space="preserve"> a compliance</w:t>
      </w:r>
      <w:r w:rsidR="0001406F" w:rsidRPr="001E3680">
        <w:rPr>
          <w:rFonts w:ascii="Cambria Math" w:hAnsi="Cambria Math" w:cs="Cambria Math"/>
        </w:rPr>
        <w:t>‐</w:t>
      </w:r>
      <w:r w:rsidR="0001406F" w:rsidRPr="008F7254">
        <w:t>driven business planning approach</w:t>
      </w:r>
      <w:r w:rsidRPr="008F7254">
        <w:t xml:space="preserve">, </w:t>
      </w:r>
      <w:r w:rsidR="0001406F" w:rsidRPr="008F7254">
        <w:t>the required reduction level for each country is calculated prior to allocating the resources that are needed to achieve</w:t>
      </w:r>
      <w:r w:rsidR="001E3680">
        <w:t xml:space="preserve"> th</w:t>
      </w:r>
      <w:r w:rsidR="00404F88">
        <w:t>at</w:t>
      </w:r>
      <w:r w:rsidR="001E3680">
        <w:t xml:space="preserve"> level of reduction</w:t>
      </w:r>
      <w:r w:rsidR="0001406F" w:rsidRPr="008F7254">
        <w:t xml:space="preserve">. This calculation is made in </w:t>
      </w:r>
      <w:r w:rsidR="001E3680">
        <w:t xml:space="preserve">the </w:t>
      </w:r>
      <w:r w:rsidR="0001406F" w:rsidRPr="008F7254">
        <w:t>case of HFCs on the basis of an agreed baseline of eligible consumption figures in terms of environmental impact (tCO</w:t>
      </w:r>
      <w:r w:rsidR="0001406F" w:rsidRPr="001E3680">
        <w:rPr>
          <w:vertAlign w:val="subscript"/>
        </w:rPr>
        <w:t>2</w:t>
      </w:r>
      <w:r w:rsidR="0001406F" w:rsidRPr="008F7254">
        <w:t xml:space="preserve">eq). </w:t>
      </w:r>
      <w:r w:rsidR="001E3680">
        <w:t>The e</w:t>
      </w:r>
      <w:r w:rsidR="0001406F" w:rsidRPr="008F7254">
        <w:t>nergy consumption of HFC technologies sh</w:t>
      </w:r>
      <w:r w:rsidR="00404F88">
        <w:t>ould</w:t>
      </w:r>
      <w:r w:rsidR="0001406F" w:rsidRPr="008F7254">
        <w:t xml:space="preserve"> </w:t>
      </w:r>
      <w:r w:rsidR="001E3680">
        <w:t xml:space="preserve">also </w:t>
      </w:r>
      <w:r w:rsidR="0001406F" w:rsidRPr="008F7254">
        <w:t>be measured in tCO</w:t>
      </w:r>
      <w:r w:rsidR="0001406F" w:rsidRPr="001E3680">
        <w:rPr>
          <w:vertAlign w:val="subscript"/>
        </w:rPr>
        <w:t>2</w:t>
      </w:r>
      <w:r w:rsidR="0001406F" w:rsidRPr="008F7254">
        <w:t>. When energy consumption of alternatives is funded, a subsector baseline o</w:t>
      </w:r>
      <w:r w:rsidR="001E3680">
        <w:t xml:space="preserve">f </w:t>
      </w:r>
      <w:r w:rsidR="0001406F" w:rsidRPr="008F7254">
        <w:t xml:space="preserve">energy consumption is necessary in order to ensure that the funding provided will </w:t>
      </w:r>
      <w:r w:rsidR="00F00CB4" w:rsidRPr="008F7254">
        <w:t xml:space="preserve">result in sustained reductions; </w:t>
      </w:r>
    </w:p>
    <w:p w:rsidR="0001406F" w:rsidRPr="008F7254" w:rsidRDefault="004B21B9" w:rsidP="004F2C9D">
      <w:pPr>
        <w:pStyle w:val="Heading2"/>
        <w:keepNext/>
        <w:widowControl/>
        <w:ind w:left="1418" w:hanging="709"/>
      </w:pPr>
      <w:r w:rsidRPr="008F7254">
        <w:t xml:space="preserve">A </w:t>
      </w:r>
      <w:r w:rsidR="0001406F" w:rsidRPr="008F7254">
        <w:t>paradigm change</w:t>
      </w:r>
      <w:r w:rsidRPr="008F7254">
        <w:t xml:space="preserve"> is needed</w:t>
      </w:r>
      <w:r w:rsidR="0001406F" w:rsidRPr="008F7254">
        <w:t xml:space="preserve"> for assessing and reporting climate impact in comparison to the approach taken so far under </w:t>
      </w:r>
      <w:proofErr w:type="gramStart"/>
      <w:r w:rsidR="0001406F" w:rsidRPr="008F7254">
        <w:t>ODS</w:t>
      </w:r>
      <w:proofErr w:type="gramEnd"/>
      <w:r w:rsidR="0001406F" w:rsidRPr="008F7254">
        <w:t xml:space="preserve"> controls, when the impact of GHG reduction was a secondary benefit. </w:t>
      </w:r>
      <w:r w:rsidRPr="008F7254">
        <w:t>T</w:t>
      </w:r>
      <w:r w:rsidR="0001406F" w:rsidRPr="008F7254">
        <w:t xml:space="preserve">ransparency and reliability of reporting </w:t>
      </w:r>
      <w:r w:rsidRPr="008F7254">
        <w:t xml:space="preserve">climate impact should be improved and a </w:t>
      </w:r>
      <w:r w:rsidR="0001406F" w:rsidRPr="008F7254">
        <w:t>clear distin</w:t>
      </w:r>
      <w:r w:rsidRPr="008F7254">
        <w:t xml:space="preserve">ction should be </w:t>
      </w:r>
      <w:r w:rsidR="001E3680">
        <w:t>made</w:t>
      </w:r>
      <w:r w:rsidR="0001406F" w:rsidRPr="008F7254">
        <w:t xml:space="preserve"> between verified (hard) emission reductions (e.g. HFC) and not verifiable (soft) reductions that depend on unpredictable conditions (</w:t>
      </w:r>
      <w:r w:rsidR="001E3680">
        <w:t>such as</w:t>
      </w:r>
      <w:r w:rsidR="0001406F" w:rsidRPr="008F7254">
        <w:t xml:space="preserve"> energy use, unless an agreed conservatively proven methodology is applied). The evaluation of the environmental impact should include in </w:t>
      </w:r>
      <w:r w:rsidR="001E3680">
        <w:t xml:space="preserve">the </w:t>
      </w:r>
      <w:r w:rsidR="0001406F" w:rsidRPr="008F7254">
        <w:t>case of HFCs</w:t>
      </w:r>
      <w:r w:rsidR="00B80195" w:rsidRPr="008F7254">
        <w:t xml:space="preserve"> l</w:t>
      </w:r>
      <w:r w:rsidR="0001406F" w:rsidRPr="008F7254">
        <w:t>ifetime emission</w:t>
      </w:r>
      <w:r w:rsidR="001E3680">
        <w:t>s</w:t>
      </w:r>
      <w:r w:rsidR="0001406F" w:rsidRPr="008F7254">
        <w:t xml:space="preserve"> of </w:t>
      </w:r>
      <w:r w:rsidR="001E3680">
        <w:t xml:space="preserve">the </w:t>
      </w:r>
      <w:r w:rsidR="0001406F" w:rsidRPr="008F7254">
        <w:t>conversion of annual productions</w:t>
      </w:r>
      <w:r w:rsidR="0076135B" w:rsidRPr="008F7254">
        <w:t>;</w:t>
      </w:r>
      <w:r w:rsidR="00B80195" w:rsidRPr="008F7254">
        <w:t xml:space="preserve"> t</w:t>
      </w:r>
      <w:r w:rsidR="0001406F" w:rsidRPr="008F7254">
        <w:t>he aggregated impact (tCO</w:t>
      </w:r>
      <w:r w:rsidR="0001406F" w:rsidRPr="008F7254">
        <w:rPr>
          <w:vertAlign w:val="subscript"/>
        </w:rPr>
        <w:t>2</w:t>
      </w:r>
      <w:r w:rsidR="0001406F" w:rsidRPr="008F7254">
        <w:t>) until 2050</w:t>
      </w:r>
      <w:r w:rsidR="0076135B" w:rsidRPr="008F7254">
        <w:t>;</w:t>
      </w:r>
      <w:r w:rsidR="00B80195" w:rsidRPr="008F7254">
        <w:t xml:space="preserve"> and t</w:t>
      </w:r>
      <w:r w:rsidR="0001406F" w:rsidRPr="008F7254">
        <w:t>he separated indication of the impact (tCO</w:t>
      </w:r>
      <w:r w:rsidR="0001406F" w:rsidRPr="008F7254">
        <w:rPr>
          <w:vertAlign w:val="subscript"/>
        </w:rPr>
        <w:t>2</w:t>
      </w:r>
      <w:r w:rsidR="0001406F" w:rsidRPr="008F7254">
        <w:t>) of hard and soft reductions</w:t>
      </w:r>
      <w:r w:rsidR="00B80195" w:rsidRPr="008F7254">
        <w:t xml:space="preserve">. </w:t>
      </w:r>
      <w:r w:rsidR="00B80195" w:rsidRPr="008F7254">
        <w:lastRenderedPageBreak/>
        <w:t>E</w:t>
      </w:r>
      <w:r w:rsidR="0001406F" w:rsidRPr="008F7254">
        <w:t xml:space="preserve">ach data set should include underlying assumption and a description of </w:t>
      </w:r>
      <w:r w:rsidR="001E3680">
        <w:t xml:space="preserve">the </w:t>
      </w:r>
      <w:r w:rsidR="0001406F" w:rsidRPr="008F7254">
        <w:t>means of verification</w:t>
      </w:r>
      <w:r w:rsidR="0076135B" w:rsidRPr="008F7254">
        <w:t>;</w:t>
      </w:r>
    </w:p>
    <w:p w:rsidR="0001406F" w:rsidRPr="008F7254" w:rsidRDefault="0001406F" w:rsidP="004F2C9D">
      <w:pPr>
        <w:pStyle w:val="Heading2"/>
        <w:ind w:left="1418" w:hanging="709"/>
      </w:pPr>
      <w:r w:rsidRPr="008F7254">
        <w:t>Any funding should be used in light of the principle of sustained aggregate reductions</w:t>
      </w:r>
      <w:r w:rsidR="00F00CB4" w:rsidRPr="008F7254">
        <w:t xml:space="preserve">; however, </w:t>
      </w:r>
      <w:r w:rsidR="00052BD8">
        <w:t>t</w:t>
      </w:r>
      <w:r w:rsidR="00A11FA6">
        <w:t>he Government of Germany</w:t>
      </w:r>
      <w:r w:rsidR="00F00CB4" w:rsidRPr="008F7254">
        <w:t xml:space="preserve"> </w:t>
      </w:r>
      <w:r w:rsidRPr="008F7254">
        <w:t>would</w:t>
      </w:r>
      <w:r w:rsidR="00F00CB4" w:rsidRPr="008F7254">
        <w:t xml:space="preserve"> also</w:t>
      </w:r>
      <w:r w:rsidRPr="008F7254">
        <w:t xml:space="preserve"> like to know:</w:t>
      </w:r>
    </w:p>
    <w:p w:rsidR="0001406F" w:rsidRPr="008F7254" w:rsidRDefault="007A62FD" w:rsidP="008F7254">
      <w:pPr>
        <w:pStyle w:val="Heading3"/>
        <w:ind w:left="1985" w:hanging="567"/>
      </w:pPr>
      <w:r w:rsidRPr="008F7254">
        <w:t>O</w:t>
      </w:r>
      <w:r w:rsidR="0001406F" w:rsidRPr="008F7254">
        <w:t xml:space="preserve">n which principles/decisions could </w:t>
      </w:r>
      <w:r w:rsidR="001E3680">
        <w:t xml:space="preserve">the </w:t>
      </w:r>
      <w:r w:rsidR="0001406F" w:rsidRPr="008F7254">
        <w:t>incremental costs of energy efficiency</w:t>
      </w:r>
      <w:r w:rsidR="0076135B" w:rsidRPr="008F7254">
        <w:t xml:space="preserve"> be justified</w:t>
      </w:r>
      <w:r w:rsidR="0001406F" w:rsidRPr="008F7254">
        <w:t>, and</w:t>
      </w:r>
      <w:r w:rsidR="0076135B" w:rsidRPr="008F7254">
        <w:t xml:space="preserve"> i</w:t>
      </w:r>
      <w:r w:rsidR="0001406F" w:rsidRPr="008F7254">
        <w:t xml:space="preserve">n case </w:t>
      </w:r>
      <w:r w:rsidR="0076135B" w:rsidRPr="008F7254">
        <w:t>it is done</w:t>
      </w:r>
      <w:r w:rsidR="0001406F" w:rsidRPr="008F7254">
        <w:t>,</w:t>
      </w:r>
      <w:r w:rsidR="0076135B" w:rsidRPr="008F7254">
        <w:t xml:space="preserve"> clarify whether energy efficiency</w:t>
      </w:r>
      <w:r w:rsidR="0001406F" w:rsidRPr="008F7254">
        <w:t xml:space="preserve"> will </w:t>
      </w:r>
      <w:r w:rsidR="001E3680">
        <w:t xml:space="preserve">also </w:t>
      </w:r>
      <w:r w:rsidR="0001406F" w:rsidRPr="008F7254">
        <w:t>fall under the agreed subsector cost thresholds</w:t>
      </w:r>
      <w:r w:rsidR="0076135B" w:rsidRPr="008F7254">
        <w:t>;</w:t>
      </w:r>
    </w:p>
    <w:p w:rsidR="0001406F" w:rsidRPr="001E0992" w:rsidRDefault="007A62FD" w:rsidP="008F7254">
      <w:pPr>
        <w:pStyle w:val="Heading3"/>
        <w:ind w:left="1985" w:hanging="567"/>
      </w:pPr>
      <w:r w:rsidRPr="008F7254">
        <w:t>H</w:t>
      </w:r>
      <w:r w:rsidR="0001406F" w:rsidRPr="008F7254">
        <w:t xml:space="preserve">ow to maintain the principle of sustained </w:t>
      </w:r>
      <w:r w:rsidR="0001406F" w:rsidRPr="001E0992">
        <w:t xml:space="preserve">aggregate </w:t>
      </w:r>
      <w:r w:rsidR="00C87DB7" w:rsidRPr="001E0992">
        <w:t>GHG reductions</w:t>
      </w:r>
      <w:r w:rsidR="0001406F" w:rsidRPr="001E0992">
        <w:t xml:space="preserve"> of energy use in a </w:t>
      </w:r>
      <w:r w:rsidR="0076135B" w:rsidRPr="001E0992">
        <w:t>refrigeration and air</w:t>
      </w:r>
      <w:r w:rsidR="00615963" w:rsidRPr="001E0992">
        <w:t>-</w:t>
      </w:r>
      <w:r w:rsidR="0076135B" w:rsidRPr="001E0992">
        <w:t xml:space="preserve">conditioning </w:t>
      </w:r>
      <w:r w:rsidR="0001406F" w:rsidRPr="001E0992">
        <w:t xml:space="preserve">subsector and avoid diluting/offsetting GHG reductions and </w:t>
      </w:r>
      <w:r w:rsidR="001E3680" w:rsidRPr="001E0992">
        <w:t xml:space="preserve">the </w:t>
      </w:r>
      <w:r w:rsidR="0001406F" w:rsidRPr="001E0992">
        <w:t>cost</w:t>
      </w:r>
      <w:r w:rsidR="001E3680" w:rsidRPr="001E0992">
        <w:t>-</w:t>
      </w:r>
      <w:r w:rsidR="0001406F" w:rsidRPr="001E0992">
        <w:t>effectiveness of the HFC phase down</w:t>
      </w:r>
      <w:r w:rsidR="0076135B" w:rsidRPr="001E0992">
        <w:t>;</w:t>
      </w:r>
    </w:p>
    <w:p w:rsidR="0001406F" w:rsidRPr="001E0992" w:rsidRDefault="007A62FD" w:rsidP="008F7254">
      <w:pPr>
        <w:pStyle w:val="Heading3"/>
        <w:ind w:left="1985" w:hanging="567"/>
      </w:pPr>
      <w:r w:rsidRPr="001E0992">
        <w:t>H</w:t>
      </w:r>
      <w:r w:rsidR="0001406F" w:rsidRPr="001E0992">
        <w:t>ow would a possible starting point be assessed in such case (bottom up?)</w:t>
      </w:r>
      <w:r w:rsidR="0076135B" w:rsidRPr="001E0992">
        <w:t>;</w:t>
      </w:r>
      <w:r w:rsidR="0001406F" w:rsidRPr="001E0992">
        <w:t xml:space="preserve"> </w:t>
      </w:r>
      <w:r w:rsidR="00094AC7" w:rsidRPr="001E0992">
        <w:t>and</w:t>
      </w:r>
    </w:p>
    <w:p w:rsidR="002F49A8" w:rsidRPr="001E0992" w:rsidRDefault="00404F88" w:rsidP="008F7254">
      <w:pPr>
        <w:pStyle w:val="Heading3"/>
        <w:ind w:left="1985" w:hanging="567"/>
      </w:pPr>
      <w:r w:rsidRPr="001E0992">
        <w:t>I</w:t>
      </w:r>
      <w:r w:rsidR="0001406F" w:rsidRPr="001E0992">
        <w:t>n such case</w:t>
      </w:r>
      <w:r w:rsidRPr="001E0992">
        <w:t>, will</w:t>
      </w:r>
      <w:r w:rsidR="0001406F" w:rsidRPr="001E0992">
        <w:t xml:space="preserve"> the </w:t>
      </w:r>
      <w:r w:rsidR="0076135B" w:rsidRPr="001E0992">
        <w:t>Executive Committee</w:t>
      </w:r>
      <w:r w:rsidR="0001406F" w:rsidRPr="001E0992">
        <w:t xml:space="preserve"> agreement complement for individual compliance to targets of the recipient country with regard to </w:t>
      </w:r>
      <w:r w:rsidR="00C87DB7" w:rsidRPr="001E0992">
        <w:t>GHG reductions</w:t>
      </w:r>
      <w:r w:rsidR="0001406F" w:rsidRPr="001E0992">
        <w:t xml:space="preserve"> in the energy use subsector</w:t>
      </w:r>
      <w:r w:rsidR="00F00CB4" w:rsidRPr="001E0992">
        <w:t>?</w:t>
      </w:r>
      <w:r w:rsidR="0001406F" w:rsidRPr="001E0992">
        <w:t xml:space="preserve"> </w:t>
      </w:r>
    </w:p>
    <w:p w:rsidR="002F49A8" w:rsidRPr="008F7254" w:rsidRDefault="002F49A8" w:rsidP="008F7254">
      <w:pPr>
        <w:pStyle w:val="Heading1"/>
        <w:keepNext/>
        <w:numPr>
          <w:ilvl w:val="0"/>
          <w:numId w:val="0"/>
        </w:numPr>
        <w:rPr>
          <w:u w:val="single"/>
        </w:rPr>
      </w:pPr>
      <w:r w:rsidRPr="008F7254">
        <w:rPr>
          <w:u w:val="single"/>
        </w:rPr>
        <w:t>Previous Executive Committee decisions and practice</w:t>
      </w:r>
    </w:p>
    <w:p w:rsidR="009E77F8" w:rsidRPr="008F7254" w:rsidRDefault="009E77F8" w:rsidP="00C9503D">
      <w:pPr>
        <w:pStyle w:val="Heading1"/>
      </w:pPr>
      <w:r w:rsidRPr="008F7254">
        <w:t>At the 35</w:t>
      </w:r>
      <w:r w:rsidRPr="008F7254">
        <w:rPr>
          <w:vertAlign w:val="superscript"/>
        </w:rPr>
        <w:t>th</w:t>
      </w:r>
      <w:r w:rsidRPr="008F7254">
        <w:t xml:space="preserve"> meeting (December 2001), the Executive Committee agreed </w:t>
      </w:r>
      <w:r w:rsidRPr="008F7254">
        <w:rPr>
          <w:i/>
        </w:rPr>
        <w:t>inter alia</w:t>
      </w:r>
      <w:r w:rsidRPr="008F7254">
        <w:t xml:space="preserve"> that further funding must be predicated on a commitment by the country to achieve sustainable permanent aggregate reductions in consumption and production, as relevant. </w:t>
      </w:r>
    </w:p>
    <w:p w:rsidR="009E77F8" w:rsidRPr="008F7254" w:rsidRDefault="009E77F8" w:rsidP="00C9503D">
      <w:pPr>
        <w:numPr>
          <w:ilvl w:val="0"/>
          <w:numId w:val="1"/>
        </w:numPr>
        <w:spacing w:after="240"/>
        <w:outlineLvl w:val="0"/>
      </w:pPr>
      <w:r w:rsidRPr="008F7254">
        <w:t>In implementing this provision, the Executive Committee believed that all Article 5 countries should be treated equally. In that regard, each Article 5 country should select one of two options for determining the starting point for implementation of its national aggregate consumption: Montreal Protocol baseline as reported at the 35</w:t>
      </w:r>
      <w:r w:rsidRPr="008F7254">
        <w:rPr>
          <w:vertAlign w:val="superscript"/>
        </w:rPr>
        <w:t>th</w:t>
      </w:r>
      <w:r w:rsidRPr="008F7254">
        <w:t xml:space="preserve"> meeting less projects approved but not yet implemented when the baseline was established in 1997, and projects approved since (option 1); or, latest reported data (1999 or 2000) as reported at the 35</w:t>
      </w:r>
      <w:r w:rsidRPr="008F7254">
        <w:rPr>
          <w:vertAlign w:val="superscript"/>
        </w:rPr>
        <w:t>th</w:t>
      </w:r>
      <w:r w:rsidRPr="008F7254">
        <w:t xml:space="preserve"> meeting less projects approved but not yet implemented (option 2</w:t>
      </w:r>
      <w:r w:rsidR="00AF3303">
        <w:t>)</w:t>
      </w:r>
      <w:r w:rsidR="00083D87">
        <w:t>.</w:t>
      </w:r>
      <w:r w:rsidR="00AF3303" w:rsidRPr="008F7254">
        <w:rPr>
          <w:vertAlign w:val="superscript"/>
        </w:rPr>
        <w:footnoteReference w:id="11"/>
      </w:r>
    </w:p>
    <w:p w:rsidR="009E77F8" w:rsidRPr="008F7254" w:rsidRDefault="009E77F8" w:rsidP="008F7254">
      <w:pPr>
        <w:numPr>
          <w:ilvl w:val="0"/>
          <w:numId w:val="1"/>
        </w:numPr>
        <w:spacing w:after="240"/>
        <w:outlineLvl w:val="0"/>
      </w:pPr>
      <w:r w:rsidRPr="008F7254">
        <w:t>The Committee also acknowledged that some future years’ reported consumption could go above or below the levels that resulted from the agreed calculation, but if consumption numbers went above the resulting levels, such increases in consumption would not be eligible for funding. In other words, the resulting numbers (i.e., the starting point) represented the maximum residual ODS that the Fund w</w:t>
      </w:r>
      <w:r w:rsidR="001E3680">
        <w:t>ould</w:t>
      </w:r>
      <w:r w:rsidRPr="008F7254">
        <w:t xml:space="preserve"> pay to reduce, and existing Fund guidance related to eligibility of projects would be maintained in all respects. </w:t>
      </w:r>
    </w:p>
    <w:p w:rsidR="009E77F8" w:rsidRPr="008F7254" w:rsidRDefault="001E3680" w:rsidP="008F7254">
      <w:pPr>
        <w:numPr>
          <w:ilvl w:val="0"/>
          <w:numId w:val="1"/>
        </w:numPr>
        <w:spacing w:after="240"/>
        <w:outlineLvl w:val="0"/>
      </w:pPr>
      <w:r>
        <w:t>S</w:t>
      </w:r>
      <w:r w:rsidR="009E77F8" w:rsidRPr="008F7254">
        <w:t xml:space="preserve">ix months </w:t>
      </w:r>
      <w:r>
        <w:t xml:space="preserve">after </w:t>
      </w:r>
      <w:r w:rsidR="009E77F8" w:rsidRPr="008F7254">
        <w:t xml:space="preserve">the adoption of decision 35/57, </w:t>
      </w:r>
      <w:r>
        <w:t>at its 37</w:t>
      </w:r>
      <w:r w:rsidRPr="001E3680">
        <w:rPr>
          <w:vertAlign w:val="superscript"/>
        </w:rPr>
        <w:t>th</w:t>
      </w:r>
      <w:r>
        <w:t xml:space="preserve"> meeting (July 2002), </w:t>
      </w:r>
      <w:r w:rsidR="009E77F8" w:rsidRPr="008F7254">
        <w:t>for those countries that had not made or confirmed their final selection of an option, at its 37</w:t>
      </w:r>
      <w:r w:rsidR="009E77F8" w:rsidRPr="008F7254">
        <w:rPr>
          <w:vertAlign w:val="superscript"/>
        </w:rPr>
        <w:t>th</w:t>
      </w:r>
      <w:r w:rsidR="009E77F8" w:rsidRPr="008F7254">
        <w:t xml:space="preserve"> </w:t>
      </w:r>
      <w:r w:rsidR="00CA694E" w:rsidRPr="008F7254">
        <w:t>m</w:t>
      </w:r>
      <w:r w:rsidR="009E77F8" w:rsidRPr="008F7254">
        <w:t xml:space="preserve">eeting (July 2002), the Executive Committee </w:t>
      </w:r>
      <w:r w:rsidR="00CA694E" w:rsidRPr="008F7254">
        <w:rPr>
          <w:i/>
        </w:rPr>
        <w:t>inter </w:t>
      </w:r>
      <w:r w:rsidR="009E77F8" w:rsidRPr="008F7254">
        <w:rPr>
          <w:i/>
        </w:rPr>
        <w:t xml:space="preserve">alia </w:t>
      </w:r>
      <w:r w:rsidR="009E77F8" w:rsidRPr="008F7254">
        <w:t xml:space="preserve">decided to set </w:t>
      </w:r>
      <w:r>
        <w:t xml:space="preserve">the selection </w:t>
      </w:r>
      <w:r w:rsidR="009E77F8" w:rsidRPr="008F7254">
        <w:t xml:space="preserve">deadline at eight weeks prior to the meeting at which the country concerned intended to submit a project for consideration by the Executive Committee; </w:t>
      </w:r>
      <w:r>
        <w:t xml:space="preserve">to </w:t>
      </w:r>
      <w:r w:rsidR="009E77F8" w:rsidRPr="008F7254">
        <w:t>automatically appl</w:t>
      </w:r>
      <w:r>
        <w:t>y</w:t>
      </w:r>
      <w:r w:rsidR="009E77F8" w:rsidRPr="008F7254">
        <w:t xml:space="preserve"> Option 1 if such a country submitted a project without making a selection; and </w:t>
      </w:r>
      <w:r>
        <w:t xml:space="preserve">to </w:t>
      </w:r>
      <w:r w:rsidR="009E77F8" w:rsidRPr="008F7254">
        <w:t>request</w:t>
      </w:r>
      <w:r>
        <w:t xml:space="preserve"> </w:t>
      </w:r>
      <w:r w:rsidR="009E77F8" w:rsidRPr="008F7254">
        <w:t xml:space="preserve">the Secretariat to assist those countries that were having technical difficulties in </w:t>
      </w:r>
      <w:r w:rsidR="009E77F8" w:rsidRPr="008F7254">
        <w:lastRenderedPageBreak/>
        <w:t xml:space="preserve">making their selection (decision 37/66(c)). </w:t>
      </w:r>
      <w:r w:rsidR="001E181C" w:rsidRPr="008F7254">
        <w:t>The starting point for sustained aggregate reductions in eligible consumption of CFCs was agreed ten years after funding for the first projects w</w:t>
      </w:r>
      <w:r>
        <w:t>as</w:t>
      </w:r>
      <w:r w:rsidR="001E181C" w:rsidRPr="008F7254">
        <w:t xml:space="preserve"> approved</w:t>
      </w:r>
      <w:r w:rsidR="0094349B">
        <w:t>.</w:t>
      </w:r>
      <w:r w:rsidR="001E181C" w:rsidRPr="008F7254">
        <w:rPr>
          <w:vertAlign w:val="superscript"/>
        </w:rPr>
        <w:footnoteReference w:id="12"/>
      </w:r>
    </w:p>
    <w:p w:rsidR="009E77F8" w:rsidRPr="008F7254" w:rsidRDefault="00F00CB4" w:rsidP="008F7254">
      <w:pPr>
        <w:pStyle w:val="Heading1"/>
      </w:pPr>
      <w:r w:rsidRPr="008F7254">
        <w:t xml:space="preserve">For </w:t>
      </w:r>
      <w:r w:rsidR="00D46A2A">
        <w:t xml:space="preserve">the phase-out of </w:t>
      </w:r>
      <w:r w:rsidRPr="008F7254">
        <w:t>HCFCs,</w:t>
      </w:r>
      <w:r w:rsidR="009E77F8" w:rsidRPr="008F7254">
        <w:t xml:space="preserve"> </w:t>
      </w:r>
      <w:r w:rsidRPr="008F7254">
        <w:t>Article 5 Parties could choose between two options to establish their starting point</w:t>
      </w:r>
      <w:r w:rsidR="001E181C" w:rsidRPr="008F7254">
        <w:t xml:space="preserve"> for sustained aggregate reductions</w:t>
      </w:r>
      <w:r w:rsidRPr="008F7254">
        <w:t>: the most recent reported HCFC consumption under Article 7 at the time of the submission of the HPMP and/or the investment project,</w:t>
      </w:r>
      <w:r w:rsidR="001E181C" w:rsidRPr="008F7254">
        <w:t xml:space="preserve"> or the </w:t>
      </w:r>
      <w:proofErr w:type="gramStart"/>
      <w:r w:rsidR="001E181C" w:rsidRPr="008F7254">
        <w:t>country’s</w:t>
      </w:r>
      <w:proofErr w:type="gramEnd"/>
      <w:r w:rsidR="001E181C" w:rsidRPr="008F7254">
        <w:t xml:space="preserve"> forecast</w:t>
      </w:r>
      <w:r w:rsidRPr="008F7254">
        <w:t xml:space="preserve"> baseline HCFC consumption. If the latter w</w:t>
      </w:r>
      <w:r w:rsidR="001E181C" w:rsidRPr="008F7254">
        <w:t>as</w:t>
      </w:r>
      <w:r w:rsidRPr="008F7254">
        <w:t xml:space="preserve"> chosen, the starting point would be adjusted once the HCFC baseline was known. In particular, t</w:t>
      </w:r>
      <w:r w:rsidR="009E77F8" w:rsidRPr="008F7254">
        <w:t>he calculation of the starting point for HCFC phase-</w:t>
      </w:r>
      <w:r w:rsidR="00A63710">
        <w:t>out</w:t>
      </w:r>
      <w:r w:rsidR="009E77F8" w:rsidRPr="008F7254">
        <w:t xml:space="preserve"> was decided at the 60</w:t>
      </w:r>
      <w:r w:rsidR="009E77F8" w:rsidRPr="008F7254">
        <w:rPr>
          <w:vertAlign w:val="superscript"/>
        </w:rPr>
        <w:t>th</w:t>
      </w:r>
      <w:r w:rsidR="009E77F8" w:rsidRPr="008F7254">
        <w:t xml:space="preserve"> meeting (April 2010), where the Executive Committee decided:</w:t>
      </w:r>
    </w:p>
    <w:p w:rsidR="009E77F8" w:rsidRPr="008F7254" w:rsidRDefault="009E77F8" w:rsidP="004F2C9D">
      <w:pPr>
        <w:pStyle w:val="Heading2"/>
        <w:ind w:left="1418" w:hanging="709"/>
      </w:pPr>
      <w:r w:rsidRPr="008F7254">
        <w:t xml:space="preserve">To establish the starting points for aggregate reductions in </w:t>
      </w:r>
      <w:smartTag w:uri="urn:schemas-microsoft-com:office:smarttags" w:element="stockticker">
        <w:r w:rsidRPr="008F7254">
          <w:t>HCFC</w:t>
        </w:r>
      </w:smartTag>
      <w:r w:rsidRPr="008F7254">
        <w:t xml:space="preserve"> consumption, for those Article 5 countries that submit projects in advance of their assessed baseline, at the time of submission of either the </w:t>
      </w:r>
      <w:smartTag w:uri="urn:schemas-microsoft-com:office:smarttags" w:element="stockticker">
        <w:r w:rsidRPr="008F7254">
          <w:t>HCFC</w:t>
        </w:r>
      </w:smartTag>
      <w:r w:rsidRPr="008F7254">
        <w:t xml:space="preserve"> investment project or the HPMP, whichever was first submitted for the consideration of the Executive Committee;</w:t>
      </w:r>
    </w:p>
    <w:p w:rsidR="009E77F8" w:rsidRPr="008F7254" w:rsidRDefault="009E77F8" w:rsidP="004F2C9D">
      <w:pPr>
        <w:pStyle w:val="Heading2"/>
        <w:ind w:left="1418" w:hanging="709"/>
      </w:pPr>
      <w:r w:rsidRPr="008F7254">
        <w:t xml:space="preserve">To allow Article 5 countries to choose between the most recent reported </w:t>
      </w:r>
      <w:smartTag w:uri="urn:schemas-microsoft-com:office:smarttags" w:element="stockticker">
        <w:r w:rsidRPr="008F7254">
          <w:t>HCFC</w:t>
        </w:r>
      </w:smartTag>
      <w:r w:rsidRPr="008F7254">
        <w:t xml:space="preserve"> consumption under Article 7 of the Montreal Protocol at the time of the submission of the HPMP and/or the investment project, and the average of consumption forecast for 2009 and 2010, in calculating starting points for aggregate reductions in </w:t>
      </w:r>
      <w:smartTag w:uri="urn:schemas-microsoft-com:office:smarttags" w:element="stockticker">
        <w:r w:rsidRPr="008F7254">
          <w:t>HCFC</w:t>
        </w:r>
      </w:smartTag>
      <w:r w:rsidRPr="008F7254">
        <w:t xml:space="preserve"> consumption;</w:t>
      </w:r>
      <w:r w:rsidR="007336B4">
        <w:t xml:space="preserve"> and</w:t>
      </w:r>
    </w:p>
    <w:p w:rsidR="009E77F8" w:rsidRPr="008F7254" w:rsidRDefault="009E77F8" w:rsidP="004F2C9D">
      <w:pPr>
        <w:pStyle w:val="Heading2"/>
        <w:ind w:left="1418" w:hanging="709"/>
      </w:pPr>
      <w:r w:rsidRPr="008F7254">
        <w:t xml:space="preserve">To adjust the agreed starting points for aggregate reductions in </w:t>
      </w:r>
      <w:smartTag w:uri="urn:schemas-microsoft-com:office:smarttags" w:element="stockticker">
        <w:r w:rsidRPr="008F7254">
          <w:t>HCFC</w:t>
        </w:r>
      </w:smartTag>
      <w:r w:rsidRPr="008F7254">
        <w:t xml:space="preserve"> consumption in cases where calculated </w:t>
      </w:r>
      <w:smartTag w:uri="urn:schemas-microsoft-com:office:smarttags" w:element="stockticker">
        <w:r w:rsidRPr="008F7254">
          <w:t>HCFC</w:t>
        </w:r>
      </w:smartTag>
      <w:r w:rsidRPr="008F7254">
        <w:t xml:space="preserve"> baselines based on reported Article 7 data are different from the calculated starting point based on the average consumption forecast for 2009</w:t>
      </w:r>
      <w:r w:rsidRPr="008F7254">
        <w:noBreakHyphen/>
        <w:t>2010 (decision 60/44</w:t>
      </w:r>
      <w:r w:rsidR="00CA694E" w:rsidRPr="008F7254">
        <w:t>(c)</w:t>
      </w:r>
      <w:r w:rsidRPr="008F7254">
        <w:t xml:space="preserve">, </w:t>
      </w:r>
      <w:r w:rsidR="00CA694E" w:rsidRPr="008F7254">
        <w:t>(</w:t>
      </w:r>
      <w:r w:rsidRPr="008F7254">
        <w:t>d</w:t>
      </w:r>
      <w:r w:rsidR="00CA694E" w:rsidRPr="008F7254">
        <w:t>)</w:t>
      </w:r>
      <w:r w:rsidRPr="008F7254">
        <w:t>,</w:t>
      </w:r>
      <w:r w:rsidR="00CA694E" w:rsidRPr="008F7254">
        <w:t xml:space="preserve"> and (</w:t>
      </w:r>
      <w:r w:rsidRPr="008F7254">
        <w:t>e)</w:t>
      </w:r>
      <w:r w:rsidR="002C4494">
        <w:t>)</w:t>
      </w:r>
      <w:r w:rsidRPr="008F7254">
        <w:t xml:space="preserve">. </w:t>
      </w:r>
    </w:p>
    <w:p w:rsidR="009E77F8" w:rsidRPr="008F7254" w:rsidRDefault="009E77F8" w:rsidP="008F7254">
      <w:pPr>
        <w:numPr>
          <w:ilvl w:val="0"/>
          <w:numId w:val="1"/>
        </w:numPr>
        <w:spacing w:after="240"/>
        <w:outlineLvl w:val="0"/>
        <w:rPr>
          <w:lang w:val="en-CA"/>
        </w:rPr>
      </w:pPr>
      <w:r w:rsidRPr="008F7254">
        <w:rPr>
          <w:lang w:val="en-CA"/>
        </w:rPr>
        <w:t>For the majority of Article 5 countries, the starting points for aggregate reduction in consumption for CFCs (decision 35/57) and for HCFCs (decision 60/4</w:t>
      </w:r>
      <w:r w:rsidR="008B14E9">
        <w:rPr>
          <w:lang w:val="en-CA"/>
        </w:rPr>
        <w:t>4</w:t>
      </w:r>
      <w:r w:rsidRPr="008F7254">
        <w:rPr>
          <w:lang w:val="en-CA"/>
        </w:rPr>
        <w:t>) have been similar to their respective baselines for compliance (i.e., average 1995-1997 CFC consumption, and average 2009-2010 HCFC consumption</w:t>
      </w:r>
      <w:r w:rsidR="00D46A2A">
        <w:rPr>
          <w:lang w:val="en-CA"/>
        </w:rPr>
        <w:t>, respectively</w:t>
      </w:r>
      <w:r w:rsidRPr="008F7254">
        <w:rPr>
          <w:lang w:val="en-CA"/>
        </w:rPr>
        <w:t>)</w:t>
      </w:r>
      <w:r w:rsidR="00C9503D">
        <w:rPr>
          <w:lang w:val="en-CA"/>
        </w:rPr>
        <w:t>.</w:t>
      </w:r>
      <w:r w:rsidRPr="008F7254">
        <w:rPr>
          <w:vertAlign w:val="superscript"/>
          <w:lang w:val="en-CA"/>
        </w:rPr>
        <w:footnoteReference w:id="13"/>
      </w:r>
      <w:r w:rsidRPr="008F7254">
        <w:rPr>
          <w:lang w:val="en-CA"/>
        </w:rPr>
        <w:t xml:space="preserve"> The starting points for CFC and HCFC consumption have been based on the levels of consumption of the controlled substances that would be phase</w:t>
      </w:r>
      <w:r w:rsidR="00A63710">
        <w:rPr>
          <w:lang w:val="en-CA"/>
        </w:rPr>
        <w:t xml:space="preserve">d </w:t>
      </w:r>
      <w:r w:rsidRPr="008F7254">
        <w:rPr>
          <w:lang w:val="en-CA"/>
        </w:rPr>
        <w:t xml:space="preserve">out and </w:t>
      </w:r>
      <w:r w:rsidR="00A63710">
        <w:rPr>
          <w:lang w:val="en-CA"/>
        </w:rPr>
        <w:t xml:space="preserve">have been </w:t>
      </w:r>
      <w:r w:rsidRPr="008F7254">
        <w:rPr>
          <w:lang w:val="en-CA"/>
        </w:rPr>
        <w:t xml:space="preserve">measured in ODP tonnes. </w:t>
      </w:r>
    </w:p>
    <w:p w:rsidR="00ED0157" w:rsidRPr="0094349B" w:rsidRDefault="009E77F8" w:rsidP="00ED0157">
      <w:pPr>
        <w:pStyle w:val="Heading1"/>
      </w:pPr>
      <w:r w:rsidRPr="0094349B">
        <w:rPr>
          <w:lang w:val="en-CA"/>
        </w:rPr>
        <w:t>In</w:t>
      </w:r>
      <w:r w:rsidR="00547715" w:rsidRPr="0094349B">
        <w:rPr>
          <w:lang w:val="en-CA"/>
        </w:rPr>
        <w:t xml:space="preserve"> </w:t>
      </w:r>
      <w:r w:rsidRPr="0094349B">
        <w:rPr>
          <w:lang w:val="en-CA"/>
        </w:rPr>
        <w:t xml:space="preserve">considering how to determine the starting point for sustained aggregate reductions in HFCs, the Executive Committee may wish to </w:t>
      </w:r>
      <w:r w:rsidR="00036713" w:rsidRPr="0094349B">
        <w:rPr>
          <w:lang w:val="en-CA"/>
        </w:rPr>
        <w:t>note</w:t>
      </w:r>
      <w:r w:rsidRPr="0094349B">
        <w:rPr>
          <w:lang w:val="en-CA"/>
        </w:rPr>
        <w:t xml:space="preserve"> </w:t>
      </w:r>
      <w:r w:rsidR="00ED0157" w:rsidRPr="0094349B">
        <w:rPr>
          <w:lang w:val="en-CA"/>
        </w:rPr>
        <w:t xml:space="preserve">that </w:t>
      </w:r>
      <w:r w:rsidRPr="0094349B">
        <w:rPr>
          <w:color w:val="000000" w:themeColor="text1"/>
          <w:lang w:val="en-CA"/>
        </w:rPr>
        <w:t>Article 5 countries</w:t>
      </w:r>
      <w:r w:rsidR="00213988" w:rsidRPr="0094349B">
        <w:rPr>
          <w:color w:val="000000" w:themeColor="text1"/>
          <w:lang w:val="en-CA"/>
        </w:rPr>
        <w:t>’</w:t>
      </w:r>
      <w:r w:rsidRPr="0094349B">
        <w:rPr>
          <w:color w:val="000000" w:themeColor="text1"/>
          <w:lang w:val="en-CA"/>
        </w:rPr>
        <w:t xml:space="preserve"> baseline for compliance for CFCs and HCFCs was based on t</w:t>
      </w:r>
      <w:r w:rsidR="00F00CB4" w:rsidRPr="0094349B">
        <w:rPr>
          <w:color w:val="000000" w:themeColor="text1"/>
          <w:lang w:val="en-CA"/>
        </w:rPr>
        <w:t>he level of consumption of the respective c</w:t>
      </w:r>
      <w:r w:rsidRPr="0094349B">
        <w:rPr>
          <w:color w:val="000000" w:themeColor="text1"/>
          <w:lang w:val="en-CA"/>
        </w:rPr>
        <w:t>ontrolled substance</w:t>
      </w:r>
      <w:r w:rsidR="00036713" w:rsidRPr="0094349B">
        <w:rPr>
          <w:color w:val="000000" w:themeColor="text1"/>
          <w:lang w:val="en-CA"/>
        </w:rPr>
        <w:t>, in ODP tonnes</w:t>
      </w:r>
      <w:r w:rsidRPr="0094349B">
        <w:rPr>
          <w:color w:val="000000" w:themeColor="text1"/>
          <w:lang w:val="en-CA"/>
        </w:rPr>
        <w:t>. In contrast, the baseline for compliance f</w:t>
      </w:r>
      <w:r w:rsidR="00A63710" w:rsidRPr="0094349B">
        <w:rPr>
          <w:color w:val="000000" w:themeColor="text1"/>
          <w:lang w:val="en-CA"/>
        </w:rPr>
        <w:t>or</w:t>
      </w:r>
      <w:r w:rsidRPr="0094349B">
        <w:rPr>
          <w:color w:val="000000" w:themeColor="text1"/>
          <w:lang w:val="en-CA"/>
        </w:rPr>
        <w:t xml:space="preserve"> HFCs is based on the </w:t>
      </w:r>
      <w:r w:rsidR="00687598" w:rsidRPr="0094349B">
        <w:rPr>
          <w:color w:val="000000" w:themeColor="text1"/>
          <w:lang w:val="en-CA"/>
        </w:rPr>
        <w:t xml:space="preserve">average </w:t>
      </w:r>
      <w:r w:rsidRPr="0094349B">
        <w:rPr>
          <w:color w:val="000000" w:themeColor="text1"/>
          <w:lang w:val="en-CA"/>
        </w:rPr>
        <w:t xml:space="preserve">level of </w:t>
      </w:r>
      <w:r w:rsidR="00F00CB4" w:rsidRPr="0094349B">
        <w:rPr>
          <w:color w:val="000000" w:themeColor="text1"/>
          <w:lang w:val="en-CA"/>
        </w:rPr>
        <w:t xml:space="preserve">the </w:t>
      </w:r>
      <w:r w:rsidRPr="0094349B">
        <w:rPr>
          <w:color w:val="000000" w:themeColor="text1"/>
          <w:lang w:val="en-CA"/>
        </w:rPr>
        <w:t xml:space="preserve">controlled substance </w:t>
      </w:r>
      <w:r w:rsidR="00687598" w:rsidRPr="0094349B">
        <w:rPr>
          <w:color w:val="000000" w:themeColor="text1"/>
          <w:lang w:val="en-CA"/>
        </w:rPr>
        <w:t xml:space="preserve">(i.e., HFCs) over a three-year period </w:t>
      </w:r>
      <w:r w:rsidRPr="0094349B">
        <w:rPr>
          <w:color w:val="000000" w:themeColor="text1"/>
          <w:lang w:val="en-CA"/>
        </w:rPr>
        <w:t>plus 65 per</w:t>
      </w:r>
      <w:r w:rsidR="00390AED" w:rsidRPr="0094349B">
        <w:rPr>
          <w:color w:val="000000" w:themeColor="text1"/>
          <w:lang w:val="en-CA"/>
        </w:rPr>
        <w:t xml:space="preserve"> </w:t>
      </w:r>
      <w:r w:rsidRPr="0094349B">
        <w:rPr>
          <w:color w:val="000000" w:themeColor="text1"/>
          <w:lang w:val="en-CA"/>
        </w:rPr>
        <w:t>cent of the HCFC baseline</w:t>
      </w:r>
      <w:r w:rsidR="00F00CB4" w:rsidRPr="0094349B">
        <w:rPr>
          <w:color w:val="000000" w:themeColor="text1"/>
          <w:lang w:val="en-CA"/>
        </w:rPr>
        <w:t xml:space="preserve"> (i.e., a different controlled substance)</w:t>
      </w:r>
      <w:r w:rsidR="00036713" w:rsidRPr="0094349B">
        <w:rPr>
          <w:color w:val="000000" w:themeColor="text1"/>
          <w:lang w:val="en-CA"/>
        </w:rPr>
        <w:t xml:space="preserve"> measured in CO</w:t>
      </w:r>
      <w:r w:rsidR="00036713" w:rsidRPr="0094349B">
        <w:rPr>
          <w:color w:val="000000" w:themeColor="text1"/>
          <w:vertAlign w:val="subscript"/>
          <w:lang w:val="en-CA"/>
        </w:rPr>
        <w:t>2</w:t>
      </w:r>
      <w:r w:rsidR="00036713" w:rsidRPr="0094349B">
        <w:rPr>
          <w:color w:val="000000" w:themeColor="text1"/>
          <w:lang w:val="en-CA"/>
        </w:rPr>
        <w:t xml:space="preserve"> equivalent ton</w:t>
      </w:r>
      <w:r w:rsidR="003B5F68" w:rsidRPr="0094349B">
        <w:rPr>
          <w:color w:val="000000" w:themeColor="text1"/>
          <w:lang w:val="en-CA"/>
        </w:rPr>
        <w:t>ne</w:t>
      </w:r>
      <w:r w:rsidR="00036713" w:rsidRPr="0094349B">
        <w:rPr>
          <w:color w:val="000000" w:themeColor="text1"/>
          <w:lang w:val="en-CA"/>
        </w:rPr>
        <w:t>s</w:t>
      </w:r>
      <w:r w:rsidR="00ED0157" w:rsidRPr="0094349B">
        <w:rPr>
          <w:color w:val="000000" w:themeColor="text1"/>
          <w:lang w:val="en-CA"/>
        </w:rPr>
        <w:t xml:space="preserve">. In addition, the Executive Committee may wish to note that </w:t>
      </w:r>
      <w:r w:rsidR="00ED0157" w:rsidRPr="0094349B">
        <w:t>blends of HFCs may constitute a significant proportion of a country’s HFC consumption.</w:t>
      </w:r>
      <w:r w:rsidR="00ED0157" w:rsidRPr="0094349B">
        <w:rPr>
          <w:vertAlign w:val="superscript"/>
        </w:rPr>
        <w:footnoteReference w:id="14"/>
      </w:r>
    </w:p>
    <w:p w:rsidR="00E441E0" w:rsidRPr="0094349B" w:rsidRDefault="00E441E0" w:rsidP="004F2C9D">
      <w:pPr>
        <w:pStyle w:val="ListParagraph"/>
        <w:keepNext/>
        <w:numPr>
          <w:ilvl w:val="0"/>
          <w:numId w:val="14"/>
        </w:numPr>
        <w:ind w:left="709" w:hanging="709"/>
        <w:rPr>
          <w:b/>
          <w:lang w:val="en-CA"/>
        </w:rPr>
      </w:pPr>
      <w:r w:rsidRPr="0094349B">
        <w:rPr>
          <w:b/>
          <w:lang w:val="en-CA"/>
        </w:rPr>
        <w:lastRenderedPageBreak/>
        <w:t>Enabling activities</w:t>
      </w:r>
    </w:p>
    <w:p w:rsidR="00AD4C2D" w:rsidRPr="008F7254" w:rsidRDefault="00AD4C2D" w:rsidP="004F2C9D">
      <w:pPr>
        <w:keepNext/>
        <w:rPr>
          <w:lang w:val="en-CA"/>
        </w:rPr>
      </w:pPr>
    </w:p>
    <w:p w:rsidR="00AD4C2D" w:rsidRPr="00877858" w:rsidRDefault="00756381" w:rsidP="004F2C9D">
      <w:pPr>
        <w:pStyle w:val="Heading1"/>
        <w:keepNext/>
        <w:numPr>
          <w:ilvl w:val="0"/>
          <w:numId w:val="0"/>
        </w:numPr>
        <w:rPr>
          <w:i/>
          <w:lang w:val="en-CA"/>
        </w:rPr>
      </w:pPr>
      <w:r w:rsidRPr="008F7254">
        <w:rPr>
          <w:u w:val="single"/>
        </w:rPr>
        <w:t>Paragraph 20, decision XVIII/2</w:t>
      </w:r>
      <w:r w:rsidRPr="008F7254">
        <w:t xml:space="preserve">: </w:t>
      </w:r>
      <w:r w:rsidR="000D1383" w:rsidRPr="008F7254">
        <w:rPr>
          <w:i/>
          <w:lang w:val="en-CA"/>
        </w:rPr>
        <w:t>“</w:t>
      </w:r>
      <w:r w:rsidRPr="00877858">
        <w:rPr>
          <w:i/>
          <w:lang w:val="en-CA"/>
        </w:rPr>
        <w:t>T</w:t>
      </w:r>
      <w:r w:rsidR="000D1383" w:rsidRPr="00877858">
        <w:rPr>
          <w:i/>
          <w:lang w:val="en-CA"/>
        </w:rPr>
        <w:t xml:space="preserve">o </w:t>
      </w:r>
      <w:r w:rsidR="00AD4C2D" w:rsidRPr="00877858">
        <w:rPr>
          <w:i/>
          <w:lang w:val="en-CA"/>
        </w:rPr>
        <w:t>request the Executive Committee to include the following enabling activities to be funded in relation to HFC phase-down</w:t>
      </w:r>
      <w:r w:rsidR="008B14E9">
        <w:rPr>
          <w:i/>
          <w:lang w:val="en-CA"/>
        </w:rPr>
        <w:t xml:space="preserve"> under the Amendment</w:t>
      </w:r>
      <w:r w:rsidR="00AD4C2D" w:rsidRPr="00877858">
        <w:rPr>
          <w:i/>
          <w:lang w:val="en-CA"/>
        </w:rPr>
        <w:t>:</w:t>
      </w:r>
    </w:p>
    <w:p w:rsidR="00FA165E" w:rsidRPr="00877858" w:rsidRDefault="00FA165E" w:rsidP="004F2C9D">
      <w:pPr>
        <w:pStyle w:val="Heading2"/>
        <w:keepNext/>
        <w:widowControl/>
        <w:numPr>
          <w:ilvl w:val="0"/>
          <w:numId w:val="0"/>
        </w:numPr>
        <w:ind w:left="1440" w:hanging="720"/>
        <w:rPr>
          <w:i/>
        </w:rPr>
      </w:pPr>
      <w:r w:rsidRPr="00877858">
        <w:rPr>
          <w:i/>
        </w:rPr>
        <w:t>(a)</w:t>
      </w:r>
      <w:r w:rsidRPr="00877858">
        <w:rPr>
          <w:i/>
        </w:rPr>
        <w:tab/>
      </w:r>
      <w:r w:rsidR="00D65B7F" w:rsidRPr="00877858">
        <w:rPr>
          <w:i/>
        </w:rPr>
        <w:t>Capacity-building and training for handling HFC alternatives in the servicing, manufacturing and production sectors;</w:t>
      </w:r>
    </w:p>
    <w:p w:rsidR="00D65B7F" w:rsidRPr="00877858" w:rsidRDefault="00FA165E" w:rsidP="00FA165E">
      <w:pPr>
        <w:pStyle w:val="Heading2"/>
        <w:numPr>
          <w:ilvl w:val="0"/>
          <w:numId w:val="0"/>
        </w:numPr>
        <w:ind w:left="1440" w:hanging="720"/>
        <w:rPr>
          <w:i/>
        </w:rPr>
      </w:pPr>
      <w:r w:rsidRPr="00877858">
        <w:rPr>
          <w:i/>
        </w:rPr>
        <w:t xml:space="preserve">(b) </w:t>
      </w:r>
      <w:r w:rsidRPr="00877858">
        <w:rPr>
          <w:i/>
        </w:rPr>
        <w:tab/>
      </w:r>
      <w:r w:rsidR="00D65B7F" w:rsidRPr="00877858">
        <w:rPr>
          <w:i/>
        </w:rPr>
        <w:t xml:space="preserve">Institutional strengthening; </w:t>
      </w:r>
    </w:p>
    <w:p w:rsidR="00D65B7F" w:rsidRPr="00877858" w:rsidRDefault="00D65B7F" w:rsidP="00AF3303">
      <w:pPr>
        <w:pStyle w:val="Heading2"/>
        <w:rPr>
          <w:i/>
        </w:rPr>
      </w:pPr>
      <w:r w:rsidRPr="00877858">
        <w:rPr>
          <w:i/>
        </w:rPr>
        <w:t>Article 4B licensing;</w:t>
      </w:r>
    </w:p>
    <w:p w:rsidR="00D65B7F" w:rsidRPr="00877858" w:rsidRDefault="00D65B7F" w:rsidP="00AF3303">
      <w:pPr>
        <w:pStyle w:val="Heading2"/>
        <w:rPr>
          <w:i/>
        </w:rPr>
      </w:pPr>
      <w:r w:rsidRPr="00877858">
        <w:rPr>
          <w:i/>
        </w:rPr>
        <w:t>Reporting;</w:t>
      </w:r>
    </w:p>
    <w:p w:rsidR="00D65B7F" w:rsidRPr="00877858" w:rsidRDefault="00D65B7F" w:rsidP="00AF3303">
      <w:pPr>
        <w:pStyle w:val="Heading2"/>
        <w:rPr>
          <w:i/>
        </w:rPr>
      </w:pPr>
      <w:r w:rsidRPr="00877858">
        <w:rPr>
          <w:i/>
        </w:rPr>
        <w:t>Development of national strategies; and</w:t>
      </w:r>
    </w:p>
    <w:p w:rsidR="00D65B7F" w:rsidRPr="008F7254" w:rsidRDefault="00D65B7F" w:rsidP="00AF3303">
      <w:pPr>
        <w:pStyle w:val="Heading2"/>
      </w:pPr>
      <w:r w:rsidRPr="00877858">
        <w:rPr>
          <w:i/>
        </w:rPr>
        <w:t>Demonstration projects</w:t>
      </w:r>
      <w:r w:rsidR="000D1383" w:rsidRPr="00877858">
        <w:rPr>
          <w:i/>
        </w:rPr>
        <w:t>”</w:t>
      </w:r>
      <w:r w:rsidR="005D4C4D" w:rsidRPr="00877858">
        <w:rPr>
          <w:i/>
        </w:rPr>
        <w:t>.</w:t>
      </w:r>
    </w:p>
    <w:p w:rsidR="00482238" w:rsidRPr="008F7254" w:rsidRDefault="00F147A7" w:rsidP="008F7254">
      <w:pPr>
        <w:pStyle w:val="Heading1"/>
        <w:rPr>
          <w:lang w:val="en-CA"/>
        </w:rPr>
      </w:pPr>
      <w:r w:rsidRPr="008F7254">
        <w:rPr>
          <w:lang w:val="en-CA"/>
        </w:rPr>
        <w:t>In light of the discussion on the enabling activities required to assist Article 5 countries in commencing their reporting and regulatory activities in relation to the HFC</w:t>
      </w:r>
      <w:r w:rsidR="00A63710">
        <w:rPr>
          <w:lang w:val="en-CA"/>
        </w:rPr>
        <w:t xml:space="preserve"> </w:t>
      </w:r>
      <w:r w:rsidRPr="008F7254">
        <w:rPr>
          <w:lang w:val="en-CA"/>
        </w:rPr>
        <w:t>control measures</w:t>
      </w:r>
      <w:r w:rsidR="007336B4">
        <w:rPr>
          <w:lang w:val="en-CA"/>
        </w:rPr>
        <w:t xml:space="preserve"> (decision </w:t>
      </w:r>
      <w:r w:rsidR="00CD361A" w:rsidRPr="008F7254">
        <w:rPr>
          <w:lang w:val="en-CA"/>
        </w:rPr>
        <w:t>77/59(b)(ii))</w:t>
      </w:r>
      <w:r w:rsidRPr="008F7254">
        <w:rPr>
          <w:lang w:val="en-CA"/>
        </w:rPr>
        <w:t xml:space="preserve"> and the discussion on the</w:t>
      </w:r>
      <w:r w:rsidR="00CD361A" w:rsidRPr="008F7254">
        <w:rPr>
          <w:lang w:val="en-CA"/>
        </w:rPr>
        <w:t xml:space="preserve"> intended US</w:t>
      </w:r>
      <w:r w:rsidR="00D3798F">
        <w:rPr>
          <w:lang w:val="en-CA"/>
        </w:rPr>
        <w:t> </w:t>
      </w:r>
      <w:r w:rsidR="00CD361A" w:rsidRPr="008F7254">
        <w:rPr>
          <w:lang w:val="en-CA"/>
        </w:rPr>
        <w:t>$27 million fast-start contributions from some of the non-Article 5 Parties (decision 77/59</w:t>
      </w:r>
      <w:r w:rsidR="00CD361A" w:rsidRPr="0094349B">
        <w:rPr>
          <w:lang w:val="en-CA"/>
        </w:rPr>
        <w:t>(</w:t>
      </w:r>
      <w:r w:rsidR="008B14E9" w:rsidRPr="0094349B">
        <w:rPr>
          <w:lang w:val="en-CA"/>
        </w:rPr>
        <w:t>d</w:t>
      </w:r>
      <w:r w:rsidR="00CD361A" w:rsidRPr="0094349B">
        <w:rPr>
          <w:lang w:val="en-CA"/>
        </w:rPr>
        <w:t xml:space="preserve">)), </w:t>
      </w:r>
      <w:r w:rsidR="00482238" w:rsidRPr="0094349B">
        <w:rPr>
          <w:lang w:val="en-CA"/>
        </w:rPr>
        <w:t>a comprehensive</w:t>
      </w:r>
      <w:r w:rsidR="00482238" w:rsidRPr="008F7254">
        <w:rPr>
          <w:lang w:val="en-CA"/>
        </w:rPr>
        <w:t xml:space="preserve"> discussion of </w:t>
      </w:r>
      <w:r w:rsidR="00CD361A" w:rsidRPr="008F7254">
        <w:rPr>
          <w:lang w:val="en-CA"/>
        </w:rPr>
        <w:t xml:space="preserve">enabling activities </w:t>
      </w:r>
      <w:r w:rsidR="00482238" w:rsidRPr="008F7254">
        <w:rPr>
          <w:lang w:val="en-CA"/>
        </w:rPr>
        <w:t>in the context of the Kigali Amendment and decision XXVIII/2 is presented in document UNEP/OzL.Pro/ExCom/7</w:t>
      </w:r>
      <w:r w:rsidR="00482238" w:rsidRPr="00D3798F">
        <w:rPr>
          <w:lang w:val="en-CA"/>
        </w:rPr>
        <w:t>8/</w:t>
      </w:r>
      <w:r w:rsidR="00D3798F" w:rsidRPr="00D3798F">
        <w:rPr>
          <w:lang w:val="en-CA"/>
        </w:rPr>
        <w:t>6</w:t>
      </w:r>
      <w:r w:rsidR="00482238" w:rsidRPr="00D3798F">
        <w:rPr>
          <w:lang w:val="en-CA"/>
        </w:rPr>
        <w:t>.</w:t>
      </w:r>
    </w:p>
    <w:p w:rsidR="00E43C48" w:rsidRPr="008F7254" w:rsidRDefault="006F79AC" w:rsidP="008F7254">
      <w:pPr>
        <w:pStyle w:val="ListParagraph"/>
        <w:keepNext/>
        <w:numPr>
          <w:ilvl w:val="0"/>
          <w:numId w:val="14"/>
        </w:numPr>
        <w:ind w:left="709" w:hanging="709"/>
        <w:rPr>
          <w:b/>
        </w:rPr>
      </w:pPr>
      <w:r>
        <w:rPr>
          <w:b/>
        </w:rPr>
        <w:t>Eligible incremental costs</w:t>
      </w:r>
    </w:p>
    <w:p w:rsidR="00094AC7" w:rsidRPr="008F7254" w:rsidRDefault="00094AC7" w:rsidP="008F7254">
      <w:pPr>
        <w:keepNext/>
      </w:pPr>
    </w:p>
    <w:p w:rsidR="00E43C48" w:rsidRPr="00A63710" w:rsidRDefault="00A6292F" w:rsidP="00FA165E">
      <w:pPr>
        <w:pStyle w:val="Heading1"/>
        <w:numPr>
          <w:ilvl w:val="0"/>
          <w:numId w:val="0"/>
        </w:numPr>
        <w:rPr>
          <w:rFonts w:eastAsiaTheme="minorHAnsi"/>
          <w:i/>
          <w:lang w:val="en-US"/>
        </w:rPr>
      </w:pPr>
      <w:r w:rsidRPr="008F7254">
        <w:rPr>
          <w:u w:val="single"/>
        </w:rPr>
        <w:t>Paragraph 15, decision X</w:t>
      </w:r>
      <w:r w:rsidR="00E442D7" w:rsidRPr="008F7254">
        <w:rPr>
          <w:u w:val="single"/>
        </w:rPr>
        <w:t>X</w:t>
      </w:r>
      <w:r w:rsidRPr="008F7254">
        <w:rPr>
          <w:u w:val="single"/>
        </w:rPr>
        <w:t>VIII/2</w:t>
      </w:r>
      <w:r w:rsidRPr="00A63710">
        <w:rPr>
          <w:i/>
        </w:rPr>
        <w:t xml:space="preserve">: </w:t>
      </w:r>
      <w:r w:rsidR="00E14613" w:rsidRPr="00A63710">
        <w:rPr>
          <w:rFonts w:eastAsiaTheme="minorHAnsi"/>
          <w:i/>
        </w:rPr>
        <w:t>“</w:t>
      </w:r>
      <w:r w:rsidRPr="00A63710">
        <w:rPr>
          <w:rFonts w:eastAsiaTheme="minorHAnsi"/>
          <w:i/>
        </w:rPr>
        <w:t>T</w:t>
      </w:r>
      <w:r w:rsidR="00E14613" w:rsidRPr="00A63710">
        <w:rPr>
          <w:rFonts w:eastAsiaTheme="minorHAnsi"/>
          <w:i/>
        </w:rPr>
        <w:t>o r</w:t>
      </w:r>
      <w:r w:rsidR="00E43C48" w:rsidRPr="00A63710">
        <w:rPr>
          <w:rFonts w:eastAsiaTheme="minorHAnsi"/>
          <w:i/>
        </w:rPr>
        <w:t>equest the Executive Committee, in developing new guidelines on methodologies and cost calculations, to make the following categories of costs eligible and to include them in the cost calculation</w:t>
      </w:r>
      <w:r w:rsidR="00E14613" w:rsidRPr="00A63710">
        <w:rPr>
          <w:rFonts w:eastAsiaTheme="minorHAnsi"/>
          <w:i/>
        </w:rPr>
        <w:t>”</w:t>
      </w:r>
      <w:r w:rsidR="00E43C48" w:rsidRPr="00A63710">
        <w:rPr>
          <w:rFonts w:eastAsiaTheme="minorHAnsi"/>
          <w:i/>
        </w:rPr>
        <w:t>.</w:t>
      </w:r>
    </w:p>
    <w:p w:rsidR="00E43C48" w:rsidRPr="008F7254" w:rsidRDefault="00E43C48" w:rsidP="008F7254">
      <w:pPr>
        <w:pStyle w:val="Normalpool"/>
        <w:tabs>
          <w:tab w:val="clear" w:pos="1247"/>
          <w:tab w:val="clear" w:pos="1814"/>
          <w:tab w:val="clear" w:pos="2381"/>
          <w:tab w:val="clear" w:pos="2948"/>
          <w:tab w:val="clear" w:pos="3515"/>
          <w:tab w:val="clear" w:pos="4082"/>
        </w:tabs>
        <w:rPr>
          <w:rFonts w:eastAsiaTheme="minorHAnsi"/>
          <w:sz w:val="22"/>
          <w:szCs w:val="22"/>
          <w:u w:val="single"/>
          <w:lang w:val="en-GB"/>
        </w:rPr>
      </w:pPr>
      <w:r w:rsidRPr="008F7254">
        <w:rPr>
          <w:rFonts w:eastAsiaTheme="minorHAnsi"/>
          <w:sz w:val="22"/>
          <w:szCs w:val="22"/>
          <w:u w:val="single"/>
          <w:lang w:val="en-GB"/>
        </w:rPr>
        <w:t>Consumption manufacturing sector</w:t>
      </w:r>
    </w:p>
    <w:p w:rsidR="00E43C48" w:rsidRPr="008F7254" w:rsidRDefault="00E43C48" w:rsidP="008F7254">
      <w:pPr>
        <w:pStyle w:val="Normalpool"/>
        <w:tabs>
          <w:tab w:val="clear" w:pos="1247"/>
          <w:tab w:val="clear" w:pos="1814"/>
          <w:tab w:val="clear" w:pos="2381"/>
          <w:tab w:val="clear" w:pos="2948"/>
          <w:tab w:val="clear" w:pos="3515"/>
          <w:tab w:val="clear" w:pos="4082"/>
        </w:tabs>
        <w:rPr>
          <w:rFonts w:eastAsiaTheme="minorHAnsi"/>
          <w:sz w:val="22"/>
          <w:szCs w:val="22"/>
          <w:u w:val="single"/>
          <w:lang w:val="en-GB"/>
        </w:rPr>
      </w:pPr>
    </w:p>
    <w:p w:rsidR="00E43C48" w:rsidRPr="000445B5" w:rsidRDefault="00A6292F" w:rsidP="008F7254">
      <w:pPr>
        <w:pStyle w:val="Heading1"/>
        <w:rPr>
          <w:rFonts w:eastAsiaTheme="minorHAnsi"/>
          <w:i/>
          <w:lang w:val="en-US"/>
        </w:rPr>
      </w:pPr>
      <w:r w:rsidRPr="008F7254">
        <w:rPr>
          <w:u w:val="single"/>
        </w:rPr>
        <w:t>Paragraph 15(a), decision X</w:t>
      </w:r>
      <w:r w:rsidR="00E442D7" w:rsidRPr="008F7254">
        <w:rPr>
          <w:u w:val="single"/>
        </w:rPr>
        <w:t>X</w:t>
      </w:r>
      <w:r w:rsidRPr="008F7254">
        <w:rPr>
          <w:u w:val="single"/>
        </w:rPr>
        <w:t>VIII/2:</w:t>
      </w:r>
      <w:r w:rsidRPr="008F7254">
        <w:t xml:space="preserve"> </w:t>
      </w:r>
      <w:r w:rsidR="003B5B58" w:rsidRPr="008F7254">
        <w:rPr>
          <w:rFonts w:eastAsiaTheme="minorHAnsi"/>
          <w:i/>
          <w:lang w:val="en-US"/>
        </w:rPr>
        <w:t>“</w:t>
      </w:r>
      <w:r w:rsidR="00E43C48" w:rsidRPr="000445B5">
        <w:rPr>
          <w:rFonts w:eastAsiaTheme="minorHAnsi"/>
          <w:i/>
          <w:lang w:val="en-US"/>
        </w:rPr>
        <w:t xml:space="preserve">For the consumption </w:t>
      </w:r>
      <w:r w:rsidR="003B5B58" w:rsidRPr="000445B5">
        <w:rPr>
          <w:rFonts w:eastAsiaTheme="minorHAnsi"/>
          <w:i/>
          <w:lang w:val="en-US"/>
        </w:rPr>
        <w:t xml:space="preserve">manufacturing </w:t>
      </w:r>
      <w:r w:rsidR="00E43C48" w:rsidRPr="000445B5">
        <w:rPr>
          <w:rFonts w:eastAsiaTheme="minorHAnsi"/>
          <w:i/>
          <w:lang w:val="en-US"/>
        </w:rPr>
        <w:t>sector:</w:t>
      </w:r>
    </w:p>
    <w:p w:rsidR="00E43C48" w:rsidRPr="000445B5" w:rsidRDefault="00083D87" w:rsidP="00083D87">
      <w:pPr>
        <w:pStyle w:val="Heading2"/>
        <w:numPr>
          <w:ilvl w:val="0"/>
          <w:numId w:val="0"/>
        </w:numPr>
        <w:ind w:left="1440" w:hanging="720"/>
        <w:rPr>
          <w:rFonts w:eastAsiaTheme="minorHAnsi"/>
          <w:i/>
        </w:rPr>
      </w:pPr>
      <w:r w:rsidRPr="000445B5">
        <w:rPr>
          <w:rFonts w:eastAsiaTheme="minorHAnsi"/>
          <w:i/>
        </w:rPr>
        <w:t>(i)</w:t>
      </w:r>
      <w:r w:rsidRPr="000445B5">
        <w:rPr>
          <w:rFonts w:eastAsiaTheme="minorHAnsi"/>
          <w:i/>
        </w:rPr>
        <w:tab/>
      </w:r>
      <w:r w:rsidR="00E43C48" w:rsidRPr="000445B5">
        <w:rPr>
          <w:rFonts w:eastAsiaTheme="minorHAnsi"/>
          <w:i/>
        </w:rPr>
        <w:t>Incremental capital costs</w:t>
      </w:r>
      <w:r w:rsidR="000D1383" w:rsidRPr="000445B5">
        <w:rPr>
          <w:rFonts w:eastAsiaTheme="minorHAnsi"/>
          <w:i/>
        </w:rPr>
        <w:t xml:space="preserve"> (ICC)</w:t>
      </w:r>
      <w:r w:rsidR="00E43C48" w:rsidRPr="000445B5">
        <w:rPr>
          <w:rFonts w:eastAsiaTheme="minorHAnsi"/>
          <w:i/>
        </w:rPr>
        <w:t>;</w:t>
      </w:r>
    </w:p>
    <w:p w:rsidR="00E43C48" w:rsidRPr="000445B5" w:rsidRDefault="00083D87" w:rsidP="00083D87">
      <w:pPr>
        <w:pStyle w:val="Heading2"/>
        <w:numPr>
          <w:ilvl w:val="0"/>
          <w:numId w:val="0"/>
        </w:numPr>
        <w:ind w:left="1440" w:hanging="720"/>
        <w:rPr>
          <w:rFonts w:eastAsiaTheme="minorHAnsi"/>
          <w:i/>
        </w:rPr>
      </w:pPr>
      <w:r w:rsidRPr="000445B5">
        <w:rPr>
          <w:rFonts w:eastAsiaTheme="minorHAnsi"/>
          <w:i/>
        </w:rPr>
        <w:t>(ii)</w:t>
      </w:r>
      <w:r w:rsidRPr="000445B5">
        <w:rPr>
          <w:rFonts w:eastAsiaTheme="minorHAnsi"/>
          <w:i/>
        </w:rPr>
        <w:tab/>
      </w:r>
      <w:r w:rsidR="00E43C48" w:rsidRPr="000445B5">
        <w:rPr>
          <w:rFonts w:eastAsiaTheme="minorHAnsi"/>
          <w:i/>
        </w:rPr>
        <w:t xml:space="preserve">Incremental operating costs </w:t>
      </w:r>
      <w:r w:rsidR="000D1383" w:rsidRPr="000445B5">
        <w:rPr>
          <w:rFonts w:eastAsiaTheme="minorHAnsi"/>
          <w:i/>
        </w:rPr>
        <w:t xml:space="preserve">(IOC) </w:t>
      </w:r>
      <w:r w:rsidR="00E43C48" w:rsidRPr="000445B5">
        <w:rPr>
          <w:rFonts w:eastAsiaTheme="minorHAnsi"/>
          <w:i/>
        </w:rPr>
        <w:t>for a duration to be determined by the Executive Committee;</w:t>
      </w:r>
    </w:p>
    <w:p w:rsidR="00E43C48" w:rsidRPr="000445B5" w:rsidRDefault="00083D87" w:rsidP="00083D87">
      <w:pPr>
        <w:pStyle w:val="Heading2"/>
        <w:numPr>
          <w:ilvl w:val="0"/>
          <w:numId w:val="0"/>
        </w:numPr>
        <w:ind w:left="1440" w:hanging="720"/>
        <w:rPr>
          <w:rFonts w:eastAsiaTheme="minorHAnsi"/>
          <w:i/>
        </w:rPr>
      </w:pPr>
      <w:r w:rsidRPr="000445B5">
        <w:rPr>
          <w:rFonts w:eastAsiaTheme="minorHAnsi"/>
          <w:i/>
        </w:rPr>
        <w:t>(iii)</w:t>
      </w:r>
      <w:r w:rsidRPr="000445B5">
        <w:rPr>
          <w:rFonts w:eastAsiaTheme="minorHAnsi"/>
          <w:i/>
        </w:rPr>
        <w:tab/>
      </w:r>
      <w:r w:rsidR="00E43C48" w:rsidRPr="000445B5">
        <w:rPr>
          <w:rFonts w:eastAsiaTheme="minorHAnsi"/>
          <w:i/>
        </w:rPr>
        <w:t xml:space="preserve">Technical assistance activities; </w:t>
      </w:r>
    </w:p>
    <w:p w:rsidR="00E43C48" w:rsidRPr="000445B5" w:rsidRDefault="00083D87" w:rsidP="00083D87">
      <w:pPr>
        <w:pStyle w:val="Heading2"/>
        <w:numPr>
          <w:ilvl w:val="0"/>
          <w:numId w:val="0"/>
        </w:numPr>
        <w:ind w:left="1440" w:hanging="720"/>
        <w:rPr>
          <w:rFonts w:eastAsiaTheme="minorHAnsi"/>
          <w:i/>
        </w:rPr>
      </w:pPr>
      <w:r w:rsidRPr="000445B5">
        <w:rPr>
          <w:rFonts w:eastAsiaTheme="minorHAnsi"/>
          <w:i/>
        </w:rPr>
        <w:t>(iv)</w:t>
      </w:r>
      <w:r w:rsidRPr="000445B5">
        <w:rPr>
          <w:rFonts w:eastAsiaTheme="minorHAnsi"/>
          <w:i/>
        </w:rPr>
        <w:tab/>
      </w:r>
      <w:r w:rsidR="00E43C48" w:rsidRPr="000445B5">
        <w:rPr>
          <w:rFonts w:eastAsiaTheme="minorHAnsi"/>
          <w:i/>
        </w:rPr>
        <w:t>Research and development, when required to adapt and optimize low-GWP or zero-GWP alternatives to HFCs;</w:t>
      </w:r>
    </w:p>
    <w:p w:rsidR="00E43C48" w:rsidRPr="000445B5" w:rsidRDefault="00083D87" w:rsidP="00083D87">
      <w:pPr>
        <w:pStyle w:val="Heading2"/>
        <w:numPr>
          <w:ilvl w:val="0"/>
          <w:numId w:val="0"/>
        </w:numPr>
        <w:ind w:left="1440" w:hanging="720"/>
        <w:rPr>
          <w:rFonts w:eastAsiaTheme="minorHAnsi"/>
          <w:i/>
        </w:rPr>
      </w:pPr>
      <w:r w:rsidRPr="000445B5">
        <w:rPr>
          <w:rFonts w:eastAsiaTheme="minorHAnsi"/>
          <w:i/>
        </w:rPr>
        <w:t>(v)</w:t>
      </w:r>
      <w:r w:rsidRPr="000445B5">
        <w:rPr>
          <w:rFonts w:eastAsiaTheme="minorHAnsi"/>
          <w:i/>
        </w:rPr>
        <w:tab/>
      </w:r>
      <w:r w:rsidR="00E43C48" w:rsidRPr="000445B5">
        <w:rPr>
          <w:rFonts w:eastAsiaTheme="minorHAnsi"/>
          <w:i/>
        </w:rPr>
        <w:t xml:space="preserve">Costs of patents and designs, and incremental costs of royalties, when necessary and cost-effective; </w:t>
      </w:r>
      <w:r w:rsidR="00E449FE" w:rsidRPr="000445B5">
        <w:rPr>
          <w:rFonts w:eastAsiaTheme="minorHAnsi"/>
          <w:i/>
        </w:rPr>
        <w:t xml:space="preserve">and </w:t>
      </w:r>
    </w:p>
    <w:p w:rsidR="00E43C48" w:rsidRPr="000445B5" w:rsidRDefault="00083D87" w:rsidP="00083D87">
      <w:pPr>
        <w:pStyle w:val="Heading2"/>
        <w:numPr>
          <w:ilvl w:val="0"/>
          <w:numId w:val="0"/>
        </w:numPr>
        <w:ind w:left="1440" w:hanging="720"/>
        <w:rPr>
          <w:rFonts w:eastAsiaTheme="minorHAnsi"/>
          <w:i/>
        </w:rPr>
      </w:pPr>
      <w:r w:rsidRPr="000445B5">
        <w:rPr>
          <w:rFonts w:eastAsiaTheme="minorHAnsi"/>
          <w:i/>
        </w:rPr>
        <w:t>(vi)</w:t>
      </w:r>
      <w:r w:rsidRPr="000445B5">
        <w:rPr>
          <w:rFonts w:eastAsiaTheme="minorHAnsi"/>
          <w:i/>
        </w:rPr>
        <w:tab/>
      </w:r>
      <w:r w:rsidR="00E43C48" w:rsidRPr="000445B5">
        <w:rPr>
          <w:rFonts w:eastAsiaTheme="minorHAnsi"/>
          <w:i/>
        </w:rPr>
        <w:t>Costs of the safe introduction of flammable and toxic alternatives</w:t>
      </w:r>
      <w:r w:rsidR="003B5B58" w:rsidRPr="000445B5">
        <w:rPr>
          <w:rFonts w:eastAsiaTheme="minorHAnsi"/>
          <w:i/>
        </w:rPr>
        <w:t>”</w:t>
      </w:r>
      <w:r w:rsidR="00A6292F" w:rsidRPr="000445B5">
        <w:rPr>
          <w:rFonts w:eastAsiaTheme="minorHAnsi"/>
          <w:i/>
        </w:rPr>
        <w:t>.</w:t>
      </w:r>
    </w:p>
    <w:p w:rsidR="00031EDF" w:rsidRPr="00C9503D" w:rsidRDefault="00D83378" w:rsidP="00AF3303">
      <w:pPr>
        <w:pStyle w:val="Heading2"/>
        <w:numPr>
          <w:ilvl w:val="0"/>
          <w:numId w:val="0"/>
        </w:numPr>
        <w:rPr>
          <w:u w:val="single"/>
        </w:rPr>
      </w:pPr>
      <w:r w:rsidRPr="00C9503D">
        <w:rPr>
          <w:u w:val="single"/>
        </w:rPr>
        <w:t>Information from Executive Committee members in accordance with decision 77/59(c)</w:t>
      </w:r>
    </w:p>
    <w:p w:rsidR="000D1383" w:rsidRPr="008F7254" w:rsidRDefault="00A11FA6" w:rsidP="008F7254">
      <w:pPr>
        <w:pStyle w:val="Heading1"/>
        <w:rPr>
          <w:rFonts w:eastAsiaTheme="minorHAnsi"/>
          <w:lang w:val="en-CA"/>
        </w:rPr>
      </w:pPr>
      <w:r>
        <w:rPr>
          <w:rFonts w:eastAsiaTheme="minorHAnsi"/>
          <w:lang w:val="en-CA"/>
        </w:rPr>
        <w:t>The Government of Argentina</w:t>
      </w:r>
      <w:r w:rsidR="000D1383" w:rsidRPr="008F7254">
        <w:rPr>
          <w:rFonts w:eastAsiaTheme="minorHAnsi"/>
          <w:lang w:val="en-CA"/>
        </w:rPr>
        <w:t xml:space="preserve"> proposed the following:</w:t>
      </w:r>
    </w:p>
    <w:p w:rsidR="000D1383" w:rsidRPr="008F7254" w:rsidRDefault="000D1383" w:rsidP="004F2C9D">
      <w:pPr>
        <w:pStyle w:val="Heading2"/>
        <w:ind w:left="1418" w:hanging="709"/>
        <w:rPr>
          <w:rFonts w:eastAsiaTheme="minorHAnsi"/>
        </w:rPr>
      </w:pPr>
      <w:r w:rsidRPr="008F7254">
        <w:rPr>
          <w:rFonts w:eastAsiaTheme="minorHAnsi"/>
        </w:rPr>
        <w:lastRenderedPageBreak/>
        <w:t>D</w:t>
      </w:r>
      <w:r w:rsidR="00935A41" w:rsidRPr="008F7254">
        <w:rPr>
          <w:rFonts w:eastAsiaTheme="minorHAnsi"/>
        </w:rPr>
        <w:t xml:space="preserve">ecision </w:t>
      </w:r>
      <w:r w:rsidRPr="008F7254">
        <w:rPr>
          <w:rFonts w:eastAsiaTheme="minorHAnsi"/>
        </w:rPr>
        <w:t>XXVIII/2</w:t>
      </w:r>
      <w:r w:rsidR="00935A41" w:rsidRPr="008F7254">
        <w:rPr>
          <w:rFonts w:eastAsiaTheme="minorHAnsi"/>
        </w:rPr>
        <w:t xml:space="preserve"> </w:t>
      </w:r>
      <w:r w:rsidRPr="008F7254">
        <w:rPr>
          <w:rFonts w:eastAsiaTheme="minorHAnsi"/>
        </w:rPr>
        <w:t xml:space="preserve">should be </w:t>
      </w:r>
      <w:r w:rsidR="00935A41" w:rsidRPr="008F7254">
        <w:rPr>
          <w:rFonts w:eastAsiaTheme="minorHAnsi"/>
        </w:rPr>
        <w:t>the main guiding document</w:t>
      </w:r>
      <w:r w:rsidR="00A63710">
        <w:rPr>
          <w:rFonts w:eastAsiaTheme="minorHAnsi"/>
        </w:rPr>
        <w:t xml:space="preserve"> while</w:t>
      </w:r>
      <w:r w:rsidR="00935A41" w:rsidRPr="008F7254">
        <w:rPr>
          <w:rFonts w:eastAsiaTheme="minorHAnsi"/>
        </w:rPr>
        <w:t xml:space="preserve"> </w:t>
      </w:r>
      <w:r w:rsidRPr="008F7254">
        <w:rPr>
          <w:rFonts w:eastAsiaTheme="minorHAnsi"/>
        </w:rPr>
        <w:t>taking into account</w:t>
      </w:r>
      <w:r w:rsidR="00935A41" w:rsidRPr="008F7254">
        <w:rPr>
          <w:rFonts w:eastAsiaTheme="minorHAnsi"/>
        </w:rPr>
        <w:t xml:space="preserve"> the lessons learnt during HPMP implementation</w:t>
      </w:r>
      <w:r w:rsidRPr="008F7254">
        <w:rPr>
          <w:rFonts w:eastAsiaTheme="minorHAnsi"/>
        </w:rPr>
        <w:t xml:space="preserve"> (i.e., </w:t>
      </w:r>
      <w:r w:rsidR="00935A41" w:rsidRPr="008F7254">
        <w:rPr>
          <w:rFonts w:eastAsiaTheme="minorHAnsi"/>
        </w:rPr>
        <w:t>ICC provided was not sufficient</w:t>
      </w:r>
      <w:r w:rsidRPr="008F7254">
        <w:rPr>
          <w:rFonts w:eastAsiaTheme="minorHAnsi"/>
        </w:rPr>
        <w:t xml:space="preserve"> for some sectors</w:t>
      </w:r>
      <w:r w:rsidR="00935A41" w:rsidRPr="008F7254">
        <w:rPr>
          <w:rFonts w:eastAsiaTheme="minorHAnsi"/>
        </w:rPr>
        <w:t xml:space="preserve"> and IOC should be extended for a much longer period in order to provide sufficient incentive for the conversion to new alternatives</w:t>
      </w:r>
      <w:r w:rsidRPr="008F7254">
        <w:rPr>
          <w:rFonts w:eastAsiaTheme="minorHAnsi"/>
        </w:rPr>
        <w:t>);</w:t>
      </w:r>
    </w:p>
    <w:p w:rsidR="000D1383" w:rsidRPr="008F7254" w:rsidRDefault="000D1383" w:rsidP="004F2C9D">
      <w:pPr>
        <w:pStyle w:val="Heading2"/>
        <w:ind w:left="1418" w:hanging="709"/>
        <w:rPr>
          <w:rFonts w:eastAsiaTheme="minorHAnsi"/>
        </w:rPr>
      </w:pPr>
      <w:r w:rsidRPr="008F7254">
        <w:rPr>
          <w:rFonts w:eastAsiaTheme="minorHAnsi"/>
        </w:rPr>
        <w:t xml:space="preserve">Non-Article 5 countries </w:t>
      </w:r>
      <w:r w:rsidR="00A63710">
        <w:rPr>
          <w:rFonts w:eastAsiaTheme="minorHAnsi"/>
        </w:rPr>
        <w:t>should</w:t>
      </w:r>
      <w:r w:rsidRPr="008F7254">
        <w:rPr>
          <w:rFonts w:eastAsiaTheme="minorHAnsi"/>
        </w:rPr>
        <w:t xml:space="preserve"> </w:t>
      </w:r>
      <w:r w:rsidR="00935A41" w:rsidRPr="008F7254">
        <w:rPr>
          <w:rFonts w:eastAsiaTheme="minorHAnsi"/>
        </w:rPr>
        <w:t xml:space="preserve">demonstrate successful conversions to low-GWP alternatives in their countries and share their experience, especially with those </w:t>
      </w:r>
      <w:r w:rsidRPr="008F7254">
        <w:rPr>
          <w:rFonts w:eastAsiaTheme="minorHAnsi"/>
        </w:rPr>
        <w:t xml:space="preserve">Article 5 </w:t>
      </w:r>
      <w:r w:rsidR="00935A41" w:rsidRPr="008F7254">
        <w:rPr>
          <w:rFonts w:eastAsiaTheme="minorHAnsi"/>
        </w:rPr>
        <w:t>countries, which are facing difficulties in introducing new alternatives</w:t>
      </w:r>
      <w:r w:rsidRPr="008F7254">
        <w:rPr>
          <w:rFonts w:eastAsiaTheme="minorHAnsi"/>
        </w:rPr>
        <w:t>;</w:t>
      </w:r>
    </w:p>
    <w:p w:rsidR="000D1383" w:rsidRPr="008F7254" w:rsidRDefault="002F3F4E" w:rsidP="004F2C9D">
      <w:pPr>
        <w:pStyle w:val="Heading2"/>
        <w:ind w:left="1418" w:hanging="709"/>
        <w:rPr>
          <w:rFonts w:eastAsiaTheme="minorHAnsi"/>
        </w:rPr>
      </w:pPr>
      <w:r w:rsidRPr="008F7254">
        <w:rPr>
          <w:rFonts w:eastAsiaTheme="minorHAnsi"/>
        </w:rPr>
        <w:t>Cost-effectiveness</w:t>
      </w:r>
      <w:r w:rsidR="00E929DF" w:rsidRPr="008F7254">
        <w:rPr>
          <w:rFonts w:eastAsiaTheme="minorHAnsi"/>
        </w:rPr>
        <w:t xml:space="preserve"> </w:t>
      </w:r>
      <w:r w:rsidR="00935A41" w:rsidRPr="008F7254">
        <w:rPr>
          <w:rFonts w:eastAsiaTheme="minorHAnsi"/>
        </w:rPr>
        <w:t>thresholds should be developed using actual incremental costs of HFC phase-out. Those actual incremental cost items should become the basis for a list of standard, eligible equipment for</w:t>
      </w:r>
      <w:r w:rsidR="000D1383" w:rsidRPr="008F7254">
        <w:rPr>
          <w:rFonts w:eastAsiaTheme="minorHAnsi"/>
        </w:rPr>
        <w:t xml:space="preserve"> the particular sector</w:t>
      </w:r>
      <w:r w:rsidR="00E929DF" w:rsidRPr="008F7254">
        <w:rPr>
          <w:rFonts w:eastAsiaTheme="minorHAnsi"/>
        </w:rPr>
        <w:t xml:space="preserve">. </w:t>
      </w:r>
      <w:r w:rsidR="00935A41" w:rsidRPr="008F7254">
        <w:rPr>
          <w:rFonts w:eastAsiaTheme="minorHAnsi"/>
        </w:rPr>
        <w:t>The Ex</w:t>
      </w:r>
      <w:r w:rsidR="00E929DF" w:rsidRPr="008F7254">
        <w:rPr>
          <w:rFonts w:eastAsiaTheme="minorHAnsi"/>
        </w:rPr>
        <w:t>ecutive Committee s</w:t>
      </w:r>
      <w:r w:rsidR="00935A41" w:rsidRPr="008F7254">
        <w:rPr>
          <w:rFonts w:eastAsiaTheme="minorHAnsi"/>
        </w:rPr>
        <w:t xml:space="preserve">hould then approve new </w:t>
      </w:r>
      <w:r w:rsidRPr="008F7254">
        <w:rPr>
          <w:rFonts w:eastAsiaTheme="minorHAnsi"/>
        </w:rPr>
        <w:t>cost-effectiveness</w:t>
      </w:r>
      <w:r w:rsidR="00935A41" w:rsidRPr="008F7254">
        <w:rPr>
          <w:rFonts w:eastAsiaTheme="minorHAnsi"/>
        </w:rPr>
        <w:t xml:space="preserve"> thresholds and the associated standard list of </w:t>
      </w:r>
      <w:r w:rsidRPr="008F7254">
        <w:rPr>
          <w:rFonts w:eastAsiaTheme="minorHAnsi"/>
        </w:rPr>
        <w:t xml:space="preserve">equipment for each subsector. </w:t>
      </w:r>
      <w:r w:rsidR="00935A41" w:rsidRPr="008F7254">
        <w:rPr>
          <w:rFonts w:eastAsiaTheme="minorHAnsi"/>
        </w:rPr>
        <w:t xml:space="preserve">The Secretariat would be required to apply the thresholds and the standard list of equipment in its project review to ensure </w:t>
      </w:r>
      <w:r w:rsidR="000D1383" w:rsidRPr="008F7254">
        <w:rPr>
          <w:rFonts w:eastAsiaTheme="minorHAnsi"/>
        </w:rPr>
        <w:t>transparency and equity;</w:t>
      </w:r>
    </w:p>
    <w:p w:rsidR="00E929DF" w:rsidRPr="008F7254" w:rsidRDefault="00935A41" w:rsidP="004F2C9D">
      <w:pPr>
        <w:pStyle w:val="Heading2"/>
        <w:ind w:left="1418" w:hanging="709"/>
        <w:rPr>
          <w:rFonts w:eastAsiaTheme="minorHAnsi"/>
        </w:rPr>
      </w:pPr>
      <w:r w:rsidRPr="008F7254">
        <w:rPr>
          <w:rFonts w:eastAsiaTheme="minorHAnsi"/>
        </w:rPr>
        <w:t xml:space="preserve">To implement this approach, a cost template should be developed by the Secretariat and </w:t>
      </w:r>
      <w:r w:rsidR="00E929DF" w:rsidRPr="008F7254">
        <w:rPr>
          <w:rFonts w:eastAsiaTheme="minorHAnsi"/>
        </w:rPr>
        <w:t>i</w:t>
      </w:r>
      <w:r w:rsidRPr="008F7254">
        <w:rPr>
          <w:rFonts w:eastAsiaTheme="minorHAnsi"/>
        </w:rPr>
        <w:t xml:space="preserve">mplementing </w:t>
      </w:r>
      <w:r w:rsidR="00E929DF" w:rsidRPr="008F7254">
        <w:rPr>
          <w:rFonts w:eastAsiaTheme="minorHAnsi"/>
        </w:rPr>
        <w:t>a</w:t>
      </w:r>
      <w:r w:rsidRPr="008F7254">
        <w:rPr>
          <w:rFonts w:eastAsiaTheme="minorHAnsi"/>
        </w:rPr>
        <w:t>gencies (as was done for CFCs)</w:t>
      </w:r>
      <w:r w:rsidR="002F3F4E" w:rsidRPr="008F7254">
        <w:rPr>
          <w:rFonts w:eastAsiaTheme="minorHAnsi"/>
        </w:rPr>
        <w:t xml:space="preserve"> for reviewing project costs. </w:t>
      </w:r>
      <w:r w:rsidRPr="008F7254">
        <w:rPr>
          <w:rFonts w:eastAsiaTheme="minorHAnsi"/>
        </w:rPr>
        <w:t>With the above standard costs and set of equipment, there would be no need to maintain artificial levels of IOC</w:t>
      </w:r>
      <w:r w:rsidR="00E929DF" w:rsidRPr="008F7254">
        <w:rPr>
          <w:rFonts w:eastAsiaTheme="minorHAnsi"/>
        </w:rPr>
        <w:t xml:space="preserve">; </w:t>
      </w:r>
      <w:r w:rsidR="00C9503D">
        <w:rPr>
          <w:rFonts w:eastAsiaTheme="minorHAnsi"/>
        </w:rPr>
        <w:t>and</w:t>
      </w:r>
    </w:p>
    <w:p w:rsidR="00935A41" w:rsidRPr="008F7254" w:rsidRDefault="00935A41" w:rsidP="004F2C9D">
      <w:pPr>
        <w:pStyle w:val="Heading2"/>
        <w:ind w:left="1418" w:hanging="709"/>
        <w:rPr>
          <w:rFonts w:eastAsiaTheme="minorHAnsi"/>
        </w:rPr>
      </w:pPr>
      <w:r w:rsidRPr="008F7254">
        <w:rPr>
          <w:rFonts w:eastAsiaTheme="minorHAnsi"/>
        </w:rPr>
        <w:t xml:space="preserve">Where required information for establishing the above thresholds is not available, the </w:t>
      </w:r>
      <w:r w:rsidR="00E929DF" w:rsidRPr="008F7254">
        <w:rPr>
          <w:rFonts w:eastAsiaTheme="minorHAnsi"/>
        </w:rPr>
        <w:t>Executive Committee</w:t>
      </w:r>
      <w:r w:rsidRPr="008F7254">
        <w:rPr>
          <w:rFonts w:eastAsiaTheme="minorHAnsi"/>
        </w:rPr>
        <w:t xml:space="preserve"> would commission an external technical review by experts selected by the Ex</w:t>
      </w:r>
      <w:r w:rsidR="00E929DF" w:rsidRPr="008F7254">
        <w:rPr>
          <w:rFonts w:eastAsiaTheme="minorHAnsi"/>
        </w:rPr>
        <w:t>ecutive Committee</w:t>
      </w:r>
      <w:r w:rsidRPr="008F7254">
        <w:rPr>
          <w:rFonts w:eastAsiaTheme="minorHAnsi"/>
        </w:rPr>
        <w:t xml:space="preserve"> to determine actual costs as experienced in developed countries and/or approve demonstration projects with an aim to obtain this information.</w:t>
      </w:r>
    </w:p>
    <w:p w:rsidR="0043059A" w:rsidRPr="0043059A" w:rsidRDefault="0043059A" w:rsidP="0043059A">
      <w:pPr>
        <w:pStyle w:val="Heading1"/>
      </w:pPr>
      <w:r w:rsidRPr="0043059A">
        <w:t>T</w:t>
      </w:r>
      <w:r w:rsidRPr="0043059A">
        <w:rPr>
          <w:lang w:val="en-CA"/>
        </w:rPr>
        <w:t xml:space="preserve">he Government of Germany </w:t>
      </w:r>
      <w:r w:rsidRPr="0043059A">
        <w:t>provided the following information</w:t>
      </w:r>
      <w:r w:rsidRPr="0043059A">
        <w:rPr>
          <w:lang w:val="en-CA"/>
        </w:rPr>
        <w:t xml:space="preserve"> regarding the ICC and IOC for a duration </w:t>
      </w:r>
      <w:r w:rsidRPr="0043059A">
        <w:t>determined by the Executive Committee:</w:t>
      </w:r>
    </w:p>
    <w:p w:rsidR="00935A41" w:rsidRPr="008F7254" w:rsidRDefault="00877614" w:rsidP="004F2C9D">
      <w:pPr>
        <w:pStyle w:val="Heading2"/>
        <w:ind w:left="1418" w:hanging="709"/>
      </w:pPr>
      <w:r w:rsidRPr="008F7254">
        <w:t>General</w:t>
      </w:r>
      <w:r w:rsidR="00935A41" w:rsidRPr="008F7254">
        <w:t xml:space="preserve"> market </w:t>
      </w:r>
      <w:r w:rsidR="005E1B51" w:rsidRPr="008F7254">
        <w:t>consideration</w:t>
      </w:r>
      <w:r w:rsidRPr="008F7254">
        <w:t>s</w:t>
      </w:r>
      <w:r w:rsidR="00E929DF" w:rsidRPr="008F7254">
        <w:t>:</w:t>
      </w:r>
      <w:r w:rsidR="005E1B51" w:rsidRPr="008F7254">
        <w:t xml:space="preserve"> </w:t>
      </w:r>
      <w:r w:rsidR="00935A41" w:rsidRPr="008F7254">
        <w:t>Technology deployment will develop faster after the ratification of the Kigali Amendment;</w:t>
      </w:r>
      <w:r w:rsidR="005E1B51" w:rsidRPr="008F7254">
        <w:t xml:space="preserve"> </w:t>
      </w:r>
      <w:r w:rsidR="00935A41" w:rsidRPr="008F7254">
        <w:t>ICC/IOC need to be seen in light of the early phase</w:t>
      </w:r>
      <w:r w:rsidR="00C05C51">
        <w:t>-</w:t>
      </w:r>
      <w:r w:rsidR="00935A41" w:rsidRPr="008F7254">
        <w:t xml:space="preserve">down in many </w:t>
      </w:r>
      <w:r w:rsidRPr="008F7254">
        <w:t>non-Article 5</w:t>
      </w:r>
      <w:r w:rsidR="00935A41" w:rsidRPr="008F7254">
        <w:t xml:space="preserve"> countries</w:t>
      </w:r>
      <w:r w:rsidRPr="008F7254">
        <w:t>;</w:t>
      </w:r>
      <w:r w:rsidR="00935A41" w:rsidRPr="008F7254">
        <w:t xml:space="preserve"> the market will be very different </w:t>
      </w:r>
      <w:r w:rsidRPr="008F7254">
        <w:t>five</w:t>
      </w:r>
      <w:r w:rsidR="00935A41" w:rsidRPr="008F7254">
        <w:t xml:space="preserve"> y</w:t>
      </w:r>
      <w:r w:rsidR="00E929DF" w:rsidRPr="008F7254">
        <w:t>ea</w:t>
      </w:r>
      <w:r w:rsidR="00935A41" w:rsidRPr="008F7254">
        <w:t>rs from now;</w:t>
      </w:r>
      <w:r w:rsidR="005E1B51" w:rsidRPr="008F7254">
        <w:t xml:space="preserve"> </w:t>
      </w:r>
      <w:r w:rsidRPr="008F7254">
        <w:t>s</w:t>
      </w:r>
      <w:r w:rsidR="00935A41" w:rsidRPr="008F7254">
        <w:t>tart with cost</w:t>
      </w:r>
      <w:r w:rsidR="00C05C51">
        <w:t>-</w:t>
      </w:r>
      <w:r w:rsidR="00935A41" w:rsidRPr="008F7254">
        <w:t xml:space="preserve">effective alternatives, </w:t>
      </w:r>
      <w:r w:rsidRPr="008F7254">
        <w:t xml:space="preserve">backload </w:t>
      </w:r>
      <w:r w:rsidR="00935A41" w:rsidRPr="008F7254">
        <w:t>conversions where there are no cost-effective alternatives yet;</w:t>
      </w:r>
      <w:r w:rsidR="005E1B51" w:rsidRPr="008F7254">
        <w:t xml:space="preserve"> </w:t>
      </w:r>
      <w:r w:rsidR="00935A41" w:rsidRPr="008F7254">
        <w:t>incentive systems need to be developed for low-</w:t>
      </w:r>
      <w:r w:rsidR="004020AF" w:rsidRPr="008F7254">
        <w:t xml:space="preserve">and </w:t>
      </w:r>
      <w:r w:rsidR="00935A41" w:rsidRPr="008F7254">
        <w:t>zero</w:t>
      </w:r>
      <w:r w:rsidR="003B5F68">
        <w:noBreakHyphen/>
      </w:r>
      <w:r w:rsidR="00935A41" w:rsidRPr="008F7254">
        <w:t xml:space="preserve">GWP </w:t>
      </w:r>
      <w:r w:rsidR="004020AF" w:rsidRPr="008F7254">
        <w:t xml:space="preserve">alternatives </w:t>
      </w:r>
      <w:r w:rsidR="00935A41" w:rsidRPr="008F7254">
        <w:t>versus technologies based on HFC</w:t>
      </w:r>
      <w:r w:rsidR="004020AF" w:rsidRPr="008F7254">
        <w:t>s</w:t>
      </w:r>
      <w:r w:rsidRPr="008F7254">
        <w:t>;</w:t>
      </w:r>
      <w:r w:rsidR="00935A41" w:rsidRPr="008F7254">
        <w:t xml:space="preserve"> </w:t>
      </w:r>
    </w:p>
    <w:p w:rsidR="00935A41" w:rsidRPr="008F7254" w:rsidRDefault="00877614" w:rsidP="004F2C9D">
      <w:pPr>
        <w:pStyle w:val="Heading2"/>
        <w:ind w:left="1418" w:hanging="709"/>
      </w:pPr>
      <w:r w:rsidRPr="008F7254">
        <w:t>ICC need to t</w:t>
      </w:r>
      <w:r w:rsidR="00935A41" w:rsidRPr="008F7254">
        <w:t xml:space="preserve">ake into account </w:t>
      </w:r>
      <w:r w:rsidR="00A63710">
        <w:t xml:space="preserve">an </w:t>
      </w:r>
      <w:r w:rsidR="00935A41" w:rsidRPr="008F7254">
        <w:t>ongoing review of prices for components, parts and refrigerants;</w:t>
      </w:r>
      <w:r w:rsidR="00FA61E3" w:rsidRPr="008F7254">
        <w:t xml:space="preserve"> and </w:t>
      </w:r>
      <w:r w:rsidR="00A63710">
        <w:t xml:space="preserve">the </w:t>
      </w:r>
      <w:r w:rsidR="00FA61E3" w:rsidRPr="008F7254">
        <w:t>s</w:t>
      </w:r>
      <w:r w:rsidR="00935A41" w:rsidRPr="008F7254">
        <w:t xml:space="preserve">tarting point of </w:t>
      </w:r>
      <w:r w:rsidRPr="008F7254">
        <w:t>cost-effectiveness</w:t>
      </w:r>
      <w:r w:rsidR="00935A41" w:rsidRPr="008F7254">
        <w:t xml:space="preserve"> considerations should be the existing HPMP guidelines, </w:t>
      </w:r>
      <w:r w:rsidRPr="008F7254">
        <w:t xml:space="preserve">noting </w:t>
      </w:r>
      <w:r w:rsidR="00935A41" w:rsidRPr="008F7254">
        <w:t>that with increasing market introduction, prices will</w:t>
      </w:r>
      <w:r w:rsidRPr="008F7254">
        <w:t xml:space="preserve"> decrease;</w:t>
      </w:r>
    </w:p>
    <w:p w:rsidR="00CF1AFA" w:rsidRPr="00CF1AFA" w:rsidRDefault="00FB084D" w:rsidP="004F2C9D">
      <w:pPr>
        <w:pStyle w:val="Heading2"/>
        <w:keepNext/>
        <w:widowControl/>
        <w:ind w:left="1418" w:hanging="709"/>
      </w:pPr>
      <w:r w:rsidRPr="00C12EC9">
        <w:t xml:space="preserve">Approval of IOCs needs to take into account negative experiences with cash payments of IOCs, and consequently the need for seamless monitoring and control of the sustainability of such transitions. IOCs should not be extended over a longer period of time as they are only meant to compensate for a loss during the initial market introduction that is caused by a lack of established procedures. As new products are generally thought to be overall more competitive than the predecessor products/services they replace, there is no longer-term need for IOC. </w:t>
      </w:r>
      <w:r w:rsidR="00CF1AFA" w:rsidRPr="00CF1AFA">
        <w:t xml:space="preserve">Keep the limit to transfer of funds from eligible ICC to IOC at 20 per cent. Considering the average implementation period of 36 months for approved projects, and that the application of present market prices for some alternatives, such as HFOs, for which there is presently only marginal production, is highly volatile and speculative, in these cases IOCs need to be based on real production price, rather than on speculative </w:t>
      </w:r>
      <w:r w:rsidR="00CF1AFA" w:rsidRPr="00CF1AFA">
        <w:lastRenderedPageBreak/>
        <w:t>prices stimulated by initially limited supplies. The Secretariat should be asked to describe marginal production costs of HFOs and HFC-32;</w:t>
      </w:r>
    </w:p>
    <w:p w:rsidR="00935A41" w:rsidRPr="00CF1AFA" w:rsidRDefault="00FB084D" w:rsidP="004F2C9D">
      <w:pPr>
        <w:pStyle w:val="Heading2"/>
        <w:ind w:left="1418" w:hanging="709"/>
        <w:rPr>
          <w:lang w:val="en-US"/>
        </w:rPr>
      </w:pPr>
      <w:r>
        <w:t>I</w:t>
      </w:r>
      <w:r w:rsidR="009075A6" w:rsidRPr="008F7254">
        <w:t>n</w:t>
      </w:r>
      <w:r w:rsidR="00935A41" w:rsidRPr="008F7254">
        <w:t xml:space="preserve"> manufacturing</w:t>
      </w:r>
      <w:r w:rsidR="009075A6" w:rsidRPr="008F7254">
        <w:t>,</w:t>
      </w:r>
      <w:r w:rsidR="00935A41" w:rsidRPr="008F7254">
        <w:t xml:space="preserve"> prioritize subsectors with</w:t>
      </w:r>
      <w:r>
        <w:t xml:space="preserve"> the</w:t>
      </w:r>
      <w:r w:rsidR="00935A41" w:rsidRPr="008F7254">
        <w:t xml:space="preserve"> highest impact, both </w:t>
      </w:r>
      <w:r>
        <w:t xml:space="preserve">with regard to </w:t>
      </w:r>
      <w:r w:rsidR="00935A41" w:rsidRPr="008F7254">
        <w:t>the GWP of the alternative and the lifetime consumption (taking into account initial charge and refill).</w:t>
      </w:r>
      <w:r w:rsidR="00FA61E3" w:rsidRPr="008F7254">
        <w:t xml:space="preserve"> </w:t>
      </w:r>
      <w:r w:rsidR="009075A6" w:rsidRPr="008F7254">
        <w:t>Based on the</w:t>
      </w:r>
      <w:r w:rsidR="00FA61E3" w:rsidRPr="008F7254">
        <w:t xml:space="preserve"> a</w:t>
      </w:r>
      <w:r w:rsidR="00935A41" w:rsidRPr="008F7254">
        <w:t xml:space="preserve">verage </w:t>
      </w:r>
      <w:r w:rsidR="00FA61E3" w:rsidRPr="008F7254">
        <w:t>l</w:t>
      </w:r>
      <w:r w:rsidR="00935A41" w:rsidRPr="008F7254">
        <w:t xml:space="preserve">ifetimes and leakage-rate per year for equipment in the various </w:t>
      </w:r>
      <w:r w:rsidR="00FA61E3" w:rsidRPr="008F7254">
        <w:t>refrigeration and air</w:t>
      </w:r>
      <w:r w:rsidR="00C05C51">
        <w:t>-</w:t>
      </w:r>
      <w:r w:rsidR="00FA61E3" w:rsidRPr="008F7254">
        <w:t xml:space="preserve">conditioning </w:t>
      </w:r>
      <w:r w:rsidR="00935A41" w:rsidRPr="008F7254">
        <w:t>subsectors for Article 5 Parties</w:t>
      </w:r>
      <w:r w:rsidR="009075A6" w:rsidRPr="008F7254">
        <w:t>,</w:t>
      </w:r>
      <w:r w:rsidR="00935A41" w:rsidRPr="008F7254">
        <w:t xml:space="preserve"> early action would have the largest impact in the industrial, commercial and stationary </w:t>
      </w:r>
      <w:r w:rsidR="00FD411E">
        <w:t>air-conditioning</w:t>
      </w:r>
      <w:r w:rsidR="00935A41" w:rsidRPr="008F7254">
        <w:t xml:space="preserve"> sector</w:t>
      </w:r>
      <w:r w:rsidR="00FA61E3" w:rsidRPr="008F7254">
        <w:t xml:space="preserve">, while the </w:t>
      </w:r>
      <w:r w:rsidR="00935A41" w:rsidRPr="008F7254">
        <w:t>impact in the domestic</w:t>
      </w:r>
      <w:r w:rsidR="006B23B3">
        <w:t xml:space="preserve"> refrigeration</w:t>
      </w:r>
      <w:r w:rsidR="00935A41" w:rsidRPr="008F7254">
        <w:t xml:space="preserve"> sector would be low</w:t>
      </w:r>
      <w:r w:rsidR="00FA61E3" w:rsidRPr="008F7254">
        <w:t>er</w:t>
      </w:r>
      <w:r w:rsidR="00935A41" w:rsidRPr="008F7254">
        <w:t xml:space="preserve"> (less than 10</w:t>
      </w:r>
      <w:r w:rsidR="003E1F5C" w:rsidRPr="008F7254">
        <w:t xml:space="preserve"> per cent</w:t>
      </w:r>
      <w:r w:rsidR="00935A41" w:rsidRPr="008F7254">
        <w:t xml:space="preserve"> compared to the other </w:t>
      </w:r>
      <w:r w:rsidR="009075A6" w:rsidRPr="008F7254">
        <w:t>sectors)</w:t>
      </w:r>
      <w:r w:rsidR="00935A41" w:rsidRPr="008F7254">
        <w:t xml:space="preserve">. </w:t>
      </w:r>
      <w:r w:rsidR="009075A6" w:rsidRPr="008F7254">
        <w:t>T</w:t>
      </w:r>
      <w:r w:rsidR="00935A41" w:rsidRPr="008F7254">
        <w:t>he impact of lifetime emissions influences the impact of mitigation scenarios</w:t>
      </w:r>
      <w:r w:rsidR="009075A6" w:rsidRPr="008F7254">
        <w:t xml:space="preserve">; for instance air-conditioning conversion to zero/low GWP has the highest reduction potential and cost-effectiveness compared to measures in the domestic refrigeration sector or conversion of air-conditioning to HFCs </w:t>
      </w:r>
      <w:r w:rsidR="00FA61E3" w:rsidRPr="008F7254">
        <w:t xml:space="preserve">(e.g., </w:t>
      </w:r>
      <w:r w:rsidR="004D2B16" w:rsidRPr="008F7254">
        <w:t xml:space="preserve">converting </w:t>
      </w:r>
      <w:r w:rsidR="00935A41" w:rsidRPr="008F7254">
        <w:t>10</w:t>
      </w:r>
      <w:r w:rsidR="00FA61E3" w:rsidRPr="008F7254">
        <w:t xml:space="preserve"> per cent </w:t>
      </w:r>
      <w:r w:rsidR="00935A41" w:rsidRPr="008F7254">
        <w:t xml:space="preserve">of the </w:t>
      </w:r>
      <w:r w:rsidR="00FA61E3" w:rsidRPr="008F7254">
        <w:t>R</w:t>
      </w:r>
      <w:r w:rsidR="00572858" w:rsidRPr="008F7254">
        <w:noBreakHyphen/>
      </w:r>
      <w:r w:rsidR="00935A41" w:rsidRPr="008F7254">
        <w:t xml:space="preserve">410A </w:t>
      </w:r>
      <w:r w:rsidR="00D91445" w:rsidRPr="008F7254">
        <w:t xml:space="preserve">used </w:t>
      </w:r>
      <w:r w:rsidR="00935A41" w:rsidRPr="008F7254">
        <w:t xml:space="preserve">in stationary </w:t>
      </w:r>
      <w:r w:rsidR="00D91445" w:rsidRPr="008F7254">
        <w:t>air-conditioning</w:t>
      </w:r>
      <w:r w:rsidR="004D2B16" w:rsidRPr="008F7254">
        <w:t xml:space="preserve"> to propane would offset the total </w:t>
      </w:r>
      <w:r w:rsidR="00D91445" w:rsidRPr="008F7254">
        <w:t xml:space="preserve">lifetime </w:t>
      </w:r>
      <w:r w:rsidR="004D2B16" w:rsidRPr="008F7254">
        <w:t>emissions of the domestic refrigeration sector</w:t>
      </w:r>
      <w:r w:rsidR="00D91445" w:rsidRPr="008F7254">
        <w:t xml:space="preserve"> (in MTCO</w:t>
      </w:r>
      <w:r w:rsidR="00D91445" w:rsidRPr="00CF1AFA">
        <w:rPr>
          <w:vertAlign w:val="subscript"/>
        </w:rPr>
        <w:t>2</w:t>
      </w:r>
      <w:r w:rsidR="00D91445" w:rsidRPr="008F7254">
        <w:t xml:space="preserve"> eq)</w:t>
      </w:r>
      <w:r w:rsidR="004D2B16" w:rsidRPr="008F7254">
        <w:t>, whil</w:t>
      </w:r>
      <w:r w:rsidR="00D91445" w:rsidRPr="008F7254">
        <w:t>e</w:t>
      </w:r>
      <w:r w:rsidR="004D2B16" w:rsidRPr="008F7254">
        <w:t xml:space="preserve"> </w:t>
      </w:r>
      <w:r w:rsidR="00D91445" w:rsidRPr="008F7254">
        <w:t>replacing by</w:t>
      </w:r>
      <w:r w:rsidR="004D2B16" w:rsidRPr="008F7254">
        <w:t xml:space="preserve"> HFC</w:t>
      </w:r>
      <w:r w:rsidR="00572858" w:rsidRPr="008F7254">
        <w:noBreakHyphen/>
      </w:r>
      <w:r w:rsidR="004D2B16" w:rsidRPr="008F7254">
        <w:t xml:space="preserve">32 would </w:t>
      </w:r>
      <w:r w:rsidR="00D91445" w:rsidRPr="008F7254">
        <w:t>require additional conversions i</w:t>
      </w:r>
      <w:r w:rsidR="00091B0C" w:rsidRPr="008F7254">
        <w:t>n order to have the same effect</w:t>
      </w:r>
      <w:r w:rsidR="008B14E9">
        <w:t>)</w:t>
      </w:r>
      <w:r w:rsidR="00091B0C" w:rsidRPr="008F7254">
        <w:t>; and</w:t>
      </w:r>
    </w:p>
    <w:p w:rsidR="00935A41" w:rsidRPr="008F7254" w:rsidRDefault="006337BD" w:rsidP="004F2C9D">
      <w:pPr>
        <w:pStyle w:val="Heading2"/>
        <w:ind w:left="1418" w:hanging="709"/>
      </w:pPr>
      <w:r w:rsidRPr="008F7254">
        <w:t>Based on the</w:t>
      </w:r>
      <w:r w:rsidR="00CD2D11" w:rsidRPr="008F7254">
        <w:t xml:space="preserve"> </w:t>
      </w:r>
      <w:r w:rsidRPr="008F7254">
        <w:t>above, en</w:t>
      </w:r>
      <w:r w:rsidR="00935A41" w:rsidRPr="008F7254">
        <w:t xml:space="preserve">abling activities need to build framework conditions and capacities to manage flammability and toxicity issues for </w:t>
      </w:r>
      <w:r w:rsidR="00FB084D">
        <w:t xml:space="preserve">the </w:t>
      </w:r>
      <w:r w:rsidR="00935A41" w:rsidRPr="008F7254">
        <w:t>safe introduction of HFC</w:t>
      </w:r>
      <w:r w:rsidR="00213988">
        <w:noBreakHyphen/>
      </w:r>
      <w:r w:rsidR="00935A41" w:rsidRPr="008F7254">
        <w:t xml:space="preserve">free alternatives and </w:t>
      </w:r>
      <w:r w:rsidR="00FB084D">
        <w:t xml:space="preserve">to </w:t>
      </w:r>
      <w:r w:rsidR="00935A41" w:rsidRPr="008F7254">
        <w:t>initiate the local adaptation of rules and standards in support of demonstration projects.</w:t>
      </w:r>
    </w:p>
    <w:p w:rsidR="00031EDF" w:rsidRPr="008F7254" w:rsidRDefault="00031EDF" w:rsidP="008F7254">
      <w:pPr>
        <w:pStyle w:val="Heading1"/>
        <w:keepNext/>
        <w:numPr>
          <w:ilvl w:val="0"/>
          <w:numId w:val="0"/>
        </w:numPr>
        <w:rPr>
          <w:u w:val="single"/>
        </w:rPr>
      </w:pPr>
      <w:r w:rsidRPr="008F7254">
        <w:rPr>
          <w:u w:val="single"/>
        </w:rPr>
        <w:t>Previous Executive Committee decisions and practice</w:t>
      </w:r>
    </w:p>
    <w:p w:rsidR="0008056C" w:rsidRPr="008F7254" w:rsidRDefault="0008056C" w:rsidP="008F7254">
      <w:pPr>
        <w:keepNext/>
        <w:spacing w:after="240"/>
        <w:outlineLvl w:val="0"/>
        <w:rPr>
          <w:i/>
        </w:rPr>
      </w:pPr>
      <w:r w:rsidRPr="008F7254">
        <w:rPr>
          <w:i/>
        </w:rPr>
        <w:t>Cost-effectiveness thresholds and incremental capital cost</w:t>
      </w:r>
    </w:p>
    <w:p w:rsidR="00AA0CB4" w:rsidRPr="008F7254" w:rsidRDefault="00AA0CB4" w:rsidP="008F7254">
      <w:pPr>
        <w:pStyle w:val="Heading1"/>
        <w:keepNext/>
      </w:pPr>
      <w:r w:rsidRPr="008F7254">
        <w:t xml:space="preserve">In early 1995, cost-effectiveness threshold values were established to prioritize approvals of investment projects, since the level of funding requested in submitted projects was above the level of funding available at that time in the Multilateral Fund. This permitted an equitable distribution of the available funding between the various sectors, </w:t>
      </w:r>
      <w:r w:rsidR="00C649D1">
        <w:t xml:space="preserve">covering all Article 5 countries and </w:t>
      </w:r>
      <w:r w:rsidRPr="008F7254">
        <w:t>ensuring that no sectors were left without financial support</w:t>
      </w:r>
      <w:r w:rsidR="007547FF">
        <w:t>.</w:t>
      </w:r>
      <w:r w:rsidRPr="008F7254">
        <w:rPr>
          <w:vertAlign w:val="superscript"/>
        </w:rPr>
        <w:footnoteReference w:id="15"/>
      </w:r>
      <w:r w:rsidRPr="008F7254">
        <w:t xml:space="preserve"> </w:t>
      </w:r>
    </w:p>
    <w:p w:rsidR="003717E3" w:rsidRPr="008F7254" w:rsidRDefault="00C575BD" w:rsidP="008F7254">
      <w:pPr>
        <w:pStyle w:val="Heading1"/>
      </w:pPr>
      <w:r>
        <w:t>T</w:t>
      </w:r>
      <w:r w:rsidR="003717E3" w:rsidRPr="008F7254">
        <w:t>he Secretariat has always reviewed project</w:t>
      </w:r>
      <w:r>
        <w:t xml:space="preserve"> proposals</w:t>
      </w:r>
      <w:r w:rsidR="003717E3" w:rsidRPr="008F7254">
        <w:t xml:space="preserve"> based on</w:t>
      </w:r>
      <w:r w:rsidR="00AA0CB4" w:rsidRPr="008F7254">
        <w:t xml:space="preserve"> the incremental cost</w:t>
      </w:r>
      <w:r w:rsidR="00AA0CB4" w:rsidRPr="008F7254">
        <w:rPr>
          <w:rStyle w:val="FootnoteReference"/>
        </w:rPr>
        <w:footnoteReference w:id="16"/>
      </w:r>
      <w:r w:rsidR="00AA0CB4" w:rsidRPr="008F7254">
        <w:t xml:space="preserve"> and </w:t>
      </w:r>
      <w:r>
        <w:t>in line with the guidelines and decisions of the Executive Committee</w:t>
      </w:r>
      <w:r w:rsidR="00AA0CB4" w:rsidRPr="008F7254">
        <w:t>. The incremental cost is assessed based on,</w:t>
      </w:r>
      <w:r w:rsidR="003717E3" w:rsidRPr="008F7254">
        <w:t xml:space="preserve"> </w:t>
      </w:r>
      <w:r w:rsidR="003717E3" w:rsidRPr="008F7254">
        <w:rPr>
          <w:i/>
        </w:rPr>
        <w:t>inter alia,</w:t>
      </w:r>
      <w:r w:rsidR="003717E3" w:rsidRPr="008F7254">
        <w:t xml:space="preserve"> the </w:t>
      </w:r>
      <w:r w:rsidR="00600AE2" w:rsidRPr="008F7254">
        <w:t xml:space="preserve">baseline </w:t>
      </w:r>
      <w:r w:rsidR="003717E3" w:rsidRPr="008F7254">
        <w:t xml:space="preserve">equipment in the </w:t>
      </w:r>
      <w:r w:rsidR="00600AE2" w:rsidRPr="008F7254">
        <w:t>enterprise</w:t>
      </w:r>
      <w:r w:rsidR="003717E3" w:rsidRPr="008F7254">
        <w:t xml:space="preserve">, the number of products manufactured, the amount of </w:t>
      </w:r>
      <w:r w:rsidR="004020AF" w:rsidRPr="008F7254">
        <w:t>controlled substances</w:t>
      </w:r>
      <w:r w:rsidR="003717E3" w:rsidRPr="008F7254">
        <w:t xml:space="preserve"> and other raw materials used, </w:t>
      </w:r>
      <w:r w:rsidR="00E458A7" w:rsidRPr="008F7254">
        <w:t xml:space="preserve">the </w:t>
      </w:r>
      <w:r w:rsidR="00600AE2" w:rsidRPr="008F7254">
        <w:t>consideration</w:t>
      </w:r>
      <w:r w:rsidR="00E458A7" w:rsidRPr="008F7254">
        <w:t xml:space="preserve"> of technological upgrades</w:t>
      </w:r>
      <w:r w:rsidR="00E458A7" w:rsidRPr="008F7254">
        <w:rPr>
          <w:rStyle w:val="FootnoteReference"/>
        </w:rPr>
        <w:footnoteReference w:id="17"/>
      </w:r>
      <w:r w:rsidR="00E458A7" w:rsidRPr="008F7254">
        <w:t xml:space="preserve"> </w:t>
      </w:r>
      <w:r w:rsidR="003717E3" w:rsidRPr="008F7254">
        <w:t>and the alternative technology selected. Once all technical and cost issues have been satisfactorily addressed and an agreement</w:t>
      </w:r>
      <w:r w:rsidR="00AA0CB4" w:rsidRPr="008F7254">
        <w:t xml:space="preserve"> on the incremental cost </w:t>
      </w:r>
      <w:r w:rsidR="003717E3" w:rsidRPr="008F7254">
        <w:t>has been reached between the Secretariat and relevant bilateral/implementing agencies, the cost</w:t>
      </w:r>
      <w:r w:rsidR="00CA694E" w:rsidRPr="008F7254">
        <w:noBreakHyphen/>
      </w:r>
      <w:r w:rsidR="003717E3" w:rsidRPr="008F7254">
        <w:t xml:space="preserve">effectiveness of the project is calculated by dividing the agreed level of funding by the total amount of </w:t>
      </w:r>
      <w:r w:rsidR="004020AF" w:rsidRPr="008F7254">
        <w:t>controlled substances</w:t>
      </w:r>
      <w:r w:rsidR="003717E3" w:rsidRPr="008F7254">
        <w:t xml:space="preserve"> to be phased out. In cases where an enterprise is partially owned by non-Article 5 capital, the agreed level of funding is adjusted by proportionally deducting the foreign share ownership of the enterprise</w:t>
      </w:r>
      <w:r w:rsidR="002A22AD">
        <w:t>.</w:t>
      </w:r>
      <w:r w:rsidR="003717E3" w:rsidRPr="008F7254">
        <w:rPr>
          <w:vertAlign w:val="superscript"/>
        </w:rPr>
        <w:footnoteReference w:id="18"/>
      </w:r>
      <w:r w:rsidR="003717E3" w:rsidRPr="008F7254">
        <w:t xml:space="preserve"> As the total amount of </w:t>
      </w:r>
      <w:r w:rsidR="004020AF" w:rsidRPr="008F7254">
        <w:t>controlled substances</w:t>
      </w:r>
      <w:r w:rsidR="003717E3" w:rsidRPr="008F7254">
        <w:t xml:space="preserve"> used by the enterprise counts as phase-out (irrespective of the local share ownership), the resulting “adjusted” cost-effectiveness value of the project will be lower (in absolute numbers) than if the enterprise was completely locally owned. </w:t>
      </w:r>
    </w:p>
    <w:p w:rsidR="0014237E" w:rsidRPr="007547FF" w:rsidRDefault="0014237E" w:rsidP="0014237E">
      <w:pPr>
        <w:pStyle w:val="Heading1"/>
      </w:pPr>
      <w:r w:rsidRPr="007547FF">
        <w:lastRenderedPageBreak/>
        <w:t>At the 55</w:t>
      </w:r>
      <w:r w:rsidRPr="007547FF">
        <w:rPr>
          <w:vertAlign w:val="superscript"/>
        </w:rPr>
        <w:t>th</w:t>
      </w:r>
      <w:r w:rsidRPr="007547FF">
        <w:t xml:space="preserve"> meeting</w:t>
      </w:r>
      <w:r w:rsidR="00364C66">
        <w:t xml:space="preserve"> (July 2008)</w:t>
      </w:r>
      <w:r w:rsidRPr="007547FF">
        <w:t xml:space="preserve">, the Secretariat prepared </w:t>
      </w:r>
      <w:r w:rsidR="007547FF">
        <w:t xml:space="preserve">a </w:t>
      </w:r>
      <w:r w:rsidRPr="007547FF">
        <w:t xml:space="preserve">document </w:t>
      </w:r>
      <w:r w:rsidR="007547FF">
        <w:t xml:space="preserve">on </w:t>
      </w:r>
      <w:r w:rsidR="00C76032">
        <w:t>r</w:t>
      </w:r>
      <w:r w:rsidR="007547FF" w:rsidRPr="00184594">
        <w:t>evised analysis of relevant cost considerations surround</w:t>
      </w:r>
      <w:r w:rsidR="007547FF">
        <w:t>ing the financing of HCFC phase-</w:t>
      </w:r>
      <w:r w:rsidR="007547FF" w:rsidRPr="00184594">
        <w:t>out (decisions 53/37(i) and 54/40</w:t>
      </w:r>
      <w:r w:rsidR="007547FF">
        <w:rPr>
          <w:rStyle w:val="FootnoteReference"/>
        </w:rPr>
        <w:footnoteReference w:id="19"/>
      </w:r>
      <w:r w:rsidR="00C76032">
        <w:t>)</w:t>
      </w:r>
      <w:r w:rsidRPr="007547FF">
        <w:t>, which has served as a reference to bilateral and implementing agencies when preparing HCFC phase-out projects in the foam, refrigeration and air conditioning sectors</w:t>
      </w:r>
      <w:r w:rsidR="007547FF">
        <w:t>.</w:t>
      </w:r>
      <w:r w:rsidRPr="007547FF">
        <w:rPr>
          <w:rStyle w:val="FootnoteReference"/>
        </w:rPr>
        <w:footnoteReference w:id="20"/>
      </w:r>
      <w:r w:rsidRPr="007547FF">
        <w:t xml:space="preserve"> In particular</w:t>
      </w:r>
      <w:r w:rsidR="007547FF">
        <w:t>,</w:t>
      </w:r>
      <w:r w:rsidRPr="007547FF">
        <w:t xml:space="preserve"> Annex III of the document contains </w:t>
      </w:r>
      <w:r w:rsidR="00940E20" w:rsidRPr="007547FF">
        <w:t xml:space="preserve">detailed </w:t>
      </w:r>
      <w:r w:rsidRPr="007547FF">
        <w:t xml:space="preserve">information on equipment required and estimation of ICC and IOC for the conversion from HCFC to several alternatives (i.e., </w:t>
      </w:r>
      <w:r w:rsidR="00D155C0">
        <w:t>hydrocarbons (</w:t>
      </w:r>
      <w:r w:rsidRPr="007547FF">
        <w:t>HC</w:t>
      </w:r>
      <w:r w:rsidR="00D155C0">
        <w:t>)</w:t>
      </w:r>
      <w:r w:rsidRPr="007547FF">
        <w:t xml:space="preserve">, HFC-245fa, methyl formate, </w:t>
      </w:r>
      <w:r w:rsidR="007547FF">
        <w:t xml:space="preserve">and </w:t>
      </w:r>
      <w:r w:rsidR="00940E20" w:rsidRPr="007547FF">
        <w:t>water-based</w:t>
      </w:r>
      <w:r w:rsidRPr="007547FF">
        <w:t>) in several</w:t>
      </w:r>
      <w:r w:rsidR="00184CFD">
        <w:t xml:space="preserve"> polyurethane</w:t>
      </w:r>
      <w:r w:rsidRPr="007547FF">
        <w:t xml:space="preserve"> </w:t>
      </w:r>
      <w:r w:rsidR="00184CFD">
        <w:t>(</w:t>
      </w:r>
      <w:r w:rsidRPr="007547FF">
        <w:t>PU</w:t>
      </w:r>
      <w:r w:rsidR="00184CFD">
        <w:t>)</w:t>
      </w:r>
      <w:r w:rsidRPr="007547FF">
        <w:t xml:space="preserve"> foam applications (i.e., panels, pipe in pipe foam, thermoware, domestic refrigerators, spray foam, discontinuous block foam and integral skin), including several plant capacities. Annex IV of th</w:t>
      </w:r>
      <w:r w:rsidR="008B14E9">
        <w:t>at</w:t>
      </w:r>
      <w:r w:rsidRPr="007547FF">
        <w:t xml:space="preserve"> document provides technical considerations relevant when replacing HCFC</w:t>
      </w:r>
      <w:r w:rsidR="003B5F68">
        <w:noBreakHyphen/>
      </w:r>
      <w:r w:rsidRPr="007547FF">
        <w:t>22 in the refrigeration and air-conditioning sector with several alternatives (i.e., R-410A, R-407C, R</w:t>
      </w:r>
      <w:r w:rsidR="007547FF">
        <w:t>-</w:t>
      </w:r>
      <w:r w:rsidRPr="007547FF">
        <w:t>404A, HFC-134a and HC-290) and general estimations of ICC and IOC for the conversion of manufacturing plants to those alternatives in room and mini-split air-conditioning units</w:t>
      </w:r>
      <w:r w:rsidR="00940E20" w:rsidRPr="007547FF">
        <w:t>,</w:t>
      </w:r>
      <w:r w:rsidRPr="007547FF">
        <w:t xml:space="preserve"> ducted </w:t>
      </w:r>
      <w:r w:rsidR="001D6116" w:rsidRPr="007547FF">
        <w:t>commercial</w:t>
      </w:r>
      <w:r w:rsidRPr="007547FF">
        <w:t xml:space="preserve"> and packaged air-conditioners</w:t>
      </w:r>
      <w:r w:rsidR="00940E20" w:rsidRPr="007547FF">
        <w:t>, c</w:t>
      </w:r>
      <w:r w:rsidRPr="007547FF">
        <w:t>hillers,</w:t>
      </w:r>
      <w:r w:rsidR="00940E20" w:rsidRPr="007547FF">
        <w:t xml:space="preserve"> and several c</w:t>
      </w:r>
      <w:r w:rsidRPr="007547FF">
        <w:t>ommercial refrigeration</w:t>
      </w:r>
      <w:r w:rsidR="00940E20" w:rsidRPr="007547FF">
        <w:t xml:space="preserve"> applications (i.e.,</w:t>
      </w:r>
      <w:r w:rsidRPr="007547FF">
        <w:t xml:space="preserve"> stand-alone equipment, stand-alone commercial-sized freezers, beverage vending machines</w:t>
      </w:r>
      <w:r w:rsidR="00940E20" w:rsidRPr="007547FF">
        <w:t>, and</w:t>
      </w:r>
      <w:r w:rsidRPr="007547FF">
        <w:t xml:space="preserve"> condensing units</w:t>
      </w:r>
      <w:r w:rsidR="00940E20" w:rsidRPr="007547FF">
        <w:t>)</w:t>
      </w:r>
      <w:r w:rsidRPr="007547FF">
        <w:t>.</w:t>
      </w:r>
    </w:p>
    <w:p w:rsidR="0014237E" w:rsidRPr="00B13243" w:rsidRDefault="0014237E" w:rsidP="0014237E">
      <w:pPr>
        <w:pStyle w:val="Heading1"/>
      </w:pPr>
      <w:r w:rsidRPr="00940E20">
        <w:t xml:space="preserve">In reviewing the HCFC phase-out in investment projects submitted as stand-alone projects or as a component of HPMPs related to the foam and commercial refrigeration manufacturing sectors, the Secretariat has taken into consideration the information contained in document UNEP/OzL.Pro/ExCom/55/47, as well as information obtained from precedent projects reviewed, updated </w:t>
      </w:r>
      <w:r w:rsidRPr="00B13243">
        <w:t xml:space="preserve">information on alternatives produced by the TEAP and, when required, consultation with independent experts. </w:t>
      </w:r>
    </w:p>
    <w:p w:rsidR="0014237E" w:rsidRPr="00697153" w:rsidRDefault="0014237E" w:rsidP="001D6116">
      <w:pPr>
        <w:pStyle w:val="Heading1"/>
      </w:pPr>
      <w:r w:rsidRPr="00B13243">
        <w:t>When required,</w:t>
      </w:r>
      <w:r w:rsidR="00DF0B8C" w:rsidRPr="00B13243">
        <w:t xml:space="preserve"> </w:t>
      </w:r>
      <w:r w:rsidR="00036713" w:rsidRPr="0094349B">
        <w:t xml:space="preserve">the Executive Committee has requested the </w:t>
      </w:r>
      <w:r w:rsidR="00DF0B8C" w:rsidRPr="0094349B">
        <w:t>Secretariat</w:t>
      </w:r>
      <w:r w:rsidR="00036713" w:rsidRPr="0094349B">
        <w:t xml:space="preserve"> to </w:t>
      </w:r>
      <w:r w:rsidR="00DF0B8C" w:rsidRPr="0094349B">
        <w:t xml:space="preserve">undertake additional </w:t>
      </w:r>
      <w:r w:rsidRPr="0094349B">
        <w:t xml:space="preserve">studies </w:t>
      </w:r>
      <w:r w:rsidR="00DF0B8C" w:rsidRPr="0094349B">
        <w:t>to</w:t>
      </w:r>
      <w:r w:rsidRPr="0094349B">
        <w:t xml:space="preserve"> estimate incremental cost</w:t>
      </w:r>
      <w:r w:rsidR="00013019" w:rsidRPr="0094349B">
        <w:t xml:space="preserve"> of specific applications and technologies. </w:t>
      </w:r>
      <w:r w:rsidR="009E5EBE" w:rsidRPr="0094349B">
        <w:t>For example,</w:t>
      </w:r>
      <w:r w:rsidR="009E5EBE" w:rsidRPr="00B13243">
        <w:t xml:space="preserve"> a</w:t>
      </w:r>
      <w:r w:rsidRPr="00B13243">
        <w:t xml:space="preserve">t the </w:t>
      </w:r>
      <w:r w:rsidR="001D6116" w:rsidRPr="00B13243">
        <w:t>76</w:t>
      </w:r>
      <w:r w:rsidR="001D6116" w:rsidRPr="00B13243">
        <w:rPr>
          <w:vertAlign w:val="superscript"/>
        </w:rPr>
        <w:t>th</w:t>
      </w:r>
      <w:r w:rsidR="003B5F68">
        <w:rPr>
          <w:vertAlign w:val="superscript"/>
        </w:rPr>
        <w:t> </w:t>
      </w:r>
      <w:r w:rsidR="001D6116" w:rsidRPr="00B13243">
        <w:t xml:space="preserve">meeting, the Secretariat </w:t>
      </w:r>
      <w:r w:rsidR="00013019" w:rsidRPr="00B13243">
        <w:t xml:space="preserve">commissioned a study </w:t>
      </w:r>
      <w:r w:rsidR="001D6116" w:rsidRPr="00B13243">
        <w:t>on the ICC and IOC related to conversions in the foam sector to non-HCFC alternatives</w:t>
      </w:r>
      <w:r w:rsidR="00B13243" w:rsidRPr="00B13243">
        <w:t>,</w:t>
      </w:r>
      <w:r w:rsidR="007B1C80" w:rsidRPr="00B13243">
        <w:rPr>
          <w:rStyle w:val="FootnoteReference"/>
        </w:rPr>
        <w:footnoteReference w:id="21"/>
      </w:r>
      <w:r w:rsidR="00013019" w:rsidRPr="00B13243">
        <w:t xml:space="preserve"> and a study on the calculation of the level of incremental cost for the conversion of heat exchangers manufacturing lines in air-conditioning manufacturing enterprises converting to HC-290, HFC-32 and R</w:t>
      </w:r>
      <w:r w:rsidR="00B13243" w:rsidRPr="00B13243">
        <w:noBreakHyphen/>
      </w:r>
      <w:r w:rsidR="00013019" w:rsidRPr="00B13243">
        <w:t>452b</w:t>
      </w:r>
      <w:r w:rsidR="00B13243" w:rsidRPr="00B13243">
        <w:t>.</w:t>
      </w:r>
      <w:r w:rsidR="007B1C80" w:rsidRPr="00B13243">
        <w:rPr>
          <w:rStyle w:val="FootnoteReference"/>
        </w:rPr>
        <w:footnoteReference w:id="22"/>
      </w:r>
      <w:r w:rsidR="00013019" w:rsidRPr="00B13243">
        <w:t xml:space="preserve"> These studies</w:t>
      </w:r>
      <w:r w:rsidR="007B1C80" w:rsidRPr="00B13243">
        <w:t xml:space="preserve">, which </w:t>
      </w:r>
      <w:r w:rsidR="00013019" w:rsidRPr="00B13243">
        <w:t>were prepared by independent industry experts and incorporated comments by independent peer reviewers and the implementing agencies</w:t>
      </w:r>
      <w:r w:rsidR="007B1C80" w:rsidRPr="00B13243">
        <w:t xml:space="preserve">, </w:t>
      </w:r>
      <w:r w:rsidR="007B1C80" w:rsidRPr="00697153">
        <w:t>have also produced valuable information that is taken into consideration in the review of projects.</w:t>
      </w:r>
    </w:p>
    <w:p w:rsidR="003717E3" w:rsidRPr="008F7254" w:rsidRDefault="00D34168" w:rsidP="008F7254">
      <w:pPr>
        <w:pStyle w:val="Heading1"/>
        <w:tabs>
          <w:tab w:val="clear" w:pos="0"/>
          <w:tab w:val="num" w:pos="90"/>
        </w:tabs>
      </w:pPr>
      <w:r w:rsidRPr="008F7254">
        <w:t>In addition, i</w:t>
      </w:r>
      <w:r w:rsidR="00E42E56" w:rsidRPr="008F7254">
        <w:t>n</w:t>
      </w:r>
      <w:r w:rsidR="00A76EF9" w:rsidRPr="008F7254">
        <w:t xml:space="preserve"> line with decision 60/44(f)(ii) </w:t>
      </w:r>
      <w:r w:rsidR="003717E3" w:rsidRPr="008F7254">
        <w:t xml:space="preserve">the Secretariat used, as a </w:t>
      </w:r>
      <w:r w:rsidR="00E42E56" w:rsidRPr="008F7254">
        <w:t xml:space="preserve">reference for </w:t>
      </w:r>
      <w:r w:rsidR="00121443">
        <w:t xml:space="preserve">the </w:t>
      </w:r>
      <w:r w:rsidR="00E42E56" w:rsidRPr="008F7254">
        <w:t>recommendation on funding</w:t>
      </w:r>
      <w:r w:rsidR="003717E3" w:rsidRPr="008F7254">
        <w:t>, the cost-effectiveness threshold values used for CFC phase-out</w:t>
      </w:r>
      <w:r w:rsidR="0094349B">
        <w:t>,</w:t>
      </w:r>
      <w:r w:rsidR="003717E3" w:rsidRPr="008F7254">
        <w:rPr>
          <w:vertAlign w:val="superscript"/>
        </w:rPr>
        <w:footnoteReference w:id="23"/>
      </w:r>
      <w:r w:rsidR="003717E3" w:rsidRPr="008F7254">
        <w:t xml:space="preserve"> and the additional cost-effectiveness threshold set in decision 62/13</w:t>
      </w:r>
      <w:r w:rsidR="00B13243">
        <w:t>.</w:t>
      </w:r>
      <w:r w:rsidR="003717E3" w:rsidRPr="008F7254">
        <w:rPr>
          <w:vertAlign w:val="superscript"/>
        </w:rPr>
        <w:footnoteReference w:id="24"/>
      </w:r>
      <w:r w:rsidR="003717E3" w:rsidRPr="008F7254">
        <w:t xml:space="preserve"> </w:t>
      </w:r>
      <w:r w:rsidR="00A76EF9" w:rsidRPr="008F7254">
        <w:t xml:space="preserve">Funding of up to a maximum of 25 per cent above the threshold </w:t>
      </w:r>
      <w:r w:rsidR="00AA0CB4" w:rsidRPr="008F7254">
        <w:t>is</w:t>
      </w:r>
      <w:r w:rsidR="00A76EF9" w:rsidRPr="008F7254">
        <w:t xml:space="preserve"> provided when low</w:t>
      </w:r>
      <w:r w:rsidR="00CA694E" w:rsidRPr="008F7254">
        <w:t>-</w:t>
      </w:r>
      <w:r w:rsidR="00A76EF9" w:rsidRPr="008F7254">
        <w:t xml:space="preserve">GWP alternative technologies </w:t>
      </w:r>
      <w:r w:rsidR="00AA0CB4" w:rsidRPr="008F7254">
        <w:t>are</w:t>
      </w:r>
      <w:r w:rsidR="00A76EF9" w:rsidRPr="008F7254">
        <w:t xml:space="preserve"> introduced (decision</w:t>
      </w:r>
      <w:r w:rsidR="00D3798F">
        <w:t> </w:t>
      </w:r>
      <w:r w:rsidR="00A76EF9" w:rsidRPr="008F7254">
        <w:t>60/44(f)(iv))</w:t>
      </w:r>
      <w:r w:rsidR="00AA0CB4" w:rsidRPr="008F7254">
        <w:t>. For</w:t>
      </w:r>
      <w:r w:rsidR="00A76EF9" w:rsidRPr="008F7254">
        <w:t xml:space="preserve"> stage II of</w:t>
      </w:r>
      <w:r w:rsidR="00AA0CB4" w:rsidRPr="008F7254">
        <w:t xml:space="preserve"> the</w:t>
      </w:r>
      <w:r w:rsidR="00A76EF9" w:rsidRPr="008F7254">
        <w:t xml:space="preserve"> HPMPs</w:t>
      </w:r>
      <w:r w:rsidR="00AA0CB4" w:rsidRPr="008F7254">
        <w:t>,</w:t>
      </w:r>
      <w:r w:rsidR="00A76EF9" w:rsidRPr="008F7254">
        <w:t xml:space="preserve"> up to 40 per cent above the cost-effectiveness threshold </w:t>
      </w:r>
      <w:r w:rsidR="00AA0CB4" w:rsidRPr="008F7254">
        <w:t>i</w:t>
      </w:r>
      <w:r w:rsidR="00A76EF9" w:rsidRPr="008F7254">
        <w:t>s provided when low</w:t>
      </w:r>
      <w:r w:rsidR="00AA0CB4" w:rsidRPr="008F7254">
        <w:t>-</w:t>
      </w:r>
      <w:r w:rsidR="00A76EF9" w:rsidRPr="008F7254">
        <w:t xml:space="preserve">GWP alternative technologies </w:t>
      </w:r>
      <w:r w:rsidR="00AA0CB4" w:rsidRPr="008F7254">
        <w:t>a</w:t>
      </w:r>
      <w:r w:rsidR="00A76EF9" w:rsidRPr="008F7254">
        <w:t>re introduced by SMEs in the foam sector with consumption of less than 20 metric tonnes</w:t>
      </w:r>
      <w:r w:rsidR="00B13243">
        <w:t xml:space="preserve"> (mt)</w:t>
      </w:r>
      <w:r w:rsidR="00A76EF9" w:rsidRPr="008F7254">
        <w:t xml:space="preserve"> (decision 74/50(c)(iii)).</w:t>
      </w:r>
      <w:r w:rsidRPr="008F7254">
        <w:t xml:space="preserve"> </w:t>
      </w:r>
      <w:r w:rsidR="003717E3" w:rsidRPr="008F7254">
        <w:t xml:space="preserve">With regard to the aerosol, </w:t>
      </w:r>
      <w:r w:rsidR="003717E3" w:rsidRPr="008F7254">
        <w:lastRenderedPageBreak/>
        <w:t xml:space="preserve">fire extinguisher and solvent sectors, the eligibility of incremental costs </w:t>
      </w:r>
      <w:r w:rsidR="00213988">
        <w:t>is</w:t>
      </w:r>
      <w:r w:rsidR="00003B3C" w:rsidRPr="008F7254">
        <w:t xml:space="preserve"> </w:t>
      </w:r>
      <w:r w:rsidR="003717E3" w:rsidRPr="008F7254">
        <w:t>considered on a case-by-case basis (decision</w:t>
      </w:r>
      <w:r w:rsidR="004C6D8C">
        <w:t>s</w:t>
      </w:r>
      <w:r w:rsidR="003717E3" w:rsidRPr="008F7254">
        <w:t xml:space="preserve"> 60/44(f)(xvi)</w:t>
      </w:r>
      <w:r w:rsidR="004C6D8C">
        <w:t xml:space="preserve"> and </w:t>
      </w:r>
      <w:r w:rsidR="00E86D4B">
        <w:t>74/50(c)(xvii)</w:t>
      </w:r>
      <w:r w:rsidR="003717E3" w:rsidRPr="008F7254">
        <w:t>).</w:t>
      </w:r>
    </w:p>
    <w:p w:rsidR="00B13243" w:rsidRDefault="003717E3" w:rsidP="008F7254">
      <w:pPr>
        <w:pStyle w:val="Heading1"/>
      </w:pPr>
      <w:r w:rsidRPr="008F7254">
        <w:t xml:space="preserve">As CFCs were not </w:t>
      </w:r>
      <w:r w:rsidR="00525470">
        <w:t xml:space="preserve">extensively </w:t>
      </w:r>
      <w:r w:rsidRPr="008F7254">
        <w:t xml:space="preserve">used in </w:t>
      </w:r>
      <w:r w:rsidR="00D96B7E">
        <w:t>the stationary</w:t>
      </w:r>
      <w:r w:rsidRPr="008F7254">
        <w:t xml:space="preserve"> air-conditioning manufacturing sector, a cost-effectiveness threshold for this sector has not been established. However, in reviewing HCFC phase</w:t>
      </w:r>
      <w:r w:rsidR="003B5F68">
        <w:noBreakHyphen/>
      </w:r>
      <w:r w:rsidRPr="008F7254">
        <w:t>out investment projects submitted under this sector, the Secretariat has been guided by the technical information contained in the document</w:t>
      </w:r>
      <w:r w:rsidR="00CA694E" w:rsidRPr="008F7254">
        <w:t xml:space="preserve"> </w:t>
      </w:r>
      <w:r w:rsidR="00B13243">
        <w:t xml:space="preserve">on the </w:t>
      </w:r>
      <w:r w:rsidR="00E86D4B">
        <w:t>r</w:t>
      </w:r>
      <w:r w:rsidRPr="008F7254">
        <w:t>evised analysis of relevant cost considerations surrounding the financing of HCFC phase-out (in line with decision 60/44(f)(i)),</w:t>
      </w:r>
      <w:r w:rsidR="00B13243" w:rsidRPr="008F7254">
        <w:rPr>
          <w:vertAlign w:val="superscript"/>
        </w:rPr>
        <w:footnoteReference w:id="25"/>
      </w:r>
      <w:r w:rsidRPr="008F7254">
        <w:t xml:space="preserve"> and the maximum allowable level of incremental operating costs of US $6.30/kg (in line with decision 60/44(f)(viii)). </w:t>
      </w:r>
    </w:p>
    <w:p w:rsidR="00092C38" w:rsidRPr="0094349B" w:rsidRDefault="001D3EA8" w:rsidP="008B14E9">
      <w:pPr>
        <w:pStyle w:val="Heading1"/>
      </w:pPr>
      <w:r w:rsidRPr="0094349B">
        <w:t>At the 71</w:t>
      </w:r>
      <w:r w:rsidRPr="0094349B">
        <w:rPr>
          <w:vertAlign w:val="superscript"/>
        </w:rPr>
        <w:t>st</w:t>
      </w:r>
      <w:r w:rsidRPr="0094349B">
        <w:t xml:space="preserve"> meeting </w:t>
      </w:r>
      <w:r w:rsidR="0094349B" w:rsidRPr="0094349B">
        <w:t xml:space="preserve">(December 2013), </w:t>
      </w:r>
      <w:r w:rsidRPr="0094349B">
        <w:t>the Executive Committee considered an analysis on the ICC and IOC from stage I of the HPMPs</w:t>
      </w:r>
      <w:r w:rsidR="00AF7D5D" w:rsidRPr="0094349B">
        <w:t xml:space="preserve">, </w:t>
      </w:r>
      <w:r w:rsidRPr="0094349B">
        <w:t xml:space="preserve">based on the costs included in the project proposals as submitted in the respective HPMPs and further adjusted during the project review process and/or by the Executive Committee at the time of approval of the relevant HPMP. </w:t>
      </w:r>
      <w:r w:rsidR="00092C38" w:rsidRPr="0094349B">
        <w:t xml:space="preserve">Although the </w:t>
      </w:r>
      <w:r w:rsidR="00AF7D5D" w:rsidRPr="0094349B">
        <w:t xml:space="preserve">analysis </w:t>
      </w:r>
      <w:r w:rsidR="00092C38" w:rsidRPr="0094349B">
        <w:t xml:space="preserve">also </w:t>
      </w:r>
      <w:r w:rsidR="00AF7D5D" w:rsidRPr="0094349B">
        <w:t xml:space="preserve">considered </w:t>
      </w:r>
      <w:r w:rsidR="00092C38" w:rsidRPr="0094349B">
        <w:t>a</w:t>
      </w:r>
      <w:r w:rsidRPr="0094349B">
        <w:t xml:space="preserve">dditional information on actual costs incurred at </w:t>
      </w:r>
      <w:r w:rsidR="00092C38" w:rsidRPr="0094349B">
        <w:t>several foam enterprises, difficulties</w:t>
      </w:r>
      <w:r w:rsidR="00AF7D5D" w:rsidRPr="0094349B">
        <w:t xml:space="preserve"> were encountered </w:t>
      </w:r>
      <w:r w:rsidR="00092C38" w:rsidRPr="0094349B">
        <w:t xml:space="preserve">in determining whether all of the costs incurred were eligible incremental costs as per the approved project proposals. </w:t>
      </w:r>
      <w:r w:rsidR="008B14E9" w:rsidRPr="0094349B">
        <w:t>I</w:t>
      </w:r>
      <w:r w:rsidR="00092C38" w:rsidRPr="0094349B">
        <w:t>mplementing agencies</w:t>
      </w:r>
      <w:r w:rsidR="008B14E9" w:rsidRPr="0094349B">
        <w:t xml:space="preserve"> also</w:t>
      </w:r>
      <w:r w:rsidR="00092C38" w:rsidRPr="0094349B">
        <w:t xml:space="preserve"> encountered difficulties in completing the required information</w:t>
      </w:r>
      <w:r w:rsidR="00AF7D5D" w:rsidRPr="0094349B">
        <w:t xml:space="preserve"> as </w:t>
      </w:r>
      <w:r w:rsidR="008B14E9" w:rsidRPr="0094349B">
        <w:t xml:space="preserve">providers grouped </w:t>
      </w:r>
      <w:r w:rsidR="00092C38" w:rsidRPr="0094349B">
        <w:t xml:space="preserve">equipment items </w:t>
      </w:r>
      <w:r w:rsidR="008B14E9" w:rsidRPr="0094349B">
        <w:t xml:space="preserve">differently than in the </w:t>
      </w:r>
      <w:r w:rsidR="00092C38" w:rsidRPr="0094349B">
        <w:t>approved project proposals</w:t>
      </w:r>
      <w:r w:rsidR="008B14E9" w:rsidRPr="0094349B">
        <w:t>,</w:t>
      </w:r>
      <w:r w:rsidR="00092C38" w:rsidRPr="0094349B">
        <w:t xml:space="preserve"> and in some cases,</w:t>
      </w:r>
      <w:r w:rsidR="008B14E9" w:rsidRPr="0094349B">
        <w:t xml:space="preserve"> providers’ invoices contained eligible incremental costs as well as other costs related to decisions made by the enterprises </w:t>
      </w:r>
      <w:r w:rsidR="00092C38" w:rsidRPr="0094349B">
        <w:t>during the conversion stage</w:t>
      </w:r>
      <w:r w:rsidR="008B14E9" w:rsidRPr="0094349B">
        <w:t xml:space="preserve"> (e.g., installation of </w:t>
      </w:r>
      <w:r w:rsidR="00092C38" w:rsidRPr="0094349B">
        <w:t>higher capacity equipment as compared to the baseline</w:t>
      </w:r>
      <w:r w:rsidR="008B14E9" w:rsidRPr="0094349B">
        <w:t xml:space="preserve"> or</w:t>
      </w:r>
      <w:r w:rsidR="00092C38" w:rsidRPr="0094349B">
        <w:t xml:space="preserve"> modifications to the plant layout </w:t>
      </w:r>
      <w:r w:rsidR="008B14E9" w:rsidRPr="0094349B">
        <w:t>paid by the enterprise</w:t>
      </w:r>
      <w:r w:rsidR="00092C38" w:rsidRPr="0094349B">
        <w:t>)</w:t>
      </w:r>
      <w:r w:rsidR="007409BB" w:rsidRPr="0094349B">
        <w:t>.</w:t>
      </w:r>
      <w:r w:rsidR="00015EA5" w:rsidRPr="0094349B">
        <w:rPr>
          <w:rStyle w:val="FootnoteReference"/>
        </w:rPr>
        <w:footnoteReference w:id="26"/>
      </w:r>
      <w:r w:rsidR="00092C38" w:rsidRPr="0094349B">
        <w:t xml:space="preserve"> </w:t>
      </w:r>
    </w:p>
    <w:p w:rsidR="003717E3" w:rsidRPr="008F7254" w:rsidRDefault="004111D2" w:rsidP="008F7254">
      <w:pPr>
        <w:pStyle w:val="Heading1"/>
      </w:pPr>
      <w:r w:rsidRPr="008F7254">
        <w:t>At the 77</w:t>
      </w:r>
      <w:r w:rsidRPr="008F7254">
        <w:rPr>
          <w:vertAlign w:val="superscript"/>
        </w:rPr>
        <w:t>th</w:t>
      </w:r>
      <w:r w:rsidRPr="008F7254">
        <w:t xml:space="preserve"> meeting</w:t>
      </w:r>
      <w:r w:rsidR="0094349B">
        <w:t xml:space="preserve"> (November/December 2016)</w:t>
      </w:r>
      <w:r w:rsidR="00364C66">
        <w:t>,</w:t>
      </w:r>
      <w:r w:rsidRPr="008F7254">
        <w:t xml:space="preserve"> the Senior Monitoring and </w:t>
      </w:r>
      <w:r w:rsidR="004020AF" w:rsidRPr="008F7254">
        <w:t>Evaluation</w:t>
      </w:r>
      <w:r w:rsidRPr="008F7254">
        <w:t xml:space="preserve"> Officer presented the </w:t>
      </w:r>
      <w:r w:rsidR="008104A2">
        <w:t>F</w:t>
      </w:r>
      <w:r w:rsidRPr="008F7254">
        <w:t xml:space="preserve">inal report on the </w:t>
      </w:r>
      <w:r w:rsidR="008104A2">
        <w:t>e</w:t>
      </w:r>
      <w:r w:rsidRPr="008F7254">
        <w:t>valuation of HCFC phase</w:t>
      </w:r>
      <w:r w:rsidR="00213988">
        <w:t>-</w:t>
      </w:r>
      <w:r w:rsidRPr="008F7254">
        <w:t>out projects in the refrigeration and air-conditioning manufacturing sector.</w:t>
      </w:r>
      <w:r w:rsidR="00B13243">
        <w:rPr>
          <w:rStyle w:val="FootnoteReference"/>
        </w:rPr>
        <w:footnoteReference w:id="27"/>
      </w:r>
      <w:r w:rsidRPr="008F7254">
        <w:t xml:space="preserve"> The report indicated </w:t>
      </w:r>
      <w:r w:rsidR="00875E15" w:rsidRPr="00875E15">
        <w:rPr>
          <w:i/>
          <w:lang w:val="en-CA"/>
        </w:rPr>
        <w:t>inter alia</w:t>
      </w:r>
      <w:r w:rsidR="00875E15">
        <w:rPr>
          <w:i/>
        </w:rPr>
        <w:t xml:space="preserve"> </w:t>
      </w:r>
      <w:r w:rsidRPr="008F7254">
        <w:t>that the mission was unable to collect reliable financial data at the enterprise level and therefore to carry out a meaningful analysis.</w:t>
      </w:r>
    </w:p>
    <w:p w:rsidR="00CA62ED" w:rsidRPr="008F7254" w:rsidRDefault="009D3875" w:rsidP="0094349B">
      <w:pPr>
        <w:pStyle w:val="Heading1"/>
        <w:widowControl w:val="0"/>
      </w:pPr>
      <w:r w:rsidRPr="008F7254">
        <w:t xml:space="preserve">A summary of the existing cost-effectiveness thresholds currently being </w:t>
      </w:r>
      <w:r w:rsidR="00036713">
        <w:t>applied</w:t>
      </w:r>
      <w:r w:rsidRPr="008F7254">
        <w:t xml:space="preserve"> is presented in Table </w:t>
      </w:r>
      <w:r w:rsidR="0054507D" w:rsidRPr="008F7254">
        <w:t>2</w:t>
      </w:r>
      <w:r w:rsidRPr="008F7254">
        <w:t xml:space="preserve"> below.</w:t>
      </w:r>
      <w:r w:rsidR="00A03516" w:rsidRPr="008F7254">
        <w:t xml:space="preserve"> </w:t>
      </w:r>
    </w:p>
    <w:p w:rsidR="00E94A0E" w:rsidRPr="00B13243" w:rsidRDefault="00E94A0E" w:rsidP="0094349B">
      <w:pPr>
        <w:keepNext/>
        <w:rPr>
          <w:b/>
          <w:sz w:val="21"/>
          <w:szCs w:val="21"/>
        </w:rPr>
      </w:pPr>
      <w:r w:rsidRPr="00B13243">
        <w:rPr>
          <w:b/>
          <w:sz w:val="21"/>
          <w:szCs w:val="21"/>
        </w:rPr>
        <w:lastRenderedPageBreak/>
        <w:t>Table 2: Cost-effectiveness thresholds for CFC and HCFC phase-out</w:t>
      </w:r>
    </w:p>
    <w:tbl>
      <w:tblPr>
        <w:tblW w:w="4944" w:type="pct"/>
        <w:tblInd w:w="108" w:type="dxa"/>
        <w:tblLook w:val="04A0" w:firstRow="1" w:lastRow="0" w:firstColumn="1" w:lastColumn="0" w:noHBand="0" w:noVBand="1"/>
      </w:tblPr>
      <w:tblGrid>
        <w:gridCol w:w="1569"/>
        <w:gridCol w:w="1122"/>
        <w:gridCol w:w="1467"/>
        <w:gridCol w:w="1254"/>
        <w:gridCol w:w="1243"/>
        <w:gridCol w:w="1689"/>
        <w:gridCol w:w="1125"/>
      </w:tblGrid>
      <w:tr w:rsidR="00B74A96" w:rsidRPr="00B13243" w:rsidTr="00B13243">
        <w:trPr>
          <w:tblHeader/>
        </w:trPr>
        <w:tc>
          <w:tcPr>
            <w:tcW w:w="831" w:type="pct"/>
            <w:vMerge w:val="restart"/>
            <w:tcBorders>
              <w:top w:val="single" w:sz="4" w:space="0" w:color="auto"/>
              <w:left w:val="single" w:sz="4" w:space="0" w:color="auto"/>
              <w:right w:val="nil"/>
            </w:tcBorders>
            <w:shd w:val="clear" w:color="auto" w:fill="auto"/>
            <w:vAlign w:val="center"/>
            <w:hideMark/>
          </w:tcPr>
          <w:p w:rsidR="00B74A96" w:rsidRPr="00B13243" w:rsidRDefault="00B74A96" w:rsidP="0094349B">
            <w:pPr>
              <w:keepNext/>
              <w:jc w:val="left"/>
              <w:rPr>
                <w:color w:val="000000"/>
                <w:sz w:val="19"/>
                <w:szCs w:val="19"/>
                <w:lang w:val="en-US"/>
              </w:rPr>
            </w:pPr>
            <w:r w:rsidRPr="00B13243">
              <w:rPr>
                <w:b/>
                <w:bCs/>
                <w:color w:val="000000"/>
                <w:sz w:val="19"/>
                <w:szCs w:val="19"/>
                <w:lang w:val="en-US"/>
              </w:rPr>
              <w:t xml:space="preserve">Sector </w:t>
            </w:r>
          </w:p>
        </w:tc>
        <w:tc>
          <w:tcPr>
            <w:tcW w:w="202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74A96" w:rsidRPr="00B13243" w:rsidRDefault="00B74A96" w:rsidP="0094349B">
            <w:pPr>
              <w:keepNext/>
              <w:jc w:val="center"/>
              <w:rPr>
                <w:b/>
                <w:bCs/>
                <w:color w:val="000000"/>
                <w:sz w:val="19"/>
                <w:szCs w:val="19"/>
                <w:lang w:val="en-US"/>
              </w:rPr>
            </w:pPr>
            <w:r w:rsidRPr="00B13243">
              <w:rPr>
                <w:b/>
                <w:bCs/>
                <w:color w:val="000000"/>
                <w:sz w:val="19"/>
                <w:szCs w:val="19"/>
                <w:lang w:val="en-US"/>
              </w:rPr>
              <w:t xml:space="preserve">National ODS </w:t>
            </w:r>
            <w:r w:rsidR="007D043B" w:rsidRPr="00B13243">
              <w:rPr>
                <w:b/>
                <w:bCs/>
                <w:color w:val="000000"/>
                <w:sz w:val="19"/>
                <w:szCs w:val="19"/>
                <w:lang w:val="en-US"/>
              </w:rPr>
              <w:t>p</w:t>
            </w:r>
            <w:r w:rsidRPr="00B13243">
              <w:rPr>
                <w:b/>
                <w:bCs/>
                <w:color w:val="000000"/>
                <w:sz w:val="19"/>
                <w:szCs w:val="19"/>
                <w:lang w:val="en-US"/>
              </w:rPr>
              <w:t>hase</w:t>
            </w:r>
            <w:r w:rsidR="007D043B" w:rsidRPr="00B13243">
              <w:rPr>
                <w:b/>
                <w:bCs/>
                <w:color w:val="000000"/>
                <w:sz w:val="19"/>
                <w:szCs w:val="19"/>
                <w:lang w:val="en-US"/>
              </w:rPr>
              <w:t>-</w:t>
            </w:r>
            <w:r w:rsidRPr="00B13243">
              <w:rPr>
                <w:b/>
                <w:bCs/>
                <w:color w:val="000000"/>
                <w:sz w:val="19"/>
                <w:szCs w:val="19"/>
                <w:lang w:val="en-US"/>
              </w:rPr>
              <w:t>out plans</w:t>
            </w:r>
          </w:p>
          <w:p w:rsidR="00AA0CB4" w:rsidRPr="00B13243" w:rsidRDefault="00AA0CB4" w:rsidP="0094349B">
            <w:pPr>
              <w:keepNext/>
              <w:jc w:val="center"/>
              <w:rPr>
                <w:b/>
                <w:bCs/>
                <w:color w:val="000000"/>
                <w:sz w:val="19"/>
                <w:szCs w:val="19"/>
                <w:lang w:val="en-US"/>
              </w:rPr>
            </w:pPr>
            <w:r w:rsidRPr="00B13243">
              <w:rPr>
                <w:b/>
                <w:bCs/>
                <w:color w:val="000000"/>
                <w:sz w:val="19"/>
                <w:szCs w:val="19"/>
                <w:lang w:val="en-US"/>
              </w:rPr>
              <w:t>(UNEP/OzL.Pro/ExCom/16/20 para 32)</w:t>
            </w:r>
          </w:p>
        </w:tc>
        <w:tc>
          <w:tcPr>
            <w:tcW w:w="214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74A96" w:rsidRPr="00B13243" w:rsidRDefault="00B13243" w:rsidP="0094349B">
            <w:pPr>
              <w:keepNext/>
              <w:jc w:val="center"/>
              <w:rPr>
                <w:b/>
                <w:bCs/>
                <w:color w:val="000000"/>
                <w:sz w:val="19"/>
                <w:szCs w:val="19"/>
                <w:lang w:val="en-US"/>
              </w:rPr>
            </w:pPr>
            <w:r w:rsidRPr="00B13243">
              <w:rPr>
                <w:b/>
                <w:bCs/>
                <w:color w:val="000000"/>
                <w:sz w:val="19"/>
                <w:szCs w:val="19"/>
                <w:lang w:val="en-US"/>
              </w:rPr>
              <w:t>HPMPs</w:t>
            </w:r>
          </w:p>
          <w:p w:rsidR="00AA0CB4" w:rsidRPr="00B13243" w:rsidRDefault="00AA0CB4" w:rsidP="0094349B">
            <w:pPr>
              <w:keepNext/>
              <w:jc w:val="center"/>
              <w:rPr>
                <w:b/>
                <w:bCs/>
                <w:color w:val="000000"/>
                <w:sz w:val="19"/>
                <w:szCs w:val="19"/>
                <w:lang w:val="en-US"/>
              </w:rPr>
            </w:pPr>
            <w:r w:rsidRPr="00B13243">
              <w:rPr>
                <w:b/>
                <w:bCs/>
                <w:color w:val="000000"/>
                <w:sz w:val="19"/>
                <w:szCs w:val="19"/>
                <w:lang w:val="en-US"/>
              </w:rPr>
              <w:t>(</w:t>
            </w:r>
            <w:r w:rsidR="006F3CDE" w:rsidRPr="00B13243">
              <w:rPr>
                <w:b/>
                <w:bCs/>
                <w:color w:val="000000"/>
                <w:sz w:val="19"/>
                <w:szCs w:val="19"/>
                <w:lang w:val="en-US"/>
              </w:rPr>
              <w:t>decision</w:t>
            </w:r>
            <w:r w:rsidRPr="00B13243">
              <w:rPr>
                <w:b/>
                <w:bCs/>
                <w:color w:val="000000"/>
                <w:sz w:val="19"/>
                <w:szCs w:val="19"/>
                <w:lang w:val="en-US"/>
              </w:rPr>
              <w:t>s 60/44, 62/13 and 74/50)</w:t>
            </w:r>
          </w:p>
        </w:tc>
      </w:tr>
      <w:tr w:rsidR="006A5833" w:rsidRPr="00B13243" w:rsidTr="00B13243">
        <w:trPr>
          <w:tblHeader/>
        </w:trPr>
        <w:tc>
          <w:tcPr>
            <w:tcW w:w="831" w:type="pct"/>
            <w:vMerge/>
            <w:tcBorders>
              <w:left w:val="single" w:sz="4" w:space="0" w:color="auto"/>
              <w:bottom w:val="single" w:sz="4" w:space="0" w:color="auto"/>
              <w:right w:val="single" w:sz="4" w:space="0" w:color="auto"/>
            </w:tcBorders>
            <w:shd w:val="clear" w:color="auto" w:fill="auto"/>
            <w:hideMark/>
          </w:tcPr>
          <w:p w:rsidR="00B74A96" w:rsidRPr="00B13243" w:rsidRDefault="00B74A96" w:rsidP="0094349B">
            <w:pPr>
              <w:keepNext/>
              <w:jc w:val="center"/>
              <w:rPr>
                <w:b/>
                <w:bCs/>
                <w:color w:val="000000"/>
                <w:sz w:val="19"/>
                <w:szCs w:val="19"/>
                <w:lang w:val="en-US"/>
              </w:rPr>
            </w:pPr>
          </w:p>
        </w:tc>
        <w:tc>
          <w:tcPr>
            <w:tcW w:w="595" w:type="pct"/>
            <w:tcBorders>
              <w:top w:val="nil"/>
              <w:left w:val="nil"/>
              <w:bottom w:val="single" w:sz="4" w:space="0" w:color="auto"/>
              <w:right w:val="single" w:sz="4" w:space="0" w:color="auto"/>
            </w:tcBorders>
            <w:shd w:val="clear" w:color="auto" w:fill="auto"/>
            <w:vAlign w:val="center"/>
            <w:hideMark/>
          </w:tcPr>
          <w:p w:rsidR="00B74A96" w:rsidRPr="00B13243" w:rsidRDefault="00B74A96" w:rsidP="0094349B">
            <w:pPr>
              <w:keepNext/>
              <w:jc w:val="center"/>
              <w:rPr>
                <w:b/>
                <w:bCs/>
                <w:color w:val="000000"/>
                <w:sz w:val="19"/>
                <w:szCs w:val="19"/>
                <w:lang w:val="en-US"/>
              </w:rPr>
            </w:pPr>
            <w:r w:rsidRPr="00B13243">
              <w:rPr>
                <w:b/>
                <w:bCs/>
                <w:color w:val="000000"/>
                <w:sz w:val="19"/>
                <w:szCs w:val="19"/>
                <w:lang w:val="en-US"/>
              </w:rPr>
              <w:t>Baseline substance</w:t>
            </w:r>
          </w:p>
        </w:tc>
        <w:tc>
          <w:tcPr>
            <w:tcW w:w="760" w:type="pct"/>
            <w:tcBorders>
              <w:top w:val="nil"/>
              <w:left w:val="nil"/>
              <w:bottom w:val="single" w:sz="4" w:space="0" w:color="auto"/>
              <w:right w:val="single" w:sz="4" w:space="0" w:color="auto"/>
            </w:tcBorders>
            <w:shd w:val="clear" w:color="auto" w:fill="auto"/>
            <w:vAlign w:val="center"/>
            <w:hideMark/>
          </w:tcPr>
          <w:p w:rsidR="00B74A96" w:rsidRPr="00B13243" w:rsidRDefault="00B74A96" w:rsidP="0094349B">
            <w:pPr>
              <w:keepNext/>
              <w:jc w:val="center"/>
              <w:rPr>
                <w:b/>
                <w:bCs/>
                <w:color w:val="000000"/>
                <w:sz w:val="19"/>
                <w:szCs w:val="19"/>
                <w:lang w:val="en-US"/>
              </w:rPr>
            </w:pPr>
            <w:r w:rsidRPr="00B13243">
              <w:rPr>
                <w:b/>
                <w:bCs/>
                <w:color w:val="000000"/>
                <w:sz w:val="19"/>
                <w:szCs w:val="19"/>
                <w:lang w:val="en-US"/>
              </w:rPr>
              <w:t>Main alternatives introduced</w:t>
            </w:r>
          </w:p>
        </w:tc>
        <w:tc>
          <w:tcPr>
            <w:tcW w:w="665" w:type="pct"/>
            <w:tcBorders>
              <w:top w:val="nil"/>
              <w:left w:val="nil"/>
              <w:bottom w:val="single" w:sz="4" w:space="0" w:color="auto"/>
              <w:right w:val="single" w:sz="4" w:space="0" w:color="auto"/>
            </w:tcBorders>
            <w:shd w:val="clear" w:color="auto" w:fill="auto"/>
            <w:vAlign w:val="center"/>
            <w:hideMark/>
          </w:tcPr>
          <w:p w:rsidR="00B74A96" w:rsidRPr="00B13243" w:rsidRDefault="00B74A96" w:rsidP="0094349B">
            <w:pPr>
              <w:keepNext/>
              <w:jc w:val="center"/>
              <w:rPr>
                <w:b/>
                <w:bCs/>
                <w:color w:val="000000"/>
                <w:sz w:val="19"/>
                <w:szCs w:val="19"/>
                <w:lang w:val="en-US"/>
              </w:rPr>
            </w:pPr>
            <w:r w:rsidRPr="00B13243">
              <w:rPr>
                <w:b/>
                <w:bCs/>
                <w:color w:val="000000"/>
                <w:sz w:val="19"/>
                <w:szCs w:val="19"/>
                <w:lang w:val="en-US"/>
              </w:rPr>
              <w:t>CE threshold (US</w:t>
            </w:r>
            <w:r w:rsidR="007D043B" w:rsidRPr="00B13243">
              <w:rPr>
                <w:b/>
                <w:bCs/>
                <w:color w:val="000000"/>
                <w:sz w:val="19"/>
                <w:szCs w:val="19"/>
                <w:lang w:val="en-US"/>
              </w:rPr>
              <w:t> $</w:t>
            </w:r>
            <w:r w:rsidRPr="00B13243">
              <w:rPr>
                <w:b/>
                <w:bCs/>
                <w:color w:val="000000"/>
                <w:sz w:val="19"/>
                <w:szCs w:val="19"/>
                <w:lang w:val="en-US"/>
              </w:rPr>
              <w:t>/kg)</w:t>
            </w:r>
          </w:p>
        </w:tc>
        <w:tc>
          <w:tcPr>
            <w:tcW w:w="659" w:type="pct"/>
            <w:tcBorders>
              <w:top w:val="nil"/>
              <w:left w:val="nil"/>
              <w:bottom w:val="single" w:sz="4" w:space="0" w:color="auto"/>
              <w:right w:val="single" w:sz="4" w:space="0" w:color="auto"/>
            </w:tcBorders>
            <w:shd w:val="clear" w:color="auto" w:fill="auto"/>
            <w:vAlign w:val="center"/>
            <w:hideMark/>
          </w:tcPr>
          <w:p w:rsidR="00B74A96" w:rsidRPr="00B13243" w:rsidRDefault="00B74A96" w:rsidP="0094349B">
            <w:pPr>
              <w:keepNext/>
              <w:jc w:val="center"/>
              <w:rPr>
                <w:b/>
                <w:bCs/>
                <w:color w:val="000000"/>
                <w:sz w:val="19"/>
                <w:szCs w:val="19"/>
                <w:lang w:val="en-US"/>
              </w:rPr>
            </w:pPr>
            <w:r w:rsidRPr="00B13243">
              <w:rPr>
                <w:b/>
                <w:bCs/>
                <w:color w:val="000000"/>
                <w:sz w:val="19"/>
                <w:szCs w:val="19"/>
                <w:lang w:val="en-US"/>
              </w:rPr>
              <w:t>Baseline substance</w:t>
            </w:r>
          </w:p>
        </w:tc>
        <w:tc>
          <w:tcPr>
            <w:tcW w:w="894" w:type="pct"/>
            <w:tcBorders>
              <w:top w:val="nil"/>
              <w:left w:val="nil"/>
              <w:bottom w:val="single" w:sz="4" w:space="0" w:color="auto"/>
              <w:right w:val="single" w:sz="4" w:space="0" w:color="auto"/>
            </w:tcBorders>
            <w:shd w:val="clear" w:color="auto" w:fill="auto"/>
            <w:vAlign w:val="center"/>
            <w:hideMark/>
          </w:tcPr>
          <w:p w:rsidR="00B74A96" w:rsidRPr="00B13243" w:rsidRDefault="00B74A96" w:rsidP="0094349B">
            <w:pPr>
              <w:keepNext/>
              <w:jc w:val="center"/>
              <w:rPr>
                <w:b/>
                <w:bCs/>
                <w:color w:val="000000"/>
                <w:sz w:val="19"/>
                <w:szCs w:val="19"/>
                <w:lang w:val="en-US"/>
              </w:rPr>
            </w:pPr>
            <w:r w:rsidRPr="00B13243">
              <w:rPr>
                <w:b/>
                <w:bCs/>
                <w:color w:val="000000"/>
                <w:sz w:val="19"/>
                <w:szCs w:val="19"/>
                <w:lang w:val="en-US"/>
              </w:rPr>
              <w:t>Main alternatives introduced</w:t>
            </w:r>
          </w:p>
        </w:tc>
        <w:tc>
          <w:tcPr>
            <w:tcW w:w="596" w:type="pct"/>
            <w:tcBorders>
              <w:top w:val="nil"/>
              <w:left w:val="nil"/>
              <w:bottom w:val="single" w:sz="4" w:space="0" w:color="auto"/>
              <w:right w:val="single" w:sz="4" w:space="0" w:color="auto"/>
            </w:tcBorders>
            <w:shd w:val="clear" w:color="auto" w:fill="auto"/>
            <w:vAlign w:val="center"/>
            <w:hideMark/>
          </w:tcPr>
          <w:p w:rsidR="00B74A96" w:rsidRPr="00B13243" w:rsidRDefault="00B74A96" w:rsidP="0094349B">
            <w:pPr>
              <w:keepNext/>
              <w:jc w:val="center"/>
              <w:rPr>
                <w:b/>
                <w:bCs/>
                <w:color w:val="000000"/>
                <w:sz w:val="19"/>
                <w:szCs w:val="19"/>
                <w:lang w:val="en-US"/>
              </w:rPr>
            </w:pPr>
            <w:r w:rsidRPr="00B13243">
              <w:rPr>
                <w:b/>
                <w:bCs/>
                <w:color w:val="000000"/>
                <w:sz w:val="19"/>
                <w:szCs w:val="19"/>
                <w:lang w:val="en-US"/>
              </w:rPr>
              <w:t>CE threshold (US</w:t>
            </w:r>
            <w:r w:rsidR="007D043B" w:rsidRPr="00B13243">
              <w:rPr>
                <w:b/>
                <w:bCs/>
                <w:color w:val="000000"/>
                <w:sz w:val="19"/>
                <w:szCs w:val="19"/>
                <w:lang w:val="en-US"/>
              </w:rPr>
              <w:t> $</w:t>
            </w:r>
            <w:r w:rsidRPr="00B13243">
              <w:rPr>
                <w:b/>
                <w:bCs/>
                <w:color w:val="000000"/>
                <w:sz w:val="19"/>
                <w:szCs w:val="19"/>
                <w:lang w:val="en-US"/>
              </w:rPr>
              <w:t>/kg)</w:t>
            </w:r>
          </w:p>
        </w:tc>
      </w:tr>
      <w:tr w:rsidR="006A5833" w:rsidRPr="00B13243" w:rsidTr="00B13243">
        <w:tc>
          <w:tcPr>
            <w:tcW w:w="831" w:type="pct"/>
            <w:vMerge w:val="restart"/>
            <w:tcBorders>
              <w:top w:val="nil"/>
              <w:left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Domestic refrigeration (refrigerant and PU foam panel components)</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HFC-134a</w:t>
            </w:r>
          </w:p>
          <w:p w:rsidR="009407F5" w:rsidRPr="00B13243" w:rsidRDefault="009407F5" w:rsidP="0094349B">
            <w:pPr>
              <w:keepNext/>
              <w:jc w:val="left"/>
              <w:rPr>
                <w:color w:val="000000"/>
                <w:sz w:val="19"/>
                <w:szCs w:val="19"/>
                <w:lang w:val="en-US"/>
              </w:rPr>
            </w:pPr>
            <w:r w:rsidRPr="00B13243">
              <w:rPr>
                <w:color w:val="000000"/>
                <w:sz w:val="19"/>
                <w:szCs w:val="19"/>
                <w:lang w:val="en-US"/>
              </w:rPr>
              <w:t xml:space="preserve">R-600a </w:t>
            </w:r>
          </w:p>
        </w:tc>
        <w:tc>
          <w:tcPr>
            <w:tcW w:w="665" w:type="pct"/>
            <w:vMerge w:val="restart"/>
            <w:tcBorders>
              <w:top w:val="nil"/>
              <w:left w:val="single" w:sz="4" w:space="0" w:color="auto"/>
              <w:bottom w:val="single" w:sz="4" w:space="0" w:color="000000"/>
              <w:right w:val="single" w:sz="4" w:space="0" w:color="auto"/>
            </w:tcBorders>
            <w:shd w:val="clear" w:color="auto" w:fill="auto"/>
            <w:tcMar>
              <w:left w:w="115" w:type="dxa"/>
              <w:right w:w="288" w:type="dxa"/>
            </w:tcMar>
            <w:hideMark/>
          </w:tcPr>
          <w:p w:rsidR="009407F5" w:rsidRPr="00B13243" w:rsidRDefault="009407F5" w:rsidP="0094349B">
            <w:pPr>
              <w:keepNext/>
              <w:jc w:val="right"/>
              <w:rPr>
                <w:color w:val="000000"/>
                <w:sz w:val="19"/>
                <w:szCs w:val="19"/>
                <w:lang w:val="en-US"/>
              </w:rPr>
            </w:pPr>
            <w:r w:rsidRPr="00B13243">
              <w:rPr>
                <w:color w:val="000000"/>
                <w:sz w:val="19"/>
                <w:szCs w:val="19"/>
                <w:lang w:val="en-US"/>
              </w:rPr>
              <w:t xml:space="preserve">13.76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n.a.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n.a. </w:t>
            </w:r>
          </w:p>
        </w:tc>
        <w:tc>
          <w:tcPr>
            <w:tcW w:w="596"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n.a. </w:t>
            </w:r>
          </w:p>
        </w:tc>
      </w:tr>
      <w:tr w:rsidR="006A5833" w:rsidRPr="00B13243" w:rsidTr="00B13243">
        <w:tc>
          <w:tcPr>
            <w:tcW w:w="831" w:type="pct"/>
            <w:vMerge/>
            <w:tcBorders>
              <w:left w:val="single" w:sz="4" w:space="0" w:color="auto"/>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HCFC-141b cyclopentane </w:t>
            </w:r>
          </w:p>
        </w:tc>
        <w:tc>
          <w:tcPr>
            <w:tcW w:w="665" w:type="pct"/>
            <w:vMerge/>
            <w:tcBorders>
              <w:top w:val="nil"/>
              <w:left w:val="single" w:sz="4" w:space="0" w:color="auto"/>
              <w:bottom w:val="single" w:sz="4" w:space="0" w:color="000000"/>
              <w:right w:val="single" w:sz="4" w:space="0" w:color="auto"/>
            </w:tcBorders>
            <w:shd w:val="clear" w:color="auto" w:fill="auto"/>
            <w:tcMar>
              <w:left w:w="115" w:type="dxa"/>
              <w:right w:w="288" w:type="dxa"/>
            </w:tcMar>
            <w:vAlign w:val="center"/>
            <w:hideMark/>
          </w:tcPr>
          <w:p w:rsidR="009407F5" w:rsidRPr="00B13243" w:rsidRDefault="009407F5" w:rsidP="0094349B">
            <w:pPr>
              <w:keepNext/>
              <w:jc w:val="right"/>
              <w:rPr>
                <w:color w:val="000000"/>
                <w:sz w:val="19"/>
                <w:szCs w:val="19"/>
                <w:lang w:val="en-US"/>
              </w:rPr>
            </w:pP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Cyclopentane</w:t>
            </w:r>
          </w:p>
        </w:tc>
        <w:tc>
          <w:tcPr>
            <w:tcW w:w="596"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right"/>
              <w:rPr>
                <w:color w:val="000000"/>
                <w:sz w:val="19"/>
                <w:szCs w:val="19"/>
                <w:lang w:val="en-US"/>
              </w:rPr>
            </w:pPr>
            <w:r w:rsidRPr="00B13243">
              <w:rPr>
                <w:color w:val="000000"/>
                <w:sz w:val="19"/>
                <w:szCs w:val="19"/>
                <w:lang w:val="en-US"/>
              </w:rPr>
              <w:t xml:space="preserve">7.83 </w:t>
            </w:r>
            <w:r w:rsidR="00DB677E" w:rsidRPr="00B13243">
              <w:rPr>
                <w:color w:val="000000"/>
                <w:sz w:val="19"/>
                <w:szCs w:val="19"/>
                <w:lang w:val="en-US"/>
              </w:rPr>
              <w:t>(*)(**)</w:t>
            </w:r>
          </w:p>
        </w:tc>
      </w:tr>
      <w:tr w:rsidR="006A5833" w:rsidRPr="00B13243" w:rsidTr="00B13243">
        <w:tc>
          <w:tcPr>
            <w:tcW w:w="831" w:type="pct"/>
            <w:vMerge w:val="restart"/>
            <w:tcBorders>
              <w:top w:val="nil"/>
              <w:left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Commercial refrigeration (refrigerant and PU foam panel components) </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HFC-134a </w:t>
            </w:r>
          </w:p>
        </w:tc>
        <w:tc>
          <w:tcPr>
            <w:tcW w:w="665" w:type="pct"/>
            <w:vMerge w:val="restart"/>
            <w:tcBorders>
              <w:top w:val="nil"/>
              <w:left w:val="single" w:sz="4" w:space="0" w:color="auto"/>
              <w:bottom w:val="single" w:sz="4" w:space="0" w:color="000000"/>
              <w:right w:val="single" w:sz="4" w:space="0" w:color="auto"/>
            </w:tcBorders>
            <w:shd w:val="clear" w:color="auto" w:fill="auto"/>
            <w:tcMar>
              <w:left w:w="115" w:type="dxa"/>
              <w:right w:w="288" w:type="dxa"/>
            </w:tcMar>
            <w:hideMark/>
          </w:tcPr>
          <w:p w:rsidR="009407F5" w:rsidRPr="00B13243" w:rsidRDefault="009407F5" w:rsidP="0094349B">
            <w:pPr>
              <w:keepNext/>
              <w:jc w:val="right"/>
              <w:rPr>
                <w:color w:val="000000"/>
                <w:sz w:val="19"/>
                <w:szCs w:val="19"/>
                <w:lang w:val="en-US"/>
              </w:rPr>
            </w:pPr>
            <w:r w:rsidRPr="00B13243">
              <w:rPr>
                <w:color w:val="000000"/>
                <w:sz w:val="19"/>
                <w:szCs w:val="19"/>
                <w:lang w:val="en-US"/>
              </w:rPr>
              <w:t xml:space="preserve">15.21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HCFC-22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HFC-32, HC-290, HFC-134a</w:t>
            </w:r>
            <w:r w:rsidR="00D96B7E" w:rsidRPr="00B13243">
              <w:rPr>
                <w:color w:val="000000"/>
                <w:sz w:val="19"/>
                <w:szCs w:val="19"/>
                <w:lang w:val="en-US"/>
              </w:rPr>
              <w:t>, CO</w:t>
            </w:r>
            <w:r w:rsidR="00D96B7E" w:rsidRPr="00B13243">
              <w:rPr>
                <w:color w:val="000000"/>
                <w:sz w:val="19"/>
                <w:szCs w:val="19"/>
                <w:vertAlign w:val="subscript"/>
                <w:lang w:val="en-US"/>
              </w:rPr>
              <w:t>2</w:t>
            </w:r>
            <w:r w:rsidR="00D96B7E" w:rsidRPr="00B13243">
              <w:rPr>
                <w:color w:val="000000"/>
                <w:sz w:val="19"/>
                <w:szCs w:val="19"/>
                <w:lang w:val="en-US"/>
              </w:rPr>
              <w:t>, ammonia, cascade systems</w:t>
            </w:r>
          </w:p>
        </w:tc>
        <w:tc>
          <w:tcPr>
            <w:tcW w:w="596" w:type="pct"/>
            <w:vMerge w:val="restart"/>
            <w:tcBorders>
              <w:top w:val="nil"/>
              <w:left w:val="single" w:sz="4" w:space="0" w:color="auto"/>
              <w:bottom w:val="single" w:sz="4" w:space="0" w:color="000000"/>
              <w:right w:val="single" w:sz="4" w:space="0" w:color="auto"/>
            </w:tcBorders>
            <w:shd w:val="clear" w:color="auto" w:fill="auto"/>
            <w:hideMark/>
          </w:tcPr>
          <w:p w:rsidR="009407F5" w:rsidRPr="00B13243" w:rsidRDefault="009407F5" w:rsidP="0094349B">
            <w:pPr>
              <w:keepNext/>
              <w:jc w:val="right"/>
              <w:rPr>
                <w:color w:val="000000"/>
                <w:sz w:val="19"/>
                <w:szCs w:val="19"/>
                <w:lang w:val="en-US"/>
              </w:rPr>
            </w:pPr>
            <w:r w:rsidRPr="00B13243">
              <w:rPr>
                <w:color w:val="000000"/>
                <w:sz w:val="19"/>
                <w:szCs w:val="19"/>
                <w:lang w:val="en-US"/>
              </w:rPr>
              <w:t xml:space="preserve">15.21 </w:t>
            </w:r>
            <w:r w:rsidR="00DB677E" w:rsidRPr="00B13243">
              <w:rPr>
                <w:color w:val="000000"/>
                <w:sz w:val="19"/>
                <w:szCs w:val="19"/>
                <w:lang w:val="en-US"/>
              </w:rPr>
              <w:t>(*)</w:t>
            </w:r>
          </w:p>
        </w:tc>
      </w:tr>
      <w:tr w:rsidR="006A5833" w:rsidRPr="00B13243" w:rsidTr="00B13243">
        <w:tc>
          <w:tcPr>
            <w:tcW w:w="831" w:type="pct"/>
            <w:vMerge/>
            <w:tcBorders>
              <w:left w:val="single" w:sz="4" w:space="0" w:color="auto"/>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rsidR="006A5833" w:rsidRPr="00B13243" w:rsidRDefault="009407F5" w:rsidP="0094349B">
            <w:pPr>
              <w:keepNext/>
              <w:jc w:val="left"/>
              <w:rPr>
                <w:color w:val="000000"/>
                <w:sz w:val="19"/>
                <w:szCs w:val="19"/>
                <w:lang w:val="en-US"/>
              </w:rPr>
            </w:pPr>
            <w:r w:rsidRPr="00B13243">
              <w:rPr>
                <w:color w:val="000000"/>
                <w:sz w:val="19"/>
                <w:szCs w:val="19"/>
                <w:lang w:val="en-US"/>
              </w:rPr>
              <w:t>HCFC-141b</w:t>
            </w:r>
            <w:r w:rsidR="006A5833" w:rsidRPr="00B13243">
              <w:rPr>
                <w:color w:val="000000"/>
                <w:sz w:val="19"/>
                <w:szCs w:val="19"/>
                <w:lang w:val="en-US"/>
              </w:rPr>
              <w:t xml:space="preserve"> c</w:t>
            </w:r>
            <w:r w:rsidRPr="00B13243">
              <w:rPr>
                <w:color w:val="000000"/>
                <w:sz w:val="19"/>
                <w:szCs w:val="19"/>
                <w:lang w:val="en-US"/>
              </w:rPr>
              <w:t>yclopentane</w:t>
            </w:r>
          </w:p>
          <w:p w:rsidR="009407F5" w:rsidRPr="00B13243" w:rsidRDefault="006A5833" w:rsidP="0094349B">
            <w:pPr>
              <w:keepNext/>
              <w:jc w:val="left"/>
              <w:rPr>
                <w:color w:val="000000"/>
                <w:sz w:val="19"/>
                <w:szCs w:val="19"/>
                <w:lang w:val="en-US"/>
              </w:rPr>
            </w:pPr>
            <w:r w:rsidRPr="00B13243">
              <w:rPr>
                <w:color w:val="000000"/>
                <w:sz w:val="19"/>
                <w:szCs w:val="19"/>
                <w:lang w:val="en-US"/>
              </w:rPr>
              <w:t>wa</w:t>
            </w:r>
            <w:r w:rsidR="009407F5" w:rsidRPr="00B13243">
              <w:rPr>
                <w:color w:val="000000"/>
                <w:sz w:val="19"/>
                <w:szCs w:val="19"/>
                <w:lang w:val="en-US"/>
              </w:rPr>
              <w:t xml:space="preserve">ter </w:t>
            </w:r>
          </w:p>
        </w:tc>
        <w:tc>
          <w:tcPr>
            <w:tcW w:w="665" w:type="pct"/>
            <w:vMerge/>
            <w:tcBorders>
              <w:top w:val="nil"/>
              <w:left w:val="single" w:sz="4" w:space="0" w:color="auto"/>
              <w:bottom w:val="single" w:sz="4" w:space="0" w:color="000000"/>
              <w:right w:val="single" w:sz="4" w:space="0" w:color="auto"/>
            </w:tcBorders>
            <w:shd w:val="clear" w:color="auto" w:fill="auto"/>
            <w:tcMar>
              <w:left w:w="115" w:type="dxa"/>
              <w:right w:w="288" w:type="dxa"/>
            </w:tcMar>
            <w:vAlign w:val="center"/>
            <w:hideMark/>
          </w:tcPr>
          <w:p w:rsidR="009407F5" w:rsidRPr="00B13243" w:rsidRDefault="009407F5" w:rsidP="0094349B">
            <w:pPr>
              <w:keepNext/>
              <w:jc w:val="right"/>
              <w:rPr>
                <w:color w:val="000000"/>
                <w:sz w:val="19"/>
                <w:szCs w:val="19"/>
                <w:lang w:val="en-US"/>
              </w:rPr>
            </w:pP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t xml:space="preserve">Cyclopentane, water, methyl formate, methylal, HFC-245fa, reduced HFOs </w:t>
            </w:r>
          </w:p>
        </w:tc>
        <w:tc>
          <w:tcPr>
            <w:tcW w:w="596" w:type="pct"/>
            <w:vMerge/>
            <w:tcBorders>
              <w:top w:val="nil"/>
              <w:left w:val="single" w:sz="4" w:space="0" w:color="auto"/>
              <w:bottom w:val="single" w:sz="4" w:space="0" w:color="000000"/>
              <w:right w:val="single" w:sz="4" w:space="0" w:color="auto"/>
            </w:tcBorders>
            <w:shd w:val="clear" w:color="auto" w:fill="auto"/>
            <w:hideMark/>
          </w:tcPr>
          <w:p w:rsidR="009407F5" w:rsidRPr="00B13243" w:rsidRDefault="009407F5" w:rsidP="0094349B">
            <w:pPr>
              <w:keepNext/>
              <w:jc w:val="right"/>
              <w:rPr>
                <w:color w:val="000000"/>
                <w:sz w:val="19"/>
                <w:szCs w:val="19"/>
                <w:lang w:val="en-US"/>
              </w:rPr>
            </w:pP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9407F5" w:rsidRPr="00B13243" w:rsidRDefault="009407F5" w:rsidP="00B13243">
            <w:pPr>
              <w:jc w:val="left"/>
              <w:rPr>
                <w:color w:val="000000"/>
                <w:sz w:val="19"/>
                <w:szCs w:val="19"/>
                <w:lang w:val="en-US"/>
              </w:rPr>
            </w:pPr>
            <w:r w:rsidRPr="00B13243">
              <w:rPr>
                <w:color w:val="000000"/>
                <w:sz w:val="19"/>
                <w:szCs w:val="19"/>
                <w:lang w:val="en-US"/>
              </w:rPr>
              <w:t xml:space="preserve">Rigid PU foam (including PU foam panel in commercial refrigeration) </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rsidR="006A5833" w:rsidRPr="00B13243" w:rsidRDefault="009407F5" w:rsidP="008F7254">
            <w:pPr>
              <w:jc w:val="left"/>
              <w:rPr>
                <w:color w:val="000000"/>
                <w:sz w:val="19"/>
                <w:szCs w:val="19"/>
                <w:lang w:val="en-US"/>
              </w:rPr>
            </w:pPr>
            <w:r w:rsidRPr="00B13243">
              <w:rPr>
                <w:color w:val="000000"/>
                <w:sz w:val="19"/>
                <w:szCs w:val="19"/>
                <w:lang w:val="en-US"/>
              </w:rPr>
              <w:t>HCFC-141</w:t>
            </w:r>
            <w:r w:rsidR="006A5833" w:rsidRPr="00B13243">
              <w:rPr>
                <w:color w:val="000000"/>
                <w:sz w:val="19"/>
                <w:szCs w:val="19"/>
                <w:lang w:val="en-US"/>
              </w:rPr>
              <w:t>b</w:t>
            </w:r>
          </w:p>
          <w:p w:rsidR="006A5833" w:rsidRPr="00B13243" w:rsidRDefault="006A5833" w:rsidP="008F7254">
            <w:pPr>
              <w:jc w:val="left"/>
              <w:rPr>
                <w:color w:val="000000"/>
                <w:sz w:val="19"/>
                <w:szCs w:val="19"/>
                <w:lang w:val="en-US"/>
              </w:rPr>
            </w:pPr>
            <w:r w:rsidRPr="00B13243">
              <w:rPr>
                <w:color w:val="000000"/>
                <w:sz w:val="19"/>
                <w:szCs w:val="19"/>
                <w:lang w:val="en-US"/>
              </w:rPr>
              <w:t>c</w:t>
            </w:r>
            <w:r w:rsidR="009407F5" w:rsidRPr="00B13243">
              <w:rPr>
                <w:color w:val="000000"/>
                <w:sz w:val="19"/>
                <w:szCs w:val="19"/>
                <w:lang w:val="en-US"/>
              </w:rPr>
              <w:t>yclopentane</w:t>
            </w:r>
          </w:p>
          <w:p w:rsidR="009407F5" w:rsidRPr="00B13243" w:rsidRDefault="009407F5" w:rsidP="008F7254">
            <w:pPr>
              <w:jc w:val="left"/>
              <w:rPr>
                <w:color w:val="000000"/>
                <w:sz w:val="19"/>
                <w:szCs w:val="19"/>
                <w:lang w:val="en-US"/>
              </w:rPr>
            </w:pPr>
            <w:r w:rsidRPr="00B13243">
              <w:rPr>
                <w:color w:val="000000"/>
                <w:sz w:val="19"/>
                <w:szCs w:val="19"/>
                <w:lang w:val="en-US"/>
              </w:rPr>
              <w:t xml:space="preserve">water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7.83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Cyclopentane, water, methyl formate, methylal, HFC-245fa, reduced HFOs </w:t>
            </w:r>
          </w:p>
        </w:tc>
        <w:tc>
          <w:tcPr>
            <w:tcW w:w="596" w:type="pct"/>
            <w:tcBorders>
              <w:top w:val="nil"/>
              <w:left w:val="nil"/>
              <w:bottom w:val="single" w:sz="4" w:space="0" w:color="auto"/>
              <w:right w:val="single" w:sz="4" w:space="0" w:color="auto"/>
            </w:tcBorders>
            <w:shd w:val="clear" w:color="auto" w:fill="auto"/>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7.83 </w:t>
            </w:r>
            <w:r w:rsidR="00DB677E" w:rsidRPr="00B13243">
              <w:rPr>
                <w:color w:val="000000"/>
                <w:sz w:val="19"/>
                <w:szCs w:val="19"/>
                <w:lang w:val="en-US"/>
              </w:rPr>
              <w:t>(*)(**)</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Flexible PU foam </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rsidR="006A5833" w:rsidRPr="00B13243" w:rsidRDefault="009407F5" w:rsidP="008F7254">
            <w:pPr>
              <w:jc w:val="left"/>
              <w:rPr>
                <w:color w:val="000000"/>
                <w:sz w:val="19"/>
                <w:szCs w:val="19"/>
                <w:lang w:val="en-US"/>
              </w:rPr>
            </w:pPr>
            <w:r w:rsidRPr="00B13243">
              <w:rPr>
                <w:color w:val="000000"/>
                <w:sz w:val="19"/>
                <w:szCs w:val="19"/>
                <w:lang w:val="en-US"/>
              </w:rPr>
              <w:t>HCFC-141b</w:t>
            </w:r>
            <w:r w:rsidR="008C4C87" w:rsidRPr="00B13243">
              <w:rPr>
                <w:color w:val="000000"/>
                <w:sz w:val="19"/>
                <w:szCs w:val="19"/>
                <w:lang w:val="en-US"/>
              </w:rPr>
              <w:t xml:space="preserve"> </w:t>
            </w:r>
            <w:r w:rsidRPr="00B13243">
              <w:rPr>
                <w:color w:val="000000"/>
                <w:sz w:val="19"/>
                <w:szCs w:val="19"/>
                <w:lang w:val="en-US"/>
              </w:rPr>
              <w:t>cyclopentane</w:t>
            </w:r>
            <w:r w:rsidR="006A5833" w:rsidRPr="00B13243">
              <w:rPr>
                <w:color w:val="000000"/>
                <w:sz w:val="19"/>
                <w:szCs w:val="19"/>
                <w:lang w:val="en-US"/>
              </w:rPr>
              <w:t xml:space="preserve"> </w:t>
            </w:r>
          </w:p>
          <w:p w:rsidR="009407F5" w:rsidRPr="00B13243" w:rsidRDefault="009407F5" w:rsidP="008F7254">
            <w:pPr>
              <w:jc w:val="left"/>
              <w:rPr>
                <w:color w:val="000000"/>
                <w:sz w:val="19"/>
                <w:szCs w:val="19"/>
                <w:lang w:val="en-US"/>
              </w:rPr>
            </w:pPr>
            <w:r w:rsidRPr="00B13243">
              <w:rPr>
                <w:color w:val="000000"/>
                <w:sz w:val="19"/>
                <w:szCs w:val="19"/>
                <w:lang w:val="en-US"/>
              </w:rPr>
              <w:t xml:space="preserve">water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6.23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Cyclopentane, water, methyl formate, methylal, HFC-245fa, reduced HFOs </w:t>
            </w:r>
          </w:p>
        </w:tc>
        <w:tc>
          <w:tcPr>
            <w:tcW w:w="596" w:type="pct"/>
            <w:tcBorders>
              <w:top w:val="nil"/>
              <w:left w:val="nil"/>
              <w:bottom w:val="single" w:sz="4" w:space="0" w:color="auto"/>
              <w:right w:val="single" w:sz="4" w:space="0" w:color="auto"/>
            </w:tcBorders>
            <w:shd w:val="clear" w:color="auto" w:fill="auto"/>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6.23 </w:t>
            </w:r>
            <w:r w:rsidR="00DB677E" w:rsidRPr="00B13243">
              <w:rPr>
                <w:color w:val="000000"/>
                <w:sz w:val="19"/>
                <w:szCs w:val="19"/>
                <w:lang w:val="en-US"/>
              </w:rPr>
              <w:t>(*)(**)</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Integral skin </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rsidR="006A5833" w:rsidRPr="00B13243" w:rsidRDefault="009407F5" w:rsidP="008F7254">
            <w:pPr>
              <w:jc w:val="left"/>
              <w:rPr>
                <w:color w:val="000000"/>
                <w:sz w:val="19"/>
                <w:szCs w:val="19"/>
                <w:lang w:val="en-US"/>
              </w:rPr>
            </w:pPr>
            <w:r w:rsidRPr="00B13243">
              <w:rPr>
                <w:color w:val="000000"/>
                <w:sz w:val="19"/>
                <w:szCs w:val="19"/>
                <w:lang w:val="en-US"/>
              </w:rPr>
              <w:t>HCFC-141b</w:t>
            </w:r>
          </w:p>
          <w:p w:rsidR="006A5833" w:rsidRPr="00B13243" w:rsidRDefault="006A5833" w:rsidP="008F7254">
            <w:pPr>
              <w:jc w:val="left"/>
              <w:rPr>
                <w:color w:val="000000"/>
                <w:sz w:val="19"/>
                <w:szCs w:val="19"/>
                <w:lang w:val="en-US"/>
              </w:rPr>
            </w:pPr>
            <w:r w:rsidRPr="00B13243">
              <w:rPr>
                <w:color w:val="000000"/>
                <w:sz w:val="19"/>
                <w:szCs w:val="19"/>
                <w:lang w:val="en-US"/>
              </w:rPr>
              <w:t>c</w:t>
            </w:r>
            <w:r w:rsidR="009407F5" w:rsidRPr="00B13243">
              <w:rPr>
                <w:color w:val="000000"/>
                <w:sz w:val="19"/>
                <w:szCs w:val="19"/>
                <w:lang w:val="en-US"/>
              </w:rPr>
              <w:t>yclopentane</w:t>
            </w:r>
          </w:p>
          <w:p w:rsidR="009407F5" w:rsidRPr="00B13243" w:rsidRDefault="009407F5" w:rsidP="008F7254">
            <w:pPr>
              <w:jc w:val="left"/>
              <w:rPr>
                <w:color w:val="000000"/>
                <w:sz w:val="19"/>
                <w:szCs w:val="19"/>
                <w:lang w:val="en-US"/>
              </w:rPr>
            </w:pPr>
            <w:r w:rsidRPr="00B13243">
              <w:rPr>
                <w:color w:val="000000"/>
                <w:sz w:val="19"/>
                <w:szCs w:val="19"/>
                <w:lang w:val="en-US"/>
              </w:rPr>
              <w:t xml:space="preserve">water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16.86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Cyclopentane, water, methyl formate, methylal, HFC-245fa, reduced HFOs </w:t>
            </w:r>
          </w:p>
        </w:tc>
        <w:tc>
          <w:tcPr>
            <w:tcW w:w="596" w:type="pct"/>
            <w:tcBorders>
              <w:top w:val="nil"/>
              <w:left w:val="nil"/>
              <w:bottom w:val="single" w:sz="4" w:space="0" w:color="auto"/>
              <w:right w:val="single" w:sz="4" w:space="0" w:color="auto"/>
            </w:tcBorders>
            <w:shd w:val="clear" w:color="auto" w:fill="auto"/>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16.86 </w:t>
            </w:r>
            <w:r w:rsidR="00DB677E" w:rsidRPr="00B13243">
              <w:rPr>
                <w:color w:val="000000"/>
                <w:sz w:val="19"/>
                <w:szCs w:val="19"/>
                <w:lang w:val="en-US"/>
              </w:rPr>
              <w:t>(*</w:t>
            </w:r>
            <w:r w:rsidR="006B23B3">
              <w:rPr>
                <w:color w:val="000000"/>
                <w:sz w:val="19"/>
                <w:szCs w:val="19"/>
                <w:lang w:val="en-US"/>
              </w:rPr>
              <w:t>)</w:t>
            </w:r>
            <w:r w:rsidR="00DB677E" w:rsidRPr="00B13243">
              <w:rPr>
                <w:color w:val="000000"/>
                <w:sz w:val="19"/>
                <w:szCs w:val="19"/>
                <w:lang w:val="en-US"/>
              </w:rPr>
              <w:t>(**)</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XPS foam </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HFC-134a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8.22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HCFC-22/ HCFC-142b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HC, CO</w:t>
            </w:r>
            <w:r w:rsidRPr="00B13243">
              <w:rPr>
                <w:color w:val="000000"/>
                <w:sz w:val="19"/>
                <w:szCs w:val="19"/>
                <w:vertAlign w:val="subscript"/>
                <w:lang w:val="en-US"/>
              </w:rPr>
              <w:t xml:space="preserve">2 </w:t>
            </w:r>
          </w:p>
        </w:tc>
        <w:tc>
          <w:tcPr>
            <w:tcW w:w="596" w:type="pct"/>
            <w:tcBorders>
              <w:top w:val="nil"/>
              <w:left w:val="nil"/>
              <w:bottom w:val="single" w:sz="4" w:space="0" w:color="auto"/>
              <w:right w:val="single" w:sz="4" w:space="0" w:color="auto"/>
            </w:tcBorders>
            <w:shd w:val="clear" w:color="auto" w:fill="auto"/>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8.22 </w:t>
            </w:r>
            <w:r w:rsidR="00DB677E" w:rsidRPr="00B13243">
              <w:rPr>
                <w:color w:val="000000"/>
                <w:sz w:val="19"/>
                <w:szCs w:val="19"/>
                <w:lang w:val="en-US"/>
              </w:rPr>
              <w:t>(*)(**)</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Aerosol </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CFC-12/ CFC-11 </w:t>
            </w:r>
          </w:p>
        </w:tc>
        <w:tc>
          <w:tcPr>
            <w:tcW w:w="760"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HC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4.40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HCFC-22/ HCFC-141b </w:t>
            </w:r>
          </w:p>
        </w:tc>
        <w:tc>
          <w:tcPr>
            <w:tcW w:w="894" w:type="pct"/>
            <w:tcBorders>
              <w:top w:val="nil"/>
              <w:left w:val="nil"/>
              <w:bottom w:val="single" w:sz="4" w:space="0" w:color="auto"/>
              <w:right w:val="single" w:sz="4" w:space="0" w:color="auto"/>
            </w:tcBorders>
            <w:shd w:val="clear" w:color="auto" w:fill="auto"/>
            <w:hideMark/>
          </w:tcPr>
          <w:p w:rsidR="00504AD3" w:rsidRPr="00B13243" w:rsidRDefault="00504AD3" w:rsidP="008F7254">
            <w:pPr>
              <w:jc w:val="left"/>
              <w:rPr>
                <w:color w:val="000000"/>
                <w:sz w:val="19"/>
                <w:szCs w:val="19"/>
                <w:lang w:val="en-US"/>
              </w:rPr>
            </w:pPr>
            <w:r w:rsidRPr="00B13243">
              <w:rPr>
                <w:color w:val="000000"/>
                <w:sz w:val="19"/>
                <w:szCs w:val="19"/>
                <w:lang w:val="en-US"/>
              </w:rPr>
              <w:t>HC</w:t>
            </w:r>
          </w:p>
          <w:p w:rsidR="009407F5" w:rsidRPr="00B13243" w:rsidRDefault="009407F5" w:rsidP="008F7254">
            <w:pPr>
              <w:jc w:val="left"/>
              <w:rPr>
                <w:color w:val="000000"/>
                <w:sz w:val="19"/>
                <w:szCs w:val="19"/>
                <w:lang w:val="en-US"/>
              </w:rPr>
            </w:pPr>
            <w:r w:rsidRPr="00B13243">
              <w:rPr>
                <w:color w:val="000000"/>
                <w:sz w:val="19"/>
                <w:szCs w:val="19"/>
                <w:lang w:val="en-US"/>
              </w:rPr>
              <w:t xml:space="preserve">HFC-134a, </w:t>
            </w:r>
          </w:p>
          <w:p w:rsidR="009407F5" w:rsidRPr="00B13243" w:rsidRDefault="00D96B7E" w:rsidP="008F7254">
            <w:pPr>
              <w:jc w:val="left"/>
              <w:rPr>
                <w:color w:val="000000"/>
                <w:sz w:val="19"/>
                <w:szCs w:val="19"/>
                <w:lang w:val="en-US"/>
              </w:rPr>
            </w:pPr>
            <w:r w:rsidRPr="00B13243">
              <w:rPr>
                <w:color w:val="000000"/>
                <w:sz w:val="19"/>
                <w:szCs w:val="19"/>
                <w:lang w:val="en-US"/>
              </w:rPr>
              <w:t>HFC-152a</w:t>
            </w:r>
            <w:r w:rsidR="009407F5" w:rsidRPr="00B13243">
              <w:rPr>
                <w:color w:val="000000"/>
                <w:sz w:val="19"/>
                <w:szCs w:val="19"/>
                <w:lang w:val="en-US"/>
              </w:rPr>
              <w:t xml:space="preserve">, perchloretylene, HFO </w:t>
            </w:r>
          </w:p>
        </w:tc>
        <w:tc>
          <w:tcPr>
            <w:tcW w:w="596" w:type="pct"/>
            <w:tcBorders>
              <w:top w:val="nil"/>
              <w:left w:val="nil"/>
              <w:bottom w:val="single" w:sz="4" w:space="0" w:color="auto"/>
              <w:right w:val="single" w:sz="4" w:space="0" w:color="auto"/>
            </w:tcBorders>
            <w:shd w:val="clear" w:color="auto" w:fill="auto"/>
            <w:hideMark/>
          </w:tcPr>
          <w:p w:rsidR="009407F5" w:rsidRPr="00B13243" w:rsidRDefault="007D043B" w:rsidP="00B13243">
            <w:pPr>
              <w:jc w:val="left"/>
              <w:rPr>
                <w:color w:val="000000"/>
                <w:sz w:val="19"/>
                <w:szCs w:val="19"/>
                <w:lang w:val="en-US"/>
              </w:rPr>
            </w:pPr>
            <w:r w:rsidRPr="00B13243">
              <w:rPr>
                <w:color w:val="000000"/>
                <w:sz w:val="19"/>
                <w:szCs w:val="19"/>
                <w:lang w:val="en-US"/>
              </w:rPr>
              <w:t>Case-by</w:t>
            </w:r>
            <w:r w:rsidRPr="00B13243">
              <w:rPr>
                <w:color w:val="000000"/>
                <w:sz w:val="19"/>
                <w:szCs w:val="19"/>
                <w:lang w:val="en-US"/>
              </w:rPr>
              <w:noBreakHyphen/>
            </w:r>
            <w:r w:rsidR="009407F5" w:rsidRPr="00B13243">
              <w:rPr>
                <w:color w:val="000000"/>
                <w:sz w:val="19"/>
                <w:szCs w:val="19"/>
                <w:lang w:val="en-US"/>
              </w:rPr>
              <w:t xml:space="preserve">case </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Fire extinguishing </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Halon </w:t>
            </w:r>
          </w:p>
        </w:tc>
        <w:tc>
          <w:tcPr>
            <w:tcW w:w="760" w:type="pct"/>
            <w:tcBorders>
              <w:top w:val="nil"/>
              <w:left w:val="nil"/>
              <w:bottom w:val="single" w:sz="4" w:space="0" w:color="auto"/>
              <w:right w:val="single" w:sz="4" w:space="0" w:color="auto"/>
            </w:tcBorders>
            <w:shd w:val="clear" w:color="auto" w:fill="auto"/>
            <w:hideMark/>
          </w:tcPr>
          <w:p w:rsidR="009407F5" w:rsidRPr="00B13243" w:rsidRDefault="00210B34" w:rsidP="008F7254">
            <w:pPr>
              <w:jc w:val="left"/>
              <w:rPr>
                <w:color w:val="000000"/>
                <w:sz w:val="19"/>
                <w:szCs w:val="19"/>
                <w:highlight w:val="red"/>
                <w:lang w:val="en-US"/>
              </w:rPr>
            </w:pPr>
            <w:r w:rsidRPr="00B13243">
              <w:rPr>
                <w:color w:val="000000"/>
                <w:sz w:val="19"/>
                <w:szCs w:val="19"/>
                <w:lang w:val="en-US"/>
              </w:rPr>
              <w:t>ABC dry powder, CO</w:t>
            </w:r>
            <w:r w:rsidRPr="00B13243">
              <w:rPr>
                <w:color w:val="000000"/>
                <w:sz w:val="19"/>
                <w:szCs w:val="19"/>
                <w:vertAlign w:val="subscript"/>
                <w:lang w:val="en-US"/>
              </w:rPr>
              <w:t>2</w:t>
            </w:r>
            <w:r w:rsidRPr="00B13243">
              <w:rPr>
                <w:color w:val="000000"/>
                <w:sz w:val="19"/>
                <w:szCs w:val="19"/>
                <w:highlight w:val="red"/>
                <w:lang w:val="en-US"/>
              </w:rPr>
              <w:t xml:space="preserve">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1.48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HCFC-123 </w:t>
            </w:r>
          </w:p>
        </w:tc>
        <w:tc>
          <w:tcPr>
            <w:tcW w:w="894" w:type="pct"/>
            <w:tcBorders>
              <w:top w:val="nil"/>
              <w:left w:val="nil"/>
              <w:bottom w:val="single" w:sz="4" w:space="0" w:color="auto"/>
              <w:right w:val="single" w:sz="4" w:space="0" w:color="auto"/>
            </w:tcBorders>
            <w:shd w:val="clear" w:color="auto" w:fill="auto"/>
            <w:hideMark/>
          </w:tcPr>
          <w:p w:rsidR="009407F5" w:rsidRPr="0094349B" w:rsidRDefault="003E2398" w:rsidP="008F7254">
            <w:pPr>
              <w:jc w:val="left"/>
              <w:rPr>
                <w:color w:val="000000"/>
                <w:sz w:val="19"/>
                <w:szCs w:val="19"/>
                <w:lang w:val="en-US"/>
              </w:rPr>
            </w:pPr>
            <w:r w:rsidRPr="0094349B">
              <w:rPr>
                <w:color w:val="000000"/>
                <w:sz w:val="19"/>
                <w:szCs w:val="19"/>
                <w:lang w:val="en-US"/>
              </w:rPr>
              <w:t>No projects approved yet</w:t>
            </w:r>
          </w:p>
        </w:tc>
        <w:tc>
          <w:tcPr>
            <w:tcW w:w="596" w:type="pct"/>
            <w:tcBorders>
              <w:top w:val="nil"/>
              <w:left w:val="nil"/>
              <w:bottom w:val="single" w:sz="4" w:space="0" w:color="auto"/>
              <w:right w:val="single" w:sz="4" w:space="0" w:color="auto"/>
            </w:tcBorders>
            <w:shd w:val="clear" w:color="auto" w:fill="auto"/>
            <w:vAlign w:val="center"/>
            <w:hideMark/>
          </w:tcPr>
          <w:p w:rsidR="009407F5" w:rsidRPr="00B13243" w:rsidRDefault="007D043B" w:rsidP="00B13243">
            <w:pPr>
              <w:jc w:val="left"/>
              <w:rPr>
                <w:color w:val="000000"/>
                <w:sz w:val="19"/>
                <w:szCs w:val="19"/>
                <w:lang w:val="en-US"/>
              </w:rPr>
            </w:pPr>
            <w:r w:rsidRPr="00B13243">
              <w:rPr>
                <w:color w:val="000000"/>
                <w:sz w:val="19"/>
                <w:szCs w:val="19"/>
                <w:lang w:val="en-US"/>
              </w:rPr>
              <w:t>Case-by</w:t>
            </w:r>
            <w:r w:rsidRPr="00B13243">
              <w:rPr>
                <w:color w:val="000000"/>
                <w:sz w:val="19"/>
                <w:szCs w:val="19"/>
                <w:lang w:val="en-US"/>
              </w:rPr>
              <w:noBreakHyphen/>
              <w:t>c</w:t>
            </w:r>
            <w:r w:rsidR="009407F5" w:rsidRPr="00B13243">
              <w:rPr>
                <w:color w:val="000000"/>
                <w:sz w:val="19"/>
                <w:szCs w:val="19"/>
                <w:lang w:val="en-US"/>
              </w:rPr>
              <w:t xml:space="preserve">ase </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074799" w:rsidRPr="00B13243" w:rsidRDefault="00074799" w:rsidP="008F7254">
            <w:pPr>
              <w:jc w:val="left"/>
              <w:rPr>
                <w:color w:val="000000"/>
                <w:sz w:val="19"/>
                <w:szCs w:val="19"/>
                <w:lang w:val="en-US"/>
              </w:rPr>
            </w:pPr>
            <w:r w:rsidRPr="00B13243">
              <w:rPr>
                <w:color w:val="000000"/>
                <w:sz w:val="19"/>
                <w:szCs w:val="19"/>
                <w:lang w:val="en-US"/>
              </w:rPr>
              <w:t xml:space="preserve">Solvent </w:t>
            </w:r>
          </w:p>
        </w:tc>
        <w:tc>
          <w:tcPr>
            <w:tcW w:w="595" w:type="pct"/>
            <w:tcBorders>
              <w:top w:val="nil"/>
              <w:left w:val="nil"/>
              <w:bottom w:val="single" w:sz="4" w:space="0" w:color="auto"/>
              <w:right w:val="single" w:sz="4" w:space="0" w:color="auto"/>
            </w:tcBorders>
            <w:shd w:val="clear" w:color="auto" w:fill="auto"/>
            <w:hideMark/>
          </w:tcPr>
          <w:p w:rsidR="00074799" w:rsidRPr="00B13243" w:rsidRDefault="00074799" w:rsidP="008F7254">
            <w:pPr>
              <w:jc w:val="left"/>
              <w:rPr>
                <w:color w:val="000000"/>
                <w:sz w:val="19"/>
                <w:szCs w:val="19"/>
                <w:lang w:val="en-US"/>
              </w:rPr>
            </w:pPr>
            <w:r w:rsidRPr="00B13243">
              <w:rPr>
                <w:color w:val="000000"/>
                <w:sz w:val="19"/>
                <w:szCs w:val="19"/>
                <w:lang w:val="en-US"/>
              </w:rPr>
              <w:t xml:space="preserve">CFC-113 </w:t>
            </w:r>
          </w:p>
        </w:tc>
        <w:tc>
          <w:tcPr>
            <w:tcW w:w="760" w:type="pct"/>
            <w:vMerge w:val="restart"/>
            <w:tcBorders>
              <w:top w:val="nil"/>
              <w:left w:val="nil"/>
              <w:right w:val="single" w:sz="4" w:space="0" w:color="auto"/>
            </w:tcBorders>
            <w:shd w:val="clear" w:color="auto" w:fill="auto"/>
            <w:hideMark/>
          </w:tcPr>
          <w:p w:rsidR="00074799" w:rsidRPr="00B13243" w:rsidRDefault="00074799" w:rsidP="008F7254">
            <w:pPr>
              <w:jc w:val="left"/>
              <w:rPr>
                <w:color w:val="000000"/>
                <w:sz w:val="19"/>
                <w:szCs w:val="19"/>
                <w:lang w:val="en-US"/>
              </w:rPr>
            </w:pPr>
            <w:r w:rsidRPr="00B13243">
              <w:rPr>
                <w:color w:val="000000"/>
                <w:sz w:val="19"/>
                <w:szCs w:val="19"/>
                <w:lang w:val="en-US"/>
              </w:rPr>
              <w:t xml:space="preserve">Heat cleaning, aqueous cleaning, </w:t>
            </w:r>
            <w:proofErr w:type="spellStart"/>
            <w:r w:rsidRPr="00B13243">
              <w:rPr>
                <w:color w:val="000000"/>
                <w:sz w:val="19"/>
                <w:szCs w:val="19"/>
                <w:lang w:val="en-US"/>
              </w:rPr>
              <w:t>trichloret</w:t>
            </w:r>
            <w:r w:rsidR="005057B6">
              <w:rPr>
                <w:color w:val="000000"/>
                <w:sz w:val="19"/>
                <w:szCs w:val="19"/>
                <w:lang w:val="en-US"/>
              </w:rPr>
              <w:t>h</w:t>
            </w:r>
            <w:bookmarkStart w:id="0" w:name="_GoBack"/>
            <w:bookmarkEnd w:id="0"/>
            <w:r w:rsidRPr="00B13243">
              <w:rPr>
                <w:color w:val="000000"/>
                <w:sz w:val="19"/>
                <w:szCs w:val="19"/>
                <w:lang w:val="en-US"/>
              </w:rPr>
              <w:t>ylene</w:t>
            </w:r>
            <w:proofErr w:type="spellEnd"/>
            <w:r w:rsidRPr="00B13243">
              <w:rPr>
                <w:color w:val="000000"/>
                <w:sz w:val="19"/>
                <w:szCs w:val="19"/>
                <w:lang w:val="en-US"/>
              </w:rPr>
              <w:t>,</w:t>
            </w:r>
            <w:r w:rsidR="00BB390A" w:rsidRPr="00B13243">
              <w:rPr>
                <w:color w:val="000000"/>
                <w:sz w:val="19"/>
                <w:szCs w:val="19"/>
                <w:lang w:val="en-US"/>
              </w:rPr>
              <w:t xml:space="preserve"> </w:t>
            </w:r>
            <w:r w:rsidRPr="00B13243">
              <w:rPr>
                <w:color w:val="000000"/>
                <w:sz w:val="19"/>
                <w:szCs w:val="19"/>
                <w:lang w:val="en-US"/>
              </w:rPr>
              <w:t>HC, others</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074799" w:rsidRPr="00B13243" w:rsidRDefault="00074799" w:rsidP="00B13243">
            <w:pPr>
              <w:jc w:val="right"/>
              <w:rPr>
                <w:color w:val="000000"/>
                <w:sz w:val="19"/>
                <w:szCs w:val="19"/>
                <w:lang w:val="en-US"/>
              </w:rPr>
            </w:pPr>
            <w:r w:rsidRPr="00B13243">
              <w:rPr>
                <w:color w:val="000000"/>
                <w:sz w:val="19"/>
                <w:szCs w:val="19"/>
                <w:lang w:val="en-US"/>
              </w:rPr>
              <w:t xml:space="preserve">19.73 </w:t>
            </w:r>
          </w:p>
        </w:tc>
        <w:tc>
          <w:tcPr>
            <w:tcW w:w="659" w:type="pct"/>
            <w:tcBorders>
              <w:top w:val="nil"/>
              <w:left w:val="nil"/>
              <w:bottom w:val="single" w:sz="4" w:space="0" w:color="auto"/>
              <w:right w:val="single" w:sz="4" w:space="0" w:color="auto"/>
            </w:tcBorders>
            <w:shd w:val="clear" w:color="auto" w:fill="auto"/>
            <w:hideMark/>
          </w:tcPr>
          <w:p w:rsidR="00074799" w:rsidRPr="00B13243" w:rsidRDefault="00074799" w:rsidP="008F7254">
            <w:pPr>
              <w:jc w:val="left"/>
              <w:rPr>
                <w:color w:val="000000"/>
                <w:sz w:val="19"/>
                <w:szCs w:val="19"/>
                <w:lang w:val="en-US"/>
              </w:rPr>
            </w:pPr>
            <w:r w:rsidRPr="00B13243">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rsidR="00074799" w:rsidRPr="00B13243" w:rsidRDefault="00074799" w:rsidP="008F7254">
            <w:pPr>
              <w:jc w:val="left"/>
              <w:rPr>
                <w:color w:val="000000"/>
                <w:sz w:val="19"/>
                <w:szCs w:val="19"/>
                <w:lang w:val="en-US"/>
              </w:rPr>
            </w:pPr>
            <w:proofErr w:type="spellStart"/>
            <w:r w:rsidRPr="00B13243">
              <w:rPr>
                <w:color w:val="000000"/>
                <w:sz w:val="19"/>
                <w:szCs w:val="19"/>
                <w:lang w:val="en-US"/>
              </w:rPr>
              <w:t>Iso</w:t>
            </w:r>
            <w:proofErr w:type="spellEnd"/>
            <w:r w:rsidRPr="00B13243">
              <w:rPr>
                <w:color w:val="000000"/>
                <w:sz w:val="19"/>
                <w:szCs w:val="19"/>
                <w:lang w:val="en-US"/>
              </w:rPr>
              <w:t>-paraffin</w:t>
            </w:r>
          </w:p>
        </w:tc>
        <w:tc>
          <w:tcPr>
            <w:tcW w:w="596" w:type="pct"/>
            <w:tcBorders>
              <w:top w:val="nil"/>
              <w:left w:val="nil"/>
              <w:bottom w:val="single" w:sz="4" w:space="0" w:color="auto"/>
              <w:right w:val="single" w:sz="4" w:space="0" w:color="auto"/>
            </w:tcBorders>
            <w:shd w:val="clear" w:color="auto" w:fill="auto"/>
            <w:vAlign w:val="center"/>
            <w:hideMark/>
          </w:tcPr>
          <w:p w:rsidR="00074799" w:rsidRPr="00B13243" w:rsidRDefault="00074799" w:rsidP="00B13243">
            <w:pPr>
              <w:jc w:val="left"/>
              <w:rPr>
                <w:color w:val="000000"/>
                <w:sz w:val="19"/>
                <w:szCs w:val="19"/>
                <w:lang w:val="en-US"/>
              </w:rPr>
            </w:pPr>
            <w:r w:rsidRPr="00B13243">
              <w:rPr>
                <w:color w:val="000000"/>
                <w:sz w:val="19"/>
                <w:szCs w:val="19"/>
                <w:lang w:val="en-US"/>
              </w:rPr>
              <w:t>Case-by</w:t>
            </w:r>
            <w:r w:rsidR="007D043B" w:rsidRPr="00B13243">
              <w:rPr>
                <w:color w:val="000000"/>
                <w:sz w:val="19"/>
                <w:szCs w:val="19"/>
                <w:lang w:val="en-US"/>
              </w:rPr>
              <w:noBreakHyphen/>
            </w:r>
            <w:r w:rsidRPr="00B13243">
              <w:rPr>
                <w:color w:val="000000"/>
                <w:sz w:val="19"/>
                <w:szCs w:val="19"/>
                <w:lang w:val="en-US"/>
              </w:rPr>
              <w:t xml:space="preserve">case </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074799" w:rsidRPr="00B13243" w:rsidRDefault="00074799" w:rsidP="008F7254">
            <w:pPr>
              <w:jc w:val="left"/>
              <w:rPr>
                <w:color w:val="000000"/>
                <w:sz w:val="19"/>
                <w:szCs w:val="19"/>
                <w:lang w:val="en-US"/>
              </w:rPr>
            </w:pPr>
            <w:r w:rsidRPr="00B13243">
              <w:rPr>
                <w:color w:val="000000"/>
                <w:sz w:val="19"/>
                <w:szCs w:val="19"/>
                <w:lang w:val="en-US"/>
              </w:rPr>
              <w:t xml:space="preserve">Solvent </w:t>
            </w:r>
          </w:p>
        </w:tc>
        <w:tc>
          <w:tcPr>
            <w:tcW w:w="595" w:type="pct"/>
            <w:tcBorders>
              <w:top w:val="nil"/>
              <w:left w:val="nil"/>
              <w:bottom w:val="single" w:sz="4" w:space="0" w:color="auto"/>
              <w:right w:val="single" w:sz="4" w:space="0" w:color="auto"/>
            </w:tcBorders>
            <w:shd w:val="clear" w:color="auto" w:fill="auto"/>
            <w:hideMark/>
          </w:tcPr>
          <w:p w:rsidR="00074799" w:rsidRPr="00B13243" w:rsidRDefault="00074799" w:rsidP="008F7254">
            <w:pPr>
              <w:jc w:val="left"/>
              <w:rPr>
                <w:color w:val="000000"/>
                <w:sz w:val="19"/>
                <w:szCs w:val="19"/>
                <w:lang w:val="en-US"/>
              </w:rPr>
            </w:pPr>
            <w:r w:rsidRPr="00B13243">
              <w:rPr>
                <w:color w:val="000000"/>
                <w:sz w:val="19"/>
                <w:szCs w:val="19"/>
                <w:lang w:val="en-US"/>
              </w:rPr>
              <w:t xml:space="preserve">TCA </w:t>
            </w:r>
          </w:p>
        </w:tc>
        <w:tc>
          <w:tcPr>
            <w:tcW w:w="760" w:type="pct"/>
            <w:vMerge/>
            <w:tcBorders>
              <w:left w:val="nil"/>
              <w:bottom w:val="single" w:sz="4" w:space="0" w:color="auto"/>
              <w:right w:val="single" w:sz="4" w:space="0" w:color="auto"/>
            </w:tcBorders>
            <w:shd w:val="clear" w:color="auto" w:fill="auto"/>
            <w:hideMark/>
          </w:tcPr>
          <w:p w:rsidR="00074799" w:rsidRPr="00B13243" w:rsidRDefault="00074799" w:rsidP="008F7254">
            <w:pPr>
              <w:jc w:val="left"/>
              <w:rPr>
                <w:color w:val="000000"/>
                <w:sz w:val="19"/>
                <w:szCs w:val="19"/>
                <w:highlight w:val="red"/>
                <w:lang w:val="en-US"/>
              </w:rPr>
            </w:pP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074799" w:rsidRPr="00B13243" w:rsidRDefault="00074799" w:rsidP="00B13243">
            <w:pPr>
              <w:jc w:val="right"/>
              <w:rPr>
                <w:color w:val="000000"/>
                <w:sz w:val="19"/>
                <w:szCs w:val="19"/>
                <w:lang w:val="en-US"/>
              </w:rPr>
            </w:pPr>
            <w:r w:rsidRPr="00B13243">
              <w:rPr>
                <w:color w:val="000000"/>
                <w:sz w:val="19"/>
                <w:szCs w:val="19"/>
                <w:lang w:val="en-US"/>
              </w:rPr>
              <w:t xml:space="preserve">38.50 </w:t>
            </w:r>
          </w:p>
        </w:tc>
        <w:tc>
          <w:tcPr>
            <w:tcW w:w="659" w:type="pct"/>
            <w:tcBorders>
              <w:top w:val="nil"/>
              <w:left w:val="nil"/>
              <w:bottom w:val="single" w:sz="4" w:space="0" w:color="auto"/>
              <w:right w:val="single" w:sz="4" w:space="0" w:color="auto"/>
            </w:tcBorders>
            <w:shd w:val="clear" w:color="auto" w:fill="auto"/>
            <w:hideMark/>
          </w:tcPr>
          <w:p w:rsidR="00074799" w:rsidRPr="00B13243" w:rsidRDefault="00074799" w:rsidP="008F7254">
            <w:pPr>
              <w:jc w:val="left"/>
              <w:rPr>
                <w:color w:val="000000"/>
                <w:sz w:val="19"/>
                <w:szCs w:val="19"/>
                <w:lang w:val="en-US"/>
              </w:rPr>
            </w:pPr>
            <w:r w:rsidRPr="00B13243">
              <w:rPr>
                <w:color w:val="000000"/>
                <w:sz w:val="19"/>
                <w:szCs w:val="19"/>
                <w:lang w:val="en-US"/>
              </w:rPr>
              <w:t xml:space="preserve">n.a </w:t>
            </w:r>
          </w:p>
        </w:tc>
        <w:tc>
          <w:tcPr>
            <w:tcW w:w="894" w:type="pct"/>
            <w:tcBorders>
              <w:top w:val="nil"/>
              <w:left w:val="nil"/>
              <w:bottom w:val="single" w:sz="4" w:space="0" w:color="auto"/>
              <w:right w:val="single" w:sz="4" w:space="0" w:color="auto"/>
            </w:tcBorders>
            <w:shd w:val="clear" w:color="auto" w:fill="auto"/>
            <w:hideMark/>
          </w:tcPr>
          <w:p w:rsidR="00074799" w:rsidRPr="00B13243" w:rsidRDefault="00074799" w:rsidP="008F7254">
            <w:pPr>
              <w:jc w:val="left"/>
              <w:rPr>
                <w:color w:val="000000"/>
                <w:sz w:val="19"/>
                <w:szCs w:val="19"/>
                <w:lang w:val="en-US"/>
              </w:rPr>
            </w:pPr>
            <w:r w:rsidRPr="00B13243">
              <w:rPr>
                <w:color w:val="000000"/>
                <w:sz w:val="19"/>
                <w:szCs w:val="19"/>
                <w:lang w:val="en-US"/>
              </w:rPr>
              <w:t xml:space="preserve">n.a </w:t>
            </w:r>
          </w:p>
        </w:tc>
        <w:tc>
          <w:tcPr>
            <w:tcW w:w="596" w:type="pct"/>
            <w:tcBorders>
              <w:top w:val="nil"/>
              <w:left w:val="nil"/>
              <w:bottom w:val="single" w:sz="4" w:space="0" w:color="auto"/>
              <w:right w:val="single" w:sz="4" w:space="0" w:color="auto"/>
            </w:tcBorders>
            <w:shd w:val="clear" w:color="auto" w:fill="auto"/>
            <w:hideMark/>
          </w:tcPr>
          <w:p w:rsidR="00074799" w:rsidRPr="00B13243" w:rsidRDefault="00074799" w:rsidP="00B13243">
            <w:pPr>
              <w:jc w:val="left"/>
              <w:rPr>
                <w:color w:val="000000"/>
                <w:sz w:val="19"/>
                <w:szCs w:val="19"/>
                <w:lang w:val="en-US"/>
              </w:rPr>
            </w:pPr>
            <w:r w:rsidRPr="00B13243">
              <w:rPr>
                <w:color w:val="000000"/>
                <w:sz w:val="19"/>
                <w:szCs w:val="19"/>
                <w:lang w:val="en-US"/>
              </w:rPr>
              <w:t xml:space="preserve">n.a </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Metered dose inhaler </w:t>
            </w:r>
            <w:r w:rsidR="00503066">
              <w:rPr>
                <w:color w:val="000000"/>
                <w:sz w:val="19"/>
                <w:szCs w:val="19"/>
                <w:lang w:val="en-US"/>
              </w:rPr>
              <w:t>(MDI)</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CFC-12/</w:t>
            </w:r>
          </w:p>
          <w:p w:rsidR="009407F5" w:rsidRPr="00B13243" w:rsidRDefault="009407F5" w:rsidP="008F7254">
            <w:pPr>
              <w:jc w:val="left"/>
              <w:rPr>
                <w:color w:val="000000"/>
                <w:sz w:val="19"/>
                <w:szCs w:val="19"/>
                <w:lang w:val="en-US"/>
              </w:rPr>
            </w:pPr>
            <w:r w:rsidRPr="00B13243">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HFC-134a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9407F5" w:rsidRPr="00B13243" w:rsidRDefault="008F32B3" w:rsidP="00B13243">
            <w:pPr>
              <w:jc w:val="right"/>
              <w:rPr>
                <w:color w:val="000000"/>
                <w:sz w:val="19"/>
                <w:szCs w:val="19"/>
                <w:lang w:val="en-US"/>
              </w:rPr>
            </w:pPr>
            <w:r w:rsidRPr="00B13243">
              <w:rPr>
                <w:color w:val="000000"/>
                <w:sz w:val="19"/>
                <w:szCs w:val="19"/>
                <w:lang w:val="en-US"/>
              </w:rPr>
              <w:t>n.a.</w:t>
            </w:r>
            <w:r w:rsidR="009407F5" w:rsidRPr="00B13243">
              <w:rPr>
                <w:color w:val="000000"/>
                <w:sz w:val="19"/>
                <w:szCs w:val="19"/>
                <w:lang w:val="en-US"/>
              </w:rPr>
              <w:t xml:space="preserve">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n.a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n.a </w:t>
            </w:r>
          </w:p>
        </w:tc>
        <w:tc>
          <w:tcPr>
            <w:tcW w:w="596" w:type="pct"/>
            <w:tcBorders>
              <w:top w:val="nil"/>
              <w:left w:val="nil"/>
              <w:bottom w:val="single" w:sz="4" w:space="0" w:color="auto"/>
              <w:right w:val="single" w:sz="4" w:space="0" w:color="auto"/>
            </w:tcBorders>
            <w:shd w:val="clear" w:color="auto" w:fill="auto"/>
            <w:hideMark/>
          </w:tcPr>
          <w:p w:rsidR="009407F5" w:rsidRPr="00B13243" w:rsidRDefault="009407F5" w:rsidP="00B13243">
            <w:pPr>
              <w:jc w:val="left"/>
              <w:rPr>
                <w:color w:val="000000"/>
                <w:sz w:val="19"/>
                <w:szCs w:val="19"/>
                <w:lang w:val="en-US"/>
              </w:rPr>
            </w:pPr>
            <w:r w:rsidRPr="00B13243">
              <w:rPr>
                <w:color w:val="000000"/>
                <w:sz w:val="19"/>
                <w:szCs w:val="19"/>
                <w:lang w:val="en-US"/>
              </w:rPr>
              <w:t xml:space="preserve">n.a </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Mobile air-conditioning </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HFC-134a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9407F5" w:rsidRPr="00B13243" w:rsidRDefault="008F32B3" w:rsidP="00B13243">
            <w:pPr>
              <w:jc w:val="right"/>
              <w:rPr>
                <w:color w:val="000000"/>
                <w:sz w:val="19"/>
                <w:szCs w:val="19"/>
                <w:lang w:val="en-US"/>
              </w:rPr>
            </w:pPr>
            <w:r w:rsidRPr="00B13243">
              <w:rPr>
                <w:color w:val="000000"/>
                <w:sz w:val="19"/>
                <w:szCs w:val="19"/>
                <w:lang w:val="en-US"/>
              </w:rPr>
              <w:t>n.a.</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n.a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n.a </w:t>
            </w:r>
          </w:p>
        </w:tc>
        <w:tc>
          <w:tcPr>
            <w:tcW w:w="596" w:type="pct"/>
            <w:tcBorders>
              <w:top w:val="nil"/>
              <w:left w:val="nil"/>
              <w:bottom w:val="single" w:sz="4" w:space="0" w:color="auto"/>
              <w:right w:val="single" w:sz="4" w:space="0" w:color="auto"/>
            </w:tcBorders>
            <w:shd w:val="clear" w:color="auto" w:fill="auto"/>
            <w:hideMark/>
          </w:tcPr>
          <w:p w:rsidR="009407F5" w:rsidRPr="00B13243" w:rsidRDefault="009407F5" w:rsidP="00B13243">
            <w:pPr>
              <w:jc w:val="left"/>
              <w:rPr>
                <w:color w:val="000000"/>
                <w:sz w:val="19"/>
                <w:szCs w:val="19"/>
                <w:lang w:val="en-US"/>
              </w:rPr>
            </w:pPr>
            <w:r w:rsidRPr="00B13243">
              <w:rPr>
                <w:color w:val="000000"/>
                <w:sz w:val="19"/>
                <w:szCs w:val="19"/>
                <w:lang w:val="en-US"/>
              </w:rPr>
              <w:t xml:space="preserve">n.a </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9407F5" w:rsidRPr="00B13243" w:rsidRDefault="009407F5" w:rsidP="007D043B">
            <w:pPr>
              <w:jc w:val="left"/>
              <w:rPr>
                <w:color w:val="000000"/>
                <w:sz w:val="19"/>
                <w:szCs w:val="19"/>
                <w:lang w:val="en-US"/>
              </w:rPr>
            </w:pPr>
            <w:r w:rsidRPr="00B13243">
              <w:rPr>
                <w:color w:val="000000"/>
                <w:sz w:val="19"/>
                <w:szCs w:val="19"/>
                <w:lang w:val="en-US"/>
              </w:rPr>
              <w:t>Domestic air</w:t>
            </w:r>
            <w:r w:rsidR="007D043B" w:rsidRPr="00B13243">
              <w:rPr>
                <w:color w:val="000000"/>
                <w:sz w:val="19"/>
                <w:szCs w:val="19"/>
                <w:lang w:val="en-US"/>
              </w:rPr>
              <w:noBreakHyphen/>
            </w:r>
            <w:r w:rsidRPr="00B13243">
              <w:rPr>
                <w:color w:val="000000"/>
                <w:sz w:val="19"/>
                <w:szCs w:val="19"/>
                <w:lang w:val="en-US"/>
              </w:rPr>
              <w:t xml:space="preserve">conditioning manufacturing (room AC, domestic heat pumps) </w:t>
            </w:r>
          </w:p>
        </w:tc>
        <w:tc>
          <w:tcPr>
            <w:tcW w:w="595"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n.a. </w:t>
            </w:r>
          </w:p>
        </w:tc>
        <w:tc>
          <w:tcPr>
            <w:tcW w:w="760"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n.a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n.a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HCFC-22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R-410A</w:t>
            </w:r>
          </w:p>
          <w:p w:rsidR="009407F5" w:rsidRPr="00B13243" w:rsidRDefault="009407F5" w:rsidP="008F7254">
            <w:pPr>
              <w:jc w:val="left"/>
              <w:rPr>
                <w:color w:val="000000"/>
                <w:sz w:val="19"/>
                <w:szCs w:val="19"/>
                <w:lang w:val="en-US"/>
              </w:rPr>
            </w:pPr>
            <w:r w:rsidRPr="00B13243">
              <w:rPr>
                <w:color w:val="000000"/>
                <w:sz w:val="19"/>
                <w:szCs w:val="19"/>
                <w:lang w:val="en-US"/>
              </w:rPr>
              <w:t>HFC-32</w:t>
            </w:r>
          </w:p>
          <w:p w:rsidR="009407F5" w:rsidRPr="00B13243" w:rsidRDefault="009407F5" w:rsidP="008F7254">
            <w:pPr>
              <w:jc w:val="left"/>
              <w:rPr>
                <w:color w:val="000000"/>
                <w:sz w:val="19"/>
                <w:szCs w:val="19"/>
                <w:lang w:val="en-US"/>
              </w:rPr>
            </w:pPr>
            <w:r w:rsidRPr="00B13243">
              <w:rPr>
                <w:color w:val="000000"/>
                <w:sz w:val="19"/>
                <w:szCs w:val="19"/>
                <w:lang w:val="en-US"/>
              </w:rPr>
              <w:t>HC-290</w:t>
            </w:r>
          </w:p>
        </w:tc>
        <w:tc>
          <w:tcPr>
            <w:tcW w:w="596" w:type="pct"/>
            <w:tcBorders>
              <w:top w:val="nil"/>
              <w:left w:val="nil"/>
              <w:bottom w:val="single" w:sz="4" w:space="0" w:color="auto"/>
              <w:right w:val="single" w:sz="4" w:space="0" w:color="auto"/>
            </w:tcBorders>
            <w:shd w:val="clear" w:color="auto" w:fill="auto"/>
            <w:hideMark/>
          </w:tcPr>
          <w:p w:rsidR="009407F5" w:rsidRPr="00B13243" w:rsidRDefault="009407F5" w:rsidP="00B13243">
            <w:pPr>
              <w:jc w:val="left"/>
              <w:rPr>
                <w:color w:val="000000"/>
                <w:sz w:val="19"/>
                <w:szCs w:val="19"/>
                <w:lang w:val="en-US"/>
              </w:rPr>
            </w:pPr>
            <w:r w:rsidRPr="00B13243">
              <w:rPr>
                <w:color w:val="000000"/>
                <w:sz w:val="19"/>
                <w:szCs w:val="19"/>
                <w:lang w:val="en-US"/>
              </w:rPr>
              <w:t>Case-by</w:t>
            </w:r>
            <w:r w:rsidR="007D043B" w:rsidRPr="00B13243">
              <w:rPr>
                <w:color w:val="000000"/>
                <w:sz w:val="19"/>
                <w:szCs w:val="19"/>
                <w:lang w:val="en-US"/>
              </w:rPr>
              <w:noBreakHyphen/>
            </w:r>
            <w:r w:rsidRPr="00B13243">
              <w:rPr>
                <w:color w:val="000000"/>
                <w:sz w:val="19"/>
                <w:szCs w:val="19"/>
                <w:lang w:val="en-US"/>
              </w:rPr>
              <w:t xml:space="preserve">case </w:t>
            </w:r>
          </w:p>
        </w:tc>
      </w:tr>
      <w:tr w:rsidR="006A5833" w:rsidRPr="00B13243" w:rsidTr="00B13243">
        <w:tc>
          <w:tcPr>
            <w:tcW w:w="831" w:type="pct"/>
            <w:tcBorders>
              <w:top w:val="nil"/>
              <w:left w:val="single" w:sz="4" w:space="0" w:color="auto"/>
              <w:bottom w:val="single" w:sz="4" w:space="0" w:color="auto"/>
              <w:right w:val="single" w:sz="4" w:space="0" w:color="auto"/>
            </w:tcBorders>
            <w:shd w:val="clear" w:color="auto" w:fill="auto"/>
            <w:hideMark/>
          </w:tcPr>
          <w:p w:rsidR="009407F5" w:rsidRPr="00B13243" w:rsidRDefault="009407F5" w:rsidP="0094349B">
            <w:pPr>
              <w:keepNext/>
              <w:jc w:val="left"/>
              <w:rPr>
                <w:color w:val="000000"/>
                <w:sz w:val="19"/>
                <w:szCs w:val="19"/>
                <w:lang w:val="en-US"/>
              </w:rPr>
            </w:pPr>
            <w:r w:rsidRPr="00B13243">
              <w:rPr>
                <w:color w:val="000000"/>
                <w:sz w:val="19"/>
                <w:szCs w:val="19"/>
                <w:lang w:val="en-US"/>
              </w:rPr>
              <w:lastRenderedPageBreak/>
              <w:t xml:space="preserve">Other refrigeration and air-conditioning manufacturing (heat pumps, transport, chillers, industrial) </w:t>
            </w:r>
          </w:p>
        </w:tc>
        <w:tc>
          <w:tcPr>
            <w:tcW w:w="595" w:type="pct"/>
            <w:tcBorders>
              <w:top w:val="nil"/>
              <w:left w:val="nil"/>
              <w:bottom w:val="single" w:sz="4" w:space="0" w:color="auto"/>
              <w:right w:val="single" w:sz="4" w:space="0" w:color="auto"/>
            </w:tcBorders>
            <w:shd w:val="clear" w:color="auto" w:fill="auto"/>
            <w:hideMark/>
          </w:tcPr>
          <w:p w:rsidR="009407F5" w:rsidRPr="00B13243" w:rsidRDefault="00CE24E6" w:rsidP="0094349B">
            <w:pPr>
              <w:keepNext/>
              <w:jc w:val="left"/>
              <w:rPr>
                <w:color w:val="000000"/>
                <w:sz w:val="19"/>
                <w:szCs w:val="19"/>
                <w:lang w:val="en-US"/>
              </w:rPr>
            </w:pPr>
            <w:r w:rsidRPr="00B13243">
              <w:rPr>
                <w:color w:val="000000"/>
                <w:sz w:val="19"/>
                <w:szCs w:val="19"/>
                <w:lang w:val="en-US"/>
              </w:rPr>
              <w:t>CFC-11/ CFC-12</w:t>
            </w:r>
            <w:r w:rsidR="009407F5" w:rsidRPr="00B13243">
              <w:rPr>
                <w:color w:val="000000"/>
                <w:sz w:val="19"/>
                <w:szCs w:val="19"/>
                <w:lang w:val="en-US"/>
              </w:rPr>
              <w:t xml:space="preserve"> </w:t>
            </w:r>
            <w:r w:rsidRPr="00B13243">
              <w:rPr>
                <w:color w:val="000000"/>
                <w:sz w:val="19"/>
                <w:szCs w:val="19"/>
                <w:lang w:val="en-US"/>
              </w:rPr>
              <w:t>(chillers)</w:t>
            </w:r>
          </w:p>
        </w:tc>
        <w:tc>
          <w:tcPr>
            <w:tcW w:w="760" w:type="pct"/>
            <w:tcBorders>
              <w:top w:val="nil"/>
              <w:left w:val="nil"/>
              <w:bottom w:val="single" w:sz="4" w:space="0" w:color="auto"/>
              <w:right w:val="single" w:sz="4" w:space="0" w:color="auto"/>
            </w:tcBorders>
            <w:shd w:val="clear" w:color="auto" w:fill="auto"/>
            <w:hideMark/>
          </w:tcPr>
          <w:p w:rsidR="009407F5" w:rsidRPr="00B13243" w:rsidRDefault="00BC2A6F" w:rsidP="0094349B">
            <w:pPr>
              <w:keepNext/>
              <w:jc w:val="left"/>
              <w:rPr>
                <w:color w:val="000000"/>
                <w:sz w:val="19"/>
                <w:szCs w:val="19"/>
                <w:lang w:val="en-US"/>
              </w:rPr>
            </w:pPr>
            <w:r w:rsidRPr="00B13243">
              <w:rPr>
                <w:color w:val="000000"/>
                <w:sz w:val="19"/>
                <w:szCs w:val="19"/>
                <w:lang w:val="en-US"/>
              </w:rPr>
              <w:t>HFC-134a/HFC-123 (chillers)</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rsidR="009407F5" w:rsidRPr="00B13243" w:rsidRDefault="009407F5" w:rsidP="00B13243">
            <w:pPr>
              <w:jc w:val="right"/>
              <w:rPr>
                <w:color w:val="000000"/>
                <w:sz w:val="19"/>
                <w:szCs w:val="19"/>
                <w:lang w:val="en-US"/>
              </w:rPr>
            </w:pPr>
            <w:r w:rsidRPr="00B13243">
              <w:rPr>
                <w:color w:val="000000"/>
                <w:sz w:val="19"/>
                <w:szCs w:val="19"/>
                <w:lang w:val="en-US"/>
              </w:rPr>
              <w:t xml:space="preserve">n.a </w:t>
            </w:r>
          </w:p>
        </w:tc>
        <w:tc>
          <w:tcPr>
            <w:tcW w:w="659"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 xml:space="preserve">HCFC-22 </w:t>
            </w:r>
          </w:p>
        </w:tc>
        <w:tc>
          <w:tcPr>
            <w:tcW w:w="894" w:type="pct"/>
            <w:tcBorders>
              <w:top w:val="nil"/>
              <w:left w:val="nil"/>
              <w:bottom w:val="single" w:sz="4" w:space="0" w:color="auto"/>
              <w:right w:val="single" w:sz="4" w:space="0" w:color="auto"/>
            </w:tcBorders>
            <w:shd w:val="clear" w:color="auto" w:fill="auto"/>
            <w:hideMark/>
          </w:tcPr>
          <w:p w:rsidR="009407F5" w:rsidRPr="00B13243" w:rsidRDefault="009407F5" w:rsidP="008F7254">
            <w:pPr>
              <w:jc w:val="left"/>
              <w:rPr>
                <w:color w:val="000000"/>
                <w:sz w:val="19"/>
                <w:szCs w:val="19"/>
                <w:lang w:val="en-US"/>
              </w:rPr>
            </w:pPr>
            <w:r w:rsidRPr="00B13243">
              <w:rPr>
                <w:color w:val="000000"/>
                <w:sz w:val="19"/>
                <w:szCs w:val="19"/>
                <w:lang w:val="en-US"/>
              </w:rPr>
              <w:t>R-410A</w:t>
            </w:r>
          </w:p>
          <w:p w:rsidR="009407F5" w:rsidRPr="00B13243" w:rsidRDefault="009407F5" w:rsidP="008F7254">
            <w:pPr>
              <w:jc w:val="left"/>
              <w:rPr>
                <w:color w:val="000000"/>
                <w:sz w:val="19"/>
                <w:szCs w:val="19"/>
                <w:lang w:val="en-US"/>
              </w:rPr>
            </w:pPr>
            <w:r w:rsidRPr="00B13243">
              <w:rPr>
                <w:color w:val="000000"/>
                <w:sz w:val="19"/>
                <w:szCs w:val="19"/>
                <w:lang w:val="en-US"/>
              </w:rPr>
              <w:t>HFC-32</w:t>
            </w:r>
          </w:p>
          <w:p w:rsidR="009407F5" w:rsidRPr="00B13243" w:rsidRDefault="009407F5" w:rsidP="008F7254">
            <w:pPr>
              <w:jc w:val="left"/>
              <w:rPr>
                <w:color w:val="000000"/>
                <w:sz w:val="19"/>
                <w:szCs w:val="19"/>
                <w:lang w:val="en-US"/>
              </w:rPr>
            </w:pPr>
            <w:r w:rsidRPr="00B13243">
              <w:rPr>
                <w:color w:val="000000"/>
                <w:sz w:val="19"/>
                <w:szCs w:val="19"/>
                <w:lang w:val="en-US"/>
              </w:rPr>
              <w:t>HC-290</w:t>
            </w:r>
          </w:p>
          <w:p w:rsidR="009407F5" w:rsidRPr="00B13243" w:rsidRDefault="009407F5" w:rsidP="008F7254">
            <w:pPr>
              <w:jc w:val="left"/>
              <w:rPr>
                <w:color w:val="000000"/>
                <w:sz w:val="19"/>
                <w:szCs w:val="19"/>
                <w:lang w:val="en-US"/>
              </w:rPr>
            </w:pPr>
            <w:r w:rsidRPr="00B13243">
              <w:rPr>
                <w:color w:val="000000"/>
                <w:sz w:val="19"/>
                <w:szCs w:val="19"/>
                <w:lang w:val="en-US"/>
              </w:rPr>
              <w:t>CO</w:t>
            </w:r>
            <w:r w:rsidRPr="00B13243">
              <w:rPr>
                <w:color w:val="000000"/>
                <w:sz w:val="19"/>
                <w:szCs w:val="19"/>
                <w:vertAlign w:val="subscript"/>
                <w:lang w:val="en-US"/>
              </w:rPr>
              <w:t>2</w:t>
            </w:r>
            <w:r w:rsidRPr="00B13243">
              <w:rPr>
                <w:color w:val="000000"/>
                <w:sz w:val="19"/>
                <w:szCs w:val="19"/>
                <w:lang w:val="en-US"/>
              </w:rPr>
              <w:t xml:space="preserve"> </w:t>
            </w:r>
            <w:r w:rsidR="00D96B7E" w:rsidRPr="00B13243">
              <w:rPr>
                <w:color w:val="000000"/>
                <w:sz w:val="19"/>
                <w:szCs w:val="19"/>
                <w:lang w:val="en-US"/>
              </w:rPr>
              <w:t>, ammonia, cascade systems</w:t>
            </w:r>
          </w:p>
        </w:tc>
        <w:tc>
          <w:tcPr>
            <w:tcW w:w="596" w:type="pct"/>
            <w:tcBorders>
              <w:top w:val="nil"/>
              <w:left w:val="nil"/>
              <w:bottom w:val="single" w:sz="4" w:space="0" w:color="auto"/>
              <w:right w:val="single" w:sz="4" w:space="0" w:color="auto"/>
            </w:tcBorders>
            <w:shd w:val="clear" w:color="auto" w:fill="auto"/>
            <w:hideMark/>
          </w:tcPr>
          <w:p w:rsidR="009407F5" w:rsidRPr="00B13243" w:rsidRDefault="009407F5" w:rsidP="00B13243">
            <w:pPr>
              <w:jc w:val="left"/>
              <w:rPr>
                <w:color w:val="000000"/>
                <w:sz w:val="19"/>
                <w:szCs w:val="19"/>
                <w:lang w:val="en-US"/>
              </w:rPr>
            </w:pPr>
            <w:r w:rsidRPr="00B13243">
              <w:rPr>
                <w:color w:val="000000"/>
                <w:sz w:val="19"/>
                <w:szCs w:val="19"/>
                <w:lang w:val="en-US"/>
              </w:rPr>
              <w:t>Case-by</w:t>
            </w:r>
            <w:r w:rsidR="007D043B" w:rsidRPr="00B13243">
              <w:rPr>
                <w:color w:val="000000"/>
                <w:sz w:val="19"/>
                <w:szCs w:val="19"/>
                <w:lang w:val="en-US"/>
              </w:rPr>
              <w:noBreakHyphen/>
            </w:r>
            <w:r w:rsidRPr="00B13243">
              <w:rPr>
                <w:color w:val="000000"/>
                <w:sz w:val="19"/>
                <w:szCs w:val="19"/>
                <w:lang w:val="en-US"/>
              </w:rPr>
              <w:t xml:space="preserve">case </w:t>
            </w:r>
          </w:p>
        </w:tc>
      </w:tr>
    </w:tbl>
    <w:p w:rsidR="00EE6695" w:rsidRPr="00B13243" w:rsidRDefault="00DB677E" w:rsidP="008F7254">
      <w:pPr>
        <w:rPr>
          <w:sz w:val="18"/>
          <w:szCs w:val="18"/>
        </w:rPr>
      </w:pPr>
      <w:r w:rsidRPr="00B13243">
        <w:rPr>
          <w:sz w:val="18"/>
          <w:szCs w:val="18"/>
        </w:rPr>
        <w:t>*Funding of up to a maximum of 25 per cent above the cost effectiveness threshold will be provided for projects when needed for the introduction of low</w:t>
      </w:r>
      <w:r w:rsidR="00E442D7" w:rsidRPr="00B13243">
        <w:rPr>
          <w:sz w:val="18"/>
          <w:szCs w:val="18"/>
        </w:rPr>
        <w:t>-</w:t>
      </w:r>
      <w:r w:rsidRPr="00B13243">
        <w:rPr>
          <w:sz w:val="18"/>
          <w:szCs w:val="18"/>
        </w:rPr>
        <w:t>GWP alternatives (decision 60/44(f)(iv)).</w:t>
      </w:r>
    </w:p>
    <w:p w:rsidR="00DB677E" w:rsidRPr="00B13243" w:rsidRDefault="00DB677E" w:rsidP="008F7254">
      <w:pPr>
        <w:rPr>
          <w:sz w:val="18"/>
          <w:szCs w:val="18"/>
        </w:rPr>
      </w:pPr>
      <w:r w:rsidRPr="00B13243">
        <w:rPr>
          <w:sz w:val="18"/>
          <w:szCs w:val="18"/>
        </w:rPr>
        <w:t>** For SMEs in the foam sector with consumption of less than 20 mt, the maximum would be up to 40 per cent above the cost</w:t>
      </w:r>
      <w:r w:rsidR="003B5F68">
        <w:rPr>
          <w:sz w:val="18"/>
          <w:szCs w:val="18"/>
        </w:rPr>
        <w:noBreakHyphen/>
      </w:r>
      <w:r w:rsidRPr="00B13243">
        <w:rPr>
          <w:sz w:val="18"/>
          <w:szCs w:val="18"/>
        </w:rPr>
        <w:t>effectiveness threshold (decision 74/50(c)(iii)).</w:t>
      </w:r>
    </w:p>
    <w:p w:rsidR="00EE6695" w:rsidRPr="00943FCF" w:rsidRDefault="00EE6695" w:rsidP="008F7254">
      <w:pPr>
        <w:rPr>
          <w:sz w:val="28"/>
          <w:szCs w:val="28"/>
        </w:rPr>
      </w:pPr>
    </w:p>
    <w:p w:rsidR="00CA62ED" w:rsidRPr="008F7254" w:rsidRDefault="00CA62ED" w:rsidP="008F7254">
      <w:pPr>
        <w:pStyle w:val="Heading1"/>
      </w:pPr>
      <w:r w:rsidRPr="00B13243">
        <w:t>The Multilateral Fund has provided funding to convert enterprises using HCFC</w:t>
      </w:r>
      <w:r w:rsidR="00742BB6">
        <w:t>s</w:t>
      </w:r>
      <w:r w:rsidRPr="00B13243">
        <w:t xml:space="preserve"> to low-GWP alternatives in </w:t>
      </w:r>
      <w:r w:rsidR="003D0250">
        <w:t xml:space="preserve">several </w:t>
      </w:r>
      <w:r w:rsidR="003D0250" w:rsidRPr="003D0250">
        <w:t xml:space="preserve">projects </w:t>
      </w:r>
      <w:r w:rsidR="003D0250" w:rsidRPr="0094349B">
        <w:t>for</w:t>
      </w:r>
      <w:r w:rsidR="003E2398" w:rsidRPr="0094349B">
        <w:t xml:space="preserve"> almost </w:t>
      </w:r>
      <w:r w:rsidR="00C81021" w:rsidRPr="0094349B">
        <w:t>all</w:t>
      </w:r>
      <w:r w:rsidR="00213988" w:rsidRPr="0094349B">
        <w:t xml:space="preserve"> </w:t>
      </w:r>
      <w:r w:rsidRPr="0094349B">
        <w:t>sectors</w:t>
      </w:r>
      <w:r w:rsidR="00C81021" w:rsidRPr="0094349B">
        <w:t xml:space="preserve"> </w:t>
      </w:r>
      <w:r w:rsidRPr="0094349B">
        <w:t xml:space="preserve">listed in the Table </w:t>
      </w:r>
      <w:r w:rsidR="009457E1" w:rsidRPr="0094349B">
        <w:t>2</w:t>
      </w:r>
      <w:r w:rsidRPr="0094349B">
        <w:t xml:space="preserve">. </w:t>
      </w:r>
      <w:r w:rsidR="003D0250" w:rsidRPr="0094349B">
        <w:t xml:space="preserve">The Multilateral Fund also approved in the past projects to phase out </w:t>
      </w:r>
      <w:r w:rsidR="00C81021" w:rsidRPr="0094349B">
        <w:t xml:space="preserve">CFC </w:t>
      </w:r>
      <w:r w:rsidR="003D0250" w:rsidRPr="0094349B">
        <w:t>in sectors that currently use HFCs and never used HCFCs</w:t>
      </w:r>
      <w:r w:rsidR="009457E1" w:rsidRPr="0094349B">
        <w:t>. This include</w:t>
      </w:r>
      <w:r w:rsidR="00742BB6" w:rsidRPr="0094349B">
        <w:t>s</w:t>
      </w:r>
      <w:r w:rsidR="009457E1" w:rsidRPr="0094349B">
        <w:t xml:space="preserve"> </w:t>
      </w:r>
      <w:r w:rsidRPr="0094349B">
        <w:t xml:space="preserve">several domestic </w:t>
      </w:r>
      <w:r w:rsidR="00B13243" w:rsidRPr="0094349B">
        <w:t xml:space="preserve">and commercial </w:t>
      </w:r>
      <w:r w:rsidRPr="0094349B">
        <w:t>refrigeration manufacturing enterprises</w:t>
      </w:r>
      <w:r w:rsidR="009457E1" w:rsidRPr="0094349B">
        <w:t xml:space="preserve"> converted</w:t>
      </w:r>
      <w:r w:rsidRPr="0094349B">
        <w:t xml:space="preserve"> from CFC</w:t>
      </w:r>
      <w:r w:rsidR="00213988" w:rsidRPr="0094349B">
        <w:noBreakHyphen/>
      </w:r>
      <w:r w:rsidRPr="0094349B">
        <w:t xml:space="preserve">12 to </w:t>
      </w:r>
      <w:r w:rsidR="00294FA6" w:rsidRPr="0094349B">
        <w:t>HFC</w:t>
      </w:r>
      <w:r w:rsidR="00294FA6" w:rsidRPr="0094349B">
        <w:noBreakHyphen/>
      </w:r>
      <w:r w:rsidR="009457E1" w:rsidRPr="0094349B">
        <w:t>134a</w:t>
      </w:r>
      <w:r w:rsidR="00B13243" w:rsidRPr="0094349B">
        <w:t>;</w:t>
      </w:r>
      <w:r w:rsidRPr="0094349B">
        <w:t xml:space="preserve"> the conversion of </w:t>
      </w:r>
      <w:r w:rsidR="009457E1" w:rsidRPr="0094349B">
        <w:t xml:space="preserve">enterprises </w:t>
      </w:r>
      <w:r w:rsidRPr="0094349B">
        <w:t>manufacturing mobile</w:t>
      </w:r>
      <w:r w:rsidRPr="008F7254">
        <w:t xml:space="preserve"> air</w:t>
      </w:r>
      <w:r w:rsidR="00B24B5F">
        <w:noBreakHyphen/>
      </w:r>
      <w:r w:rsidRPr="008F7254">
        <w:t>conditioning from CFC</w:t>
      </w:r>
      <w:r w:rsidR="00294FA6" w:rsidRPr="008F7254">
        <w:noBreakHyphen/>
      </w:r>
      <w:r w:rsidRPr="008F7254">
        <w:t>12 to HFC-134a</w:t>
      </w:r>
      <w:r w:rsidR="00B13243">
        <w:t>;</w:t>
      </w:r>
      <w:r w:rsidRPr="008F7254">
        <w:t xml:space="preserve"> and the conversion of </w:t>
      </w:r>
      <w:r w:rsidR="00503066">
        <w:t xml:space="preserve">MDIs </w:t>
      </w:r>
      <w:r w:rsidR="009457E1" w:rsidRPr="008F7254">
        <w:t xml:space="preserve">manufacturing enterprises </w:t>
      </w:r>
      <w:r w:rsidRPr="008F7254">
        <w:t>from CFC</w:t>
      </w:r>
      <w:r w:rsidR="009457E1" w:rsidRPr="008F7254">
        <w:noBreakHyphen/>
      </w:r>
      <w:r w:rsidRPr="008F7254">
        <w:t>11 and CFC-12 to HFC-134a.</w:t>
      </w:r>
      <w:r w:rsidR="004C3B73" w:rsidRPr="008F7254">
        <w:t xml:space="preserve"> The cost of conversion of these enterprises varied depending on their baseline equipment and production capacity, </w:t>
      </w:r>
      <w:r w:rsidR="00213988">
        <w:t xml:space="preserve">the </w:t>
      </w:r>
      <w:r w:rsidR="004C3B73" w:rsidRPr="008F7254">
        <w:t>technology selected and other local conditions.</w:t>
      </w:r>
    </w:p>
    <w:p w:rsidR="00045A5C" w:rsidRPr="0094349B" w:rsidRDefault="00485DF4" w:rsidP="008F7254">
      <w:pPr>
        <w:pStyle w:val="Heading1"/>
      </w:pPr>
      <w:r w:rsidRPr="008F7254">
        <w:t>With regard to the PU foam sector, a</w:t>
      </w:r>
      <w:r w:rsidR="006C3404" w:rsidRPr="008F7254">
        <w:t xml:space="preserve"> large number of enterprises used CFC-11 pre-blended polyols for the production of foams. A similar situation occurred with the phase-out of HCFC-141b used as a blowing agent. </w:t>
      </w:r>
      <w:r w:rsidR="00BD2E8C" w:rsidRPr="008F7254">
        <w:t>Subsequent</w:t>
      </w:r>
      <w:r w:rsidR="00E30266" w:rsidRPr="008F7254">
        <w:t xml:space="preserve"> to the </w:t>
      </w:r>
      <w:r w:rsidR="00BD2E8C" w:rsidRPr="008F7254">
        <w:t xml:space="preserve">agreed </w:t>
      </w:r>
      <w:r w:rsidR="00E30266" w:rsidRPr="008F7254">
        <w:t>cost guidelines for stage I of HPMPs</w:t>
      </w:r>
      <w:r w:rsidR="00BD2E8C" w:rsidRPr="008F7254">
        <w:t xml:space="preserve"> (decision 60/44)</w:t>
      </w:r>
      <w:r w:rsidR="00E30266" w:rsidRPr="008F7254">
        <w:t>, the E</w:t>
      </w:r>
      <w:r w:rsidR="00941CD5" w:rsidRPr="008F7254">
        <w:t xml:space="preserve">xecutive Committee </w:t>
      </w:r>
      <w:r w:rsidR="00BD2E8C" w:rsidRPr="008F7254">
        <w:t xml:space="preserve">established in </w:t>
      </w:r>
      <w:r w:rsidR="00941CD5" w:rsidRPr="008F7254">
        <w:t>decisions 61/47, 63/1</w:t>
      </w:r>
      <w:r w:rsidR="00AD740D" w:rsidRPr="008F7254">
        <w:t>5</w:t>
      </w:r>
      <w:r w:rsidR="00953AB5" w:rsidRPr="008F7254">
        <w:t>, 66/51</w:t>
      </w:r>
      <w:r w:rsidR="00953AB5" w:rsidRPr="008F7254">
        <w:rPr>
          <w:rStyle w:val="FootnoteReference"/>
        </w:rPr>
        <w:footnoteReference w:id="28"/>
      </w:r>
      <w:r w:rsidR="00941CD5" w:rsidRPr="008F7254">
        <w:t xml:space="preserve"> and 68/</w:t>
      </w:r>
      <w:r w:rsidR="00953AB5" w:rsidRPr="008F7254">
        <w:t>42(c)</w:t>
      </w:r>
      <w:r w:rsidR="00953AB5" w:rsidRPr="008F7254">
        <w:rPr>
          <w:rStyle w:val="FootnoteReference"/>
        </w:rPr>
        <w:footnoteReference w:id="29"/>
      </w:r>
      <w:r w:rsidR="00953AB5" w:rsidRPr="008F7254">
        <w:t xml:space="preserve"> </w:t>
      </w:r>
      <w:r w:rsidRPr="008F7254">
        <w:t>the</w:t>
      </w:r>
      <w:r w:rsidR="00941CD5" w:rsidRPr="008F7254">
        <w:t xml:space="preserve"> conditions for funding of </w:t>
      </w:r>
      <w:r w:rsidR="006C3404" w:rsidRPr="008F7254">
        <w:t xml:space="preserve">eligible </w:t>
      </w:r>
      <w:r w:rsidR="00941CD5" w:rsidRPr="008F7254">
        <w:t xml:space="preserve">enterprises using </w:t>
      </w:r>
      <w:r w:rsidR="006C3404" w:rsidRPr="008F7254">
        <w:t>HCFC-141b contained in imported pre-blended polyols</w:t>
      </w:r>
      <w:r w:rsidRPr="008F7254">
        <w:t>, including the addition of the average tonnage used between 2007 and 2009 to the starting point</w:t>
      </w:r>
      <w:r w:rsidR="006C3404" w:rsidRPr="008F7254">
        <w:t xml:space="preserve">. </w:t>
      </w:r>
      <w:r w:rsidR="00AE1BB4">
        <w:t xml:space="preserve">Similarly, there may </w:t>
      </w:r>
      <w:r w:rsidR="0099201D">
        <w:t xml:space="preserve">be </w:t>
      </w:r>
      <w:r w:rsidR="006C3404" w:rsidRPr="008F7254">
        <w:t>eligible enterprises using HFC</w:t>
      </w:r>
      <w:r w:rsidR="00AD740D" w:rsidRPr="008F7254">
        <w:t>s contained</w:t>
      </w:r>
      <w:r w:rsidR="006C3404" w:rsidRPr="008F7254">
        <w:t xml:space="preserve"> in imported pre-blended polyols.</w:t>
      </w:r>
      <w:r w:rsidR="004C3B73" w:rsidRPr="008F7254">
        <w:t xml:space="preserve"> </w:t>
      </w:r>
      <w:r w:rsidR="004C3B73" w:rsidRPr="0094349B">
        <w:t xml:space="preserve">The Executive Committee may also wish to decide whether to provide funding to convert eligible enterprises using HFCs contained in imported pre-blended polyols </w:t>
      </w:r>
      <w:r w:rsidR="00C508D2" w:rsidRPr="0094349B">
        <w:t xml:space="preserve">that will </w:t>
      </w:r>
      <w:r w:rsidR="004C3B73" w:rsidRPr="0094349B">
        <w:t xml:space="preserve">not </w:t>
      </w:r>
      <w:r w:rsidR="00C508D2" w:rsidRPr="0094349B">
        <w:t xml:space="preserve">be </w:t>
      </w:r>
      <w:r w:rsidR="004C3B73" w:rsidRPr="0094349B">
        <w:t xml:space="preserve">reported as part of consumption, and </w:t>
      </w:r>
      <w:r w:rsidR="00213988" w:rsidRPr="0094349B">
        <w:t xml:space="preserve">decide on </w:t>
      </w:r>
      <w:r w:rsidR="004C3B73" w:rsidRPr="0094349B">
        <w:t xml:space="preserve">the conditions </w:t>
      </w:r>
      <w:r w:rsidR="00213988" w:rsidRPr="0094349B">
        <w:t>f</w:t>
      </w:r>
      <w:r w:rsidR="004C3B73" w:rsidRPr="0094349B">
        <w:t>o</w:t>
      </w:r>
      <w:r w:rsidR="00213988" w:rsidRPr="0094349B">
        <w:t>r</w:t>
      </w:r>
      <w:r w:rsidR="004C3B73" w:rsidRPr="0094349B">
        <w:t xml:space="preserve"> access</w:t>
      </w:r>
      <w:r w:rsidR="00213988" w:rsidRPr="0094349B">
        <w:t>ing</w:t>
      </w:r>
      <w:r w:rsidR="004C3B73" w:rsidRPr="0094349B">
        <w:t xml:space="preserve"> this funding. </w:t>
      </w:r>
      <w:r w:rsidR="00742BB6" w:rsidRPr="0094349B">
        <w:t xml:space="preserve">Such a decision could be taken </w:t>
      </w:r>
      <w:r w:rsidR="00C94CCD" w:rsidRPr="0094349B">
        <w:t>separately from</w:t>
      </w:r>
      <w:r w:rsidR="00AE1BB4" w:rsidRPr="0094349B">
        <w:t xml:space="preserve"> a decision on </w:t>
      </w:r>
      <w:r w:rsidR="00742BB6" w:rsidRPr="0094349B">
        <w:t>the cost guidelines</w:t>
      </w:r>
      <w:r w:rsidR="00AE1BB4" w:rsidRPr="0094349B">
        <w:t>,</w:t>
      </w:r>
      <w:r w:rsidR="00742BB6" w:rsidRPr="0094349B">
        <w:t xml:space="preserve"> as was the case with </w:t>
      </w:r>
      <w:r w:rsidR="00AE1BB4" w:rsidRPr="0094349B">
        <w:t xml:space="preserve">the </w:t>
      </w:r>
      <w:r w:rsidR="0094349B" w:rsidRPr="0094349B">
        <w:t xml:space="preserve">cost </w:t>
      </w:r>
      <w:r w:rsidR="00AE1BB4" w:rsidRPr="0094349B">
        <w:t xml:space="preserve">guidelines for </w:t>
      </w:r>
      <w:r w:rsidR="00742BB6" w:rsidRPr="0094349B">
        <w:t>HCFCs.</w:t>
      </w:r>
    </w:p>
    <w:p w:rsidR="0081571E" w:rsidRPr="0094349B" w:rsidRDefault="00C94CCD" w:rsidP="005F6350">
      <w:pPr>
        <w:pStyle w:val="Heading1"/>
      </w:pPr>
      <w:r w:rsidRPr="0094349B">
        <w:t>During the phase-out of HCFCs, t</w:t>
      </w:r>
      <w:r w:rsidR="00045A5C" w:rsidRPr="0094349B">
        <w:t xml:space="preserve">he Executive Committee approved projects prior to the finalization of the cost guidelines, and has addressed issues that have arisen during the implementation of HPMPs as needed (e.g., decision 63/15 on HCFC-141b contained in imported pre-blended polyols). </w:t>
      </w:r>
      <w:r w:rsidR="00381A42" w:rsidRPr="0094349B">
        <w:t>For example, t</w:t>
      </w:r>
      <w:r w:rsidR="005F6350" w:rsidRPr="0094349B">
        <w:t>he Executive Committee approved four stand-</w:t>
      </w:r>
      <w:r w:rsidRPr="0094349B">
        <w:t>alone</w:t>
      </w:r>
      <w:r w:rsidR="005F6350" w:rsidRPr="0094349B">
        <w:t xml:space="preserve"> </w:t>
      </w:r>
      <w:r w:rsidR="0075497B" w:rsidRPr="0094349B">
        <w:t>HCFC investment</w:t>
      </w:r>
      <w:r w:rsidR="005F6350" w:rsidRPr="0094349B">
        <w:t xml:space="preserve"> projects</w:t>
      </w:r>
      <w:r w:rsidR="00381A42" w:rsidRPr="0094349B">
        <w:rPr>
          <w:rStyle w:val="FootnoteReference"/>
        </w:rPr>
        <w:footnoteReference w:id="30"/>
      </w:r>
      <w:r w:rsidR="0075497B" w:rsidRPr="0094349B">
        <w:t xml:space="preserve"> </w:t>
      </w:r>
      <w:r w:rsidR="005F6350" w:rsidRPr="0094349B">
        <w:t>to phase-out HCFCs at the 59</w:t>
      </w:r>
      <w:r w:rsidR="005F6350" w:rsidRPr="0094349B">
        <w:rPr>
          <w:vertAlign w:val="superscript"/>
        </w:rPr>
        <w:t>th</w:t>
      </w:r>
      <w:r w:rsidR="004F2C9D">
        <w:rPr>
          <w:vertAlign w:val="superscript"/>
        </w:rPr>
        <w:t> </w:t>
      </w:r>
      <w:r w:rsidR="005F6350" w:rsidRPr="0094349B">
        <w:t>meeting, prior to the finalization of the stage I cost guidelines at the 60</w:t>
      </w:r>
      <w:r w:rsidR="005F6350" w:rsidRPr="0094349B">
        <w:rPr>
          <w:vertAlign w:val="superscript"/>
        </w:rPr>
        <w:t>th</w:t>
      </w:r>
      <w:r w:rsidR="005F6350" w:rsidRPr="0094349B">
        <w:t xml:space="preserve"> meeting. </w:t>
      </w:r>
      <w:r w:rsidR="005F6350" w:rsidRPr="0094349B">
        <w:lastRenderedPageBreak/>
        <w:t xml:space="preserve">Similarly, the Executive Committee decided, </w:t>
      </w:r>
      <w:r w:rsidR="005F6350" w:rsidRPr="0094349B">
        <w:rPr>
          <w:i/>
        </w:rPr>
        <w:t>inter alia,</w:t>
      </w:r>
      <w:r w:rsidR="005F6350" w:rsidRPr="0094349B">
        <w:t xml:space="preserve"> to allow those Article 5 countries that wished to submit their stage II HPMPs prior to a decision on the criteria for funding of stage II HPMPs, on the understanding that any such proposals would be considered on the basis of the existing guidelines for stage I HPMPs, and the funding level approved for stage II would not be modified on the basis of the criteria to be adopted for funding HCFC phase-out in the consumption sector for stage II HPMPs (decision 70/21).</w:t>
      </w:r>
    </w:p>
    <w:p w:rsidR="00B57C8C" w:rsidRPr="00404F88" w:rsidRDefault="00213988" w:rsidP="008F7254">
      <w:pPr>
        <w:rPr>
          <w:i/>
          <w:lang w:val="en-US"/>
        </w:rPr>
      </w:pPr>
      <w:r w:rsidRPr="00404F88">
        <w:rPr>
          <w:i/>
          <w:lang w:val="en-US"/>
        </w:rPr>
        <w:t>IOCs</w:t>
      </w:r>
    </w:p>
    <w:p w:rsidR="00213988" w:rsidRPr="00404F88" w:rsidRDefault="00213988" w:rsidP="008F7254">
      <w:pPr>
        <w:rPr>
          <w:i/>
          <w:lang w:val="en-US"/>
        </w:rPr>
      </w:pPr>
    </w:p>
    <w:p w:rsidR="00213988" w:rsidRPr="0094349B" w:rsidRDefault="00213988" w:rsidP="00213988">
      <w:pPr>
        <w:pStyle w:val="Heading1"/>
        <w:rPr>
          <w:lang w:val="en-CA"/>
        </w:rPr>
      </w:pPr>
      <w:r w:rsidRPr="0094349B">
        <w:rPr>
          <w:lang w:val="en-CA"/>
        </w:rPr>
        <w:t>At the</w:t>
      </w:r>
      <w:r w:rsidR="00C508D2" w:rsidRPr="0094349B">
        <w:rPr>
          <w:lang w:val="en-CA"/>
        </w:rPr>
        <w:t>ir</w:t>
      </w:r>
      <w:r w:rsidRPr="0094349B">
        <w:rPr>
          <w:lang w:val="en-CA"/>
        </w:rPr>
        <w:t xml:space="preserve"> Fourth </w:t>
      </w:r>
      <w:r w:rsidR="00C508D2" w:rsidRPr="0094349B">
        <w:rPr>
          <w:lang w:val="en-CA"/>
        </w:rPr>
        <w:t>Meeting (November 1992)</w:t>
      </w:r>
      <w:r w:rsidRPr="0094349B">
        <w:rPr>
          <w:lang w:val="en-CA"/>
        </w:rPr>
        <w:t xml:space="preserve">, the Parties established the Multilateral Fund and approved the indicative list of categories of incremental costs, as set out in Annex VIII to the report of the </w:t>
      </w:r>
      <w:r w:rsidR="00C508D2" w:rsidRPr="0094349B">
        <w:rPr>
          <w:lang w:val="en-CA"/>
        </w:rPr>
        <w:t xml:space="preserve">meeting </w:t>
      </w:r>
      <w:r w:rsidRPr="0094349B">
        <w:rPr>
          <w:lang w:val="en-CA"/>
        </w:rPr>
        <w:t>(decision IV/18). In doing so, the Parties noted that the evaluation of requests for financing the incremental costs of a given project should take into account a number of general principles, including the principle that the funding of incremental costs is intended as an incentive for early adoption of ozone</w:t>
      </w:r>
      <w:r w:rsidR="003B5F68" w:rsidRPr="0094349B">
        <w:rPr>
          <w:lang w:val="en-CA"/>
        </w:rPr>
        <w:noBreakHyphen/>
      </w:r>
      <w:r w:rsidRPr="0094349B">
        <w:rPr>
          <w:lang w:val="en-CA"/>
        </w:rPr>
        <w:t xml:space="preserve">protecting technologies. </w:t>
      </w:r>
      <w:r w:rsidR="00A206E8" w:rsidRPr="0094349B">
        <w:rPr>
          <w:lang w:val="en-CA"/>
        </w:rPr>
        <w:t>T</w:t>
      </w:r>
      <w:r w:rsidR="00A206E8" w:rsidRPr="0094349B">
        <w:rPr>
          <w:lang w:val="en-US"/>
        </w:rPr>
        <w:t xml:space="preserve">he Parties also noted that incremental recurring costs (i.e., IOCs) apply only for a transition period to be defined. </w:t>
      </w:r>
      <w:r w:rsidRPr="0094349B">
        <w:rPr>
          <w:lang w:val="en-CA"/>
        </w:rPr>
        <w:t xml:space="preserve">In this respect, the Executive Committee was given the mandate to </w:t>
      </w:r>
      <w:r w:rsidR="00101832" w:rsidRPr="0094349B">
        <w:rPr>
          <w:lang w:val="en-CA"/>
        </w:rPr>
        <w:t>decide</w:t>
      </w:r>
      <w:r w:rsidRPr="0094349B">
        <w:rPr>
          <w:lang w:val="en-CA"/>
        </w:rPr>
        <w:t xml:space="preserve"> on the appropriate time scales for payment of incremental costs in each sector. </w:t>
      </w:r>
    </w:p>
    <w:p w:rsidR="00875E15" w:rsidRPr="0094349B" w:rsidRDefault="00271358" w:rsidP="008F7254">
      <w:pPr>
        <w:pStyle w:val="Heading1"/>
        <w:rPr>
          <w:lang w:val="en-US"/>
        </w:rPr>
      </w:pPr>
      <w:r w:rsidRPr="0094349B">
        <w:rPr>
          <w:lang w:val="en-US"/>
        </w:rPr>
        <w:t xml:space="preserve">Further to this mandate, the Executive Committee has considered a variety of factors in deciding the duration of IOC. In particular, the Committee considered that incremental costs were intended as an incentive for early adoption of alternatives and, therefore, providing IOCs for a transitional period was considered to help safeguard those enterprises that phase-out their consumption of controlled substances early from being at a competitive disadvantage. </w:t>
      </w:r>
    </w:p>
    <w:p w:rsidR="008D5A88" w:rsidRPr="0094349B" w:rsidRDefault="00271358" w:rsidP="008F7254">
      <w:pPr>
        <w:pStyle w:val="Heading1"/>
        <w:rPr>
          <w:lang w:val="en-US"/>
        </w:rPr>
      </w:pPr>
      <w:r w:rsidRPr="0094349B">
        <w:rPr>
          <w:lang w:val="en-US"/>
        </w:rPr>
        <w:t xml:space="preserve">On this basis, </w:t>
      </w:r>
      <w:r w:rsidR="00A206E8" w:rsidRPr="0094349B">
        <w:rPr>
          <w:lang w:val="en-US"/>
        </w:rPr>
        <w:t>t</w:t>
      </w:r>
      <w:r w:rsidR="00B57C8C" w:rsidRPr="0094349B">
        <w:rPr>
          <w:lang w:val="en-US"/>
        </w:rPr>
        <w:t xml:space="preserve">he Executive Committee has approved </w:t>
      </w:r>
      <w:r w:rsidR="008D5A88" w:rsidRPr="0094349B">
        <w:rPr>
          <w:lang w:val="en-US"/>
        </w:rPr>
        <w:t>IOCs</w:t>
      </w:r>
      <w:r w:rsidR="00B57C8C" w:rsidRPr="0094349B">
        <w:rPr>
          <w:lang w:val="en-US"/>
        </w:rPr>
        <w:t xml:space="preserve"> for projects whose duration </w:t>
      </w:r>
      <w:r w:rsidR="00CA694E" w:rsidRPr="0094349B">
        <w:rPr>
          <w:lang w:val="en-US"/>
        </w:rPr>
        <w:t>has</w:t>
      </w:r>
      <w:r w:rsidR="00B57C8C" w:rsidRPr="0094349B">
        <w:rPr>
          <w:lang w:val="en-US"/>
        </w:rPr>
        <w:t xml:space="preserve"> varied by sector and with time</w:t>
      </w:r>
      <w:r w:rsidR="00A206E8" w:rsidRPr="0094349B">
        <w:rPr>
          <w:lang w:val="en-US"/>
        </w:rPr>
        <w:t>, as described below:</w:t>
      </w:r>
      <w:r w:rsidR="00B57C8C" w:rsidRPr="0094349B">
        <w:rPr>
          <w:lang w:val="en-US"/>
        </w:rPr>
        <w:t xml:space="preserve"> </w:t>
      </w:r>
    </w:p>
    <w:p w:rsidR="00572137" w:rsidRDefault="00572137" w:rsidP="004F2C9D">
      <w:pPr>
        <w:pStyle w:val="Heading2"/>
        <w:ind w:left="1418" w:hanging="709"/>
      </w:pPr>
      <w:r w:rsidRPr="0094349B">
        <w:t>For projects in the domestic refrigeration sub-sector, the following two options were approved to determine IOCs: ten per cent</w:t>
      </w:r>
      <w:r w:rsidRPr="008F7254">
        <w:t xml:space="preserve"> of </w:t>
      </w:r>
      <w:r>
        <w:t>ICC to be paid up-front;</w:t>
      </w:r>
      <w:r w:rsidRPr="008F7254">
        <w:t xml:space="preserve"> or</w:t>
      </w:r>
      <w:r>
        <w:t>,</w:t>
      </w:r>
      <w:r w:rsidRPr="008F7254">
        <w:t xml:space="preserve"> six months of </w:t>
      </w:r>
      <w:r>
        <w:t xml:space="preserve">IOC </w:t>
      </w:r>
      <w:r w:rsidRPr="008F7254">
        <w:t xml:space="preserve">calculated at current prices and paid up-front, or </w:t>
      </w:r>
      <w:r>
        <w:t xml:space="preserve">IOC </w:t>
      </w:r>
      <w:r w:rsidRPr="008F7254">
        <w:t>for a duration of one year adjusted according to the prevailing costs at the time of disbursement, when the modified plant was operating, whichever was greater</w:t>
      </w:r>
      <w:r w:rsidR="00742BB6">
        <w:t>.</w:t>
      </w:r>
      <w:r w:rsidR="00271358">
        <w:rPr>
          <w:rStyle w:val="FootnoteReference"/>
        </w:rPr>
        <w:footnoteReference w:id="31"/>
      </w:r>
      <w:r w:rsidR="00271358">
        <w:t xml:space="preserve"> </w:t>
      </w:r>
      <w:r w:rsidR="00D91DC6">
        <w:t xml:space="preserve">One </w:t>
      </w:r>
      <w:r w:rsidR="00271358" w:rsidRPr="008F7254">
        <w:rPr>
          <w:lang w:val="en-US"/>
        </w:rPr>
        <w:t xml:space="preserve">of the rationales for providing IOC as 10 per cent of the </w:t>
      </w:r>
      <w:r w:rsidR="00271358">
        <w:rPr>
          <w:lang w:val="en-US"/>
        </w:rPr>
        <w:t xml:space="preserve">ICC </w:t>
      </w:r>
      <w:r w:rsidR="00271358" w:rsidRPr="008F7254">
        <w:rPr>
          <w:lang w:val="en-US"/>
        </w:rPr>
        <w:t xml:space="preserve">was </w:t>
      </w:r>
      <w:r w:rsidR="00D91DC6">
        <w:rPr>
          <w:lang w:val="en-US"/>
        </w:rPr>
        <w:t xml:space="preserve">to </w:t>
      </w:r>
      <w:r w:rsidR="00271358" w:rsidRPr="008F7254">
        <w:rPr>
          <w:lang w:val="en-US"/>
        </w:rPr>
        <w:t>provide an immediate and often sufficient incentive for enterprises to undertake a phase-out project.</w:t>
      </w:r>
      <w:r w:rsidR="00271358">
        <w:rPr>
          <w:lang w:val="en-US"/>
        </w:rPr>
        <w:t xml:space="preserve"> </w:t>
      </w:r>
      <w:r w:rsidR="00271358" w:rsidRPr="008F7254">
        <w:rPr>
          <w:lang w:val="en-US"/>
        </w:rPr>
        <w:t xml:space="preserve">Similarly, a rationale for providing up-front </w:t>
      </w:r>
      <w:r w:rsidR="00271358" w:rsidRPr="008F7254">
        <w:t xml:space="preserve">six months of </w:t>
      </w:r>
      <w:r w:rsidR="00D91DC6">
        <w:t xml:space="preserve">IOC </w:t>
      </w:r>
      <w:r w:rsidR="00271358" w:rsidRPr="008F7254">
        <w:t>calculated at current prices was that this mechanism would allow the enterprise to know at the time of project approval how much money had been committed to IOC, which may provide an incentive to enterprises that would be wary of the uncertainty of other cost calculations</w:t>
      </w:r>
      <w:r w:rsidR="00D91DC6">
        <w:t>;</w:t>
      </w:r>
      <w:r w:rsidR="00271358">
        <w:rPr>
          <w:rStyle w:val="FootnoteReference"/>
        </w:rPr>
        <w:footnoteReference w:id="32"/>
      </w:r>
      <w:r w:rsidRPr="008F7254">
        <w:t xml:space="preserve"> </w:t>
      </w:r>
    </w:p>
    <w:p w:rsidR="008D5A88" w:rsidRPr="008F7254" w:rsidRDefault="008D5A88" w:rsidP="004F2C9D">
      <w:pPr>
        <w:pStyle w:val="Heading2"/>
        <w:ind w:left="1418" w:hanging="709"/>
      </w:pPr>
      <w:r w:rsidRPr="008F7254">
        <w:t xml:space="preserve">Approved a time-frame of up to two years for the calculation of IOCs of all rigid </w:t>
      </w:r>
      <w:r w:rsidR="003E2398">
        <w:t>PU</w:t>
      </w:r>
      <w:r w:rsidRPr="008F7254">
        <w:t xml:space="preserve"> foam projects other than those relating to the domestic</w:t>
      </w:r>
      <w:r w:rsidR="003E2398">
        <w:t xml:space="preserve"> refrigeration sector (decision </w:t>
      </w:r>
      <w:r w:rsidRPr="008F7254">
        <w:t xml:space="preserve">18/8); </w:t>
      </w:r>
    </w:p>
    <w:p w:rsidR="007E3E98" w:rsidRPr="0094349B" w:rsidRDefault="00D37690" w:rsidP="004F2C9D">
      <w:pPr>
        <w:pStyle w:val="Heading2"/>
        <w:ind w:left="1418" w:hanging="709"/>
      </w:pPr>
      <w:r>
        <w:t xml:space="preserve">For projects </w:t>
      </w:r>
      <w:r w:rsidR="007E3E98" w:rsidRPr="008F7254">
        <w:t>where an ente</w:t>
      </w:r>
      <w:r w:rsidR="007E3E98">
        <w:t>rprise opted to collect the IOC</w:t>
      </w:r>
      <w:r w:rsidR="007E3E98" w:rsidRPr="008F7254">
        <w:t xml:space="preserve"> after the project had been implemented</w:t>
      </w:r>
      <w:r w:rsidR="007E3E98">
        <w:t>,</w:t>
      </w:r>
      <w:r w:rsidR="007E3E98" w:rsidRPr="008F7254">
        <w:t xml:space="preserve"> </w:t>
      </w:r>
      <w:r>
        <w:t xml:space="preserve">IOC were calculated as follows: </w:t>
      </w:r>
      <w:r w:rsidR="00742BB6">
        <w:t>f</w:t>
      </w:r>
      <w:r w:rsidR="007E3E98" w:rsidRPr="008F7254">
        <w:t xml:space="preserve">or projects in the domestic refrigeration sector, the production level to be used for the calculation of IOC </w:t>
      </w:r>
      <w:r w:rsidR="007E3E98">
        <w:t>was</w:t>
      </w:r>
      <w:r w:rsidR="007E3E98" w:rsidRPr="008F7254">
        <w:t xml:space="preserve"> the level prior to preparation of the project as specified in the approved project proposal. For multi-phase projects that involve</w:t>
      </w:r>
      <w:r w:rsidR="007E3E98">
        <w:t>d</w:t>
      </w:r>
      <w:r w:rsidR="007E3E98" w:rsidRPr="008F7254">
        <w:t xml:space="preserve"> a development phase and a separate phase to convert production facilities, the production level to be used for the calculation of IOC </w:t>
      </w:r>
      <w:r w:rsidR="007E3E98">
        <w:t>wa</w:t>
      </w:r>
      <w:r w:rsidR="007E3E98" w:rsidRPr="008F7254">
        <w:t>s that of the second phase, in w</w:t>
      </w:r>
      <w:r w:rsidR="007E3E98">
        <w:t>hich the production facilities we</w:t>
      </w:r>
      <w:r w:rsidR="007E3E98" w:rsidRPr="008F7254">
        <w:t xml:space="preserve">re converted. ODS consumption </w:t>
      </w:r>
      <w:r w:rsidR="006D3255">
        <w:t xml:space="preserve">was </w:t>
      </w:r>
      <w:r w:rsidR="007E3E98" w:rsidRPr="008F7254">
        <w:lastRenderedPageBreak/>
        <w:t xml:space="preserve">calculated </w:t>
      </w:r>
      <w:r w:rsidR="006D3255">
        <w:t xml:space="preserve">as </w:t>
      </w:r>
      <w:r w:rsidR="007E3E98" w:rsidRPr="008F7254">
        <w:t>the consumption in the year, or the average of the three years, immediately preceding preparation of the second-phase conversion project (</w:t>
      </w:r>
      <w:r w:rsidR="007E3E98">
        <w:t xml:space="preserve">paragraph 32(b) of document </w:t>
      </w:r>
      <w:r w:rsidR="007E3E98" w:rsidRPr="008F7254">
        <w:t xml:space="preserve">UNEP/OzL.Pro/ExCom/16/20). For any other multi-phase project, IOC </w:t>
      </w:r>
      <w:r w:rsidR="007E3E98">
        <w:t>were</w:t>
      </w:r>
      <w:r w:rsidR="007E3E98" w:rsidRPr="008F7254">
        <w:t xml:space="preserve"> calculated separately for each phase, in accordance with the requirements of the decision in paragraph 32 of UNEP/OzL.Pro/ExCom/16/20, provided that the overall level of funding for the enterprise does not exceed the maximum level available under the threshold funding cap calculated using the ODS consumption presented in the first phase of the </w:t>
      </w:r>
      <w:r w:rsidR="007E3E98" w:rsidRPr="0094349B">
        <w:t>project (decision 21/6)</w:t>
      </w:r>
      <w:r w:rsidR="006D3255" w:rsidRPr="0094349B">
        <w:t>;</w:t>
      </w:r>
      <w:r w:rsidR="007E3E98" w:rsidRPr="0094349B">
        <w:t xml:space="preserve"> </w:t>
      </w:r>
    </w:p>
    <w:p w:rsidR="008D5A88" w:rsidRPr="008F7254" w:rsidRDefault="008D5A88" w:rsidP="004F2C9D">
      <w:pPr>
        <w:pStyle w:val="Heading2"/>
        <w:ind w:left="1418" w:hanging="709"/>
      </w:pPr>
      <w:r w:rsidRPr="008F7254">
        <w:t xml:space="preserve">For projects in the production of </w:t>
      </w:r>
      <w:proofErr w:type="spellStart"/>
      <w:r w:rsidRPr="008F7254">
        <w:t>slabstock</w:t>
      </w:r>
      <w:proofErr w:type="spellEnd"/>
      <w:r w:rsidRPr="008F7254">
        <w:t xml:space="preserve"> foam using liquid carbon dioxide (LCD) technology, the methodology for calculation of the </w:t>
      </w:r>
      <w:r w:rsidR="00D32E6B">
        <w:t xml:space="preserve">IOC </w:t>
      </w:r>
      <w:r w:rsidRPr="008F7254">
        <w:t xml:space="preserve">or savings </w:t>
      </w:r>
      <w:r w:rsidR="00B0604E">
        <w:t>were</w:t>
      </w:r>
      <w:r w:rsidRPr="008F7254">
        <w:t xml:space="preserve"> based on the methodology approved for use with methylene chloride projects</w:t>
      </w:r>
      <w:r w:rsidR="00D32E6B">
        <w:t xml:space="preserve">, i.e., </w:t>
      </w:r>
      <w:r w:rsidRPr="008F7254">
        <w:t xml:space="preserve">net present value of four years of IOC, where the IOC per year </w:t>
      </w:r>
      <w:r w:rsidR="00D32E6B">
        <w:t xml:space="preserve">are </w:t>
      </w:r>
      <w:r w:rsidRPr="008F7254">
        <w:t xml:space="preserve">based on the cost for chemicals required to manufacture the products produced with CFC technology in the year prior to project preparation compared with the costs </w:t>
      </w:r>
      <w:r w:rsidR="00213988">
        <w:t>of</w:t>
      </w:r>
      <w:r w:rsidRPr="008F7254">
        <w:t xml:space="preserve"> the chemicals required for the same level of production of the same products manufactured with LCD technology</w:t>
      </w:r>
      <w:r w:rsidR="00572137">
        <w:t>;</w:t>
      </w:r>
      <w:r w:rsidRPr="008F7254">
        <w:t xml:space="preserve"> </w:t>
      </w:r>
      <w:r w:rsidR="00572137">
        <w:t>i</w:t>
      </w:r>
      <w:r w:rsidRPr="008F7254">
        <w:t xml:space="preserve">ncremental yield losses were based on losses of the finished product produced by the LCD process, calculated at 4 per cent in the first year, 2 per cent in the second year, and no losses in the subsequent years (decision 24/58); </w:t>
      </w:r>
    </w:p>
    <w:p w:rsidR="00B74FD7" w:rsidRDefault="00572137" w:rsidP="004F2C9D">
      <w:pPr>
        <w:pStyle w:val="Heading2"/>
        <w:ind w:left="1418" w:hanging="709"/>
      </w:pPr>
      <w:r>
        <w:t>F</w:t>
      </w:r>
      <w:r w:rsidRPr="008F7254">
        <w:t>or terminal umbrella projects</w:t>
      </w:r>
      <w:r>
        <w:rPr>
          <w:rStyle w:val="FootnoteReference"/>
        </w:rPr>
        <w:footnoteReference w:id="33"/>
      </w:r>
      <w:r w:rsidRPr="008F7254">
        <w:t xml:space="preserve"> IOC </w:t>
      </w:r>
      <w:r w:rsidR="00B74FD7">
        <w:t>or savings will not be included in project costs</w:t>
      </w:r>
      <w:r w:rsidR="00B74FD7" w:rsidRPr="008F7254">
        <w:t xml:space="preserve"> </w:t>
      </w:r>
      <w:r w:rsidRPr="008F7254">
        <w:t>(decision 25/50(d)(iv))</w:t>
      </w:r>
      <w:r>
        <w:t xml:space="preserve">, while </w:t>
      </w:r>
      <w:r w:rsidR="00B74FD7">
        <w:t xml:space="preserve">IOC </w:t>
      </w:r>
      <w:r w:rsidRPr="008F7254">
        <w:t>for the transportation refrigeration sector</w:t>
      </w:r>
      <w:r>
        <w:t xml:space="preserve"> </w:t>
      </w:r>
      <w:r w:rsidRPr="008F7254">
        <w:t>were not resolved (decision 27/75</w:t>
      </w:r>
      <w:r>
        <w:t xml:space="preserve">); </w:t>
      </w:r>
    </w:p>
    <w:p w:rsidR="008D5A88" w:rsidRPr="008F7254" w:rsidRDefault="00364C66" w:rsidP="004F2C9D">
      <w:pPr>
        <w:pStyle w:val="Heading2"/>
        <w:ind w:left="1418" w:hanging="709"/>
      </w:pPr>
      <w:r>
        <w:t>F</w:t>
      </w:r>
      <w:r w:rsidR="008D5A88" w:rsidRPr="008F7254">
        <w:t xml:space="preserve">or </w:t>
      </w:r>
      <w:r>
        <w:t xml:space="preserve">the </w:t>
      </w:r>
      <w:r w:rsidR="008D5A88" w:rsidRPr="008F7254">
        <w:t xml:space="preserve">commercial refrigeration end-user </w:t>
      </w:r>
      <w:r w:rsidR="00B74FD7">
        <w:t xml:space="preserve">sector </w:t>
      </w:r>
      <w:r w:rsidR="008D5A88" w:rsidRPr="008F7254">
        <w:t xml:space="preserve">conversion projects, </w:t>
      </w:r>
      <w:r>
        <w:t xml:space="preserve">IOC </w:t>
      </w:r>
      <w:r w:rsidR="00B74FD7" w:rsidRPr="00B74FD7">
        <w:t xml:space="preserve">and savings should be calculated as for other commercial refrigeration projects for a two-year period </w:t>
      </w:r>
      <w:r w:rsidR="008D5A88" w:rsidRPr="008F7254">
        <w:t>(decision 28/44</w:t>
      </w:r>
      <w:r w:rsidR="00B74FD7">
        <w:rPr>
          <w:rStyle w:val="FootnoteReference"/>
        </w:rPr>
        <w:footnoteReference w:id="34"/>
      </w:r>
      <w:r w:rsidR="008D5A88" w:rsidRPr="008F7254">
        <w:t>)</w:t>
      </w:r>
      <w:r w:rsidR="00B74FD7">
        <w:t>;</w:t>
      </w:r>
      <w:r>
        <w:t xml:space="preserve"> and</w:t>
      </w:r>
    </w:p>
    <w:p w:rsidR="00875E15" w:rsidRDefault="00B57C8C" w:rsidP="004F2C9D">
      <w:pPr>
        <w:pStyle w:val="Heading2"/>
        <w:ind w:left="1418" w:hanging="709"/>
        <w:rPr>
          <w:lang w:val="en-US"/>
        </w:rPr>
      </w:pPr>
      <w:r w:rsidRPr="008F7254">
        <w:t xml:space="preserve">For the phase-out of HCFCs, the current practice of the Executive Committee is to determine IOC on the basis of </w:t>
      </w:r>
      <w:r w:rsidR="00D3798F" w:rsidRPr="008F7254">
        <w:t>one</w:t>
      </w:r>
      <w:r w:rsidR="007255F7">
        <w:t>-year duration</w:t>
      </w:r>
      <w:r w:rsidRPr="008F7254">
        <w:t>.</w:t>
      </w:r>
      <w:r w:rsidR="00381371">
        <w:t xml:space="preserve"> </w:t>
      </w:r>
      <w:r w:rsidR="00875E15">
        <w:rPr>
          <w:lang w:val="en-US"/>
        </w:rPr>
        <w:t>I</w:t>
      </w:r>
      <w:r w:rsidR="00875E15" w:rsidRPr="008F7254">
        <w:rPr>
          <w:lang w:val="en-US"/>
        </w:rPr>
        <w:t>n considering a stand-alone project proposal in the aerosol sector submitted to the 62</w:t>
      </w:r>
      <w:r w:rsidR="00875E15" w:rsidRPr="008F7254">
        <w:rPr>
          <w:vertAlign w:val="superscript"/>
          <w:lang w:val="en-US"/>
        </w:rPr>
        <w:t>nd</w:t>
      </w:r>
      <w:r w:rsidR="00875E15" w:rsidRPr="008F7254">
        <w:rPr>
          <w:lang w:val="en-US"/>
        </w:rPr>
        <w:t xml:space="preserve"> meeting, the Committee noted that in decision 60/44 the duration of </w:t>
      </w:r>
      <w:r w:rsidR="00875E15">
        <w:rPr>
          <w:lang w:val="en-US"/>
        </w:rPr>
        <w:t xml:space="preserve">IOC </w:t>
      </w:r>
      <w:r w:rsidR="00875E15" w:rsidRPr="008F7254">
        <w:rPr>
          <w:lang w:val="en-US"/>
        </w:rPr>
        <w:t>had been agreed for a one-year period for most of the other sectors</w:t>
      </w:r>
      <w:r w:rsidR="00875E15">
        <w:rPr>
          <w:lang w:val="en-US"/>
        </w:rPr>
        <w:t>,</w:t>
      </w:r>
      <w:r w:rsidR="00875E15">
        <w:rPr>
          <w:rStyle w:val="FootnoteReference"/>
          <w:lang w:val="en-US"/>
        </w:rPr>
        <w:footnoteReference w:id="35"/>
      </w:r>
      <w:r w:rsidR="00875E15" w:rsidRPr="008F7254">
        <w:rPr>
          <w:lang w:val="en-US"/>
        </w:rPr>
        <w:t xml:space="preserve"> and decided that the </w:t>
      </w:r>
      <w:r w:rsidR="00875E15">
        <w:rPr>
          <w:lang w:val="en-US"/>
        </w:rPr>
        <w:t xml:space="preserve">IOC </w:t>
      </w:r>
      <w:r w:rsidR="00875E15" w:rsidRPr="008F7254">
        <w:rPr>
          <w:lang w:val="en-US"/>
        </w:rPr>
        <w:t>for the aerosol sector should be determined on the basis o</w:t>
      </w:r>
      <w:r w:rsidR="0094349B">
        <w:rPr>
          <w:lang w:val="en-US"/>
        </w:rPr>
        <w:t>f a one-year duration (decision </w:t>
      </w:r>
      <w:r w:rsidR="00875E15" w:rsidRPr="008F7254">
        <w:rPr>
          <w:lang w:val="en-US"/>
        </w:rPr>
        <w:t>62/9).</w:t>
      </w:r>
    </w:p>
    <w:p w:rsidR="00B57C8C" w:rsidRPr="008F7254" w:rsidRDefault="00B57C8C" w:rsidP="008F7254">
      <w:pPr>
        <w:pStyle w:val="Heading1"/>
        <w:rPr>
          <w:lang w:val="en-US"/>
        </w:rPr>
      </w:pPr>
      <w:r w:rsidRPr="008F7254">
        <w:t xml:space="preserve">Another factor </w:t>
      </w:r>
      <w:r w:rsidR="00CE30F8">
        <w:t xml:space="preserve">that </w:t>
      </w:r>
      <w:r w:rsidRPr="008F7254">
        <w:t xml:space="preserve">the Executive Committee </w:t>
      </w:r>
      <w:r w:rsidR="00CE30F8">
        <w:t xml:space="preserve">had considered </w:t>
      </w:r>
      <w:r w:rsidRPr="008F7254">
        <w:t xml:space="preserve">in determining the duration of IOCs is that the differential between the cost of controlled and non-controlled substances and associated technologies tends to decrease with time. For example, in considering the IOCs for the domestic refrigeration sub-sector, the Executive Committee considered that “the demand and supply of CFCs and their substitutes will continue working against the CFC users. This means that the price of CFC will continue to go up, with the substitutes going on the downward trend” (paragraph 49 of </w:t>
      </w:r>
      <w:r w:rsidR="007E3E98">
        <w:t xml:space="preserve">document </w:t>
      </w:r>
      <w:r w:rsidRPr="008F7254">
        <w:t>UNEP/OzL.Pro/ExCom/13/40)</w:t>
      </w:r>
      <w:r w:rsidR="000806D8" w:rsidRPr="008F7254">
        <w:t>.</w:t>
      </w:r>
    </w:p>
    <w:p w:rsidR="00B57C8C" w:rsidRPr="008F7254" w:rsidRDefault="00B57C8C" w:rsidP="008F7254">
      <w:pPr>
        <w:pStyle w:val="Heading1"/>
      </w:pPr>
      <w:r w:rsidRPr="008F7254">
        <w:t xml:space="preserve">As the difference in price between controlled and non-controlled substances is an important determinant of IOC, another factor considered by the Executive Committee is that this difference does not </w:t>
      </w:r>
      <w:r w:rsidRPr="008F7254">
        <w:lastRenderedPageBreak/>
        <w:t xml:space="preserve">only vary with time but also by country and region. In order to ensure that the </w:t>
      </w:r>
      <w:r w:rsidR="009C42BF">
        <w:t xml:space="preserve">Multilateral </w:t>
      </w:r>
      <w:r w:rsidRPr="008F7254">
        <w:t xml:space="preserve">Fund would not be used to subsidize taxes and duties, which would be an additional transfer to the host </w:t>
      </w:r>
      <w:r w:rsidR="009C42BF">
        <w:t>G</w:t>
      </w:r>
      <w:r w:rsidRPr="008F7254">
        <w:t>overnment rather than providing assistance to the enterprise undertaking the conversion, the Executive Committee decided that national pricing of commodities be used except where it was higher than 20</w:t>
      </w:r>
      <w:r w:rsidR="00C2360C" w:rsidRPr="008F7254">
        <w:t xml:space="preserve"> per cent</w:t>
      </w:r>
      <w:r w:rsidRPr="008F7254">
        <w:t xml:space="preserve"> of the regional border price (decision 22/25).</w:t>
      </w:r>
    </w:p>
    <w:p w:rsidR="00B0604E" w:rsidRPr="00875E15" w:rsidRDefault="00B57C8C" w:rsidP="008F7254">
      <w:pPr>
        <w:pStyle w:val="Heading1"/>
        <w:rPr>
          <w:lang w:val="en-US"/>
        </w:rPr>
      </w:pPr>
      <w:r w:rsidRPr="008F7254">
        <w:rPr>
          <w:lang w:val="en-US"/>
        </w:rPr>
        <w:t xml:space="preserve">The Executive Committee has also considered the issue of how payment of IOCs should be monitored and reported. For example, having considered the </w:t>
      </w:r>
      <w:r w:rsidR="00E61D9D">
        <w:rPr>
          <w:lang w:val="en-US"/>
        </w:rPr>
        <w:t>F</w:t>
      </w:r>
      <w:r w:rsidRPr="008F7254">
        <w:rPr>
          <w:lang w:val="en-US"/>
        </w:rPr>
        <w:t>inal report on the evaluation of solvent sector projects</w:t>
      </w:r>
      <w:r w:rsidR="005F46F8">
        <w:rPr>
          <w:lang w:val="en-US"/>
        </w:rPr>
        <w:t>,</w:t>
      </w:r>
      <w:r w:rsidR="007E3E98">
        <w:rPr>
          <w:rStyle w:val="FootnoteReference"/>
          <w:lang w:val="en-US"/>
        </w:rPr>
        <w:footnoteReference w:id="36"/>
      </w:r>
      <w:r w:rsidRPr="008F7254">
        <w:rPr>
          <w:lang w:val="en-US"/>
        </w:rPr>
        <w:t xml:space="preserve"> the Executive Committee decided, </w:t>
      </w:r>
      <w:r w:rsidRPr="008F7254">
        <w:rPr>
          <w:i/>
          <w:lang w:val="en-US"/>
        </w:rPr>
        <w:t>inter alia,</w:t>
      </w:r>
      <w:r w:rsidRPr="008F7254">
        <w:rPr>
          <w:lang w:val="en-US"/>
        </w:rPr>
        <w:t xml:space="preserve"> to request that, as far as possible, invoices for the purchase of ODS solvents by beneficiary enterprises be certified by the implementing agencies, with the cooperation of the National Ozone Units, for future verification; and requested </w:t>
      </w:r>
      <w:r w:rsidR="009C42BF">
        <w:rPr>
          <w:lang w:val="en-US"/>
        </w:rPr>
        <w:t>i</w:t>
      </w:r>
      <w:r w:rsidRPr="008F7254">
        <w:rPr>
          <w:lang w:val="en-US"/>
        </w:rPr>
        <w:t xml:space="preserve">mplementing </w:t>
      </w:r>
      <w:r w:rsidR="009C42BF">
        <w:rPr>
          <w:lang w:val="en-US"/>
        </w:rPr>
        <w:t>a</w:t>
      </w:r>
      <w:r w:rsidRPr="008F7254">
        <w:rPr>
          <w:lang w:val="en-US"/>
        </w:rPr>
        <w:t xml:space="preserve">gencies to report in project completion reports </w:t>
      </w:r>
      <w:r w:rsidR="00184CFD">
        <w:rPr>
          <w:lang w:val="en-US"/>
        </w:rPr>
        <w:t>(</w:t>
      </w:r>
      <w:r w:rsidR="00B726DF" w:rsidRPr="007255F7">
        <w:rPr>
          <w:lang w:val="en-US"/>
        </w:rPr>
        <w:t>PCRs</w:t>
      </w:r>
      <w:r w:rsidR="00184CFD">
        <w:rPr>
          <w:lang w:val="en-US"/>
        </w:rPr>
        <w:t>)</w:t>
      </w:r>
      <w:r w:rsidR="00B726DF" w:rsidRPr="008F7254">
        <w:rPr>
          <w:lang w:val="en-US"/>
        </w:rPr>
        <w:t xml:space="preserve"> </w:t>
      </w:r>
      <w:r w:rsidRPr="008F7254">
        <w:rPr>
          <w:lang w:val="en-US"/>
        </w:rPr>
        <w:t xml:space="preserve">on savings arising from lower </w:t>
      </w:r>
      <w:r w:rsidR="00184CFD">
        <w:rPr>
          <w:lang w:val="en-US"/>
        </w:rPr>
        <w:t xml:space="preserve">IOC </w:t>
      </w:r>
      <w:r w:rsidRPr="007255F7">
        <w:rPr>
          <w:lang w:val="en-US"/>
        </w:rPr>
        <w:t xml:space="preserve">and/or higher incremental operating savings than anticipated and approved (decision 35/10). Based on an initial review by the Secretariat, the PCRs submitted to date include insufficient information to determine the level of </w:t>
      </w:r>
      <w:r w:rsidR="00184CFD" w:rsidRPr="00184CFD">
        <w:rPr>
          <w:lang w:val="en-US"/>
        </w:rPr>
        <w:t xml:space="preserve">IOC </w:t>
      </w:r>
      <w:r w:rsidRPr="00184CFD">
        <w:rPr>
          <w:lang w:val="en-US"/>
        </w:rPr>
        <w:t xml:space="preserve">or savings that resulted from project implementation. </w:t>
      </w:r>
      <w:r w:rsidR="005F46F8">
        <w:rPr>
          <w:lang w:val="en-US"/>
        </w:rPr>
        <w:t>T</w:t>
      </w:r>
      <w:r w:rsidRPr="00875E15">
        <w:rPr>
          <w:lang w:val="en-US"/>
        </w:rPr>
        <w:t xml:space="preserve">he Executive Committee decided to limit the flexibility countries would have to allocate approved funding from </w:t>
      </w:r>
      <w:r w:rsidR="00184CFD" w:rsidRPr="00875E15">
        <w:rPr>
          <w:lang w:val="en-US"/>
        </w:rPr>
        <w:t xml:space="preserve">ICC </w:t>
      </w:r>
      <w:r w:rsidRPr="00875E15">
        <w:rPr>
          <w:lang w:val="en-US"/>
        </w:rPr>
        <w:t xml:space="preserve">to </w:t>
      </w:r>
      <w:r w:rsidR="00184CFD" w:rsidRPr="00875E15">
        <w:rPr>
          <w:lang w:val="en-US"/>
        </w:rPr>
        <w:t xml:space="preserve">IOC </w:t>
      </w:r>
      <w:r w:rsidRPr="00875E15">
        <w:rPr>
          <w:lang w:val="en-US"/>
        </w:rPr>
        <w:t>(but not vice versa).</w:t>
      </w:r>
      <w:r w:rsidR="00184CFD" w:rsidRPr="00875E15">
        <w:rPr>
          <w:lang w:val="en-US"/>
        </w:rPr>
        <w:t xml:space="preserve"> </w:t>
      </w:r>
    </w:p>
    <w:p w:rsidR="00B57C8C" w:rsidRPr="00875E15" w:rsidRDefault="00B57C8C" w:rsidP="008F7254">
      <w:pPr>
        <w:pStyle w:val="Heading1"/>
        <w:rPr>
          <w:lang w:val="en-US"/>
        </w:rPr>
      </w:pPr>
      <w:r w:rsidRPr="00875E15">
        <w:rPr>
          <w:lang w:val="en-US"/>
        </w:rPr>
        <w:t>Specifically, the Executive Committee decided that for stage I of HPMPs</w:t>
      </w:r>
      <w:r w:rsidR="00B0604E" w:rsidRPr="00875E15">
        <w:rPr>
          <w:lang w:val="en-US"/>
        </w:rPr>
        <w:t xml:space="preserve"> IOCs for the foam s</w:t>
      </w:r>
      <w:r w:rsidR="00184CFD" w:rsidRPr="00875E15">
        <w:rPr>
          <w:lang w:val="en-US"/>
        </w:rPr>
        <w:t>ector would be considered at US </w:t>
      </w:r>
      <w:r w:rsidR="00B0604E" w:rsidRPr="00875E15">
        <w:rPr>
          <w:lang w:val="en-US"/>
        </w:rPr>
        <w:t>$1.60/metric kg for HCFC-141b, and US</w:t>
      </w:r>
      <w:r w:rsidR="00184CFD" w:rsidRPr="00875E15">
        <w:rPr>
          <w:lang w:val="en-US"/>
        </w:rPr>
        <w:t> </w:t>
      </w:r>
      <w:r w:rsidR="00B0604E" w:rsidRPr="00875E15">
        <w:rPr>
          <w:lang w:val="en-US"/>
        </w:rPr>
        <w:t>$1.40/metric kg for HCFC</w:t>
      </w:r>
      <w:r w:rsidR="003B5F68">
        <w:rPr>
          <w:lang w:val="en-US"/>
        </w:rPr>
        <w:noBreakHyphen/>
      </w:r>
      <w:r w:rsidR="00B0604E" w:rsidRPr="00875E15">
        <w:rPr>
          <w:lang w:val="en-US"/>
        </w:rPr>
        <w:t>142b</w:t>
      </w:r>
      <w:r w:rsidRPr="00875E15">
        <w:rPr>
          <w:lang w:val="en-US"/>
        </w:rPr>
        <w:t>,</w:t>
      </w:r>
      <w:r w:rsidR="00B0604E" w:rsidRPr="00875E15">
        <w:rPr>
          <w:lang w:val="en-US"/>
        </w:rPr>
        <w:t xml:space="preserve"> for the air-conditioning subsector at US</w:t>
      </w:r>
      <w:r w:rsidR="00184CFD" w:rsidRPr="00875E15">
        <w:rPr>
          <w:lang w:val="en-US"/>
        </w:rPr>
        <w:t> </w:t>
      </w:r>
      <w:r w:rsidR="00B0604E" w:rsidRPr="00875E15">
        <w:rPr>
          <w:lang w:val="en-US"/>
        </w:rPr>
        <w:t xml:space="preserve">$6.30/metric kg and for the commercial refrigeration subsector at </w:t>
      </w:r>
      <w:r w:rsidR="00C06A59" w:rsidRPr="00875E15">
        <w:rPr>
          <w:lang w:val="en-US"/>
        </w:rPr>
        <w:t>US</w:t>
      </w:r>
      <w:r w:rsidR="00184CFD" w:rsidRPr="00875E15">
        <w:rPr>
          <w:lang w:val="en-US"/>
        </w:rPr>
        <w:t> </w:t>
      </w:r>
      <w:r w:rsidR="0094349B" w:rsidRPr="00875E15">
        <w:rPr>
          <w:lang w:val="en-US"/>
        </w:rPr>
        <w:t>$</w:t>
      </w:r>
      <w:r w:rsidR="00C06A59" w:rsidRPr="00875E15">
        <w:rPr>
          <w:lang w:val="en-US"/>
        </w:rPr>
        <w:t xml:space="preserve">3.80/metric kg. In addition, </w:t>
      </w:r>
      <w:r w:rsidRPr="00875E15">
        <w:rPr>
          <w:lang w:val="en-US"/>
        </w:rPr>
        <w:t>countries w</w:t>
      </w:r>
      <w:r w:rsidR="00B726DF" w:rsidRPr="00875E15">
        <w:rPr>
          <w:lang w:val="en-US"/>
        </w:rPr>
        <w:t>ould</w:t>
      </w:r>
      <w:r w:rsidRPr="00875E15">
        <w:rPr>
          <w:lang w:val="en-US"/>
        </w:rPr>
        <w:t xml:space="preserve"> have the flexibility to allocate the approved funding from </w:t>
      </w:r>
      <w:r w:rsidR="00184CFD" w:rsidRPr="00875E15">
        <w:rPr>
          <w:lang w:val="en-US"/>
        </w:rPr>
        <w:t xml:space="preserve">IOC </w:t>
      </w:r>
      <w:r w:rsidRPr="00875E15">
        <w:rPr>
          <w:lang w:val="en-US"/>
        </w:rPr>
        <w:t xml:space="preserve">to </w:t>
      </w:r>
      <w:r w:rsidR="00184CFD" w:rsidRPr="00875E15">
        <w:rPr>
          <w:lang w:val="en-US"/>
        </w:rPr>
        <w:t xml:space="preserve">ICC </w:t>
      </w:r>
      <w:r w:rsidRPr="00875E15">
        <w:rPr>
          <w:lang w:val="en-US"/>
        </w:rPr>
        <w:t xml:space="preserve">and to allocate up to 20 per cent of the approved funding for </w:t>
      </w:r>
      <w:r w:rsidR="00184CFD" w:rsidRPr="00875E15">
        <w:rPr>
          <w:lang w:val="en-US"/>
        </w:rPr>
        <w:t xml:space="preserve">ICC </w:t>
      </w:r>
      <w:r w:rsidRPr="00875E15">
        <w:rPr>
          <w:lang w:val="en-US"/>
        </w:rPr>
        <w:t xml:space="preserve">to </w:t>
      </w:r>
      <w:r w:rsidR="00184CFD" w:rsidRPr="00875E15">
        <w:rPr>
          <w:lang w:val="en-US"/>
        </w:rPr>
        <w:t>IOC</w:t>
      </w:r>
      <w:r w:rsidRPr="00875E15">
        <w:rPr>
          <w:lang w:val="en-US"/>
        </w:rPr>
        <w:t>, as long as the use of the flexibility does not change the intent of the project. Any reallocation should be reported to the Executive Committee (decision 60/44, paragraph (f)(iii)). This decision was reaffirmed for stage II of HPMPs in paragraph (c)(ii) of decision 74/50.</w:t>
      </w:r>
      <w:r w:rsidR="00892975" w:rsidRPr="00875E15">
        <w:rPr>
          <w:lang w:val="en-US"/>
        </w:rPr>
        <w:t xml:space="preserve"> In addition, for stage II, for PU foam projects that make transition to low-GWP alternatives, IOC would be considered up to US $5/metric kg, and when clearly demonstrated that low-GWP alternatives with IOCs at this level was not feasible, higher level of IOCs would be funded for the introduction of low-GWP by SMEs (decision 74/50(c)(vi)</w:t>
      </w:r>
      <w:r w:rsidR="006B23B3">
        <w:rPr>
          <w:lang w:val="en-US"/>
        </w:rPr>
        <w:t>)</w:t>
      </w:r>
      <w:r w:rsidR="00892975" w:rsidRPr="00875E15">
        <w:rPr>
          <w:lang w:val="en-US"/>
        </w:rPr>
        <w:t>.</w:t>
      </w:r>
    </w:p>
    <w:p w:rsidR="00875E15" w:rsidRPr="00386042" w:rsidRDefault="00875E15" w:rsidP="00875E15">
      <w:pPr>
        <w:pStyle w:val="Heading1"/>
        <w:rPr>
          <w:lang w:val="en-US"/>
        </w:rPr>
      </w:pPr>
      <w:r w:rsidRPr="00386042">
        <w:rPr>
          <w:lang w:val="en-US"/>
        </w:rPr>
        <w:t>At its 77</w:t>
      </w:r>
      <w:r w:rsidRPr="00386042">
        <w:rPr>
          <w:vertAlign w:val="superscript"/>
          <w:lang w:val="en-US"/>
        </w:rPr>
        <w:t>th</w:t>
      </w:r>
      <w:r w:rsidRPr="00386042">
        <w:rPr>
          <w:lang w:val="en-US"/>
        </w:rPr>
        <w:t xml:space="preserve"> meeting, in the context of the document on the </w:t>
      </w:r>
      <w:r w:rsidR="002F143C">
        <w:rPr>
          <w:lang w:val="en-US"/>
        </w:rPr>
        <w:t>o</w:t>
      </w:r>
      <w:r w:rsidRPr="00386042">
        <w:rPr>
          <w:lang w:val="en-US"/>
        </w:rPr>
        <w:t>verview of issues identified during project review</w:t>
      </w:r>
      <w:r w:rsidR="002F143C">
        <w:rPr>
          <w:lang w:val="en-US"/>
        </w:rPr>
        <w:t>,</w:t>
      </w:r>
      <w:r>
        <w:rPr>
          <w:rStyle w:val="FootnoteReference"/>
          <w:lang w:val="en-US"/>
        </w:rPr>
        <w:footnoteReference w:id="37"/>
      </w:r>
      <w:r w:rsidRPr="00386042">
        <w:rPr>
          <w:lang w:val="en-US"/>
        </w:rPr>
        <w:t xml:space="preserve"> the Executive Committee considered the issue on the temporary manufacturing of high GWP-based refrigeration and air conditioning equipment at enterprises that received funding to convert to low-GWP alternatives.</w:t>
      </w:r>
      <w:r w:rsidR="00386042" w:rsidRPr="00386042">
        <w:rPr>
          <w:lang w:val="en-US"/>
        </w:rPr>
        <w:t xml:space="preserve"> During the discussion, members expressed concerns with regard to challenges faced by enterprises during conversion to the selected low-GWP technologies, the fact that the cases were interim in nature, and how IOC</w:t>
      </w:r>
      <w:r w:rsidR="002F143C">
        <w:rPr>
          <w:lang w:val="en-US"/>
        </w:rPr>
        <w:t>s</w:t>
      </w:r>
      <w:r w:rsidR="00386042" w:rsidRPr="00386042">
        <w:rPr>
          <w:lang w:val="en-US"/>
        </w:rPr>
        <w:t xml:space="preserve"> were paid. </w:t>
      </w:r>
      <w:r w:rsidR="00386042">
        <w:rPr>
          <w:lang w:val="en-US"/>
        </w:rPr>
        <w:t xml:space="preserve">Subsequently, the Executive Committee decided </w:t>
      </w:r>
      <w:r w:rsidR="00386042" w:rsidRPr="00386042">
        <w:rPr>
          <w:i/>
          <w:lang w:val="en-CA"/>
        </w:rPr>
        <w:t>inter alia</w:t>
      </w:r>
      <w:r w:rsidR="00386042">
        <w:rPr>
          <w:i/>
          <w:lang w:val="en-US"/>
        </w:rPr>
        <w:t xml:space="preserve"> </w:t>
      </w:r>
      <w:r w:rsidR="00386042" w:rsidRPr="00386042">
        <w:rPr>
          <w:lang w:val="en-US"/>
        </w:rPr>
        <w:t>n</w:t>
      </w:r>
      <w:r w:rsidRPr="00386042">
        <w:rPr>
          <w:lang w:val="en-US"/>
        </w:rPr>
        <w:t xml:space="preserve">ot to pay any </w:t>
      </w:r>
      <w:r w:rsidR="00386042">
        <w:rPr>
          <w:lang w:val="en-US"/>
        </w:rPr>
        <w:t xml:space="preserve">IOC </w:t>
      </w:r>
      <w:r w:rsidRPr="00386042">
        <w:rPr>
          <w:lang w:val="en-US"/>
        </w:rPr>
        <w:t>that had been approved for the manufacturing enterprises until it had been verified that the enterprises were manufacturing products and/or equipment using the approved technology</w:t>
      </w:r>
      <w:r w:rsidR="00386042">
        <w:rPr>
          <w:lang w:val="en-US"/>
        </w:rPr>
        <w:t xml:space="preserve"> (decision</w:t>
      </w:r>
      <w:r w:rsidR="003B5F68">
        <w:rPr>
          <w:lang w:val="en-US"/>
        </w:rPr>
        <w:t> </w:t>
      </w:r>
      <w:r w:rsidR="00386042">
        <w:rPr>
          <w:lang w:val="en-US"/>
        </w:rPr>
        <w:t>77/35).</w:t>
      </w:r>
    </w:p>
    <w:p w:rsidR="0015775E" w:rsidRPr="0015775E" w:rsidRDefault="0015775E" w:rsidP="0015775E">
      <w:pPr>
        <w:spacing w:after="240"/>
        <w:outlineLvl w:val="0"/>
        <w:rPr>
          <w:i/>
        </w:rPr>
      </w:pPr>
      <w:r w:rsidRPr="00875E15">
        <w:rPr>
          <w:i/>
        </w:rPr>
        <w:t>Technic</w:t>
      </w:r>
      <w:r w:rsidRPr="0015775E">
        <w:rPr>
          <w:i/>
        </w:rPr>
        <w:t xml:space="preserve">al assistance </w:t>
      </w:r>
      <w:r w:rsidR="00101832">
        <w:rPr>
          <w:i/>
        </w:rPr>
        <w:t>activities</w:t>
      </w:r>
    </w:p>
    <w:p w:rsidR="0015775E" w:rsidRPr="00386042" w:rsidRDefault="0015775E" w:rsidP="0015775E">
      <w:pPr>
        <w:numPr>
          <w:ilvl w:val="0"/>
          <w:numId w:val="1"/>
        </w:numPr>
        <w:spacing w:after="240"/>
        <w:outlineLvl w:val="0"/>
      </w:pPr>
      <w:r w:rsidRPr="00386042">
        <w:t>The Executive Committee adopted the project eligibility criteria at its 3</w:t>
      </w:r>
      <w:r w:rsidRPr="00386042">
        <w:rPr>
          <w:vertAlign w:val="superscript"/>
        </w:rPr>
        <w:t>rd</w:t>
      </w:r>
      <w:r w:rsidRPr="00386042">
        <w:t xml:space="preserve"> meeting on the basis of Decision II/8 and Annex I of the Second Meeting of the Parties, indicating that projects other than capital investment projects </w:t>
      </w:r>
      <w:r w:rsidR="00404F88" w:rsidRPr="00386042">
        <w:t xml:space="preserve">would </w:t>
      </w:r>
      <w:r w:rsidRPr="00386042">
        <w:t xml:space="preserve">also qualify for assistance under the Fund, including technical assistance. Since then technical assistance projects have been provided </w:t>
      </w:r>
      <w:r w:rsidR="00404F88" w:rsidRPr="00386042">
        <w:t xml:space="preserve">funds </w:t>
      </w:r>
      <w:r w:rsidRPr="00386042">
        <w:t>in practically all ODS consuming sectors.</w:t>
      </w:r>
    </w:p>
    <w:p w:rsidR="001D71B3" w:rsidRDefault="0015775E" w:rsidP="00B726DF">
      <w:pPr>
        <w:pStyle w:val="Heading1"/>
      </w:pPr>
      <w:r w:rsidRPr="0094349B">
        <w:t xml:space="preserve">In addition to the technical assistance provided through individual projects, investment projects include a component of technical assistance, training and trials which is accounted within the ICC. </w:t>
      </w:r>
      <w:r w:rsidR="001D71B3" w:rsidRPr="0094349B">
        <w:t xml:space="preserve">This technical assistance is intended to support the adoption of the technology by the beneficiary enterprise </w:t>
      </w:r>
      <w:r w:rsidR="001D71B3" w:rsidRPr="0094349B">
        <w:lastRenderedPageBreak/>
        <w:t xml:space="preserve">and its </w:t>
      </w:r>
      <w:r w:rsidRPr="0094349B">
        <w:t xml:space="preserve">value </w:t>
      </w:r>
      <w:r w:rsidR="001D71B3" w:rsidRPr="0094349B">
        <w:t>v</w:t>
      </w:r>
      <w:r w:rsidRPr="0094349B">
        <w:t xml:space="preserve">aries according to the type of project and size of the enterprise. </w:t>
      </w:r>
      <w:r w:rsidR="00386042" w:rsidRPr="0094349B">
        <w:t>P</w:t>
      </w:r>
      <w:r w:rsidRPr="0094349B">
        <w:t>roject</w:t>
      </w:r>
      <w:r w:rsidR="00386042" w:rsidRPr="0094349B">
        <w:t xml:space="preserve"> proposals </w:t>
      </w:r>
      <w:r w:rsidRPr="0094349B">
        <w:t xml:space="preserve">for larger enterprises </w:t>
      </w:r>
      <w:r w:rsidR="00386042" w:rsidRPr="0094349B">
        <w:t xml:space="preserve">include </w:t>
      </w:r>
      <w:r w:rsidRPr="0094349B">
        <w:t xml:space="preserve">specific budget lines for technical assistance, training and trials </w:t>
      </w:r>
      <w:r w:rsidR="00386042" w:rsidRPr="0094349B">
        <w:t xml:space="preserve">at </w:t>
      </w:r>
      <w:r w:rsidRPr="0094349B">
        <w:t>each enterprise, while for smaller enterprises a technical assistance component could be approved to assist severa</w:t>
      </w:r>
      <w:r w:rsidRPr="00386042">
        <w:t xml:space="preserve">l enterprises. </w:t>
      </w:r>
    </w:p>
    <w:p w:rsidR="0015775E" w:rsidRDefault="0015775E" w:rsidP="00B726DF">
      <w:pPr>
        <w:pStyle w:val="Heading1"/>
      </w:pPr>
      <w:r w:rsidRPr="00386042">
        <w:t>In some cases, in addition to the investment projects</w:t>
      </w:r>
      <w:r w:rsidR="00144F03">
        <w:t>,</w:t>
      </w:r>
      <w:r w:rsidRPr="00386042">
        <w:t xml:space="preserve"> a technical assistance component has been approved to support the conversions</w:t>
      </w:r>
      <w:r w:rsidR="00386042">
        <w:t xml:space="preserve"> mainly addressing the entire sector or sub-sector in a country</w:t>
      </w:r>
      <w:r w:rsidRPr="00386042">
        <w:t>, all accounted within the cost-effectiveness. The examples below illustrate the type of activities that have been funded as part of technical assistance in the implementation of HPMPs:</w:t>
      </w:r>
    </w:p>
    <w:p w:rsidR="0015775E" w:rsidRPr="00386042" w:rsidRDefault="0015775E" w:rsidP="004F2C9D">
      <w:pPr>
        <w:pStyle w:val="Heading2"/>
        <w:ind w:left="1418" w:hanging="709"/>
      </w:pPr>
      <w:r w:rsidRPr="00386042">
        <w:t>Stage I of the HPMP for Thailand included technical assistance activities in the PU foam and refrigeration and air-conditioning manufacturing sectors. In the PU foam sector systems houses received technical assistance to develop formulations and facilitate the transition to alternative technologies and to phase out 4.4 ODP tonnes in 53 micro</w:t>
      </w:r>
      <w:r w:rsidR="00B726DF" w:rsidRPr="00386042">
        <w:noBreakHyphen/>
      </w:r>
      <w:r w:rsidRPr="00386042">
        <w:t>enterprises. In the air-conditioning sector technical assistance was provided to address technical and regulatory barriers before HFC-32 air-conditioners could be effectively introduced in Thailand</w:t>
      </w:r>
      <w:r w:rsidR="001D71B3">
        <w:t xml:space="preserve"> (i.e., </w:t>
      </w:r>
      <w:r w:rsidRPr="00386042">
        <w:t xml:space="preserve">revise safety and performance regulation to accommodate introduction of HFC-32 air-conditioning in the </w:t>
      </w:r>
      <w:r w:rsidR="00495C67">
        <w:t xml:space="preserve">local </w:t>
      </w:r>
      <w:r w:rsidRPr="00386042">
        <w:t>market, acquire plant safety know how and establish good practices in installation</w:t>
      </w:r>
      <w:r w:rsidR="001D71B3">
        <w:t>)</w:t>
      </w:r>
      <w:r w:rsidRPr="00386042">
        <w:t xml:space="preserve">. In the refrigeration sector, technical assistance was provided to a compressor manufacturer to develop low-GWP </w:t>
      </w:r>
      <w:r w:rsidR="00495C67">
        <w:t>(</w:t>
      </w:r>
      <w:r w:rsidRPr="00386042">
        <w:t>HC-290 and CO</w:t>
      </w:r>
      <w:r w:rsidRPr="00386042">
        <w:rPr>
          <w:vertAlign w:val="subscript"/>
        </w:rPr>
        <w:t>2</w:t>
      </w:r>
      <w:r w:rsidRPr="00386042">
        <w:t>) compressors for the commercial refrigeration sector. The technical assistance activities related to the refrigeration and air-conditioning sectors led to a reduction in remaining eligible consumption of 10.85 ODP tonnes, based on the assumption that these activities would eventually contribute to the replacement of HCFC</w:t>
      </w:r>
      <w:r w:rsidR="003B5F68">
        <w:noBreakHyphen/>
      </w:r>
      <w:r w:rsidRPr="00386042">
        <w:t xml:space="preserve">22; and </w:t>
      </w:r>
    </w:p>
    <w:p w:rsidR="0015775E" w:rsidRPr="0094349B" w:rsidRDefault="0015775E" w:rsidP="004F2C9D">
      <w:pPr>
        <w:pStyle w:val="Heading2"/>
        <w:ind w:left="1418" w:hanging="709"/>
        <w:rPr>
          <w:lang w:val="en-US"/>
        </w:rPr>
      </w:pPr>
      <w:r w:rsidRPr="00386042">
        <w:t xml:space="preserve">In the case of stage I and </w:t>
      </w:r>
      <w:r w:rsidR="00495C67">
        <w:t xml:space="preserve">stage </w:t>
      </w:r>
      <w:r w:rsidRPr="00386042">
        <w:t>II</w:t>
      </w:r>
      <w:r w:rsidR="00495C67">
        <w:t xml:space="preserve"> of the HPMP for China</w:t>
      </w:r>
      <w:r w:rsidRPr="00386042">
        <w:t>, given the large level of HCFC consumption in all manufacturing sectors, in addition to the individual conversion of enterprises to non</w:t>
      </w:r>
      <w:r w:rsidR="00404F88" w:rsidRPr="00386042">
        <w:noBreakHyphen/>
      </w:r>
      <w:r w:rsidRPr="00386042">
        <w:t>HCFC alternative technologies</w:t>
      </w:r>
      <w:r w:rsidR="00495C67">
        <w:t>,</w:t>
      </w:r>
      <w:r w:rsidRPr="00386042">
        <w:t xml:space="preserve"> each sector plan included technical assistance activities to support the conversion of enterprises and to facilitate the introduction of alternative technologies</w:t>
      </w:r>
      <w:r w:rsidR="003024E0">
        <w:t xml:space="preserve"> in the sectors</w:t>
      </w:r>
      <w:r w:rsidRPr="00386042">
        <w:t>. The technical assistance activities in stage II</w:t>
      </w:r>
      <w:r w:rsidRPr="00386042">
        <w:rPr>
          <w:vertAlign w:val="superscript"/>
        </w:rPr>
        <w:footnoteReference w:id="38"/>
      </w:r>
      <w:r w:rsidRPr="00386042">
        <w:t xml:space="preserve"> included</w:t>
      </w:r>
      <w:r w:rsidR="003024E0">
        <w:t xml:space="preserve"> </w:t>
      </w:r>
      <w:r w:rsidR="003024E0" w:rsidRPr="0094349B">
        <w:rPr>
          <w:i/>
        </w:rPr>
        <w:t>inter alia</w:t>
      </w:r>
      <w:r w:rsidRPr="0094349B">
        <w:t xml:space="preserve"> assistance to systems houses for the development of HC</w:t>
      </w:r>
      <w:r w:rsidR="003B5F68" w:rsidRPr="0094349B">
        <w:noBreakHyphen/>
      </w:r>
      <w:r w:rsidRPr="0094349B">
        <w:t xml:space="preserve">based pre-blended polyols; training on alternative technologies to support the conversion of a large number of SMEs; development of standards on the safe design and operation of PU foam plants using HC; production of a manual on safe production of XPS foam using </w:t>
      </w:r>
      <w:r w:rsidR="00504AD3" w:rsidRPr="0094349B">
        <w:t>CO</w:t>
      </w:r>
      <w:r w:rsidR="00504AD3" w:rsidRPr="0094349B">
        <w:rPr>
          <w:vertAlign w:val="subscript"/>
        </w:rPr>
        <w:t>2</w:t>
      </w:r>
      <w:r w:rsidRPr="0094349B">
        <w:t xml:space="preserve"> technology; technical advice to FECO, local Environmental Protection bureaus and audit agencies in carrying out on-site project and safety verifications; formulation and revision of technical standards and guidelines on XPS foam products; awareness-raising activities to support the transition to alternatives and their market adoption; training to authorities to manage HCFC-141b phase-out in the solvent sector; </w:t>
      </w:r>
      <w:r w:rsidR="003024E0" w:rsidRPr="0094349B">
        <w:t>and a number of research activities in each sector, which will be described in the next section</w:t>
      </w:r>
      <w:r w:rsidRPr="0094349B">
        <w:rPr>
          <w:lang w:val="en-US"/>
        </w:rPr>
        <w:t>.</w:t>
      </w:r>
    </w:p>
    <w:p w:rsidR="00673E5E" w:rsidRPr="00386042" w:rsidRDefault="00673E5E" w:rsidP="00673E5E">
      <w:pPr>
        <w:pStyle w:val="Heading1"/>
        <w:rPr>
          <w:lang w:val="en-US"/>
        </w:rPr>
      </w:pPr>
      <w:r w:rsidRPr="0094349B">
        <w:rPr>
          <w:lang w:val="en-US"/>
        </w:rPr>
        <w:t>Although the funding level for the production sector has to date been determined by plant closure</w:t>
      </w:r>
      <w:r w:rsidR="00144F03" w:rsidRPr="0094349B">
        <w:rPr>
          <w:lang w:val="en-US"/>
        </w:rPr>
        <w:t xml:space="preserve"> (see production sector section below)</w:t>
      </w:r>
      <w:r w:rsidRPr="0094349B">
        <w:rPr>
          <w:lang w:val="en-US"/>
        </w:rPr>
        <w:t xml:space="preserve">, the approval of </w:t>
      </w:r>
      <w:r w:rsidR="00495C67" w:rsidRPr="0094349B">
        <w:rPr>
          <w:lang w:val="en-US"/>
        </w:rPr>
        <w:t xml:space="preserve">the </w:t>
      </w:r>
      <w:r w:rsidRPr="0094349B">
        <w:rPr>
          <w:lang w:val="en-US"/>
        </w:rPr>
        <w:t>HCFC production phase-out management plan (HPPMP) for China ha</w:t>
      </w:r>
      <w:r w:rsidR="001629F4" w:rsidRPr="0094349B">
        <w:rPr>
          <w:lang w:val="en-US"/>
        </w:rPr>
        <w:t>s</w:t>
      </w:r>
      <w:r w:rsidRPr="0094349B">
        <w:rPr>
          <w:lang w:val="en-US"/>
        </w:rPr>
        <w:t xml:space="preserve"> also included funding for technical assistance, comprising costs for monitoring, verification, policy development, coordination</w:t>
      </w:r>
      <w:r w:rsidRPr="00386042">
        <w:rPr>
          <w:lang w:val="en-US"/>
        </w:rPr>
        <w:t xml:space="preserve"> with stakeholders and related government authorities, study on the environment impact of plant closure, research and development of standards for HCFC alternatives; training of officials in monitoring illegal production; establishment of an information management system; and awareness and publicity. During implementation, a research study on HFC</w:t>
      </w:r>
      <w:r w:rsidR="00F52B1A" w:rsidRPr="00386042">
        <w:rPr>
          <w:lang w:val="en-US"/>
        </w:rPr>
        <w:t>-</w:t>
      </w:r>
      <w:r w:rsidRPr="00386042">
        <w:rPr>
          <w:lang w:val="en-US"/>
        </w:rPr>
        <w:t xml:space="preserve">23 conversion/pyrolysis technologies, an investigation on the mechanisms and technical feasibility of </w:t>
      </w:r>
      <w:r w:rsidRPr="00386042">
        <w:rPr>
          <w:lang w:val="en-US"/>
        </w:rPr>
        <w:lastRenderedPageBreak/>
        <w:t>reducing the HFC-23 generation ratio in HCFC-22 production</w:t>
      </w:r>
      <w:r w:rsidR="00D36DDC">
        <w:rPr>
          <w:lang w:val="en-US"/>
        </w:rPr>
        <w:t>,</w:t>
      </w:r>
      <w:r w:rsidRPr="00386042">
        <w:rPr>
          <w:rStyle w:val="FootnoteReference"/>
        </w:rPr>
        <w:footnoteReference w:id="39"/>
      </w:r>
      <w:r w:rsidRPr="00386042">
        <w:rPr>
          <w:lang w:val="en-US"/>
        </w:rPr>
        <w:t xml:space="preserve"> and </w:t>
      </w:r>
      <w:r w:rsidR="00D36DDC">
        <w:rPr>
          <w:lang w:val="en-US"/>
        </w:rPr>
        <w:t xml:space="preserve">a </w:t>
      </w:r>
      <w:r w:rsidRPr="00386042">
        <w:rPr>
          <w:lang w:val="en-US"/>
        </w:rPr>
        <w:t>rese</w:t>
      </w:r>
      <w:r w:rsidR="002B51A0">
        <w:rPr>
          <w:lang w:val="en-US"/>
        </w:rPr>
        <w:t>arch study on production of low-</w:t>
      </w:r>
      <w:r w:rsidRPr="00386042">
        <w:rPr>
          <w:lang w:val="en-US"/>
        </w:rPr>
        <w:t xml:space="preserve">GWP alternatives </w:t>
      </w:r>
      <w:r w:rsidR="00D36DDC">
        <w:rPr>
          <w:lang w:val="en-US"/>
        </w:rPr>
        <w:t xml:space="preserve">was included, </w:t>
      </w:r>
      <w:r w:rsidRPr="00386042">
        <w:rPr>
          <w:lang w:val="en-US"/>
        </w:rPr>
        <w:t>which either could be considered under “technical assistance” or “research and development.”</w:t>
      </w:r>
    </w:p>
    <w:p w:rsidR="0015775E" w:rsidRPr="00386042" w:rsidRDefault="00FA6BDA" w:rsidP="00FA6BDA">
      <w:pPr>
        <w:pStyle w:val="Heading1"/>
        <w:rPr>
          <w:lang w:val="en-US"/>
        </w:rPr>
      </w:pPr>
      <w:r w:rsidRPr="00386042">
        <w:rPr>
          <w:lang w:val="en-US"/>
        </w:rPr>
        <w:t>The indicative list of categories of incremental costs includes</w:t>
      </w:r>
      <w:r w:rsidR="00DD64DB" w:rsidRPr="00386042">
        <w:rPr>
          <w:lang w:val="en-US"/>
        </w:rPr>
        <w:t xml:space="preserve"> for end-users</w:t>
      </w:r>
      <w:r w:rsidRPr="00386042">
        <w:rPr>
          <w:lang w:val="en-US"/>
        </w:rPr>
        <w:t xml:space="preserve"> the “cost of providing technical assistance to reduce consumption and unintended emission of ODS”. </w:t>
      </w:r>
      <w:r w:rsidR="00673E5E" w:rsidRPr="00386042">
        <w:rPr>
          <w:lang w:val="en-US"/>
        </w:rPr>
        <w:t xml:space="preserve">Some of these activities relate to the refrigeration servicing sector. </w:t>
      </w:r>
      <w:r w:rsidR="0015775E" w:rsidRPr="00386042">
        <w:rPr>
          <w:lang w:val="en-US"/>
        </w:rPr>
        <w:t xml:space="preserve">Technical assistance provided to LVC countries with consumption exclusively in the refrigeration servicing sector is accounted for in the funding approved in line with decision 60/44 for stage I and 74/50 for stage II </w:t>
      </w:r>
      <w:r w:rsidR="00386042" w:rsidRPr="00386042">
        <w:rPr>
          <w:lang w:val="en-US"/>
        </w:rPr>
        <w:t>of the HPMPs</w:t>
      </w:r>
      <w:r w:rsidR="0015775E" w:rsidRPr="00386042">
        <w:rPr>
          <w:lang w:val="en-US"/>
        </w:rPr>
        <w:t xml:space="preserve">. The technical assistance activities </w:t>
      </w:r>
      <w:r w:rsidR="001629F4">
        <w:rPr>
          <w:lang w:val="en-US"/>
        </w:rPr>
        <w:t xml:space="preserve">needed </w:t>
      </w:r>
      <w:r w:rsidR="0015775E" w:rsidRPr="00386042">
        <w:rPr>
          <w:lang w:val="en-US"/>
        </w:rPr>
        <w:t>in the refrigeration servicing sector are described below in the servicing sector section.</w:t>
      </w:r>
      <w:r w:rsidR="00381371" w:rsidRPr="00386042">
        <w:rPr>
          <w:lang w:val="en-US"/>
        </w:rPr>
        <w:t xml:space="preserve"> </w:t>
      </w:r>
    </w:p>
    <w:p w:rsidR="000806D8" w:rsidRPr="00877061" w:rsidRDefault="000806D8" w:rsidP="00B726DF">
      <w:pPr>
        <w:pStyle w:val="Heading1"/>
        <w:numPr>
          <w:ilvl w:val="0"/>
          <w:numId w:val="0"/>
        </w:numPr>
      </w:pPr>
      <w:r w:rsidRPr="00877061">
        <w:rPr>
          <w:rFonts w:eastAsiaTheme="minorHAnsi"/>
          <w:i/>
        </w:rPr>
        <w:t>Research and development, when required to adapt and optimize low-GWP or zero-GWP alternatives to HFCs</w:t>
      </w:r>
      <w:r w:rsidRPr="00877061">
        <w:t xml:space="preserve"> </w:t>
      </w:r>
    </w:p>
    <w:p w:rsidR="000806D8" w:rsidRPr="00877061" w:rsidRDefault="000806D8" w:rsidP="000806D8">
      <w:pPr>
        <w:pStyle w:val="Heading1"/>
      </w:pPr>
      <w:r w:rsidRPr="00877061">
        <w:t xml:space="preserve">The indicative list of categories of incremental cost includes the “cost of research and development” (paragraph (b)(v)) and “the cost of research to adapt technology to local circumstances” (paragraph (a)(i) and (iii)). In addition, when considering laboratory and analytical uses of ODS, at their </w:t>
      </w:r>
      <w:r w:rsidR="00877061">
        <w:t xml:space="preserve">Seventh </w:t>
      </w:r>
      <w:r w:rsidR="000A3DF8" w:rsidRPr="00877061">
        <w:t>M</w:t>
      </w:r>
      <w:r w:rsidRPr="00877061">
        <w:t xml:space="preserve">eeting </w:t>
      </w:r>
      <w:r w:rsidR="00877061">
        <w:t xml:space="preserve">(December 1995), the Parties </w:t>
      </w:r>
      <w:r w:rsidRPr="00877061">
        <w:t>urge</w:t>
      </w:r>
      <w:r w:rsidR="00877061">
        <w:t>d</w:t>
      </w:r>
      <w:r w:rsidRPr="00877061">
        <w:t xml:space="preserve"> </w:t>
      </w:r>
      <w:r w:rsidR="00877061">
        <w:t xml:space="preserve">non-Article 5 </w:t>
      </w:r>
      <w:r w:rsidRPr="00877061">
        <w:t xml:space="preserve">Parties to provide funding within their countries and on a bilateral basis for </w:t>
      </w:r>
      <w:r w:rsidR="00877061">
        <w:t xml:space="preserve">Article </w:t>
      </w:r>
      <w:r w:rsidRPr="00877061">
        <w:t>Parties to undertake research and development and activities aimed at ODS alternatives for laboratory and analytical uses (</w:t>
      </w:r>
      <w:r w:rsidR="00877061">
        <w:t>d</w:t>
      </w:r>
      <w:r w:rsidRPr="00877061">
        <w:t>ecision VII/11).</w:t>
      </w:r>
    </w:p>
    <w:p w:rsidR="00186DFB" w:rsidRDefault="00622958" w:rsidP="000806D8">
      <w:pPr>
        <w:pStyle w:val="Heading1"/>
      </w:pPr>
      <w:r>
        <w:t>At the 8</w:t>
      </w:r>
      <w:r w:rsidRPr="00622958">
        <w:rPr>
          <w:vertAlign w:val="superscript"/>
        </w:rPr>
        <w:t>th</w:t>
      </w:r>
      <w:r>
        <w:t xml:space="preserve"> meeting</w:t>
      </w:r>
      <w:r w:rsidR="00B53F7B">
        <w:t xml:space="preserve"> (October 1992)</w:t>
      </w:r>
      <w:r>
        <w:t xml:space="preserve">, </w:t>
      </w:r>
      <w:r w:rsidR="000806D8" w:rsidRPr="00877061">
        <w:t>the Executive Committee decided that proposals regarding research and development on substitutes, and equipment production facilities for recycling and destruction can be considered on a case-by-case basis provided that the costs incurred are of an incremental nature (</w:t>
      </w:r>
      <w:r>
        <w:t xml:space="preserve">paragraph 108 of document </w:t>
      </w:r>
      <w:r w:rsidR="000806D8" w:rsidRPr="00877061">
        <w:t>UNEP/OzL.Pro/ExCom/8/29)</w:t>
      </w:r>
      <w:r w:rsidR="00186DFB">
        <w:t>.</w:t>
      </w:r>
    </w:p>
    <w:p w:rsidR="000806D8" w:rsidRPr="00877061" w:rsidRDefault="000806D8" w:rsidP="000806D8">
      <w:pPr>
        <w:pStyle w:val="Heading1"/>
      </w:pPr>
      <w:r w:rsidRPr="00877061">
        <w:t xml:space="preserve">In line with the indicative list of categories of incremental cost, the Executive Committee has funded research and development, usually as part of technical assistance. Indeed, the Secretariat notes that in many cases it is difficult to distinguish between activities that have traditionally been considered under “technical assistance” versus those that are “research and development.” For example, technical assistance to </w:t>
      </w:r>
      <w:r w:rsidR="001629F4" w:rsidRPr="0094349B">
        <w:t xml:space="preserve">optimise and </w:t>
      </w:r>
      <w:r w:rsidRPr="0094349B">
        <w:t xml:space="preserve">adapt formulations in the </w:t>
      </w:r>
      <w:r w:rsidR="002F3305" w:rsidRPr="0094349B">
        <w:t xml:space="preserve">aerosol (including </w:t>
      </w:r>
      <w:r w:rsidR="00503066" w:rsidRPr="0094349B">
        <w:t>MDIs</w:t>
      </w:r>
      <w:r w:rsidR="00C077CC" w:rsidRPr="0094349B">
        <w:t>)</w:t>
      </w:r>
      <w:r w:rsidR="00503066" w:rsidRPr="0094349B">
        <w:t xml:space="preserve"> </w:t>
      </w:r>
      <w:r w:rsidR="002F3305" w:rsidRPr="0094349B">
        <w:t xml:space="preserve">and the </w:t>
      </w:r>
      <w:r w:rsidRPr="0094349B">
        <w:t>foam sector</w:t>
      </w:r>
      <w:r w:rsidR="002F3305" w:rsidRPr="0094349B">
        <w:t>s</w:t>
      </w:r>
      <w:r w:rsidRPr="0094349B">
        <w:t xml:space="preserve"> is a form of research and development</w:t>
      </w:r>
      <w:r w:rsidRPr="00877061">
        <w:t xml:space="preserve">. Similarly, conversions </w:t>
      </w:r>
      <w:r w:rsidR="002F3305">
        <w:t xml:space="preserve">of compressor manufacturers to alternative technologies and conversion of (domestic and commercial) refrigeration and air </w:t>
      </w:r>
      <w:r w:rsidRPr="00877061">
        <w:t>room air-conditioning manufacturing enterprises to flammable alternatives have included funding for prototype manufacturing, trials and testing</w:t>
      </w:r>
      <w:r w:rsidR="002F3305">
        <w:t xml:space="preserve">, </w:t>
      </w:r>
      <w:r w:rsidRPr="00877061">
        <w:t xml:space="preserve">and system, component and process redesign. </w:t>
      </w:r>
    </w:p>
    <w:p w:rsidR="00F13046" w:rsidRPr="0094349B" w:rsidRDefault="00F13046" w:rsidP="00F13046">
      <w:pPr>
        <w:pStyle w:val="Heading1"/>
      </w:pPr>
      <w:r w:rsidRPr="0094349B">
        <w:t>During the phase-out of CFCs, the alternative technologies used in Article 5 countries largely followed the technology route adopted in non-Article 5 countries, so there were limited research and development projects funded in Article 5 countries. During the phase-out of HCFCs, low</w:t>
      </w:r>
      <w:r w:rsidR="003B5F68" w:rsidRPr="0094349B">
        <w:t>-</w:t>
      </w:r>
      <w:r w:rsidRPr="0094349B">
        <w:t>GWP alternative technologies that provided ozone and climate benefits in a</w:t>
      </w:r>
      <w:r w:rsidR="003B5F68" w:rsidRPr="0094349B">
        <w:t>ccordance with decision XIX/6 we</w:t>
      </w:r>
      <w:r w:rsidRPr="0094349B">
        <w:t xml:space="preserve">re considered during the approval of HPMPs even in cases where such technologies had not been extensively used in non-Article 5 countries. For example, some of the early conversions in Article 5 countries in the room air-conditioners sector to HC-290 technology included research and development to validate and optimize the technology. </w:t>
      </w:r>
    </w:p>
    <w:p w:rsidR="000806D8" w:rsidRPr="0094349B" w:rsidRDefault="00F13046" w:rsidP="000806D8">
      <w:pPr>
        <w:pStyle w:val="Heading1"/>
      </w:pPr>
      <w:r w:rsidRPr="0094349B">
        <w:t>S</w:t>
      </w:r>
      <w:r w:rsidR="000806D8" w:rsidRPr="0094349B">
        <w:t xml:space="preserve">tage I </w:t>
      </w:r>
      <w:r w:rsidR="002F3305" w:rsidRPr="0094349B">
        <w:t xml:space="preserve">of the </w:t>
      </w:r>
      <w:r w:rsidR="000806D8" w:rsidRPr="0094349B">
        <w:t xml:space="preserve">HPMP </w:t>
      </w:r>
      <w:r w:rsidR="002F3305" w:rsidRPr="0094349B">
        <w:t xml:space="preserve">for </w:t>
      </w:r>
      <w:r w:rsidR="000806D8" w:rsidRPr="0094349B">
        <w:t>China included</w:t>
      </w:r>
      <w:r w:rsidR="002F3305" w:rsidRPr="0094349B">
        <w:t>, for example,</w:t>
      </w:r>
      <w:r w:rsidR="000806D8" w:rsidRPr="0094349B">
        <w:t xml:space="preserve"> research on optimization of CO</w:t>
      </w:r>
      <w:r w:rsidR="000806D8" w:rsidRPr="0094349B">
        <w:rPr>
          <w:vertAlign w:val="subscript"/>
        </w:rPr>
        <w:t>2</w:t>
      </w:r>
      <w:r w:rsidR="000806D8" w:rsidRPr="0094349B">
        <w:t xml:space="preserve"> and ethanol technology in the XPS foam sector (including on the use of carbonate nucleation agents in the production of XPS foam; testing of secondary expansion foaming and horizontal vacuum foaming; and tests on alternative flame retardants); research on low-GWP alternatives in the PU foam sector to assess the effectiveness of implementation of the foam conversions and the availability of raw materials in the market); research to promote low-GWP alternatives in the room air</w:t>
      </w:r>
      <w:r w:rsidR="000806D8" w:rsidRPr="0094349B">
        <w:noBreakHyphen/>
        <w:t xml:space="preserve">conditioning sector including </w:t>
      </w:r>
      <w:r w:rsidR="000806D8" w:rsidRPr="0094349B">
        <w:lastRenderedPageBreak/>
        <w:t>experiments and risk assessment on leakage of HC-290 based on concentration, location and distribution of HC-290 leaked from an air-condition</w:t>
      </w:r>
      <w:r w:rsidR="00DA65A5" w:rsidRPr="0094349B">
        <w:t>er</w:t>
      </w:r>
      <w:r w:rsidR="000806D8" w:rsidRPr="0094349B">
        <w:t xml:space="preserve"> in a room with furniture; combustion characteristics of indoor and outdoor units; effectiveness of risk mitigation with safety measures; performance optimization of HC</w:t>
      </w:r>
      <w:r w:rsidR="00487BAE" w:rsidRPr="0094349B">
        <w:noBreakHyphen/>
      </w:r>
      <w:r w:rsidR="000806D8" w:rsidRPr="0094349B">
        <w:t>290 compressor based on reduced lubricant use; charge reduction through the use of microchannel technology; and research on R-161 refrigerant in larger capacity RAC, compressor and accessories development, and safety-related issue</w:t>
      </w:r>
      <w:r w:rsidR="00DC0D3E" w:rsidRPr="0094349B">
        <w:t>,</w:t>
      </w:r>
      <w:r w:rsidR="000806D8" w:rsidRPr="0094349B">
        <w:t xml:space="preserve"> and on existing efficiency codes and standards on refrigerant uses</w:t>
      </w:r>
      <w:r w:rsidR="00DC0D3E" w:rsidRPr="0094349B">
        <w:t xml:space="preserve">. </w:t>
      </w:r>
    </w:p>
    <w:p w:rsidR="00DC0D3E" w:rsidRPr="0094349B" w:rsidRDefault="000806D8" w:rsidP="00DC0D3E">
      <w:pPr>
        <w:pStyle w:val="Heading1"/>
      </w:pPr>
      <w:r w:rsidRPr="00877061">
        <w:t xml:space="preserve">Stage II of the HPMP of China similarly included a variety of research activities including </w:t>
      </w:r>
      <w:r w:rsidRPr="0094349B">
        <w:t>continued research and development of technical and safety standards related to flammable alternatives; technology research and development in product design and new requirements for components when using alternatives; research to improve product performance to meet standards; research and assessment of alternative technologies; development of application technologies (e.g. natural refrigerants in high</w:t>
      </w:r>
      <w:r w:rsidR="000A3DF8" w:rsidRPr="0094349B">
        <w:t xml:space="preserve"> </w:t>
      </w:r>
      <w:r w:rsidRPr="0094349B">
        <w:t xml:space="preserve">ambient temperatures, research on product reliability, energy efficiency, and performance); tests and studies to support potential revision of international standards; and research to improve application and efficiency of alternatives, develop guidelines for and promote the safe use of the alternatives. </w:t>
      </w:r>
    </w:p>
    <w:p w:rsidR="000806D8" w:rsidRPr="0094349B" w:rsidRDefault="000806D8" w:rsidP="000806D8">
      <w:pPr>
        <w:pStyle w:val="Heading1"/>
      </w:pPr>
      <w:r w:rsidRPr="00877061">
        <w:t>The Executive Committee has also funded demonstration projects on low-GWP alternatives to HCFC, which by nature are research and development projects.</w:t>
      </w:r>
      <w:r w:rsidR="00EF65EE">
        <w:rPr>
          <w:rStyle w:val="FootnoteReference"/>
        </w:rPr>
        <w:footnoteReference w:id="40"/>
      </w:r>
      <w:r w:rsidRPr="00877061">
        <w:t xml:space="preserve"> </w:t>
      </w:r>
      <w:r w:rsidRPr="0094349B">
        <w:t>One issue the Executive Committee has considered in relation to research and development is the ownership of intellectual property that may result from projects funded by the Multilateral Fund</w:t>
      </w:r>
      <w:r w:rsidR="00111B8C" w:rsidRPr="0094349B">
        <w:t>.</w:t>
      </w:r>
    </w:p>
    <w:p w:rsidR="00F244FB" w:rsidRPr="00EF65EE" w:rsidRDefault="00C87DB7" w:rsidP="003B5F68">
      <w:pPr>
        <w:pStyle w:val="Heading1"/>
        <w:keepNext/>
        <w:numPr>
          <w:ilvl w:val="0"/>
          <w:numId w:val="0"/>
        </w:numPr>
        <w:rPr>
          <w:rFonts w:eastAsiaTheme="minorHAnsi"/>
          <w:i/>
        </w:rPr>
      </w:pPr>
      <w:r w:rsidRPr="00EF65EE">
        <w:rPr>
          <w:rFonts w:eastAsiaTheme="minorHAnsi"/>
          <w:i/>
        </w:rPr>
        <w:t xml:space="preserve">Costs of patents and designs, and incremental costs of royalties, when necessary and cost-effective </w:t>
      </w:r>
    </w:p>
    <w:p w:rsidR="002A7680" w:rsidRPr="00EF65EE" w:rsidRDefault="00C90A62" w:rsidP="003B5F68">
      <w:pPr>
        <w:pStyle w:val="Heading1"/>
        <w:keepNext/>
        <w:rPr>
          <w:rFonts w:eastAsiaTheme="minorHAnsi"/>
        </w:rPr>
      </w:pPr>
      <w:r w:rsidRPr="00EF65EE">
        <w:rPr>
          <w:rFonts w:eastAsiaTheme="minorHAnsi"/>
        </w:rPr>
        <w:t xml:space="preserve">The indicative list of categories of incremental cost includes the </w:t>
      </w:r>
      <w:r w:rsidR="00FA6BDA" w:rsidRPr="00EF65EE">
        <w:rPr>
          <w:rFonts w:eastAsiaTheme="minorHAnsi"/>
        </w:rPr>
        <w:t>“cost of patents and designs and incremental cost of royalties” as part of the cost of conversion of existing production facilities (paragraph (a)(i)) and the use in manufacturing as an intermediate good (paragraph (b)(i))</w:t>
      </w:r>
      <w:r w:rsidR="009821AD" w:rsidRPr="00EF65EE">
        <w:rPr>
          <w:rFonts w:eastAsiaTheme="minorHAnsi"/>
        </w:rPr>
        <w:t xml:space="preserve">. </w:t>
      </w:r>
      <w:r w:rsidR="00CE793D" w:rsidRPr="00EF65EE">
        <w:rPr>
          <w:rFonts w:eastAsiaTheme="minorHAnsi"/>
        </w:rPr>
        <w:t>The costs of pa</w:t>
      </w:r>
      <w:r w:rsidR="002A7680" w:rsidRPr="00EF65EE">
        <w:rPr>
          <w:rFonts w:eastAsiaTheme="minorHAnsi"/>
        </w:rPr>
        <w:t xml:space="preserve">tents </w:t>
      </w:r>
      <w:r w:rsidR="00CE793D" w:rsidRPr="00EF65EE">
        <w:rPr>
          <w:rFonts w:eastAsiaTheme="minorHAnsi"/>
        </w:rPr>
        <w:t>are also considered i</w:t>
      </w:r>
      <w:r w:rsidR="002A7680" w:rsidRPr="00EF65EE">
        <w:rPr>
          <w:rFonts w:eastAsiaTheme="minorHAnsi"/>
        </w:rPr>
        <w:t xml:space="preserve">n several sector guidelines (i.e., </w:t>
      </w:r>
      <w:r w:rsidR="00CA0CE2">
        <w:rPr>
          <w:rFonts w:eastAsiaTheme="minorHAnsi"/>
        </w:rPr>
        <w:t xml:space="preserve">LCD </w:t>
      </w:r>
      <w:r w:rsidR="002A7680" w:rsidRPr="00EF65EE">
        <w:rPr>
          <w:rFonts w:eastAsiaTheme="minorHAnsi"/>
        </w:rPr>
        <w:t xml:space="preserve">systems as an alternative to CFC-11 in the manufacturing of PU foam sector, dry ice technology as an alternative of CFC-11 in tobacco expansion, </w:t>
      </w:r>
      <w:r w:rsidR="00CE793D" w:rsidRPr="00EF65EE">
        <w:rPr>
          <w:rFonts w:eastAsiaTheme="minorHAnsi"/>
        </w:rPr>
        <w:t xml:space="preserve">use of HFC-134a formulations as an alternative of </w:t>
      </w:r>
      <w:r w:rsidR="002A7680" w:rsidRPr="00EF65EE">
        <w:rPr>
          <w:rFonts w:eastAsiaTheme="minorHAnsi"/>
        </w:rPr>
        <w:t xml:space="preserve">CFCs in the manufacturing of </w:t>
      </w:r>
      <w:r w:rsidR="00503066">
        <w:rPr>
          <w:rFonts w:eastAsiaTheme="minorHAnsi"/>
        </w:rPr>
        <w:t>MDIs</w:t>
      </w:r>
      <w:r w:rsidR="002A7680" w:rsidRPr="00EF65EE">
        <w:rPr>
          <w:rFonts w:eastAsiaTheme="minorHAnsi"/>
        </w:rPr>
        <w:t xml:space="preserve">). </w:t>
      </w:r>
    </w:p>
    <w:p w:rsidR="00D926FE" w:rsidRPr="00EF65EE" w:rsidRDefault="00CE793D" w:rsidP="00D926FE">
      <w:pPr>
        <w:pStyle w:val="Heading1"/>
        <w:rPr>
          <w:rFonts w:eastAsiaTheme="minorHAnsi"/>
        </w:rPr>
      </w:pPr>
      <w:r w:rsidRPr="00EF65EE">
        <w:rPr>
          <w:rFonts w:eastAsiaTheme="minorHAnsi"/>
        </w:rPr>
        <w:t xml:space="preserve">The costs of </w:t>
      </w:r>
      <w:r w:rsidR="002A7680" w:rsidRPr="00EF65EE">
        <w:rPr>
          <w:rFonts w:eastAsiaTheme="minorHAnsi"/>
        </w:rPr>
        <w:t>patents or royalties ha</w:t>
      </w:r>
      <w:r w:rsidRPr="00EF65EE">
        <w:rPr>
          <w:rFonts w:eastAsiaTheme="minorHAnsi"/>
        </w:rPr>
        <w:t>ve</w:t>
      </w:r>
      <w:r w:rsidR="002A7680" w:rsidRPr="00EF65EE">
        <w:rPr>
          <w:rFonts w:eastAsiaTheme="minorHAnsi"/>
        </w:rPr>
        <w:t xml:space="preserve"> been explicitly paid by the Multilateral Fund</w:t>
      </w:r>
      <w:r w:rsidR="00D926FE" w:rsidRPr="00EF65EE">
        <w:rPr>
          <w:rFonts w:eastAsiaTheme="minorHAnsi"/>
        </w:rPr>
        <w:t xml:space="preserve"> in </w:t>
      </w:r>
      <w:r w:rsidRPr="00EF65EE">
        <w:rPr>
          <w:rFonts w:eastAsiaTheme="minorHAnsi"/>
        </w:rPr>
        <w:t xml:space="preserve">only few projects in the </w:t>
      </w:r>
      <w:r w:rsidR="00D926FE" w:rsidRPr="00EF65EE">
        <w:rPr>
          <w:rFonts w:eastAsiaTheme="minorHAnsi"/>
        </w:rPr>
        <w:t>consumption sector</w:t>
      </w:r>
      <w:r w:rsidR="002A7680" w:rsidRPr="00EF65EE">
        <w:rPr>
          <w:rFonts w:eastAsiaTheme="minorHAnsi"/>
        </w:rPr>
        <w:t>.</w:t>
      </w:r>
      <w:r w:rsidR="00381371" w:rsidRPr="00EF65EE">
        <w:rPr>
          <w:rFonts w:eastAsiaTheme="minorHAnsi"/>
        </w:rPr>
        <w:t xml:space="preserve"> </w:t>
      </w:r>
      <w:r w:rsidR="00C87DB7" w:rsidRPr="00EF65EE">
        <w:rPr>
          <w:rFonts w:eastAsiaTheme="minorHAnsi"/>
        </w:rPr>
        <w:t xml:space="preserve">In </w:t>
      </w:r>
      <w:r w:rsidR="009B26F2" w:rsidRPr="00EF65EE">
        <w:rPr>
          <w:rFonts w:eastAsiaTheme="minorHAnsi"/>
        </w:rPr>
        <w:t>such</w:t>
      </w:r>
      <w:r w:rsidR="00C87DB7" w:rsidRPr="00EF65EE">
        <w:rPr>
          <w:rFonts w:eastAsiaTheme="minorHAnsi"/>
        </w:rPr>
        <w:t xml:space="preserve"> cases, the level of funds paid </w:t>
      </w:r>
      <w:r w:rsidR="009B26F2" w:rsidRPr="00EF65EE">
        <w:rPr>
          <w:rFonts w:eastAsiaTheme="minorHAnsi"/>
        </w:rPr>
        <w:t>for</w:t>
      </w:r>
      <w:r w:rsidR="00C87DB7" w:rsidRPr="00EF65EE">
        <w:rPr>
          <w:rFonts w:eastAsiaTheme="minorHAnsi"/>
        </w:rPr>
        <w:t xml:space="preserve"> technology transfer or licenses has been negotiated with the suppliers and approved by the Executive Committee in </w:t>
      </w:r>
      <w:r w:rsidRPr="00EF65EE">
        <w:rPr>
          <w:rFonts w:eastAsiaTheme="minorHAnsi"/>
        </w:rPr>
        <w:t>line with existing cost-effectiveness thresholds,</w:t>
      </w:r>
      <w:r w:rsidR="00C87DB7" w:rsidRPr="00EF65EE">
        <w:rPr>
          <w:rFonts w:eastAsiaTheme="minorHAnsi"/>
        </w:rPr>
        <w:t xml:space="preserve"> whe</w:t>
      </w:r>
      <w:r w:rsidRPr="00EF65EE">
        <w:rPr>
          <w:rFonts w:eastAsiaTheme="minorHAnsi"/>
        </w:rPr>
        <w:t>n</w:t>
      </w:r>
      <w:r w:rsidR="00C87DB7" w:rsidRPr="00EF65EE">
        <w:rPr>
          <w:rFonts w:eastAsiaTheme="minorHAnsi"/>
        </w:rPr>
        <w:t xml:space="preserve"> applicable.</w:t>
      </w:r>
      <w:r w:rsidR="00381371" w:rsidRPr="00EF65EE">
        <w:rPr>
          <w:rFonts w:eastAsiaTheme="minorHAnsi"/>
        </w:rPr>
        <w:t xml:space="preserve"> </w:t>
      </w:r>
      <w:r w:rsidR="00C87DB7" w:rsidRPr="00EF65EE">
        <w:rPr>
          <w:rFonts w:eastAsiaTheme="minorHAnsi"/>
        </w:rPr>
        <w:t>In the production sector</w:t>
      </w:r>
      <w:r w:rsidRPr="00EF65EE">
        <w:rPr>
          <w:rFonts w:eastAsiaTheme="minorHAnsi"/>
        </w:rPr>
        <w:t>,</w:t>
      </w:r>
      <w:r w:rsidR="00C87DB7" w:rsidRPr="00EF65EE">
        <w:rPr>
          <w:rFonts w:eastAsiaTheme="minorHAnsi"/>
        </w:rPr>
        <w:t xml:space="preserve"> as projects have focused on </w:t>
      </w:r>
      <w:r w:rsidRPr="00EF65EE">
        <w:rPr>
          <w:rFonts w:eastAsiaTheme="minorHAnsi"/>
        </w:rPr>
        <w:t xml:space="preserve">the closure of </w:t>
      </w:r>
      <w:r w:rsidR="00C87DB7" w:rsidRPr="00EF65EE">
        <w:rPr>
          <w:rFonts w:eastAsiaTheme="minorHAnsi"/>
        </w:rPr>
        <w:t xml:space="preserve">production </w:t>
      </w:r>
      <w:r w:rsidRPr="00EF65EE">
        <w:rPr>
          <w:rFonts w:eastAsiaTheme="minorHAnsi"/>
        </w:rPr>
        <w:t xml:space="preserve">lines, the </w:t>
      </w:r>
      <w:r w:rsidR="00C87DB7" w:rsidRPr="00EF65EE">
        <w:rPr>
          <w:rFonts w:eastAsiaTheme="minorHAnsi"/>
        </w:rPr>
        <w:t>cost</w:t>
      </w:r>
      <w:r w:rsidRPr="00EF65EE">
        <w:rPr>
          <w:rFonts w:eastAsiaTheme="minorHAnsi"/>
        </w:rPr>
        <w:t>s covered by the Fund have</w:t>
      </w:r>
      <w:r w:rsidR="00C87DB7" w:rsidRPr="00EF65EE">
        <w:rPr>
          <w:rFonts w:eastAsiaTheme="minorHAnsi"/>
        </w:rPr>
        <w:t xml:space="preserve"> been </w:t>
      </w:r>
      <w:r w:rsidRPr="00EF65EE">
        <w:rPr>
          <w:rFonts w:eastAsiaTheme="minorHAnsi"/>
        </w:rPr>
        <w:t xml:space="preserve">mostly </w:t>
      </w:r>
      <w:r w:rsidR="00C87DB7" w:rsidRPr="00EF65EE">
        <w:rPr>
          <w:rFonts w:eastAsiaTheme="minorHAnsi"/>
        </w:rPr>
        <w:t xml:space="preserve">associated with lost revenue of these facilities rather than </w:t>
      </w:r>
      <w:r w:rsidRPr="00EF65EE">
        <w:rPr>
          <w:rFonts w:eastAsiaTheme="minorHAnsi"/>
        </w:rPr>
        <w:t>with</w:t>
      </w:r>
      <w:r w:rsidR="00C87DB7" w:rsidRPr="00EF65EE">
        <w:rPr>
          <w:rFonts w:eastAsiaTheme="minorHAnsi"/>
        </w:rPr>
        <w:t xml:space="preserve"> the </w:t>
      </w:r>
      <w:r w:rsidRPr="00EF65EE">
        <w:rPr>
          <w:rFonts w:eastAsiaTheme="minorHAnsi"/>
        </w:rPr>
        <w:t>costs of p</w:t>
      </w:r>
      <w:r w:rsidR="00C87DB7" w:rsidRPr="00EF65EE">
        <w:rPr>
          <w:rFonts w:eastAsiaTheme="minorHAnsi"/>
        </w:rPr>
        <w:t>atents.</w:t>
      </w:r>
      <w:r w:rsidR="00381371" w:rsidRPr="00EF65EE">
        <w:rPr>
          <w:rFonts w:eastAsiaTheme="minorHAnsi"/>
        </w:rPr>
        <w:t xml:space="preserve"> </w:t>
      </w:r>
    </w:p>
    <w:p w:rsidR="00FA6BDA" w:rsidRPr="00EF65EE" w:rsidRDefault="00CE793D" w:rsidP="00FA6BDA">
      <w:pPr>
        <w:pStyle w:val="Heading1"/>
        <w:rPr>
          <w:rFonts w:eastAsiaTheme="minorHAnsi"/>
        </w:rPr>
      </w:pPr>
      <w:r w:rsidRPr="00EF65EE">
        <w:rPr>
          <w:rFonts w:eastAsiaTheme="minorHAnsi"/>
        </w:rPr>
        <w:t>The cases where the</w:t>
      </w:r>
      <w:r w:rsidR="00D926FE" w:rsidRPr="00EF65EE">
        <w:rPr>
          <w:rFonts w:eastAsiaTheme="minorHAnsi"/>
        </w:rPr>
        <w:t xml:space="preserve"> cost of patents or royalties</w:t>
      </w:r>
      <w:r w:rsidRPr="00EF65EE">
        <w:rPr>
          <w:rFonts w:eastAsiaTheme="minorHAnsi"/>
        </w:rPr>
        <w:t xml:space="preserve"> have been</w:t>
      </w:r>
      <w:r w:rsidR="009B26F2" w:rsidRPr="00EF65EE">
        <w:rPr>
          <w:rFonts w:eastAsiaTheme="minorHAnsi"/>
        </w:rPr>
        <w:t xml:space="preserve"> explicitly</w:t>
      </w:r>
      <w:r w:rsidRPr="00EF65EE">
        <w:rPr>
          <w:rFonts w:eastAsiaTheme="minorHAnsi"/>
        </w:rPr>
        <w:t xml:space="preserve"> paid by the Multilateral Fund are</w:t>
      </w:r>
      <w:r w:rsidR="00D926FE" w:rsidRPr="00EF65EE">
        <w:rPr>
          <w:rFonts w:eastAsiaTheme="minorHAnsi"/>
        </w:rPr>
        <w:t xml:space="preserve">: </w:t>
      </w:r>
      <w:r w:rsidR="000A3DF8" w:rsidRPr="00EF65EE">
        <w:rPr>
          <w:rFonts w:eastAsiaTheme="minorHAnsi"/>
        </w:rPr>
        <w:t>t</w:t>
      </w:r>
      <w:r w:rsidR="00B536A4" w:rsidRPr="00EF65EE">
        <w:rPr>
          <w:rFonts w:eastAsiaTheme="minorHAnsi"/>
        </w:rPr>
        <w:t>wo refrigerator manufacturer conversions in Thailand where technology transfer fees were paid to Sanyo Japan and KKC for new CFC-free refrigerator designs and for new technology developed for HFC</w:t>
      </w:r>
      <w:r w:rsidR="003B5F68">
        <w:rPr>
          <w:rFonts w:eastAsiaTheme="minorHAnsi"/>
        </w:rPr>
        <w:noBreakHyphen/>
      </w:r>
      <w:r w:rsidR="00B536A4" w:rsidRPr="00EF65EE">
        <w:rPr>
          <w:rFonts w:eastAsiaTheme="minorHAnsi"/>
        </w:rPr>
        <w:t>134a compressors; a chlorinated rubber manufacturing</w:t>
      </w:r>
      <w:r w:rsidR="00E544E7" w:rsidRPr="00EF65EE">
        <w:rPr>
          <w:rFonts w:eastAsiaTheme="minorHAnsi"/>
        </w:rPr>
        <w:t xml:space="preserve"> process in India c</w:t>
      </w:r>
      <w:r w:rsidR="00B536A4" w:rsidRPr="00EF65EE">
        <w:rPr>
          <w:rFonts w:eastAsiaTheme="minorHAnsi"/>
        </w:rPr>
        <w:t>onverted from carbon tetrachloride to aqueous-based systems where a technology transfer was paid to the enterprise owning the patent for the process</w:t>
      </w:r>
      <w:r w:rsidR="00D926FE" w:rsidRPr="00EF65EE">
        <w:rPr>
          <w:rFonts w:eastAsiaTheme="minorHAnsi"/>
        </w:rPr>
        <w:t>;</w:t>
      </w:r>
      <w:r w:rsidR="00B536A4" w:rsidRPr="00EF65EE">
        <w:rPr>
          <w:rFonts w:eastAsiaTheme="minorHAnsi"/>
        </w:rPr>
        <w:t xml:space="preserve"> tobacco expansion projects in </w:t>
      </w:r>
      <w:r w:rsidR="00503066" w:rsidRPr="00EF65EE">
        <w:rPr>
          <w:rFonts w:eastAsiaTheme="minorHAnsi"/>
        </w:rPr>
        <w:t>China</w:t>
      </w:r>
      <w:r w:rsidR="00503066">
        <w:rPr>
          <w:rFonts w:eastAsiaTheme="minorHAnsi"/>
        </w:rPr>
        <w:t>,</w:t>
      </w:r>
      <w:r w:rsidR="00503066" w:rsidRPr="00EF65EE">
        <w:rPr>
          <w:rFonts w:eastAsiaTheme="minorHAnsi"/>
        </w:rPr>
        <w:t xml:space="preserve"> </w:t>
      </w:r>
      <w:r w:rsidR="00E544E7" w:rsidRPr="00EF65EE">
        <w:rPr>
          <w:rFonts w:eastAsiaTheme="minorHAnsi"/>
        </w:rPr>
        <w:t xml:space="preserve">Indonesia </w:t>
      </w:r>
      <w:r w:rsidR="00503066">
        <w:rPr>
          <w:rFonts w:eastAsiaTheme="minorHAnsi"/>
        </w:rPr>
        <w:t xml:space="preserve">and </w:t>
      </w:r>
      <w:r w:rsidR="00503066" w:rsidRPr="00EF65EE">
        <w:rPr>
          <w:rFonts w:eastAsiaTheme="minorHAnsi"/>
        </w:rPr>
        <w:t>Philippines</w:t>
      </w:r>
      <w:r w:rsidR="00E544E7" w:rsidRPr="00EF65EE">
        <w:rPr>
          <w:rFonts w:eastAsiaTheme="minorHAnsi"/>
        </w:rPr>
        <w:t xml:space="preserve">, where royalties were paid to the patent holder of dried ice expanded tobacco process used instead of CFC-11; </w:t>
      </w:r>
      <w:r w:rsidR="00E93EA6" w:rsidRPr="00EF65EE">
        <w:rPr>
          <w:rFonts w:eastAsiaTheme="minorHAnsi"/>
        </w:rPr>
        <w:t>the demonstration project of supercritical CO</w:t>
      </w:r>
      <w:r w:rsidR="00E93EA6" w:rsidRPr="00EF65EE">
        <w:rPr>
          <w:rFonts w:eastAsiaTheme="minorHAnsi"/>
          <w:vertAlign w:val="subscript"/>
        </w:rPr>
        <w:t>2</w:t>
      </w:r>
      <w:r w:rsidR="00E93EA6" w:rsidRPr="00EF65EE">
        <w:rPr>
          <w:rFonts w:eastAsiaTheme="minorHAnsi"/>
        </w:rPr>
        <w:t xml:space="preserve"> in spray foam in Colombia, where a technology transfer fee was paid to the patent holder</w:t>
      </w:r>
      <w:r w:rsidR="00503066">
        <w:rPr>
          <w:rFonts w:eastAsiaTheme="minorHAnsi"/>
        </w:rPr>
        <w:t>;</w:t>
      </w:r>
      <w:r w:rsidR="00E93EA6" w:rsidRPr="00EF65EE">
        <w:rPr>
          <w:rFonts w:eastAsiaTheme="minorHAnsi"/>
        </w:rPr>
        <w:t xml:space="preserve"> projects to replace the use of CFC-11 by </w:t>
      </w:r>
      <w:r w:rsidR="00503066">
        <w:rPr>
          <w:rFonts w:eastAsiaTheme="minorHAnsi"/>
        </w:rPr>
        <w:t xml:space="preserve">LCD </w:t>
      </w:r>
      <w:r w:rsidR="00E93EA6" w:rsidRPr="00EF65EE">
        <w:rPr>
          <w:rFonts w:eastAsiaTheme="minorHAnsi"/>
        </w:rPr>
        <w:t xml:space="preserve">technology in flexible PU </w:t>
      </w:r>
      <w:proofErr w:type="spellStart"/>
      <w:r w:rsidR="00E93EA6" w:rsidRPr="00EF65EE">
        <w:rPr>
          <w:rFonts w:eastAsiaTheme="minorHAnsi"/>
        </w:rPr>
        <w:t>slabstock</w:t>
      </w:r>
      <w:proofErr w:type="spellEnd"/>
      <w:r w:rsidR="00E93EA6" w:rsidRPr="00EF65EE">
        <w:rPr>
          <w:rFonts w:eastAsiaTheme="minorHAnsi"/>
        </w:rPr>
        <w:t xml:space="preserve"> foam in several countries, which included a licensing fee per machine; and the projects to replace the use of CFCs by HFC-134a in the manufacturing of MDIs in several countries, which included payment of a technology transfer fee </w:t>
      </w:r>
      <w:r w:rsidR="00CE1E3C" w:rsidRPr="00EF65EE">
        <w:rPr>
          <w:rFonts w:eastAsiaTheme="minorHAnsi"/>
        </w:rPr>
        <w:t xml:space="preserve">to pharmaceutical or components enterprises </w:t>
      </w:r>
      <w:r w:rsidR="0089132C" w:rsidRPr="00EF65EE">
        <w:rPr>
          <w:rFonts w:eastAsiaTheme="minorHAnsi"/>
        </w:rPr>
        <w:t xml:space="preserve">developing </w:t>
      </w:r>
      <w:r w:rsidR="00CE1E3C" w:rsidRPr="00EF65EE">
        <w:rPr>
          <w:rFonts w:eastAsiaTheme="minorHAnsi"/>
        </w:rPr>
        <w:t xml:space="preserve">the product formulations and </w:t>
      </w:r>
      <w:r w:rsidR="00A4747D" w:rsidRPr="00EF65EE">
        <w:rPr>
          <w:rFonts w:eastAsiaTheme="minorHAnsi"/>
        </w:rPr>
        <w:t>providing technical expertise</w:t>
      </w:r>
      <w:r w:rsidR="007E7681" w:rsidRPr="00EF65EE">
        <w:rPr>
          <w:rFonts w:eastAsiaTheme="minorHAnsi"/>
        </w:rPr>
        <w:t xml:space="preserve"> in</w:t>
      </w:r>
      <w:r w:rsidR="00CE1E3C" w:rsidRPr="00EF65EE">
        <w:rPr>
          <w:rFonts w:eastAsiaTheme="minorHAnsi"/>
        </w:rPr>
        <w:t xml:space="preserve"> the conversions.</w:t>
      </w:r>
    </w:p>
    <w:p w:rsidR="00FE16F3" w:rsidRPr="00EF65EE" w:rsidRDefault="00FE16F3" w:rsidP="00FE16F3">
      <w:pPr>
        <w:pStyle w:val="Heading1"/>
        <w:rPr>
          <w:rFonts w:eastAsiaTheme="minorHAnsi"/>
        </w:rPr>
      </w:pPr>
      <w:r w:rsidRPr="00EF65EE">
        <w:rPr>
          <w:rFonts w:eastAsiaTheme="minorHAnsi"/>
        </w:rPr>
        <w:lastRenderedPageBreak/>
        <w:t xml:space="preserve">Although the number of cases where the cost of patents explicitly paid is low, the costs of patents have also been covered by the Multilateral Fund indirectly as it can be embedded in other category of costs, for example the price of equipment paid under the ICC to convert manufacturing enterprises, the price of PU foam systems and ODS alternatives paid as part of the IOCs of conversion projects, or technical assistance costs. </w:t>
      </w:r>
    </w:p>
    <w:p w:rsidR="00FE16F3" w:rsidRPr="00AF4291" w:rsidRDefault="00FE16F3" w:rsidP="00FE16F3">
      <w:pPr>
        <w:pStyle w:val="Heading1"/>
      </w:pPr>
      <w:r w:rsidRPr="00AF4291">
        <w:rPr>
          <w:rFonts w:eastAsiaTheme="minorHAnsi"/>
        </w:rPr>
        <w:t>The issue of patents and royalties has been discussed by the Parties during their consideration of the Kigali Amendment. Several studies, including by the Ozone Secretariat</w:t>
      </w:r>
      <w:r w:rsidRPr="00AF4291">
        <w:rPr>
          <w:rFonts w:eastAsiaTheme="minorHAnsi"/>
          <w:vertAlign w:val="superscript"/>
        </w:rPr>
        <w:footnoteReference w:id="41"/>
      </w:r>
      <w:r w:rsidRPr="00AF4291">
        <w:rPr>
          <w:rFonts w:eastAsiaTheme="minorHAnsi"/>
        </w:rPr>
        <w:t xml:space="preserve"> and by the </w:t>
      </w:r>
      <w:proofErr w:type="spellStart"/>
      <w:r w:rsidRPr="00AF4291">
        <w:rPr>
          <w:rFonts w:eastAsiaTheme="minorHAnsi"/>
        </w:rPr>
        <w:t>Center</w:t>
      </w:r>
      <w:proofErr w:type="spellEnd"/>
      <w:r w:rsidRPr="00AF4291">
        <w:rPr>
          <w:rFonts w:eastAsiaTheme="minorHAnsi"/>
        </w:rPr>
        <w:t xml:space="preserve"> for Climate and Energy Solutions</w:t>
      </w:r>
      <w:r w:rsidR="00AF4291">
        <w:rPr>
          <w:rFonts w:eastAsiaTheme="minorHAnsi"/>
        </w:rPr>
        <w:t>,</w:t>
      </w:r>
      <w:r w:rsidRPr="00AF4291">
        <w:rPr>
          <w:rFonts w:eastAsiaTheme="minorHAnsi"/>
          <w:vertAlign w:val="superscript"/>
        </w:rPr>
        <w:footnoteReference w:id="42"/>
      </w:r>
      <w:r w:rsidRPr="00AF4291">
        <w:rPr>
          <w:rFonts w:eastAsiaTheme="minorHAnsi"/>
        </w:rPr>
        <w:t xml:space="preserve"> present an analysis of the costs of patents under the Multilateral Fund. Those studies appear to suggest that, given the Fund’s focus on using the most cost-effective options to favour proven technologies and the time lag before Article 5 countries are required to make reductions, patents may have expired before the relevant technologies are transferred. In other cases, the Fund has not incurred such costs because the technology being introduced is in the public domain, whether because it is not patented, the patents have not been filed in the country where </w:t>
      </w:r>
      <w:r w:rsidR="002B51A0" w:rsidRPr="00AF4291">
        <w:rPr>
          <w:rFonts w:eastAsiaTheme="minorHAnsi"/>
        </w:rPr>
        <w:t>the patented technology is used</w:t>
      </w:r>
      <w:r w:rsidRPr="00AF4291">
        <w:rPr>
          <w:rFonts w:eastAsiaTheme="minorHAnsi"/>
        </w:rPr>
        <w:t>, or the technology owner have made the technology available without charge for public use.</w:t>
      </w:r>
    </w:p>
    <w:p w:rsidR="00CE7BB3" w:rsidRDefault="00CE7BB3" w:rsidP="0091601E">
      <w:pPr>
        <w:pStyle w:val="Heading1"/>
        <w:numPr>
          <w:ilvl w:val="0"/>
          <w:numId w:val="0"/>
        </w:numPr>
      </w:pPr>
      <w:r w:rsidRPr="0091601E">
        <w:rPr>
          <w:rFonts w:eastAsiaTheme="minorHAnsi"/>
          <w:i/>
        </w:rPr>
        <w:t>Costs of the safe introduction of flammable and toxic alternatives</w:t>
      </w:r>
    </w:p>
    <w:p w:rsidR="00CE7BB3" w:rsidRPr="004B1792" w:rsidRDefault="00CE7BB3" w:rsidP="00845381">
      <w:pPr>
        <w:pStyle w:val="Heading1"/>
      </w:pPr>
      <w:r w:rsidRPr="004B1792">
        <w:t>Before the acceleration of the HCFC phase</w:t>
      </w:r>
      <w:r w:rsidR="00AB19F9">
        <w:t>-</w:t>
      </w:r>
      <w:r w:rsidRPr="004B1792">
        <w:t xml:space="preserve">out the Executive Committee had already </w:t>
      </w:r>
      <w:r>
        <w:t xml:space="preserve">agreed </w:t>
      </w:r>
      <w:r w:rsidR="000A1A68">
        <w:t>to</w:t>
      </w:r>
      <w:r w:rsidR="000A1A68" w:rsidRPr="004B1792">
        <w:t xml:space="preserve"> </w:t>
      </w:r>
      <w:r>
        <w:t xml:space="preserve">several </w:t>
      </w:r>
      <w:r w:rsidRPr="004B1792">
        <w:t xml:space="preserve">decisions </w:t>
      </w:r>
      <w:r>
        <w:t>on th</w:t>
      </w:r>
      <w:r w:rsidRPr="004B1792">
        <w:t>e introduction of flammable alternatives, specifically HCs. At its 16</w:t>
      </w:r>
      <w:r w:rsidRPr="004B1792">
        <w:rPr>
          <w:vertAlign w:val="superscript"/>
        </w:rPr>
        <w:t>th</w:t>
      </w:r>
      <w:r w:rsidRPr="004B1792">
        <w:t xml:space="preserve"> meeting</w:t>
      </w:r>
      <w:r w:rsidR="00D155C0">
        <w:t xml:space="preserve"> (March 1995)</w:t>
      </w:r>
      <w:r w:rsidRPr="004B1792">
        <w:t xml:space="preserve">, the Executive Committee recognized that in some domestic refrigeration projects using HC technologies there were significant costs related to the provision of safety equipment and agreed that in calculating the cost-effectiveness of such projects, the safety-related costs should be identified and deducted from the total project cost before the </w:t>
      </w:r>
      <w:r w:rsidR="001629F4" w:rsidRPr="004B1792">
        <w:t>calculations</w:t>
      </w:r>
      <w:r w:rsidR="001629F4">
        <w:t xml:space="preserve"> on the project’s</w:t>
      </w:r>
      <w:r w:rsidR="001629F4" w:rsidRPr="004B1792">
        <w:t xml:space="preserve"> </w:t>
      </w:r>
      <w:r w:rsidRPr="004B1792">
        <w:t>cost-effectiveness are made. These costs would, however, be considered in determining the level of project costs and funding</w:t>
      </w:r>
      <w:r w:rsidR="00845381">
        <w:t xml:space="preserve"> (paragraph 32 of document </w:t>
      </w:r>
      <w:r w:rsidR="00845381" w:rsidRPr="00845381">
        <w:t>UNEP/OzL.Pro/ExCom/16/20</w:t>
      </w:r>
      <w:r w:rsidR="00845381">
        <w:t>)</w:t>
      </w:r>
      <w:r w:rsidR="00845381" w:rsidRPr="00845381">
        <w:t>.</w:t>
      </w:r>
    </w:p>
    <w:p w:rsidR="00CE7BB3" w:rsidRPr="004B1792" w:rsidRDefault="00CE7BB3" w:rsidP="00845381">
      <w:pPr>
        <w:pStyle w:val="Heading1"/>
      </w:pPr>
      <w:r w:rsidRPr="004B1792">
        <w:t>At its 17</w:t>
      </w:r>
      <w:r w:rsidRPr="004B1792">
        <w:rPr>
          <w:vertAlign w:val="superscript"/>
        </w:rPr>
        <w:t>th</w:t>
      </w:r>
      <w:r w:rsidRPr="004B1792">
        <w:t xml:space="preserve"> meeting</w:t>
      </w:r>
      <w:r w:rsidR="00D155C0">
        <w:t xml:space="preserve"> (July 1995)</w:t>
      </w:r>
      <w:r w:rsidRPr="004B1792">
        <w:t xml:space="preserve">, the Executive Committee, recognizing the higher cost of HC technologies, primarily due to safety factors, and desiring to ensure an equality between technology options consistent with that decision, decided </w:t>
      </w:r>
      <w:r w:rsidRPr="004B1792">
        <w:rPr>
          <w:i/>
        </w:rPr>
        <w:t>inter alia</w:t>
      </w:r>
      <w:r w:rsidRPr="004B1792">
        <w:t xml:space="preserve"> that for the purposes of calculating the cost</w:t>
      </w:r>
      <w:r w:rsidR="003B5F68">
        <w:noBreakHyphen/>
      </w:r>
      <w:r w:rsidRPr="004B1792">
        <w:t>effectiveness value of projects utilizing such technologies, the numerator should be discounted by up to 35 per cent. It was expected that these figures would be adjusted in the light of experience and a study on safety matters to be conducted by the Secretariat</w:t>
      </w:r>
      <w:r w:rsidR="00845381">
        <w:t xml:space="preserve"> (d</w:t>
      </w:r>
      <w:r w:rsidR="00845381" w:rsidRPr="00845381">
        <w:t>ecision 17/14</w:t>
      </w:r>
      <w:r w:rsidR="00845381">
        <w:t>).</w:t>
      </w:r>
    </w:p>
    <w:p w:rsidR="00CE7BB3" w:rsidRPr="00AF4291" w:rsidRDefault="00CE7BB3" w:rsidP="00845381">
      <w:pPr>
        <w:pStyle w:val="Heading1"/>
        <w:rPr>
          <w:lang w:val="en-US"/>
        </w:rPr>
      </w:pPr>
      <w:r w:rsidRPr="00AF4291">
        <w:t>At its 20</w:t>
      </w:r>
      <w:r w:rsidRPr="00AF4291">
        <w:rPr>
          <w:vertAlign w:val="superscript"/>
        </w:rPr>
        <w:t>th</w:t>
      </w:r>
      <w:r w:rsidRPr="00AF4291">
        <w:t xml:space="preserve"> meeting </w:t>
      </w:r>
      <w:r w:rsidR="00986A5E" w:rsidRPr="00AF4291">
        <w:t xml:space="preserve">(October 1996), </w:t>
      </w:r>
      <w:r w:rsidRPr="00AF4291">
        <w:t>the Executive Committee decided</w:t>
      </w:r>
      <w:r w:rsidR="00986A5E" w:rsidRPr="00AF4291">
        <w:t xml:space="preserve"> </w:t>
      </w:r>
      <w:r w:rsidR="00986A5E" w:rsidRPr="00AF4291">
        <w:rPr>
          <w:i/>
          <w:lang w:val="en-CA"/>
        </w:rPr>
        <w:t>inter alia</w:t>
      </w:r>
      <w:r w:rsidR="00986A5E" w:rsidRPr="00AF4291">
        <w:rPr>
          <w:i/>
        </w:rPr>
        <w:t xml:space="preserve"> </w:t>
      </w:r>
      <w:r w:rsidR="00986A5E" w:rsidRPr="00AF4291">
        <w:t>w</w:t>
      </w:r>
      <w:r w:rsidRPr="00AF4291">
        <w:t>ith regard to domestic refrigeration projects</w:t>
      </w:r>
      <w:r w:rsidR="00986A5E" w:rsidRPr="00AF4291">
        <w:t xml:space="preserve"> that t</w:t>
      </w:r>
      <w:r w:rsidRPr="00AF4291">
        <w:t>here was an increase in both the capital and total cost per unit for all</w:t>
      </w:r>
      <w:r w:rsidR="003B5F68" w:rsidRPr="00AF4291">
        <w:noBreakHyphen/>
      </w:r>
      <w:r w:rsidR="00986A5E" w:rsidRPr="00AF4291">
        <w:t xml:space="preserve"> </w:t>
      </w:r>
      <w:r w:rsidR="00F678AA" w:rsidRPr="00AF4291">
        <w:t>HC</w:t>
      </w:r>
      <w:r w:rsidR="00986A5E" w:rsidRPr="00AF4291">
        <w:t xml:space="preserve"> </w:t>
      </w:r>
      <w:r w:rsidRPr="00AF4291">
        <w:t>technologies compared to HCFC/HFC-based technologies</w:t>
      </w:r>
      <w:r w:rsidR="00986A5E" w:rsidRPr="00AF4291">
        <w:t xml:space="preserve"> (t</w:t>
      </w:r>
      <w:r w:rsidRPr="00AF4291">
        <w:t>he increase in capital plus operating costs ranged between 15.6 per cent to 55.1 per cent for different categories of projects</w:t>
      </w:r>
      <w:r w:rsidR="00986A5E" w:rsidRPr="00AF4291">
        <w:t>)</w:t>
      </w:r>
      <w:r w:rsidRPr="00AF4291">
        <w:t xml:space="preserve">; </w:t>
      </w:r>
      <w:r w:rsidR="00845381" w:rsidRPr="00AF4291">
        <w:t xml:space="preserve">and </w:t>
      </w:r>
      <w:r w:rsidR="00986A5E" w:rsidRPr="00AF4291">
        <w:t>d</w:t>
      </w:r>
      <w:r w:rsidRPr="00AF4291">
        <w:t xml:space="preserve">iscounting </w:t>
      </w:r>
      <w:r w:rsidRPr="00AF4291">
        <w:lastRenderedPageBreak/>
        <w:t xml:space="preserve">the numerator by 35 per cent was sufficient to maintain parity between HCFC-141b/HFC-134a and </w:t>
      </w:r>
      <w:proofErr w:type="spellStart"/>
      <w:r w:rsidRPr="00AF4291">
        <w:t>cyclopentane</w:t>
      </w:r>
      <w:proofErr w:type="spellEnd"/>
      <w:r w:rsidRPr="00AF4291">
        <w:t>/HFC-134a technology options in the domestic refrigeration sector</w:t>
      </w:r>
      <w:r w:rsidR="00845381" w:rsidRPr="00AF4291">
        <w:t xml:space="preserve">. </w:t>
      </w:r>
      <w:r w:rsidRPr="00AF4291">
        <w:t>With regard to the commercial refrigeration</w:t>
      </w:r>
      <w:r w:rsidR="005F6388" w:rsidRPr="00AF4291">
        <w:t xml:space="preserve"> and other PU foam </w:t>
      </w:r>
      <w:r w:rsidRPr="00AF4291">
        <w:t>projects there was no need for the introduction of a discounting factor to account for the additional safety costs needed for</w:t>
      </w:r>
      <w:r w:rsidR="00381371" w:rsidRPr="00AF4291">
        <w:t xml:space="preserve"> </w:t>
      </w:r>
      <w:r w:rsidRPr="00AF4291">
        <w:t>technology because</w:t>
      </w:r>
      <w:r w:rsidR="00A04922" w:rsidRPr="00AF4291">
        <w:t>,</w:t>
      </w:r>
      <w:r w:rsidRPr="00AF4291">
        <w:t xml:space="preserve"> on average, </w:t>
      </w:r>
      <w:r w:rsidRPr="00AF4291">
        <w:rPr>
          <w:lang w:val="en-US"/>
        </w:rPr>
        <w:t>projects using HC technology were already below the cost-effectiveness threshold for the sector, and thus would not be disadvantaged for consideration for funding</w:t>
      </w:r>
      <w:r w:rsidR="00845381" w:rsidRPr="00AF4291">
        <w:rPr>
          <w:lang w:val="en-US"/>
        </w:rPr>
        <w:t xml:space="preserve"> (decision 20/45)</w:t>
      </w:r>
      <w:r w:rsidRPr="00AF4291">
        <w:rPr>
          <w:lang w:val="en-US"/>
        </w:rPr>
        <w:t>.</w:t>
      </w:r>
    </w:p>
    <w:p w:rsidR="00CE7BB3" w:rsidRPr="004B1792" w:rsidRDefault="00CE7BB3" w:rsidP="00845381">
      <w:pPr>
        <w:pStyle w:val="Heading1"/>
      </w:pPr>
      <w:r w:rsidRPr="004B1792">
        <w:t>At its 23</w:t>
      </w:r>
      <w:r w:rsidRPr="004B1792">
        <w:rPr>
          <w:vertAlign w:val="superscript"/>
        </w:rPr>
        <w:t>rd</w:t>
      </w:r>
      <w:r w:rsidRPr="004B1792">
        <w:t xml:space="preserve"> meeting</w:t>
      </w:r>
      <w:r w:rsidR="00845381">
        <w:t xml:space="preserve"> (November 1997),</w:t>
      </w:r>
      <w:r w:rsidRPr="004B1792">
        <w:t xml:space="preserve"> the Executive Committee decided </w:t>
      </w:r>
      <w:r w:rsidR="00845381" w:rsidRPr="00845381">
        <w:rPr>
          <w:i/>
          <w:lang w:val="en-CA"/>
        </w:rPr>
        <w:t>inter alia</w:t>
      </w:r>
      <w:r w:rsidR="00845381">
        <w:rPr>
          <w:i/>
        </w:rPr>
        <w:t xml:space="preserve"> </w:t>
      </w:r>
      <w:r w:rsidRPr="004B1792">
        <w:t>that safety standards should follow international standards, where these are higher than standards in the country concerned</w:t>
      </w:r>
      <w:r w:rsidR="00845381">
        <w:t xml:space="preserve"> (t</w:t>
      </w:r>
      <w:r w:rsidRPr="004B1792">
        <w:t>he practical application of established standards should be based on industry norms and practice in European countries; and projects should be prepared and reviewed on the basis of this principle</w:t>
      </w:r>
      <w:r w:rsidR="00A04922">
        <w:t>)</w:t>
      </w:r>
      <w:r w:rsidR="00845381">
        <w:t xml:space="preserve"> (d</w:t>
      </w:r>
      <w:r w:rsidR="00845381" w:rsidRPr="00845381">
        <w:t>ecision 23/18</w:t>
      </w:r>
      <w:r w:rsidR="00845381">
        <w:t>)</w:t>
      </w:r>
      <w:r>
        <w:t>.</w:t>
      </w:r>
    </w:p>
    <w:p w:rsidR="00CE7BB3" w:rsidRPr="004B1792" w:rsidRDefault="00CE7BB3" w:rsidP="00CE7BB3">
      <w:pPr>
        <w:pStyle w:val="Heading1"/>
      </w:pPr>
      <w:r>
        <w:t>At its 25</w:t>
      </w:r>
      <w:r w:rsidRPr="000B216C">
        <w:rPr>
          <w:vertAlign w:val="superscript"/>
        </w:rPr>
        <w:t>th</w:t>
      </w:r>
      <w:r>
        <w:t xml:space="preserve"> meeting</w:t>
      </w:r>
      <w:r w:rsidR="00845381">
        <w:t xml:space="preserve"> (July 1998)</w:t>
      </w:r>
      <w:r>
        <w:t>, t</w:t>
      </w:r>
      <w:r w:rsidRPr="004B1792">
        <w:t xml:space="preserve">he Executive Committee decided to approve </w:t>
      </w:r>
      <w:r>
        <w:t>a</w:t>
      </w:r>
      <w:r w:rsidR="00FD1CD6">
        <w:t>n</w:t>
      </w:r>
      <w:r>
        <w:t xml:space="preserve"> </w:t>
      </w:r>
      <w:r w:rsidRPr="004B1792">
        <w:t>HC Safety</w:t>
      </w:r>
      <w:r w:rsidR="00A04922">
        <w:t xml:space="preserve"> Cost Study</w:t>
      </w:r>
      <w:r w:rsidR="00845381">
        <w:rPr>
          <w:rStyle w:val="FootnoteReference"/>
        </w:rPr>
        <w:footnoteReference w:id="43"/>
      </w:r>
      <w:r w:rsidRPr="004B1792">
        <w:t xml:space="preserve"> </w:t>
      </w:r>
      <w:r>
        <w:t xml:space="preserve">submitted by the Secretariat </w:t>
      </w:r>
      <w:r w:rsidRPr="004B1792">
        <w:t>to be used as guidance for the implementing agencies, for enterprises in Article 5 countries in the preparation of investment projects and for the Secretariat in reviewing the submitted projects</w:t>
      </w:r>
      <w:r w:rsidR="004B40E7">
        <w:rPr>
          <w:rStyle w:val="FootnoteReference"/>
        </w:rPr>
        <w:t xml:space="preserve"> </w:t>
      </w:r>
      <w:r w:rsidR="004B40E7">
        <w:t>(decision 25/47)</w:t>
      </w:r>
      <w:r w:rsidRPr="004B1792">
        <w:t>.</w:t>
      </w:r>
      <w:r w:rsidR="004B40E7">
        <w:t xml:space="preserve"> </w:t>
      </w:r>
    </w:p>
    <w:p w:rsidR="00CE7BB3" w:rsidRDefault="00CE7BB3" w:rsidP="00D64B72">
      <w:pPr>
        <w:pStyle w:val="Heading1"/>
      </w:pPr>
      <w:r>
        <w:t xml:space="preserve">During the HCFC phase-out, the provision in decision </w:t>
      </w:r>
      <w:r w:rsidRPr="00124404">
        <w:t>60/44(f)(iv)</w:t>
      </w:r>
      <w:r>
        <w:t xml:space="preserve"> that f</w:t>
      </w:r>
      <w:r w:rsidRPr="00124404">
        <w:t>unding of up to a maximum of 25 per cent above the thresholds is provided when low-GWP alternative technologies are introduced</w:t>
      </w:r>
      <w:r>
        <w:t xml:space="preserve"> has been used primarily to help the </w:t>
      </w:r>
      <w:r w:rsidR="007934BB">
        <w:t>use</w:t>
      </w:r>
      <w:r>
        <w:t xml:space="preserve"> of HCs in medium-sized enterprises, noting that the provision refers to all low-GWP alternatives. This provi</w:t>
      </w:r>
      <w:r w:rsidR="00B726DF">
        <w:t>sion was maintained in decision </w:t>
      </w:r>
      <w:r>
        <w:t xml:space="preserve">74/50(c)(iii) for stage II HPMPs. In addition, in decision 74/50(c)(iii) the Executive Committee provided a further incentive to encourage the transition to low-GWP alternatives by providing for a maximum of </w:t>
      </w:r>
      <w:r w:rsidRPr="00124404">
        <w:t>up to 40 per cent above the cost-effectiveness threshold when low</w:t>
      </w:r>
      <w:r>
        <w:noBreakHyphen/>
      </w:r>
      <w:r w:rsidRPr="00124404">
        <w:t xml:space="preserve">GWP alternative technologies are introduced by SMEs in the foam sector with consumption of less than 20 </w:t>
      </w:r>
      <w:proofErr w:type="spellStart"/>
      <w:r w:rsidR="00B13243">
        <w:t>mt</w:t>
      </w:r>
      <w:r>
        <w:t>.</w:t>
      </w:r>
      <w:proofErr w:type="spellEnd"/>
      <w:r>
        <w:t xml:space="preserve"> </w:t>
      </w:r>
      <w:r w:rsidR="00AB3C73" w:rsidRPr="00AB3C73">
        <w:t xml:space="preserve">Based on the stage II </w:t>
      </w:r>
      <w:r w:rsidR="004B40E7">
        <w:t xml:space="preserve">of </w:t>
      </w:r>
      <w:r w:rsidR="00AB3C73" w:rsidRPr="00AB3C73">
        <w:t>HPMPs reviewed,</w:t>
      </w:r>
      <w:r w:rsidR="00AB3C73">
        <w:t xml:space="preserve"> PU foam SMEs have used this provision for the introduction of high</w:t>
      </w:r>
      <w:r w:rsidR="00A04922">
        <w:t>-</w:t>
      </w:r>
      <w:r w:rsidR="00AB3C73">
        <w:t xml:space="preserve">cost non-flammable alternatives (i.e., HFOs) rather than to cover safety costs related to flammable blowing agents, which are generally used only by larger enterprises. </w:t>
      </w:r>
    </w:p>
    <w:p w:rsidR="00A11BFF" w:rsidRPr="008F7254" w:rsidRDefault="00C70CA6" w:rsidP="008F7254">
      <w:pPr>
        <w:pStyle w:val="Normalpool"/>
        <w:keepNext/>
        <w:tabs>
          <w:tab w:val="clear" w:pos="1247"/>
          <w:tab w:val="clear" w:pos="1814"/>
          <w:tab w:val="clear" w:pos="2381"/>
          <w:tab w:val="clear" w:pos="2948"/>
          <w:tab w:val="clear" w:pos="3515"/>
          <w:tab w:val="clear" w:pos="4082"/>
        </w:tabs>
        <w:rPr>
          <w:rFonts w:eastAsiaTheme="minorHAnsi"/>
          <w:sz w:val="22"/>
          <w:szCs w:val="22"/>
          <w:u w:val="single"/>
          <w:lang w:val="en-GB"/>
        </w:rPr>
      </w:pPr>
      <w:r w:rsidRPr="008F7254">
        <w:rPr>
          <w:rFonts w:eastAsiaTheme="minorHAnsi"/>
          <w:sz w:val="22"/>
          <w:szCs w:val="22"/>
          <w:u w:val="single"/>
          <w:lang w:val="en-GB"/>
        </w:rPr>
        <w:t>Production sector</w:t>
      </w:r>
    </w:p>
    <w:p w:rsidR="00CA694E" w:rsidRPr="008F7254" w:rsidRDefault="00CA694E" w:rsidP="008F7254">
      <w:pPr>
        <w:pStyle w:val="Normalpool"/>
        <w:keepNext/>
        <w:tabs>
          <w:tab w:val="clear" w:pos="1247"/>
          <w:tab w:val="clear" w:pos="1814"/>
          <w:tab w:val="clear" w:pos="2381"/>
          <w:tab w:val="clear" w:pos="2948"/>
          <w:tab w:val="clear" w:pos="3515"/>
          <w:tab w:val="clear" w:pos="4082"/>
        </w:tabs>
        <w:rPr>
          <w:rFonts w:eastAsiaTheme="minorHAnsi"/>
          <w:sz w:val="22"/>
          <w:szCs w:val="22"/>
          <w:u w:val="single"/>
          <w:lang w:val="en-GB"/>
        </w:rPr>
      </w:pPr>
    </w:p>
    <w:p w:rsidR="00A11BFF" w:rsidRPr="008F7254" w:rsidRDefault="00E442D7" w:rsidP="003C6B29">
      <w:pPr>
        <w:keepNext/>
        <w:spacing w:after="240"/>
        <w:outlineLvl w:val="0"/>
        <w:rPr>
          <w:rFonts w:eastAsiaTheme="minorEastAsia"/>
          <w:i/>
          <w:lang w:val="en-US" w:eastAsia="zh-CN"/>
        </w:rPr>
      </w:pPr>
      <w:r w:rsidRPr="008F7254">
        <w:rPr>
          <w:u w:val="single"/>
        </w:rPr>
        <w:t>Paragraph 15(b), decision XXVIII/2</w:t>
      </w:r>
      <w:r w:rsidRPr="008F7254">
        <w:t xml:space="preserve">: </w:t>
      </w:r>
      <w:r w:rsidR="00A11BFF" w:rsidRPr="008F7254">
        <w:rPr>
          <w:rFonts w:eastAsiaTheme="minorEastAsia"/>
          <w:i/>
          <w:lang w:val="en-CA" w:eastAsia="zh-CN"/>
        </w:rPr>
        <w:t>“</w:t>
      </w:r>
      <w:r w:rsidR="00AB19F9">
        <w:rPr>
          <w:rFonts w:eastAsiaTheme="minorEastAsia"/>
          <w:i/>
          <w:lang w:val="en-CA" w:eastAsia="zh-CN"/>
        </w:rPr>
        <w:t>For the production sector:</w:t>
      </w:r>
    </w:p>
    <w:p w:rsidR="00A11BFF" w:rsidRPr="008F7254" w:rsidRDefault="00A11BFF" w:rsidP="004B40E7">
      <w:pPr>
        <w:widowControl w:val="0"/>
        <w:numPr>
          <w:ilvl w:val="2"/>
          <w:numId w:val="1"/>
        </w:numPr>
        <w:tabs>
          <w:tab w:val="clear" w:pos="2955"/>
          <w:tab w:val="num" w:pos="0"/>
        </w:tabs>
        <w:spacing w:after="240"/>
        <w:ind w:left="1440"/>
        <w:outlineLvl w:val="2"/>
        <w:rPr>
          <w:rFonts w:eastAsiaTheme="minorEastAsia"/>
          <w:i/>
          <w:lang w:val="en-US" w:eastAsia="zh-CN"/>
        </w:rPr>
      </w:pPr>
      <w:r w:rsidRPr="008F7254">
        <w:rPr>
          <w:rFonts w:eastAsiaTheme="minorEastAsia"/>
          <w:i/>
          <w:lang w:eastAsia="zh-CN"/>
        </w:rPr>
        <w:t>Lost profit due to the shutdown/closure of production facilities as well as production reduction;</w:t>
      </w:r>
    </w:p>
    <w:p w:rsidR="00A11BFF" w:rsidRPr="008F7254" w:rsidRDefault="00A11BFF" w:rsidP="004B40E7">
      <w:pPr>
        <w:widowControl w:val="0"/>
        <w:numPr>
          <w:ilvl w:val="2"/>
          <w:numId w:val="1"/>
        </w:numPr>
        <w:tabs>
          <w:tab w:val="clear" w:pos="2955"/>
          <w:tab w:val="num" w:pos="0"/>
        </w:tabs>
        <w:spacing w:after="240"/>
        <w:ind w:left="1440"/>
        <w:outlineLvl w:val="2"/>
        <w:rPr>
          <w:rFonts w:eastAsiaTheme="minorEastAsia"/>
          <w:i/>
          <w:lang w:eastAsia="zh-CN"/>
        </w:rPr>
      </w:pPr>
      <w:r w:rsidRPr="008F7254">
        <w:rPr>
          <w:rFonts w:eastAsiaTheme="minorEastAsia"/>
          <w:i/>
          <w:lang w:eastAsia="zh-CN"/>
        </w:rPr>
        <w:t>Compensation to displaced workers;</w:t>
      </w:r>
    </w:p>
    <w:p w:rsidR="00A11BFF" w:rsidRPr="008F7254" w:rsidRDefault="00A11BFF" w:rsidP="004B40E7">
      <w:pPr>
        <w:widowControl w:val="0"/>
        <w:numPr>
          <w:ilvl w:val="2"/>
          <w:numId w:val="1"/>
        </w:numPr>
        <w:tabs>
          <w:tab w:val="clear" w:pos="2955"/>
          <w:tab w:val="num" w:pos="0"/>
        </w:tabs>
        <w:spacing w:after="240"/>
        <w:ind w:left="1440"/>
        <w:outlineLvl w:val="2"/>
        <w:rPr>
          <w:rFonts w:eastAsiaTheme="minorEastAsia"/>
          <w:i/>
          <w:lang w:eastAsia="zh-CN"/>
        </w:rPr>
      </w:pPr>
      <w:r w:rsidRPr="008F7254">
        <w:rPr>
          <w:rFonts w:eastAsiaTheme="minorEastAsia"/>
          <w:i/>
          <w:lang w:eastAsia="zh-CN"/>
        </w:rPr>
        <w:t>Dismantling of production facilities;</w:t>
      </w:r>
    </w:p>
    <w:p w:rsidR="00A11BFF" w:rsidRPr="008F7254" w:rsidRDefault="00A11BFF" w:rsidP="004B40E7">
      <w:pPr>
        <w:widowControl w:val="0"/>
        <w:numPr>
          <w:ilvl w:val="2"/>
          <w:numId w:val="1"/>
        </w:numPr>
        <w:tabs>
          <w:tab w:val="clear" w:pos="2955"/>
          <w:tab w:val="num" w:pos="0"/>
        </w:tabs>
        <w:spacing w:after="240"/>
        <w:ind w:left="1440"/>
        <w:outlineLvl w:val="2"/>
        <w:rPr>
          <w:rFonts w:eastAsiaTheme="minorEastAsia"/>
          <w:i/>
          <w:lang w:eastAsia="zh-CN"/>
        </w:rPr>
      </w:pPr>
      <w:r w:rsidRPr="008F7254">
        <w:rPr>
          <w:rFonts w:eastAsiaTheme="minorEastAsia"/>
          <w:i/>
          <w:lang w:eastAsia="zh-CN"/>
        </w:rPr>
        <w:t>Technical assistance activities;</w:t>
      </w:r>
    </w:p>
    <w:p w:rsidR="00A11BFF" w:rsidRPr="008F7254" w:rsidRDefault="00A11BFF" w:rsidP="004B40E7">
      <w:pPr>
        <w:numPr>
          <w:ilvl w:val="2"/>
          <w:numId w:val="1"/>
        </w:numPr>
        <w:tabs>
          <w:tab w:val="clear" w:pos="2955"/>
          <w:tab w:val="num" w:pos="0"/>
        </w:tabs>
        <w:spacing w:after="240"/>
        <w:ind w:left="1440"/>
        <w:outlineLvl w:val="2"/>
        <w:rPr>
          <w:rFonts w:eastAsiaTheme="minorEastAsia"/>
          <w:i/>
          <w:lang w:val="en-US" w:eastAsia="zh-CN"/>
        </w:rPr>
      </w:pPr>
      <w:r w:rsidRPr="008F7254">
        <w:rPr>
          <w:rFonts w:eastAsiaTheme="minorEastAsia"/>
          <w:i/>
          <w:lang w:eastAsia="zh-CN"/>
        </w:rPr>
        <w:t xml:space="preserve">Research and development related to the production of low-GWP or zero-GWP alternatives to hydrofluorocarbons with a view to lowering the costs of alternatives; </w:t>
      </w:r>
    </w:p>
    <w:p w:rsidR="00A11BFF" w:rsidRPr="008F7254" w:rsidRDefault="00A11BFF" w:rsidP="004B40E7">
      <w:pPr>
        <w:widowControl w:val="0"/>
        <w:numPr>
          <w:ilvl w:val="2"/>
          <w:numId w:val="1"/>
        </w:numPr>
        <w:tabs>
          <w:tab w:val="clear" w:pos="2955"/>
          <w:tab w:val="num" w:pos="0"/>
        </w:tabs>
        <w:spacing w:after="240"/>
        <w:ind w:left="1440"/>
        <w:outlineLvl w:val="2"/>
        <w:rPr>
          <w:rFonts w:eastAsiaTheme="minorEastAsia"/>
          <w:i/>
          <w:lang w:val="en-US" w:eastAsia="zh-CN"/>
        </w:rPr>
      </w:pPr>
      <w:r w:rsidRPr="008F7254">
        <w:rPr>
          <w:rFonts w:eastAsiaTheme="minorEastAsia"/>
          <w:i/>
          <w:lang w:eastAsia="zh-CN"/>
        </w:rPr>
        <w:t>Costs of patents and designs or incremental costs of royalties;</w:t>
      </w:r>
    </w:p>
    <w:p w:rsidR="00A11BFF" w:rsidRPr="008F7254" w:rsidRDefault="00A11BFF" w:rsidP="004B40E7">
      <w:pPr>
        <w:widowControl w:val="0"/>
        <w:numPr>
          <w:ilvl w:val="2"/>
          <w:numId w:val="1"/>
        </w:numPr>
        <w:tabs>
          <w:tab w:val="clear" w:pos="2955"/>
          <w:tab w:val="num" w:pos="0"/>
        </w:tabs>
        <w:spacing w:after="240"/>
        <w:ind w:left="1440"/>
        <w:outlineLvl w:val="2"/>
        <w:rPr>
          <w:rFonts w:eastAsiaTheme="minorEastAsia"/>
          <w:i/>
          <w:lang w:val="en-US" w:eastAsia="zh-CN"/>
        </w:rPr>
      </w:pPr>
      <w:r w:rsidRPr="008F7254">
        <w:rPr>
          <w:rFonts w:eastAsiaTheme="minorEastAsia"/>
          <w:i/>
          <w:lang w:eastAsia="zh-CN"/>
        </w:rPr>
        <w:lastRenderedPageBreak/>
        <w:t>Costs of converting facilities to produce low-GWP or zero-GWP alternatives to hydrofluorocarbons when technically feasible and cost-effective;</w:t>
      </w:r>
    </w:p>
    <w:p w:rsidR="00A11BFF" w:rsidRPr="008F7254" w:rsidRDefault="00A11BFF" w:rsidP="004B40E7">
      <w:pPr>
        <w:widowControl w:val="0"/>
        <w:numPr>
          <w:ilvl w:val="2"/>
          <w:numId w:val="1"/>
        </w:numPr>
        <w:tabs>
          <w:tab w:val="clear" w:pos="2955"/>
          <w:tab w:val="num" w:pos="0"/>
        </w:tabs>
        <w:spacing w:after="240"/>
        <w:ind w:left="1440"/>
        <w:outlineLvl w:val="2"/>
        <w:rPr>
          <w:rFonts w:eastAsiaTheme="minorEastAsia"/>
          <w:lang w:val="en-US" w:eastAsia="zh-CN"/>
        </w:rPr>
      </w:pPr>
      <w:r w:rsidRPr="008F7254">
        <w:rPr>
          <w:rFonts w:eastAsiaTheme="minorEastAsia"/>
          <w:i/>
          <w:lang w:eastAsia="zh-CN"/>
        </w:rPr>
        <w:t>Costs of reducing emissions of HFC-23, a by-product from the production process of HCFC-22, by reducing its emission rate in the process, destroying it from the off-gas, or by collecting and converting it to other environmentally safe chemicals. Such costs should be funded by the Multilateral Fund to meet the obligations of Parties operating under paragraph 1 of Article 5 specified under the Amendment”.</w:t>
      </w:r>
    </w:p>
    <w:p w:rsidR="00A11BFF" w:rsidRPr="008F7254" w:rsidRDefault="00A11BFF" w:rsidP="008F7254">
      <w:pPr>
        <w:rPr>
          <w:rFonts w:eastAsiaTheme="minorEastAsia"/>
          <w:u w:val="single"/>
          <w:lang w:val="en-CA" w:eastAsia="zh-CN"/>
        </w:rPr>
      </w:pPr>
      <w:r w:rsidRPr="008F7254">
        <w:rPr>
          <w:rFonts w:eastAsiaTheme="minorEastAsia"/>
          <w:u w:val="single"/>
          <w:lang w:val="en-CA" w:eastAsia="zh-CN"/>
        </w:rPr>
        <w:t>Relevant information from Executive Committee members in accordance with decision 77/59(c)</w:t>
      </w:r>
    </w:p>
    <w:p w:rsidR="00A11BFF" w:rsidRPr="008F7254" w:rsidRDefault="00A11BFF" w:rsidP="008F7254">
      <w:pPr>
        <w:rPr>
          <w:rFonts w:eastAsiaTheme="minorEastAsia"/>
          <w:lang w:val="en-CA" w:eastAsia="zh-CN"/>
        </w:rPr>
      </w:pPr>
    </w:p>
    <w:p w:rsidR="007A3EEA" w:rsidRPr="00AF4291" w:rsidRDefault="007A3EEA" w:rsidP="007A3EEA">
      <w:pPr>
        <w:pStyle w:val="Heading1"/>
        <w:rPr>
          <w:rFonts w:eastAsiaTheme="minorEastAsia"/>
          <w:lang w:eastAsia="zh-CN"/>
        </w:rPr>
      </w:pPr>
      <w:r w:rsidRPr="00AF4291">
        <w:rPr>
          <w:rFonts w:eastAsiaTheme="minorEastAsia"/>
          <w:lang w:eastAsia="zh-CN"/>
        </w:rPr>
        <w:t>The Government of Argentina indicated that the approval of HFC funding guidelines should not preclude the approval of HFC phase-down activities, particularly for HFC-23 emissions that must be eliminated by 2020. The most important action would be to agree on the HCFC and HFC production guidelines and ensure that funding is swiftly provided to swing plants for production closure/conversion. The most effective way to reduce HFC-23 by-product is to close HCFC-22 production and provide guidance and sufficient funding for that. Reduction of emission</w:t>
      </w:r>
      <w:r w:rsidR="00BB3EDF" w:rsidRPr="00AF4291">
        <w:rPr>
          <w:rFonts w:eastAsiaTheme="minorEastAsia"/>
          <w:lang w:eastAsia="zh-CN"/>
        </w:rPr>
        <w:t>s</w:t>
      </w:r>
      <w:r w:rsidRPr="00AF4291">
        <w:rPr>
          <w:rFonts w:eastAsiaTheme="minorEastAsia"/>
          <w:lang w:eastAsia="zh-CN"/>
        </w:rPr>
        <w:t xml:space="preserve"> of HFC-23, a </w:t>
      </w:r>
      <w:r w:rsidR="006A73A3" w:rsidRPr="00AF4291">
        <w:rPr>
          <w:rFonts w:eastAsiaTheme="minorEastAsia"/>
          <w:lang w:eastAsia="zh-CN"/>
        </w:rPr>
        <w:t>by-product</w:t>
      </w:r>
      <w:r w:rsidRPr="00AF4291">
        <w:rPr>
          <w:rFonts w:eastAsiaTheme="minorEastAsia"/>
          <w:lang w:eastAsia="zh-CN"/>
        </w:rPr>
        <w:t xml:space="preserve"> from the production process of HCFC-22, by reducing its emission rate in the process, destroying it from the off</w:t>
      </w:r>
      <w:r w:rsidR="003B5F68" w:rsidRPr="00AF4291">
        <w:rPr>
          <w:rFonts w:eastAsiaTheme="minorEastAsia"/>
          <w:lang w:eastAsia="zh-CN"/>
        </w:rPr>
        <w:noBreakHyphen/>
      </w:r>
      <w:r w:rsidRPr="00AF4291">
        <w:rPr>
          <w:rFonts w:eastAsiaTheme="minorEastAsia"/>
          <w:lang w:eastAsia="zh-CN"/>
        </w:rPr>
        <w:t>gas, or by collecting and converting to other environmentally safe chemicals, should be funded by the M</w:t>
      </w:r>
      <w:r w:rsidR="00BB3EDF" w:rsidRPr="00AF4291">
        <w:rPr>
          <w:rFonts w:eastAsiaTheme="minorEastAsia"/>
          <w:lang w:eastAsia="zh-CN"/>
        </w:rPr>
        <w:t>ultilateral Fund</w:t>
      </w:r>
      <w:r w:rsidRPr="00AF4291">
        <w:rPr>
          <w:rFonts w:eastAsiaTheme="minorEastAsia"/>
          <w:lang w:eastAsia="zh-CN"/>
        </w:rPr>
        <w:t>, to meet the obligations of A</w:t>
      </w:r>
      <w:r w:rsidR="00BB3EDF" w:rsidRPr="00AF4291">
        <w:rPr>
          <w:rFonts w:eastAsiaTheme="minorEastAsia"/>
          <w:lang w:eastAsia="zh-CN"/>
        </w:rPr>
        <w:t xml:space="preserve">rticle </w:t>
      </w:r>
      <w:r w:rsidRPr="00AF4291">
        <w:rPr>
          <w:rFonts w:eastAsiaTheme="minorEastAsia"/>
          <w:lang w:eastAsia="zh-CN"/>
        </w:rPr>
        <w:t>5 countries specified under the HFCs Amendment</w:t>
      </w:r>
      <w:r w:rsidR="00BB3EDF" w:rsidRPr="00AF4291">
        <w:rPr>
          <w:rFonts w:eastAsiaTheme="minorEastAsia"/>
          <w:lang w:eastAsia="zh-CN"/>
        </w:rPr>
        <w:t>.</w:t>
      </w:r>
    </w:p>
    <w:p w:rsidR="002B51A0" w:rsidRPr="00AF4291" w:rsidRDefault="002B51A0" w:rsidP="002B51A0">
      <w:pPr>
        <w:pStyle w:val="Heading1"/>
        <w:rPr>
          <w:rFonts w:eastAsiaTheme="minorEastAsia"/>
          <w:lang w:eastAsia="zh-CN"/>
        </w:rPr>
      </w:pPr>
      <w:r w:rsidRPr="00AF4291">
        <w:rPr>
          <w:rFonts w:eastAsiaTheme="minorEastAsia"/>
          <w:lang w:eastAsia="zh-CN"/>
        </w:rPr>
        <w:t>The Government of Germany noted that eligible production sector costs include lost profit from shutdown or reduction, displaced worker compensation, dismantling facilities, technical assistance, research and development to lower the cost of alternatives, patents and royalties, and conversion costs to low-GWP alternatives; and that similar issues are currently being considered for HCFCs by the production sub group. The Government asked how to handle the read-across between HCFC and HFC guidelines and indicated that asking China and other producers to provide information on HFC-23 destruction options may need independent verification.</w:t>
      </w:r>
    </w:p>
    <w:p w:rsidR="00A11BFF" w:rsidRPr="008F7254" w:rsidRDefault="004020AF" w:rsidP="00F67768">
      <w:pPr>
        <w:pStyle w:val="Heading1"/>
        <w:rPr>
          <w:rFonts w:eastAsiaTheme="minorEastAsia"/>
          <w:lang w:eastAsia="zh-CN"/>
        </w:rPr>
      </w:pPr>
      <w:r w:rsidRPr="008F7254">
        <w:rPr>
          <w:rFonts w:eastAsiaTheme="minorEastAsia"/>
          <w:lang w:eastAsia="zh-CN"/>
        </w:rPr>
        <w:t xml:space="preserve">In addition, </w:t>
      </w:r>
      <w:r w:rsidR="004B40E7">
        <w:rPr>
          <w:rFonts w:eastAsiaTheme="minorEastAsia"/>
          <w:lang w:eastAsia="zh-CN"/>
        </w:rPr>
        <w:t xml:space="preserve">Executive </w:t>
      </w:r>
      <w:r w:rsidR="00A11BFF" w:rsidRPr="008F7254">
        <w:rPr>
          <w:rFonts w:eastAsiaTheme="minorEastAsia"/>
          <w:lang w:eastAsia="zh-CN"/>
        </w:rPr>
        <w:t>Committee members</w:t>
      </w:r>
      <w:r w:rsidR="00EC6D33" w:rsidRPr="008F7254">
        <w:rPr>
          <w:rFonts w:eastAsiaTheme="minorEastAsia"/>
          <w:lang w:eastAsia="zh-CN"/>
        </w:rPr>
        <w:t xml:space="preserve"> </w:t>
      </w:r>
      <w:r w:rsidR="004B40E7">
        <w:rPr>
          <w:rFonts w:eastAsiaTheme="minorEastAsia"/>
          <w:lang w:eastAsia="zh-CN"/>
        </w:rPr>
        <w:t>fr</w:t>
      </w:r>
      <w:r w:rsidR="003B5F68">
        <w:rPr>
          <w:rFonts w:eastAsiaTheme="minorEastAsia"/>
          <w:lang w:eastAsia="zh-CN"/>
        </w:rPr>
        <w:t>o</w:t>
      </w:r>
      <w:r w:rsidR="004B40E7">
        <w:rPr>
          <w:rFonts w:eastAsiaTheme="minorEastAsia"/>
          <w:lang w:eastAsia="zh-CN"/>
        </w:rPr>
        <w:t xml:space="preserve">m </w:t>
      </w:r>
      <w:r w:rsidR="00EC6D33" w:rsidRPr="008F7254">
        <w:rPr>
          <w:rFonts w:eastAsiaTheme="minorEastAsia"/>
          <w:lang w:eastAsia="zh-CN"/>
        </w:rPr>
        <w:t>Argentina</w:t>
      </w:r>
      <w:r w:rsidRPr="008F7254">
        <w:rPr>
          <w:rFonts w:eastAsiaTheme="minorEastAsia"/>
          <w:lang w:eastAsia="zh-CN"/>
        </w:rPr>
        <w:t xml:space="preserve">, Germany </w:t>
      </w:r>
      <w:r w:rsidR="00EC6D33" w:rsidRPr="008F7254">
        <w:rPr>
          <w:rFonts w:eastAsiaTheme="minorEastAsia"/>
          <w:lang w:eastAsia="zh-CN"/>
        </w:rPr>
        <w:t>and Japan</w:t>
      </w:r>
      <w:r w:rsidR="004B40E7">
        <w:rPr>
          <w:rFonts w:eastAsiaTheme="minorEastAsia"/>
          <w:lang w:eastAsia="zh-CN"/>
        </w:rPr>
        <w:t xml:space="preserve"> also</w:t>
      </w:r>
      <w:r w:rsidR="00A11BFF" w:rsidRPr="008F7254">
        <w:rPr>
          <w:rFonts w:eastAsiaTheme="minorEastAsia"/>
          <w:lang w:eastAsia="zh-CN"/>
        </w:rPr>
        <w:t xml:space="preserve"> provided information related to sub-paragraph (viii)</w:t>
      </w:r>
      <w:r w:rsidR="00DF4B2E" w:rsidRPr="008F7254">
        <w:rPr>
          <w:rFonts w:eastAsiaTheme="minorEastAsia"/>
          <w:lang w:eastAsia="zh-CN"/>
        </w:rPr>
        <w:t xml:space="preserve"> </w:t>
      </w:r>
      <w:r w:rsidR="004B40E7">
        <w:rPr>
          <w:rFonts w:eastAsiaTheme="minorEastAsia"/>
          <w:lang w:eastAsia="zh-CN"/>
        </w:rPr>
        <w:t xml:space="preserve">of decision XXVIII/2 </w:t>
      </w:r>
      <w:r w:rsidR="00E449FE" w:rsidRPr="008F7254">
        <w:rPr>
          <w:rFonts w:eastAsiaTheme="minorEastAsia"/>
          <w:lang w:eastAsia="zh-CN"/>
        </w:rPr>
        <w:t xml:space="preserve">which </w:t>
      </w:r>
      <w:r w:rsidR="004B40E7">
        <w:rPr>
          <w:rFonts w:eastAsiaTheme="minorEastAsia"/>
          <w:lang w:eastAsia="zh-CN"/>
        </w:rPr>
        <w:t>are contained</w:t>
      </w:r>
      <w:r w:rsidR="00F67768">
        <w:rPr>
          <w:rFonts w:eastAsiaTheme="minorEastAsia"/>
          <w:lang w:eastAsia="zh-CN"/>
        </w:rPr>
        <w:t xml:space="preserve"> in the document on </w:t>
      </w:r>
      <w:r w:rsidR="00F67768" w:rsidRPr="00F67768">
        <w:rPr>
          <w:rFonts w:eastAsiaTheme="minorEastAsia"/>
          <w:lang w:eastAsia="zh-CN"/>
        </w:rPr>
        <w:t>Key aspects related to HFC-23 by-product-control technologies</w:t>
      </w:r>
      <w:r w:rsidR="00F67768">
        <w:rPr>
          <w:rFonts w:eastAsiaTheme="minorEastAsia"/>
          <w:lang w:eastAsia="zh-CN"/>
        </w:rPr>
        <w:t>.</w:t>
      </w:r>
      <w:r w:rsidR="00F67768">
        <w:rPr>
          <w:rStyle w:val="FootnoteReference"/>
          <w:rFonts w:eastAsiaTheme="minorEastAsia"/>
          <w:lang w:eastAsia="zh-CN"/>
        </w:rPr>
        <w:footnoteReference w:id="44"/>
      </w:r>
      <w:r w:rsidR="00F67768" w:rsidRPr="00F67768">
        <w:rPr>
          <w:rFonts w:eastAsiaTheme="minorEastAsia"/>
          <w:lang w:eastAsia="zh-CN"/>
        </w:rPr>
        <w:t xml:space="preserve"> </w:t>
      </w:r>
    </w:p>
    <w:p w:rsidR="00A11BFF" w:rsidRPr="008F7254" w:rsidRDefault="00A11BFF" w:rsidP="008F7254">
      <w:pPr>
        <w:pStyle w:val="Heading1"/>
        <w:numPr>
          <w:ilvl w:val="0"/>
          <w:numId w:val="0"/>
        </w:numPr>
        <w:rPr>
          <w:u w:val="single"/>
        </w:rPr>
      </w:pPr>
      <w:r w:rsidRPr="008F7254">
        <w:rPr>
          <w:u w:val="single"/>
        </w:rPr>
        <w:t>Previous Executive Committee decisions and practice</w:t>
      </w:r>
    </w:p>
    <w:p w:rsidR="00A11BFF" w:rsidRPr="00AF4291" w:rsidRDefault="00A11BFF" w:rsidP="008F7254">
      <w:pPr>
        <w:numPr>
          <w:ilvl w:val="0"/>
          <w:numId w:val="1"/>
        </w:numPr>
        <w:spacing w:after="240"/>
        <w:outlineLvl w:val="0"/>
        <w:rPr>
          <w:rFonts w:eastAsiaTheme="minorEastAsia"/>
          <w:lang w:val="en-CA" w:eastAsia="zh-CN"/>
        </w:rPr>
      </w:pPr>
      <w:r w:rsidRPr="008F7254">
        <w:rPr>
          <w:rFonts w:eastAsiaTheme="minorEastAsia"/>
          <w:lang w:val="en-US" w:eastAsia="zh-CN"/>
        </w:rPr>
        <w:t xml:space="preserve">The </w:t>
      </w:r>
      <w:r w:rsidR="00F67768" w:rsidRPr="00AF4291">
        <w:rPr>
          <w:rFonts w:eastAsiaTheme="minorEastAsia"/>
          <w:lang w:val="en-US" w:eastAsia="zh-CN"/>
        </w:rPr>
        <w:t xml:space="preserve">Seventh Meeting of the Parties (December 2005) </w:t>
      </w:r>
      <w:r w:rsidRPr="00AF4291">
        <w:rPr>
          <w:rFonts w:eastAsiaTheme="minorEastAsia"/>
          <w:lang w:val="en-US" w:eastAsia="zh-CN"/>
        </w:rPr>
        <w:t xml:space="preserve">decided that the determination of eligible incremental costs in the production sector should be </w:t>
      </w:r>
      <w:r w:rsidRPr="00AF4291">
        <w:rPr>
          <w:rFonts w:eastAsiaTheme="minorEastAsia"/>
          <w:lang w:val="en-CA" w:eastAsia="zh-CN"/>
        </w:rPr>
        <w:t>based on the conclusions of the Executive Committee's guidelines on</w:t>
      </w:r>
      <w:r w:rsidR="00B24B5F" w:rsidRPr="00AF4291">
        <w:rPr>
          <w:rFonts w:eastAsiaTheme="minorEastAsia"/>
          <w:lang w:val="en-CA" w:eastAsia="zh-CN"/>
        </w:rPr>
        <w:t xml:space="preserve"> the</w:t>
      </w:r>
      <w:r w:rsidRPr="00AF4291">
        <w:rPr>
          <w:rFonts w:eastAsiaTheme="minorEastAsia"/>
          <w:lang w:val="en-CA" w:eastAsia="zh-CN"/>
        </w:rPr>
        <w:t xml:space="preserve"> phase</w:t>
      </w:r>
      <w:r w:rsidR="00E449FE" w:rsidRPr="00AF4291">
        <w:rPr>
          <w:rFonts w:eastAsiaTheme="minorEastAsia"/>
          <w:lang w:val="en-CA" w:eastAsia="zh-CN"/>
        </w:rPr>
        <w:noBreakHyphen/>
      </w:r>
      <w:r w:rsidRPr="00AF4291">
        <w:rPr>
          <w:rFonts w:eastAsiaTheme="minorEastAsia"/>
          <w:lang w:val="en-CA" w:eastAsia="zh-CN"/>
        </w:rPr>
        <w:t xml:space="preserve">out of the production sector and </w:t>
      </w:r>
      <w:r w:rsidRPr="00AF4291">
        <w:rPr>
          <w:rFonts w:eastAsiaTheme="minorEastAsia"/>
          <w:lang w:val="en-US" w:eastAsia="zh-CN"/>
        </w:rPr>
        <w:t>consistent with paragraph 2(a) of the indicative list of categories of incremental costs</w:t>
      </w:r>
      <w:r w:rsidR="00700803" w:rsidRPr="00AF4291">
        <w:rPr>
          <w:rFonts w:eastAsiaTheme="minorEastAsia"/>
          <w:lang w:val="en-US" w:eastAsia="zh-CN"/>
        </w:rPr>
        <w:t xml:space="preserve"> (decision VII/9, paragraph</w:t>
      </w:r>
      <w:r w:rsidR="003B5F68" w:rsidRPr="00AF4291">
        <w:rPr>
          <w:rFonts w:eastAsiaTheme="minorEastAsia"/>
          <w:lang w:val="en-US" w:eastAsia="zh-CN"/>
        </w:rPr>
        <w:t xml:space="preserve"> </w:t>
      </w:r>
      <w:r w:rsidR="00700803" w:rsidRPr="00AF4291">
        <w:rPr>
          <w:rFonts w:eastAsiaTheme="minorEastAsia"/>
          <w:lang w:val="en-US" w:eastAsia="zh-CN"/>
        </w:rPr>
        <w:t>5)</w:t>
      </w:r>
      <w:r w:rsidRPr="00AF4291">
        <w:rPr>
          <w:rFonts w:eastAsiaTheme="minorEastAsia"/>
          <w:lang w:val="en-US" w:eastAsia="zh-CN"/>
        </w:rPr>
        <w:t>, namely:</w:t>
      </w:r>
    </w:p>
    <w:p w:rsidR="00A11BFF" w:rsidRPr="008F7254" w:rsidRDefault="00A11BFF" w:rsidP="008F7254">
      <w:pPr>
        <w:widowControl w:val="0"/>
        <w:numPr>
          <w:ilvl w:val="1"/>
          <w:numId w:val="1"/>
        </w:numPr>
        <w:tabs>
          <w:tab w:val="clear" w:pos="720"/>
          <w:tab w:val="num" w:pos="0"/>
        </w:tabs>
        <w:spacing w:after="240"/>
        <w:ind w:left="1440"/>
        <w:outlineLvl w:val="1"/>
        <w:rPr>
          <w:rFonts w:eastAsiaTheme="minorEastAsia"/>
          <w:lang w:val="en-US" w:eastAsia="zh-CN"/>
        </w:rPr>
      </w:pPr>
      <w:r w:rsidRPr="008F7254">
        <w:rPr>
          <w:rFonts w:eastAsiaTheme="minorEastAsia"/>
          <w:lang w:val="en-US" w:eastAsia="zh-CN"/>
        </w:rPr>
        <w:t>Cost of conversion of existing production facilities:</w:t>
      </w:r>
    </w:p>
    <w:p w:rsidR="00A11BFF" w:rsidRPr="008F7254" w:rsidRDefault="00A11BFF" w:rsidP="008F7254">
      <w:pPr>
        <w:widowControl w:val="0"/>
        <w:numPr>
          <w:ilvl w:val="2"/>
          <w:numId w:val="1"/>
        </w:numPr>
        <w:tabs>
          <w:tab w:val="num" w:pos="0"/>
        </w:tabs>
        <w:spacing w:after="240"/>
        <w:ind w:left="2160"/>
        <w:outlineLvl w:val="2"/>
        <w:rPr>
          <w:rFonts w:eastAsiaTheme="minorEastAsia"/>
          <w:lang w:val="en-US" w:eastAsia="zh-CN"/>
        </w:rPr>
      </w:pPr>
      <w:r w:rsidRPr="008F7254">
        <w:rPr>
          <w:rFonts w:eastAsiaTheme="minorEastAsia"/>
          <w:lang w:val="en-US" w:eastAsia="zh-CN"/>
        </w:rPr>
        <w:t>cost of patents and designs and incremental cost of royalties;</w:t>
      </w:r>
    </w:p>
    <w:p w:rsidR="00A11BFF" w:rsidRPr="008F7254" w:rsidRDefault="00A11BFF" w:rsidP="008F7254">
      <w:pPr>
        <w:widowControl w:val="0"/>
        <w:numPr>
          <w:ilvl w:val="2"/>
          <w:numId w:val="1"/>
        </w:numPr>
        <w:tabs>
          <w:tab w:val="num" w:pos="0"/>
        </w:tabs>
        <w:spacing w:after="240"/>
        <w:ind w:left="2160"/>
        <w:outlineLvl w:val="2"/>
        <w:rPr>
          <w:rFonts w:eastAsiaTheme="minorEastAsia"/>
          <w:lang w:val="en-US" w:eastAsia="zh-CN"/>
        </w:rPr>
      </w:pPr>
      <w:r w:rsidRPr="008F7254">
        <w:rPr>
          <w:rFonts w:eastAsiaTheme="minorEastAsia"/>
          <w:lang w:val="en-US" w:eastAsia="zh-CN"/>
        </w:rPr>
        <w:t>capital cost of conversion;</w:t>
      </w:r>
    </w:p>
    <w:p w:rsidR="00A11BFF" w:rsidRPr="008F7254" w:rsidRDefault="00A11BFF" w:rsidP="008F7254">
      <w:pPr>
        <w:widowControl w:val="0"/>
        <w:numPr>
          <w:ilvl w:val="2"/>
          <w:numId w:val="1"/>
        </w:numPr>
        <w:tabs>
          <w:tab w:val="num" w:pos="0"/>
        </w:tabs>
        <w:spacing w:after="240"/>
        <w:ind w:left="2160"/>
        <w:outlineLvl w:val="2"/>
        <w:rPr>
          <w:rFonts w:eastAsiaTheme="minorEastAsia"/>
          <w:lang w:val="en-US" w:eastAsia="zh-CN"/>
        </w:rPr>
      </w:pPr>
      <w:r w:rsidRPr="008F7254">
        <w:rPr>
          <w:rFonts w:eastAsiaTheme="minorEastAsia"/>
          <w:lang w:val="en-US" w:eastAsia="zh-CN"/>
        </w:rPr>
        <w:t>cost of retraining of personnel, as well as the cost of research to adapt technology to local circumstances;</w:t>
      </w:r>
    </w:p>
    <w:p w:rsidR="00A11BFF" w:rsidRPr="008F7254" w:rsidRDefault="00A11BFF" w:rsidP="008F7254">
      <w:pPr>
        <w:widowControl w:val="0"/>
        <w:numPr>
          <w:ilvl w:val="1"/>
          <w:numId w:val="1"/>
        </w:numPr>
        <w:tabs>
          <w:tab w:val="clear" w:pos="720"/>
          <w:tab w:val="num" w:pos="0"/>
        </w:tabs>
        <w:spacing w:after="240"/>
        <w:ind w:left="1440"/>
        <w:outlineLvl w:val="1"/>
        <w:rPr>
          <w:rFonts w:eastAsiaTheme="minorEastAsia"/>
          <w:lang w:val="en-CA" w:eastAsia="zh-CN"/>
        </w:rPr>
      </w:pPr>
      <w:r w:rsidRPr="008F7254">
        <w:rPr>
          <w:rFonts w:eastAsiaTheme="minorEastAsia"/>
          <w:lang w:val="en-US" w:eastAsia="zh-CN"/>
        </w:rPr>
        <w:t>Costs arising from premature retirement or enforced idleness, taking into account any guidance of the Executive Committee on appropriate cut-off dates:</w:t>
      </w:r>
    </w:p>
    <w:p w:rsidR="00A11BFF" w:rsidRPr="008F7254" w:rsidRDefault="00A11BFF" w:rsidP="008F7254">
      <w:pPr>
        <w:widowControl w:val="0"/>
        <w:numPr>
          <w:ilvl w:val="2"/>
          <w:numId w:val="1"/>
        </w:numPr>
        <w:tabs>
          <w:tab w:val="num" w:pos="0"/>
        </w:tabs>
        <w:spacing w:after="240"/>
        <w:ind w:left="2160"/>
        <w:outlineLvl w:val="2"/>
        <w:rPr>
          <w:rFonts w:eastAsiaTheme="minorEastAsia"/>
          <w:lang w:val="en-US" w:eastAsia="zh-CN"/>
        </w:rPr>
      </w:pPr>
      <w:r w:rsidRPr="008F7254">
        <w:rPr>
          <w:rFonts w:eastAsiaTheme="minorEastAsia"/>
          <w:lang w:val="en-US" w:eastAsia="zh-CN"/>
        </w:rPr>
        <w:lastRenderedPageBreak/>
        <w:t>of productive capacity previously used to produce substances controlled by existing and/or amended or adjusted Protocol provisions; and</w:t>
      </w:r>
    </w:p>
    <w:p w:rsidR="00A11BFF" w:rsidRPr="008F7254" w:rsidRDefault="00A11BFF" w:rsidP="008F7254">
      <w:pPr>
        <w:widowControl w:val="0"/>
        <w:numPr>
          <w:ilvl w:val="2"/>
          <w:numId w:val="1"/>
        </w:numPr>
        <w:tabs>
          <w:tab w:val="num" w:pos="0"/>
        </w:tabs>
        <w:spacing w:after="240"/>
        <w:ind w:left="2160"/>
        <w:outlineLvl w:val="2"/>
        <w:rPr>
          <w:rFonts w:eastAsiaTheme="minorEastAsia"/>
          <w:lang w:val="en-CA" w:eastAsia="zh-CN"/>
        </w:rPr>
      </w:pPr>
      <w:r w:rsidRPr="008F7254">
        <w:rPr>
          <w:rFonts w:eastAsiaTheme="minorEastAsia"/>
          <w:lang w:val="en-US" w:eastAsia="zh-CN"/>
        </w:rPr>
        <w:t>where such capacity is not replaced by converted or new capacity to produce alternatives;</w:t>
      </w:r>
    </w:p>
    <w:p w:rsidR="00A11BFF" w:rsidRPr="008F7254" w:rsidRDefault="00A11BFF" w:rsidP="008F7254">
      <w:pPr>
        <w:widowControl w:val="0"/>
        <w:numPr>
          <w:ilvl w:val="1"/>
          <w:numId w:val="1"/>
        </w:numPr>
        <w:tabs>
          <w:tab w:val="clear" w:pos="720"/>
          <w:tab w:val="num" w:pos="0"/>
        </w:tabs>
        <w:spacing w:after="240"/>
        <w:ind w:left="1440"/>
        <w:outlineLvl w:val="1"/>
        <w:rPr>
          <w:rFonts w:eastAsiaTheme="minorEastAsia"/>
          <w:lang w:val="en-US" w:eastAsia="zh-CN"/>
        </w:rPr>
      </w:pPr>
      <w:r w:rsidRPr="008F7254">
        <w:rPr>
          <w:rFonts w:eastAsiaTheme="minorEastAsia"/>
          <w:lang w:val="en-US" w:eastAsia="zh-CN"/>
        </w:rPr>
        <w:t>Cost of establishing new production facilities for substitutes of capacity equivalent to capacity lost when plants are converted or scrapped, including:</w:t>
      </w:r>
    </w:p>
    <w:p w:rsidR="00A11BFF" w:rsidRPr="008F7254" w:rsidRDefault="00A11BFF" w:rsidP="008F7254">
      <w:pPr>
        <w:widowControl w:val="0"/>
        <w:numPr>
          <w:ilvl w:val="2"/>
          <w:numId w:val="1"/>
        </w:numPr>
        <w:tabs>
          <w:tab w:val="num" w:pos="0"/>
        </w:tabs>
        <w:spacing w:after="240"/>
        <w:ind w:left="2160"/>
        <w:outlineLvl w:val="2"/>
        <w:rPr>
          <w:rFonts w:eastAsiaTheme="minorEastAsia"/>
          <w:lang w:val="en-US" w:eastAsia="zh-CN"/>
        </w:rPr>
      </w:pPr>
      <w:r w:rsidRPr="008F7254">
        <w:rPr>
          <w:rFonts w:eastAsiaTheme="minorEastAsia"/>
          <w:lang w:val="en-US" w:eastAsia="zh-CN"/>
        </w:rPr>
        <w:t>cost of patents and designs and incremental cost of royalties;</w:t>
      </w:r>
    </w:p>
    <w:p w:rsidR="00A11BFF" w:rsidRPr="008F7254" w:rsidRDefault="00A11BFF" w:rsidP="008F7254">
      <w:pPr>
        <w:widowControl w:val="0"/>
        <w:numPr>
          <w:ilvl w:val="2"/>
          <w:numId w:val="1"/>
        </w:numPr>
        <w:tabs>
          <w:tab w:val="num" w:pos="0"/>
        </w:tabs>
        <w:spacing w:after="240"/>
        <w:ind w:left="2160"/>
        <w:outlineLvl w:val="2"/>
        <w:rPr>
          <w:rFonts w:eastAsiaTheme="minorEastAsia"/>
          <w:lang w:val="en-US" w:eastAsia="zh-CN"/>
        </w:rPr>
      </w:pPr>
      <w:r w:rsidRPr="008F7254">
        <w:rPr>
          <w:rFonts w:eastAsiaTheme="minorEastAsia"/>
          <w:lang w:val="en-US" w:eastAsia="zh-CN"/>
        </w:rPr>
        <w:t>capital cost;</w:t>
      </w:r>
      <w:r w:rsidR="00E449FE" w:rsidRPr="008F7254">
        <w:rPr>
          <w:rFonts w:eastAsiaTheme="minorEastAsia"/>
          <w:lang w:val="en-US" w:eastAsia="zh-CN"/>
        </w:rPr>
        <w:t xml:space="preserve"> and</w:t>
      </w:r>
    </w:p>
    <w:p w:rsidR="00A11BFF" w:rsidRPr="008F7254" w:rsidRDefault="00A11BFF" w:rsidP="008F7254">
      <w:pPr>
        <w:widowControl w:val="0"/>
        <w:numPr>
          <w:ilvl w:val="2"/>
          <w:numId w:val="1"/>
        </w:numPr>
        <w:tabs>
          <w:tab w:val="num" w:pos="0"/>
        </w:tabs>
        <w:spacing w:after="240"/>
        <w:ind w:left="2160"/>
        <w:outlineLvl w:val="2"/>
        <w:rPr>
          <w:rFonts w:eastAsiaTheme="minorEastAsia"/>
          <w:lang w:val="en-US" w:eastAsia="zh-CN"/>
        </w:rPr>
      </w:pPr>
      <w:r w:rsidRPr="008F7254">
        <w:rPr>
          <w:rFonts w:eastAsiaTheme="minorEastAsia"/>
          <w:lang w:val="en-US" w:eastAsia="zh-CN"/>
        </w:rPr>
        <w:t>cost of training, as well as the cost of research to adapt technology to local circumstances;</w:t>
      </w:r>
    </w:p>
    <w:p w:rsidR="00A11BFF" w:rsidRPr="008F7254" w:rsidRDefault="00A11BFF" w:rsidP="008F7254">
      <w:pPr>
        <w:widowControl w:val="0"/>
        <w:numPr>
          <w:ilvl w:val="1"/>
          <w:numId w:val="1"/>
        </w:numPr>
        <w:tabs>
          <w:tab w:val="clear" w:pos="720"/>
          <w:tab w:val="num" w:pos="0"/>
        </w:tabs>
        <w:spacing w:after="240"/>
        <w:ind w:left="1440"/>
        <w:outlineLvl w:val="1"/>
        <w:rPr>
          <w:rFonts w:eastAsiaTheme="minorEastAsia"/>
          <w:lang w:val="en-US" w:eastAsia="zh-CN"/>
        </w:rPr>
      </w:pPr>
      <w:r w:rsidRPr="008F7254">
        <w:rPr>
          <w:rFonts w:eastAsiaTheme="minorEastAsia"/>
          <w:lang w:val="en-US" w:eastAsia="zh-CN"/>
        </w:rPr>
        <w:t>Net operational cost, including the cost of raw materials;</w:t>
      </w:r>
      <w:r w:rsidR="00E449FE" w:rsidRPr="008F7254">
        <w:rPr>
          <w:rFonts w:eastAsiaTheme="minorEastAsia"/>
          <w:lang w:val="en-US" w:eastAsia="zh-CN"/>
        </w:rPr>
        <w:t xml:space="preserve"> and</w:t>
      </w:r>
    </w:p>
    <w:p w:rsidR="00A11BFF" w:rsidRPr="008F7254" w:rsidRDefault="00A11BFF" w:rsidP="008F7254">
      <w:pPr>
        <w:widowControl w:val="0"/>
        <w:numPr>
          <w:ilvl w:val="1"/>
          <w:numId w:val="1"/>
        </w:numPr>
        <w:tabs>
          <w:tab w:val="clear" w:pos="720"/>
          <w:tab w:val="num" w:pos="0"/>
        </w:tabs>
        <w:spacing w:after="240"/>
        <w:ind w:left="1440"/>
        <w:outlineLvl w:val="1"/>
        <w:rPr>
          <w:rFonts w:eastAsiaTheme="minorEastAsia"/>
          <w:lang w:val="en-CA" w:eastAsia="zh-CN"/>
        </w:rPr>
      </w:pPr>
      <w:r w:rsidRPr="008F7254">
        <w:rPr>
          <w:rFonts w:eastAsiaTheme="minorEastAsia"/>
          <w:lang w:val="en-US" w:eastAsia="zh-CN"/>
        </w:rPr>
        <w:t>Cost of import of substitutes.</w:t>
      </w:r>
    </w:p>
    <w:p w:rsidR="00F1555B" w:rsidRPr="00F1555B" w:rsidRDefault="00A11BFF" w:rsidP="00F1555B">
      <w:pPr>
        <w:numPr>
          <w:ilvl w:val="0"/>
          <w:numId w:val="1"/>
        </w:numPr>
        <w:spacing w:after="240"/>
        <w:outlineLvl w:val="0"/>
        <w:rPr>
          <w:rFonts w:eastAsiaTheme="minorEastAsia"/>
          <w:lang w:val="en-CA" w:eastAsia="zh-CN"/>
        </w:rPr>
      </w:pPr>
      <w:r w:rsidRPr="008F7254">
        <w:rPr>
          <w:rFonts w:eastAsiaTheme="minorEastAsia"/>
          <w:lang w:val="en-US" w:eastAsia="zh-CN"/>
        </w:rPr>
        <w:t xml:space="preserve">The incremental costs for phasing down HFCs as indicated above have maintained all the categories of cost approved at the </w:t>
      </w:r>
      <w:r w:rsidR="00F67768" w:rsidRPr="00AF4291">
        <w:rPr>
          <w:rFonts w:eastAsiaTheme="minorEastAsia"/>
          <w:lang w:val="en-US" w:eastAsia="zh-CN"/>
        </w:rPr>
        <w:t>F</w:t>
      </w:r>
      <w:r w:rsidRPr="00AF4291">
        <w:rPr>
          <w:rFonts w:eastAsiaTheme="minorEastAsia"/>
          <w:lang w:val="en-US" w:eastAsia="zh-CN"/>
        </w:rPr>
        <w:t xml:space="preserve">ourth </w:t>
      </w:r>
      <w:r w:rsidR="00F67768" w:rsidRPr="00AF4291">
        <w:rPr>
          <w:rFonts w:eastAsiaTheme="minorEastAsia"/>
          <w:lang w:val="en-US" w:eastAsia="zh-CN"/>
        </w:rPr>
        <w:t>Meeting</w:t>
      </w:r>
      <w:r w:rsidRPr="00AF4291">
        <w:rPr>
          <w:rFonts w:eastAsiaTheme="minorEastAsia"/>
          <w:lang w:val="en-US" w:eastAsia="zh-CN"/>
        </w:rPr>
        <w:t xml:space="preserve">. In addition, the cost </w:t>
      </w:r>
      <w:r w:rsidR="00977659" w:rsidRPr="00AF4291">
        <w:rPr>
          <w:rFonts w:eastAsiaTheme="minorEastAsia"/>
          <w:lang w:val="en-US" w:eastAsia="zh-CN"/>
        </w:rPr>
        <w:t>of</w:t>
      </w:r>
      <w:r w:rsidRPr="00AF4291">
        <w:rPr>
          <w:rFonts w:eastAsiaTheme="minorEastAsia"/>
          <w:lang w:val="en-US" w:eastAsia="zh-CN"/>
        </w:rPr>
        <w:t xml:space="preserve"> reducing emissions of HFC-23 was added to th</w:t>
      </w:r>
      <w:r w:rsidR="00977659" w:rsidRPr="00AF4291">
        <w:rPr>
          <w:rFonts w:eastAsiaTheme="minorEastAsia"/>
          <w:lang w:val="en-US" w:eastAsia="zh-CN"/>
        </w:rPr>
        <w:t>e</w:t>
      </w:r>
      <w:r w:rsidRPr="00AF4291">
        <w:rPr>
          <w:rFonts w:eastAsiaTheme="minorEastAsia"/>
          <w:lang w:val="en-US" w:eastAsia="zh-CN"/>
        </w:rPr>
        <w:t xml:space="preserve"> list</w:t>
      </w:r>
      <w:r w:rsidR="00F67768" w:rsidRPr="00AF4291">
        <w:rPr>
          <w:rFonts w:eastAsiaTheme="minorEastAsia"/>
          <w:lang w:val="en-US" w:eastAsia="zh-CN"/>
        </w:rPr>
        <w:t>.</w:t>
      </w:r>
      <w:r w:rsidRPr="00AF4291">
        <w:rPr>
          <w:rFonts w:eastAsiaTheme="minorEastAsia"/>
          <w:lang w:val="en-US" w:eastAsia="zh-CN"/>
        </w:rPr>
        <w:t xml:space="preserve"> </w:t>
      </w:r>
      <w:r w:rsidR="00F67768" w:rsidRPr="00AF4291">
        <w:rPr>
          <w:rFonts w:eastAsiaTheme="minorEastAsia"/>
          <w:lang w:val="en-US" w:eastAsia="zh-CN"/>
        </w:rPr>
        <w:t xml:space="preserve">In response to </w:t>
      </w:r>
      <w:r w:rsidR="00F67768" w:rsidRPr="00AF4291">
        <w:rPr>
          <w:rFonts w:eastAsiaTheme="minorEastAsia"/>
          <w:lang w:val="en-CA" w:eastAsia="zh-CN"/>
        </w:rPr>
        <w:t>(decision 77/59</w:t>
      </w:r>
      <w:r w:rsidR="00F67768" w:rsidRPr="00F1555B">
        <w:rPr>
          <w:rFonts w:eastAsiaTheme="minorEastAsia"/>
          <w:lang w:val="en-CA" w:eastAsia="zh-CN"/>
        </w:rPr>
        <w:t>(b)(iii))</w:t>
      </w:r>
      <w:r w:rsidR="00F67768">
        <w:rPr>
          <w:rFonts w:eastAsiaTheme="minorEastAsia"/>
          <w:lang w:val="en-CA" w:eastAsia="zh-CN"/>
        </w:rPr>
        <w:t xml:space="preserve">, the </w:t>
      </w:r>
      <w:r w:rsidR="00F1555B" w:rsidRPr="00F1555B">
        <w:rPr>
          <w:rFonts w:eastAsiaTheme="minorEastAsia"/>
          <w:lang w:val="en-CA" w:eastAsia="zh-CN"/>
        </w:rPr>
        <w:t xml:space="preserve">Secretariat </w:t>
      </w:r>
      <w:r w:rsidR="00F67768">
        <w:rPr>
          <w:rFonts w:eastAsiaTheme="minorEastAsia"/>
          <w:lang w:val="en-CA" w:eastAsia="zh-CN"/>
        </w:rPr>
        <w:t xml:space="preserve">prepared document </w:t>
      </w:r>
      <w:r w:rsidR="00F67768" w:rsidRPr="00F1555B">
        <w:rPr>
          <w:rFonts w:eastAsiaTheme="minorEastAsia"/>
          <w:lang w:val="en-CA" w:eastAsia="zh-CN"/>
        </w:rPr>
        <w:t xml:space="preserve">UNEP/OzL.Pro/ExCom/78/9 </w:t>
      </w:r>
      <w:r w:rsidR="00F67768">
        <w:rPr>
          <w:rFonts w:eastAsiaTheme="minorEastAsia"/>
          <w:lang w:val="en-CA" w:eastAsia="zh-CN"/>
        </w:rPr>
        <w:t xml:space="preserve">which </w:t>
      </w:r>
      <w:r w:rsidR="00F1555B" w:rsidRPr="00F1555B">
        <w:rPr>
          <w:rFonts w:eastAsiaTheme="minorEastAsia"/>
          <w:lang w:val="en-CA" w:eastAsia="zh-CN"/>
        </w:rPr>
        <w:t>provide</w:t>
      </w:r>
      <w:r w:rsidR="00F67768">
        <w:rPr>
          <w:rFonts w:eastAsiaTheme="minorEastAsia"/>
          <w:lang w:val="en-CA" w:eastAsia="zh-CN"/>
        </w:rPr>
        <w:t>s</w:t>
      </w:r>
      <w:r w:rsidR="00F1555B" w:rsidRPr="00F1555B">
        <w:rPr>
          <w:rFonts w:eastAsiaTheme="minorEastAsia"/>
          <w:lang w:val="en-CA" w:eastAsia="zh-CN"/>
        </w:rPr>
        <w:t xml:space="preserve"> preliminary information related to HFC-23 by-product control technologies</w:t>
      </w:r>
      <w:r w:rsidR="00F1555B">
        <w:rPr>
          <w:rFonts w:eastAsiaTheme="minorEastAsia"/>
          <w:lang w:val="en-CA" w:eastAsia="zh-CN"/>
        </w:rPr>
        <w:t xml:space="preserve">. </w:t>
      </w:r>
    </w:p>
    <w:p w:rsidR="00A11BFF" w:rsidRPr="008F7254" w:rsidRDefault="00A11BFF" w:rsidP="008F7254">
      <w:pPr>
        <w:numPr>
          <w:ilvl w:val="0"/>
          <w:numId w:val="1"/>
        </w:numPr>
        <w:spacing w:after="240"/>
        <w:outlineLvl w:val="0"/>
        <w:rPr>
          <w:lang w:eastAsia="zh-CN"/>
        </w:rPr>
      </w:pPr>
      <w:r w:rsidRPr="008F7254">
        <w:rPr>
          <w:lang w:eastAsia="zh-CN"/>
        </w:rPr>
        <w:t xml:space="preserve">To date, the process by which phase-out projects in the production sector have been reviewed and approved by the Executive Committee has differed from the process used in the consumption sector. In accordance with the </w:t>
      </w:r>
      <w:r w:rsidRPr="00957B1B">
        <w:rPr>
          <w:rFonts w:eastAsiaTheme="minorEastAsia"/>
          <w:lang w:eastAsia="zh-CN"/>
        </w:rPr>
        <w:t xml:space="preserve">practices and procedures in decision 19/36, each Article 5 producer country provides preliminary data and informs the Executive Committee eight months before it is ready to submit its sector phase-out; the Executive Committee then commissions a technical audit of the production sector in conjunction with the preparation of the sector plan prepared by the relevant implementing agency. The results of the technical audit, which should be incorporated into the sector plan, serve as a reference point for reviewing the plan. After review by the Secretariat, the plan is considered by the production sector sub-group, a group constituted by the Executive Committee. If needed, additional technical audits may be commissioned to address specific questions or issues. The plan is reviewed based on the technical audit, and in accordance with the indicative list of eligible costs. While the indicative list of eligible costs includes the cost of conversion of existing production facilities to produce substitutes, as well as the cost of establishing new production facilities for substitutes of capacity equivalent to capacity lost when plants are converted or scrapped, including the cost of patents and designs and incremental cost of royalties, the Executive Committee has to date always provided funding for the production sector on the basis of </w:t>
      </w:r>
      <w:r w:rsidR="00DC20D4">
        <w:rPr>
          <w:rFonts w:eastAsiaTheme="minorEastAsia"/>
          <w:lang w:eastAsia="zh-CN"/>
        </w:rPr>
        <w:t>cessation of production of the controlled substance</w:t>
      </w:r>
      <w:r w:rsidRPr="00957B1B">
        <w:rPr>
          <w:rFonts w:eastAsiaTheme="minorEastAsia"/>
          <w:lang w:eastAsia="zh-CN"/>
        </w:rPr>
        <w:t xml:space="preserve">, which for the circumstances considered was the </w:t>
      </w:r>
      <w:r w:rsidRPr="00957B1B">
        <w:rPr>
          <w:rFonts w:eastAsiaTheme="minorEastAsia"/>
          <w:lang w:val="en-US" w:eastAsia="zh-CN"/>
        </w:rPr>
        <w:t>most cost</w:t>
      </w:r>
      <w:r w:rsidR="00977659">
        <w:rPr>
          <w:rFonts w:eastAsiaTheme="minorEastAsia"/>
          <w:lang w:val="en-US" w:eastAsia="zh-CN"/>
        </w:rPr>
        <w:t>-</w:t>
      </w:r>
      <w:r w:rsidRPr="00957B1B">
        <w:rPr>
          <w:rFonts w:eastAsiaTheme="minorEastAsia"/>
          <w:lang w:val="en-US" w:eastAsia="zh-CN"/>
        </w:rPr>
        <w:t>effective and efficient option. The cost</w:t>
      </w:r>
      <w:r w:rsidRPr="00957B1B">
        <w:rPr>
          <w:rFonts w:eastAsiaTheme="minorEastAsia"/>
          <w:lang w:eastAsia="zh-CN"/>
        </w:rPr>
        <w:t xml:space="preserve"> of closure include</w:t>
      </w:r>
      <w:r w:rsidR="00977659">
        <w:rPr>
          <w:rFonts w:eastAsiaTheme="minorEastAsia"/>
          <w:lang w:eastAsia="zh-CN"/>
        </w:rPr>
        <w:t>s</w:t>
      </w:r>
      <w:r w:rsidRPr="00957B1B">
        <w:rPr>
          <w:rFonts w:eastAsiaTheme="minorEastAsia"/>
          <w:lang w:eastAsia="zh-CN"/>
        </w:rPr>
        <w:t xml:space="preserve"> </w:t>
      </w:r>
      <w:r w:rsidRPr="00957B1B">
        <w:rPr>
          <w:rFonts w:eastAsiaTheme="minorEastAsia"/>
          <w:lang w:val="en-CA" w:eastAsia="zh-CN"/>
        </w:rPr>
        <w:t>lost profit, compensation to displaced workers, the cost of dismantling production facilities, and other costs.</w:t>
      </w:r>
    </w:p>
    <w:p w:rsidR="00AF4291" w:rsidRDefault="00A11BFF" w:rsidP="00483E59">
      <w:pPr>
        <w:pStyle w:val="Heading1"/>
        <w:rPr>
          <w:lang w:eastAsia="zh-CN"/>
        </w:rPr>
      </w:pPr>
      <w:r w:rsidRPr="008F7254">
        <w:rPr>
          <w:lang w:eastAsia="zh-CN"/>
        </w:rPr>
        <w:t xml:space="preserve">On this basis, the Executive Committee has approved phase-out projects in the production sector for CFCs </w:t>
      </w:r>
      <w:r w:rsidR="00977659">
        <w:rPr>
          <w:lang w:eastAsia="zh-CN"/>
        </w:rPr>
        <w:t>in</w:t>
      </w:r>
      <w:r w:rsidRPr="008F7254">
        <w:rPr>
          <w:lang w:eastAsia="zh-CN"/>
        </w:rPr>
        <w:t xml:space="preserve"> Argentina, China, India, Mexico, </w:t>
      </w:r>
      <w:r w:rsidR="00E449FE" w:rsidRPr="008F7254">
        <w:rPr>
          <w:lang w:eastAsia="zh-CN"/>
        </w:rPr>
        <w:t>the Democratic People’s Republic of Korea</w:t>
      </w:r>
      <w:r w:rsidRPr="008F7254">
        <w:rPr>
          <w:lang w:eastAsia="zh-CN"/>
        </w:rPr>
        <w:t xml:space="preserve">, Romania, and </w:t>
      </w:r>
      <w:r w:rsidR="00E449FE" w:rsidRPr="008F7254">
        <w:rPr>
          <w:lang w:eastAsia="zh-CN"/>
        </w:rPr>
        <w:t xml:space="preserve">the Bolivarian Republic of </w:t>
      </w:r>
      <w:r w:rsidRPr="008F7254">
        <w:rPr>
          <w:lang w:eastAsia="zh-CN"/>
        </w:rPr>
        <w:t xml:space="preserve">Venezuela; for halons </w:t>
      </w:r>
      <w:r w:rsidR="00977659" w:rsidRPr="00F67768">
        <w:rPr>
          <w:lang w:eastAsia="zh-CN"/>
        </w:rPr>
        <w:t>in</w:t>
      </w:r>
      <w:r w:rsidR="00712C73" w:rsidRPr="00F67768">
        <w:rPr>
          <w:lang w:eastAsia="zh-CN"/>
        </w:rPr>
        <w:t xml:space="preserve"> China and </w:t>
      </w:r>
      <w:r w:rsidRPr="00F67768">
        <w:rPr>
          <w:lang w:eastAsia="zh-CN"/>
        </w:rPr>
        <w:t xml:space="preserve">India; for carbon tetrachloride </w:t>
      </w:r>
      <w:r w:rsidR="00977659" w:rsidRPr="00F67768">
        <w:rPr>
          <w:lang w:eastAsia="zh-CN"/>
        </w:rPr>
        <w:t>in</w:t>
      </w:r>
      <w:r w:rsidRPr="00F67768">
        <w:rPr>
          <w:lang w:eastAsia="zh-CN"/>
        </w:rPr>
        <w:t xml:space="preserve"> </w:t>
      </w:r>
      <w:r w:rsidR="00712C73" w:rsidRPr="00F67768">
        <w:rPr>
          <w:lang w:eastAsia="zh-CN"/>
        </w:rPr>
        <w:t xml:space="preserve">China, </w:t>
      </w:r>
      <w:r w:rsidRPr="00F67768">
        <w:rPr>
          <w:lang w:eastAsia="zh-CN"/>
        </w:rPr>
        <w:t xml:space="preserve">India, </w:t>
      </w:r>
      <w:r w:rsidR="00E449FE" w:rsidRPr="00F67768">
        <w:rPr>
          <w:lang w:eastAsia="zh-CN"/>
        </w:rPr>
        <w:t>the Democratic People’s Republic of Korea</w:t>
      </w:r>
      <w:r w:rsidRPr="00F67768">
        <w:rPr>
          <w:lang w:eastAsia="zh-CN"/>
        </w:rPr>
        <w:t>, and Romania; for</w:t>
      </w:r>
      <w:r w:rsidRPr="008F7254">
        <w:rPr>
          <w:lang w:eastAsia="zh-CN"/>
        </w:rPr>
        <w:t xml:space="preserve"> methyl bromide in China and Romania; and for 1,1,1-trichloroethane (TCA, also referred to as methyl chloroform) </w:t>
      </w:r>
      <w:r w:rsidR="00977659">
        <w:rPr>
          <w:lang w:eastAsia="zh-CN"/>
        </w:rPr>
        <w:t>in</w:t>
      </w:r>
      <w:r w:rsidRPr="008F7254">
        <w:rPr>
          <w:lang w:eastAsia="zh-CN"/>
        </w:rPr>
        <w:t xml:space="preserve"> China and </w:t>
      </w:r>
      <w:r w:rsidR="00E449FE" w:rsidRPr="008F7254">
        <w:rPr>
          <w:lang w:eastAsia="zh-CN"/>
        </w:rPr>
        <w:t>the Democratic People’s Republic of Korea.</w:t>
      </w:r>
      <w:r w:rsidRPr="008F7254">
        <w:rPr>
          <w:lang w:eastAsia="zh-CN"/>
        </w:rPr>
        <w:t xml:space="preserve"> </w:t>
      </w:r>
    </w:p>
    <w:p w:rsidR="00A11BFF" w:rsidRPr="00AF4291" w:rsidRDefault="00F67768" w:rsidP="00483E59">
      <w:pPr>
        <w:pStyle w:val="Heading1"/>
        <w:rPr>
          <w:lang w:eastAsia="zh-CN"/>
        </w:rPr>
      </w:pPr>
      <w:r w:rsidRPr="00F67768">
        <w:rPr>
          <w:lang w:eastAsia="zh-CN"/>
        </w:rPr>
        <w:lastRenderedPageBreak/>
        <w:t xml:space="preserve">Although </w:t>
      </w:r>
      <w:r w:rsidR="00A11BFF" w:rsidRPr="008F7254">
        <w:rPr>
          <w:rFonts w:eastAsiaTheme="minorEastAsia"/>
          <w:lang w:val="en-US" w:eastAsia="zh-CN"/>
        </w:rPr>
        <w:t xml:space="preserve">the cost guidelines for phasing out HCFCs </w:t>
      </w:r>
      <w:r>
        <w:rPr>
          <w:rFonts w:eastAsiaTheme="minorEastAsia"/>
          <w:lang w:val="en-US" w:eastAsia="zh-CN"/>
        </w:rPr>
        <w:t xml:space="preserve">in the production sector </w:t>
      </w:r>
      <w:r w:rsidR="00A11BFF" w:rsidRPr="008F7254">
        <w:rPr>
          <w:rFonts w:eastAsiaTheme="minorEastAsia"/>
          <w:lang w:val="en-US" w:eastAsia="zh-CN"/>
        </w:rPr>
        <w:t>are still under discussion</w:t>
      </w:r>
      <w:r>
        <w:rPr>
          <w:rFonts w:eastAsiaTheme="minorEastAsia"/>
          <w:lang w:val="en-US" w:eastAsia="zh-CN"/>
        </w:rPr>
        <w:t>,</w:t>
      </w:r>
      <w:r w:rsidR="00A11BFF" w:rsidRPr="008F7254">
        <w:rPr>
          <w:rFonts w:eastAsiaTheme="minorEastAsia"/>
          <w:vertAlign w:val="superscript"/>
          <w:lang w:val="en-US" w:eastAsia="zh-CN"/>
        </w:rPr>
        <w:footnoteReference w:id="45"/>
      </w:r>
      <w:r w:rsidR="00A11BFF" w:rsidRPr="008F7254">
        <w:rPr>
          <w:rFonts w:eastAsiaTheme="minorEastAsia"/>
          <w:lang w:val="en-US" w:eastAsia="zh-CN"/>
        </w:rPr>
        <w:t xml:space="preserve"> the HPPMP for China was considered and approved following the</w:t>
      </w:r>
      <w:r w:rsidR="00A11BFF" w:rsidRPr="008F7254">
        <w:rPr>
          <w:spacing w:val="1"/>
          <w:lang w:eastAsia="zh-CN"/>
        </w:rPr>
        <w:t xml:space="preserve"> approach described above.</w:t>
      </w:r>
      <w:r w:rsidR="00A11BFF" w:rsidRPr="008F7254">
        <w:rPr>
          <w:rFonts w:eastAsiaTheme="minorEastAsia"/>
          <w:lang w:val="en-US" w:eastAsia="zh-CN"/>
        </w:rPr>
        <w:t xml:space="preserve"> While the funding level for the </w:t>
      </w:r>
      <w:r w:rsidR="00A11BFF" w:rsidRPr="008F7254">
        <w:rPr>
          <w:rFonts w:eastAsiaTheme="minorEastAsia"/>
          <w:lang w:eastAsia="zh-CN"/>
        </w:rPr>
        <w:t xml:space="preserve">HPPMP for China was approved based on plant closure, that funding level also included technical assistance, which China used </w:t>
      </w:r>
      <w:r w:rsidR="00616C04" w:rsidRPr="00616C04">
        <w:rPr>
          <w:rFonts w:eastAsiaTheme="minorEastAsia"/>
          <w:i/>
          <w:lang w:eastAsia="zh-CN"/>
        </w:rPr>
        <w:t>inter alia</w:t>
      </w:r>
      <w:r w:rsidR="00616C04">
        <w:rPr>
          <w:rFonts w:eastAsiaTheme="minorEastAsia"/>
          <w:lang w:eastAsia="zh-CN"/>
        </w:rPr>
        <w:t xml:space="preserve"> </w:t>
      </w:r>
      <w:r w:rsidR="00A11BFF" w:rsidRPr="008F7254">
        <w:rPr>
          <w:rFonts w:eastAsiaTheme="minorEastAsia"/>
          <w:lang w:eastAsia="zh-CN"/>
        </w:rPr>
        <w:t>to support research and development for</w:t>
      </w:r>
      <w:r w:rsidR="00977659">
        <w:rPr>
          <w:rFonts w:eastAsiaTheme="minorEastAsia"/>
          <w:lang w:eastAsia="zh-CN"/>
        </w:rPr>
        <w:t xml:space="preserve"> the p</w:t>
      </w:r>
      <w:r w:rsidR="00A11BFF" w:rsidRPr="008F7254">
        <w:rPr>
          <w:rFonts w:eastAsiaTheme="minorEastAsia"/>
          <w:lang w:eastAsia="zh-CN"/>
        </w:rPr>
        <w:t>roduction of alternatives to HCFCs, for reducing the HFC</w:t>
      </w:r>
      <w:r w:rsidR="003B5F68">
        <w:rPr>
          <w:rFonts w:eastAsiaTheme="minorEastAsia"/>
          <w:lang w:eastAsia="zh-CN"/>
        </w:rPr>
        <w:noBreakHyphen/>
      </w:r>
      <w:r w:rsidR="00A11BFF" w:rsidRPr="008F7254">
        <w:rPr>
          <w:rFonts w:eastAsiaTheme="minorEastAsia"/>
          <w:lang w:eastAsia="zh-CN"/>
        </w:rPr>
        <w:t>23 by-product ratio, and for conversion of HFC-23 to other chemicals or useful products</w:t>
      </w:r>
      <w:r w:rsidR="00FD1CD6">
        <w:rPr>
          <w:rFonts w:eastAsiaTheme="minorEastAsia"/>
          <w:lang w:eastAsia="zh-CN"/>
        </w:rPr>
        <w:t xml:space="preserve"> </w:t>
      </w:r>
      <w:r w:rsidR="00FD1CD6" w:rsidRPr="00FD1CD6">
        <w:rPr>
          <w:rFonts w:eastAsiaTheme="minorEastAsia"/>
          <w:highlight w:val="yellow"/>
          <w:lang w:eastAsia="zh-CN"/>
        </w:rPr>
        <w:t>(</w:t>
      </w:r>
      <w:r w:rsidR="00FD1CD6" w:rsidRPr="00AF4291">
        <w:rPr>
          <w:rFonts w:eastAsiaTheme="minorEastAsia"/>
          <w:lang w:eastAsia="zh-CN"/>
        </w:rPr>
        <w:t>see technical assistance section above)</w:t>
      </w:r>
      <w:r w:rsidR="00A11BFF" w:rsidRPr="00AF4291">
        <w:rPr>
          <w:rFonts w:eastAsiaTheme="minorEastAsia"/>
          <w:lang w:eastAsia="zh-CN"/>
        </w:rPr>
        <w:t xml:space="preserve">. </w:t>
      </w:r>
    </w:p>
    <w:p w:rsidR="00E441E0" w:rsidRPr="00FD1CD6" w:rsidRDefault="006F79AC" w:rsidP="003B5F68">
      <w:pPr>
        <w:pStyle w:val="Heading2"/>
        <w:keepNext/>
        <w:widowControl/>
        <w:numPr>
          <w:ilvl w:val="0"/>
          <w:numId w:val="0"/>
        </w:numPr>
        <w:rPr>
          <w:u w:val="single"/>
        </w:rPr>
      </w:pPr>
      <w:r w:rsidRPr="00AF4291">
        <w:rPr>
          <w:u w:val="single"/>
        </w:rPr>
        <w:t>Refrigeration s</w:t>
      </w:r>
      <w:r w:rsidR="00E441E0" w:rsidRPr="00AF4291">
        <w:rPr>
          <w:u w:val="single"/>
        </w:rPr>
        <w:t>ervicing sector</w:t>
      </w:r>
    </w:p>
    <w:p w:rsidR="00C70CA6" w:rsidRPr="008F7254" w:rsidRDefault="00E442D7" w:rsidP="003B5F68">
      <w:pPr>
        <w:pStyle w:val="Heading1"/>
        <w:keepNext/>
        <w:numPr>
          <w:ilvl w:val="0"/>
          <w:numId w:val="0"/>
        </w:numPr>
        <w:rPr>
          <w:rFonts w:eastAsiaTheme="minorHAnsi"/>
          <w:i/>
          <w:lang w:val="en-US"/>
        </w:rPr>
      </w:pPr>
      <w:r w:rsidRPr="008F7254">
        <w:rPr>
          <w:u w:val="single"/>
        </w:rPr>
        <w:t>Paragraph 15(c), decision XVIII/2</w:t>
      </w:r>
      <w:r w:rsidRPr="008F7254">
        <w:t xml:space="preserve">: </w:t>
      </w:r>
      <w:r w:rsidRPr="008F7254">
        <w:rPr>
          <w:rFonts w:eastAsiaTheme="minorHAnsi"/>
          <w:i/>
          <w:lang w:val="en-US"/>
        </w:rPr>
        <w:t>“</w:t>
      </w:r>
      <w:r w:rsidR="00AB19F9">
        <w:rPr>
          <w:rFonts w:eastAsiaTheme="minorHAnsi"/>
          <w:i/>
          <w:lang w:val="en-US"/>
        </w:rPr>
        <w:t>For the servicing sector</w:t>
      </w:r>
      <w:r w:rsidR="00C70CA6" w:rsidRPr="008F7254">
        <w:rPr>
          <w:rFonts w:eastAsiaTheme="minorHAnsi"/>
          <w:i/>
          <w:lang w:val="en-US"/>
        </w:rPr>
        <w:t>:</w:t>
      </w:r>
    </w:p>
    <w:p w:rsidR="00C70CA6" w:rsidRPr="000445B5" w:rsidRDefault="00F67768" w:rsidP="003B5F68">
      <w:pPr>
        <w:pStyle w:val="Heading2"/>
        <w:keepNext/>
        <w:widowControl/>
        <w:numPr>
          <w:ilvl w:val="0"/>
          <w:numId w:val="0"/>
        </w:numPr>
        <w:ind w:left="1440" w:hanging="720"/>
        <w:rPr>
          <w:rFonts w:eastAsiaTheme="minorHAnsi"/>
          <w:i/>
        </w:rPr>
      </w:pPr>
      <w:r>
        <w:rPr>
          <w:rFonts w:eastAsiaTheme="minorHAnsi"/>
        </w:rPr>
        <w:t xml:space="preserve">(i) </w:t>
      </w:r>
      <w:r w:rsidR="00FA165E">
        <w:rPr>
          <w:rFonts w:eastAsiaTheme="minorHAnsi"/>
        </w:rPr>
        <w:tab/>
      </w:r>
      <w:r w:rsidR="00C70CA6" w:rsidRPr="000445B5">
        <w:rPr>
          <w:rFonts w:eastAsiaTheme="minorHAnsi"/>
          <w:i/>
        </w:rPr>
        <w:t>Public-awareness activities;</w:t>
      </w:r>
    </w:p>
    <w:p w:rsidR="00C70CA6" w:rsidRPr="000445B5" w:rsidRDefault="003C6B29" w:rsidP="003B5F68">
      <w:pPr>
        <w:pStyle w:val="Heading2"/>
        <w:keepNext/>
        <w:widowControl/>
        <w:numPr>
          <w:ilvl w:val="0"/>
          <w:numId w:val="0"/>
        </w:numPr>
        <w:ind w:left="1440" w:hanging="720"/>
        <w:rPr>
          <w:rFonts w:eastAsiaTheme="minorHAnsi"/>
          <w:i/>
        </w:rPr>
      </w:pPr>
      <w:r w:rsidRPr="000445B5">
        <w:rPr>
          <w:rFonts w:eastAsiaTheme="minorHAnsi"/>
          <w:i/>
        </w:rPr>
        <w:t xml:space="preserve">(ii) </w:t>
      </w:r>
      <w:r w:rsidRPr="000445B5">
        <w:rPr>
          <w:rFonts w:eastAsiaTheme="minorHAnsi"/>
          <w:i/>
        </w:rPr>
        <w:tab/>
      </w:r>
      <w:r w:rsidR="00C70CA6" w:rsidRPr="000445B5">
        <w:rPr>
          <w:rFonts w:eastAsiaTheme="minorHAnsi"/>
          <w:i/>
        </w:rPr>
        <w:t>Policy development and implementation;</w:t>
      </w:r>
    </w:p>
    <w:p w:rsidR="00C70CA6" w:rsidRPr="000445B5" w:rsidRDefault="003C6B29" w:rsidP="003B5F68">
      <w:pPr>
        <w:pStyle w:val="Heading2"/>
        <w:keepNext/>
        <w:widowControl/>
        <w:numPr>
          <w:ilvl w:val="0"/>
          <w:numId w:val="0"/>
        </w:numPr>
        <w:ind w:left="1440" w:hanging="720"/>
        <w:rPr>
          <w:rFonts w:eastAsiaTheme="minorHAnsi"/>
          <w:i/>
          <w:lang w:val="en-US"/>
        </w:rPr>
      </w:pPr>
      <w:r w:rsidRPr="000445B5">
        <w:rPr>
          <w:rFonts w:eastAsiaTheme="minorHAnsi"/>
          <w:i/>
        </w:rPr>
        <w:t>(iii)</w:t>
      </w:r>
      <w:r w:rsidRPr="000445B5">
        <w:rPr>
          <w:rFonts w:eastAsiaTheme="minorHAnsi"/>
          <w:i/>
        </w:rPr>
        <w:tab/>
      </w:r>
      <w:r w:rsidR="00C70CA6" w:rsidRPr="000445B5">
        <w:rPr>
          <w:rFonts w:eastAsiaTheme="minorHAnsi"/>
          <w:i/>
        </w:rPr>
        <w:t>Certification programmes and training of technicians on safe handling, good practice and safety in respect of alternatives, including training equipment;</w:t>
      </w:r>
    </w:p>
    <w:p w:rsidR="00C70CA6" w:rsidRPr="000445B5" w:rsidRDefault="003C6B29" w:rsidP="003C6B29">
      <w:pPr>
        <w:pStyle w:val="Heading2"/>
        <w:numPr>
          <w:ilvl w:val="0"/>
          <w:numId w:val="0"/>
        </w:numPr>
        <w:ind w:left="1440" w:hanging="720"/>
        <w:rPr>
          <w:rFonts w:eastAsiaTheme="minorHAnsi"/>
          <w:i/>
        </w:rPr>
      </w:pPr>
      <w:r w:rsidRPr="000445B5">
        <w:rPr>
          <w:rFonts w:eastAsiaTheme="minorHAnsi"/>
          <w:i/>
        </w:rPr>
        <w:t>(iv)</w:t>
      </w:r>
      <w:r w:rsidRPr="000445B5">
        <w:rPr>
          <w:rFonts w:eastAsiaTheme="minorHAnsi"/>
          <w:i/>
        </w:rPr>
        <w:tab/>
      </w:r>
      <w:r w:rsidR="00C70CA6" w:rsidRPr="000445B5">
        <w:rPr>
          <w:rFonts w:eastAsiaTheme="minorHAnsi"/>
          <w:i/>
        </w:rPr>
        <w:t>Training of customs officers;</w:t>
      </w:r>
    </w:p>
    <w:p w:rsidR="00C70CA6" w:rsidRPr="000445B5" w:rsidRDefault="003C6B29" w:rsidP="003C6B29">
      <w:pPr>
        <w:pStyle w:val="Heading2"/>
        <w:numPr>
          <w:ilvl w:val="0"/>
          <w:numId w:val="0"/>
        </w:numPr>
        <w:ind w:left="1440" w:hanging="720"/>
        <w:rPr>
          <w:rFonts w:eastAsiaTheme="minorHAnsi"/>
          <w:i/>
          <w:lang w:val="en-US"/>
        </w:rPr>
      </w:pPr>
      <w:r w:rsidRPr="000445B5">
        <w:rPr>
          <w:rFonts w:eastAsiaTheme="minorHAnsi"/>
          <w:i/>
        </w:rPr>
        <w:t>(v)</w:t>
      </w:r>
      <w:r w:rsidRPr="000445B5">
        <w:rPr>
          <w:rFonts w:eastAsiaTheme="minorHAnsi"/>
          <w:i/>
        </w:rPr>
        <w:tab/>
      </w:r>
      <w:r w:rsidR="00C70CA6" w:rsidRPr="000445B5">
        <w:rPr>
          <w:rFonts w:eastAsiaTheme="minorHAnsi"/>
          <w:i/>
        </w:rPr>
        <w:t>Prevention of illegal trade of HFCs;</w:t>
      </w:r>
    </w:p>
    <w:p w:rsidR="00C70CA6" w:rsidRPr="000445B5" w:rsidRDefault="003C6B29" w:rsidP="003C6B29">
      <w:pPr>
        <w:pStyle w:val="Heading2"/>
        <w:numPr>
          <w:ilvl w:val="0"/>
          <w:numId w:val="0"/>
        </w:numPr>
        <w:ind w:left="1440" w:hanging="720"/>
        <w:rPr>
          <w:rFonts w:eastAsiaTheme="minorHAnsi"/>
          <w:i/>
        </w:rPr>
      </w:pPr>
      <w:r w:rsidRPr="000445B5">
        <w:rPr>
          <w:rFonts w:eastAsiaTheme="minorHAnsi"/>
          <w:i/>
        </w:rPr>
        <w:t>(vi)</w:t>
      </w:r>
      <w:r w:rsidRPr="000445B5">
        <w:rPr>
          <w:rFonts w:eastAsiaTheme="minorHAnsi"/>
          <w:i/>
        </w:rPr>
        <w:tab/>
      </w:r>
      <w:r w:rsidR="00C70CA6" w:rsidRPr="000445B5">
        <w:rPr>
          <w:rFonts w:eastAsiaTheme="minorHAnsi"/>
          <w:i/>
        </w:rPr>
        <w:t xml:space="preserve">Servicing tools; </w:t>
      </w:r>
    </w:p>
    <w:p w:rsidR="00C70CA6" w:rsidRPr="000445B5" w:rsidRDefault="003C6B29" w:rsidP="003C6B29">
      <w:pPr>
        <w:pStyle w:val="Heading2"/>
        <w:numPr>
          <w:ilvl w:val="0"/>
          <w:numId w:val="0"/>
        </w:numPr>
        <w:ind w:left="1440" w:hanging="720"/>
        <w:rPr>
          <w:rFonts w:eastAsiaTheme="minorHAnsi"/>
          <w:i/>
          <w:lang w:val="en-US"/>
        </w:rPr>
      </w:pPr>
      <w:r w:rsidRPr="000445B5">
        <w:rPr>
          <w:rFonts w:eastAsiaTheme="minorHAnsi"/>
          <w:i/>
        </w:rPr>
        <w:t>(vii)</w:t>
      </w:r>
      <w:r w:rsidRPr="000445B5">
        <w:rPr>
          <w:rFonts w:eastAsiaTheme="minorHAnsi"/>
          <w:i/>
        </w:rPr>
        <w:tab/>
      </w:r>
      <w:r w:rsidR="00C70CA6" w:rsidRPr="000445B5">
        <w:rPr>
          <w:rFonts w:eastAsiaTheme="minorHAnsi"/>
          <w:i/>
        </w:rPr>
        <w:t>Refrigerant testing equipment for the refrigeration and air-conditioning sector; and</w:t>
      </w:r>
    </w:p>
    <w:p w:rsidR="00C70CA6" w:rsidRPr="000445B5" w:rsidRDefault="003C6B29" w:rsidP="003C6B29">
      <w:pPr>
        <w:pStyle w:val="Heading2"/>
        <w:numPr>
          <w:ilvl w:val="0"/>
          <w:numId w:val="0"/>
        </w:numPr>
        <w:ind w:left="1440" w:hanging="720"/>
        <w:rPr>
          <w:i/>
        </w:rPr>
      </w:pPr>
      <w:r w:rsidRPr="000445B5">
        <w:rPr>
          <w:rFonts w:eastAsiaTheme="minorHAnsi"/>
          <w:i/>
          <w:lang w:val="en-US"/>
        </w:rPr>
        <w:t>(viii)</w:t>
      </w:r>
      <w:r w:rsidRPr="000445B5">
        <w:rPr>
          <w:rFonts w:eastAsiaTheme="minorHAnsi"/>
          <w:i/>
          <w:lang w:val="en-US"/>
        </w:rPr>
        <w:tab/>
      </w:r>
      <w:r w:rsidR="00E442D7" w:rsidRPr="000445B5">
        <w:rPr>
          <w:rFonts w:eastAsiaTheme="minorHAnsi"/>
          <w:i/>
        </w:rPr>
        <w:t>Recycling and recovery of HFCs</w:t>
      </w:r>
      <w:r w:rsidR="00536D5A" w:rsidRPr="000445B5">
        <w:rPr>
          <w:rFonts w:eastAsiaTheme="minorHAnsi"/>
          <w:i/>
        </w:rPr>
        <w:t>”</w:t>
      </w:r>
      <w:r w:rsidR="00E442D7" w:rsidRPr="000445B5">
        <w:rPr>
          <w:rFonts w:eastAsiaTheme="minorHAnsi"/>
          <w:i/>
        </w:rPr>
        <w:t>.</w:t>
      </w:r>
    </w:p>
    <w:p w:rsidR="00837734" w:rsidRDefault="00E442D7" w:rsidP="003C6B29">
      <w:pPr>
        <w:pStyle w:val="Heading1"/>
        <w:numPr>
          <w:ilvl w:val="0"/>
          <w:numId w:val="0"/>
        </w:numPr>
        <w:rPr>
          <w:rFonts w:eastAsiaTheme="minorHAnsi"/>
          <w:i/>
        </w:rPr>
      </w:pPr>
      <w:r w:rsidRPr="008F7254">
        <w:rPr>
          <w:u w:val="single"/>
        </w:rPr>
        <w:t>Paragraph 16, decision XVIII/2:</w:t>
      </w:r>
      <w:r w:rsidRPr="008F7254">
        <w:t xml:space="preserve"> </w:t>
      </w:r>
      <w:r w:rsidR="00536D5A" w:rsidRPr="008F7254">
        <w:rPr>
          <w:rFonts w:eastAsiaTheme="minorHAnsi"/>
          <w:i/>
        </w:rPr>
        <w:t>“</w:t>
      </w:r>
      <w:r w:rsidRPr="008F7254">
        <w:rPr>
          <w:rFonts w:eastAsiaTheme="minorHAnsi"/>
          <w:i/>
        </w:rPr>
        <w:t>T</w:t>
      </w:r>
      <w:r w:rsidR="00536D5A" w:rsidRPr="008F7254">
        <w:rPr>
          <w:rFonts w:eastAsiaTheme="minorHAnsi"/>
          <w:i/>
        </w:rPr>
        <w:t xml:space="preserve">o </w:t>
      </w:r>
      <w:r w:rsidR="00C70CA6" w:rsidRPr="008F7254">
        <w:rPr>
          <w:rFonts w:eastAsiaTheme="minorHAnsi"/>
          <w:i/>
        </w:rPr>
        <w:t xml:space="preserve">request the Executive Committee to increase in relation to the servicing sector the funding available under decision 74/50 above the amounts listed in that decision for </w:t>
      </w:r>
      <w:r w:rsidR="0071733A" w:rsidRPr="008F7254">
        <w:rPr>
          <w:rFonts w:eastAsiaTheme="minorHAnsi"/>
          <w:i/>
        </w:rPr>
        <w:t>P</w:t>
      </w:r>
      <w:r w:rsidR="00C70CA6" w:rsidRPr="008F7254">
        <w:rPr>
          <w:rFonts w:eastAsiaTheme="minorHAnsi"/>
          <w:i/>
        </w:rPr>
        <w:t>arties with total HCFC baseline consumption up to 360 metric tonnes when needed for the introduction of alternatives to HCFCs with low-GWP and zero-GWP alternatives to HFCs and maintaining energy efficiency also in the servicing/end-user sector</w:t>
      </w:r>
      <w:r w:rsidR="00536D5A" w:rsidRPr="008F7254">
        <w:rPr>
          <w:rFonts w:eastAsiaTheme="minorHAnsi"/>
          <w:i/>
        </w:rPr>
        <w:t>”</w:t>
      </w:r>
      <w:r w:rsidRPr="008F7254">
        <w:rPr>
          <w:rFonts w:eastAsiaTheme="minorHAnsi"/>
          <w:i/>
        </w:rPr>
        <w:t>.</w:t>
      </w:r>
    </w:p>
    <w:p w:rsidR="00031EDF" w:rsidRPr="003C6B29" w:rsidRDefault="00D83378" w:rsidP="00AF3303">
      <w:pPr>
        <w:pStyle w:val="Heading2"/>
        <w:numPr>
          <w:ilvl w:val="0"/>
          <w:numId w:val="0"/>
        </w:numPr>
        <w:rPr>
          <w:u w:val="single"/>
        </w:rPr>
      </w:pPr>
      <w:r w:rsidRPr="003C6B29">
        <w:rPr>
          <w:u w:val="single"/>
        </w:rPr>
        <w:t>Information from Executive Committee members in accordance with decision 77/59(c)</w:t>
      </w:r>
    </w:p>
    <w:p w:rsidR="00E96E6A" w:rsidRPr="008F7254" w:rsidRDefault="00A11FA6" w:rsidP="008F7254">
      <w:pPr>
        <w:pStyle w:val="Heading1"/>
        <w:rPr>
          <w:lang w:val="en-CA"/>
        </w:rPr>
      </w:pPr>
      <w:r>
        <w:rPr>
          <w:lang w:val="en-CA"/>
        </w:rPr>
        <w:t>The Government of Argentina</w:t>
      </w:r>
      <w:r w:rsidR="00C84153" w:rsidRPr="008F7254">
        <w:rPr>
          <w:lang w:val="en-CA"/>
        </w:rPr>
        <w:t xml:space="preserve"> requested </w:t>
      </w:r>
      <w:r w:rsidR="00E96E6A" w:rsidRPr="008F7254">
        <w:rPr>
          <w:lang w:val="en-CA"/>
        </w:rPr>
        <w:t>clarification</w:t>
      </w:r>
      <w:r w:rsidR="00C84153" w:rsidRPr="008F7254">
        <w:rPr>
          <w:lang w:val="en-CA"/>
        </w:rPr>
        <w:t>s</w:t>
      </w:r>
      <w:r w:rsidR="00E96E6A" w:rsidRPr="008F7254">
        <w:rPr>
          <w:lang w:val="en-CA"/>
        </w:rPr>
        <w:t xml:space="preserve"> </w:t>
      </w:r>
      <w:r w:rsidR="00C84153" w:rsidRPr="008F7254">
        <w:rPr>
          <w:lang w:val="en-CA"/>
        </w:rPr>
        <w:t>on</w:t>
      </w:r>
      <w:r w:rsidR="00E96E6A" w:rsidRPr="008F7254">
        <w:rPr>
          <w:lang w:val="en-CA"/>
        </w:rPr>
        <w:t xml:space="preserve"> what is intended </w:t>
      </w:r>
      <w:r w:rsidR="00E449FE" w:rsidRPr="008F7254">
        <w:rPr>
          <w:lang w:val="en-CA"/>
        </w:rPr>
        <w:t xml:space="preserve">by </w:t>
      </w:r>
      <w:r w:rsidR="00C84153" w:rsidRPr="008F7254">
        <w:rPr>
          <w:lang w:val="en-CA"/>
        </w:rPr>
        <w:t xml:space="preserve">the </w:t>
      </w:r>
      <w:r w:rsidR="00E96E6A" w:rsidRPr="008F7254">
        <w:rPr>
          <w:lang w:val="en-CA"/>
        </w:rPr>
        <w:t>request</w:t>
      </w:r>
      <w:r w:rsidR="00E449FE" w:rsidRPr="008F7254">
        <w:rPr>
          <w:lang w:val="en-CA"/>
        </w:rPr>
        <w:t xml:space="preserve"> given </w:t>
      </w:r>
      <w:r w:rsidR="009257E4">
        <w:rPr>
          <w:lang w:val="en-CA"/>
        </w:rPr>
        <w:t>i</w:t>
      </w:r>
      <w:r w:rsidR="00C84153" w:rsidRPr="008F7254">
        <w:rPr>
          <w:lang w:val="en-CA"/>
        </w:rPr>
        <w:t xml:space="preserve">n </w:t>
      </w:r>
      <w:r w:rsidR="00E96E6A" w:rsidRPr="008F7254">
        <w:rPr>
          <w:lang w:val="en-CA"/>
        </w:rPr>
        <w:t xml:space="preserve">paragraph 16 of </w:t>
      </w:r>
      <w:r w:rsidR="00C84153" w:rsidRPr="008F7254">
        <w:rPr>
          <w:lang w:val="en-CA"/>
        </w:rPr>
        <w:t xml:space="preserve">decision </w:t>
      </w:r>
      <w:r w:rsidR="00E96E6A" w:rsidRPr="008F7254">
        <w:rPr>
          <w:lang w:val="en-CA"/>
        </w:rPr>
        <w:t>XVIII/2</w:t>
      </w:r>
      <w:r w:rsidR="00C84153" w:rsidRPr="008F7254">
        <w:rPr>
          <w:lang w:val="en-CA"/>
        </w:rPr>
        <w:t xml:space="preserve"> and how the s</w:t>
      </w:r>
      <w:r w:rsidR="00E96E6A" w:rsidRPr="008F7254">
        <w:rPr>
          <w:lang w:val="en-CA"/>
        </w:rPr>
        <w:t>ervicing sector</w:t>
      </w:r>
      <w:r w:rsidR="00C84153" w:rsidRPr="008F7254">
        <w:rPr>
          <w:lang w:val="en-CA"/>
        </w:rPr>
        <w:t xml:space="preserve"> is related </w:t>
      </w:r>
      <w:r w:rsidR="00E96E6A" w:rsidRPr="008F7254">
        <w:rPr>
          <w:lang w:val="en-CA"/>
        </w:rPr>
        <w:t>to energy efficiency</w:t>
      </w:r>
      <w:r w:rsidR="00C84153" w:rsidRPr="008F7254">
        <w:rPr>
          <w:lang w:val="en-CA"/>
        </w:rPr>
        <w:t>.</w:t>
      </w:r>
    </w:p>
    <w:p w:rsidR="00AF40D6" w:rsidRPr="008F7254" w:rsidRDefault="00A11FA6" w:rsidP="008F7254">
      <w:pPr>
        <w:pStyle w:val="Heading1"/>
      </w:pPr>
      <w:r>
        <w:rPr>
          <w:lang w:val="en-CA"/>
        </w:rPr>
        <w:t>The Government of Germany</w:t>
      </w:r>
      <w:r w:rsidR="00C84153" w:rsidRPr="008F7254">
        <w:rPr>
          <w:lang w:val="en-CA"/>
        </w:rPr>
        <w:t xml:space="preserve"> </w:t>
      </w:r>
      <w:r w:rsidR="00AF40D6" w:rsidRPr="008F7254">
        <w:rPr>
          <w:lang w:val="en-CA"/>
        </w:rPr>
        <w:t>proposed</w:t>
      </w:r>
      <w:r w:rsidR="009257E4">
        <w:rPr>
          <w:lang w:val="en-CA"/>
        </w:rPr>
        <w:t xml:space="preserve"> </w:t>
      </w:r>
      <w:r w:rsidR="00B502AD" w:rsidRPr="008F7254">
        <w:t>in developing new guidelines on methodologies and cost calculations,</w:t>
      </w:r>
      <w:r w:rsidR="00B502AD" w:rsidRPr="008F7254">
        <w:rPr>
          <w:lang w:val="en-CA"/>
        </w:rPr>
        <w:t xml:space="preserve"> </w:t>
      </w:r>
      <w:r w:rsidR="00AF40D6" w:rsidRPr="008F7254">
        <w:rPr>
          <w:lang w:val="en-CA"/>
        </w:rPr>
        <w:t xml:space="preserve">to </w:t>
      </w:r>
      <w:r w:rsidR="00AF40D6" w:rsidRPr="008F7254">
        <w:t>include aspects related to the refrigeration servicing sector</w:t>
      </w:r>
      <w:r w:rsidR="009257E4">
        <w:t>,</w:t>
      </w:r>
      <w:r w:rsidR="00AF40D6" w:rsidRPr="008F7254">
        <w:t xml:space="preserve"> taking into account previous policy documents, case studies, and monitoring and evaluation reviews. The following was also proposed:</w:t>
      </w:r>
    </w:p>
    <w:p w:rsidR="0032413E" w:rsidRPr="008F7254" w:rsidRDefault="00AF40D6" w:rsidP="004F2C9D">
      <w:pPr>
        <w:pStyle w:val="Heading2"/>
        <w:ind w:left="1418" w:hanging="709"/>
      </w:pPr>
      <w:r w:rsidRPr="008F7254">
        <w:t>T</w:t>
      </w:r>
      <w:r w:rsidR="00C84153" w:rsidRPr="008F7254">
        <w:t>o</w:t>
      </w:r>
      <w:r w:rsidRPr="008F7254">
        <w:t xml:space="preserve"> </w:t>
      </w:r>
      <w:r w:rsidR="0032413E" w:rsidRPr="008F7254">
        <w:t>review the servicing sector activities. In the past servicing sector activities have not necessarily</w:t>
      </w:r>
      <w:r w:rsidR="009257E4">
        <w:t xml:space="preserve"> </w:t>
      </w:r>
      <w:r w:rsidR="009257E4" w:rsidRPr="008F7254">
        <w:t>been</w:t>
      </w:r>
      <w:r w:rsidR="0032413E" w:rsidRPr="008F7254">
        <w:t xml:space="preserve"> designed as a package of policies, regulations, enforcement, skill training and conformity monitoring to build a functioning, qualitative service infrastructure in developing countries. </w:t>
      </w:r>
      <w:r w:rsidR="001E0992">
        <w:t>E</w:t>
      </w:r>
      <w:r w:rsidR="009257E4">
        <w:t>s</w:t>
      </w:r>
      <w:r w:rsidR="0032413E" w:rsidRPr="008F7254">
        <w:t>pecially with regard to the formulation and enforcement of regulations countries need more support</w:t>
      </w:r>
      <w:r w:rsidRPr="008F7254">
        <w:t>;</w:t>
      </w:r>
    </w:p>
    <w:p w:rsidR="0032413E" w:rsidRPr="008F7254" w:rsidRDefault="0032413E" w:rsidP="004F2C9D">
      <w:pPr>
        <w:pStyle w:val="Heading2"/>
        <w:keepNext/>
        <w:widowControl/>
        <w:ind w:left="1418" w:hanging="709"/>
      </w:pPr>
      <w:r w:rsidRPr="008F7254">
        <w:lastRenderedPageBreak/>
        <w:t>Cost categories considered to be eligible and included in the cost calculation</w:t>
      </w:r>
      <w:r w:rsidR="00AF40D6" w:rsidRPr="008F7254">
        <w:t xml:space="preserve"> are t</w:t>
      </w:r>
      <w:r w:rsidRPr="008F7254">
        <w:t xml:space="preserve">raining of customs officers; </w:t>
      </w:r>
      <w:r w:rsidR="00AF40D6" w:rsidRPr="008F7254">
        <w:t>p</w:t>
      </w:r>
      <w:r w:rsidRPr="008F7254">
        <w:t xml:space="preserve">reventing illegal trade of HFCs; </w:t>
      </w:r>
      <w:r w:rsidR="00AF40D6" w:rsidRPr="008F7254">
        <w:t>p</w:t>
      </w:r>
      <w:r w:rsidRPr="008F7254">
        <w:t xml:space="preserve">olicy development and implementation; </w:t>
      </w:r>
      <w:r w:rsidR="00AF40D6" w:rsidRPr="008F7254">
        <w:t>p</w:t>
      </w:r>
      <w:r w:rsidRPr="008F7254">
        <w:t>ublic awareness activities;</w:t>
      </w:r>
      <w:r w:rsidR="00AF40D6" w:rsidRPr="008F7254">
        <w:t xml:space="preserve"> t</w:t>
      </w:r>
      <w:r w:rsidRPr="008F7254">
        <w:t>raining of technicians in good practices and the safety of alternatives, including training equipment and</w:t>
      </w:r>
      <w:r w:rsidR="00381371">
        <w:t xml:space="preserve"> </w:t>
      </w:r>
      <w:r w:rsidRPr="008F7254">
        <w:t>servicing tools;</w:t>
      </w:r>
      <w:r w:rsidR="00AF40D6" w:rsidRPr="008F7254">
        <w:t xml:space="preserve"> c</w:t>
      </w:r>
      <w:r w:rsidRPr="008F7254">
        <w:t xml:space="preserve">ertification programmes, monitoring conformity of products, equipment and services in the RAC sectors; </w:t>
      </w:r>
      <w:r w:rsidR="00AF40D6" w:rsidRPr="008F7254">
        <w:t>r</w:t>
      </w:r>
      <w:r w:rsidRPr="008F7254">
        <w:t>ecycling and recovery of HFCs;</w:t>
      </w:r>
      <w:r w:rsidR="00AF40D6" w:rsidRPr="008F7254">
        <w:t xml:space="preserve"> [and b</w:t>
      </w:r>
      <w:r w:rsidRPr="008F7254">
        <w:t>est practice on energy efficiency]</w:t>
      </w:r>
      <w:r w:rsidR="00AF40D6" w:rsidRPr="008F7254">
        <w:t>;</w:t>
      </w:r>
    </w:p>
    <w:p w:rsidR="00AF40D6" w:rsidRPr="008F7254" w:rsidRDefault="0032413E" w:rsidP="004F2C9D">
      <w:pPr>
        <w:pStyle w:val="Heading2"/>
        <w:ind w:left="1418" w:hanging="709"/>
      </w:pPr>
      <w:r w:rsidRPr="008F7254">
        <w:t xml:space="preserve">It is important to integrate servicing activities for HCFC and HFCs and rationalise the implementation of activities. </w:t>
      </w:r>
      <w:r w:rsidR="00AF40D6" w:rsidRPr="008F7254">
        <w:t>A</w:t>
      </w:r>
      <w:r w:rsidRPr="008F7254">
        <w:t xml:space="preserve"> strategy needs to be in place that illustrates the necessary actions with regard to the introduction of low-GWP</w:t>
      </w:r>
      <w:r w:rsidR="00AF40D6" w:rsidRPr="008F7254">
        <w:t xml:space="preserve"> alternatives under both plans; </w:t>
      </w:r>
    </w:p>
    <w:p w:rsidR="00AF40D6" w:rsidRPr="008F7254" w:rsidRDefault="0032413E" w:rsidP="004F2C9D">
      <w:pPr>
        <w:pStyle w:val="Heading2"/>
        <w:ind w:left="1418" w:hanging="709"/>
      </w:pPr>
      <w:r w:rsidRPr="008F7254">
        <w:t xml:space="preserve">This requires a larger degree of differentiation between the various subsectors, alternatives and applications in a country. It will require a stricter formalization of servicing sectors in the countries, specifying requirements in terms of education, quality assurance, tools and conditions </w:t>
      </w:r>
      <w:r w:rsidR="009257E4">
        <w:t xml:space="preserve">under </w:t>
      </w:r>
      <w:r w:rsidRPr="008F7254">
        <w:t>which new technologies with low-GWP alternatives nee</w:t>
      </w:r>
      <w:r w:rsidR="00F77264">
        <w:t>d to be serviced and maintained;</w:t>
      </w:r>
      <w:r w:rsidR="00381371">
        <w:t xml:space="preserve"> </w:t>
      </w:r>
    </w:p>
    <w:p w:rsidR="00AF40D6" w:rsidRPr="008F7254" w:rsidRDefault="0032413E" w:rsidP="004F2C9D">
      <w:pPr>
        <w:pStyle w:val="Heading2"/>
        <w:ind w:left="1418" w:hanging="709"/>
      </w:pPr>
      <w:r w:rsidRPr="008F7254">
        <w:t>This necessarily includes a review of local standards. Countries</w:t>
      </w:r>
      <w:r w:rsidR="009257E4">
        <w:t xml:space="preserve"> need to make sure that there are</w:t>
      </w:r>
      <w:r w:rsidRPr="008F7254">
        <w:t xml:space="preserve"> no concession</w:t>
      </w:r>
      <w:r w:rsidR="009257E4">
        <w:t>s</w:t>
      </w:r>
      <w:r w:rsidRPr="008F7254">
        <w:t xml:space="preserve"> on safety for users, independent </w:t>
      </w:r>
      <w:r w:rsidR="009257E4">
        <w:t>o</w:t>
      </w:r>
      <w:r w:rsidRPr="008F7254">
        <w:t>f</w:t>
      </w:r>
      <w:r w:rsidR="009257E4">
        <w:t xml:space="preserve"> </w:t>
      </w:r>
      <w:r w:rsidRPr="008F7254">
        <w:t xml:space="preserve">whether new or refurbished equipment is in use. Furthermore, this should include a review of vocational training systems, </w:t>
      </w:r>
      <w:r w:rsidR="009257E4">
        <w:t xml:space="preserve">and </w:t>
      </w:r>
      <w:r w:rsidRPr="008F7254">
        <w:t xml:space="preserve">the qualification and certification that can be provided through them. In addition, for local quality assurance, certifiers may be needed to confirm the scope of local supplies, </w:t>
      </w:r>
      <w:r w:rsidR="009257E4">
        <w:t xml:space="preserve">the </w:t>
      </w:r>
      <w:r w:rsidRPr="008F7254">
        <w:t>compliance of services with standards, product checks, final inspection as required for certification of equipment, and regular inspection</w:t>
      </w:r>
      <w:r w:rsidR="00B502AD" w:rsidRPr="008F7254">
        <w:t>;</w:t>
      </w:r>
    </w:p>
    <w:p w:rsidR="00AF40D6" w:rsidRPr="008F7254" w:rsidRDefault="0032413E" w:rsidP="004F2C9D">
      <w:pPr>
        <w:pStyle w:val="Heading2"/>
        <w:ind w:left="1418" w:hanging="709"/>
      </w:pPr>
      <w:r w:rsidRPr="008F7254">
        <w:t>A holistic approach would result in robust local qualitative infrastructure that builds capacity throughout the sectors and institutions: national vocational training system, national certification bodies, policy makers in government and associations, code of practice and skill developers, enforcement authorities,</w:t>
      </w:r>
      <w:r w:rsidR="009257E4">
        <w:t xml:space="preserve"> and</w:t>
      </w:r>
      <w:r w:rsidRPr="008F7254">
        <w:t xml:space="preserve"> local providers of certification, testing and quality assurances</w:t>
      </w:r>
      <w:r w:rsidR="00B502AD" w:rsidRPr="008F7254">
        <w:t>. T</w:t>
      </w:r>
      <w:r w:rsidRPr="008F7254">
        <w:t>herefore, the delivery of a holistic approach will require longer-term formali</w:t>
      </w:r>
      <w:r w:rsidR="009257E4">
        <w:t>z</w:t>
      </w:r>
      <w:r w:rsidRPr="008F7254">
        <w:t>ed structural changes of processes and institutions. It needs to be assisted by agents</w:t>
      </w:r>
      <w:r w:rsidR="009257E4">
        <w:t xml:space="preserve"> who </w:t>
      </w:r>
      <w:r w:rsidRPr="008F7254">
        <w:t>are sufficiently experienced in delivering institution building in A</w:t>
      </w:r>
      <w:r w:rsidR="00B502AD" w:rsidRPr="008F7254">
        <w:t>rticle 5</w:t>
      </w:r>
      <w:r w:rsidRPr="008F7254">
        <w:t xml:space="preserve"> countries in the field of national vocational training and certification</w:t>
      </w:r>
      <w:r w:rsidR="00B502AD" w:rsidRPr="008F7254">
        <w:t>;</w:t>
      </w:r>
    </w:p>
    <w:p w:rsidR="00AF40D6" w:rsidRPr="008F7254" w:rsidRDefault="000A4F85" w:rsidP="004F2C9D">
      <w:pPr>
        <w:pStyle w:val="Heading2"/>
        <w:ind w:left="1418" w:hanging="709"/>
      </w:pPr>
      <w:r>
        <w:t>T</w:t>
      </w:r>
      <w:r w:rsidR="0032413E" w:rsidRPr="008F7254">
        <w:t xml:space="preserve">ogether </w:t>
      </w:r>
      <w:r w:rsidR="0032413E" w:rsidRPr="008E0963">
        <w:t>developing countries need to provide a qualitative infrastructure to install, operate and disassemble products and equipment operating on low-GWP alternatives, with new oper</w:t>
      </w:r>
      <w:r w:rsidR="00B502AD" w:rsidRPr="008E0963">
        <w:t>ational and safety</w:t>
      </w:r>
      <w:r w:rsidR="00B502AD" w:rsidRPr="008F7254">
        <w:t xml:space="preserve"> requirements. </w:t>
      </w:r>
      <w:r w:rsidR="0032413E" w:rsidRPr="008F7254">
        <w:t>In this regard, it needs to be recognised that the E</w:t>
      </w:r>
      <w:r w:rsidR="00B502AD" w:rsidRPr="008F7254">
        <w:t>xecutive Committee</w:t>
      </w:r>
      <w:r w:rsidR="0032413E" w:rsidRPr="008F7254">
        <w:t xml:space="preserve"> has already anticipated the need and </w:t>
      </w:r>
      <w:r>
        <w:t xml:space="preserve">has </w:t>
      </w:r>
      <w:r w:rsidR="0032413E" w:rsidRPr="008F7254">
        <w:t xml:space="preserve">adapted guidelines to significantly increased servicing sector funding for </w:t>
      </w:r>
      <w:r w:rsidR="00B502AD" w:rsidRPr="008F7254">
        <w:t>Article 5 countries</w:t>
      </w:r>
      <w:r w:rsidR="0032413E" w:rsidRPr="008F7254">
        <w:t xml:space="preserve"> in view of managing the more difficult introduction of low-GWP alternatives, with a priority on those </w:t>
      </w:r>
      <w:r w:rsidR="00B502AD" w:rsidRPr="008F7254">
        <w:t>Article 5 countries</w:t>
      </w:r>
      <w:r w:rsidR="0032413E" w:rsidRPr="008F7254">
        <w:t xml:space="preserve"> with consumption below 360</w:t>
      </w:r>
      <w:r w:rsidR="00E449FE" w:rsidRPr="008F7254">
        <w:t xml:space="preserve"> </w:t>
      </w:r>
      <w:r w:rsidR="0032413E" w:rsidRPr="008F7254">
        <w:t xml:space="preserve">mt </w:t>
      </w:r>
      <w:r>
        <w:t xml:space="preserve">of </w:t>
      </w:r>
      <w:r w:rsidR="0032413E" w:rsidRPr="008F7254">
        <w:t>HCF</w:t>
      </w:r>
      <w:r w:rsidR="00B502AD" w:rsidRPr="008F7254">
        <w:t>C;</w:t>
      </w:r>
      <w:r w:rsidR="00F77264">
        <w:t xml:space="preserve"> and</w:t>
      </w:r>
    </w:p>
    <w:p w:rsidR="0032413E" w:rsidRPr="008F7254" w:rsidRDefault="0032413E" w:rsidP="004F2C9D">
      <w:pPr>
        <w:pStyle w:val="Heading2"/>
        <w:ind w:left="1418" w:hanging="709"/>
      </w:pPr>
      <w:r w:rsidRPr="008F7254">
        <w:t xml:space="preserve">In summary, addressing the servicing sector can have a big impact on emissions and energy use, </w:t>
      </w:r>
      <w:r w:rsidR="000A4F85">
        <w:t xml:space="preserve">and </w:t>
      </w:r>
      <w:r w:rsidRPr="008F7254">
        <w:t xml:space="preserve">it should be addressed holistically. Given </w:t>
      </w:r>
      <w:r w:rsidR="000A4F85">
        <w:t xml:space="preserve">the </w:t>
      </w:r>
      <w:r w:rsidRPr="008F7254">
        <w:t>flammab</w:t>
      </w:r>
      <w:r w:rsidR="000A4F85">
        <w:t>ility</w:t>
      </w:r>
      <w:r w:rsidRPr="008F7254">
        <w:t xml:space="preserve"> and toxicity of alternatives, local needs for certification need </w:t>
      </w:r>
      <w:r w:rsidR="000A4F85">
        <w:t>must</w:t>
      </w:r>
      <w:r w:rsidRPr="008F7254">
        <w:t xml:space="preserve"> be seen in</w:t>
      </w:r>
      <w:r w:rsidR="000A4F85">
        <w:t xml:space="preserve"> the </w:t>
      </w:r>
      <w:r w:rsidRPr="008F7254">
        <w:t>context of regulations and standards and should be reviewed</w:t>
      </w:r>
      <w:r w:rsidR="00B502AD" w:rsidRPr="008F7254">
        <w:t xml:space="preserve"> for all Multilateral Fund</w:t>
      </w:r>
      <w:r w:rsidRPr="008F7254">
        <w:t xml:space="preserve"> funded activities in this sector. </w:t>
      </w:r>
    </w:p>
    <w:p w:rsidR="00477152" w:rsidRPr="008F7254" w:rsidRDefault="00477152" w:rsidP="008F7254">
      <w:pPr>
        <w:pStyle w:val="Heading1"/>
      </w:pPr>
      <w:r w:rsidRPr="008F7254">
        <w:t xml:space="preserve">The </w:t>
      </w:r>
      <w:r w:rsidR="004C1851">
        <w:t xml:space="preserve">Government of </w:t>
      </w:r>
      <w:r w:rsidR="000A4F85">
        <w:t xml:space="preserve">the </w:t>
      </w:r>
      <w:r w:rsidR="004C1851">
        <w:t>Unite</w:t>
      </w:r>
      <w:r w:rsidR="000A4F85">
        <w:t>d</w:t>
      </w:r>
      <w:r w:rsidR="004C1851">
        <w:t xml:space="preserve"> States</w:t>
      </w:r>
      <w:r w:rsidRPr="008F7254">
        <w:t xml:space="preserve"> of America provided </w:t>
      </w:r>
      <w:r w:rsidR="003C7530" w:rsidRPr="008F7254">
        <w:t xml:space="preserve">a comprehensive set of </w:t>
      </w:r>
      <w:r w:rsidR="00A75DE5" w:rsidRPr="008F7254">
        <w:t xml:space="preserve">documents </w:t>
      </w:r>
      <w:r w:rsidR="00294FA6" w:rsidRPr="008F7254">
        <w:t xml:space="preserve">containing </w:t>
      </w:r>
      <w:r w:rsidR="003C7530" w:rsidRPr="008F7254">
        <w:t>r</w:t>
      </w:r>
      <w:r w:rsidRPr="008F7254">
        <w:t xml:space="preserve">elevant </w:t>
      </w:r>
      <w:r w:rsidR="009B0610">
        <w:t xml:space="preserve">technical </w:t>
      </w:r>
      <w:r w:rsidRPr="008F7254">
        <w:t xml:space="preserve">information regarding </w:t>
      </w:r>
      <w:r w:rsidR="009B0610">
        <w:t xml:space="preserve">activities being implemented domestically in the </w:t>
      </w:r>
      <w:r w:rsidRPr="008F7254">
        <w:t>refrigeration servicing sector</w:t>
      </w:r>
      <w:r w:rsidR="00812DA3" w:rsidRPr="008F7254">
        <w:t xml:space="preserve"> </w:t>
      </w:r>
      <w:r w:rsidR="00E442D7" w:rsidRPr="008F7254">
        <w:t>but with principles applicable to many Article 5 countries</w:t>
      </w:r>
      <w:r w:rsidR="009B0610">
        <w:t xml:space="preserve">. Information from these documents is </w:t>
      </w:r>
      <w:r w:rsidR="003C7530" w:rsidRPr="008F7254">
        <w:t xml:space="preserve">summarized </w:t>
      </w:r>
      <w:r w:rsidR="00116D49">
        <w:t xml:space="preserve">in Annex IV </w:t>
      </w:r>
      <w:r w:rsidR="00731087">
        <w:t xml:space="preserve">to the present document </w:t>
      </w:r>
      <w:r w:rsidR="00116D49">
        <w:t>related to the refrigeration servicing sector</w:t>
      </w:r>
      <w:r w:rsidR="00E329AC">
        <w:t xml:space="preserve">. </w:t>
      </w:r>
    </w:p>
    <w:p w:rsidR="00031EDF" w:rsidRPr="008F7254" w:rsidRDefault="00031EDF" w:rsidP="008F7254">
      <w:pPr>
        <w:pStyle w:val="Heading1"/>
        <w:numPr>
          <w:ilvl w:val="0"/>
          <w:numId w:val="0"/>
        </w:numPr>
        <w:rPr>
          <w:u w:val="single"/>
        </w:rPr>
      </w:pPr>
      <w:r w:rsidRPr="008F7254">
        <w:rPr>
          <w:u w:val="single"/>
        </w:rPr>
        <w:lastRenderedPageBreak/>
        <w:t>Previous Executive Committee decisions and practice</w:t>
      </w:r>
    </w:p>
    <w:p w:rsidR="00962A46" w:rsidRDefault="002A7752" w:rsidP="00962A46">
      <w:pPr>
        <w:pStyle w:val="Heading1"/>
      </w:pPr>
      <w:r w:rsidRPr="008F7254">
        <w:t>Phasing out CFC use in the refrigeration servicing sector has been one of the Committee’s priorities. As early as 1991, training programmes for refrigeration technicians, and recovery and recycling projects were funded in several Article 5 countries. Since then, recovery and recycling projects and stand</w:t>
      </w:r>
      <w:r w:rsidR="00E52B90" w:rsidRPr="008F7254">
        <w:noBreakHyphen/>
      </w:r>
      <w:r w:rsidRPr="008F7254">
        <w:t xml:space="preserve">alone training programmes </w:t>
      </w:r>
      <w:r w:rsidR="000A4F85">
        <w:t xml:space="preserve">have been </w:t>
      </w:r>
      <w:r w:rsidRPr="008F7254">
        <w:t>replaced by refrigerant management plans (RMPs) and terminal phase</w:t>
      </w:r>
      <w:r w:rsidR="003B5F68">
        <w:t>-</w:t>
      </w:r>
      <w:r w:rsidRPr="008F7254">
        <w:t>out management plans (TPMPs) for LVC countries, and national phase-out plans (NPPs) for non</w:t>
      </w:r>
      <w:r w:rsidR="00C05C51">
        <w:noBreakHyphen/>
      </w:r>
      <w:r w:rsidRPr="008F7254">
        <w:t>LVC countries.</w:t>
      </w:r>
      <w:r w:rsidR="00962A46">
        <w:t xml:space="preserve"> Subsequently, the great majority of Article 5 countries </w:t>
      </w:r>
      <w:r w:rsidR="000A4F85">
        <w:t xml:space="preserve">have </w:t>
      </w:r>
      <w:r w:rsidR="00962A46">
        <w:t xml:space="preserve">received assistance for activities in the refrigeration servicing sector as part of their HPMPs. </w:t>
      </w:r>
    </w:p>
    <w:p w:rsidR="002A7752" w:rsidRPr="008F7254" w:rsidRDefault="00962A46" w:rsidP="00962A46">
      <w:pPr>
        <w:pStyle w:val="Heading1"/>
      </w:pPr>
      <w:r>
        <w:t>All the categories of eligible costs included in</w:t>
      </w:r>
      <w:r w:rsidR="00625A79">
        <w:t xml:space="preserve"> paragraph 15(c) of</w:t>
      </w:r>
      <w:r>
        <w:t xml:space="preserve"> decision XXVIII/2 have already been funded in the past as part of the refrigeration servicing sector (i.e., public-awareness activities; policy development and implementation; certification programmes and training of technicians on safe handling, good practice and safety in respect of alternatives, including training equipment; training of customs officers; prevention of illegal trade of </w:t>
      </w:r>
      <w:r w:rsidR="00AF4291">
        <w:t>ODS</w:t>
      </w:r>
      <w:r>
        <w:t xml:space="preserve">; servicing tools; refrigerant testing equipment for the refrigeration and air-conditioning sector; and recycling and recovery of </w:t>
      </w:r>
      <w:r w:rsidR="00AF4291">
        <w:t>ODS</w:t>
      </w:r>
      <w:r>
        <w:t>).</w:t>
      </w:r>
    </w:p>
    <w:p w:rsidR="002A7752" w:rsidRPr="008F7254" w:rsidRDefault="002A7752" w:rsidP="008F7254">
      <w:pPr>
        <w:pStyle w:val="Heading1"/>
      </w:pPr>
      <w:r w:rsidRPr="008F7254">
        <w:t xml:space="preserve">The costing of </w:t>
      </w:r>
      <w:r w:rsidR="00F908F8" w:rsidRPr="008F7254">
        <w:t xml:space="preserve">activities in </w:t>
      </w:r>
      <w:r w:rsidRPr="008F7254">
        <w:t xml:space="preserve">the refrigeration servicing sector </w:t>
      </w:r>
      <w:r w:rsidR="000A4F85">
        <w:t>is</w:t>
      </w:r>
      <w:r w:rsidRPr="008F7254">
        <w:t xml:space="preserve"> influenced by the prevailing circumstances at the country level, such as: population size; geographical distribution of the main economic activities; </w:t>
      </w:r>
      <w:r w:rsidR="00F77264">
        <w:t xml:space="preserve">consumption level; </w:t>
      </w:r>
      <w:r w:rsidRPr="008F7254">
        <w:t xml:space="preserve">the types and capacities of refrigeration and air-conditioning systems in operation; the characteristics of the service workshops; and the technical skills of servicing technicians. </w:t>
      </w:r>
      <w:r w:rsidR="00F908F8" w:rsidRPr="008F7254">
        <w:t xml:space="preserve">For the </w:t>
      </w:r>
      <w:r w:rsidR="00C20447" w:rsidRPr="008F7254">
        <w:t>HCFC phase</w:t>
      </w:r>
      <w:r w:rsidR="00E52B90" w:rsidRPr="008F7254">
        <w:t>-</w:t>
      </w:r>
      <w:r w:rsidR="00C20447" w:rsidRPr="008F7254">
        <w:t>out</w:t>
      </w:r>
      <w:r w:rsidR="00625A79">
        <w:t>,</w:t>
      </w:r>
      <w:r w:rsidR="00C20447" w:rsidRPr="008F7254">
        <w:t xml:space="preserve"> </w:t>
      </w:r>
      <w:r w:rsidR="00F908F8" w:rsidRPr="008F7254">
        <w:t xml:space="preserve">the costs </w:t>
      </w:r>
      <w:r w:rsidR="00C20447" w:rsidRPr="008F7254">
        <w:t>were</w:t>
      </w:r>
      <w:r w:rsidRPr="008F7254">
        <w:t xml:space="preserve"> estimated based on the Fund’s experience in CFC phase-out activities in the servicing sector. Using the main components of TPMPs and NPPs, funding </w:t>
      </w:r>
      <w:r w:rsidR="00C20447" w:rsidRPr="008F7254">
        <w:t>was</w:t>
      </w:r>
      <w:r w:rsidRPr="008F7254">
        <w:t xml:space="preserve"> proposed for reviewing ODS legislation and licensing systems; training and awareness of major stakeholders (i.e., customs officers, refrigeration technicians, code of good practices, certification schemes, establishment of technicians associations); implementing technical assistance activities (e.g., basic tooling kits for technicians, a few additional recovery/recycling machines and introduction of non-HCFC refrigerants); and monitoring and reporting</w:t>
      </w:r>
      <w:r w:rsidR="00B829CB">
        <w:t>.</w:t>
      </w:r>
      <w:r w:rsidR="00C20447" w:rsidRPr="008F7254">
        <w:rPr>
          <w:rStyle w:val="FootnoteReference"/>
        </w:rPr>
        <w:footnoteReference w:id="46"/>
      </w:r>
      <w:r w:rsidRPr="008F7254">
        <w:t xml:space="preserve"> </w:t>
      </w:r>
    </w:p>
    <w:p w:rsidR="003C6471" w:rsidRPr="008F7254" w:rsidRDefault="003C6471" w:rsidP="008F7254">
      <w:pPr>
        <w:pStyle w:val="Heading1"/>
      </w:pPr>
      <w:r w:rsidRPr="008F7254">
        <w:t>Decision XIX/6 introduced a number of elements in</w:t>
      </w:r>
      <w:r w:rsidR="000A4F85">
        <w:t>to</w:t>
      </w:r>
      <w:r w:rsidRPr="008F7254">
        <w:t xml:space="preserve"> the approach to</w:t>
      </w:r>
      <w:r w:rsidR="000A4F85">
        <w:t xml:space="preserve"> implementing </w:t>
      </w:r>
      <w:r w:rsidRPr="008F7254">
        <w:t>projects (including</w:t>
      </w:r>
      <w:r w:rsidR="000A4F85">
        <w:t xml:space="preserve"> in</w:t>
      </w:r>
      <w:r w:rsidRPr="008F7254">
        <w:t xml:space="preserve"> the refrigeration servicing sector) by requesting the Parties to promote the selection of alternatives to HCFCs that minimize environmental impacts, in particular impacts on climate, while achieving HCFC phase-out, and by asking the Executive Committee to give priority to cost-effective projects and programmes which focus on </w:t>
      </w:r>
      <w:r w:rsidRPr="008F7254">
        <w:rPr>
          <w:i/>
        </w:rPr>
        <w:t>inter alia</w:t>
      </w:r>
      <w:r w:rsidRPr="008F7254">
        <w:t xml:space="preserve"> substitutes and alternatives that minimize other impacts on the environment, including on the climate, taking into account GWP, energy use and other relevant factors.</w:t>
      </w:r>
    </w:p>
    <w:p w:rsidR="00CB5155" w:rsidRPr="008F7254" w:rsidRDefault="00CB5155" w:rsidP="004F2C9D">
      <w:pPr>
        <w:pStyle w:val="Heading1"/>
        <w:widowControl w:val="0"/>
        <w:rPr>
          <w:b/>
          <w:lang w:val="en-CA"/>
        </w:rPr>
      </w:pPr>
      <w:r w:rsidRPr="008F7254">
        <w:rPr>
          <w:lang w:val="en-CA"/>
        </w:rPr>
        <w:t xml:space="preserve">Currently, the funding level approved to enable Article 5 countries with total HCFC </w:t>
      </w:r>
      <w:r w:rsidR="002F1BDA">
        <w:rPr>
          <w:lang w:val="en-CA"/>
        </w:rPr>
        <w:t xml:space="preserve">baseline </w:t>
      </w:r>
      <w:r w:rsidRPr="008F7254">
        <w:rPr>
          <w:lang w:val="en-CA"/>
        </w:rPr>
        <w:t>consumption</w:t>
      </w:r>
      <w:r w:rsidR="00E442D7" w:rsidRPr="008F7254">
        <w:rPr>
          <w:lang w:val="en-CA"/>
        </w:rPr>
        <w:t xml:space="preserve"> </w:t>
      </w:r>
      <w:r w:rsidRPr="008F7254">
        <w:rPr>
          <w:lang w:val="en-CA"/>
        </w:rPr>
        <w:t>of up to 360 mt to phase out all HCFCs used in the servicing sector is shown in Table 3; while the level of funding for all other Article 5 countries is calculated at US $4.80/metric kg of HCFC used in the servicing sector, in line with decision 74/50.</w:t>
      </w:r>
      <w:r w:rsidRPr="008F7254">
        <w:t xml:space="preserve"> </w:t>
      </w:r>
    </w:p>
    <w:p w:rsidR="00CB5155" w:rsidRPr="004F2C9D" w:rsidRDefault="00CB5155" w:rsidP="004F2C9D">
      <w:pPr>
        <w:pStyle w:val="Heading1"/>
        <w:keepNext/>
        <w:numPr>
          <w:ilvl w:val="0"/>
          <w:numId w:val="0"/>
        </w:numPr>
        <w:spacing w:after="0"/>
        <w:rPr>
          <w:b/>
          <w:sz w:val="21"/>
          <w:szCs w:val="21"/>
          <w:lang w:val="en-CA"/>
        </w:rPr>
      </w:pPr>
      <w:r w:rsidRPr="004F2C9D">
        <w:rPr>
          <w:b/>
          <w:sz w:val="21"/>
          <w:szCs w:val="21"/>
          <w:lang w:val="en-CA"/>
        </w:rPr>
        <w:lastRenderedPageBreak/>
        <w:t>Table 3. Level of funding for the refrigeration servicing sector in low-volume consuming countries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5130"/>
      </w:tblGrid>
      <w:tr w:rsidR="00CB5155" w:rsidRPr="004F2C9D" w:rsidTr="00E01A46">
        <w:trPr>
          <w:trHeight w:val="20"/>
        </w:trPr>
        <w:tc>
          <w:tcPr>
            <w:tcW w:w="4230" w:type="dxa"/>
            <w:noWrap/>
            <w:vAlign w:val="center"/>
            <w:hideMark/>
          </w:tcPr>
          <w:p w:rsidR="00CB5155" w:rsidRPr="004F2C9D" w:rsidRDefault="00CB5155" w:rsidP="004F2C9D">
            <w:pPr>
              <w:keepNext/>
              <w:jc w:val="center"/>
              <w:rPr>
                <w:b/>
                <w:color w:val="000000" w:themeColor="text1"/>
                <w:sz w:val="21"/>
                <w:szCs w:val="21"/>
                <w:lang w:val="en-CA"/>
              </w:rPr>
            </w:pPr>
            <w:r w:rsidRPr="004F2C9D">
              <w:rPr>
                <w:b/>
                <w:color w:val="000000" w:themeColor="text1"/>
                <w:sz w:val="21"/>
                <w:szCs w:val="21"/>
                <w:lang w:val="en-CA"/>
              </w:rPr>
              <w:t>Consumption (mt)*</w:t>
            </w:r>
          </w:p>
        </w:tc>
        <w:tc>
          <w:tcPr>
            <w:tcW w:w="5130" w:type="dxa"/>
            <w:noWrap/>
            <w:tcMar>
              <w:top w:w="0" w:type="dxa"/>
              <w:left w:w="115" w:type="dxa"/>
              <w:bottom w:w="0" w:type="dxa"/>
              <w:right w:w="504" w:type="dxa"/>
            </w:tcMar>
            <w:vAlign w:val="center"/>
            <w:hideMark/>
          </w:tcPr>
          <w:p w:rsidR="00CB5155" w:rsidRPr="004F2C9D" w:rsidRDefault="00CB5155" w:rsidP="004F2C9D">
            <w:pPr>
              <w:keepNext/>
              <w:jc w:val="center"/>
              <w:rPr>
                <w:b/>
                <w:color w:val="000000" w:themeColor="text1"/>
                <w:sz w:val="21"/>
                <w:szCs w:val="21"/>
                <w:lang w:val="en-CA"/>
              </w:rPr>
            </w:pPr>
            <w:r w:rsidRPr="004F2C9D">
              <w:rPr>
                <w:b/>
                <w:color w:val="000000" w:themeColor="text1"/>
                <w:sz w:val="21"/>
                <w:szCs w:val="21"/>
                <w:lang w:val="en-CA"/>
              </w:rPr>
              <w:t>Total funding (US $)**</w:t>
            </w:r>
          </w:p>
        </w:tc>
      </w:tr>
      <w:tr w:rsidR="00CB5155" w:rsidRPr="004F2C9D" w:rsidTr="00E01A46">
        <w:trPr>
          <w:trHeight w:val="20"/>
        </w:trPr>
        <w:tc>
          <w:tcPr>
            <w:tcW w:w="4230" w:type="dxa"/>
            <w:noWrap/>
            <w:vAlign w:val="center"/>
            <w:hideMark/>
          </w:tcPr>
          <w:p w:rsidR="00CB5155" w:rsidRPr="004F2C9D" w:rsidRDefault="00CB5155" w:rsidP="004F2C9D">
            <w:pPr>
              <w:keepNext/>
              <w:jc w:val="center"/>
              <w:rPr>
                <w:color w:val="000000" w:themeColor="text1"/>
                <w:sz w:val="21"/>
                <w:szCs w:val="21"/>
                <w:lang w:val="en-CA"/>
              </w:rPr>
            </w:pPr>
            <w:r w:rsidRPr="004F2C9D">
              <w:rPr>
                <w:color w:val="000000" w:themeColor="text1"/>
                <w:sz w:val="21"/>
                <w:szCs w:val="21"/>
                <w:lang w:val="en-CA"/>
              </w:rPr>
              <w:t>&gt;0 &lt;15</w:t>
            </w:r>
          </w:p>
        </w:tc>
        <w:tc>
          <w:tcPr>
            <w:tcW w:w="5130" w:type="dxa"/>
            <w:noWrap/>
            <w:tcMar>
              <w:top w:w="0" w:type="dxa"/>
              <w:left w:w="115" w:type="dxa"/>
              <w:bottom w:w="0" w:type="dxa"/>
              <w:right w:w="2160" w:type="dxa"/>
            </w:tcMar>
            <w:vAlign w:val="center"/>
            <w:hideMark/>
          </w:tcPr>
          <w:p w:rsidR="00CB5155" w:rsidRPr="004F2C9D" w:rsidRDefault="00CB5155" w:rsidP="004F2C9D">
            <w:pPr>
              <w:keepNext/>
              <w:jc w:val="right"/>
              <w:rPr>
                <w:color w:val="000000" w:themeColor="text1"/>
                <w:sz w:val="21"/>
                <w:szCs w:val="21"/>
                <w:lang w:val="en-CA"/>
              </w:rPr>
            </w:pPr>
            <w:r w:rsidRPr="004F2C9D">
              <w:rPr>
                <w:color w:val="000000" w:themeColor="text1"/>
                <w:sz w:val="21"/>
                <w:szCs w:val="21"/>
                <w:lang w:val="en-CA"/>
              </w:rPr>
              <w:t>587,500</w:t>
            </w:r>
          </w:p>
        </w:tc>
      </w:tr>
      <w:tr w:rsidR="00CB5155" w:rsidRPr="004F2C9D" w:rsidTr="00E01A46">
        <w:trPr>
          <w:trHeight w:val="20"/>
        </w:trPr>
        <w:tc>
          <w:tcPr>
            <w:tcW w:w="4230" w:type="dxa"/>
            <w:noWrap/>
            <w:vAlign w:val="center"/>
            <w:hideMark/>
          </w:tcPr>
          <w:p w:rsidR="00CB5155" w:rsidRPr="004F2C9D" w:rsidRDefault="00CB5155" w:rsidP="004F2C9D">
            <w:pPr>
              <w:keepNext/>
              <w:jc w:val="center"/>
              <w:rPr>
                <w:color w:val="000000" w:themeColor="text1"/>
                <w:sz w:val="21"/>
                <w:szCs w:val="21"/>
                <w:lang w:val="en-CA"/>
              </w:rPr>
            </w:pPr>
            <w:r w:rsidRPr="004F2C9D">
              <w:rPr>
                <w:color w:val="000000" w:themeColor="text1"/>
                <w:sz w:val="21"/>
                <w:szCs w:val="21"/>
                <w:lang w:val="en-CA"/>
              </w:rPr>
              <w:t>15 &lt;40</w:t>
            </w:r>
          </w:p>
        </w:tc>
        <w:tc>
          <w:tcPr>
            <w:tcW w:w="5130" w:type="dxa"/>
            <w:noWrap/>
            <w:tcMar>
              <w:top w:w="0" w:type="dxa"/>
              <w:left w:w="115" w:type="dxa"/>
              <w:bottom w:w="0" w:type="dxa"/>
              <w:right w:w="2160" w:type="dxa"/>
            </w:tcMar>
            <w:vAlign w:val="center"/>
            <w:hideMark/>
          </w:tcPr>
          <w:p w:rsidR="00CB5155" w:rsidRPr="004F2C9D" w:rsidRDefault="00CB5155" w:rsidP="004F2C9D">
            <w:pPr>
              <w:keepNext/>
              <w:jc w:val="right"/>
              <w:rPr>
                <w:color w:val="000000" w:themeColor="text1"/>
                <w:sz w:val="21"/>
                <w:szCs w:val="21"/>
                <w:lang w:val="en-CA"/>
              </w:rPr>
            </w:pPr>
            <w:r w:rsidRPr="004F2C9D">
              <w:rPr>
                <w:color w:val="000000" w:themeColor="text1"/>
                <w:sz w:val="21"/>
                <w:szCs w:val="21"/>
                <w:lang w:val="en-CA"/>
              </w:rPr>
              <w:t>750,000</w:t>
            </w:r>
          </w:p>
        </w:tc>
      </w:tr>
      <w:tr w:rsidR="00CB5155" w:rsidRPr="004F2C9D" w:rsidTr="00E01A46">
        <w:trPr>
          <w:trHeight w:val="20"/>
        </w:trPr>
        <w:tc>
          <w:tcPr>
            <w:tcW w:w="4230" w:type="dxa"/>
            <w:noWrap/>
            <w:vAlign w:val="center"/>
            <w:hideMark/>
          </w:tcPr>
          <w:p w:rsidR="00CB5155" w:rsidRPr="004F2C9D" w:rsidRDefault="00CB5155" w:rsidP="004F2C9D">
            <w:pPr>
              <w:keepNext/>
              <w:jc w:val="center"/>
              <w:rPr>
                <w:color w:val="000000" w:themeColor="text1"/>
                <w:sz w:val="21"/>
                <w:szCs w:val="21"/>
                <w:lang w:val="en-CA"/>
              </w:rPr>
            </w:pPr>
            <w:r w:rsidRPr="004F2C9D">
              <w:rPr>
                <w:color w:val="000000" w:themeColor="text1"/>
                <w:sz w:val="21"/>
                <w:szCs w:val="21"/>
                <w:lang w:val="en-CA"/>
              </w:rPr>
              <w:t>40 &lt;80</w:t>
            </w:r>
          </w:p>
        </w:tc>
        <w:tc>
          <w:tcPr>
            <w:tcW w:w="5130" w:type="dxa"/>
            <w:noWrap/>
            <w:tcMar>
              <w:top w:w="0" w:type="dxa"/>
              <w:left w:w="115" w:type="dxa"/>
              <w:bottom w:w="0" w:type="dxa"/>
              <w:right w:w="2160" w:type="dxa"/>
            </w:tcMar>
            <w:vAlign w:val="center"/>
            <w:hideMark/>
          </w:tcPr>
          <w:p w:rsidR="00CB5155" w:rsidRPr="004F2C9D" w:rsidRDefault="00CB5155" w:rsidP="004F2C9D">
            <w:pPr>
              <w:keepNext/>
              <w:jc w:val="right"/>
              <w:rPr>
                <w:color w:val="000000" w:themeColor="text1"/>
                <w:sz w:val="21"/>
                <w:szCs w:val="21"/>
                <w:lang w:val="en-CA"/>
              </w:rPr>
            </w:pPr>
            <w:r w:rsidRPr="004F2C9D">
              <w:rPr>
                <w:color w:val="000000" w:themeColor="text1"/>
                <w:sz w:val="21"/>
                <w:szCs w:val="21"/>
                <w:lang w:val="en-CA"/>
              </w:rPr>
              <w:t>800,000</w:t>
            </w:r>
          </w:p>
        </w:tc>
      </w:tr>
      <w:tr w:rsidR="00CB5155" w:rsidRPr="004F2C9D" w:rsidTr="00E01A46">
        <w:trPr>
          <w:trHeight w:val="20"/>
        </w:trPr>
        <w:tc>
          <w:tcPr>
            <w:tcW w:w="4230" w:type="dxa"/>
            <w:noWrap/>
            <w:vAlign w:val="center"/>
            <w:hideMark/>
          </w:tcPr>
          <w:p w:rsidR="00CB5155" w:rsidRPr="004F2C9D" w:rsidRDefault="00CB5155" w:rsidP="004F2C9D">
            <w:pPr>
              <w:keepNext/>
              <w:jc w:val="center"/>
              <w:rPr>
                <w:color w:val="000000" w:themeColor="text1"/>
                <w:sz w:val="21"/>
                <w:szCs w:val="21"/>
                <w:lang w:val="en-CA"/>
              </w:rPr>
            </w:pPr>
            <w:r w:rsidRPr="004F2C9D">
              <w:rPr>
                <w:color w:val="000000" w:themeColor="text1"/>
                <w:sz w:val="21"/>
                <w:szCs w:val="21"/>
                <w:lang w:val="en-CA"/>
              </w:rPr>
              <w:t>80 &lt;120</w:t>
            </w:r>
          </w:p>
        </w:tc>
        <w:tc>
          <w:tcPr>
            <w:tcW w:w="5130" w:type="dxa"/>
            <w:noWrap/>
            <w:tcMar>
              <w:top w:w="0" w:type="dxa"/>
              <w:left w:w="115" w:type="dxa"/>
              <w:bottom w:w="0" w:type="dxa"/>
              <w:right w:w="2160" w:type="dxa"/>
            </w:tcMar>
            <w:vAlign w:val="center"/>
            <w:hideMark/>
          </w:tcPr>
          <w:p w:rsidR="00CB5155" w:rsidRPr="004F2C9D" w:rsidRDefault="00CB5155" w:rsidP="004F2C9D">
            <w:pPr>
              <w:keepNext/>
              <w:jc w:val="right"/>
              <w:rPr>
                <w:color w:val="000000" w:themeColor="text1"/>
                <w:sz w:val="21"/>
                <w:szCs w:val="21"/>
                <w:lang w:val="en-CA"/>
              </w:rPr>
            </w:pPr>
            <w:r w:rsidRPr="004F2C9D">
              <w:rPr>
                <w:color w:val="000000" w:themeColor="text1"/>
                <w:sz w:val="21"/>
                <w:szCs w:val="21"/>
                <w:lang w:val="en-CA"/>
              </w:rPr>
              <w:t>900,000</w:t>
            </w:r>
          </w:p>
        </w:tc>
      </w:tr>
      <w:tr w:rsidR="00CB5155" w:rsidRPr="004F2C9D" w:rsidTr="00E01A46">
        <w:trPr>
          <w:trHeight w:val="20"/>
        </w:trPr>
        <w:tc>
          <w:tcPr>
            <w:tcW w:w="4230" w:type="dxa"/>
            <w:noWrap/>
            <w:vAlign w:val="center"/>
            <w:hideMark/>
          </w:tcPr>
          <w:p w:rsidR="00CB5155" w:rsidRPr="004F2C9D" w:rsidRDefault="00CB5155" w:rsidP="004F2C9D">
            <w:pPr>
              <w:keepNext/>
              <w:jc w:val="center"/>
              <w:rPr>
                <w:color w:val="000000" w:themeColor="text1"/>
                <w:sz w:val="21"/>
                <w:szCs w:val="21"/>
                <w:lang w:val="en-CA"/>
              </w:rPr>
            </w:pPr>
            <w:r w:rsidRPr="004F2C9D">
              <w:rPr>
                <w:color w:val="000000" w:themeColor="text1"/>
                <w:sz w:val="21"/>
                <w:szCs w:val="21"/>
                <w:lang w:val="en-CA"/>
              </w:rPr>
              <w:t>120 &lt;160</w:t>
            </w:r>
          </w:p>
        </w:tc>
        <w:tc>
          <w:tcPr>
            <w:tcW w:w="5130" w:type="dxa"/>
            <w:noWrap/>
            <w:tcMar>
              <w:top w:w="0" w:type="dxa"/>
              <w:left w:w="115" w:type="dxa"/>
              <w:bottom w:w="0" w:type="dxa"/>
              <w:right w:w="2160" w:type="dxa"/>
            </w:tcMar>
            <w:vAlign w:val="center"/>
            <w:hideMark/>
          </w:tcPr>
          <w:p w:rsidR="00CB5155" w:rsidRPr="004F2C9D" w:rsidRDefault="00CB5155" w:rsidP="004F2C9D">
            <w:pPr>
              <w:keepNext/>
              <w:jc w:val="right"/>
              <w:rPr>
                <w:color w:val="000000" w:themeColor="text1"/>
                <w:sz w:val="21"/>
                <w:szCs w:val="21"/>
                <w:lang w:val="en-CA"/>
              </w:rPr>
            </w:pPr>
            <w:r w:rsidRPr="004F2C9D">
              <w:rPr>
                <w:color w:val="000000" w:themeColor="text1"/>
                <w:sz w:val="21"/>
                <w:szCs w:val="21"/>
                <w:lang w:val="en-CA"/>
              </w:rPr>
              <w:t>950,000</w:t>
            </w:r>
          </w:p>
        </w:tc>
      </w:tr>
      <w:tr w:rsidR="00CB5155" w:rsidRPr="004F2C9D" w:rsidTr="00E01A46">
        <w:trPr>
          <w:trHeight w:val="20"/>
        </w:trPr>
        <w:tc>
          <w:tcPr>
            <w:tcW w:w="4230" w:type="dxa"/>
            <w:noWrap/>
            <w:vAlign w:val="center"/>
            <w:hideMark/>
          </w:tcPr>
          <w:p w:rsidR="00CB5155" w:rsidRPr="004F2C9D" w:rsidRDefault="00CB5155" w:rsidP="004F2C9D">
            <w:pPr>
              <w:keepNext/>
              <w:jc w:val="center"/>
              <w:rPr>
                <w:color w:val="000000" w:themeColor="text1"/>
                <w:sz w:val="21"/>
                <w:szCs w:val="21"/>
                <w:lang w:val="en-CA"/>
              </w:rPr>
            </w:pPr>
            <w:r w:rsidRPr="004F2C9D">
              <w:rPr>
                <w:color w:val="000000" w:themeColor="text1"/>
                <w:sz w:val="21"/>
                <w:szCs w:val="21"/>
                <w:lang w:val="en-CA"/>
              </w:rPr>
              <w:t>160 &lt;200</w:t>
            </w:r>
          </w:p>
        </w:tc>
        <w:tc>
          <w:tcPr>
            <w:tcW w:w="5130" w:type="dxa"/>
            <w:noWrap/>
            <w:tcMar>
              <w:top w:w="0" w:type="dxa"/>
              <w:left w:w="115" w:type="dxa"/>
              <w:bottom w:w="0" w:type="dxa"/>
              <w:right w:w="2160" w:type="dxa"/>
            </w:tcMar>
            <w:vAlign w:val="center"/>
            <w:hideMark/>
          </w:tcPr>
          <w:p w:rsidR="00CB5155" w:rsidRPr="004F2C9D" w:rsidRDefault="00CB5155" w:rsidP="004F2C9D">
            <w:pPr>
              <w:keepNext/>
              <w:jc w:val="right"/>
              <w:rPr>
                <w:color w:val="000000" w:themeColor="text1"/>
                <w:sz w:val="21"/>
                <w:szCs w:val="21"/>
                <w:lang w:val="en-CA"/>
              </w:rPr>
            </w:pPr>
            <w:r w:rsidRPr="004F2C9D">
              <w:rPr>
                <w:color w:val="000000" w:themeColor="text1"/>
                <w:sz w:val="21"/>
                <w:szCs w:val="21"/>
                <w:lang w:val="en-CA"/>
              </w:rPr>
              <w:t>1,000,000</w:t>
            </w:r>
          </w:p>
        </w:tc>
      </w:tr>
      <w:tr w:rsidR="00CB5155" w:rsidRPr="004F2C9D" w:rsidTr="00E01A46">
        <w:trPr>
          <w:trHeight w:val="20"/>
        </w:trPr>
        <w:tc>
          <w:tcPr>
            <w:tcW w:w="4230" w:type="dxa"/>
            <w:noWrap/>
            <w:vAlign w:val="center"/>
            <w:hideMark/>
          </w:tcPr>
          <w:p w:rsidR="00CB5155" w:rsidRPr="004F2C9D" w:rsidRDefault="00CB5155" w:rsidP="004F2C9D">
            <w:pPr>
              <w:keepNext/>
              <w:jc w:val="center"/>
              <w:rPr>
                <w:color w:val="000000" w:themeColor="text1"/>
                <w:sz w:val="21"/>
                <w:szCs w:val="21"/>
                <w:lang w:val="en-CA"/>
              </w:rPr>
            </w:pPr>
            <w:r w:rsidRPr="004F2C9D">
              <w:rPr>
                <w:color w:val="000000" w:themeColor="text1"/>
                <w:sz w:val="21"/>
                <w:szCs w:val="21"/>
                <w:lang w:val="en-CA"/>
              </w:rPr>
              <w:t>200 &lt;320</w:t>
            </w:r>
          </w:p>
        </w:tc>
        <w:tc>
          <w:tcPr>
            <w:tcW w:w="5130" w:type="dxa"/>
            <w:noWrap/>
            <w:tcMar>
              <w:top w:w="0" w:type="dxa"/>
              <w:left w:w="115" w:type="dxa"/>
              <w:bottom w:w="0" w:type="dxa"/>
              <w:right w:w="2160" w:type="dxa"/>
            </w:tcMar>
            <w:vAlign w:val="center"/>
            <w:hideMark/>
          </w:tcPr>
          <w:p w:rsidR="00CB5155" w:rsidRPr="004F2C9D" w:rsidRDefault="00CB5155" w:rsidP="004F2C9D">
            <w:pPr>
              <w:keepNext/>
              <w:jc w:val="right"/>
              <w:rPr>
                <w:color w:val="000000" w:themeColor="text1"/>
                <w:sz w:val="21"/>
                <w:szCs w:val="21"/>
                <w:lang w:val="en-CA"/>
              </w:rPr>
            </w:pPr>
            <w:r w:rsidRPr="004F2C9D">
              <w:rPr>
                <w:color w:val="000000" w:themeColor="text1"/>
                <w:sz w:val="21"/>
                <w:szCs w:val="21"/>
                <w:lang w:val="en-CA"/>
              </w:rPr>
              <w:t>1,600,000</w:t>
            </w:r>
          </w:p>
        </w:tc>
      </w:tr>
      <w:tr w:rsidR="00CB5155" w:rsidRPr="004F2C9D" w:rsidTr="00E01A46">
        <w:trPr>
          <w:trHeight w:val="20"/>
        </w:trPr>
        <w:tc>
          <w:tcPr>
            <w:tcW w:w="4230" w:type="dxa"/>
            <w:noWrap/>
            <w:vAlign w:val="center"/>
            <w:hideMark/>
          </w:tcPr>
          <w:p w:rsidR="00CB5155" w:rsidRPr="004F2C9D" w:rsidRDefault="00CB5155" w:rsidP="004F2C9D">
            <w:pPr>
              <w:keepNext/>
              <w:jc w:val="center"/>
              <w:rPr>
                <w:color w:val="000000" w:themeColor="text1"/>
                <w:sz w:val="21"/>
                <w:szCs w:val="21"/>
                <w:lang w:val="en-CA"/>
              </w:rPr>
            </w:pPr>
            <w:r w:rsidRPr="004F2C9D">
              <w:rPr>
                <w:color w:val="000000" w:themeColor="text1"/>
                <w:sz w:val="21"/>
                <w:szCs w:val="21"/>
                <w:lang w:val="en-CA"/>
              </w:rPr>
              <w:t>320 &lt;360</w:t>
            </w:r>
          </w:p>
        </w:tc>
        <w:tc>
          <w:tcPr>
            <w:tcW w:w="5130" w:type="dxa"/>
            <w:noWrap/>
            <w:tcMar>
              <w:top w:w="0" w:type="dxa"/>
              <w:left w:w="115" w:type="dxa"/>
              <w:bottom w:w="0" w:type="dxa"/>
              <w:right w:w="2160" w:type="dxa"/>
            </w:tcMar>
            <w:vAlign w:val="center"/>
            <w:hideMark/>
          </w:tcPr>
          <w:p w:rsidR="00CB5155" w:rsidRPr="004F2C9D" w:rsidRDefault="00CB5155" w:rsidP="004F2C9D">
            <w:pPr>
              <w:keepNext/>
              <w:jc w:val="right"/>
              <w:rPr>
                <w:color w:val="000000" w:themeColor="text1"/>
                <w:sz w:val="21"/>
                <w:szCs w:val="21"/>
                <w:lang w:val="en-CA"/>
              </w:rPr>
            </w:pPr>
            <w:r w:rsidRPr="004F2C9D">
              <w:rPr>
                <w:color w:val="000000" w:themeColor="text1"/>
                <w:sz w:val="21"/>
                <w:szCs w:val="21"/>
                <w:lang w:val="en-CA"/>
              </w:rPr>
              <w:t>1,800,000</w:t>
            </w:r>
          </w:p>
        </w:tc>
      </w:tr>
    </w:tbl>
    <w:p w:rsidR="00CB5155" w:rsidRPr="004F2C9D" w:rsidRDefault="00CB5155" w:rsidP="004F2C9D">
      <w:pPr>
        <w:keepNext/>
        <w:rPr>
          <w:color w:val="000000" w:themeColor="text1"/>
          <w:sz w:val="21"/>
          <w:szCs w:val="21"/>
          <w:lang w:val="en-CA"/>
        </w:rPr>
      </w:pPr>
      <w:r w:rsidRPr="004F2C9D">
        <w:rPr>
          <w:color w:val="000000" w:themeColor="text1"/>
          <w:sz w:val="21"/>
          <w:szCs w:val="21"/>
          <w:lang w:val="en-CA"/>
        </w:rPr>
        <w:t>(*) Level of HCFC baseline consumption in the refrigeration servicing sector.</w:t>
      </w:r>
    </w:p>
    <w:p w:rsidR="00CB5155" w:rsidRPr="004F2C9D" w:rsidRDefault="00CB5155" w:rsidP="004F2C9D">
      <w:pPr>
        <w:keepNext/>
        <w:spacing w:after="240"/>
        <w:rPr>
          <w:sz w:val="21"/>
          <w:szCs w:val="21"/>
          <w:lang w:val="en-CA"/>
        </w:rPr>
      </w:pPr>
      <w:r w:rsidRPr="004F2C9D">
        <w:rPr>
          <w:sz w:val="21"/>
          <w:szCs w:val="21"/>
          <w:lang w:val="en-CA"/>
        </w:rPr>
        <w:t>(**) Represents the maximum funding eligible.</w:t>
      </w:r>
    </w:p>
    <w:p w:rsidR="003C6471" w:rsidRPr="008F7254" w:rsidRDefault="009B0610" w:rsidP="008F7254">
      <w:pPr>
        <w:pStyle w:val="Heading1"/>
      </w:pPr>
      <w:r>
        <w:t>Additional information regarding the refrigeration servicing sector is contained in Annex IV to the present document.</w:t>
      </w:r>
    </w:p>
    <w:p w:rsidR="003F2349" w:rsidRPr="008F7254" w:rsidRDefault="003F2349" w:rsidP="008F7254">
      <w:pPr>
        <w:rPr>
          <w:rFonts w:eastAsiaTheme="minorHAnsi"/>
          <w:u w:val="single"/>
        </w:rPr>
      </w:pPr>
      <w:r w:rsidRPr="008F7254">
        <w:rPr>
          <w:rFonts w:eastAsiaTheme="minorHAnsi"/>
          <w:u w:val="single"/>
        </w:rPr>
        <w:t>Other costs</w:t>
      </w:r>
    </w:p>
    <w:p w:rsidR="003F2349" w:rsidRPr="008F7254" w:rsidRDefault="003F2349" w:rsidP="008F7254">
      <w:pPr>
        <w:rPr>
          <w:rFonts w:eastAsiaTheme="minorHAnsi"/>
          <w:u w:val="single"/>
        </w:rPr>
      </w:pPr>
    </w:p>
    <w:p w:rsidR="003F2349" w:rsidRDefault="004A1D35" w:rsidP="00B829CB">
      <w:pPr>
        <w:pStyle w:val="Heading1"/>
        <w:numPr>
          <w:ilvl w:val="0"/>
          <w:numId w:val="0"/>
        </w:numPr>
        <w:rPr>
          <w:rFonts w:eastAsiaTheme="minorHAnsi"/>
          <w:i/>
        </w:rPr>
      </w:pPr>
      <w:r w:rsidRPr="008F7254">
        <w:rPr>
          <w:rFonts w:eastAsiaTheme="minorHAnsi"/>
          <w:u w:val="single"/>
        </w:rPr>
        <w:t>Paragraph 25, decision XXVIII/2</w:t>
      </w:r>
      <w:r w:rsidRPr="008F7254">
        <w:rPr>
          <w:rFonts w:eastAsiaTheme="minorHAnsi"/>
        </w:rPr>
        <w:t>:</w:t>
      </w:r>
      <w:r w:rsidRPr="008F7254">
        <w:rPr>
          <w:rFonts w:eastAsiaTheme="minorHAnsi"/>
          <w:i/>
        </w:rPr>
        <w:t xml:space="preserve"> </w:t>
      </w:r>
      <w:r w:rsidR="003F2349" w:rsidRPr="008F7254">
        <w:rPr>
          <w:rFonts w:eastAsiaTheme="minorHAnsi"/>
          <w:i/>
        </w:rPr>
        <w:t>“The Parties may identify other cost items to be added to the indicative list of incremental costs emanating as a result of the conversion to low-GWP alternatives”</w:t>
      </w:r>
      <w:r w:rsidRPr="008F7254">
        <w:rPr>
          <w:rFonts w:eastAsiaTheme="minorHAnsi"/>
          <w:i/>
        </w:rPr>
        <w:t>.</w:t>
      </w:r>
    </w:p>
    <w:p w:rsidR="00B803A4" w:rsidRPr="008F7254" w:rsidRDefault="00B803A4" w:rsidP="00B803A4">
      <w:pPr>
        <w:pStyle w:val="Heading1"/>
        <w:rPr>
          <w:lang w:val="en-CA"/>
        </w:rPr>
      </w:pPr>
      <w:r>
        <w:t xml:space="preserve">Paragraph 25 of decision XXVIII/2 has been included in </w:t>
      </w:r>
      <w:r w:rsidRPr="00B803A4">
        <w:t xml:space="preserve">the template for the cost </w:t>
      </w:r>
      <w:r>
        <w:t>guidelines contained in Annex I</w:t>
      </w:r>
      <w:r w:rsidRPr="008F7254">
        <w:rPr>
          <w:i/>
          <w:lang w:val="en-CA"/>
        </w:rPr>
        <w:t>.</w:t>
      </w:r>
    </w:p>
    <w:p w:rsidR="0026743A" w:rsidRPr="008F7254" w:rsidRDefault="0026743A" w:rsidP="008F7254">
      <w:pPr>
        <w:pStyle w:val="ListParagraph"/>
        <w:keepNext/>
        <w:numPr>
          <w:ilvl w:val="0"/>
          <w:numId w:val="14"/>
        </w:numPr>
        <w:ind w:left="709" w:hanging="709"/>
        <w:rPr>
          <w:b/>
          <w:lang w:val="en-CA"/>
        </w:rPr>
      </w:pPr>
      <w:r w:rsidRPr="008F7254">
        <w:rPr>
          <w:b/>
        </w:rPr>
        <w:t>Institutional</w:t>
      </w:r>
      <w:r w:rsidRPr="008F7254">
        <w:rPr>
          <w:b/>
          <w:lang w:val="en-CA"/>
        </w:rPr>
        <w:t xml:space="preserve"> strengthening (IS)</w:t>
      </w:r>
    </w:p>
    <w:p w:rsidR="0026743A" w:rsidRPr="008F7254" w:rsidRDefault="0026743A" w:rsidP="008F7254">
      <w:pPr>
        <w:keepNext/>
        <w:rPr>
          <w:lang w:val="en-CA"/>
        </w:rPr>
      </w:pPr>
    </w:p>
    <w:p w:rsidR="0026743A" w:rsidRPr="008F7254" w:rsidRDefault="00943FCF" w:rsidP="00B829CB">
      <w:pPr>
        <w:pStyle w:val="Heading1"/>
        <w:numPr>
          <w:ilvl w:val="0"/>
          <w:numId w:val="0"/>
        </w:numPr>
      </w:pPr>
      <w:r w:rsidRPr="008F7254">
        <w:rPr>
          <w:u w:val="single"/>
          <w:lang w:val="en-CA"/>
        </w:rPr>
        <w:t>Paragraph 21, decision XXVIII/2</w:t>
      </w:r>
      <w:r w:rsidRPr="008F7254">
        <w:rPr>
          <w:lang w:val="en-CA"/>
        </w:rPr>
        <w:t xml:space="preserve">: </w:t>
      </w:r>
      <w:r w:rsidR="00030BB5" w:rsidRPr="008F7254">
        <w:rPr>
          <w:i/>
          <w:lang w:val="en-CA"/>
        </w:rPr>
        <w:t>“</w:t>
      </w:r>
      <w:r w:rsidRPr="008F7254">
        <w:rPr>
          <w:i/>
          <w:lang w:val="en-CA"/>
        </w:rPr>
        <w:t>T</w:t>
      </w:r>
      <w:r w:rsidR="00030BB5" w:rsidRPr="008F7254">
        <w:rPr>
          <w:i/>
          <w:lang w:val="en-CA"/>
        </w:rPr>
        <w:t xml:space="preserve">o </w:t>
      </w:r>
      <w:r w:rsidR="0026743A" w:rsidRPr="008F7254">
        <w:rPr>
          <w:i/>
          <w:lang w:val="en-CA"/>
        </w:rPr>
        <w:t>direct the Executive Committee t</w:t>
      </w:r>
      <w:r w:rsidR="0026743A" w:rsidRPr="008F7254">
        <w:rPr>
          <w:i/>
        </w:rPr>
        <w:t xml:space="preserve">o increase IS support in light of new commitments related to HFCs under this </w:t>
      </w:r>
      <w:r w:rsidR="00301AC9">
        <w:rPr>
          <w:i/>
        </w:rPr>
        <w:t>A</w:t>
      </w:r>
      <w:r w:rsidR="0026743A" w:rsidRPr="008F7254">
        <w:rPr>
          <w:i/>
        </w:rPr>
        <w:t>mendment</w:t>
      </w:r>
      <w:r w:rsidR="00030BB5" w:rsidRPr="008F7254">
        <w:rPr>
          <w:i/>
        </w:rPr>
        <w:t>”</w:t>
      </w:r>
      <w:r w:rsidRPr="008F7254">
        <w:t>.</w:t>
      </w:r>
    </w:p>
    <w:p w:rsidR="002078A5" w:rsidRPr="00D3798F" w:rsidRDefault="0026743A" w:rsidP="008F7254">
      <w:pPr>
        <w:pStyle w:val="Heading1"/>
        <w:keepNext/>
      </w:pPr>
      <w:r w:rsidRPr="008F7254">
        <w:rPr>
          <w:lang w:val="en-CA"/>
        </w:rPr>
        <w:t xml:space="preserve">Considering the relevance of IS for the implementation of the Montreal Protocol, and the number of decisions adopted by the Executive Committee, a </w:t>
      </w:r>
      <w:r w:rsidR="006905A5" w:rsidRPr="008F7254">
        <w:rPr>
          <w:lang w:val="en-CA"/>
        </w:rPr>
        <w:t xml:space="preserve">comprehensive </w:t>
      </w:r>
      <w:r w:rsidRPr="008F7254">
        <w:rPr>
          <w:lang w:val="en-CA"/>
        </w:rPr>
        <w:t>discussion of IS in the context of the Kigali Amendment and decision XXVIII/2 is presented in document UNEP/OzL.Pro/ExCom/</w:t>
      </w:r>
      <w:r w:rsidRPr="00D3798F">
        <w:rPr>
          <w:lang w:val="en-CA"/>
        </w:rPr>
        <w:t>78/</w:t>
      </w:r>
      <w:r w:rsidR="00D3798F" w:rsidRPr="00D3798F">
        <w:rPr>
          <w:lang w:val="en-CA"/>
        </w:rPr>
        <w:t>7</w:t>
      </w:r>
      <w:r w:rsidRPr="00D3798F">
        <w:rPr>
          <w:lang w:val="en-CA"/>
        </w:rPr>
        <w:t>.</w:t>
      </w:r>
    </w:p>
    <w:p w:rsidR="00E441E0" w:rsidRPr="008F7254" w:rsidRDefault="00E441E0" w:rsidP="008F7254">
      <w:pPr>
        <w:pStyle w:val="ListParagraph"/>
        <w:keepNext/>
        <w:numPr>
          <w:ilvl w:val="0"/>
          <w:numId w:val="14"/>
        </w:numPr>
        <w:ind w:left="709" w:hanging="709"/>
        <w:rPr>
          <w:b/>
          <w:lang w:val="en-CA"/>
        </w:rPr>
      </w:pPr>
      <w:r w:rsidRPr="008F7254">
        <w:rPr>
          <w:b/>
          <w:lang w:val="en-CA"/>
        </w:rPr>
        <w:t>Energy efficiency</w:t>
      </w:r>
    </w:p>
    <w:p w:rsidR="00C91130" w:rsidRPr="008F7254" w:rsidRDefault="00C91130" w:rsidP="008F7254">
      <w:pPr>
        <w:keepNext/>
        <w:rPr>
          <w:b/>
          <w:lang w:val="en-CA"/>
        </w:rPr>
      </w:pPr>
    </w:p>
    <w:p w:rsidR="00E441E0" w:rsidRPr="008F7254" w:rsidRDefault="00943FCF" w:rsidP="00B829CB">
      <w:pPr>
        <w:pStyle w:val="Heading1"/>
        <w:numPr>
          <w:ilvl w:val="0"/>
          <w:numId w:val="0"/>
        </w:numPr>
        <w:rPr>
          <w:lang w:val="en-CA"/>
        </w:rPr>
      </w:pPr>
      <w:r w:rsidRPr="008F7254">
        <w:rPr>
          <w:u w:val="single"/>
          <w:lang w:val="en-CA"/>
        </w:rPr>
        <w:t>Paragraph 22, decision XXVIII/2</w:t>
      </w:r>
      <w:r w:rsidRPr="008F7254">
        <w:rPr>
          <w:lang w:val="en-CA"/>
        </w:rPr>
        <w:t xml:space="preserve">: </w:t>
      </w:r>
      <w:r w:rsidR="009F2329" w:rsidRPr="008F7254">
        <w:rPr>
          <w:i/>
          <w:lang w:val="en-CA"/>
        </w:rPr>
        <w:t>“</w:t>
      </w:r>
      <w:r w:rsidRPr="008F7254">
        <w:rPr>
          <w:i/>
          <w:lang w:val="en-CA"/>
        </w:rPr>
        <w:t>T</w:t>
      </w:r>
      <w:r w:rsidR="009F2329" w:rsidRPr="008F7254">
        <w:rPr>
          <w:i/>
          <w:lang w:val="en-CA"/>
        </w:rPr>
        <w:t xml:space="preserve">o </w:t>
      </w:r>
      <w:r w:rsidR="00E441E0" w:rsidRPr="008F7254">
        <w:rPr>
          <w:i/>
          <w:lang w:val="en-CA"/>
        </w:rPr>
        <w:t xml:space="preserve">request the Executive Committee to develop cost guidance associated with maintaining and/or enhancing </w:t>
      </w:r>
      <w:r w:rsidR="00486B6D" w:rsidRPr="008F7254">
        <w:rPr>
          <w:i/>
          <w:lang w:val="en-CA"/>
        </w:rPr>
        <w:t xml:space="preserve">the </w:t>
      </w:r>
      <w:r w:rsidR="00E441E0" w:rsidRPr="008F7254">
        <w:rPr>
          <w:i/>
          <w:lang w:val="en-CA"/>
        </w:rPr>
        <w:t>energy efficiency of low-GWP or zero-GWP replacement technologies and equipment, when phasing down HFCs, while taking note of the role of other institutions addressing energy efficiency, when appropriate</w:t>
      </w:r>
      <w:r w:rsidR="009F2329" w:rsidRPr="008F7254">
        <w:rPr>
          <w:i/>
          <w:lang w:val="en-CA"/>
        </w:rPr>
        <w:t>”</w:t>
      </w:r>
      <w:r w:rsidRPr="008F7254">
        <w:rPr>
          <w:i/>
          <w:lang w:val="en-CA"/>
        </w:rPr>
        <w:t>.</w:t>
      </w:r>
    </w:p>
    <w:p w:rsidR="009E77F8" w:rsidRPr="00B829CB" w:rsidRDefault="00D83378" w:rsidP="00AF3303">
      <w:pPr>
        <w:pStyle w:val="Heading2"/>
        <w:numPr>
          <w:ilvl w:val="0"/>
          <w:numId w:val="0"/>
        </w:numPr>
        <w:rPr>
          <w:u w:val="single"/>
        </w:rPr>
      </w:pPr>
      <w:r w:rsidRPr="00B829CB">
        <w:rPr>
          <w:u w:val="single"/>
        </w:rPr>
        <w:t>Information from Executive Committee members in accordance with decision 77/59(c)</w:t>
      </w:r>
    </w:p>
    <w:p w:rsidR="009A0676" w:rsidRPr="003761E3" w:rsidRDefault="00A11FA6" w:rsidP="009A0676">
      <w:pPr>
        <w:pStyle w:val="Heading1"/>
      </w:pPr>
      <w:r w:rsidRPr="003761E3">
        <w:t>The Government of Argentina</w:t>
      </w:r>
      <w:r w:rsidR="009A0676" w:rsidRPr="003761E3">
        <w:t>,</w:t>
      </w:r>
      <w:r w:rsidR="0062087D" w:rsidRPr="003761E3">
        <w:t xml:space="preserve"> not</w:t>
      </w:r>
      <w:r w:rsidR="009A0676" w:rsidRPr="003761E3">
        <w:t>ing</w:t>
      </w:r>
      <w:r w:rsidR="0062087D" w:rsidRPr="003761E3">
        <w:t xml:space="preserve"> that energy efficiency </w:t>
      </w:r>
      <w:r w:rsidR="009A0676" w:rsidRPr="003761E3">
        <w:t>i</w:t>
      </w:r>
      <w:r w:rsidR="0062087D" w:rsidRPr="003761E3">
        <w:t>s not included in agreed incremental costs</w:t>
      </w:r>
      <w:r w:rsidR="009A0676" w:rsidRPr="003761E3">
        <w:t xml:space="preserve">, </w:t>
      </w:r>
      <w:r w:rsidR="0062087D" w:rsidRPr="003761E3">
        <w:t xml:space="preserve">wanted to </w:t>
      </w:r>
      <w:r w:rsidR="009A0676" w:rsidRPr="003761E3">
        <w:t xml:space="preserve">know if </w:t>
      </w:r>
      <w:r w:rsidR="0062087D" w:rsidRPr="003761E3">
        <w:t>energy efficiency</w:t>
      </w:r>
      <w:r w:rsidR="000A4F85" w:rsidRPr="003761E3">
        <w:t xml:space="preserve"> </w:t>
      </w:r>
      <w:r w:rsidR="009A0676" w:rsidRPr="003761E3">
        <w:t xml:space="preserve">is going to be financed. </w:t>
      </w:r>
      <w:r w:rsidR="0077204B" w:rsidRPr="003761E3">
        <w:t xml:space="preserve">Argentina also stated </w:t>
      </w:r>
      <w:r w:rsidR="009A0676" w:rsidRPr="003761E3">
        <w:t>the first decision that should be taken into account and be taken to the Parties</w:t>
      </w:r>
      <w:r w:rsidR="0080647F" w:rsidRPr="003761E3">
        <w:t>’</w:t>
      </w:r>
      <w:r w:rsidR="009A0676" w:rsidRPr="003761E3">
        <w:t xml:space="preserve"> consideration, </w:t>
      </w:r>
      <w:r w:rsidR="0080647F" w:rsidRPr="003761E3">
        <w:t>before d</w:t>
      </w:r>
      <w:r w:rsidR="009A0676" w:rsidRPr="003761E3">
        <w:t>ecid</w:t>
      </w:r>
      <w:r w:rsidR="0080647F" w:rsidRPr="003761E3">
        <w:t>ing</w:t>
      </w:r>
      <w:r w:rsidR="009A0676" w:rsidRPr="003761E3">
        <w:t xml:space="preserve"> whether the Executive Committee should invest time in developing this cost guidance. The government also indicated that there is a need to establish a definition for low-GWP alternatives, and that in terms of energy efficiency, the Executive Committee has not approved funding for improved energy efficiency of refrigeration and air-conditioning equipment, as this is not considered as an eligible incremental cost under the MLF and because the focus was on phasing-out of ODS. Past Executive Committee decisions determined that technological upgrades go beyond what is covered as eligible incremental costs and would not be funded unless they were unavoidable as part of the project.</w:t>
      </w:r>
    </w:p>
    <w:p w:rsidR="00F77264" w:rsidRPr="003761E3" w:rsidRDefault="00F77264" w:rsidP="003761E3">
      <w:pPr>
        <w:pStyle w:val="Heading1"/>
      </w:pPr>
      <w:r w:rsidRPr="003761E3">
        <w:lastRenderedPageBreak/>
        <w:t>The Government of Germany provided a comprehensive input containing questions, recommendations and suggestions in four areas: coordination among donors and integration with other funding initiatives (including, among other points, the need for an action plan for parties to maximize energy efficiency in HCFC and HFC phase down based on opportunities, funds available from several sources and a supportive national framework and strategy; and a description of several sources of funding for energy efficiency); assessing the readiness of Article 5 countries to facilitate the implementation of energy efficiency measures (through, among others, a list of relevant needs and methodologies to assess national baselines and performance metrics, measures to implement energy efficiency certification processes and testing, options for attaching energy efficiency strictly to HFC phase-down activities, options for verifying funded energy efficient products compliance during operation); strategic planning under the Kigali Amendment (HCFC phase-down provides sufficient level playing field to generate best practice examples based on regular implementation modalities); the role of UN Environment Compliance Assistance Programme; and plus up administration. The complete text of the information provided by the Government of Germany on this (and all other) topics is contained in Annex II of document UNEP/OzL.Pro/ExCom/78/1/Add.1.</w:t>
      </w:r>
    </w:p>
    <w:p w:rsidR="0062087D" w:rsidRPr="008F7254" w:rsidRDefault="00A11FA6" w:rsidP="008F7254">
      <w:pPr>
        <w:numPr>
          <w:ilvl w:val="0"/>
          <w:numId w:val="1"/>
        </w:numPr>
        <w:outlineLvl w:val="0"/>
      </w:pPr>
      <w:r w:rsidRPr="00824C5B">
        <w:t>The Government of Japan</w:t>
      </w:r>
      <w:r w:rsidR="0062087D" w:rsidRPr="00824C5B">
        <w:t xml:space="preserve"> mentioned that incorporating</w:t>
      </w:r>
      <w:r w:rsidR="0062087D" w:rsidRPr="008F7254">
        <w:t xml:space="preserve"> energy efficiency in cost guidelines would be a complicated work as evaluation criteria and standards for energy efficiency vary among countries.</w:t>
      </w:r>
      <w:r w:rsidR="00381371">
        <w:t xml:space="preserve"> </w:t>
      </w:r>
      <w:r w:rsidR="0062087D" w:rsidRPr="008F7254">
        <w:t>The member further indicated that this aspect has to be given very careful consideration.</w:t>
      </w:r>
    </w:p>
    <w:p w:rsidR="0062087D" w:rsidRPr="008F7254" w:rsidRDefault="0062087D" w:rsidP="008F7254"/>
    <w:p w:rsidR="0062087D" w:rsidRPr="008F7254" w:rsidRDefault="0062087D" w:rsidP="00754F25">
      <w:pPr>
        <w:pStyle w:val="Heading1"/>
      </w:pPr>
      <w:r w:rsidRPr="008F7254">
        <w:t xml:space="preserve">The </w:t>
      </w:r>
      <w:r w:rsidR="004C1851">
        <w:t>Government of</w:t>
      </w:r>
      <w:r w:rsidR="00076CC2">
        <w:t xml:space="preserve"> the</w:t>
      </w:r>
      <w:r w:rsidR="004C1851">
        <w:t xml:space="preserve"> Unite</w:t>
      </w:r>
      <w:r w:rsidR="00076CC2">
        <w:t>d</w:t>
      </w:r>
      <w:r w:rsidR="004C1851">
        <w:t xml:space="preserve"> States</w:t>
      </w:r>
      <w:r w:rsidRPr="008F7254">
        <w:t xml:space="preserve"> of America provided </w:t>
      </w:r>
      <w:r w:rsidR="00915585">
        <w:t>a comprehensive set of</w:t>
      </w:r>
      <w:r w:rsidRPr="008F7254">
        <w:t xml:space="preserve"> documents on best practices </w:t>
      </w:r>
      <w:r w:rsidR="006A73A3">
        <w:t xml:space="preserve">and </w:t>
      </w:r>
      <w:r w:rsidR="006A73A3" w:rsidRPr="008F7254">
        <w:t xml:space="preserve">standards </w:t>
      </w:r>
      <w:r w:rsidRPr="008F7254">
        <w:t>related to servicing that highlight proper installation and maintenance procedures to reduce refrigerant leakage and maintain a system’s energy efficiency in refrigeration and air-conditioning equipment.</w:t>
      </w:r>
      <w:r w:rsidR="00381371">
        <w:t xml:space="preserve"> </w:t>
      </w:r>
      <w:r w:rsidRPr="008F7254">
        <w:t xml:space="preserve">The </w:t>
      </w:r>
      <w:r w:rsidR="004C1851">
        <w:t xml:space="preserve">Government </w:t>
      </w:r>
      <w:r w:rsidRPr="008F7254">
        <w:t xml:space="preserve">also noted that minimum energy conservation standards by the United States Department of Energy combined with </w:t>
      </w:r>
      <w:r w:rsidR="00076CC2">
        <w:t xml:space="preserve">the </w:t>
      </w:r>
      <w:r w:rsidRPr="008F7254">
        <w:t>E</w:t>
      </w:r>
      <w:r w:rsidR="00824C5B">
        <w:t xml:space="preserve">nergy </w:t>
      </w:r>
      <w:r w:rsidRPr="008F7254">
        <w:t>S</w:t>
      </w:r>
      <w:r w:rsidR="00824C5B">
        <w:t>tar</w:t>
      </w:r>
      <w:r w:rsidRPr="008F7254">
        <w:t xml:space="preserve"> labelling program have resulted in significant benefits, both for consumers in lower energy bills and for the environment in fewer greenhouse gas emissions. Without a minimum energy efficiency standard for equipment, the refrigeration and air-conditioning equipment manufacturers are likely to continue to produce least-cost, low-energy</w:t>
      </w:r>
      <w:r w:rsidR="00076CC2">
        <w:t xml:space="preserve"> </w:t>
      </w:r>
      <w:r w:rsidRPr="008F7254">
        <w:t>efficient equipment because there will continue to be a consumer market for it, even while they convert production lines to manufacture energy efficient units</w:t>
      </w:r>
      <w:r w:rsidRPr="00AF4291">
        <w:t>.</w:t>
      </w:r>
      <w:r w:rsidR="00381371" w:rsidRPr="00AF4291">
        <w:t xml:space="preserve"> </w:t>
      </w:r>
      <w:r w:rsidR="00517DEB" w:rsidRPr="00AF4291">
        <w:t xml:space="preserve">The United States requested that the Secretariat include consideration of the role that adequate and enforceable minimum energy efficiency standards can play in meeting the Parties’ goals outlined in </w:t>
      </w:r>
      <w:r w:rsidR="00AF4291" w:rsidRPr="00AF4291">
        <w:t>d</w:t>
      </w:r>
      <w:r w:rsidR="00517DEB" w:rsidRPr="00AF4291">
        <w:t>ecision XXVIII/2 in documents being prepared for the 78</w:t>
      </w:r>
      <w:r w:rsidR="00517DEB" w:rsidRPr="00AF4291">
        <w:rPr>
          <w:vertAlign w:val="superscript"/>
        </w:rPr>
        <w:t>th</w:t>
      </w:r>
      <w:r w:rsidR="00517DEB" w:rsidRPr="00AF4291">
        <w:t xml:space="preserve"> meeting. </w:t>
      </w:r>
      <w:r w:rsidR="00754F25" w:rsidRPr="00AF4291">
        <w:t>Some of the technical information provided by the Government of the</w:t>
      </w:r>
      <w:r w:rsidR="00754F25">
        <w:t xml:space="preserve"> United States </w:t>
      </w:r>
      <w:r w:rsidR="00824C5B">
        <w:t xml:space="preserve">of America </w:t>
      </w:r>
      <w:r w:rsidR="00754F25">
        <w:t xml:space="preserve">has been taken into consideration in the preparation of Annex V to the present document. The complete set of information provided by the </w:t>
      </w:r>
      <w:r w:rsidR="00824C5B">
        <w:t xml:space="preserve">Government of the </w:t>
      </w:r>
      <w:r w:rsidR="00754F25">
        <w:t xml:space="preserve">United States </w:t>
      </w:r>
      <w:r w:rsidR="00824C5B">
        <w:t xml:space="preserve">of America on this topic </w:t>
      </w:r>
      <w:r w:rsidR="00754F25">
        <w:t xml:space="preserve">is contained in </w:t>
      </w:r>
      <w:r w:rsidR="00754F25" w:rsidRPr="00754F25">
        <w:t>Annex II of document UNEP/OzL.Pro/ExCom/78/1/Add.1</w:t>
      </w:r>
      <w:r w:rsidR="00754F25">
        <w:t>.</w:t>
      </w:r>
    </w:p>
    <w:p w:rsidR="009E77F8" w:rsidRPr="008F7254" w:rsidRDefault="009E77F8" w:rsidP="008F7254">
      <w:pPr>
        <w:pStyle w:val="Heading1"/>
        <w:numPr>
          <w:ilvl w:val="0"/>
          <w:numId w:val="0"/>
        </w:numPr>
        <w:rPr>
          <w:u w:val="single"/>
        </w:rPr>
      </w:pPr>
      <w:r w:rsidRPr="008F7254">
        <w:rPr>
          <w:u w:val="single"/>
        </w:rPr>
        <w:t>Previous Executive Committee decisions and practice</w:t>
      </w:r>
    </w:p>
    <w:p w:rsidR="00C93A87" w:rsidRDefault="00C93A87" w:rsidP="008F7254">
      <w:pPr>
        <w:numPr>
          <w:ilvl w:val="0"/>
          <w:numId w:val="1"/>
        </w:numPr>
        <w:outlineLvl w:val="0"/>
      </w:pPr>
      <w:r w:rsidRPr="008F7254">
        <w:t xml:space="preserve">While </w:t>
      </w:r>
      <w:r w:rsidR="003761E3">
        <w:t xml:space="preserve">the indicative list of categories of incremental costs did not include enhancing energy efficiency, </w:t>
      </w:r>
      <w:r w:rsidRPr="008F7254">
        <w:t xml:space="preserve">the Executive Committee </w:t>
      </w:r>
      <w:r w:rsidR="00076CC2">
        <w:t xml:space="preserve">has </w:t>
      </w:r>
      <w:r w:rsidRPr="008F7254">
        <w:t>nonetheless sought opportunities to promote energy efficiency improvements and adopt technologies to achieve minimum energy efficiency levels in HCFC</w:t>
      </w:r>
      <w:r w:rsidR="00076CC2">
        <w:t>-</w:t>
      </w:r>
      <w:r w:rsidRPr="008F7254">
        <w:t>free alternatives in some cases</w:t>
      </w:r>
      <w:r w:rsidR="00824C5B">
        <w:t>.</w:t>
      </w:r>
      <w:r w:rsidRPr="008F7254">
        <w:rPr>
          <w:vertAlign w:val="superscript"/>
        </w:rPr>
        <w:footnoteReference w:id="47"/>
      </w:r>
      <w:r w:rsidRPr="008F7254">
        <w:t xml:space="preserve"> </w:t>
      </w:r>
    </w:p>
    <w:p w:rsidR="003761E3" w:rsidRPr="008F7254" w:rsidRDefault="003761E3" w:rsidP="003761E3">
      <w:pPr>
        <w:outlineLvl w:val="0"/>
      </w:pPr>
    </w:p>
    <w:p w:rsidR="00CB5285" w:rsidRDefault="00CB5285" w:rsidP="00CB5285">
      <w:pPr>
        <w:numPr>
          <w:ilvl w:val="0"/>
          <w:numId w:val="1"/>
        </w:numPr>
        <w:spacing w:after="240"/>
        <w:outlineLvl w:val="0"/>
      </w:pPr>
      <w:r w:rsidRPr="00BD5AE4">
        <w:t>During the</w:t>
      </w:r>
      <w:r>
        <w:t xml:space="preserve"> phase-out of </w:t>
      </w:r>
      <w:r w:rsidRPr="00BD5AE4">
        <w:t>CFC</w:t>
      </w:r>
      <w:r>
        <w:t>s</w:t>
      </w:r>
      <w:r w:rsidRPr="00BD5AE4">
        <w:t>, the Executive Committee sought opportunities to demonstrate potential business models to phase out ODS consumption and improve the energy efficiency in chillers.</w:t>
      </w:r>
      <w:r w:rsidRPr="00BD5AE4">
        <w:rPr>
          <w:vertAlign w:val="superscript"/>
        </w:rPr>
        <w:t xml:space="preserve"> </w:t>
      </w:r>
      <w:r w:rsidRPr="00BD5AE4">
        <w:rPr>
          <w:vertAlign w:val="superscript"/>
        </w:rPr>
        <w:footnoteReference w:id="48"/>
      </w:r>
      <w:r w:rsidRPr="00BD5AE4">
        <w:t xml:space="preserve"> </w:t>
      </w:r>
      <w:r w:rsidRPr="00BD5AE4">
        <w:lastRenderedPageBreak/>
        <w:t>The final outcomes of those projects are still pending. The S</w:t>
      </w:r>
      <w:r>
        <w:t xml:space="preserve">enior Monitoring and Evaluation Officer </w:t>
      </w:r>
      <w:r w:rsidRPr="00BD5AE4">
        <w:t>work program approved at the 77</w:t>
      </w:r>
      <w:r w:rsidRPr="00BD5AE4">
        <w:rPr>
          <w:vertAlign w:val="superscript"/>
        </w:rPr>
        <w:t>th</w:t>
      </w:r>
      <w:r w:rsidRPr="00BD5AE4">
        <w:t xml:space="preserve"> Meeting of the Executive Committee will examine, </w:t>
      </w:r>
      <w:r w:rsidRPr="00BD5AE4">
        <w:rPr>
          <w:i/>
        </w:rPr>
        <w:t xml:space="preserve">inter alia, </w:t>
      </w:r>
      <w:r w:rsidRPr="00BD5AE4">
        <w:t>the impact of energy efficiency gains achieved through the chiller projects (see Annex V).</w:t>
      </w:r>
    </w:p>
    <w:p w:rsidR="00CB5285" w:rsidRPr="00BD5AE4" w:rsidRDefault="00CB5285" w:rsidP="00CB5285">
      <w:pPr>
        <w:pStyle w:val="Heading1"/>
      </w:pPr>
      <w:r w:rsidRPr="008F7254">
        <w:t xml:space="preserve">One of the criteria identified by the Committee in selecting demonstration projects for low-GWP alternatives to HCFCs was that the project should </w:t>
      </w:r>
      <w:r w:rsidRPr="005B330E">
        <w:rPr>
          <w:i/>
        </w:rPr>
        <w:t>inter alia</w:t>
      </w:r>
      <w:r w:rsidRPr="008F7254">
        <w:t xml:space="preserve"> promote energy efficiency improvements</w:t>
      </w:r>
      <w:r>
        <w:t xml:space="preserve"> (see </w:t>
      </w:r>
      <w:r w:rsidRPr="000E738C">
        <w:t>UNEP/OzL.Pro/ExCom/78/</w:t>
      </w:r>
      <w:r>
        <w:t>6)</w:t>
      </w:r>
      <w:r w:rsidRPr="008F7254">
        <w:t>.</w:t>
      </w:r>
    </w:p>
    <w:p w:rsidR="00972C71" w:rsidRPr="008F7254" w:rsidRDefault="00C93A87" w:rsidP="002B51A0">
      <w:pPr>
        <w:pStyle w:val="Heading1"/>
      </w:pPr>
      <w:r w:rsidRPr="00824C5B">
        <w:rPr>
          <w:lang w:val="en-CA"/>
        </w:rPr>
        <w:t>In line with decision XIX/6, the Secretariat developed the Multilateral Fund Climate Impact Indicator (MCII), a</w:t>
      </w:r>
      <w:r w:rsidR="00824C5B" w:rsidRPr="00824C5B">
        <w:rPr>
          <w:lang w:val="en-CA"/>
        </w:rPr>
        <w:t>s a</w:t>
      </w:r>
      <w:r w:rsidRPr="00824C5B">
        <w:rPr>
          <w:lang w:val="en-CA"/>
        </w:rPr>
        <w:t xml:space="preserve"> tool to assesses the impact on the climate associated with the conversion of RAC manufacturing enterprises associated with stage I of approved HPMPs </w:t>
      </w:r>
      <w:r w:rsidR="00076CC2" w:rsidRPr="00824C5B">
        <w:rPr>
          <w:lang w:val="en-CA"/>
        </w:rPr>
        <w:t xml:space="preserve">with </w:t>
      </w:r>
      <w:r w:rsidRPr="00824C5B">
        <w:rPr>
          <w:lang w:val="en-CA"/>
        </w:rPr>
        <w:t xml:space="preserve">the results </w:t>
      </w:r>
      <w:r w:rsidR="00076CC2" w:rsidRPr="00824C5B">
        <w:rPr>
          <w:lang w:val="en-CA"/>
        </w:rPr>
        <w:t>being</w:t>
      </w:r>
      <w:r w:rsidRPr="00824C5B">
        <w:rPr>
          <w:lang w:val="en-CA"/>
        </w:rPr>
        <w:t xml:space="preserve"> included in relevant project documents submitted to the Executive Committee.</w:t>
      </w:r>
      <w:r w:rsidR="00824C5B" w:rsidRPr="00824C5B">
        <w:rPr>
          <w:lang w:val="en-CA"/>
        </w:rPr>
        <w:t xml:space="preserve"> </w:t>
      </w:r>
      <w:r w:rsidRPr="008F7254">
        <w:rPr>
          <w:lang w:val="en-CA"/>
        </w:rPr>
        <w:t xml:space="preserve">The MCII aims to be reliable without being too complex, and standardizes the calculations of the climate impact in a way </w:t>
      </w:r>
      <w:r w:rsidR="00076CC2">
        <w:rPr>
          <w:lang w:val="en-CA"/>
        </w:rPr>
        <w:t>that</w:t>
      </w:r>
      <w:r w:rsidRPr="008F7254">
        <w:rPr>
          <w:lang w:val="en-CA"/>
        </w:rPr>
        <w:t xml:space="preserve"> provides fair and comparable results between alternative technologies. It calculates the climate impact of a conversion project as the difference between the climate impact after and before conversion, with the climate impact being calculated for the emissions </w:t>
      </w:r>
      <w:r w:rsidR="00076CC2">
        <w:rPr>
          <w:lang w:val="en-CA"/>
        </w:rPr>
        <w:t xml:space="preserve">both </w:t>
      </w:r>
      <w:r w:rsidRPr="008F7254">
        <w:rPr>
          <w:lang w:val="en-CA"/>
        </w:rPr>
        <w:t xml:space="preserve">over the product lifetime of both the substance, </w:t>
      </w:r>
      <w:r w:rsidR="00076CC2">
        <w:rPr>
          <w:lang w:val="en-CA"/>
        </w:rPr>
        <w:t xml:space="preserve">and </w:t>
      </w:r>
      <w:r w:rsidRPr="008F7254">
        <w:rPr>
          <w:lang w:val="en-CA"/>
        </w:rPr>
        <w:t>related to the use of energy for the given application.</w:t>
      </w:r>
      <w:r w:rsidR="00381371">
        <w:rPr>
          <w:lang w:val="en-CA"/>
        </w:rPr>
        <w:t xml:space="preserve"> </w:t>
      </w:r>
      <w:r w:rsidRPr="008F7254">
        <w:rPr>
          <w:lang w:val="en-CA"/>
        </w:rPr>
        <w:t xml:space="preserve">It may be noted that the objective of the MCII is only to offer an indication of the climate impact and does not replace any detailed analysis of the performance of </w:t>
      </w:r>
      <w:r w:rsidR="00C72D31">
        <w:rPr>
          <w:lang w:val="en-CA"/>
        </w:rPr>
        <w:t>refrigeration and air-conditioning</w:t>
      </w:r>
      <w:r w:rsidRPr="008F7254">
        <w:rPr>
          <w:lang w:val="en-CA"/>
        </w:rPr>
        <w:t xml:space="preserve"> equipment.</w:t>
      </w:r>
    </w:p>
    <w:p w:rsidR="00972C71" w:rsidRPr="008F7254" w:rsidRDefault="00AF4291" w:rsidP="008F7254">
      <w:pPr>
        <w:pStyle w:val="Heading1"/>
      </w:pPr>
      <w:r w:rsidRPr="008F7254">
        <w:t>Annex V</w:t>
      </w:r>
      <w:r>
        <w:t xml:space="preserve"> to the present document </w:t>
      </w:r>
      <w:r w:rsidR="006215F3" w:rsidRPr="008F7254">
        <w:t>contain</w:t>
      </w:r>
      <w:r>
        <w:t>s</w:t>
      </w:r>
      <w:r w:rsidR="006215F3" w:rsidRPr="008F7254">
        <w:t xml:space="preserve"> information relating to maintaining/enhancing energy efficiency</w:t>
      </w:r>
      <w:r>
        <w:t>.</w:t>
      </w:r>
    </w:p>
    <w:p w:rsidR="0071733A" w:rsidRPr="008F7254" w:rsidRDefault="0071733A" w:rsidP="008F7254">
      <w:pPr>
        <w:pStyle w:val="ListParagraph"/>
        <w:keepNext/>
        <w:numPr>
          <w:ilvl w:val="0"/>
          <w:numId w:val="14"/>
        </w:numPr>
        <w:ind w:left="709" w:hanging="709"/>
        <w:rPr>
          <w:b/>
        </w:rPr>
      </w:pPr>
      <w:r w:rsidRPr="008F7254">
        <w:rPr>
          <w:b/>
        </w:rPr>
        <w:t>Capacity-building to address safety</w:t>
      </w:r>
    </w:p>
    <w:p w:rsidR="00C91130" w:rsidRPr="008F7254" w:rsidRDefault="00C91130" w:rsidP="008F7254">
      <w:pPr>
        <w:keepNext/>
        <w:rPr>
          <w:b/>
        </w:rPr>
      </w:pPr>
    </w:p>
    <w:p w:rsidR="0071733A" w:rsidRDefault="00943FCF" w:rsidP="00824C5B">
      <w:pPr>
        <w:pStyle w:val="Heading1"/>
        <w:numPr>
          <w:ilvl w:val="0"/>
          <w:numId w:val="0"/>
        </w:numPr>
        <w:rPr>
          <w:rFonts w:eastAsiaTheme="minorHAnsi"/>
        </w:rPr>
      </w:pPr>
      <w:r w:rsidRPr="008F7254">
        <w:rPr>
          <w:u w:val="single"/>
          <w:lang w:val="en-CA"/>
        </w:rPr>
        <w:t>Paragraph 23, decision XXVIII/2</w:t>
      </w:r>
      <w:r w:rsidRPr="008F7254">
        <w:rPr>
          <w:lang w:val="en-CA"/>
        </w:rPr>
        <w:t xml:space="preserve">: </w:t>
      </w:r>
      <w:r w:rsidR="00C80BCE" w:rsidRPr="008F7254">
        <w:rPr>
          <w:rFonts w:eastAsiaTheme="minorHAnsi"/>
          <w:i/>
        </w:rPr>
        <w:t>“</w:t>
      </w:r>
      <w:r w:rsidRPr="008F7254">
        <w:rPr>
          <w:rFonts w:eastAsiaTheme="minorHAnsi"/>
          <w:i/>
        </w:rPr>
        <w:t>T</w:t>
      </w:r>
      <w:r w:rsidR="00C80BCE" w:rsidRPr="008F7254">
        <w:rPr>
          <w:rFonts w:eastAsiaTheme="minorHAnsi"/>
          <w:i/>
        </w:rPr>
        <w:t>o r</w:t>
      </w:r>
      <w:r w:rsidR="0071733A" w:rsidRPr="008F7254">
        <w:rPr>
          <w:rFonts w:eastAsiaTheme="minorHAnsi"/>
          <w:i/>
        </w:rPr>
        <w:t>equest the Executive Committee to prioritize technical assistance and capacity</w:t>
      </w:r>
      <w:r w:rsidR="0071733A" w:rsidRPr="008F7254">
        <w:rPr>
          <w:rFonts w:eastAsiaTheme="minorHAnsi"/>
          <w:i/>
        </w:rPr>
        <w:noBreakHyphen/>
        <w:t>building to address safety issues associated with low-GWP or zero-GWP alternatives</w:t>
      </w:r>
      <w:r w:rsidR="00C80BCE" w:rsidRPr="008F7254">
        <w:rPr>
          <w:rFonts w:eastAsiaTheme="minorHAnsi"/>
          <w:i/>
        </w:rPr>
        <w:t>”</w:t>
      </w:r>
      <w:r w:rsidR="0071733A" w:rsidRPr="008F7254">
        <w:rPr>
          <w:rFonts w:eastAsiaTheme="minorHAnsi"/>
        </w:rPr>
        <w:t>.</w:t>
      </w:r>
    </w:p>
    <w:p w:rsidR="004561C6" w:rsidRPr="00A25732" w:rsidRDefault="004561C6" w:rsidP="00A25732">
      <w:pPr>
        <w:pStyle w:val="Heading1"/>
        <w:numPr>
          <w:ilvl w:val="0"/>
          <w:numId w:val="0"/>
        </w:numPr>
        <w:rPr>
          <w:lang w:val="en-CA"/>
        </w:rPr>
      </w:pPr>
      <w:r w:rsidRPr="00A25732">
        <w:rPr>
          <w:u w:val="single"/>
        </w:rPr>
        <w:t>Paragraph 3, decision XXVIII/2:</w:t>
      </w:r>
      <w:r w:rsidRPr="00A25732">
        <w:t xml:space="preserve"> </w:t>
      </w:r>
      <w:r w:rsidR="00A25732">
        <w:rPr>
          <w:rFonts w:eastAsiaTheme="minorHAnsi"/>
        </w:rPr>
        <w:t xml:space="preserve">This </w:t>
      </w:r>
      <w:r w:rsidR="00A25732" w:rsidRPr="00A25732">
        <w:rPr>
          <w:rFonts w:eastAsiaTheme="minorHAnsi"/>
        </w:rPr>
        <w:t>paragraph, while not having a mandate to the Executive Committee, is related to the subject:</w:t>
      </w:r>
      <w:r w:rsidR="00A25732" w:rsidRPr="00A25732">
        <w:t xml:space="preserve"> </w:t>
      </w:r>
      <w:r w:rsidRPr="00A25732">
        <w:rPr>
          <w:i/>
        </w:rPr>
        <w:t>“</w:t>
      </w:r>
      <w:r w:rsidRPr="00A25732">
        <w:rPr>
          <w:rFonts w:eastAsiaTheme="minorHAnsi"/>
          <w:i/>
        </w:rPr>
        <w:t>To recognize the importance of timely updating international standards for flammable low-global-warming potential (GWP) refrigerants, including IEC60335-2-40, and to support promoting actions that allow</w:t>
      </w:r>
      <w:r w:rsidR="00381371" w:rsidRPr="00A25732">
        <w:rPr>
          <w:rFonts w:eastAsiaTheme="minorHAnsi"/>
          <w:i/>
        </w:rPr>
        <w:t xml:space="preserve"> </w:t>
      </w:r>
      <w:r w:rsidRPr="00A25732">
        <w:rPr>
          <w:rFonts w:eastAsiaTheme="minorHAnsi"/>
          <w:i/>
        </w:rPr>
        <w:t>safe market introduction, as well as manufacturing, operation, maintenance and handling, of zero GWP or low-GWP refrigerant alternatives to HCFCs and HFCs”.</w:t>
      </w:r>
    </w:p>
    <w:p w:rsidR="009E77F8" w:rsidRPr="004561C6" w:rsidRDefault="00C80BCE" w:rsidP="008F7254">
      <w:pPr>
        <w:pStyle w:val="Heading1"/>
        <w:rPr>
          <w:lang w:val="en-CA"/>
        </w:rPr>
      </w:pPr>
      <w:r w:rsidRPr="004561C6">
        <w:rPr>
          <w:lang w:val="en-CA"/>
        </w:rPr>
        <w:t>This su</w:t>
      </w:r>
      <w:r w:rsidR="008C4C82" w:rsidRPr="004561C6">
        <w:rPr>
          <w:lang w:val="en-CA"/>
        </w:rPr>
        <w:t xml:space="preserve">bject is being addressed in the present document in the </w:t>
      </w:r>
      <w:r w:rsidRPr="004561C6">
        <w:rPr>
          <w:lang w:val="en-CA"/>
        </w:rPr>
        <w:t xml:space="preserve">context of manufacturing and </w:t>
      </w:r>
      <w:r w:rsidR="00076CC2" w:rsidRPr="004561C6">
        <w:rPr>
          <w:lang w:val="en-CA"/>
        </w:rPr>
        <w:t xml:space="preserve">the </w:t>
      </w:r>
      <w:r w:rsidRPr="004561C6">
        <w:rPr>
          <w:lang w:val="en-CA"/>
        </w:rPr>
        <w:t>refrigeration servicing sector, a</w:t>
      </w:r>
      <w:r w:rsidR="00076CC2" w:rsidRPr="004561C6">
        <w:rPr>
          <w:lang w:val="en-CA"/>
        </w:rPr>
        <w:t>s well as</w:t>
      </w:r>
      <w:r w:rsidRPr="004561C6">
        <w:rPr>
          <w:lang w:val="en-CA"/>
        </w:rPr>
        <w:t xml:space="preserve"> </w:t>
      </w:r>
      <w:r w:rsidR="008C4C82" w:rsidRPr="004561C6">
        <w:rPr>
          <w:lang w:val="en-CA"/>
        </w:rPr>
        <w:t xml:space="preserve">in document UNEP/OzL.Pro/ExCom/78/6 on </w:t>
      </w:r>
      <w:r w:rsidRPr="004561C6">
        <w:rPr>
          <w:lang w:val="en-CA"/>
        </w:rPr>
        <w:t>enabling activities.</w:t>
      </w:r>
    </w:p>
    <w:p w:rsidR="0071733A" w:rsidRPr="008F7254" w:rsidRDefault="0071733A" w:rsidP="008F7254">
      <w:pPr>
        <w:pStyle w:val="ListParagraph"/>
        <w:keepNext/>
        <w:numPr>
          <w:ilvl w:val="0"/>
          <w:numId w:val="14"/>
        </w:numPr>
        <w:ind w:left="709" w:hanging="709"/>
        <w:rPr>
          <w:b/>
        </w:rPr>
      </w:pPr>
      <w:r w:rsidRPr="008F7254">
        <w:rPr>
          <w:b/>
        </w:rPr>
        <w:t>Disposal</w:t>
      </w:r>
    </w:p>
    <w:p w:rsidR="0071733A" w:rsidRPr="008F7254" w:rsidRDefault="0071733A" w:rsidP="008F7254">
      <w:pPr>
        <w:rPr>
          <w:b/>
        </w:rPr>
      </w:pPr>
    </w:p>
    <w:p w:rsidR="0071733A" w:rsidRPr="008F7254" w:rsidRDefault="00943FCF" w:rsidP="00A25732">
      <w:pPr>
        <w:pStyle w:val="Heading1"/>
        <w:numPr>
          <w:ilvl w:val="0"/>
          <w:numId w:val="0"/>
        </w:numPr>
        <w:rPr>
          <w:rFonts w:eastAsiaTheme="minorHAnsi"/>
          <w:lang w:val="en-US"/>
        </w:rPr>
      </w:pPr>
      <w:r w:rsidRPr="008F7254">
        <w:rPr>
          <w:u w:val="single"/>
          <w:lang w:val="en-CA"/>
        </w:rPr>
        <w:t>Paragraph 24, decision XXVIII/2</w:t>
      </w:r>
      <w:r w:rsidRPr="008F7254">
        <w:rPr>
          <w:lang w:val="en-CA"/>
        </w:rPr>
        <w:t xml:space="preserve">: </w:t>
      </w:r>
      <w:r w:rsidR="004A0F85" w:rsidRPr="008F7254">
        <w:rPr>
          <w:rFonts w:eastAsiaTheme="minorHAnsi"/>
          <w:i/>
        </w:rPr>
        <w:t>“</w:t>
      </w:r>
      <w:r w:rsidRPr="008F7254">
        <w:rPr>
          <w:rFonts w:eastAsiaTheme="minorHAnsi"/>
          <w:i/>
        </w:rPr>
        <w:t>T</w:t>
      </w:r>
      <w:r w:rsidR="004A0F85" w:rsidRPr="008F7254">
        <w:rPr>
          <w:rFonts w:eastAsiaTheme="minorHAnsi"/>
          <w:i/>
        </w:rPr>
        <w:t xml:space="preserve">o </w:t>
      </w:r>
      <w:r w:rsidR="0071733A" w:rsidRPr="008F7254">
        <w:rPr>
          <w:rFonts w:eastAsiaTheme="minorHAnsi"/>
          <w:i/>
        </w:rPr>
        <w:t>request the Executive Committee to consider funding the cost</w:t>
      </w:r>
      <w:r w:rsidR="00042B18">
        <w:rPr>
          <w:rFonts w:eastAsiaTheme="minorHAnsi"/>
          <w:i/>
        </w:rPr>
        <w:noBreakHyphen/>
      </w:r>
      <w:r w:rsidR="0071733A" w:rsidRPr="008F7254">
        <w:rPr>
          <w:rFonts w:eastAsiaTheme="minorHAnsi"/>
          <w:i/>
        </w:rPr>
        <w:t>effective management of stockpiles of used or unwanted controlled substances, including destruction</w:t>
      </w:r>
      <w:r w:rsidR="004A0F85" w:rsidRPr="008F7254">
        <w:rPr>
          <w:rFonts w:eastAsiaTheme="minorHAnsi"/>
          <w:i/>
        </w:rPr>
        <w:t>”</w:t>
      </w:r>
      <w:r w:rsidRPr="008F7254">
        <w:rPr>
          <w:rFonts w:eastAsiaTheme="minorHAnsi"/>
          <w:i/>
        </w:rPr>
        <w:t>.</w:t>
      </w:r>
    </w:p>
    <w:p w:rsidR="009E77F8" w:rsidRPr="00A25732" w:rsidRDefault="00D83378" w:rsidP="00AF3303">
      <w:pPr>
        <w:pStyle w:val="Heading2"/>
        <w:numPr>
          <w:ilvl w:val="0"/>
          <w:numId w:val="0"/>
        </w:numPr>
        <w:rPr>
          <w:u w:val="single"/>
        </w:rPr>
      </w:pPr>
      <w:r w:rsidRPr="00A25732">
        <w:rPr>
          <w:u w:val="single"/>
        </w:rPr>
        <w:t>Information from Executive Committee members in accordance with decision 77/59(c)</w:t>
      </w:r>
    </w:p>
    <w:p w:rsidR="009E77F8" w:rsidRPr="008F7254" w:rsidRDefault="007C3220" w:rsidP="008F7254">
      <w:pPr>
        <w:pStyle w:val="Heading1"/>
        <w:rPr>
          <w:lang w:val="en-CA"/>
        </w:rPr>
      </w:pPr>
      <w:r w:rsidRPr="008F7254">
        <w:rPr>
          <w:lang w:val="en-CA"/>
        </w:rPr>
        <w:t>None.</w:t>
      </w:r>
    </w:p>
    <w:p w:rsidR="009E77F8" w:rsidRPr="008F7254" w:rsidRDefault="009E77F8" w:rsidP="003761E3">
      <w:pPr>
        <w:pStyle w:val="Heading1"/>
        <w:keepNext/>
        <w:numPr>
          <w:ilvl w:val="0"/>
          <w:numId w:val="0"/>
        </w:numPr>
        <w:rPr>
          <w:u w:val="single"/>
        </w:rPr>
      </w:pPr>
      <w:r w:rsidRPr="008F7254">
        <w:rPr>
          <w:u w:val="single"/>
        </w:rPr>
        <w:lastRenderedPageBreak/>
        <w:t>Previous Executive Committee decisions and practice</w:t>
      </w:r>
    </w:p>
    <w:p w:rsidR="007C3220" w:rsidRPr="008F7254" w:rsidRDefault="00A25732" w:rsidP="003761E3">
      <w:pPr>
        <w:pStyle w:val="Heading1"/>
        <w:keepNext/>
      </w:pPr>
      <w:r>
        <w:t>Through d</w:t>
      </w:r>
      <w:r w:rsidR="00D57A75" w:rsidRPr="008F7254">
        <w:t>ecision XX/7</w:t>
      </w:r>
      <w:r>
        <w:t xml:space="preserve">, the Parties </w:t>
      </w:r>
      <w:r w:rsidR="00D57A75" w:rsidRPr="008F7254">
        <w:t>requested the Executive Committee to consider as a matter of urgency commencing pilot projects that m</w:t>
      </w:r>
      <w:r w:rsidR="00076CC2">
        <w:t>ight</w:t>
      </w:r>
      <w:r w:rsidR="00D57A75" w:rsidRPr="008F7254">
        <w:t xml:space="preserve"> cover the collection, transport, storage and destruction of ODS, giving initial priority to projects with a focus on assembled stocks of ODS with high net GWP, in a representative sample of </w:t>
      </w:r>
      <w:r w:rsidR="00C80BCE" w:rsidRPr="008F7254">
        <w:t>regionally</w:t>
      </w:r>
      <w:r w:rsidR="00D57A75" w:rsidRPr="008F7254">
        <w:t xml:space="preserve"> diverse Article 5 countries. In addition to protecting the ozone layer, these projects </w:t>
      </w:r>
      <w:r w:rsidR="00EB004A" w:rsidRPr="008F7254">
        <w:t>were intended to</w:t>
      </w:r>
      <w:r w:rsidR="00D57A75" w:rsidRPr="008F7254">
        <w:t xml:space="preserve"> generate practical data and experience on management and financing modalities, achieve climate benefits, and explore opportunities to leverage co-financing.</w:t>
      </w:r>
    </w:p>
    <w:p w:rsidR="00D57A75" w:rsidRPr="008F7254" w:rsidRDefault="00D57A75" w:rsidP="008F7254">
      <w:pPr>
        <w:pStyle w:val="Heading1"/>
      </w:pPr>
      <w:r w:rsidRPr="008F7254">
        <w:t>At the 58</w:t>
      </w:r>
      <w:r w:rsidRPr="008F7254">
        <w:rPr>
          <w:vertAlign w:val="superscript"/>
        </w:rPr>
        <w:t>th</w:t>
      </w:r>
      <w:r w:rsidRPr="008F7254">
        <w:t xml:space="preserve"> meeting</w:t>
      </w:r>
      <w:r w:rsidR="00B53F7B">
        <w:t xml:space="preserve"> (July 2009)</w:t>
      </w:r>
      <w:r w:rsidRPr="008F7254">
        <w:t>, the Executive Committee approved the guidelines for ODS disposal projects (decision 58/19) with funding limited to a maximum of US</w:t>
      </w:r>
      <w:r w:rsidR="00B1153A" w:rsidRPr="008F7254">
        <w:t> </w:t>
      </w:r>
      <w:r w:rsidRPr="008F7254">
        <w:t xml:space="preserve">$13.2/kg for ODS transport, storage and destruction. It was also established that ODS collection was not eligible, </w:t>
      </w:r>
      <w:r w:rsidR="00076CC2">
        <w:t xml:space="preserve">that </w:t>
      </w:r>
      <w:r w:rsidRPr="008F7254">
        <w:t xml:space="preserve">projects should cover aspects not yet covered by other projects, and </w:t>
      </w:r>
      <w:r w:rsidR="00076CC2">
        <w:t xml:space="preserve">that </w:t>
      </w:r>
      <w:r w:rsidRPr="008F7254">
        <w:t>requests f</w:t>
      </w:r>
      <w:r w:rsidR="00076CC2">
        <w:t>or</w:t>
      </w:r>
      <w:r w:rsidRPr="008F7254">
        <w:t xml:space="preserve"> preparatory funding should include, among others</w:t>
      </w:r>
      <w:r w:rsidR="00076CC2">
        <w:t xml:space="preserve"> things</w:t>
      </w:r>
      <w:r w:rsidRPr="008F7254">
        <w:t xml:space="preserve">, </w:t>
      </w:r>
      <w:r w:rsidR="00076CC2">
        <w:t xml:space="preserve">an </w:t>
      </w:r>
      <w:r w:rsidRPr="008F7254">
        <w:t xml:space="preserve">estimate of the amount of ODS to be destroyed, </w:t>
      </w:r>
      <w:r w:rsidR="00076CC2">
        <w:t xml:space="preserve">a </w:t>
      </w:r>
      <w:r w:rsidRPr="008F7254">
        <w:t xml:space="preserve">demonstration of existing stocks already collected for destruction, </w:t>
      </w:r>
      <w:r w:rsidR="00076CC2">
        <w:t xml:space="preserve">and an </w:t>
      </w:r>
      <w:r w:rsidRPr="008F7254">
        <w:t xml:space="preserve">indication of elements covered by the project (transport, storage, destruction). </w:t>
      </w:r>
    </w:p>
    <w:p w:rsidR="00D57A75" w:rsidRPr="008F7254" w:rsidRDefault="00EB004A" w:rsidP="008F7254">
      <w:pPr>
        <w:pStyle w:val="Heading1"/>
      </w:pPr>
      <w:r w:rsidRPr="008F7254">
        <w:t>The guidelines established that p</w:t>
      </w:r>
      <w:r w:rsidR="00D57A75" w:rsidRPr="008F7254">
        <w:t>roject submission should include, among other</w:t>
      </w:r>
      <w:r w:rsidR="00076CC2">
        <w:t xml:space="preserve"> things</w:t>
      </w:r>
      <w:r w:rsidR="00D57A75" w:rsidRPr="008F7254">
        <w:t xml:space="preserve">, updated and more detailed information for all issues mentioned for preparatory funding, </w:t>
      </w:r>
      <w:r w:rsidR="00076CC2">
        <w:t xml:space="preserve">a </w:t>
      </w:r>
      <w:r w:rsidR="00D57A75" w:rsidRPr="008F7254">
        <w:t xml:space="preserve">detailed description of management and financial set-up, sources of funding for costs not covered by the </w:t>
      </w:r>
      <w:r w:rsidRPr="008F7254">
        <w:t>Multilateral Fund</w:t>
      </w:r>
      <w:r w:rsidR="00D57A75" w:rsidRPr="008F7254">
        <w:t xml:space="preserve">, </w:t>
      </w:r>
      <w:r w:rsidR="00076CC2">
        <w:t xml:space="preserve">and </w:t>
      </w:r>
      <w:r w:rsidR="00D57A75" w:rsidRPr="008F7254">
        <w:t xml:space="preserve">proof of destruction by the end of the project. Implementing agencies were requested to report annually to the Executive Committee on progress and experiences gained in demonstration projects on disposal. </w:t>
      </w:r>
    </w:p>
    <w:p w:rsidR="00D57A75" w:rsidRPr="008F7254" w:rsidRDefault="00D57A75" w:rsidP="00910F60">
      <w:pPr>
        <w:pStyle w:val="Heading1"/>
      </w:pPr>
      <w:r w:rsidRPr="008F7254">
        <w:t xml:space="preserve">A total of </w:t>
      </w:r>
      <w:r w:rsidR="004050AB" w:rsidRPr="008F7254">
        <w:t>fifteen</w:t>
      </w:r>
      <w:r w:rsidRPr="008F7254">
        <w:t xml:space="preserve"> demonstration and technical assistance projects were approved for US</w:t>
      </w:r>
      <w:r w:rsidR="00B1153A" w:rsidRPr="008F7254">
        <w:t> </w:t>
      </w:r>
      <w:r w:rsidRPr="008F7254">
        <w:t>$1</w:t>
      </w:r>
      <w:r w:rsidR="004050AB" w:rsidRPr="008F7254">
        <w:t>1.5</w:t>
      </w:r>
      <w:r w:rsidRPr="008F7254">
        <w:t xml:space="preserve"> million. The Executive Committee set aside a US</w:t>
      </w:r>
      <w:r w:rsidR="00C05C51">
        <w:t> </w:t>
      </w:r>
      <w:r w:rsidRPr="008F7254">
        <w:t>$3 million funding window for ODS disposal projects in LVCs at its 63</w:t>
      </w:r>
      <w:r w:rsidRPr="008F7254">
        <w:rPr>
          <w:vertAlign w:val="superscript"/>
        </w:rPr>
        <w:t>rd</w:t>
      </w:r>
      <w:r w:rsidRPr="008F7254">
        <w:t xml:space="preserve"> meeting in light of decision XXI/2. The </w:t>
      </w:r>
      <w:r w:rsidR="00EB004A" w:rsidRPr="008F7254">
        <w:t>Executive Committee</w:t>
      </w:r>
      <w:r w:rsidRPr="008F7254">
        <w:t xml:space="preserve"> allowed the submission of outstanding ODS disposal projects only where project preparation funding had been approved no later than the 72</w:t>
      </w:r>
      <w:r w:rsidRPr="008F7254">
        <w:rPr>
          <w:vertAlign w:val="superscript"/>
        </w:rPr>
        <w:t>nd</w:t>
      </w:r>
      <w:r w:rsidR="00EB004A" w:rsidRPr="008F7254">
        <w:t xml:space="preserve"> </w:t>
      </w:r>
      <w:r w:rsidRPr="008F7254">
        <w:t>meeting (decision 69/5(i)).</w:t>
      </w:r>
      <w:r w:rsidR="00910F60">
        <w:t xml:space="preserve"> A brief description of the pilot demonstration projects is contained in </w:t>
      </w:r>
      <w:r w:rsidR="00910F60" w:rsidRPr="00910F60">
        <w:t>d</w:t>
      </w:r>
      <w:r w:rsidR="00910F60">
        <w:t>ocument UNEP/OzL.Pro/ExCom/78/6.</w:t>
      </w:r>
    </w:p>
    <w:p w:rsidR="00D57A75" w:rsidRPr="008F7254" w:rsidRDefault="00076CC2" w:rsidP="008F7254">
      <w:pPr>
        <w:pStyle w:val="Heading1"/>
      </w:pPr>
      <w:r w:rsidRPr="00C12EC9">
        <w:rPr>
          <w:lang w:val="en-CA"/>
        </w:rPr>
        <w:t>Some of the main challenges identified so far in the implementation of these projects include verifying data on already collected ODS waste and identifying sources of co-financing</w:t>
      </w:r>
      <w:r>
        <w:rPr>
          <w:lang w:val="en-CA"/>
        </w:rPr>
        <w:t>.</w:t>
      </w:r>
      <w:r w:rsidRPr="00C12EC9">
        <w:rPr>
          <w:lang w:val="en-CA"/>
        </w:rPr>
        <w:t xml:space="preserve"> </w:t>
      </w:r>
      <w:r>
        <w:rPr>
          <w:lang w:val="en-CA"/>
        </w:rPr>
        <w:t>Furthermore, t</w:t>
      </w:r>
      <w:r w:rsidRPr="00C12EC9">
        <w:rPr>
          <w:lang w:val="en-CA"/>
        </w:rPr>
        <w:t>he use of small portable destruction units was not economically feasible in countries w</w:t>
      </w:r>
      <w:r>
        <w:rPr>
          <w:lang w:val="en-CA"/>
        </w:rPr>
        <w:t xml:space="preserve">ith </w:t>
      </w:r>
      <w:r w:rsidRPr="00C12EC9">
        <w:rPr>
          <w:lang w:val="en-CA"/>
        </w:rPr>
        <w:t>small waste streams</w:t>
      </w:r>
      <w:r>
        <w:rPr>
          <w:lang w:val="en-CA"/>
        </w:rPr>
        <w:t>.</w:t>
      </w:r>
      <w:r w:rsidRPr="00C12EC9">
        <w:rPr>
          <w:lang w:val="en-CA"/>
        </w:rPr>
        <w:t xml:space="preserve"> </w:t>
      </w:r>
      <w:r>
        <w:rPr>
          <w:lang w:val="en-CA"/>
        </w:rPr>
        <w:t>T</w:t>
      </w:r>
      <w:r w:rsidRPr="00C12EC9">
        <w:rPr>
          <w:lang w:val="en-CA"/>
        </w:rPr>
        <w:t xml:space="preserve">he approach of aggregating waste from nearby countries </w:t>
      </w:r>
      <w:r>
        <w:rPr>
          <w:lang w:val="en-CA"/>
        </w:rPr>
        <w:t>appear</w:t>
      </w:r>
      <w:r w:rsidR="004D0A94">
        <w:rPr>
          <w:lang w:val="en-CA"/>
        </w:rPr>
        <w:t>ed</w:t>
      </w:r>
      <w:r w:rsidRPr="00C12EC9">
        <w:rPr>
          <w:lang w:val="en-CA"/>
        </w:rPr>
        <w:t xml:space="preserve"> to be a good approach to ensure larger quantities in </w:t>
      </w:r>
      <w:r>
        <w:rPr>
          <w:lang w:val="en-CA"/>
        </w:rPr>
        <w:t xml:space="preserve">a </w:t>
      </w:r>
      <w:r w:rsidRPr="00C12EC9">
        <w:rPr>
          <w:lang w:val="en-CA"/>
        </w:rPr>
        <w:t xml:space="preserve">shorter time, public awareness helps to make </w:t>
      </w:r>
      <w:r>
        <w:rPr>
          <w:lang w:val="en-CA"/>
        </w:rPr>
        <w:t xml:space="preserve">the </w:t>
      </w:r>
      <w:r w:rsidRPr="00C12EC9">
        <w:rPr>
          <w:lang w:val="en-CA"/>
        </w:rPr>
        <w:t xml:space="preserve">public </w:t>
      </w:r>
      <w:r w:rsidR="004D0A94" w:rsidRPr="00C12EC9">
        <w:rPr>
          <w:lang w:val="en-CA"/>
        </w:rPr>
        <w:t>cognizant</w:t>
      </w:r>
      <w:r w:rsidRPr="00C12EC9">
        <w:rPr>
          <w:lang w:val="en-CA"/>
        </w:rPr>
        <w:t xml:space="preserve"> of options to dispose </w:t>
      </w:r>
      <w:r>
        <w:rPr>
          <w:lang w:val="en-CA"/>
        </w:rPr>
        <w:t xml:space="preserve">of </w:t>
      </w:r>
      <w:r w:rsidRPr="00C12EC9">
        <w:rPr>
          <w:lang w:val="en-CA"/>
        </w:rPr>
        <w:t xml:space="preserve">ODS-based appliances, </w:t>
      </w:r>
      <w:r>
        <w:rPr>
          <w:lang w:val="en-CA"/>
        </w:rPr>
        <w:t xml:space="preserve">and </w:t>
      </w:r>
      <w:r w:rsidRPr="00C12EC9">
        <w:rPr>
          <w:lang w:val="en-CA"/>
        </w:rPr>
        <w:t>there are opportunities for exploring synergies with other multilateral environmental agreements, in particular those related to climate and chemicals</w:t>
      </w:r>
      <w:r>
        <w:rPr>
          <w:lang w:val="en-CA"/>
        </w:rPr>
        <w:t>. O</w:t>
      </w:r>
      <w:r w:rsidRPr="00C12EC9">
        <w:rPr>
          <w:lang w:val="en-CA"/>
        </w:rPr>
        <w:t xml:space="preserve">ne project obtained co-financing from carbon markets. However, </w:t>
      </w:r>
      <w:r>
        <w:rPr>
          <w:lang w:val="en-CA"/>
        </w:rPr>
        <w:t>the overall</w:t>
      </w:r>
      <w:r w:rsidRPr="00C12EC9">
        <w:rPr>
          <w:lang w:val="en-CA"/>
        </w:rPr>
        <w:t xml:space="preserve"> potential </w:t>
      </w:r>
      <w:r>
        <w:rPr>
          <w:lang w:val="en-CA"/>
        </w:rPr>
        <w:t xml:space="preserve">of disposal projects </w:t>
      </w:r>
      <w:r w:rsidRPr="00C12EC9">
        <w:rPr>
          <w:lang w:val="en-CA"/>
        </w:rPr>
        <w:t xml:space="preserve">appears limited </w:t>
      </w:r>
      <w:r>
        <w:rPr>
          <w:lang w:val="en-CA"/>
        </w:rPr>
        <w:t>for</w:t>
      </w:r>
      <w:r w:rsidRPr="00C12EC9">
        <w:rPr>
          <w:lang w:val="en-CA"/>
        </w:rPr>
        <w:t xml:space="preserve"> several reasons</w:t>
      </w:r>
      <w:r>
        <w:rPr>
          <w:lang w:val="en-CA"/>
        </w:rPr>
        <w:t>,</w:t>
      </w:r>
      <w:r w:rsidRPr="00C12EC9">
        <w:rPr>
          <w:lang w:val="en-CA"/>
        </w:rPr>
        <w:t xml:space="preserve"> including </w:t>
      </w:r>
      <w:r w:rsidR="00E7669C">
        <w:rPr>
          <w:lang w:val="en-CA"/>
        </w:rPr>
        <w:t xml:space="preserve">the </w:t>
      </w:r>
      <w:r w:rsidRPr="00C12EC9">
        <w:rPr>
          <w:lang w:val="en-CA"/>
        </w:rPr>
        <w:t xml:space="preserve">low volume of </w:t>
      </w:r>
      <w:r w:rsidR="00E7669C">
        <w:rPr>
          <w:lang w:val="en-CA"/>
        </w:rPr>
        <w:t xml:space="preserve">collected </w:t>
      </w:r>
      <w:r w:rsidRPr="00C12EC9">
        <w:rPr>
          <w:lang w:val="en-CA"/>
        </w:rPr>
        <w:t>ODS for disposal.</w:t>
      </w:r>
    </w:p>
    <w:p w:rsidR="00641F60" w:rsidRPr="008F7254" w:rsidRDefault="004B1A19" w:rsidP="008F7254">
      <w:pPr>
        <w:pStyle w:val="Heading1"/>
      </w:pPr>
      <w:r w:rsidRPr="008F7254">
        <w:t>A report submitted by the Secretariat concluded that</w:t>
      </w:r>
      <w:r w:rsidR="00076CC2">
        <w:t>,</w:t>
      </w:r>
      <w:r w:rsidRPr="008F7254">
        <w:t xml:space="preserve"> as at the 64</w:t>
      </w:r>
      <w:r w:rsidRPr="00076CC2">
        <w:rPr>
          <w:vertAlign w:val="superscript"/>
        </w:rPr>
        <w:t>th</w:t>
      </w:r>
      <w:r w:rsidR="00076CC2" w:rsidRPr="00076CC2">
        <w:rPr>
          <w:vertAlign w:val="superscript"/>
        </w:rPr>
        <w:t> </w:t>
      </w:r>
      <w:r w:rsidRPr="008F7254">
        <w:t xml:space="preserve">meeting </w:t>
      </w:r>
      <w:r w:rsidR="00910F60">
        <w:t xml:space="preserve">(July 2011) </w:t>
      </w:r>
      <w:r w:rsidRPr="008F7254">
        <w:t xml:space="preserve">there was </w:t>
      </w:r>
      <w:r w:rsidR="00910F60">
        <w:t xml:space="preserve">limited </w:t>
      </w:r>
      <w:r w:rsidRPr="008F7254">
        <w:t xml:space="preserve">experience in the implementation of the full pilot projects. A report submitted by the Secretariat at the </w:t>
      </w:r>
      <w:r w:rsidR="00641F60" w:rsidRPr="008F7254">
        <w:t>69</w:t>
      </w:r>
      <w:r w:rsidR="00641F60" w:rsidRPr="00076CC2">
        <w:rPr>
          <w:vertAlign w:val="superscript"/>
        </w:rPr>
        <w:t>th</w:t>
      </w:r>
      <w:r w:rsidR="00B1153A" w:rsidRPr="008F7254">
        <w:t> </w:t>
      </w:r>
      <w:r w:rsidR="00C05C51">
        <w:t>m</w:t>
      </w:r>
      <w:r w:rsidR="00641F60" w:rsidRPr="008F7254">
        <w:t xml:space="preserve">eeting </w:t>
      </w:r>
      <w:r w:rsidR="00910F60">
        <w:t>(April 2013)</w:t>
      </w:r>
      <w:r w:rsidR="00910F60">
        <w:rPr>
          <w:rStyle w:val="FootnoteReference"/>
        </w:rPr>
        <w:footnoteReference w:id="49"/>
      </w:r>
      <w:r w:rsidR="00910F60">
        <w:t xml:space="preserve"> </w:t>
      </w:r>
      <w:r w:rsidR="00641F60" w:rsidRPr="008F7254">
        <w:t xml:space="preserve">concluded that </w:t>
      </w:r>
      <w:r w:rsidRPr="008F7254">
        <w:t>experience with the use of the interim guidelines for the preparation of pilot ODS disposal projects and in developing full demonstration projects ha</w:t>
      </w:r>
      <w:r w:rsidR="00EB004A" w:rsidRPr="008F7254">
        <w:t>d</w:t>
      </w:r>
      <w:r w:rsidRPr="008F7254">
        <w:t xml:space="preserve"> been positive. However, no concrete information on the final results of the projects</w:t>
      </w:r>
      <w:r w:rsidR="00C249AD" w:rsidRPr="008F7254">
        <w:t xml:space="preserve"> was made available </w:t>
      </w:r>
      <w:r w:rsidRPr="008F7254">
        <w:t>as the projects were still ongoing</w:t>
      </w:r>
      <w:r w:rsidR="004050AB" w:rsidRPr="008F7254">
        <w:t>.</w:t>
      </w:r>
    </w:p>
    <w:p w:rsidR="0071733A" w:rsidRPr="008F7254" w:rsidRDefault="000D200A" w:rsidP="008F7254">
      <w:pPr>
        <w:pStyle w:val="Heading1"/>
      </w:pPr>
      <w:r w:rsidRPr="008F7254">
        <w:t xml:space="preserve">The ODS destruction projects approved </w:t>
      </w:r>
      <w:r w:rsidR="00E2607B" w:rsidRPr="008F7254">
        <w:t xml:space="preserve">are expected to </w:t>
      </w:r>
      <w:r w:rsidRPr="008F7254">
        <w:t>generate valuable information on options to ensure sound management of ODS banks and to finance the disposal of ODS. Th</w:t>
      </w:r>
      <w:r w:rsidR="004D0A94">
        <w:t xml:space="preserve">is </w:t>
      </w:r>
      <w:r w:rsidRPr="008F7254">
        <w:t>information</w:t>
      </w:r>
      <w:r w:rsidR="004D0A94">
        <w:t xml:space="preserve"> </w:t>
      </w:r>
      <w:r w:rsidR="00A66253">
        <w:t>will</w:t>
      </w:r>
      <w:r w:rsidRPr="008F7254">
        <w:t xml:space="preserve"> </w:t>
      </w:r>
      <w:r w:rsidR="004D0A94">
        <w:t xml:space="preserve">be shared with other </w:t>
      </w:r>
      <w:r w:rsidRPr="008F7254">
        <w:t xml:space="preserve">Article 5 countries when </w:t>
      </w:r>
      <w:r w:rsidR="004D0A94">
        <w:t>the projects are completed</w:t>
      </w:r>
      <w:r w:rsidRPr="008F7254">
        <w:t xml:space="preserve">. </w:t>
      </w:r>
      <w:r w:rsidR="00E2607B" w:rsidRPr="008F7254">
        <w:t>At the 77</w:t>
      </w:r>
      <w:r w:rsidR="00E2607B" w:rsidRPr="008F7254">
        <w:rPr>
          <w:vertAlign w:val="superscript"/>
        </w:rPr>
        <w:t>th</w:t>
      </w:r>
      <w:r w:rsidR="00E2607B" w:rsidRPr="008F7254">
        <w:t xml:space="preserve"> meeting, the Executive </w:t>
      </w:r>
      <w:r w:rsidR="004B1A19" w:rsidRPr="008F7254">
        <w:lastRenderedPageBreak/>
        <w:t>Committee</w:t>
      </w:r>
      <w:r w:rsidR="00E2607B" w:rsidRPr="008F7254">
        <w:t xml:space="preserve"> </w:t>
      </w:r>
      <w:r w:rsidR="00076CC2">
        <w:t>decid</w:t>
      </w:r>
      <w:r w:rsidR="00E2607B" w:rsidRPr="008F7254">
        <w:t xml:space="preserve">ed to include in the work programme of the Senior </w:t>
      </w:r>
      <w:r w:rsidR="00910F60">
        <w:t>M</w:t>
      </w:r>
      <w:r w:rsidR="00E2607B" w:rsidRPr="008F7254">
        <w:t xml:space="preserve">onitoring and </w:t>
      </w:r>
      <w:r w:rsidR="00910F60">
        <w:t>E</w:t>
      </w:r>
      <w:r w:rsidR="00E2607B" w:rsidRPr="008F7254">
        <w:t xml:space="preserve">valuation </w:t>
      </w:r>
      <w:r w:rsidR="00910F60">
        <w:t>O</w:t>
      </w:r>
      <w:r w:rsidR="00E2607B" w:rsidRPr="008F7254">
        <w:t>fficer an evaluation of the ODS disposal projects.</w:t>
      </w:r>
    </w:p>
    <w:p w:rsidR="0071733A" w:rsidRPr="008F7254" w:rsidRDefault="005E04EC" w:rsidP="008F7254">
      <w:pPr>
        <w:rPr>
          <w:b/>
          <w:lang w:val="en-US"/>
        </w:rPr>
      </w:pPr>
      <w:r w:rsidRPr="008F7254">
        <w:rPr>
          <w:b/>
          <w:lang w:val="en-US"/>
        </w:rPr>
        <w:t>XII.</w:t>
      </w:r>
      <w:r w:rsidRPr="008F7254">
        <w:rPr>
          <w:b/>
          <w:lang w:val="en-US"/>
        </w:rPr>
        <w:tab/>
        <w:t>Eligibility of Annex F substances subject to high ambient temperature exemptions</w:t>
      </w:r>
    </w:p>
    <w:p w:rsidR="005E04EC" w:rsidRPr="008F7254" w:rsidRDefault="005E04EC" w:rsidP="008F7254">
      <w:pPr>
        <w:rPr>
          <w:lang w:val="en-US"/>
        </w:rPr>
      </w:pPr>
    </w:p>
    <w:p w:rsidR="0071733A" w:rsidRPr="008F7254" w:rsidRDefault="0071733A" w:rsidP="008F7254">
      <w:pPr>
        <w:pStyle w:val="Heading1"/>
      </w:pPr>
      <w:r w:rsidRPr="008F7254">
        <w:t xml:space="preserve">The Parties made available an exemption for </w:t>
      </w:r>
      <w:r w:rsidR="003D5F6F">
        <w:t>P</w:t>
      </w:r>
      <w:r w:rsidRPr="008F7254">
        <w:t xml:space="preserve">arties with high-ambient temperature conditions where suitable alternatives do not exist for the specific sub-sector of use, as </w:t>
      </w:r>
      <w:r w:rsidR="00C0374D" w:rsidRPr="008F7254">
        <w:t xml:space="preserve">described in </w:t>
      </w:r>
      <w:r w:rsidR="009F2329" w:rsidRPr="008F7254">
        <w:t xml:space="preserve">paragraphs 26 to 40 of decision XXVIII/2. Specifically on issues related to funding, the Parties indicated in paragraph 35 of the decision </w:t>
      </w:r>
      <w:r w:rsidR="009F2329" w:rsidRPr="008F7254">
        <w:rPr>
          <w:i/>
        </w:rPr>
        <w:t>“that amounts of Annex F substances that are subject to the high</w:t>
      </w:r>
      <w:r w:rsidR="0069461A">
        <w:rPr>
          <w:i/>
        </w:rPr>
        <w:t xml:space="preserve"> </w:t>
      </w:r>
      <w:r w:rsidR="009F2329" w:rsidRPr="008F7254">
        <w:rPr>
          <w:i/>
        </w:rPr>
        <w:t>ambient</w:t>
      </w:r>
      <w:r w:rsidR="0069461A">
        <w:rPr>
          <w:i/>
        </w:rPr>
        <w:t xml:space="preserve"> </w:t>
      </w:r>
      <w:r w:rsidR="009F2329" w:rsidRPr="008F7254">
        <w:rPr>
          <w:i/>
        </w:rPr>
        <w:t>temperature exemption are not eligible for funding under the Multilateral Fund while they are exempted for that party.”</w:t>
      </w:r>
    </w:p>
    <w:p w:rsidR="00DA2791" w:rsidRPr="008F7254" w:rsidRDefault="00DA2791" w:rsidP="00DA2791">
      <w:pPr>
        <w:pStyle w:val="Heading1"/>
        <w:rPr>
          <w:lang w:val="en-CA"/>
        </w:rPr>
      </w:pPr>
      <w:r>
        <w:t xml:space="preserve">Paragraph 35 of decision XXVIII/2 has been included in </w:t>
      </w:r>
      <w:r w:rsidRPr="00B803A4">
        <w:t>the</w:t>
      </w:r>
      <w:r w:rsidR="003761E3">
        <w:t xml:space="preserve"> proposed </w:t>
      </w:r>
      <w:r w:rsidRPr="00B803A4">
        <w:t xml:space="preserve">template for </w:t>
      </w:r>
      <w:r w:rsidR="003761E3">
        <w:t>a draft</w:t>
      </w:r>
      <w:r w:rsidRPr="00B803A4">
        <w:t xml:space="preserve"> cost </w:t>
      </w:r>
      <w:r>
        <w:t>guidelines contained in Annex I to the present document</w:t>
      </w:r>
      <w:r w:rsidRPr="008F7254">
        <w:rPr>
          <w:i/>
          <w:lang w:val="en-CA"/>
        </w:rPr>
        <w:t>.</w:t>
      </w:r>
    </w:p>
    <w:p w:rsidR="009E77F8" w:rsidRPr="004F179E" w:rsidRDefault="00D83378" w:rsidP="00AF3303">
      <w:pPr>
        <w:pStyle w:val="Heading2"/>
        <w:numPr>
          <w:ilvl w:val="0"/>
          <w:numId w:val="0"/>
        </w:numPr>
        <w:rPr>
          <w:u w:val="single"/>
        </w:rPr>
      </w:pPr>
      <w:r w:rsidRPr="004F179E">
        <w:rPr>
          <w:u w:val="single"/>
        </w:rPr>
        <w:t>Information from Executive Committee members in accordance with decision 77/59(c)</w:t>
      </w:r>
    </w:p>
    <w:p w:rsidR="009E77F8" w:rsidRPr="008F7254" w:rsidRDefault="009F2329" w:rsidP="008F7254">
      <w:pPr>
        <w:pStyle w:val="Heading1"/>
        <w:rPr>
          <w:lang w:val="en-CA"/>
        </w:rPr>
      </w:pPr>
      <w:r w:rsidRPr="008F7254">
        <w:rPr>
          <w:lang w:val="en-CA"/>
        </w:rPr>
        <w:t>None.</w:t>
      </w:r>
    </w:p>
    <w:p w:rsidR="009E77F8" w:rsidRPr="008F7254" w:rsidRDefault="009E77F8" w:rsidP="008F7254">
      <w:pPr>
        <w:pStyle w:val="Heading1"/>
        <w:numPr>
          <w:ilvl w:val="0"/>
          <w:numId w:val="0"/>
        </w:numPr>
        <w:rPr>
          <w:u w:val="single"/>
        </w:rPr>
      </w:pPr>
      <w:r w:rsidRPr="008F7254">
        <w:rPr>
          <w:u w:val="single"/>
        </w:rPr>
        <w:t>Previous Executive Committee decisions and practice</w:t>
      </w:r>
    </w:p>
    <w:p w:rsidR="00E472E1" w:rsidRDefault="00E472E1" w:rsidP="00E472E1">
      <w:pPr>
        <w:pStyle w:val="Heading1"/>
      </w:pPr>
      <w:r>
        <w:t>For reference, the Executive Committee may wish to note that the Parties have not provided exemptions to meet ODS compliance targets prior to the final phase-out of the respective controlled substance. Moreover, t</w:t>
      </w:r>
      <w:r w:rsidRPr="008F7254">
        <w:t xml:space="preserve">here is no precedent practice on exemptions for </w:t>
      </w:r>
      <w:r>
        <w:t>P</w:t>
      </w:r>
      <w:r w:rsidRPr="008F7254">
        <w:t>arties with high</w:t>
      </w:r>
      <w:r w:rsidR="000A3DF8">
        <w:t xml:space="preserve"> </w:t>
      </w:r>
      <w:r w:rsidRPr="008F7254">
        <w:t>ambient temperature conditions</w:t>
      </w:r>
      <w:r>
        <w:t xml:space="preserve"> in the Multilateral Fund</w:t>
      </w:r>
      <w:r w:rsidRPr="008F7254">
        <w:t xml:space="preserve">. </w:t>
      </w:r>
      <w:r>
        <w:t xml:space="preserve">Previous exemptions authorized by the Parties for ODS include essential-use exemptions and critical-use exemptions. </w:t>
      </w:r>
    </w:p>
    <w:p w:rsidR="00E472E1" w:rsidRDefault="00E472E1" w:rsidP="00E472E1">
      <w:pPr>
        <w:pStyle w:val="Heading1"/>
      </w:pPr>
      <w:r>
        <w:t>Regarding essential-use exemptions, the Executive Committee decided at its 51</w:t>
      </w:r>
      <w:r w:rsidRPr="00370665">
        <w:rPr>
          <w:vertAlign w:val="superscript"/>
        </w:rPr>
        <w:t>st</w:t>
      </w:r>
      <w:r>
        <w:t xml:space="preserve"> meeting </w:t>
      </w:r>
      <w:r w:rsidR="0077204B">
        <w:t>(March </w:t>
      </w:r>
      <w:r w:rsidR="00503066">
        <w:t xml:space="preserve">2007) </w:t>
      </w:r>
      <w:r>
        <w:t>that Article 5 Parties with plants manufacturing CFC-</w:t>
      </w:r>
      <w:r w:rsidR="00503066">
        <w:t xml:space="preserve"> </w:t>
      </w:r>
      <w:r>
        <w:t>MDIs should be advised of the timing on which to begin considering the need for essential use exemptions beyond the 2010 phase-out date and that the preparation of a nomination for essential use exemptions might begin in 2007 for submission to the Parties for their consideration in 2008 (decision 51/34). At the 54</w:t>
      </w:r>
      <w:r w:rsidRPr="00370665">
        <w:rPr>
          <w:vertAlign w:val="superscript"/>
        </w:rPr>
        <w:t>th</w:t>
      </w:r>
      <w:r>
        <w:t xml:space="preserve"> meeting</w:t>
      </w:r>
      <w:r w:rsidR="00910F60">
        <w:t xml:space="preserve"> (April 2008),</w:t>
      </w:r>
      <w:r>
        <w:t xml:space="preserve"> the Executive Committee decided that that all information required under decision 51/34 and additional supporting data requested in decision 54/5 had to be submitted for consideration by the Executive Committee by the 55</w:t>
      </w:r>
      <w:r w:rsidRPr="00370665">
        <w:rPr>
          <w:vertAlign w:val="superscript"/>
        </w:rPr>
        <w:t>th</w:t>
      </w:r>
      <w:r>
        <w:t xml:space="preserve"> </w:t>
      </w:r>
      <w:r w:rsidR="000A3DF8">
        <w:t>m</w:t>
      </w:r>
      <w:r>
        <w:t xml:space="preserve">eeting to provide ample time for project initiation before the 2010 phase-out and to avoid, to the extent possible, the need for essential-use exemption requests. </w:t>
      </w:r>
    </w:p>
    <w:p w:rsidR="00E472E1" w:rsidRDefault="00E472E1" w:rsidP="00E472E1">
      <w:pPr>
        <w:pStyle w:val="Heading1"/>
      </w:pPr>
      <w:r>
        <w:t>The Executive Committee also considered the issue of production for essential-uses</w:t>
      </w:r>
      <w:r w:rsidR="00E8312D">
        <w:t xml:space="preserve">, and </w:t>
      </w:r>
      <w:r>
        <w:t>acknowledged the importance of assuring the supply of pharmaceutical-grade CFCs for Parties with essential-use exemptions in accordance with decision XXI/4 (decision 59/44). The Executive Committee subsequently modified</w:t>
      </w:r>
      <w:r w:rsidRPr="009E36AF">
        <w:t xml:space="preserve"> </w:t>
      </w:r>
      <w:r w:rsidR="00E8312D">
        <w:t xml:space="preserve">the </w:t>
      </w:r>
      <w:r>
        <w:t xml:space="preserve">CFC production sector phase-out plan </w:t>
      </w:r>
      <w:r w:rsidR="00E8312D">
        <w:t xml:space="preserve">for China and India </w:t>
      </w:r>
      <w:r>
        <w:t xml:space="preserve">to permit exemptions for the production of CFCs for essential uses approved for other </w:t>
      </w:r>
      <w:r w:rsidR="000A3DF8">
        <w:t>P</w:t>
      </w:r>
      <w:r>
        <w:t>arties, subject to certain conditions (decision</w:t>
      </w:r>
      <w:r w:rsidR="00E8312D">
        <w:t>s</w:t>
      </w:r>
      <w:r>
        <w:t xml:space="preserve"> 60/47, 66/54 and 71/50).</w:t>
      </w:r>
    </w:p>
    <w:p w:rsidR="00E472E1" w:rsidRDefault="00E472E1" w:rsidP="00E472E1">
      <w:pPr>
        <w:pStyle w:val="Heading1"/>
      </w:pPr>
      <w:r>
        <w:t xml:space="preserve">Regarding critical-uses, </w:t>
      </w:r>
      <w:r w:rsidR="00E8312D">
        <w:t xml:space="preserve">at its </w:t>
      </w:r>
      <w:r>
        <w:t>43</w:t>
      </w:r>
      <w:r w:rsidRPr="00D31BBE">
        <w:rPr>
          <w:vertAlign w:val="superscript"/>
        </w:rPr>
        <w:t>rd</w:t>
      </w:r>
      <w:r>
        <w:t xml:space="preserve"> meeting </w:t>
      </w:r>
      <w:r w:rsidR="00E8312D">
        <w:t>(July 2004),</w:t>
      </w:r>
      <w:r>
        <w:t xml:space="preserve"> the Executive Committee decided to adopt criteria for the submission of requests for the prolongation of accelerated phase-out agreements pursuant to decision Ex. I/2, including </w:t>
      </w:r>
      <w:r w:rsidRPr="00D31BBE">
        <w:rPr>
          <w:i/>
        </w:rPr>
        <w:t>inter alia,</w:t>
      </w:r>
      <w:r>
        <w:t xml:space="preserve"> for those projects with difficulties, to take into account whether exemptions for critical- uses have been granted in non-Article 5 countries, facing similar circumstances. In so doing, the Executive Committee may request the advice of the TEAP and the Methyl Bromide Technical Options Committee (decision 43/14). Agreements between Article 5 countries </w:t>
      </w:r>
      <w:r w:rsidR="00E8312D">
        <w:t xml:space="preserve">and the Executive Committee </w:t>
      </w:r>
      <w:r>
        <w:t xml:space="preserve">for methyl bromide phase-out included </w:t>
      </w:r>
      <w:r w:rsidR="005C0226">
        <w:t xml:space="preserve">an </w:t>
      </w:r>
      <w:r w:rsidR="000A3DF8">
        <w:t>exclusion</w:t>
      </w:r>
      <w:r>
        <w:t xml:space="preserve"> for any critical uses the Parties may authorize for that country in defining the maximum allowable level of consumption (e.g., China, Thailand, and Viet Nam). At the 77</w:t>
      </w:r>
      <w:r w:rsidRPr="00463759">
        <w:rPr>
          <w:vertAlign w:val="superscript"/>
        </w:rPr>
        <w:t>th</w:t>
      </w:r>
      <w:r>
        <w:t xml:space="preserve"> meeting, in the case of two Article 5 countries that did not have such </w:t>
      </w:r>
      <w:r>
        <w:lastRenderedPageBreak/>
        <w:t>an exclusion in their Agreement, the Executive Committee took note that the maximum level of consumption of methyl bromide for those countries for 2015 was zero, as in the respective Agreement, except for any critical-use exemptions authorized by the Parties.</w:t>
      </w:r>
    </w:p>
    <w:p w:rsidR="00C13CE5" w:rsidRPr="00AF4291" w:rsidRDefault="00C13CE5" w:rsidP="00C13CE5">
      <w:pPr>
        <w:rPr>
          <w:b/>
        </w:rPr>
      </w:pPr>
      <w:r w:rsidRPr="00AF4291">
        <w:rPr>
          <w:b/>
        </w:rPr>
        <w:t>RECOMMENDATION</w:t>
      </w:r>
    </w:p>
    <w:p w:rsidR="00C13CE5" w:rsidRPr="00AF4291" w:rsidRDefault="00C13CE5" w:rsidP="00C13CE5"/>
    <w:p w:rsidR="00C13CE5" w:rsidRPr="00AF4291" w:rsidRDefault="00C13CE5" w:rsidP="00C13CE5">
      <w:pPr>
        <w:pStyle w:val="Heading1"/>
      </w:pPr>
      <w:r w:rsidRPr="00AF4291">
        <w:t>The Executive Committee may wish to take note of document UNEP/OzL.Pro/ExCom/78/5 on information relevant to the development of the cost guidelines for the phase-down of HFCs in Article 5 countries: Draft criteria of funding.</w:t>
      </w:r>
    </w:p>
    <w:p w:rsidR="00C74940" w:rsidRDefault="00C74940" w:rsidP="00042B18">
      <w:pPr>
        <w:rPr>
          <w:highlight w:val="yellow"/>
        </w:rPr>
        <w:sectPr w:rsidR="00C74940" w:rsidSect="00C044A3">
          <w:headerReference w:type="even" r:id="rId11"/>
          <w:headerReference w:type="default" r:id="rId12"/>
          <w:footerReference w:type="even" r:id="rId13"/>
          <w:footerReference w:type="default" r:id="rId14"/>
          <w:pgSz w:w="12240" w:h="15840" w:code="1"/>
          <w:pgMar w:top="720" w:right="1440" w:bottom="864" w:left="1440" w:header="720" w:footer="475" w:gutter="0"/>
          <w:pgNumType w:start="1"/>
          <w:cols w:space="720"/>
          <w:titlePg/>
        </w:sectPr>
      </w:pPr>
    </w:p>
    <w:p w:rsidR="00C74940" w:rsidRPr="00286E35" w:rsidRDefault="00C74940" w:rsidP="00C74940">
      <w:pPr>
        <w:tabs>
          <w:tab w:val="left" w:pos="4080"/>
          <w:tab w:val="center" w:pos="4680"/>
        </w:tabs>
        <w:jc w:val="center"/>
        <w:rPr>
          <w:b/>
        </w:rPr>
      </w:pPr>
      <w:r w:rsidRPr="00286E35">
        <w:rPr>
          <w:b/>
        </w:rPr>
        <w:lastRenderedPageBreak/>
        <w:t>Annex I</w:t>
      </w:r>
    </w:p>
    <w:p w:rsidR="00C74940" w:rsidRPr="00286E35" w:rsidRDefault="00C74940" w:rsidP="00C74940">
      <w:pPr>
        <w:tabs>
          <w:tab w:val="left" w:pos="4080"/>
          <w:tab w:val="center" w:pos="4680"/>
        </w:tabs>
        <w:jc w:val="center"/>
        <w:rPr>
          <w:b/>
        </w:rPr>
      </w:pPr>
    </w:p>
    <w:p w:rsidR="00C74940" w:rsidRPr="00286E35" w:rsidRDefault="00C74940" w:rsidP="00C74940">
      <w:pPr>
        <w:jc w:val="center"/>
        <w:rPr>
          <w:b/>
        </w:rPr>
      </w:pPr>
      <w:r>
        <w:rPr>
          <w:b/>
        </w:rPr>
        <w:t xml:space="preserve">PROPOSED </w:t>
      </w:r>
      <w:r w:rsidRPr="00286E35">
        <w:rPr>
          <w:b/>
        </w:rPr>
        <w:t xml:space="preserve">TEMPLATE FOR </w:t>
      </w:r>
      <w:r>
        <w:rPr>
          <w:b/>
        </w:rPr>
        <w:t>A DRAFT</w:t>
      </w:r>
      <w:r w:rsidRPr="00286E35">
        <w:rPr>
          <w:b/>
        </w:rPr>
        <w:t xml:space="preserve"> COST GUIDELINES FOR THE PHASE-DOWN OF HFCs</w:t>
      </w:r>
    </w:p>
    <w:p w:rsidR="00C74940" w:rsidRPr="00286E35" w:rsidRDefault="00C74940" w:rsidP="00C74940">
      <w:pPr>
        <w:jc w:val="center"/>
      </w:pPr>
    </w:p>
    <w:p w:rsidR="00C74940" w:rsidRPr="00CE3AAE" w:rsidRDefault="00C74940" w:rsidP="00C74940">
      <w:pPr>
        <w:pStyle w:val="Heading1"/>
        <w:numPr>
          <w:ilvl w:val="0"/>
          <w:numId w:val="0"/>
        </w:numPr>
      </w:pPr>
      <w:r w:rsidRPr="00CE3AAE">
        <w:t xml:space="preserve">The present annex contains a </w:t>
      </w:r>
      <w:r>
        <w:t xml:space="preserve">proposed </w:t>
      </w:r>
      <w:r w:rsidRPr="00CE3AAE">
        <w:t xml:space="preserve">template for </w:t>
      </w:r>
      <w:r>
        <w:t>a draft c</w:t>
      </w:r>
      <w:r w:rsidRPr="00CE3AAE">
        <w:t>ost guidelines for the phase-down of HFCs based on previous cost guidelines agreed by the Executive Committee, namely, criteria for funding stage I of HCFC phase-out management plans (HPMPs) (decision 60/44), and criteria for funding stage II of HPMPs (decision 74/50). Text is already included for the following elements of decision XXVIII/2 that were agreed by the Parties at their Twenty-eighth Meeting: flexibility in implementation; cut-off date; second and third conversions; other costs; and eligibility of Annex F substances subject to high ambient temperature exemptions.</w:t>
      </w:r>
    </w:p>
    <w:p w:rsidR="00C74940" w:rsidRPr="00286E35" w:rsidRDefault="00C74940" w:rsidP="00C74940">
      <w:pPr>
        <w:pStyle w:val="Heading1"/>
        <w:numPr>
          <w:ilvl w:val="0"/>
          <w:numId w:val="0"/>
        </w:numPr>
        <w:rPr>
          <w:b/>
        </w:rPr>
      </w:pPr>
      <w:r w:rsidRPr="00286E35">
        <w:rPr>
          <w:b/>
        </w:rPr>
        <w:t>Flexibility in implementation that enables parties to select their own strategies and priorities in sectors and technologies</w:t>
      </w:r>
    </w:p>
    <w:p w:rsidR="00C74940" w:rsidRDefault="00C74940" w:rsidP="00594882">
      <w:pPr>
        <w:pStyle w:val="Heading1"/>
        <w:numPr>
          <w:ilvl w:val="0"/>
          <w:numId w:val="79"/>
        </w:numPr>
      </w:pPr>
      <w:r w:rsidRPr="00594882">
        <w:rPr>
          <w:rFonts w:eastAsiaTheme="minorHAnsi"/>
        </w:rPr>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rsidR="00C74940" w:rsidRPr="00286E35" w:rsidRDefault="00C74940" w:rsidP="00C74940">
      <w:pPr>
        <w:jc w:val="left"/>
        <w:rPr>
          <w:b/>
          <w:lang w:val="en-CA"/>
        </w:rPr>
      </w:pPr>
      <w:r w:rsidRPr="00286E35">
        <w:rPr>
          <w:b/>
          <w:lang w:val="en-CA"/>
        </w:rPr>
        <w:t>Eligibility of Annex F substances subject to high ambient temperature exemptions</w:t>
      </w:r>
    </w:p>
    <w:p w:rsidR="00C74940" w:rsidRPr="00286E35" w:rsidRDefault="00C74940" w:rsidP="00C74940">
      <w:pPr>
        <w:jc w:val="left"/>
        <w:rPr>
          <w:lang w:val="en-CA"/>
        </w:rPr>
      </w:pPr>
    </w:p>
    <w:p w:rsidR="00C74940" w:rsidRDefault="00C74940" w:rsidP="00C74940">
      <w:pPr>
        <w:pStyle w:val="Heading1"/>
        <w:rPr>
          <w:lang w:val="en-CA"/>
        </w:rPr>
      </w:pPr>
      <w:r>
        <w:rPr>
          <w:lang w:val="en-CA"/>
        </w:rPr>
        <w:t>The a</w:t>
      </w:r>
      <w:r w:rsidRPr="0003149A">
        <w:rPr>
          <w:lang w:val="en-CA"/>
        </w:rPr>
        <w:t>mounts of Annex F substances that are subject to the high-ambient-temperature exemption are not eligible for funding under the Multilateral Fund wh</w:t>
      </w:r>
      <w:r>
        <w:rPr>
          <w:lang w:val="en-CA"/>
        </w:rPr>
        <w:t>ile they are exempted for that P</w:t>
      </w:r>
      <w:r w:rsidRPr="0003149A">
        <w:rPr>
          <w:lang w:val="en-CA"/>
        </w:rPr>
        <w:t>arty.</w:t>
      </w:r>
    </w:p>
    <w:p w:rsidR="00C74940" w:rsidRPr="00286E35" w:rsidRDefault="00C74940" w:rsidP="00C74940">
      <w:pPr>
        <w:pStyle w:val="Heading1"/>
        <w:numPr>
          <w:ilvl w:val="0"/>
          <w:numId w:val="0"/>
        </w:numPr>
        <w:rPr>
          <w:b/>
          <w:lang w:val="en-CA"/>
        </w:rPr>
      </w:pPr>
      <w:r w:rsidRPr="00286E35">
        <w:rPr>
          <w:b/>
          <w:lang w:val="en-CA"/>
        </w:rPr>
        <w:t xml:space="preserve">Cut-off date </w:t>
      </w:r>
      <w:r>
        <w:rPr>
          <w:b/>
          <w:lang w:val="en-CA"/>
        </w:rPr>
        <w:t xml:space="preserve">for eligible </w:t>
      </w:r>
      <w:r w:rsidRPr="00286E35">
        <w:rPr>
          <w:b/>
          <w:lang w:val="en-CA"/>
        </w:rPr>
        <w:t>capacity</w:t>
      </w:r>
    </w:p>
    <w:p w:rsidR="00C74940" w:rsidRDefault="00C74940" w:rsidP="00C74940">
      <w:pPr>
        <w:pStyle w:val="Heading1"/>
        <w:rPr>
          <w:lang w:val="en-CA"/>
        </w:rPr>
      </w:pPr>
      <w:r w:rsidRPr="0003149A">
        <w:rPr>
          <w:lang w:val="en-CA"/>
        </w:rPr>
        <w:t>The cut-off date for eligible capacity is 1 January 2020 for those parties with baseline years from 2020 to 2022 and 1 January 2024 for those parties with baseline years from 2024 to 2026.</w:t>
      </w:r>
    </w:p>
    <w:p w:rsidR="00C74940" w:rsidRPr="00286E35" w:rsidRDefault="00C74940" w:rsidP="00C74940">
      <w:pPr>
        <w:pStyle w:val="Heading1"/>
        <w:keepNext/>
        <w:numPr>
          <w:ilvl w:val="0"/>
          <w:numId w:val="0"/>
        </w:numPr>
        <w:rPr>
          <w:b/>
          <w:lang w:val="en-CA"/>
        </w:rPr>
      </w:pPr>
      <w:r w:rsidRPr="00286E35">
        <w:rPr>
          <w:b/>
          <w:lang w:val="en-CA"/>
        </w:rPr>
        <w:t>Second and third conversions</w:t>
      </w:r>
    </w:p>
    <w:p w:rsidR="00C74940" w:rsidRPr="00286E35" w:rsidRDefault="00C74940" w:rsidP="00C74940">
      <w:pPr>
        <w:pStyle w:val="Heading1"/>
        <w:rPr>
          <w:rFonts w:eastAsiaTheme="minorHAnsi"/>
          <w:lang w:val="en-US"/>
        </w:rPr>
      </w:pPr>
      <w:r w:rsidRPr="00F61A98">
        <w:rPr>
          <w:rFonts w:eastAsiaTheme="minorHAnsi"/>
        </w:rPr>
        <w:t>To apply the following principles for second</w:t>
      </w:r>
      <w:r w:rsidRPr="00286E35">
        <w:rPr>
          <w:rFonts w:eastAsiaTheme="minorHAnsi"/>
        </w:rPr>
        <w:t xml:space="preserve"> and third conversion projects</w:t>
      </w:r>
      <w:r w:rsidRPr="00286E35">
        <w:rPr>
          <w:lang w:val="en-CA"/>
        </w:rPr>
        <w:t>:</w:t>
      </w:r>
    </w:p>
    <w:p w:rsidR="00C74940" w:rsidRPr="00286E35" w:rsidRDefault="00C74940" w:rsidP="00C74940">
      <w:pPr>
        <w:pStyle w:val="Heading2"/>
        <w:ind w:left="1440"/>
        <w:rPr>
          <w:rFonts w:eastAsiaTheme="minorHAnsi"/>
          <w:lang w:val="en-US"/>
        </w:rPr>
      </w:pPr>
      <w:r w:rsidRPr="00286E35">
        <w:rPr>
          <w:rFonts w:eastAsiaTheme="minorHAnsi"/>
        </w:rPr>
        <w:t xml:space="preserve">First conversions, in the context of a phase-down of HFCs, are defined as conversions to low-GWP or zero-GWP alternatives of enterprises that have never received any direct or indirect support, in part or in full, from the Multilateral Fund, including enterprises that converted to HFCs with their own resources; </w:t>
      </w:r>
    </w:p>
    <w:p w:rsidR="00C74940" w:rsidRPr="00286E35" w:rsidRDefault="00C74940" w:rsidP="00C74940">
      <w:pPr>
        <w:pStyle w:val="Heading2"/>
        <w:ind w:left="1440"/>
        <w:rPr>
          <w:rFonts w:eastAsiaTheme="minorHAnsi"/>
          <w:lang w:val="en-US"/>
        </w:rPr>
      </w:pPr>
      <w:r w:rsidRPr="00286E35">
        <w:rPr>
          <w:rFonts w:eastAsiaTheme="minorHAnsi"/>
        </w:rPr>
        <w:t>Enterprises that have already converted to HFCs in phasing out CFCs and/or HCFCs will be eligible to receive funding from the Multilateral Fund to meet agreed incremental costs in the same manner as enterprises eligible for first conversions;</w:t>
      </w:r>
    </w:p>
    <w:p w:rsidR="00C74940" w:rsidRPr="00286E35" w:rsidRDefault="00C74940" w:rsidP="00C74940">
      <w:pPr>
        <w:pStyle w:val="Heading2"/>
        <w:ind w:left="1440"/>
        <w:rPr>
          <w:rFonts w:eastAsiaTheme="minorHAnsi"/>
          <w:lang w:val="en-US"/>
        </w:rPr>
      </w:pPr>
      <w:r w:rsidRPr="00286E35">
        <w:rPr>
          <w:rFonts w:eastAsiaTheme="minorHAnsi"/>
        </w:rPr>
        <w:t xml:space="preserve">Enterprises that convert from HCFCs to high-GWP HFCs, after the date of adoption of the Amendment, under HCFC phase-out management plans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rsidR="00C74940" w:rsidRPr="00286E35" w:rsidRDefault="00C74940" w:rsidP="00C74940">
      <w:pPr>
        <w:pStyle w:val="Heading2"/>
        <w:ind w:left="1440"/>
        <w:rPr>
          <w:rFonts w:eastAsiaTheme="minorHAnsi"/>
          <w:lang w:val="en-US"/>
        </w:rPr>
      </w:pPr>
      <w:r w:rsidRPr="00286E35">
        <w:rPr>
          <w:rFonts w:eastAsiaTheme="minorHAnsi"/>
        </w:rPr>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rsidR="00C74940" w:rsidRPr="00286E35" w:rsidRDefault="00C74940" w:rsidP="00C74940">
      <w:pPr>
        <w:pStyle w:val="Heading2"/>
        <w:ind w:left="1440"/>
      </w:pPr>
      <w:r w:rsidRPr="00286E35">
        <w:rPr>
          <w:rFonts w:eastAsiaTheme="minorHAnsi"/>
        </w:rPr>
        <w:lastRenderedPageBreak/>
        <w:t>Enterprises that convert from HFCs to lower-GWP HFCs with Multilateral Fund support when no other alternatives are available will be eligible to receive funding from the Multilateral Fund for a subsequent conversion to low-GWP or zero-GWP alternatives if necessary to meet the final HFC phase-down step</w:t>
      </w:r>
      <w:r w:rsidRPr="00286E35">
        <w:t>.</w:t>
      </w:r>
    </w:p>
    <w:p w:rsidR="00C74940" w:rsidRPr="00286E35" w:rsidRDefault="00C74940" w:rsidP="00C74940">
      <w:pPr>
        <w:widowControl w:val="0"/>
        <w:jc w:val="left"/>
        <w:rPr>
          <w:b/>
          <w:lang w:val="en-CA"/>
        </w:rPr>
      </w:pPr>
      <w:r w:rsidRPr="00286E35">
        <w:rPr>
          <w:b/>
          <w:lang w:val="en-CA"/>
        </w:rPr>
        <w:t>Sustained aggregate reductions in HFC consumption and production</w:t>
      </w:r>
    </w:p>
    <w:p w:rsidR="00C74940" w:rsidRPr="00286E35" w:rsidRDefault="00C74940" w:rsidP="00C74940">
      <w:pPr>
        <w:widowControl w:val="0"/>
        <w:jc w:val="left"/>
        <w:rPr>
          <w:b/>
          <w:lang w:val="en-CA"/>
        </w:rPr>
      </w:pPr>
    </w:p>
    <w:p w:rsidR="00C74940" w:rsidRPr="00286E35" w:rsidRDefault="00C74940" w:rsidP="00C74940">
      <w:pPr>
        <w:widowControl w:val="0"/>
        <w:rPr>
          <w:lang w:val="en-CA"/>
        </w:rPr>
      </w:pPr>
      <w:r>
        <w:rPr>
          <w:lang w:val="en-CA"/>
        </w:rPr>
        <w:t>[TBD]</w:t>
      </w:r>
    </w:p>
    <w:p w:rsidR="00C74940" w:rsidRPr="00286E35" w:rsidRDefault="00C74940" w:rsidP="00C74940">
      <w:pPr>
        <w:widowControl w:val="0"/>
        <w:jc w:val="left"/>
        <w:rPr>
          <w:lang w:val="en-CA"/>
        </w:rPr>
      </w:pPr>
    </w:p>
    <w:p w:rsidR="00C74940" w:rsidRPr="00286E35" w:rsidRDefault="00C74940" w:rsidP="00C74940">
      <w:pPr>
        <w:keepNext/>
        <w:jc w:val="left"/>
        <w:rPr>
          <w:b/>
          <w:lang w:val="en-CA"/>
        </w:rPr>
      </w:pPr>
      <w:r w:rsidRPr="00286E35">
        <w:rPr>
          <w:b/>
          <w:lang w:val="en-CA"/>
        </w:rPr>
        <w:t>Enabling activities</w:t>
      </w:r>
    </w:p>
    <w:p w:rsidR="00C74940" w:rsidRPr="00286E35" w:rsidRDefault="00C74940" w:rsidP="00C74940">
      <w:pPr>
        <w:pStyle w:val="0Heading0"/>
        <w:rPr>
          <w:lang w:val="en-CA"/>
        </w:rPr>
      </w:pPr>
    </w:p>
    <w:p w:rsidR="00C74940" w:rsidRPr="000731F4" w:rsidRDefault="00C74940" w:rsidP="00C74940">
      <w:pPr>
        <w:pStyle w:val="Normalnumber"/>
        <w:numPr>
          <w:ilvl w:val="0"/>
          <w:numId w:val="0"/>
        </w:numPr>
        <w:spacing w:after="240"/>
        <w:ind w:left="720" w:hanging="720"/>
        <w:rPr>
          <w:rFonts w:eastAsiaTheme="minorHAnsi"/>
          <w:sz w:val="22"/>
          <w:szCs w:val="22"/>
        </w:rPr>
      </w:pPr>
      <w:r w:rsidRPr="000731F4">
        <w:rPr>
          <w:rFonts w:eastAsiaTheme="minorHAnsi"/>
          <w:sz w:val="22"/>
          <w:szCs w:val="22"/>
        </w:rPr>
        <w:t>[TBD]</w:t>
      </w:r>
    </w:p>
    <w:p w:rsidR="00C74940" w:rsidRPr="00286E35" w:rsidRDefault="00C74940" w:rsidP="00C74940">
      <w:pPr>
        <w:keepNext/>
        <w:jc w:val="left"/>
        <w:rPr>
          <w:b/>
          <w:lang w:val="en-CA"/>
        </w:rPr>
      </w:pPr>
      <w:r w:rsidRPr="00286E35">
        <w:rPr>
          <w:b/>
          <w:lang w:val="en-CA"/>
        </w:rPr>
        <w:t>Eligible incremental cost</w:t>
      </w:r>
    </w:p>
    <w:p w:rsidR="00C74940" w:rsidRPr="00DB16B9" w:rsidRDefault="00C74940" w:rsidP="00C74940">
      <w:pPr>
        <w:jc w:val="left"/>
        <w:rPr>
          <w:lang w:val="en-CA"/>
        </w:rPr>
      </w:pPr>
    </w:p>
    <w:p w:rsidR="00C74940" w:rsidRDefault="00C74940" w:rsidP="00C74940">
      <w:pPr>
        <w:jc w:val="left"/>
        <w:rPr>
          <w:lang w:val="en-CA"/>
        </w:rPr>
      </w:pPr>
      <w:r w:rsidRPr="000731F4">
        <w:rPr>
          <w:lang w:val="en-CA"/>
        </w:rPr>
        <w:t>[TBD]</w:t>
      </w:r>
    </w:p>
    <w:p w:rsidR="00C74940" w:rsidRPr="00DB16B9" w:rsidRDefault="00C74940" w:rsidP="00C74940">
      <w:pPr>
        <w:jc w:val="left"/>
        <w:rPr>
          <w:lang w:val="en-CA"/>
        </w:rPr>
      </w:pPr>
    </w:p>
    <w:p w:rsidR="00C74940" w:rsidRPr="00286E35" w:rsidRDefault="00C74940" w:rsidP="00C74940">
      <w:pPr>
        <w:keepNext/>
        <w:ind w:left="720"/>
        <w:jc w:val="left"/>
        <w:rPr>
          <w:i/>
          <w:lang w:val="en-CA"/>
        </w:rPr>
      </w:pPr>
      <w:r w:rsidRPr="00286E35">
        <w:rPr>
          <w:i/>
          <w:lang w:val="en-CA"/>
        </w:rPr>
        <w:t>Consumption manufacturing sector</w:t>
      </w:r>
    </w:p>
    <w:p w:rsidR="00C74940" w:rsidRPr="00286E35" w:rsidRDefault="00C74940" w:rsidP="00C74940">
      <w:pPr>
        <w:keepNext/>
        <w:jc w:val="left"/>
        <w:rPr>
          <w:b/>
          <w:lang w:val="en-CA"/>
        </w:rPr>
      </w:pPr>
    </w:p>
    <w:p w:rsidR="00C74940" w:rsidRPr="00286E35" w:rsidRDefault="00C74940" w:rsidP="00C74940">
      <w:pPr>
        <w:keepNext/>
        <w:jc w:val="left"/>
        <w:rPr>
          <w:lang w:val="en-CA"/>
        </w:rPr>
      </w:pPr>
      <w:r w:rsidRPr="00286E35">
        <w:rPr>
          <w:lang w:val="en-CA"/>
        </w:rPr>
        <w:t>[TBD]</w:t>
      </w:r>
    </w:p>
    <w:p w:rsidR="00C74940" w:rsidRPr="00286E35" w:rsidRDefault="00C74940" w:rsidP="00C74940">
      <w:pPr>
        <w:keepNext/>
        <w:jc w:val="left"/>
        <w:rPr>
          <w:b/>
          <w:lang w:val="en-CA"/>
        </w:rPr>
      </w:pPr>
    </w:p>
    <w:p w:rsidR="00C74940" w:rsidRPr="00286E35" w:rsidRDefault="00C74940" w:rsidP="00C74940">
      <w:pPr>
        <w:keepNext/>
        <w:ind w:left="720"/>
        <w:jc w:val="left"/>
        <w:rPr>
          <w:i/>
          <w:lang w:val="en-CA"/>
        </w:rPr>
      </w:pPr>
      <w:r w:rsidRPr="00286E35">
        <w:rPr>
          <w:i/>
          <w:lang w:val="en-CA"/>
        </w:rPr>
        <w:t>Production sector</w:t>
      </w:r>
    </w:p>
    <w:p w:rsidR="00C74940" w:rsidRPr="00286E35" w:rsidRDefault="00C74940" w:rsidP="00C74940">
      <w:pPr>
        <w:keepNext/>
        <w:jc w:val="left"/>
        <w:rPr>
          <w:b/>
          <w:lang w:val="en-CA"/>
        </w:rPr>
      </w:pPr>
    </w:p>
    <w:p w:rsidR="00C74940" w:rsidRPr="00286E35" w:rsidRDefault="00C74940" w:rsidP="00C74940">
      <w:pPr>
        <w:keepNext/>
        <w:jc w:val="left"/>
        <w:rPr>
          <w:lang w:val="en-CA"/>
        </w:rPr>
      </w:pPr>
      <w:r w:rsidRPr="00286E35">
        <w:rPr>
          <w:lang w:val="en-CA"/>
        </w:rPr>
        <w:t>[TBD]</w:t>
      </w:r>
    </w:p>
    <w:p w:rsidR="00C74940" w:rsidRPr="00286E35" w:rsidRDefault="00C74940" w:rsidP="00C74940">
      <w:pPr>
        <w:keepNext/>
        <w:jc w:val="left"/>
        <w:rPr>
          <w:b/>
          <w:lang w:val="en-CA"/>
        </w:rPr>
      </w:pPr>
    </w:p>
    <w:p w:rsidR="00C74940" w:rsidRPr="00286E35" w:rsidRDefault="00C74940" w:rsidP="00C74940">
      <w:pPr>
        <w:keepNext/>
        <w:ind w:left="720"/>
        <w:jc w:val="left"/>
        <w:rPr>
          <w:i/>
          <w:lang w:val="en-CA"/>
        </w:rPr>
      </w:pPr>
      <w:r w:rsidRPr="00286E35">
        <w:rPr>
          <w:i/>
          <w:lang w:val="en-CA"/>
        </w:rPr>
        <w:t>Refrigeration servicing sector</w:t>
      </w:r>
    </w:p>
    <w:p w:rsidR="00C74940" w:rsidRPr="00286E35" w:rsidRDefault="00C74940" w:rsidP="00C74940">
      <w:pPr>
        <w:jc w:val="left"/>
        <w:rPr>
          <w:b/>
          <w:lang w:val="en-CA"/>
        </w:rPr>
      </w:pPr>
    </w:p>
    <w:p w:rsidR="00C74940" w:rsidRPr="00286E35" w:rsidRDefault="00C74940" w:rsidP="00C74940">
      <w:pPr>
        <w:jc w:val="left"/>
        <w:rPr>
          <w:lang w:val="en-CA"/>
        </w:rPr>
      </w:pPr>
      <w:r w:rsidRPr="00286E35">
        <w:rPr>
          <w:lang w:val="en-CA"/>
        </w:rPr>
        <w:t>[TBD]</w:t>
      </w:r>
    </w:p>
    <w:p w:rsidR="00C74940" w:rsidRPr="00286E35" w:rsidRDefault="00C74940" w:rsidP="00C74940">
      <w:pPr>
        <w:jc w:val="left"/>
        <w:rPr>
          <w:b/>
          <w:lang w:val="en-CA"/>
        </w:rPr>
      </w:pPr>
    </w:p>
    <w:p w:rsidR="00C74940" w:rsidRPr="00286E35" w:rsidRDefault="00C74940" w:rsidP="00C74940">
      <w:pPr>
        <w:ind w:left="720"/>
        <w:jc w:val="left"/>
        <w:rPr>
          <w:i/>
          <w:lang w:val="en-CA"/>
        </w:rPr>
      </w:pPr>
      <w:r w:rsidRPr="00286E35">
        <w:rPr>
          <w:i/>
          <w:lang w:val="en-CA"/>
        </w:rPr>
        <w:t>Other costs</w:t>
      </w:r>
    </w:p>
    <w:p w:rsidR="00C74940" w:rsidRPr="00286E35" w:rsidRDefault="00C74940" w:rsidP="00C74940">
      <w:pPr>
        <w:jc w:val="left"/>
        <w:rPr>
          <w:b/>
          <w:lang w:val="en-CA"/>
        </w:rPr>
      </w:pPr>
    </w:p>
    <w:p w:rsidR="00C74940" w:rsidRPr="00286E35" w:rsidRDefault="00C74940" w:rsidP="00C74940">
      <w:pPr>
        <w:pStyle w:val="Heading1"/>
        <w:rPr>
          <w:lang w:val="en-CA"/>
        </w:rPr>
      </w:pPr>
      <w:r w:rsidRPr="00286E35">
        <w:rPr>
          <w:lang w:val="en-CA"/>
        </w:rPr>
        <w:t>The Parties may identify other cost items to be added to the indicative list of incremental costs emanating as a result of the conversion to low-GWP alternatives.</w:t>
      </w:r>
    </w:p>
    <w:p w:rsidR="00C74940" w:rsidRPr="00286E35" w:rsidRDefault="00C74940" w:rsidP="00C74940">
      <w:pPr>
        <w:jc w:val="left"/>
        <w:rPr>
          <w:b/>
          <w:lang w:val="en-CA"/>
        </w:rPr>
      </w:pPr>
      <w:r w:rsidRPr="00286E35">
        <w:rPr>
          <w:b/>
          <w:lang w:val="en-CA"/>
        </w:rPr>
        <w:t>Capacity building to address safety</w:t>
      </w:r>
    </w:p>
    <w:p w:rsidR="00C74940" w:rsidRPr="00286E35" w:rsidRDefault="00C74940" w:rsidP="00C74940">
      <w:pPr>
        <w:jc w:val="left"/>
        <w:rPr>
          <w:b/>
          <w:lang w:val="en-CA"/>
        </w:rPr>
      </w:pPr>
    </w:p>
    <w:p w:rsidR="00C74940" w:rsidRPr="00286E35" w:rsidRDefault="00C74940" w:rsidP="00C74940">
      <w:pPr>
        <w:jc w:val="left"/>
        <w:rPr>
          <w:lang w:val="en-CA"/>
        </w:rPr>
      </w:pPr>
      <w:r w:rsidRPr="00286E35">
        <w:rPr>
          <w:lang w:val="en-CA"/>
        </w:rPr>
        <w:t>[TBD]</w:t>
      </w:r>
    </w:p>
    <w:p w:rsidR="00C74940" w:rsidRPr="00286E35" w:rsidRDefault="00C74940" w:rsidP="00C74940">
      <w:pPr>
        <w:jc w:val="left"/>
        <w:rPr>
          <w:b/>
          <w:lang w:val="en-CA"/>
        </w:rPr>
      </w:pPr>
    </w:p>
    <w:p w:rsidR="00C74940" w:rsidRPr="00286E35" w:rsidRDefault="00C74940" w:rsidP="00C74940">
      <w:pPr>
        <w:jc w:val="left"/>
        <w:rPr>
          <w:b/>
          <w:lang w:val="en-CA"/>
        </w:rPr>
      </w:pPr>
      <w:r w:rsidRPr="00286E35">
        <w:rPr>
          <w:b/>
          <w:lang w:val="en-CA"/>
        </w:rPr>
        <w:t>Energy efficiency</w:t>
      </w:r>
    </w:p>
    <w:p w:rsidR="00C74940" w:rsidRPr="00286E35" w:rsidRDefault="00C74940" w:rsidP="00C74940">
      <w:pPr>
        <w:jc w:val="left"/>
        <w:rPr>
          <w:b/>
          <w:lang w:val="en-CA"/>
        </w:rPr>
      </w:pPr>
    </w:p>
    <w:p w:rsidR="00C74940" w:rsidRPr="00286E35" w:rsidRDefault="00C74940" w:rsidP="00C74940">
      <w:pPr>
        <w:jc w:val="left"/>
        <w:rPr>
          <w:lang w:val="en-CA"/>
        </w:rPr>
      </w:pPr>
      <w:r w:rsidRPr="00286E35">
        <w:rPr>
          <w:lang w:val="en-CA"/>
        </w:rPr>
        <w:t>[TBD]</w:t>
      </w:r>
    </w:p>
    <w:p w:rsidR="00C74940" w:rsidRPr="00286E35" w:rsidRDefault="00C74940" w:rsidP="00C74940">
      <w:pPr>
        <w:jc w:val="left"/>
        <w:rPr>
          <w:b/>
          <w:lang w:val="en-CA"/>
        </w:rPr>
      </w:pPr>
    </w:p>
    <w:p w:rsidR="00C74940" w:rsidRPr="00286E35" w:rsidRDefault="00C74940" w:rsidP="00C74940">
      <w:pPr>
        <w:jc w:val="left"/>
        <w:rPr>
          <w:b/>
          <w:lang w:val="en-CA"/>
        </w:rPr>
      </w:pPr>
      <w:r w:rsidRPr="00286E35">
        <w:rPr>
          <w:b/>
          <w:lang w:val="en-CA"/>
        </w:rPr>
        <w:t>Disposal</w:t>
      </w:r>
    </w:p>
    <w:p w:rsidR="00C74940" w:rsidRPr="00286E35" w:rsidRDefault="00C74940" w:rsidP="00C74940">
      <w:pPr>
        <w:jc w:val="left"/>
        <w:rPr>
          <w:b/>
          <w:lang w:val="en-CA"/>
        </w:rPr>
      </w:pPr>
    </w:p>
    <w:p w:rsidR="00C74940" w:rsidRPr="00286E35" w:rsidRDefault="00C74940" w:rsidP="00C74940">
      <w:pPr>
        <w:jc w:val="left"/>
        <w:rPr>
          <w:lang w:val="en-CA"/>
        </w:rPr>
      </w:pPr>
      <w:r w:rsidRPr="00286E35">
        <w:rPr>
          <w:lang w:val="en-CA"/>
        </w:rPr>
        <w:t>[TBD]</w:t>
      </w:r>
    </w:p>
    <w:p w:rsidR="00042B18" w:rsidRPr="00C74940" w:rsidRDefault="00042B18" w:rsidP="00042B18">
      <w:pPr>
        <w:rPr>
          <w:highlight w:val="yellow"/>
          <w:lang w:val="en-CA"/>
        </w:rPr>
      </w:pPr>
    </w:p>
    <w:p w:rsidR="00C74940" w:rsidRDefault="00C74940" w:rsidP="00042B18">
      <w:pPr>
        <w:rPr>
          <w:highlight w:val="yellow"/>
        </w:rPr>
      </w:pPr>
    </w:p>
    <w:p w:rsidR="00C74940" w:rsidRDefault="00C74940" w:rsidP="00042B18">
      <w:pPr>
        <w:rPr>
          <w:highlight w:val="yellow"/>
        </w:rPr>
      </w:pPr>
    </w:p>
    <w:p w:rsidR="00C74940" w:rsidRDefault="00C74940" w:rsidP="00042B18">
      <w:pPr>
        <w:rPr>
          <w:highlight w:val="yellow"/>
        </w:rPr>
        <w:sectPr w:rsidR="00C74940" w:rsidSect="00C044A3">
          <w:headerReference w:type="even" r:id="rId15"/>
          <w:headerReference w:type="first" r:id="rId16"/>
          <w:footerReference w:type="first" r:id="rId17"/>
          <w:footnotePr>
            <w:numRestart w:val="eachSect"/>
          </w:footnotePr>
          <w:pgSz w:w="12240" w:h="15840" w:code="1"/>
          <w:pgMar w:top="720" w:right="1440" w:bottom="864" w:left="1440" w:header="720" w:footer="475" w:gutter="0"/>
          <w:pgNumType w:start="1"/>
          <w:cols w:space="720"/>
          <w:titlePg/>
        </w:sectPr>
      </w:pPr>
    </w:p>
    <w:p w:rsidR="008572B3" w:rsidRPr="002C70A3" w:rsidRDefault="008572B3" w:rsidP="008572B3">
      <w:pPr>
        <w:tabs>
          <w:tab w:val="left" w:pos="4080"/>
          <w:tab w:val="center" w:pos="4680"/>
        </w:tabs>
        <w:jc w:val="center"/>
        <w:rPr>
          <w:b/>
        </w:rPr>
      </w:pPr>
      <w:r w:rsidRPr="002C70A3">
        <w:rPr>
          <w:b/>
        </w:rPr>
        <w:lastRenderedPageBreak/>
        <w:t>Annex I</w:t>
      </w:r>
      <w:r>
        <w:rPr>
          <w:b/>
        </w:rPr>
        <w:t>I</w:t>
      </w:r>
    </w:p>
    <w:p w:rsidR="008572B3" w:rsidRDefault="008572B3" w:rsidP="008572B3">
      <w:pPr>
        <w:jc w:val="center"/>
        <w:rPr>
          <w:b/>
        </w:rPr>
      </w:pPr>
    </w:p>
    <w:p w:rsidR="008572B3" w:rsidRDefault="008572B3" w:rsidP="008572B3">
      <w:pPr>
        <w:jc w:val="center"/>
        <w:rPr>
          <w:b/>
        </w:rPr>
      </w:pPr>
      <w:r w:rsidRPr="00175FC5">
        <w:rPr>
          <w:b/>
        </w:rPr>
        <w:t>LIST OF RELEVANT DECISIONS RELATED TO THE COST GUIDELINES FOR THE PHASE-DOWN OF HFCS PURSUANT TO DECISIONS 77/59(B)(V) AND XXVIII</w:t>
      </w:r>
    </w:p>
    <w:p w:rsidR="008572B3" w:rsidRPr="0028284C" w:rsidRDefault="008572B3" w:rsidP="008572B3">
      <w:pPr>
        <w:jc w:val="center"/>
        <w:rPr>
          <w:b/>
        </w:rPr>
      </w:pPr>
    </w:p>
    <w:p w:rsidR="008572B3" w:rsidRDefault="008572B3" w:rsidP="00752FC8">
      <w:pPr>
        <w:pStyle w:val="Heading1"/>
        <w:numPr>
          <w:ilvl w:val="0"/>
          <w:numId w:val="49"/>
        </w:numPr>
      </w:pPr>
      <w:r>
        <w:t>T</w:t>
      </w:r>
      <w:r w:rsidRPr="0028284C">
        <w:t xml:space="preserve">his annex contains </w:t>
      </w:r>
      <w:r>
        <w:t xml:space="preserve">a set of </w:t>
      </w:r>
      <w:r w:rsidRPr="0028284C">
        <w:t xml:space="preserve">decisions adopted by the Executive Committee </w:t>
      </w:r>
      <w:r>
        <w:t xml:space="preserve">and the Parties that could be used as a reference during the discussion of the </w:t>
      </w:r>
      <w:r w:rsidRPr="0028284C">
        <w:t xml:space="preserve">elements </w:t>
      </w:r>
      <w:r>
        <w:t>of the cost guidelines for the phase-down of HFCs pursuant to d</w:t>
      </w:r>
      <w:r w:rsidRPr="0028284C">
        <w:t>ecision</w:t>
      </w:r>
      <w:r>
        <w:t>s</w:t>
      </w:r>
      <w:r w:rsidRPr="0028284C">
        <w:t xml:space="preserve"> </w:t>
      </w:r>
      <w:r>
        <w:t xml:space="preserve">77/59(b)(v) and </w:t>
      </w:r>
      <w:r w:rsidRPr="0028284C">
        <w:t>XXVIII/2.</w:t>
      </w:r>
      <w:r>
        <w:t xml:space="preserve"> It does not intend to present an exhaustive compendium of past decisions related to incremental cost.</w:t>
      </w:r>
      <w:r>
        <w:rPr>
          <w:rStyle w:val="FootnoteReference"/>
        </w:rPr>
        <w:footnoteReference w:id="50"/>
      </w:r>
    </w:p>
    <w:p w:rsidR="008572B3" w:rsidRPr="00F876DE" w:rsidRDefault="008572B3" w:rsidP="008572B3">
      <w:pPr>
        <w:jc w:val="left"/>
        <w:rPr>
          <w:b/>
          <w:u w:val="single"/>
        </w:rPr>
      </w:pPr>
      <w:r w:rsidRPr="00F876DE">
        <w:rPr>
          <w:b/>
          <w:u w:val="single"/>
        </w:rPr>
        <w:t>Overarching principles and timelines</w:t>
      </w:r>
    </w:p>
    <w:p w:rsidR="008572B3" w:rsidRPr="00BE0683" w:rsidRDefault="008572B3" w:rsidP="008572B3">
      <w:pPr>
        <w:jc w:val="left"/>
      </w:pPr>
    </w:p>
    <w:p w:rsidR="008572B3" w:rsidRPr="00BE0683" w:rsidRDefault="008572B3" w:rsidP="00752FC8">
      <w:pPr>
        <w:pStyle w:val="ListParagraph"/>
        <w:widowControl w:val="0"/>
        <w:numPr>
          <w:ilvl w:val="0"/>
          <w:numId w:val="35"/>
        </w:numPr>
        <w:rPr>
          <w:bCs/>
          <w:caps/>
        </w:rPr>
      </w:pPr>
      <w:r w:rsidRPr="00BE0683">
        <w:rPr>
          <w:bCs/>
          <w:caps/>
        </w:rPr>
        <w:t>D</w:t>
      </w:r>
      <w:r w:rsidRPr="00BE0683">
        <w:rPr>
          <w:bCs/>
        </w:rPr>
        <w:t>ecision</w:t>
      </w:r>
      <w:r w:rsidRPr="00BE0683">
        <w:rPr>
          <w:bCs/>
          <w:caps/>
        </w:rPr>
        <w:t xml:space="preserve"> 53/37: </w:t>
      </w:r>
      <w:r w:rsidRPr="00BE0683">
        <w:rPr>
          <w:bCs/>
        </w:rPr>
        <w:t>Options for assessing and defining eligible incremental costs for HCFC consumption and production phase</w:t>
      </w:r>
      <w:r w:rsidRPr="00BE0683">
        <w:rPr>
          <w:bCs/>
        </w:rPr>
        <w:noBreakHyphen/>
        <w:t>out activities (follow-up to decision 52/4)</w:t>
      </w:r>
    </w:p>
    <w:p w:rsidR="008572B3" w:rsidRPr="00131430" w:rsidRDefault="008572B3" w:rsidP="00752FC8">
      <w:pPr>
        <w:pStyle w:val="ListParagraph"/>
        <w:widowControl w:val="0"/>
        <w:numPr>
          <w:ilvl w:val="0"/>
          <w:numId w:val="35"/>
        </w:numPr>
        <w:rPr>
          <w:caps/>
        </w:rPr>
      </w:pPr>
      <w:r w:rsidRPr="00BE0683">
        <w:t xml:space="preserve">Decision 54/39: Draft guidelines for the preparation of HCFC phase-out management plans </w:t>
      </w:r>
      <w:r w:rsidRPr="00131430">
        <w:t>incorporating HCFC surveys (decision</w:t>
      </w:r>
      <w:r w:rsidRPr="00131430">
        <w:rPr>
          <w:caps/>
        </w:rPr>
        <w:t xml:space="preserve"> 53/37(</w:t>
      </w:r>
      <w:r w:rsidRPr="00131430">
        <w:t>h</w:t>
      </w:r>
      <w:r w:rsidRPr="00131430">
        <w:rPr>
          <w:caps/>
        </w:rPr>
        <w:t>))</w:t>
      </w:r>
    </w:p>
    <w:p w:rsidR="008572B3" w:rsidRPr="00131430" w:rsidRDefault="008572B3" w:rsidP="00752FC8">
      <w:pPr>
        <w:pStyle w:val="ListParagraph"/>
        <w:numPr>
          <w:ilvl w:val="0"/>
          <w:numId w:val="35"/>
        </w:numPr>
        <w:rPr>
          <w:rFonts w:eastAsia="SimSun"/>
          <w:lang w:eastAsia="zh-CN"/>
        </w:rPr>
      </w:pPr>
      <w:r w:rsidRPr="00131430">
        <w:rPr>
          <w:rFonts w:eastAsia="SimSun"/>
          <w:lang w:eastAsia="zh-CN"/>
        </w:rPr>
        <w:t>Decision 55/43: R</w:t>
      </w:r>
      <w:r w:rsidRPr="00131430">
        <w:rPr>
          <w:rFonts w:ascii="TimesNewRomanPSMT" w:hAnsi="TimesNewRomanPSMT"/>
        </w:rPr>
        <w:t>evised analysis of relevant cost considerations surrounding the financing of HCFC phase-out (decisions 53/37(i) and 54/40)</w:t>
      </w:r>
    </w:p>
    <w:p w:rsidR="008572B3" w:rsidRPr="00131430" w:rsidRDefault="008572B3" w:rsidP="00752FC8">
      <w:pPr>
        <w:pStyle w:val="ListParagraph"/>
        <w:widowControl w:val="0"/>
        <w:numPr>
          <w:ilvl w:val="0"/>
          <w:numId w:val="35"/>
        </w:numPr>
        <w:tabs>
          <w:tab w:val="num" w:pos="720"/>
        </w:tabs>
      </w:pPr>
      <w:r w:rsidRPr="00131430">
        <w:rPr>
          <w:lang w:val="en-CA"/>
        </w:rPr>
        <w:t xml:space="preserve">Decision 56/16: </w:t>
      </w:r>
      <w:r w:rsidRPr="00131430">
        <w:t xml:space="preserve">Cost structure for determining funding levels for preparation of </w:t>
      </w:r>
      <w:smartTag w:uri="urn:schemas-microsoft-com:office:smarttags" w:element="stockticker">
        <w:r w:rsidRPr="00131430">
          <w:t>HCFC</w:t>
        </w:r>
      </w:smartTag>
      <w:r w:rsidRPr="00131430">
        <w:t xml:space="preserve"> investment and associated activities (decision 55/13(d))</w:t>
      </w:r>
    </w:p>
    <w:p w:rsidR="008572B3" w:rsidRPr="00131430" w:rsidRDefault="008572B3" w:rsidP="00752FC8">
      <w:pPr>
        <w:pStyle w:val="ListParagraph"/>
        <w:numPr>
          <w:ilvl w:val="0"/>
          <w:numId w:val="35"/>
        </w:numPr>
        <w:spacing w:after="240"/>
        <w:rPr>
          <w:iCs/>
        </w:rPr>
      </w:pPr>
      <w:r w:rsidRPr="00131430">
        <w:t xml:space="preserve">Decision 59/11: </w:t>
      </w:r>
      <w:r w:rsidRPr="00131430">
        <w:rPr>
          <w:iCs/>
        </w:rPr>
        <w:t>Prioritization in the phase-out of HCFCs</w:t>
      </w:r>
    </w:p>
    <w:p w:rsidR="008572B3" w:rsidRPr="00131430" w:rsidRDefault="008572B3" w:rsidP="00752FC8">
      <w:pPr>
        <w:pStyle w:val="ListParagraph"/>
        <w:numPr>
          <w:ilvl w:val="0"/>
          <w:numId w:val="35"/>
        </w:numPr>
      </w:pPr>
      <w:r w:rsidRPr="00131430">
        <w:t>Decision 60/15: Additional policy issue raised by Canada : Accelerated phase-out of HCFCs</w:t>
      </w:r>
    </w:p>
    <w:p w:rsidR="008572B3" w:rsidRDefault="008572B3" w:rsidP="00752FC8">
      <w:pPr>
        <w:pStyle w:val="ListParagraph"/>
        <w:widowControl w:val="0"/>
        <w:numPr>
          <w:ilvl w:val="0"/>
          <w:numId w:val="35"/>
        </w:numPr>
        <w:tabs>
          <w:tab w:val="num" w:pos="720"/>
        </w:tabs>
        <w:rPr>
          <w:lang w:val="en-CA"/>
        </w:rPr>
      </w:pPr>
      <w:r w:rsidRPr="00131430">
        <w:rPr>
          <w:lang w:val="en-CA"/>
        </w:rPr>
        <w:t>Decision 60/44: Outstanding HCFC issues: Cut-off date, level of incremental operating costs,</w:t>
      </w:r>
      <w:r w:rsidRPr="00BE0683">
        <w:rPr>
          <w:lang w:val="en-CA"/>
        </w:rPr>
        <w:t xml:space="preserve"> funding provided to the servicing sector, and incremental capital cost (decision 59/46)</w:t>
      </w:r>
    </w:p>
    <w:p w:rsidR="008572B3" w:rsidRPr="00BE0683" w:rsidRDefault="008572B3" w:rsidP="00752FC8">
      <w:pPr>
        <w:pStyle w:val="ListParagraph"/>
        <w:numPr>
          <w:ilvl w:val="0"/>
          <w:numId w:val="35"/>
        </w:numPr>
        <w:outlineLvl w:val="0"/>
      </w:pPr>
      <w:r w:rsidRPr="00BE0683">
        <w:t>Decision 62/12 on sector prioritization (</w:t>
      </w:r>
      <w:r>
        <w:t>s</w:t>
      </w:r>
      <w:r w:rsidRPr="00BE0683">
        <w:t>tage I of HPMPs)</w:t>
      </w:r>
    </w:p>
    <w:p w:rsidR="008572B3" w:rsidRPr="00BE0683" w:rsidRDefault="008572B3" w:rsidP="00752FC8">
      <w:pPr>
        <w:pStyle w:val="ListParagraph"/>
        <w:widowControl w:val="0"/>
        <w:numPr>
          <w:ilvl w:val="0"/>
          <w:numId w:val="35"/>
        </w:numPr>
        <w:tabs>
          <w:tab w:val="num" w:pos="720"/>
        </w:tabs>
        <w:spacing w:after="240"/>
        <w:rPr>
          <w:rFonts w:ascii="Times New Roman Bold" w:hAnsi="Times New Roman Bold"/>
        </w:rPr>
      </w:pPr>
      <w:r w:rsidRPr="00BE0683">
        <w:t>Decision 74/50: Criteria for funding HCFC phase-out in the consumption sector for stage II of HPMPs</w:t>
      </w:r>
    </w:p>
    <w:p w:rsidR="008572B3" w:rsidRPr="00F876DE" w:rsidRDefault="008572B3" w:rsidP="008572B3">
      <w:pPr>
        <w:jc w:val="left"/>
        <w:rPr>
          <w:b/>
          <w:u w:val="single"/>
        </w:rPr>
      </w:pPr>
      <w:r w:rsidRPr="00F876DE">
        <w:rPr>
          <w:b/>
          <w:u w:val="single"/>
        </w:rPr>
        <w:t>Sustained aggregate reductions in HFC consumption and production</w:t>
      </w:r>
    </w:p>
    <w:p w:rsidR="008572B3" w:rsidRDefault="008572B3" w:rsidP="008572B3">
      <w:pPr>
        <w:jc w:val="left"/>
        <w:rPr>
          <w:b/>
        </w:rPr>
      </w:pPr>
    </w:p>
    <w:p w:rsidR="008572B3" w:rsidRPr="00BE0683" w:rsidRDefault="008572B3" w:rsidP="00752FC8">
      <w:pPr>
        <w:pStyle w:val="ListParagraph"/>
        <w:numPr>
          <w:ilvl w:val="0"/>
          <w:numId w:val="34"/>
        </w:numPr>
        <w:autoSpaceDE w:val="0"/>
        <w:autoSpaceDN w:val="0"/>
        <w:adjustRightInd w:val="0"/>
        <w:rPr>
          <w:iCs/>
          <w:sz w:val="20"/>
          <w:lang w:val="en-CA"/>
        </w:rPr>
      </w:pPr>
      <w:r w:rsidRPr="00BE0683">
        <w:rPr>
          <w:iCs/>
          <w:lang w:val="en-CA"/>
        </w:rPr>
        <w:t xml:space="preserve">Decision 35/57: </w:t>
      </w:r>
      <w:r w:rsidRPr="00BE0683">
        <w:rPr>
          <w:rFonts w:ascii="TimesNewRoman,Bold" w:hAnsi="TimesNewRoman,Bold" w:cs="TimesNewRoman,Bold"/>
          <w:bCs/>
          <w:szCs w:val="24"/>
          <w:lang w:val="en-CA"/>
        </w:rPr>
        <w:t>Study on defining a starting point for determining the remaining ODS consumption eligible for funding by the Multilateral Fund: Follow up to decision 34/66 (a)</w:t>
      </w:r>
    </w:p>
    <w:p w:rsidR="008572B3" w:rsidRPr="00131430" w:rsidRDefault="008572B3" w:rsidP="00752FC8">
      <w:pPr>
        <w:pStyle w:val="ListParagraph"/>
        <w:numPr>
          <w:ilvl w:val="0"/>
          <w:numId w:val="34"/>
        </w:numPr>
        <w:jc w:val="left"/>
      </w:pPr>
      <w:r w:rsidRPr="00BE0683">
        <w:t xml:space="preserve">Decision 37/66 (c): </w:t>
      </w:r>
      <w:r w:rsidRPr="00131430">
        <w:t>Selection of options pursuant to decision 35/57</w:t>
      </w:r>
    </w:p>
    <w:p w:rsidR="008572B3" w:rsidRPr="00131430" w:rsidRDefault="008572B3" w:rsidP="00752FC8">
      <w:pPr>
        <w:pStyle w:val="ListParagraph"/>
        <w:numPr>
          <w:ilvl w:val="0"/>
          <w:numId w:val="34"/>
        </w:numPr>
        <w:jc w:val="left"/>
      </w:pPr>
      <w:r w:rsidRPr="00131430">
        <w:t>Decision 60/44 (c)(d) and (e) (refer to decision 60/44 in overarching principles and timelines)</w:t>
      </w:r>
    </w:p>
    <w:p w:rsidR="008572B3" w:rsidRPr="00131430" w:rsidRDefault="008572B3" w:rsidP="008572B3">
      <w:pPr>
        <w:jc w:val="left"/>
      </w:pPr>
    </w:p>
    <w:p w:rsidR="008572B3" w:rsidRPr="00131430" w:rsidRDefault="008572B3" w:rsidP="008572B3">
      <w:pPr>
        <w:jc w:val="left"/>
        <w:rPr>
          <w:b/>
          <w:u w:val="single"/>
        </w:rPr>
      </w:pPr>
      <w:r w:rsidRPr="00131430">
        <w:rPr>
          <w:b/>
          <w:u w:val="single"/>
        </w:rPr>
        <w:t>Eligible incremental cost</w:t>
      </w:r>
    </w:p>
    <w:p w:rsidR="008572B3" w:rsidRPr="00131430" w:rsidRDefault="008572B3" w:rsidP="008572B3">
      <w:pPr>
        <w:jc w:val="left"/>
        <w:rPr>
          <w:b/>
        </w:rPr>
      </w:pPr>
    </w:p>
    <w:p w:rsidR="008572B3" w:rsidRPr="00131430" w:rsidRDefault="008572B3" w:rsidP="00752FC8">
      <w:pPr>
        <w:pStyle w:val="ListParagraph"/>
        <w:numPr>
          <w:ilvl w:val="0"/>
          <w:numId w:val="33"/>
        </w:numPr>
      </w:pPr>
      <w:r w:rsidRPr="00131430">
        <w:t>Decision taken at the 16</w:t>
      </w:r>
      <w:r w:rsidRPr="00131430">
        <w:rPr>
          <w:vertAlign w:val="superscript"/>
        </w:rPr>
        <w:t>th </w:t>
      </w:r>
      <w:r w:rsidRPr="00131430">
        <w:t>meeting (1995) on cost-effectiveness threshold</w:t>
      </w:r>
    </w:p>
    <w:p w:rsidR="008572B3" w:rsidRPr="00131430" w:rsidRDefault="008572B3" w:rsidP="00752FC8">
      <w:pPr>
        <w:pStyle w:val="ListParagraph"/>
        <w:numPr>
          <w:ilvl w:val="0"/>
          <w:numId w:val="33"/>
        </w:numPr>
        <w:jc w:val="left"/>
      </w:pPr>
      <w:r w:rsidRPr="00131430">
        <w:t>Decision 18/25: Technology upgrade</w:t>
      </w:r>
    </w:p>
    <w:p w:rsidR="008572B3" w:rsidRPr="00131430" w:rsidRDefault="008572B3" w:rsidP="00752FC8">
      <w:pPr>
        <w:pStyle w:val="ListParagraph"/>
        <w:numPr>
          <w:ilvl w:val="0"/>
          <w:numId w:val="33"/>
        </w:numPr>
        <w:jc w:val="left"/>
      </w:pPr>
      <w:r w:rsidRPr="00131430">
        <w:t>Decisions 22/25 and 23/52: Prices of chemicals</w:t>
      </w:r>
    </w:p>
    <w:p w:rsidR="008572B3" w:rsidRPr="00131430" w:rsidRDefault="008572B3" w:rsidP="00752FC8">
      <w:pPr>
        <w:pStyle w:val="ListParagraph"/>
        <w:numPr>
          <w:ilvl w:val="0"/>
          <w:numId w:val="33"/>
        </w:numPr>
        <w:jc w:val="left"/>
      </w:pPr>
      <w:r w:rsidRPr="00131430">
        <w:t>Decision 25/48: Baseline equipment and unavoidable technological upgrades</w:t>
      </w:r>
    </w:p>
    <w:p w:rsidR="008572B3" w:rsidRPr="00131430" w:rsidRDefault="008572B3" w:rsidP="00752FC8">
      <w:pPr>
        <w:pStyle w:val="ListParagraph"/>
        <w:numPr>
          <w:ilvl w:val="0"/>
          <w:numId w:val="33"/>
        </w:numPr>
        <w:jc w:val="left"/>
      </w:pPr>
      <w:r w:rsidRPr="00131430">
        <w:t>Decision 25/49: Incremental operating costs for compressors</w:t>
      </w:r>
    </w:p>
    <w:p w:rsidR="008572B3" w:rsidRPr="00131430" w:rsidRDefault="008572B3" w:rsidP="00752FC8">
      <w:pPr>
        <w:pStyle w:val="ListParagraph"/>
        <w:numPr>
          <w:ilvl w:val="0"/>
          <w:numId w:val="33"/>
        </w:numPr>
        <w:jc w:val="left"/>
      </w:pPr>
      <w:r w:rsidRPr="00131430">
        <w:t>Decision 62/9: Incremental operating costs in the aerosol sector for HCFC phase-out</w:t>
      </w:r>
    </w:p>
    <w:p w:rsidR="008572B3" w:rsidRPr="00131430" w:rsidRDefault="008572B3" w:rsidP="00752FC8">
      <w:pPr>
        <w:pStyle w:val="ListParagraph"/>
        <w:keepNext/>
        <w:numPr>
          <w:ilvl w:val="0"/>
          <w:numId w:val="33"/>
        </w:numPr>
        <w:spacing w:after="240"/>
      </w:pPr>
      <w:r w:rsidRPr="00131430">
        <w:t>Decision 62/13: Cost-effectiveness threshold for the rigid insulation refrigeration foam sub-sector</w:t>
      </w:r>
    </w:p>
    <w:p w:rsidR="008572B3" w:rsidRPr="00131430" w:rsidRDefault="008572B3" w:rsidP="00752FC8">
      <w:pPr>
        <w:pStyle w:val="ListParagraph"/>
        <w:numPr>
          <w:ilvl w:val="0"/>
          <w:numId w:val="33"/>
        </w:numPr>
      </w:pPr>
      <w:r w:rsidRPr="00131430">
        <w:t>Decisions 61/47, 63/15, 66/51 and 68/42 related to HCFC-141b contained in imported pre</w:t>
      </w:r>
      <w:r w:rsidRPr="00131430">
        <w:noBreakHyphen/>
        <w:t>blended polyol systems</w:t>
      </w:r>
    </w:p>
    <w:p w:rsidR="008572B3" w:rsidRPr="00472453" w:rsidRDefault="008572B3" w:rsidP="008572B3">
      <w:pPr>
        <w:keepNext/>
        <w:spacing w:after="240"/>
        <w:outlineLvl w:val="0"/>
        <w:rPr>
          <w:b/>
          <w:u w:val="single"/>
        </w:rPr>
      </w:pPr>
      <w:r w:rsidRPr="00472453">
        <w:rPr>
          <w:b/>
          <w:u w:val="single"/>
        </w:rPr>
        <w:lastRenderedPageBreak/>
        <w:t>Refrigeration servicing sector</w:t>
      </w:r>
    </w:p>
    <w:p w:rsidR="008572B3" w:rsidRPr="00BE0683" w:rsidRDefault="008572B3" w:rsidP="00752FC8">
      <w:pPr>
        <w:pStyle w:val="ListParagraph"/>
        <w:keepNext/>
        <w:numPr>
          <w:ilvl w:val="0"/>
          <w:numId w:val="32"/>
        </w:numPr>
        <w:jc w:val="left"/>
      </w:pPr>
      <w:r w:rsidRPr="00BE0683">
        <w:t xml:space="preserve">Decision 28/44: Guidelines for end-user conversion in the commercial refrigeration sector </w:t>
      </w:r>
    </w:p>
    <w:p w:rsidR="008572B3" w:rsidRPr="00BE0683" w:rsidRDefault="008572B3" w:rsidP="00752FC8">
      <w:pPr>
        <w:pStyle w:val="ListParagraph"/>
        <w:keepNext/>
        <w:numPr>
          <w:ilvl w:val="0"/>
          <w:numId w:val="32"/>
        </w:numPr>
        <w:jc w:val="left"/>
      </w:pPr>
      <w:r w:rsidRPr="00BE0683">
        <w:t>Decision 31/45: Subsector for the assembly, installation and servicing of refrigeration equipment</w:t>
      </w:r>
    </w:p>
    <w:p w:rsidR="008572B3" w:rsidRPr="00BE0683" w:rsidRDefault="008572B3" w:rsidP="00752FC8">
      <w:pPr>
        <w:pStyle w:val="ListParagraph"/>
        <w:keepNext/>
        <w:numPr>
          <w:ilvl w:val="0"/>
          <w:numId w:val="32"/>
        </w:numPr>
        <w:outlineLvl w:val="0"/>
      </w:pPr>
      <w:r w:rsidRPr="00BE0683">
        <w:t>Decision 64/14 on prioritization of the servicing sector by non-LVCs (stage I of HPMPs)</w:t>
      </w:r>
    </w:p>
    <w:p w:rsidR="008572B3" w:rsidRPr="00BE0683" w:rsidRDefault="008572B3" w:rsidP="00752FC8">
      <w:pPr>
        <w:pStyle w:val="ListParagraph"/>
        <w:numPr>
          <w:ilvl w:val="0"/>
          <w:numId w:val="32"/>
        </w:numPr>
        <w:outlineLvl w:val="0"/>
      </w:pPr>
      <w:r w:rsidRPr="00BE0683">
        <w:t xml:space="preserve">Decision 64/53: Funding for countries with HCFC consumption between 361 and 400 metric tonnes in the servicing sector </w:t>
      </w:r>
    </w:p>
    <w:p w:rsidR="008572B3" w:rsidRPr="00BE0683" w:rsidRDefault="008572B3" w:rsidP="00752FC8">
      <w:pPr>
        <w:pStyle w:val="ListParagraph"/>
        <w:numPr>
          <w:ilvl w:val="0"/>
          <w:numId w:val="32"/>
        </w:numPr>
        <w:outlineLvl w:val="0"/>
      </w:pPr>
      <w:r w:rsidRPr="00BE0683">
        <w:t xml:space="preserve">Decision 72/41: Minimizing adverse climate impact of HCFC phase-out in the refrigeration servicing sector </w:t>
      </w:r>
    </w:p>
    <w:p w:rsidR="008572B3" w:rsidRPr="00131430" w:rsidRDefault="008572B3" w:rsidP="00752FC8">
      <w:pPr>
        <w:pStyle w:val="ListParagraph"/>
        <w:numPr>
          <w:ilvl w:val="0"/>
          <w:numId w:val="32"/>
        </w:numPr>
        <w:spacing w:after="240"/>
        <w:outlineLvl w:val="0"/>
        <w:rPr>
          <w:b/>
          <w:u w:val="single"/>
        </w:rPr>
      </w:pPr>
      <w:r w:rsidRPr="00BE0683">
        <w:t xml:space="preserve">Decisions 72/17 and 73/34 on retrofit of existing HCFC-based refrigeration and air-conditioning equipment </w:t>
      </w:r>
      <w:r w:rsidRPr="00131430">
        <w:t>to flammable or toxic refrigeration</w:t>
      </w:r>
    </w:p>
    <w:p w:rsidR="008572B3" w:rsidRPr="00131430" w:rsidRDefault="008572B3" w:rsidP="008572B3">
      <w:pPr>
        <w:spacing w:after="240"/>
        <w:outlineLvl w:val="0"/>
        <w:rPr>
          <w:b/>
          <w:u w:val="single"/>
        </w:rPr>
      </w:pPr>
      <w:r w:rsidRPr="00131430">
        <w:rPr>
          <w:b/>
          <w:u w:val="single"/>
        </w:rPr>
        <w:t>Disposal</w:t>
      </w:r>
    </w:p>
    <w:p w:rsidR="008572B3" w:rsidRPr="00131430" w:rsidRDefault="008572B3" w:rsidP="00752FC8">
      <w:pPr>
        <w:pStyle w:val="ListParagraph"/>
        <w:numPr>
          <w:ilvl w:val="0"/>
          <w:numId w:val="31"/>
        </w:numPr>
        <w:jc w:val="left"/>
      </w:pPr>
      <w:r w:rsidRPr="00131430">
        <w:t>Decision 58/19: Interim guidelines for funding of demonstration projects for the disposal of ODS</w:t>
      </w:r>
    </w:p>
    <w:p w:rsidR="008572B3" w:rsidRPr="00131430" w:rsidRDefault="008572B3" w:rsidP="00752FC8">
      <w:pPr>
        <w:pStyle w:val="ListParagraph"/>
        <w:numPr>
          <w:ilvl w:val="0"/>
          <w:numId w:val="31"/>
        </w:numPr>
        <w:jc w:val="left"/>
      </w:pPr>
      <w:r w:rsidRPr="00131430">
        <w:t>Decision 64/50: Report on implementation of disposal projects (decision 58/19)</w:t>
      </w:r>
    </w:p>
    <w:p w:rsidR="008572B3" w:rsidRPr="00131430" w:rsidRDefault="008572B3" w:rsidP="00752FC8">
      <w:pPr>
        <w:pStyle w:val="ListParagraph"/>
        <w:widowControl w:val="0"/>
        <w:numPr>
          <w:ilvl w:val="0"/>
          <w:numId w:val="31"/>
        </w:numPr>
        <w:outlineLvl w:val="0"/>
      </w:pPr>
      <w:r w:rsidRPr="00131430">
        <w:t>Decision 70/22: Report on progress and experiences gained in demonstration projects for the disposal of unwanted ODS (decision 64/50)</w:t>
      </w:r>
    </w:p>
    <w:p w:rsidR="008572B3" w:rsidRPr="00E36EF1" w:rsidRDefault="008572B3" w:rsidP="008572B3"/>
    <w:p w:rsidR="008572B3" w:rsidRDefault="008572B3" w:rsidP="008572B3">
      <w:pPr>
        <w:jc w:val="left"/>
        <w:rPr>
          <w:b/>
          <w:u w:val="single"/>
        </w:rPr>
      </w:pPr>
      <w:r>
        <w:rPr>
          <w:b/>
          <w:u w:val="single"/>
        </w:rPr>
        <w:br w:type="page"/>
      </w:r>
    </w:p>
    <w:p w:rsidR="008572B3" w:rsidRPr="00F876DE" w:rsidRDefault="008572B3" w:rsidP="008572B3">
      <w:pPr>
        <w:jc w:val="left"/>
        <w:rPr>
          <w:b/>
          <w:u w:val="single"/>
        </w:rPr>
      </w:pPr>
      <w:r w:rsidRPr="00F876DE">
        <w:rPr>
          <w:b/>
          <w:u w:val="single"/>
        </w:rPr>
        <w:lastRenderedPageBreak/>
        <w:t>Overarching principles and timelines</w:t>
      </w:r>
    </w:p>
    <w:p w:rsidR="008572B3" w:rsidRDefault="008572B3" w:rsidP="008572B3">
      <w:pPr>
        <w:jc w:val="left"/>
        <w:rPr>
          <w:b/>
        </w:rPr>
      </w:pPr>
    </w:p>
    <w:p w:rsidR="008572B3" w:rsidRPr="006101C9" w:rsidRDefault="008572B3" w:rsidP="008572B3">
      <w:pPr>
        <w:rPr>
          <w:b/>
          <w:bCs/>
          <w:caps/>
        </w:rPr>
      </w:pPr>
      <w:r>
        <w:rPr>
          <w:b/>
          <w:bCs/>
          <w:caps/>
        </w:rPr>
        <w:t>D</w:t>
      </w:r>
      <w:r w:rsidRPr="00C508EE">
        <w:rPr>
          <w:rFonts w:ascii="Times New Roman Bold" w:hAnsi="Times New Roman Bold"/>
          <w:b/>
          <w:bCs/>
        </w:rPr>
        <w:t>ecision</w:t>
      </w:r>
      <w:r w:rsidRPr="006101C9">
        <w:rPr>
          <w:b/>
          <w:bCs/>
          <w:caps/>
        </w:rPr>
        <w:t xml:space="preserve"> 53/37: </w:t>
      </w:r>
      <w:r w:rsidRPr="00DE0DB0">
        <w:rPr>
          <w:rFonts w:ascii="Times New Roman Bold" w:hAnsi="Times New Roman Bold"/>
          <w:b/>
          <w:bCs/>
        </w:rPr>
        <w:t>Options for assessing and defining eligible incremental costs for HCFC consumption and production phase</w:t>
      </w:r>
      <w:r w:rsidRPr="00DE0DB0">
        <w:rPr>
          <w:rFonts w:ascii="Times New Roman Bold" w:hAnsi="Times New Roman Bold"/>
          <w:b/>
          <w:bCs/>
        </w:rPr>
        <w:noBreakHyphen/>
        <w:t>out activities (follow-up to decision 52/4)</w:t>
      </w:r>
    </w:p>
    <w:p w:rsidR="008572B3" w:rsidRPr="00110876" w:rsidRDefault="008572B3" w:rsidP="008572B3">
      <w:pPr>
        <w:rPr>
          <w:lang w:val="en-CA"/>
        </w:rPr>
      </w:pPr>
    </w:p>
    <w:p w:rsidR="008572B3" w:rsidRPr="000F4F43" w:rsidRDefault="008572B3" w:rsidP="008572B3">
      <w:pPr>
        <w:pStyle w:val="Heading1"/>
        <w:numPr>
          <w:ilvl w:val="0"/>
          <w:numId w:val="24"/>
        </w:numPr>
      </w:pPr>
      <w:r w:rsidRPr="000F4F43">
        <w:t xml:space="preserve">At the conclusion of the discussion on options for assessing and defining eligible incremental costs for HCFC consumption and production phase-out activities, the Executive Committee </w:t>
      </w:r>
      <w:r w:rsidRPr="00291DFF">
        <w:rPr>
          <w:u w:val="single"/>
        </w:rPr>
        <w:t>decided</w:t>
      </w:r>
      <w:r w:rsidRPr="000F4F43">
        <w:t>:</w:t>
      </w:r>
    </w:p>
    <w:p w:rsidR="008572B3" w:rsidRPr="000F4F43" w:rsidRDefault="008572B3" w:rsidP="008572B3">
      <w:pPr>
        <w:pStyle w:val="Heading2"/>
        <w:widowControl/>
        <w:tabs>
          <w:tab w:val="clear" w:pos="720"/>
          <w:tab w:val="num" w:pos="0"/>
        </w:tabs>
        <w:ind w:left="1440"/>
      </w:pPr>
      <w:r w:rsidRPr="000F4F43">
        <w:t>That ratification of or accession to the Copenhagen Amendment was the prerequisite for an Article 5 Party to access Multilateral Fund funding for phasing out the consumption of HCFCs;</w:t>
      </w:r>
    </w:p>
    <w:p w:rsidR="008572B3" w:rsidRPr="000F4F43" w:rsidRDefault="008572B3" w:rsidP="008572B3">
      <w:pPr>
        <w:pStyle w:val="Heading2"/>
        <w:widowControl/>
        <w:tabs>
          <w:tab w:val="clear" w:pos="720"/>
          <w:tab w:val="num" w:pos="0"/>
        </w:tabs>
        <w:ind w:left="1440"/>
      </w:pPr>
      <w:r w:rsidRPr="000F4F43">
        <w:t>That ratification of or accession to the Beijing Amendment was the prerequisite for an Article 5 Party to access Multilateral Fund funding for phasing out the production of HCFCs;</w:t>
      </w:r>
    </w:p>
    <w:p w:rsidR="008572B3" w:rsidRPr="000F4F43" w:rsidRDefault="008572B3" w:rsidP="008572B3">
      <w:pPr>
        <w:pStyle w:val="Heading2"/>
        <w:widowControl/>
        <w:tabs>
          <w:tab w:val="clear" w:pos="720"/>
          <w:tab w:val="num" w:pos="0"/>
        </w:tabs>
        <w:ind w:left="1440"/>
      </w:pPr>
      <w:r w:rsidRPr="000F4F43">
        <w:t>That, in the case of a non-signatory country, the Executive Committee might consider providing funding for conducting an HCFC survey and the preparation of an accelerated HCFC phase-out management plan, with the commitment of the government to ratify or accede to the necessary Amendment and on the understanding that no further funding would be available until the Ozone Secretariat had confirmed that the government had ratified or acceded to that Amendment, through the deposit of its instrument in the Office of the United Nations Headquarters in New York;</w:t>
      </w:r>
    </w:p>
    <w:p w:rsidR="008572B3" w:rsidRPr="000F4F43" w:rsidRDefault="008572B3" w:rsidP="008572B3">
      <w:pPr>
        <w:pStyle w:val="Heading2"/>
        <w:widowControl/>
        <w:tabs>
          <w:tab w:val="clear" w:pos="720"/>
          <w:tab w:val="num" w:pos="0"/>
        </w:tabs>
        <w:ind w:left="1440"/>
      </w:pPr>
      <w:r w:rsidRPr="000F4F43">
        <w:t>That the existing policies and guidelines of the Multilateral Fund for funding the phase</w:t>
      </w:r>
      <w:r>
        <w:noBreakHyphen/>
      </w:r>
      <w:r w:rsidRPr="000F4F43">
        <w:t>out of ODS other than HCFCs would be applicable to the funding of HCFC phase</w:t>
      </w:r>
      <w:r>
        <w:noBreakHyphen/>
      </w:r>
      <w:r w:rsidRPr="000F4F43">
        <w:t>out unless otherwise decided by the Executive Committee in light of, in particular, decision XIX/6 of the Nineteenth Meeting of the Parties;</w:t>
      </w:r>
    </w:p>
    <w:p w:rsidR="008572B3" w:rsidRPr="000F4F43" w:rsidRDefault="008572B3" w:rsidP="008572B3">
      <w:pPr>
        <w:pStyle w:val="Heading2"/>
        <w:widowControl/>
        <w:tabs>
          <w:tab w:val="clear" w:pos="720"/>
          <w:tab w:val="num" w:pos="0"/>
        </w:tabs>
        <w:ind w:left="1440"/>
      </w:pPr>
      <w:r w:rsidRPr="000F4F43">
        <w:t>That institutions and capacities in Article 5 countries developed through Multilateral Fund assistance for the phase-out of ODS other than HCFCs should be used to economize the phase</w:t>
      </w:r>
      <w:r w:rsidRPr="000F4F43">
        <w:noBreakHyphen/>
        <w:t>out of HCFCs, as appropriate;</w:t>
      </w:r>
    </w:p>
    <w:p w:rsidR="008572B3" w:rsidRPr="000F4F43" w:rsidRDefault="008572B3" w:rsidP="008572B3">
      <w:pPr>
        <w:pStyle w:val="Heading2"/>
        <w:widowControl/>
        <w:tabs>
          <w:tab w:val="clear" w:pos="720"/>
          <w:tab w:val="num" w:pos="0"/>
        </w:tabs>
        <w:ind w:left="1440"/>
      </w:pPr>
      <w:r w:rsidRPr="000F4F43">
        <w:t>That stable and sufficient assistance from the Multilateral Fund would be provided to guarantee the sustainability of such institutions and capacities when deemed necessary for the phase-out of HCFCs;</w:t>
      </w:r>
    </w:p>
    <w:p w:rsidR="008572B3" w:rsidRPr="000F4F43" w:rsidRDefault="008572B3" w:rsidP="008572B3">
      <w:pPr>
        <w:pStyle w:val="Heading2"/>
        <w:widowControl/>
        <w:tabs>
          <w:tab w:val="clear" w:pos="720"/>
          <w:tab w:val="num" w:pos="0"/>
        </w:tabs>
        <w:ind w:left="1440"/>
      </w:pPr>
      <w:r w:rsidRPr="000F4F43">
        <w:t>That the production sector sub-group would be reconvened at the 55</w:t>
      </w:r>
      <w:r w:rsidRPr="000F4F43">
        <w:rPr>
          <w:vertAlign w:val="superscript"/>
        </w:rPr>
        <w:t>th</w:t>
      </w:r>
      <w:r w:rsidRPr="000F4F43">
        <w:t xml:space="preserve"> </w:t>
      </w:r>
      <w:r>
        <w:t>m</w:t>
      </w:r>
      <w:r w:rsidRPr="000F4F43">
        <w:t>eeting to consider issues pertaining to the phase-out of HCFC production, taking into account decision</w:t>
      </w:r>
      <w:r>
        <w:t> </w:t>
      </w:r>
      <w:r w:rsidRPr="000F4F43">
        <w:t>XIX/6 of the Nineteenth Meeting of the Parties and the following issues, as well as further elaboration and analysis of those issues to be prepared by the Secretariat in consultation with technical experts:</w:t>
      </w:r>
    </w:p>
    <w:p w:rsidR="008572B3" w:rsidRPr="000F4F43" w:rsidRDefault="008572B3" w:rsidP="008572B3">
      <w:pPr>
        <w:pStyle w:val="Heading3"/>
        <w:tabs>
          <w:tab w:val="clear" w:pos="2955"/>
          <w:tab w:val="num" w:pos="0"/>
        </w:tabs>
        <w:ind w:left="2160"/>
      </w:pPr>
      <w:r w:rsidRPr="000F4F43">
        <w:t>The continued applicability of the current approach to funding HCFC production phase-out being based on the assumption of plant closures;</w:t>
      </w:r>
    </w:p>
    <w:p w:rsidR="008572B3" w:rsidRPr="000F4F43" w:rsidRDefault="008572B3" w:rsidP="008572B3">
      <w:pPr>
        <w:pStyle w:val="Heading3"/>
        <w:tabs>
          <w:tab w:val="clear" w:pos="2955"/>
          <w:tab w:val="num" w:pos="0"/>
        </w:tabs>
        <w:ind w:left="2160"/>
      </w:pPr>
      <w:r w:rsidRPr="000F4F43">
        <w:t>The timing of funding HCFC production phase-out in view of the long duration between the HCFC freeze in 2013 and the final phase-out in 2030, taking into consideration that production and consumption phase</w:t>
      </w:r>
      <w:r w:rsidRPr="000F4F43">
        <w:noBreakHyphen/>
        <w:t>out could take place simultaneously;</w:t>
      </w:r>
    </w:p>
    <w:p w:rsidR="008572B3" w:rsidRPr="000F4F43" w:rsidRDefault="008572B3" w:rsidP="008572B3">
      <w:pPr>
        <w:pStyle w:val="Heading3"/>
        <w:tabs>
          <w:tab w:val="clear" w:pos="2955"/>
          <w:tab w:val="num" w:pos="0"/>
        </w:tabs>
        <w:ind w:left="2160"/>
      </w:pPr>
      <w:r w:rsidRPr="000F4F43">
        <w:t xml:space="preserve">The eligibility of the CFC/HCFC-22 swing plants in view of the commitment in the CFC production phase-out agreement not to seek funding again from the </w:t>
      </w:r>
      <w:r w:rsidRPr="000F4F43">
        <w:lastRenderedPageBreak/>
        <w:t>Multilateral Fund for closing down HCFC facilities that use the existing CFC infrastructure;</w:t>
      </w:r>
    </w:p>
    <w:p w:rsidR="008572B3" w:rsidRPr="000F4F43" w:rsidRDefault="008572B3" w:rsidP="008572B3">
      <w:pPr>
        <w:pStyle w:val="Heading3"/>
        <w:tabs>
          <w:tab w:val="clear" w:pos="2955"/>
          <w:tab w:val="num" w:pos="0"/>
        </w:tabs>
        <w:ind w:left="2160"/>
      </w:pPr>
      <w:r w:rsidRPr="000F4F43">
        <w:t>The cut-off date for funding eligibility of HCFC production phase-out;</w:t>
      </w:r>
    </w:p>
    <w:p w:rsidR="008572B3" w:rsidRPr="000F4F43" w:rsidRDefault="008572B3" w:rsidP="008572B3">
      <w:pPr>
        <w:pStyle w:val="Heading3"/>
        <w:tabs>
          <w:tab w:val="clear" w:pos="2955"/>
          <w:tab w:val="num" w:pos="0"/>
        </w:tabs>
        <w:ind w:left="2160"/>
      </w:pPr>
      <w:r w:rsidRPr="000F4F43">
        <w:t>Other measures that could facilitate management of HCFC production phase-out; and</w:t>
      </w:r>
    </w:p>
    <w:p w:rsidR="008572B3" w:rsidRPr="000F4F43" w:rsidRDefault="008572B3" w:rsidP="008572B3">
      <w:pPr>
        <w:pStyle w:val="Heading3"/>
        <w:tabs>
          <w:tab w:val="clear" w:pos="2955"/>
          <w:tab w:val="num" w:pos="0"/>
        </w:tabs>
        <w:ind w:left="2160"/>
      </w:pPr>
      <w:r w:rsidRPr="000F4F43">
        <w:t>Other issues related to the HCFC production sector, taking in account subparagraph (g)(ii) above.</w:t>
      </w:r>
    </w:p>
    <w:p w:rsidR="008572B3" w:rsidRPr="000F4F43" w:rsidRDefault="008572B3" w:rsidP="008572B3">
      <w:pPr>
        <w:pStyle w:val="Heading2"/>
        <w:widowControl/>
        <w:tabs>
          <w:tab w:val="clear" w:pos="720"/>
          <w:tab w:val="num" w:pos="0"/>
        </w:tabs>
        <w:ind w:left="1440"/>
      </w:pPr>
      <w:r w:rsidRPr="000F4F43">
        <w:t>That the Secretariat would work with the implementing agencies to examine the existing guidelines for country programmes and sector plans (decision taken at the 3</w:t>
      </w:r>
      <w:r w:rsidRPr="000F4F43">
        <w:rPr>
          <w:vertAlign w:val="superscript"/>
        </w:rPr>
        <w:t>rd</w:t>
      </w:r>
      <w:r w:rsidRPr="000F4F43">
        <w:t xml:space="preserve"> </w:t>
      </w:r>
      <w:r>
        <w:t>m</w:t>
      </w:r>
      <w:r w:rsidRPr="000F4F43">
        <w:t>eeting of the Executive Committee and decision 38/65), and propose draft guidelines to the 54</w:t>
      </w:r>
      <w:r w:rsidRPr="000F4F43">
        <w:rPr>
          <w:vertAlign w:val="superscript"/>
        </w:rPr>
        <w:t>th</w:t>
      </w:r>
      <w:r>
        <w:rPr>
          <w:vertAlign w:val="superscript"/>
        </w:rPr>
        <w:t> </w:t>
      </w:r>
      <w:r w:rsidRPr="00175FC5">
        <w:t>m</w:t>
      </w:r>
      <w:r w:rsidRPr="000F4F43">
        <w:t>eeting for the preparation of HCFC phase-out management plans incorporating HCFC surveys, taking into consideration comments and views relating to such guidelines expressed by Executive Committee members at the 53</w:t>
      </w:r>
      <w:r w:rsidRPr="000F4F43">
        <w:rPr>
          <w:vertAlign w:val="superscript"/>
        </w:rPr>
        <w:t>rd</w:t>
      </w:r>
      <w:r>
        <w:rPr>
          <w:vertAlign w:val="superscript"/>
        </w:rPr>
        <w:t> </w:t>
      </w:r>
      <w:r>
        <w:t>m</w:t>
      </w:r>
      <w:r w:rsidRPr="000F4F43">
        <w:t>eeting and the submissions to the 54</w:t>
      </w:r>
      <w:r w:rsidRPr="000F4F43">
        <w:rPr>
          <w:vertAlign w:val="superscript"/>
        </w:rPr>
        <w:t>th </w:t>
      </w:r>
      <w:r w:rsidRPr="00C41E27">
        <w:t>m</w:t>
      </w:r>
      <w:r w:rsidRPr="000F4F43">
        <w:t>eeting referred to in paragraph (l) below, and that the Executive Committee would do its utmost to approve the guidelines at its 54</w:t>
      </w:r>
      <w:r w:rsidRPr="000F4F43">
        <w:rPr>
          <w:vertAlign w:val="superscript"/>
        </w:rPr>
        <w:t>th</w:t>
      </w:r>
      <w:r>
        <w:rPr>
          <w:vertAlign w:val="superscript"/>
        </w:rPr>
        <w:t> </w:t>
      </w:r>
      <w:r>
        <w:t>m</w:t>
      </w:r>
      <w:r w:rsidRPr="000F4F43">
        <w:t>eeting;</w:t>
      </w:r>
    </w:p>
    <w:p w:rsidR="008572B3" w:rsidRPr="000F4F43" w:rsidRDefault="008572B3" w:rsidP="008572B3">
      <w:pPr>
        <w:pStyle w:val="Heading2"/>
        <w:widowControl/>
        <w:tabs>
          <w:tab w:val="clear" w:pos="720"/>
          <w:tab w:val="num" w:pos="0"/>
        </w:tabs>
        <w:ind w:left="1440"/>
      </w:pPr>
      <w:r w:rsidRPr="000F4F43">
        <w:t>That the Secretariat, in consultation with technical experts with knowledge of experiences in Article 5 countries with different levels of development and non</w:t>
      </w:r>
      <w:r w:rsidRPr="000F4F43">
        <w:noBreakHyphen/>
        <w:t>Article 5 countries, would prepare by 25 March 2008 a preliminary discussion document providing analysis on all relevant cost considerations surrounding the financing of HCFC phase-out, taking into account the views expressed by Executive Committee Members in the submissions referred to in paragraph (l) below, and including:</w:t>
      </w:r>
    </w:p>
    <w:p w:rsidR="008572B3" w:rsidRPr="000F4F43" w:rsidRDefault="008572B3" w:rsidP="008572B3">
      <w:pPr>
        <w:pStyle w:val="Heading3"/>
        <w:tabs>
          <w:tab w:val="clear" w:pos="2955"/>
          <w:tab w:val="num" w:pos="0"/>
        </w:tabs>
        <w:ind w:left="2160"/>
      </w:pPr>
      <w:r w:rsidRPr="000F4F43">
        <w:t>Information on the cost benchmarks/ranges and applicability of HCFC substitute technologies; and</w:t>
      </w:r>
    </w:p>
    <w:p w:rsidR="008572B3" w:rsidRPr="000F4F43" w:rsidRDefault="008572B3" w:rsidP="008572B3">
      <w:pPr>
        <w:pStyle w:val="Heading3"/>
        <w:tabs>
          <w:tab w:val="clear" w:pos="2955"/>
          <w:tab w:val="num" w:pos="0"/>
        </w:tabs>
        <w:ind w:left="2160"/>
      </w:pPr>
      <w:r w:rsidRPr="000F4F43">
        <w:t>Consideration of substitute technologies, financial incentives and opportunities for co-financing which could be relevant for ensuring that the HCFC phase-out resulted in benefits in accordance with paragraph 11(b) of decision XIX/6 of the Nineteenth Meeting of the Parties;</w:t>
      </w:r>
    </w:p>
    <w:p w:rsidR="008572B3" w:rsidRPr="000F4F43" w:rsidRDefault="008572B3" w:rsidP="008572B3">
      <w:pPr>
        <w:pStyle w:val="Heading2"/>
        <w:widowControl/>
        <w:tabs>
          <w:tab w:val="clear" w:pos="720"/>
          <w:tab w:val="num" w:pos="0"/>
        </w:tabs>
        <w:ind w:left="1440"/>
      </w:pPr>
      <w:r w:rsidRPr="000F4F43">
        <w:t>That the current classifications of low-volume-consuming (LVC) countries and small and medium-sized enterprises (SMEs) should be maintained until the cost</w:t>
      </w:r>
      <w:r w:rsidRPr="000F4F43">
        <w:noBreakHyphen/>
        <w:t>effectiveness thresholds of HCFC phase-out had been developed and the potential impact of those thresholds on LVC countries and SMEs had become better known. It would then be possible to review those classifications including a classification for very low-volume consuming countries, and current policies and funding arrangements targeting those countries and enterprises;</w:t>
      </w:r>
    </w:p>
    <w:p w:rsidR="008572B3" w:rsidRPr="000F4F43" w:rsidRDefault="008572B3" w:rsidP="008572B3">
      <w:pPr>
        <w:pStyle w:val="Heading2"/>
        <w:widowControl/>
        <w:tabs>
          <w:tab w:val="clear" w:pos="720"/>
          <w:tab w:val="num" w:pos="0"/>
        </w:tabs>
        <w:ind w:left="1440"/>
      </w:pPr>
      <w:r w:rsidRPr="000F4F43">
        <w:t>To note that the following cut-off dates for funding HCFC phase-out had been proposed:</w:t>
      </w:r>
    </w:p>
    <w:p w:rsidR="008572B3" w:rsidRPr="000F4F43" w:rsidRDefault="008572B3" w:rsidP="008572B3">
      <w:pPr>
        <w:pStyle w:val="Heading3"/>
        <w:tabs>
          <w:tab w:val="clear" w:pos="2955"/>
          <w:tab w:val="num" w:pos="0"/>
        </w:tabs>
        <w:ind w:left="2160"/>
      </w:pPr>
      <w:r w:rsidRPr="000F4F43">
        <w:t>2000 (Cap of HCFC production/consumption in one major country);</w:t>
      </w:r>
    </w:p>
    <w:p w:rsidR="008572B3" w:rsidRPr="000F4F43" w:rsidRDefault="008572B3" w:rsidP="008572B3">
      <w:pPr>
        <w:pStyle w:val="Heading3"/>
        <w:tabs>
          <w:tab w:val="clear" w:pos="2955"/>
          <w:tab w:val="num" w:pos="0"/>
        </w:tabs>
        <w:ind w:left="2160"/>
      </w:pPr>
      <w:r w:rsidRPr="000F4F43">
        <w:t>2003 (Clean Development Mechanism);</w:t>
      </w:r>
    </w:p>
    <w:p w:rsidR="008572B3" w:rsidRPr="000F4F43" w:rsidRDefault="008572B3" w:rsidP="008572B3">
      <w:pPr>
        <w:pStyle w:val="Heading3"/>
        <w:tabs>
          <w:tab w:val="clear" w:pos="2955"/>
          <w:tab w:val="num" w:pos="0"/>
        </w:tabs>
        <w:ind w:left="2160"/>
      </w:pPr>
      <w:r w:rsidRPr="000F4F43">
        <w:t>2005 (proposal for accelerated phase-out of HCFCs);</w:t>
      </w:r>
    </w:p>
    <w:p w:rsidR="008572B3" w:rsidRPr="000F4F43" w:rsidRDefault="008572B3" w:rsidP="008572B3">
      <w:pPr>
        <w:pStyle w:val="Heading3"/>
        <w:tabs>
          <w:tab w:val="clear" w:pos="2955"/>
          <w:tab w:val="num" w:pos="0"/>
        </w:tabs>
        <w:ind w:left="2160"/>
      </w:pPr>
      <w:r w:rsidRPr="000F4F43">
        <w:t>2007 (Nineteenth Meeting of the Parties);</w:t>
      </w:r>
    </w:p>
    <w:p w:rsidR="008572B3" w:rsidRPr="000F4F43" w:rsidRDefault="008572B3" w:rsidP="008572B3">
      <w:pPr>
        <w:pStyle w:val="Heading3"/>
        <w:widowControl w:val="0"/>
        <w:tabs>
          <w:tab w:val="clear" w:pos="2955"/>
          <w:tab w:val="num" w:pos="0"/>
        </w:tabs>
        <w:ind w:left="2160"/>
      </w:pPr>
      <w:r w:rsidRPr="000F4F43">
        <w:lastRenderedPageBreak/>
        <w:t>2010 (end of the baseline for HCFCs);</w:t>
      </w:r>
    </w:p>
    <w:p w:rsidR="008572B3" w:rsidRPr="000F4F43" w:rsidRDefault="008572B3" w:rsidP="008572B3">
      <w:pPr>
        <w:pStyle w:val="Heading3"/>
        <w:widowControl w:val="0"/>
        <w:tabs>
          <w:tab w:val="clear" w:pos="2955"/>
          <w:tab w:val="num" w:pos="0"/>
        </w:tabs>
        <w:ind w:left="2160"/>
      </w:pPr>
      <w:r w:rsidRPr="000F4F43">
        <w:t>Availability of substitutes;</w:t>
      </w:r>
    </w:p>
    <w:p w:rsidR="008572B3" w:rsidRPr="000F4F43" w:rsidRDefault="008572B3" w:rsidP="008572B3">
      <w:pPr>
        <w:pStyle w:val="Heading2"/>
        <w:widowControl/>
        <w:tabs>
          <w:tab w:val="clear" w:pos="720"/>
          <w:tab w:val="num" w:pos="0"/>
        </w:tabs>
        <w:ind w:left="1440"/>
      </w:pPr>
      <w:r w:rsidRPr="000F4F43">
        <w:t>As a matter of priority, and taking into account paragraphs 5 and 8 of decision XIX/6 of the Nineteenth Meeting of the Parties, to invite Executive Committee Members to submit their views on the following issues to the Secretariat, by 15 January</w:t>
      </w:r>
      <w:r>
        <w:t> </w:t>
      </w:r>
      <w:r w:rsidRPr="000F4F43">
        <w:t>2008, with the understanding that the Secretariat would make the submissions available to the 54</w:t>
      </w:r>
      <w:r w:rsidRPr="000F4F43">
        <w:rPr>
          <w:vertAlign w:val="superscript"/>
        </w:rPr>
        <w:t>th</w:t>
      </w:r>
      <w:r>
        <w:t> m</w:t>
      </w:r>
      <w:r w:rsidRPr="000F4F43">
        <w:t>eeting:</w:t>
      </w:r>
    </w:p>
    <w:p w:rsidR="008572B3" w:rsidRPr="000F4F43" w:rsidRDefault="008572B3" w:rsidP="008572B3">
      <w:pPr>
        <w:pStyle w:val="Heading3"/>
        <w:tabs>
          <w:tab w:val="clear" w:pos="2955"/>
          <w:tab w:val="num" w:pos="0"/>
        </w:tabs>
        <w:ind w:left="2160"/>
      </w:pPr>
      <w:r w:rsidRPr="000F4F43">
        <w:t>Elements the Secretariat should consider in the draft guidelines for the preparation of national HCFC phase-out management plans;</w:t>
      </w:r>
    </w:p>
    <w:p w:rsidR="008572B3" w:rsidRPr="000F4F43" w:rsidRDefault="008572B3" w:rsidP="008572B3">
      <w:pPr>
        <w:pStyle w:val="Heading3"/>
        <w:tabs>
          <w:tab w:val="clear" w:pos="2955"/>
          <w:tab w:val="num" w:pos="0"/>
        </w:tabs>
        <w:ind w:left="2160"/>
      </w:pPr>
      <w:r w:rsidRPr="000F4F43">
        <w:t>Cost considerations to be taken into account by the Secretariat in preparing the discussion document referred to in paragraph (i) above;</w:t>
      </w:r>
    </w:p>
    <w:p w:rsidR="008572B3" w:rsidRPr="000F4F43" w:rsidRDefault="008572B3" w:rsidP="008572B3">
      <w:pPr>
        <w:pStyle w:val="Heading3"/>
        <w:tabs>
          <w:tab w:val="clear" w:pos="2955"/>
          <w:tab w:val="num" w:pos="0"/>
        </w:tabs>
        <w:ind w:left="2160"/>
      </w:pPr>
      <w:r w:rsidRPr="000F4F43">
        <w:t>Cut-off date for funding eligibility; and</w:t>
      </w:r>
    </w:p>
    <w:p w:rsidR="008572B3" w:rsidRPr="000F4F43" w:rsidRDefault="008572B3" w:rsidP="008572B3">
      <w:pPr>
        <w:pStyle w:val="Heading3"/>
        <w:tabs>
          <w:tab w:val="clear" w:pos="2955"/>
          <w:tab w:val="num" w:pos="0"/>
        </w:tabs>
        <w:ind w:left="2160"/>
      </w:pPr>
      <w:r w:rsidRPr="000F4F43">
        <w:t>Second-stage conversions;</w:t>
      </w:r>
    </w:p>
    <w:p w:rsidR="008572B3" w:rsidRPr="000F4F43" w:rsidRDefault="008572B3" w:rsidP="008572B3">
      <w:pPr>
        <w:pStyle w:val="Heading2"/>
        <w:widowControl/>
        <w:tabs>
          <w:tab w:val="clear" w:pos="720"/>
          <w:tab w:val="num" w:pos="0"/>
        </w:tabs>
        <w:ind w:left="1440"/>
      </w:pPr>
      <w:r w:rsidRPr="000F4F43">
        <w:t>To approve 2008 expenditure of up to US $150,000 to cover the costs of consultations with technical experts and other stakeholders required for the preparation of the documents referred to in the present decision.</w:t>
      </w:r>
    </w:p>
    <w:p w:rsidR="008572B3" w:rsidRPr="00B400BC" w:rsidRDefault="008572B3" w:rsidP="008572B3">
      <w:pPr>
        <w:rPr>
          <w:b/>
          <w:caps/>
        </w:rPr>
      </w:pPr>
      <w:r w:rsidRPr="00C508EE">
        <w:rPr>
          <w:rFonts w:ascii="Times New Roman Bold" w:hAnsi="Times New Roman Bold"/>
          <w:b/>
        </w:rPr>
        <w:t>D</w:t>
      </w:r>
      <w:r>
        <w:rPr>
          <w:rFonts w:ascii="Times New Roman Bold" w:hAnsi="Times New Roman Bold"/>
          <w:b/>
        </w:rPr>
        <w:t>ecision</w:t>
      </w:r>
      <w:r w:rsidRPr="00C508EE">
        <w:rPr>
          <w:rFonts w:ascii="Times New Roman Bold" w:hAnsi="Times New Roman Bold"/>
          <w:b/>
        </w:rPr>
        <w:t xml:space="preserve"> 54/39: Draft guidelines for the preparation of HCFC phase-out management plans incorporating HCFC surveys (decision</w:t>
      </w:r>
      <w:r w:rsidRPr="00B400BC">
        <w:rPr>
          <w:b/>
          <w:caps/>
        </w:rPr>
        <w:t xml:space="preserve"> 53/37(</w:t>
      </w:r>
      <w:r w:rsidRPr="00B400BC">
        <w:rPr>
          <w:b/>
        </w:rPr>
        <w:t>h</w:t>
      </w:r>
      <w:r w:rsidRPr="00B400BC">
        <w:rPr>
          <w:b/>
          <w:caps/>
        </w:rPr>
        <w:t>))</w:t>
      </w:r>
    </w:p>
    <w:p w:rsidR="008572B3" w:rsidRPr="00B400BC" w:rsidRDefault="008572B3" w:rsidP="008572B3"/>
    <w:p w:rsidR="008572B3" w:rsidRPr="00331E05" w:rsidRDefault="008572B3" w:rsidP="00752FC8">
      <w:pPr>
        <w:pStyle w:val="Heading1"/>
        <w:numPr>
          <w:ilvl w:val="0"/>
          <w:numId w:val="50"/>
        </w:numPr>
      </w:pPr>
      <w:r>
        <w:t xml:space="preserve">The </w:t>
      </w:r>
      <w:r w:rsidRPr="00331E05">
        <w:t xml:space="preserve">Executive Committee </w:t>
      </w:r>
      <w:r w:rsidRPr="008572B3">
        <w:rPr>
          <w:u w:val="single"/>
        </w:rPr>
        <w:t>decided to adopt the following guidelines</w:t>
      </w:r>
      <w:r w:rsidRPr="00F362C6">
        <w:t>:</w:t>
      </w:r>
    </w:p>
    <w:p w:rsidR="008572B3" w:rsidRPr="00331E05" w:rsidRDefault="008572B3" w:rsidP="008572B3">
      <w:pPr>
        <w:pStyle w:val="Heading2"/>
        <w:widowControl/>
        <w:tabs>
          <w:tab w:val="clear" w:pos="720"/>
          <w:tab w:val="num" w:pos="0"/>
        </w:tabs>
        <w:ind w:left="1440"/>
      </w:pPr>
      <w:r w:rsidRPr="00331E05">
        <w:t xml:space="preserve">Countries </w:t>
      </w:r>
      <w:r>
        <w:t xml:space="preserve">should </w:t>
      </w:r>
      <w:r w:rsidRPr="00331E05">
        <w:t>adopt a staged approach to the implementation of an HCFC phase-out management plan (HPMP), within the framework of their over</w:t>
      </w:r>
      <w:r>
        <w:noBreakHyphen/>
      </w:r>
      <w:r w:rsidRPr="00331E05">
        <w:t>arching</w:t>
      </w:r>
      <w:r>
        <w:noBreakHyphen/>
      </w:r>
      <w:r w:rsidRPr="00331E05">
        <w:t>strategy;</w:t>
      </w:r>
    </w:p>
    <w:p w:rsidR="008572B3" w:rsidRPr="00331E05" w:rsidRDefault="008572B3" w:rsidP="008572B3">
      <w:pPr>
        <w:pStyle w:val="Heading2"/>
        <w:widowControl/>
        <w:tabs>
          <w:tab w:val="clear" w:pos="720"/>
          <w:tab w:val="num" w:pos="0"/>
        </w:tabs>
        <w:ind w:left="1440"/>
      </w:pPr>
      <w:r w:rsidRPr="00331E05">
        <w:t xml:space="preserve">As soon as possible and depending on the availability of resources, countries </w:t>
      </w:r>
      <w:r>
        <w:t xml:space="preserve">should </w:t>
      </w:r>
      <w:r w:rsidRPr="00331E05">
        <w:t xml:space="preserve">employ the guidelines herein to develop, in detail, stage one of the HPMPs, which </w:t>
      </w:r>
      <w:r>
        <w:t xml:space="preserve">would </w:t>
      </w:r>
      <w:r w:rsidRPr="00331E05">
        <w:t xml:space="preserve">address how countries </w:t>
      </w:r>
      <w:r>
        <w:t>would</w:t>
      </w:r>
      <w:r w:rsidRPr="00331E05">
        <w:t xml:space="preserve"> meet the freeze in 2013 and </w:t>
      </w:r>
      <w:r>
        <w:t xml:space="preserve">the </w:t>
      </w:r>
      <w:r w:rsidRPr="00331E05">
        <w:t xml:space="preserve">10 per cent reduction in 2015, with an estimate of related cost considerations and applying cost guidelines as they </w:t>
      </w:r>
      <w:r>
        <w:t>were</w:t>
      </w:r>
      <w:r w:rsidRPr="00331E05">
        <w:t xml:space="preserve"> developed;</w:t>
      </w:r>
    </w:p>
    <w:p w:rsidR="008572B3" w:rsidRPr="00331E05" w:rsidRDefault="008572B3" w:rsidP="008572B3">
      <w:pPr>
        <w:pStyle w:val="Heading2"/>
        <w:widowControl/>
        <w:tabs>
          <w:tab w:val="clear" w:pos="720"/>
          <w:tab w:val="num" w:pos="0"/>
        </w:tabs>
        <w:ind w:left="1440"/>
      </w:pPr>
      <w:r w:rsidRPr="00331E05">
        <w:t>The elaboration of stage one of the HPMP and subsequent stages should be developed as follows:</w:t>
      </w:r>
    </w:p>
    <w:p w:rsidR="008572B3" w:rsidRPr="00331E05" w:rsidRDefault="008572B3" w:rsidP="008572B3">
      <w:pPr>
        <w:pStyle w:val="Heading3"/>
        <w:tabs>
          <w:tab w:val="clear" w:pos="2955"/>
          <w:tab w:val="num" w:pos="0"/>
        </w:tabs>
        <w:ind w:left="2160"/>
      </w:pPr>
      <w:r w:rsidRPr="00331E05">
        <w:t>For countries with consumption in th</w:t>
      </w:r>
      <w:r>
        <w:t>e servicing sector only:</w:t>
      </w:r>
    </w:p>
    <w:p w:rsidR="008572B3" w:rsidRPr="00DC3405" w:rsidRDefault="008572B3" w:rsidP="008572B3">
      <w:pPr>
        <w:pStyle w:val="Heading4"/>
        <w:tabs>
          <w:tab w:val="num" w:pos="0"/>
        </w:tabs>
        <w:spacing w:after="60"/>
        <w:ind w:left="2866"/>
      </w:pPr>
      <w:r w:rsidRPr="00DC3405">
        <w:t>To be consistent with existing guidelines for the preparation of RMPs/RMP updates pursuant to decisions 31/48 and 35/57; and, if applicable, with the preparation of TPMPs pursuant to decision 45/54;</w:t>
      </w:r>
    </w:p>
    <w:p w:rsidR="008572B3" w:rsidRPr="00DC3405" w:rsidRDefault="008572B3" w:rsidP="008572B3">
      <w:pPr>
        <w:pStyle w:val="Heading4"/>
        <w:tabs>
          <w:tab w:val="num" w:pos="0"/>
        </w:tabs>
        <w:ind w:left="2866"/>
      </w:pPr>
      <w:r w:rsidRPr="00DC3405">
        <w:t>To contain commitments to achieve the 2013 and 2015 HCFC control measures and include a performance-based system for HPMPs based on the completion of activities in the HPMP to enable the annual release of funding for the HPMP;</w:t>
      </w:r>
    </w:p>
    <w:p w:rsidR="008572B3" w:rsidRPr="00331E05" w:rsidRDefault="008572B3" w:rsidP="008572B3">
      <w:pPr>
        <w:pStyle w:val="Heading3"/>
        <w:tabs>
          <w:tab w:val="clear" w:pos="2955"/>
          <w:tab w:val="num" w:pos="0"/>
        </w:tabs>
        <w:ind w:left="2160"/>
      </w:pPr>
      <w:r w:rsidRPr="00BC51F1">
        <w:t>For countries with manufacturing sectors using HCFCs, HPMPs</w:t>
      </w:r>
      <w:r>
        <w:t xml:space="preserve"> should c</w:t>
      </w:r>
      <w:r w:rsidRPr="00331E05">
        <w:t xml:space="preserve">ontain a national performance-based phase-out plan </w:t>
      </w:r>
      <w:r>
        <w:t>(</w:t>
      </w:r>
      <w:r w:rsidRPr="00331E05">
        <w:t>NPP</w:t>
      </w:r>
      <w:r>
        <w:t xml:space="preserve">) with one or several </w:t>
      </w:r>
      <w:r w:rsidRPr="00331E05">
        <w:t>substance</w:t>
      </w:r>
      <w:r>
        <w:t xml:space="preserve"> </w:t>
      </w:r>
      <w:r>
        <w:lastRenderedPageBreak/>
        <w:t>or sector</w:t>
      </w:r>
      <w:r w:rsidRPr="00331E05">
        <w:t>-based phase-out plan</w:t>
      </w:r>
      <w:r>
        <w:t>s</w:t>
      </w:r>
      <w:r w:rsidRPr="00331E05">
        <w:t xml:space="preserve"> </w:t>
      </w:r>
      <w:r>
        <w:t>(</w:t>
      </w:r>
      <w:r w:rsidRPr="00331E05">
        <w:t xml:space="preserve">SPP) consistent with </w:t>
      </w:r>
      <w:r>
        <w:t xml:space="preserve">decision 38/65 </w:t>
      </w:r>
      <w:r w:rsidRPr="00331E05">
        <w:t xml:space="preserve">addressing consumption reduction levels sufficient to achieve the 2013 and 2015 </w:t>
      </w:r>
      <w:smartTag w:uri="urn:schemas-microsoft-com:office:smarttags" w:element="stockticker">
        <w:r w:rsidRPr="00331E05">
          <w:t>HCFC</w:t>
        </w:r>
      </w:smartTag>
      <w:r w:rsidRPr="00331E05">
        <w:t xml:space="preserve"> control measures and provide starting points for aggregate reductions</w:t>
      </w:r>
      <w:r>
        <w:t>,</w:t>
      </w:r>
      <w:r w:rsidRPr="00331E05">
        <w:t xml:space="preserve"> </w:t>
      </w:r>
      <w:r>
        <w:t>together</w:t>
      </w:r>
      <w:r w:rsidRPr="00331E05">
        <w:t xml:space="preserve"> with annual reduction targets;</w:t>
      </w:r>
    </w:p>
    <w:p w:rsidR="008572B3" w:rsidRPr="00331E05" w:rsidRDefault="008572B3" w:rsidP="008572B3">
      <w:pPr>
        <w:pStyle w:val="Heading2"/>
        <w:widowControl/>
        <w:tabs>
          <w:tab w:val="clear" w:pos="720"/>
          <w:tab w:val="num" w:pos="0"/>
        </w:tabs>
        <w:ind w:left="1440"/>
      </w:pPr>
      <w:r w:rsidRPr="00E20479">
        <w:t xml:space="preserve">For countries that chose to implement </w:t>
      </w:r>
      <w:r w:rsidRPr="00140B20">
        <w:t>investment</w:t>
      </w:r>
      <w:r w:rsidRPr="00DD7855">
        <w:t xml:space="preserve"> </w:t>
      </w:r>
      <w:r w:rsidRPr="00E20479">
        <w:t>projects in advance of completion o</w:t>
      </w:r>
      <w:r>
        <w:t>f</w:t>
      </w:r>
      <w:r w:rsidRPr="00E20479">
        <w:t xml:space="preserve"> the HPMP</w:t>
      </w:r>
      <w:r>
        <w:t>:</w:t>
      </w:r>
    </w:p>
    <w:p w:rsidR="008572B3" w:rsidRPr="00140B20" w:rsidRDefault="008572B3" w:rsidP="008572B3">
      <w:pPr>
        <w:pStyle w:val="Heading3"/>
        <w:tabs>
          <w:tab w:val="clear" w:pos="2955"/>
          <w:tab w:val="num" w:pos="0"/>
        </w:tabs>
        <w:ind w:left="2160"/>
      </w:pPr>
      <w:r w:rsidRPr="00140B20">
        <w:rPr>
          <w:rFonts w:cs="Arial"/>
        </w:rPr>
        <w:t xml:space="preserve">The approval of each project </w:t>
      </w:r>
      <w:r>
        <w:rPr>
          <w:rFonts w:cs="Arial"/>
        </w:rPr>
        <w:t>should</w:t>
      </w:r>
      <w:r w:rsidRPr="00140B20">
        <w:rPr>
          <w:rFonts w:cs="Arial"/>
        </w:rPr>
        <w:t xml:space="preserve"> result in a phase</w:t>
      </w:r>
      <w:r>
        <w:rPr>
          <w:rFonts w:cs="Arial"/>
        </w:rPr>
        <w:t>-</w:t>
      </w:r>
      <w:r w:rsidRPr="00140B20">
        <w:rPr>
          <w:rFonts w:cs="Arial"/>
        </w:rPr>
        <w:t xml:space="preserve">out of HCFCs </w:t>
      </w:r>
      <w:r>
        <w:rPr>
          <w:rFonts w:cs="Arial"/>
        </w:rPr>
        <w:t>to</w:t>
      </w:r>
      <w:r w:rsidRPr="00140B20">
        <w:rPr>
          <w:rFonts w:cs="Arial"/>
        </w:rPr>
        <w:t xml:space="preserve"> count against the consumption identified in the HPMP and no such projects </w:t>
      </w:r>
      <w:r>
        <w:rPr>
          <w:rFonts w:cs="Arial"/>
        </w:rPr>
        <w:t>could</w:t>
      </w:r>
      <w:r w:rsidRPr="00140B20">
        <w:rPr>
          <w:rFonts w:cs="Arial"/>
        </w:rPr>
        <w:t xml:space="preserve"> be approved after 2010 unless they </w:t>
      </w:r>
      <w:r>
        <w:rPr>
          <w:rFonts w:cs="Arial"/>
        </w:rPr>
        <w:t>were</w:t>
      </w:r>
      <w:r w:rsidRPr="00140B20">
        <w:rPr>
          <w:rFonts w:cs="Arial"/>
        </w:rPr>
        <w:t xml:space="preserve"> part of the HPMP</w:t>
      </w:r>
      <w:r w:rsidRPr="00140B20">
        <w:t>;</w:t>
      </w:r>
    </w:p>
    <w:p w:rsidR="008572B3" w:rsidRPr="00331E05" w:rsidRDefault="008572B3" w:rsidP="008572B3">
      <w:pPr>
        <w:pStyle w:val="Heading3"/>
        <w:tabs>
          <w:tab w:val="clear" w:pos="2955"/>
          <w:tab w:val="num" w:pos="0"/>
        </w:tabs>
        <w:ind w:left="2160"/>
      </w:pPr>
      <w:r>
        <w:t>If the individual project approach was used, t</w:t>
      </w:r>
      <w:r w:rsidRPr="00331E05">
        <w:t>he submission of the first project should provide an indication of how the demonstration projects relate</w:t>
      </w:r>
      <w:r>
        <w:t>d</w:t>
      </w:r>
      <w:r w:rsidRPr="00331E05">
        <w:t xml:space="preserve"> to the HPMP and an indication of whe</w:t>
      </w:r>
      <w:r>
        <w:t xml:space="preserve">n the HPMP would be submitted; </w:t>
      </w:r>
    </w:p>
    <w:p w:rsidR="008572B3" w:rsidRPr="00331E05" w:rsidRDefault="008572B3" w:rsidP="008572B3">
      <w:pPr>
        <w:pStyle w:val="Heading2"/>
        <w:widowControl/>
        <w:tabs>
          <w:tab w:val="clear" w:pos="720"/>
          <w:tab w:val="num" w:pos="0"/>
        </w:tabs>
        <w:ind w:left="1440"/>
      </w:pPr>
      <w:r>
        <w:t>Consideration should be given to</w:t>
      </w:r>
      <w:r w:rsidRPr="00331E05">
        <w:t xml:space="preserve"> providing funding for assistance to include </w:t>
      </w:r>
      <w:smartTag w:uri="urn:schemas-microsoft-com:office:smarttags" w:element="stockticker">
        <w:r w:rsidRPr="00331E05">
          <w:t>HCFC</w:t>
        </w:r>
      </w:smartTag>
      <w:r w:rsidRPr="00331E05">
        <w:t xml:space="preserve"> control measures in legislation, regulations and licensing systems as part of the funding of HPMP </w:t>
      </w:r>
      <w:r>
        <w:t xml:space="preserve">preparation </w:t>
      </w:r>
      <w:r w:rsidRPr="00331E05">
        <w:t xml:space="preserve">as necessary and confirmation of the implementation of the same </w:t>
      </w:r>
      <w:r>
        <w:t xml:space="preserve">should be required </w:t>
      </w:r>
      <w:r w:rsidRPr="00331E05">
        <w:t xml:space="preserve">as a prerequisite </w:t>
      </w:r>
      <w:r>
        <w:t>for</w:t>
      </w:r>
      <w:r w:rsidRPr="00331E05">
        <w:t xml:space="preserve"> funding implement</w:t>
      </w:r>
      <w:r>
        <w:t xml:space="preserve">ation of the HPMP; </w:t>
      </w:r>
    </w:p>
    <w:p w:rsidR="008572B3" w:rsidRPr="00331E05" w:rsidRDefault="008572B3" w:rsidP="008572B3">
      <w:pPr>
        <w:pStyle w:val="Heading2"/>
        <w:widowControl/>
        <w:tabs>
          <w:tab w:val="clear" w:pos="720"/>
          <w:tab w:val="num" w:pos="0"/>
        </w:tabs>
        <w:ind w:left="1440"/>
      </w:pPr>
      <w:r w:rsidRPr="00331E05">
        <w:t xml:space="preserve">In cases where there </w:t>
      </w:r>
      <w:r>
        <w:t>were</w:t>
      </w:r>
      <w:r w:rsidRPr="00331E05">
        <w:t xml:space="preserve"> multiple implementing agencies in one country, a lead agency should be designated to coordinate the overall development of stage one of the HPMP;</w:t>
      </w:r>
    </w:p>
    <w:p w:rsidR="008572B3" w:rsidRPr="00331E05" w:rsidRDefault="008572B3" w:rsidP="008572B3">
      <w:pPr>
        <w:pStyle w:val="Heading2"/>
        <w:widowControl/>
        <w:tabs>
          <w:tab w:val="clear" w:pos="720"/>
          <w:tab w:val="num" w:pos="0"/>
        </w:tabs>
        <w:ind w:left="1440"/>
      </w:pPr>
      <w:r w:rsidRPr="00E20479">
        <w:rPr>
          <w:rFonts w:eastAsia="SimSun" w:cs="Arial"/>
          <w:lang w:eastAsia="zh-CN"/>
        </w:rPr>
        <w:t>HPMPs should contain cost information at the time of their submission based on and address</w:t>
      </w:r>
      <w:r>
        <w:rPr>
          <w:rFonts w:eastAsia="SimSun" w:cs="Arial"/>
          <w:lang w:eastAsia="zh-CN"/>
        </w:rPr>
        <w:t>ing</w:t>
      </w:r>
      <w:r w:rsidRPr="00331E05">
        <w:t xml:space="preserve">: </w:t>
      </w:r>
    </w:p>
    <w:p w:rsidR="008572B3" w:rsidRPr="00331E05" w:rsidRDefault="008572B3" w:rsidP="008572B3">
      <w:pPr>
        <w:pStyle w:val="Heading3"/>
        <w:tabs>
          <w:tab w:val="clear" w:pos="2955"/>
          <w:tab w:val="num" w:pos="0"/>
        </w:tabs>
        <w:ind w:left="2160"/>
      </w:pPr>
      <w:r w:rsidRPr="00331E05">
        <w:t>The most current HCFC cost guidelines at the time of submission;</w:t>
      </w:r>
    </w:p>
    <w:p w:rsidR="008572B3" w:rsidRPr="00331E05" w:rsidRDefault="008572B3" w:rsidP="008572B3">
      <w:pPr>
        <w:pStyle w:val="Heading3"/>
        <w:keepLines/>
        <w:tabs>
          <w:tab w:val="clear" w:pos="2955"/>
          <w:tab w:val="num" w:pos="0"/>
        </w:tabs>
        <w:ind w:left="2160"/>
      </w:pPr>
      <w:r w:rsidRPr="008557B1">
        <w:rPr>
          <w:rFonts w:eastAsia="SimSun" w:cs="Arial"/>
          <w:lang w:eastAsia="zh-CN"/>
        </w:rPr>
        <w:t>Alternative cost scenarios based on different potential cut-off dates for new capacity if a specific cut-off date ha</w:t>
      </w:r>
      <w:r>
        <w:rPr>
          <w:rFonts w:eastAsia="SimSun" w:cs="Arial"/>
          <w:lang w:eastAsia="zh-CN"/>
        </w:rPr>
        <w:t>d</w:t>
      </w:r>
      <w:r w:rsidRPr="008557B1">
        <w:rPr>
          <w:rFonts w:eastAsia="SimSun" w:cs="Arial"/>
          <w:lang w:eastAsia="zh-CN"/>
        </w:rPr>
        <w:t xml:space="preserve"> not yet been decided, for funding eligibility of manufacturing facilities as specified in decision</w:t>
      </w:r>
      <w:r>
        <w:rPr>
          <w:rFonts w:eastAsia="SimSun" w:cs="Arial"/>
          <w:lang w:eastAsia="zh-CN"/>
        </w:rPr>
        <w:t> 53/37</w:t>
      </w:r>
      <w:r w:rsidRPr="008557B1">
        <w:rPr>
          <w:rFonts w:eastAsia="SimSun" w:cs="Arial"/>
          <w:lang w:eastAsia="zh-CN"/>
        </w:rPr>
        <w:t xml:space="preserve">(k), </w:t>
      </w:r>
      <w:r>
        <w:rPr>
          <w:rFonts w:eastAsia="SimSun" w:cs="Arial"/>
          <w:lang w:eastAsia="zh-CN"/>
        </w:rPr>
        <w:t>as well as</w:t>
      </w:r>
      <w:r w:rsidRPr="008557B1">
        <w:rPr>
          <w:rFonts w:eastAsia="SimSun" w:cs="Arial"/>
          <w:lang w:eastAsia="zh-CN"/>
        </w:rPr>
        <w:t xml:space="preserve"> the curre</w:t>
      </w:r>
      <w:r>
        <w:rPr>
          <w:rFonts w:eastAsia="SimSun" w:cs="Arial"/>
          <w:lang w:eastAsia="zh-CN"/>
        </w:rPr>
        <w:t>nt policy for a 25 July 1995 cut-of</w:t>
      </w:r>
      <w:r w:rsidRPr="008557B1">
        <w:rPr>
          <w:rFonts w:eastAsia="SimSun" w:cs="Arial"/>
          <w:lang w:eastAsia="zh-CN"/>
        </w:rPr>
        <w:t>f</w:t>
      </w:r>
      <w:r>
        <w:rPr>
          <w:rFonts w:eastAsia="SimSun" w:cs="Arial"/>
          <w:lang w:eastAsia="zh-CN"/>
        </w:rPr>
        <w:t xml:space="preserve"> date</w:t>
      </w:r>
      <w:r w:rsidRPr="008557B1">
        <w:rPr>
          <w:rFonts w:eastAsia="SimSun" w:cs="Arial"/>
          <w:lang w:eastAsia="zh-CN"/>
        </w:rPr>
        <w:t>;</w:t>
      </w:r>
    </w:p>
    <w:p w:rsidR="008572B3" w:rsidRPr="00331E05" w:rsidRDefault="008572B3" w:rsidP="008572B3">
      <w:pPr>
        <w:pStyle w:val="Heading3"/>
        <w:tabs>
          <w:tab w:val="clear" w:pos="2955"/>
          <w:tab w:val="num" w:pos="0"/>
        </w:tabs>
        <w:ind w:left="2160"/>
      </w:pPr>
      <w:r w:rsidRPr="00331E05">
        <w:t xml:space="preserve">Alternative cost scenarios for the operational and capital costs for second conversions; </w:t>
      </w:r>
    </w:p>
    <w:p w:rsidR="008572B3" w:rsidRPr="00140B20" w:rsidRDefault="008572B3" w:rsidP="008572B3">
      <w:pPr>
        <w:pStyle w:val="Heading3"/>
        <w:tabs>
          <w:tab w:val="clear" w:pos="2955"/>
          <w:tab w:val="num" w:pos="0"/>
        </w:tabs>
        <w:ind w:left="2160"/>
      </w:pPr>
      <w:r w:rsidRPr="00140B20">
        <w:rPr>
          <w:rFonts w:eastAsia="SimSun" w:cs="Arial"/>
          <w:lang w:eastAsia="zh-CN"/>
        </w:rPr>
        <w:t xml:space="preserve">The incremental costs of regulating import and supply to the market </w:t>
      </w:r>
      <w:r>
        <w:rPr>
          <w:rFonts w:eastAsia="SimSun" w:cs="Arial"/>
          <w:lang w:eastAsia="zh-CN"/>
        </w:rPr>
        <w:t xml:space="preserve">of </w:t>
      </w:r>
      <w:r w:rsidRPr="00140B20">
        <w:rPr>
          <w:rFonts w:eastAsia="SimSun" w:cs="Arial"/>
          <w:lang w:eastAsia="zh-CN"/>
        </w:rPr>
        <w:t xml:space="preserve">HCFC dependent equipment once proven alternatives </w:t>
      </w:r>
      <w:r>
        <w:rPr>
          <w:rFonts w:eastAsia="SimSun" w:cs="Arial"/>
          <w:lang w:eastAsia="zh-CN"/>
        </w:rPr>
        <w:t>were</w:t>
      </w:r>
      <w:r w:rsidRPr="00140B20">
        <w:rPr>
          <w:rFonts w:eastAsia="SimSun" w:cs="Arial"/>
          <w:lang w:eastAsia="zh-CN"/>
        </w:rPr>
        <w:t xml:space="preserve"> commercially available in the country and describ</w:t>
      </w:r>
      <w:r>
        <w:rPr>
          <w:rFonts w:eastAsia="SimSun" w:cs="Arial"/>
          <w:lang w:eastAsia="zh-CN"/>
        </w:rPr>
        <w:t>ing</w:t>
      </w:r>
      <w:r w:rsidRPr="00140B20">
        <w:rPr>
          <w:rFonts w:eastAsia="SimSun" w:cs="Arial"/>
          <w:lang w:eastAsia="zh-CN"/>
        </w:rPr>
        <w:t xml:space="preserve"> the benefits to the servicing sector of associated reduced demand</w:t>
      </w:r>
      <w:r>
        <w:rPr>
          <w:rFonts w:eastAsia="SimSun" w:cs="Arial"/>
          <w:lang w:eastAsia="zh-CN"/>
        </w:rPr>
        <w:t>;</w:t>
      </w:r>
    </w:p>
    <w:p w:rsidR="008572B3" w:rsidRPr="00140B20" w:rsidRDefault="008572B3" w:rsidP="008572B3">
      <w:pPr>
        <w:pStyle w:val="Heading3"/>
        <w:tabs>
          <w:tab w:val="clear" w:pos="2955"/>
          <w:tab w:val="num" w:pos="0"/>
        </w:tabs>
        <w:ind w:left="2160"/>
      </w:pPr>
      <w:r w:rsidRPr="00140B20">
        <w:rPr>
          <w:rFonts w:eastAsia="SimSun" w:cs="Arial"/>
          <w:lang w:eastAsia="zh-CN"/>
        </w:rPr>
        <w:t>Cost and benefit information based on the full range of alternatives considered</w:t>
      </w:r>
      <w:r>
        <w:rPr>
          <w:rFonts w:eastAsia="SimSun" w:cs="Arial"/>
          <w:lang w:eastAsia="zh-CN"/>
        </w:rPr>
        <w:t>,</w:t>
      </w:r>
      <w:r w:rsidRPr="00140B20">
        <w:rPr>
          <w:rFonts w:eastAsia="SimSun" w:cs="Arial"/>
          <w:lang w:eastAsia="zh-CN"/>
        </w:rPr>
        <w:t xml:space="preserve"> and associated ODP and other impacts on the environment including on the climate, taking into account global-warming potential, energy use and other relevant factors</w:t>
      </w:r>
      <w:r w:rsidRPr="00140B20">
        <w:t xml:space="preserve">; </w:t>
      </w:r>
    </w:p>
    <w:p w:rsidR="008572B3" w:rsidRPr="00140B20" w:rsidRDefault="008572B3" w:rsidP="008572B3">
      <w:pPr>
        <w:pStyle w:val="Heading2"/>
        <w:widowControl/>
        <w:tabs>
          <w:tab w:val="clear" w:pos="720"/>
          <w:tab w:val="num" w:pos="0"/>
        </w:tabs>
        <w:ind w:left="1440"/>
      </w:pPr>
      <w:r w:rsidRPr="00140B20">
        <w:rPr>
          <w:rFonts w:eastAsia="SimSun" w:cs="Arial"/>
          <w:lang w:eastAsia="zh-CN"/>
        </w:rPr>
        <w:t xml:space="preserve">Countries and agencies </w:t>
      </w:r>
      <w:r>
        <w:rPr>
          <w:rFonts w:eastAsia="SimSun" w:cs="Arial"/>
          <w:lang w:eastAsia="zh-CN"/>
        </w:rPr>
        <w:t>were</w:t>
      </w:r>
      <w:r w:rsidRPr="00140B20">
        <w:rPr>
          <w:rFonts w:eastAsia="SimSun" w:cs="Arial"/>
          <w:lang w:eastAsia="zh-CN"/>
        </w:rPr>
        <w:t xml:space="preserve"> encouraged to explore potential financial incentives and opportunities for additional resources to maximize the environmental benefits </w:t>
      </w:r>
      <w:r>
        <w:rPr>
          <w:rFonts w:eastAsia="SimSun" w:cs="Arial"/>
          <w:lang w:eastAsia="zh-CN"/>
        </w:rPr>
        <w:t>from HPMPs pursuant to paragraph 11(b) of</w:t>
      </w:r>
      <w:r w:rsidRPr="00140B20">
        <w:rPr>
          <w:rFonts w:eastAsia="SimSun" w:cs="Arial"/>
          <w:lang w:eastAsia="zh-CN"/>
        </w:rPr>
        <w:t xml:space="preserve"> decision XIX/6 of the Nineteenth Meeting of the Parties</w:t>
      </w:r>
      <w:r w:rsidRPr="00140B20">
        <w:t>;</w:t>
      </w:r>
    </w:p>
    <w:p w:rsidR="008572B3" w:rsidRPr="00140B20" w:rsidRDefault="008572B3" w:rsidP="008572B3">
      <w:pPr>
        <w:pStyle w:val="Heading2"/>
        <w:widowControl/>
        <w:tabs>
          <w:tab w:val="clear" w:pos="720"/>
          <w:tab w:val="num" w:pos="0"/>
        </w:tabs>
        <w:ind w:left="1440"/>
      </w:pPr>
      <w:r>
        <w:t>HPMPs should address:</w:t>
      </w:r>
    </w:p>
    <w:p w:rsidR="008572B3" w:rsidRPr="00140B20" w:rsidRDefault="008572B3" w:rsidP="008572B3">
      <w:pPr>
        <w:pStyle w:val="Heading3"/>
        <w:tabs>
          <w:tab w:val="clear" w:pos="2955"/>
          <w:tab w:val="num" w:pos="0"/>
        </w:tabs>
        <w:ind w:left="2160"/>
      </w:pPr>
      <w:r w:rsidRPr="00140B20">
        <w:lastRenderedPageBreak/>
        <w:t>The use of institutional arrangeme</w:t>
      </w:r>
      <w:r>
        <w:t>nts mentioned in decision 53/37</w:t>
      </w:r>
      <w:r w:rsidRPr="00140B20">
        <w:t>(e) and</w:t>
      </w:r>
      <w:r>
        <w:t> </w:t>
      </w:r>
      <w:r w:rsidRPr="00140B20">
        <w:t xml:space="preserve">(f); </w:t>
      </w:r>
    </w:p>
    <w:p w:rsidR="008572B3" w:rsidRPr="00140B20" w:rsidRDefault="008572B3" w:rsidP="008572B3">
      <w:pPr>
        <w:pStyle w:val="Heading3"/>
        <w:tabs>
          <w:tab w:val="clear" w:pos="2955"/>
          <w:tab w:val="num" w:pos="0"/>
        </w:tabs>
        <w:ind w:left="2160"/>
      </w:pPr>
      <w:r w:rsidRPr="00140B20">
        <w:t>The roles and responsibilities of associations of refrigeration technicians and other industry associations and how they coul</w:t>
      </w:r>
      <w:r>
        <w:t>d contribute to HCFC phase-out; and</w:t>
      </w:r>
    </w:p>
    <w:p w:rsidR="008572B3" w:rsidRDefault="008572B3" w:rsidP="008572B3">
      <w:pPr>
        <w:pStyle w:val="Heading2"/>
        <w:widowControl/>
        <w:tabs>
          <w:tab w:val="clear" w:pos="720"/>
          <w:tab w:val="num" w:pos="0"/>
        </w:tabs>
        <w:ind w:left="1440"/>
        <w:rPr>
          <w:rFonts w:eastAsia="SimSun"/>
          <w:lang w:eastAsia="zh-CN"/>
        </w:rPr>
      </w:pPr>
      <w:r w:rsidRPr="00140B20">
        <w:rPr>
          <w:rFonts w:eastAsia="SimSun"/>
          <w:lang w:eastAsia="zh-CN"/>
        </w:rPr>
        <w:t>HPMPs should, a</w:t>
      </w:r>
      <w:r>
        <w:rPr>
          <w:rFonts w:eastAsia="SimSun"/>
          <w:lang w:eastAsia="zh-CN"/>
        </w:rPr>
        <w:t>s</w:t>
      </w:r>
      <w:r w:rsidRPr="00140B20">
        <w:rPr>
          <w:rFonts w:eastAsia="SimSun"/>
          <w:lang w:eastAsia="zh-CN"/>
        </w:rPr>
        <w:t xml:space="preserve"> a minimum, fulfil the data and information requirements, as applicable, listed in the indicative outline for the development of HPMPs, as set out in </w:t>
      </w:r>
      <w:r>
        <w:rPr>
          <w:rFonts w:eastAsia="SimSun"/>
          <w:lang w:eastAsia="zh-CN"/>
        </w:rPr>
        <w:t>Annex XIX to</w:t>
      </w:r>
      <w:r w:rsidRPr="00140B20">
        <w:rPr>
          <w:rFonts w:eastAsia="SimSun"/>
          <w:lang w:eastAsia="zh-CN"/>
        </w:rPr>
        <w:t xml:space="preserve"> the present </w:t>
      </w:r>
      <w:r>
        <w:rPr>
          <w:rFonts w:eastAsia="SimSun"/>
          <w:lang w:eastAsia="zh-CN"/>
        </w:rPr>
        <w:t>report.</w:t>
      </w:r>
    </w:p>
    <w:p w:rsidR="008572B3" w:rsidRPr="00131430" w:rsidRDefault="008572B3" w:rsidP="008572B3">
      <w:pPr>
        <w:rPr>
          <w:rFonts w:eastAsia="SimSun"/>
          <w:lang w:eastAsia="zh-CN"/>
        </w:rPr>
      </w:pPr>
      <w:r w:rsidRPr="00131430">
        <w:rPr>
          <w:rFonts w:eastAsia="SimSun"/>
          <w:b/>
          <w:lang w:eastAsia="zh-CN"/>
        </w:rPr>
        <w:t>Decision 55/43: R</w:t>
      </w:r>
      <w:r w:rsidRPr="00131430">
        <w:rPr>
          <w:rFonts w:ascii="TimesNewRomanPSMT" w:hAnsi="TimesNewRomanPSMT"/>
          <w:b/>
        </w:rPr>
        <w:t>evised analysis of relevant cost considerations surrounding the financing of HCFC phase-out (decisions 53/37(i) and 54/40)</w:t>
      </w:r>
    </w:p>
    <w:p w:rsidR="008572B3" w:rsidRPr="00131430" w:rsidRDefault="008572B3" w:rsidP="008572B3">
      <w:pPr>
        <w:rPr>
          <w:rFonts w:eastAsia="SimSun"/>
          <w:lang w:eastAsia="zh-CN"/>
        </w:rPr>
      </w:pPr>
    </w:p>
    <w:p w:rsidR="008572B3" w:rsidRPr="00131430" w:rsidRDefault="008572B3" w:rsidP="00752FC8">
      <w:pPr>
        <w:pStyle w:val="Heading1"/>
        <w:numPr>
          <w:ilvl w:val="0"/>
          <w:numId w:val="51"/>
        </w:numPr>
      </w:pPr>
      <w:r w:rsidRPr="008572B3">
        <w:rPr>
          <w:rFonts w:ascii="TimesNewRomanPSMT" w:hAnsi="TimesNewRomanPSMT"/>
        </w:rPr>
        <w:t>A contact group was set up, with Australia, as convenor, to discuss the cost considerations of financing HCFC phase-out further. The</w:t>
      </w:r>
      <w:r w:rsidRPr="008572B3">
        <w:rPr>
          <w:lang w:val="en-CA"/>
        </w:rPr>
        <w:t xml:space="preserve"> convenor of the contact group reported to the Executive Committee that the group, following extensive discussions had reached agreement on a text, taking into account the comments made by Members of the Executive Committee.</w:t>
      </w:r>
    </w:p>
    <w:p w:rsidR="008572B3" w:rsidRPr="00131430" w:rsidRDefault="008572B3" w:rsidP="008572B3">
      <w:pPr>
        <w:pStyle w:val="Heading1"/>
      </w:pPr>
      <w:r w:rsidRPr="00131430">
        <w:rPr>
          <w:lang w:val="en-CA"/>
        </w:rPr>
        <w:t>On that basis, t</w:t>
      </w:r>
      <w:r w:rsidRPr="00131430">
        <w:t xml:space="preserve">he Executive Committee </w:t>
      </w:r>
      <w:r w:rsidRPr="00131430">
        <w:rPr>
          <w:u w:val="single"/>
        </w:rPr>
        <w:t>decided</w:t>
      </w:r>
      <w:r w:rsidRPr="00131430">
        <w:t>:</w:t>
      </w:r>
    </w:p>
    <w:p w:rsidR="008572B3" w:rsidRPr="00131430" w:rsidRDefault="008572B3" w:rsidP="008572B3">
      <w:pPr>
        <w:pStyle w:val="Heading2"/>
        <w:tabs>
          <w:tab w:val="clear" w:pos="720"/>
          <w:tab w:val="num" w:pos="0"/>
        </w:tabs>
        <w:ind w:left="1440"/>
      </w:pPr>
      <w:r w:rsidRPr="00131430">
        <w:t>To take note of the discussion paper providing an analysis of relevant cost considerations surrounding the financing of HCFC phase-out contained in document UNEP/OzL.Pro/ExCom/55/47;</w:t>
      </w:r>
    </w:p>
    <w:p w:rsidR="008572B3" w:rsidRPr="00131430" w:rsidRDefault="008572B3" w:rsidP="008572B3">
      <w:pPr>
        <w:pStyle w:val="Heading2"/>
        <w:tabs>
          <w:tab w:val="clear" w:pos="720"/>
          <w:tab w:val="num" w:pos="0"/>
        </w:tabs>
        <w:ind w:left="1440"/>
      </w:pPr>
      <w:r w:rsidRPr="00131430">
        <w:t xml:space="preserve">To invite bilateral and implementing agencies to prepare and submit project proposals to the Secretariat for those HCFC uses addressed in paragraphs </w:t>
      </w:r>
      <w:r w:rsidRPr="00131430">
        <w:fldChar w:fldCharType="begin"/>
      </w:r>
      <w:r w:rsidRPr="00131430">
        <w:instrText xml:space="preserve"> REF _Ref204081768 \r \h  \* MERGEFORMAT </w:instrText>
      </w:r>
      <w:r w:rsidRPr="00131430">
        <w:fldChar w:fldCharType="separate"/>
      </w:r>
      <w:r w:rsidR="00FB3F9B">
        <w:t>(c)</w:t>
      </w:r>
      <w:r w:rsidRPr="00131430">
        <w:fldChar w:fldCharType="end"/>
      </w:r>
      <w:r w:rsidRPr="00131430">
        <w:t xml:space="preserve">, </w:t>
      </w:r>
      <w:r w:rsidRPr="00131430">
        <w:fldChar w:fldCharType="begin"/>
      </w:r>
      <w:r w:rsidRPr="00131430">
        <w:instrText xml:space="preserve"> REF _Ref204081795 \r \h  \* MERGEFORMAT </w:instrText>
      </w:r>
      <w:r w:rsidRPr="00131430">
        <w:fldChar w:fldCharType="separate"/>
      </w:r>
      <w:r w:rsidR="00FB3F9B">
        <w:t>(d)</w:t>
      </w:r>
      <w:r w:rsidRPr="00131430">
        <w:fldChar w:fldCharType="end"/>
      </w:r>
      <w:r w:rsidRPr="00131430">
        <w:t xml:space="preserve">, </w:t>
      </w:r>
      <w:r w:rsidRPr="00131430">
        <w:fldChar w:fldCharType="begin"/>
      </w:r>
      <w:r w:rsidRPr="00131430">
        <w:instrText xml:space="preserve"> REF _Ref204081797 \r \h  \* MERGEFORMAT </w:instrText>
      </w:r>
      <w:r w:rsidRPr="00131430">
        <w:fldChar w:fldCharType="separate"/>
      </w:r>
      <w:r w:rsidR="00FB3F9B">
        <w:t>(e)</w:t>
      </w:r>
      <w:r w:rsidRPr="00131430">
        <w:fldChar w:fldCharType="end"/>
      </w:r>
      <w:r w:rsidRPr="00131430">
        <w:t xml:space="preserve"> and </w:t>
      </w:r>
      <w:r w:rsidRPr="00131430">
        <w:fldChar w:fldCharType="begin"/>
      </w:r>
      <w:r w:rsidRPr="00131430">
        <w:instrText xml:space="preserve"> REF _Ref204081806 \r \h  \* MERGEFORMAT </w:instrText>
      </w:r>
      <w:r w:rsidRPr="00131430">
        <w:fldChar w:fldCharType="separate"/>
      </w:r>
      <w:r w:rsidR="00FB3F9B">
        <w:t>(f)</w:t>
      </w:r>
      <w:r w:rsidRPr="00131430">
        <w:fldChar w:fldCharType="end"/>
      </w:r>
      <w:r w:rsidRPr="00131430">
        <w:t xml:space="preserve"> below so that the Executive Committee could choose those projects that best demonstrated alternative technologies and facilitated the collection of accurate data on incremental capital cost and incremental operating costs or savings, as well as other data relevant to the application of the technologies, on the understanding that the quantity of HCFC to be phased out under those projects needed to be deducted from the starting point for sustained aggregate reductions in eligible consumption as set by the HCFC phase-out management plan (HPMP);</w:t>
      </w:r>
    </w:p>
    <w:p w:rsidR="008572B3" w:rsidRPr="00131430" w:rsidRDefault="008572B3" w:rsidP="008572B3">
      <w:pPr>
        <w:pStyle w:val="Heading2"/>
        <w:tabs>
          <w:tab w:val="clear" w:pos="720"/>
          <w:tab w:val="num" w:pos="0"/>
        </w:tabs>
        <w:ind w:left="1440"/>
      </w:pPr>
      <w:bookmarkStart w:id="1" w:name="_Ref204081768"/>
      <w:r w:rsidRPr="00131430">
        <w:t>To note the limited introduction of several of the HCFC alternative technologies available to date in Article 5 countries, the need to validate them and optimize their use in the light of the local conditions prevailing in Article 5 countries, and the wide variation in costs of replacement equipment and raw materials and, accordingly:</w:t>
      </w:r>
      <w:bookmarkEnd w:id="1"/>
    </w:p>
    <w:p w:rsidR="008572B3" w:rsidRPr="00131430" w:rsidRDefault="008572B3" w:rsidP="008572B3">
      <w:pPr>
        <w:pStyle w:val="Heading3"/>
        <w:widowControl w:val="0"/>
        <w:tabs>
          <w:tab w:val="clear" w:pos="2955"/>
          <w:tab w:val="num" w:pos="0"/>
        </w:tabs>
        <w:ind w:left="2160"/>
      </w:pPr>
      <w:r w:rsidRPr="00131430">
        <w:t>To request the Secretariat to gather technical information related to HCFC phase</w:t>
      </w:r>
      <w:r w:rsidRPr="00131430">
        <w:noBreakHyphen/>
        <w:t xml:space="preserve">out in </w:t>
      </w:r>
      <w:r w:rsidRPr="00131430">
        <w:rPr>
          <w:bCs/>
        </w:rPr>
        <w:t>the aerosols, fire extinguishers and solvents</w:t>
      </w:r>
      <w:r w:rsidRPr="00131430">
        <w:t xml:space="preserve"> </w:t>
      </w:r>
      <w:r w:rsidRPr="00131430">
        <w:rPr>
          <w:bCs/>
        </w:rPr>
        <w:t>sectors</w:t>
      </w:r>
      <w:r w:rsidRPr="00131430">
        <w:t xml:space="preserve"> on an ongoing basis, to review any project in those sectors when submitted and to refer it, as appropriate, for individual consideration by the Executive Committee;</w:t>
      </w:r>
    </w:p>
    <w:p w:rsidR="008572B3" w:rsidRPr="00131430" w:rsidRDefault="008572B3" w:rsidP="008572B3">
      <w:pPr>
        <w:pStyle w:val="Heading3"/>
        <w:widowControl w:val="0"/>
        <w:tabs>
          <w:tab w:val="clear" w:pos="2955"/>
          <w:tab w:val="num" w:pos="0"/>
        </w:tabs>
        <w:ind w:left="2160"/>
      </w:pPr>
      <w:r w:rsidRPr="00131430">
        <w:t xml:space="preserve">To consider deferring to its first meeting in 2010 any decision it might wish to take on policies for the calculation of incremental operating costs or savings from HCFC conversion projects, as well as the establishment of cost-effectiveness thresholds, in order to benefit from the experience gained through review of HCFC phase-out projects </w:t>
      </w:r>
      <w:r w:rsidRPr="00131430">
        <w:rPr>
          <w:bCs/>
        </w:rPr>
        <w:t>as stand-alone projects and/or as components of HPMPs</w:t>
      </w:r>
      <w:r w:rsidRPr="00131430">
        <w:t xml:space="preserve"> prior to that Meeting;</w:t>
      </w:r>
    </w:p>
    <w:p w:rsidR="008572B3" w:rsidRPr="00131430" w:rsidRDefault="008572B3" w:rsidP="008572B3">
      <w:pPr>
        <w:pStyle w:val="Heading2"/>
        <w:tabs>
          <w:tab w:val="clear" w:pos="720"/>
          <w:tab w:val="num" w:pos="0"/>
        </w:tabs>
      </w:pPr>
      <w:bookmarkStart w:id="2" w:name="_Ref204081795"/>
      <w:r w:rsidRPr="00131430">
        <w:t xml:space="preserve">To agree that the technical information contained in document UNEP/OzL.Pro/ExCom/55/47, was sufficient to enable preparation, review and </w:t>
      </w:r>
      <w:r w:rsidRPr="00131430">
        <w:lastRenderedPageBreak/>
        <w:t>submission on a case-by-case basis of a number of stand-alone projects for HCFC phase</w:t>
      </w:r>
      <w:r w:rsidRPr="00131430">
        <w:noBreakHyphen/>
        <w:t>out in the foam, refrigeration and air conditioning sectors;</w:t>
      </w:r>
      <w:bookmarkEnd w:id="2"/>
    </w:p>
    <w:p w:rsidR="008572B3" w:rsidRPr="00131430" w:rsidRDefault="008572B3" w:rsidP="008572B3">
      <w:pPr>
        <w:pStyle w:val="Heading2"/>
        <w:tabs>
          <w:tab w:val="clear" w:pos="720"/>
          <w:tab w:val="num" w:pos="0"/>
        </w:tabs>
        <w:ind w:left="1440"/>
      </w:pPr>
      <w:bookmarkStart w:id="3" w:name="_Ref204081797"/>
      <w:r w:rsidRPr="00131430">
        <w:t>To invite bilateral and implementing agencies, as a matter of urgency, to prepare and submit a limited number of time-specific project proposals involving interested systems houses and/or chemical suppliers for the development, optimization and validation of chemical systems for use with non-HCFC blowing agents on the following basis:</w:t>
      </w:r>
      <w:bookmarkEnd w:id="3"/>
    </w:p>
    <w:p w:rsidR="008572B3" w:rsidRPr="00131430" w:rsidRDefault="008572B3" w:rsidP="008572B3">
      <w:pPr>
        <w:pStyle w:val="Heading3"/>
        <w:widowControl w:val="0"/>
        <w:tabs>
          <w:tab w:val="clear" w:pos="2955"/>
          <w:tab w:val="num" w:pos="0"/>
        </w:tabs>
        <w:ind w:left="2160"/>
      </w:pPr>
      <w:r w:rsidRPr="00131430">
        <w:t>As part of the projects, following the development and validation process, the collaborating systems houses would provide technology transfer and training to a selected number of downstream foam enterprises to complete the phase-out of HCFCs in those enterprises;</w:t>
      </w:r>
    </w:p>
    <w:p w:rsidR="008572B3" w:rsidRPr="00131430" w:rsidRDefault="008572B3" w:rsidP="008572B3">
      <w:pPr>
        <w:pStyle w:val="Heading3"/>
        <w:widowControl w:val="0"/>
        <w:tabs>
          <w:tab w:val="clear" w:pos="2955"/>
          <w:tab w:val="num" w:pos="0"/>
        </w:tabs>
        <w:ind w:left="2160"/>
      </w:pPr>
      <w:r w:rsidRPr="00131430">
        <w:t>Agencies would collect and report accurate project cost data as well as other data relevant to the application of the technologies;</w:t>
      </w:r>
    </w:p>
    <w:p w:rsidR="008572B3" w:rsidRPr="00131430" w:rsidRDefault="008572B3" w:rsidP="008572B3">
      <w:pPr>
        <w:pStyle w:val="Heading3"/>
        <w:widowControl w:val="0"/>
        <w:tabs>
          <w:tab w:val="clear" w:pos="2955"/>
          <w:tab w:val="num" w:pos="0"/>
        </w:tabs>
        <w:ind w:left="2160"/>
      </w:pPr>
      <w:r w:rsidRPr="00131430">
        <w:t>In order to be of benefit for the preparation and implementation of the HPMPs, as well as any stand-alone projects, these specific projects would be completed within a period not exceeding 18 months and a progress report on each of the two implementation phases as outlined in paragraphs (i) and (ii) above, would be made available to the Executive Committee;</w:t>
      </w:r>
    </w:p>
    <w:p w:rsidR="008572B3" w:rsidRPr="00131430" w:rsidRDefault="008572B3" w:rsidP="008572B3">
      <w:pPr>
        <w:pStyle w:val="Heading3"/>
        <w:keepNext/>
        <w:keepLines/>
        <w:widowControl w:val="0"/>
        <w:tabs>
          <w:tab w:val="clear" w:pos="2955"/>
          <w:tab w:val="num" w:pos="0"/>
        </w:tabs>
        <w:ind w:left="2160"/>
      </w:pPr>
      <w:r w:rsidRPr="00131430">
        <w:t>Bilateral and implementing agencies and relevant collaborating systems houses were encouraged to address the technological issues surrounding preparation and distribution of premixed polyols containing hydrocarbon blowing agents;</w:t>
      </w:r>
    </w:p>
    <w:p w:rsidR="008572B3" w:rsidRPr="00131430" w:rsidRDefault="008572B3" w:rsidP="008572B3">
      <w:pPr>
        <w:pStyle w:val="Heading2"/>
        <w:tabs>
          <w:tab w:val="clear" w:pos="720"/>
          <w:tab w:val="num" w:pos="0"/>
        </w:tabs>
        <w:ind w:left="1440"/>
      </w:pPr>
      <w:bookmarkStart w:id="4" w:name="_Ref204081806"/>
      <w:r w:rsidRPr="00131430">
        <w:t>To invite bilateral and implementing agencies to submit a limited number of demonstration projects for the conversion of HCFCs in the refrigeration and air conditioning sub-sectors to low-global warming potential (GWP) technologies to identify all the steps required and to assess their associated costs;</w:t>
      </w:r>
      <w:bookmarkEnd w:id="4"/>
    </w:p>
    <w:p w:rsidR="008572B3" w:rsidRPr="00131430" w:rsidRDefault="008572B3" w:rsidP="008572B3">
      <w:pPr>
        <w:pStyle w:val="Heading2"/>
        <w:tabs>
          <w:tab w:val="clear" w:pos="720"/>
          <w:tab w:val="num" w:pos="0"/>
        </w:tabs>
        <w:ind w:left="1440"/>
      </w:pPr>
      <w:r w:rsidRPr="00131430">
        <w:t>To continue its deliberations on policy relating to second-stage conversions and determination of the cut-off date for installation of HCFC-based manufacturing equipment, after which incremental costs for the conversion of such equipment would not be eligible for funding, with a view to concluding its considerations prior to submission of stand-alone projects;</w:t>
      </w:r>
    </w:p>
    <w:p w:rsidR="008572B3" w:rsidRPr="00131430" w:rsidRDefault="008572B3" w:rsidP="008572B3">
      <w:pPr>
        <w:pStyle w:val="Heading2"/>
        <w:tabs>
          <w:tab w:val="clear" w:pos="720"/>
          <w:tab w:val="num" w:pos="0"/>
        </w:tabs>
        <w:ind w:left="1440"/>
      </w:pPr>
      <w:r w:rsidRPr="00131430">
        <w:t xml:space="preserve">To further analyse if an approach of the type outlined in document UNEP/OzL.Pro/ExCom/55/47 provided a </w:t>
      </w:r>
      <w:r w:rsidRPr="00131430">
        <w:rPr>
          <w:bCs/>
        </w:rPr>
        <w:t>satisfactory and transparent</w:t>
      </w:r>
      <w:r w:rsidRPr="00131430">
        <w:t xml:space="preserve"> basis for the prioritization of HCFC phase-out technologies to minimize other impacts on the environment, including on the climate as originally envisaged in decision XIX/6 of the Nineteenth Meeting of the Parties, and to request the Secretariat to continue with its evaluation in order to report in a more detailed fashion at a subsequent Executive Committee Meeting; </w:t>
      </w:r>
    </w:p>
    <w:p w:rsidR="008572B3" w:rsidRPr="00131430" w:rsidRDefault="008572B3" w:rsidP="008572B3">
      <w:pPr>
        <w:pStyle w:val="Heading2"/>
        <w:tabs>
          <w:tab w:val="clear" w:pos="720"/>
          <w:tab w:val="num" w:pos="0"/>
        </w:tabs>
      </w:pPr>
      <w:r w:rsidRPr="00131430">
        <w:t xml:space="preserve">To request the Secretariat to approach other institutions with the objective of identifying individual, regional or multilateral funding mechanisms that might be suitable and compatible as sources for </w:t>
      </w:r>
      <w:r w:rsidRPr="00131430">
        <w:rPr>
          <w:bCs/>
        </w:rPr>
        <w:t>timely</w:t>
      </w:r>
      <w:r w:rsidRPr="00131430">
        <w:t xml:space="preserve"> co-financing to top up Multilateral Fund ozone funding in order to achieve additional climate benefits and to provide a further report to a future Meeting; and</w:t>
      </w:r>
    </w:p>
    <w:p w:rsidR="008572B3" w:rsidRPr="00131430" w:rsidRDefault="008572B3" w:rsidP="008572B3">
      <w:pPr>
        <w:pStyle w:val="Heading2"/>
        <w:tabs>
          <w:tab w:val="clear" w:pos="720"/>
          <w:tab w:val="num" w:pos="0"/>
        </w:tabs>
        <w:ind w:left="1440"/>
        <w:rPr>
          <w:bCs/>
        </w:rPr>
      </w:pPr>
      <w:r w:rsidRPr="00131430">
        <w:rPr>
          <w:bCs/>
        </w:rPr>
        <w:t>To consider, at a future Meeting, issues relating to whether or not to retire, prematurely, functioning equipment once the 2013 and 2015 compliance targets had been addressed.</w:t>
      </w:r>
    </w:p>
    <w:p w:rsidR="008572B3" w:rsidRPr="00C508EE" w:rsidRDefault="008572B3" w:rsidP="008572B3">
      <w:pPr>
        <w:keepNext/>
        <w:tabs>
          <w:tab w:val="num" w:pos="720"/>
        </w:tabs>
        <w:spacing w:after="240"/>
        <w:rPr>
          <w:rFonts w:ascii="Times New Roman Bold" w:hAnsi="Times New Roman Bold"/>
        </w:rPr>
      </w:pPr>
      <w:r w:rsidRPr="00C508EE">
        <w:rPr>
          <w:rFonts w:ascii="Times New Roman Bold" w:hAnsi="Times New Roman Bold"/>
          <w:b/>
          <w:lang w:val="en-CA"/>
        </w:rPr>
        <w:lastRenderedPageBreak/>
        <w:t>D</w:t>
      </w:r>
      <w:r>
        <w:rPr>
          <w:rFonts w:ascii="Times New Roman Bold" w:hAnsi="Times New Roman Bold"/>
          <w:b/>
          <w:lang w:val="en-CA"/>
        </w:rPr>
        <w:t>ecision</w:t>
      </w:r>
      <w:r w:rsidRPr="00C508EE">
        <w:rPr>
          <w:rFonts w:ascii="Times New Roman Bold" w:hAnsi="Times New Roman Bold"/>
          <w:b/>
          <w:lang w:val="en-CA"/>
        </w:rPr>
        <w:t xml:space="preserve"> 56/16: </w:t>
      </w:r>
      <w:r w:rsidRPr="00C508EE">
        <w:rPr>
          <w:rFonts w:ascii="Times New Roman Bold" w:hAnsi="Times New Roman Bold"/>
          <w:b/>
        </w:rPr>
        <w:t xml:space="preserve">Cost structure for determining funding levels for preparation of </w:t>
      </w:r>
      <w:smartTag w:uri="urn:schemas-microsoft-com:office:smarttags" w:element="stockticker">
        <w:r w:rsidRPr="00C508EE">
          <w:rPr>
            <w:rFonts w:ascii="Times New Roman Bold" w:hAnsi="Times New Roman Bold"/>
            <w:b/>
          </w:rPr>
          <w:t>HCFC</w:t>
        </w:r>
      </w:smartTag>
      <w:r w:rsidRPr="00C508EE">
        <w:rPr>
          <w:rFonts w:ascii="Times New Roman Bold" w:hAnsi="Times New Roman Bold"/>
          <w:b/>
        </w:rPr>
        <w:t xml:space="preserve"> investment and associated activities (decision 55/13(d))</w:t>
      </w:r>
    </w:p>
    <w:p w:rsidR="008572B3" w:rsidRPr="00461DA7" w:rsidRDefault="008572B3" w:rsidP="00752FC8">
      <w:pPr>
        <w:pStyle w:val="Heading1"/>
        <w:numPr>
          <w:ilvl w:val="0"/>
          <w:numId w:val="52"/>
        </w:numPr>
        <w:tabs>
          <w:tab w:val="clear" w:pos="0"/>
        </w:tabs>
      </w:pPr>
      <w:r>
        <w:t xml:space="preserve">The Executive Committee </w:t>
      </w:r>
      <w:r w:rsidRPr="008572B3">
        <w:rPr>
          <w:u w:val="single"/>
        </w:rPr>
        <w:t>decided</w:t>
      </w:r>
      <w:r w:rsidRPr="00461DA7">
        <w:t>:</w:t>
      </w:r>
    </w:p>
    <w:p w:rsidR="008572B3" w:rsidRPr="00461DA7" w:rsidRDefault="008572B3" w:rsidP="008572B3">
      <w:pPr>
        <w:pStyle w:val="Heading2"/>
        <w:tabs>
          <w:tab w:val="clear" w:pos="720"/>
          <w:tab w:val="num" w:pos="0"/>
        </w:tabs>
        <w:ind w:left="1440"/>
      </w:pPr>
      <w:r>
        <w:t>To n</w:t>
      </w:r>
      <w:r w:rsidRPr="00461DA7">
        <w:t xml:space="preserve">ote document </w:t>
      </w:r>
      <w:r>
        <w:t>UNEP/OzL.Pro/ExCom/</w:t>
      </w:r>
      <w:r w:rsidRPr="00461DA7">
        <w:t>5</w:t>
      </w:r>
      <w:r>
        <w:t>6</w:t>
      </w:r>
      <w:r w:rsidRPr="00461DA7">
        <w:t xml:space="preserve">/13 regarding a cost structure for determining funding levels for preparation of HCFC investment and associated activities (decision 55/13(d)); </w:t>
      </w:r>
    </w:p>
    <w:p w:rsidR="008572B3" w:rsidRPr="00461DA7" w:rsidRDefault="008572B3" w:rsidP="008572B3">
      <w:pPr>
        <w:pStyle w:val="Heading2"/>
        <w:keepNext/>
        <w:keepLines/>
        <w:tabs>
          <w:tab w:val="clear" w:pos="720"/>
          <w:tab w:val="num" w:pos="0"/>
        </w:tabs>
        <w:ind w:left="1440"/>
      </w:pPr>
      <w:r>
        <w:t>To d</w:t>
      </w:r>
      <w:r w:rsidRPr="00461DA7">
        <w:t xml:space="preserve">efine the elements of a cost structure for funding the preparation of an overall </w:t>
      </w:r>
      <w:r>
        <w:t>HCFC phase-out management plan (HPMP)</w:t>
      </w:r>
      <w:r w:rsidRPr="00461DA7">
        <w:t xml:space="preserve"> in line with decision 54/39 a</w:t>
      </w:r>
      <w:r>
        <w:t>nd</w:t>
      </w:r>
      <w:r w:rsidRPr="00461DA7">
        <w:t xml:space="preserve"> comp</w:t>
      </w:r>
      <w:r>
        <w:t xml:space="preserve">rising </w:t>
      </w:r>
      <w:r w:rsidRPr="00461DA7">
        <w:t>several components as follows:</w:t>
      </w:r>
    </w:p>
    <w:p w:rsidR="008572B3" w:rsidRPr="00461DA7" w:rsidRDefault="008572B3" w:rsidP="008572B3">
      <w:pPr>
        <w:pStyle w:val="Heading3"/>
        <w:widowControl w:val="0"/>
        <w:tabs>
          <w:tab w:val="clear" w:pos="2955"/>
          <w:tab w:val="num" w:pos="90"/>
        </w:tabs>
        <w:ind w:left="2160"/>
      </w:pPr>
      <w:r w:rsidRPr="00461DA7">
        <w:t xml:space="preserve">Assistance for policy and legislation, e.g. to develop new or extend existing legislation regarding </w:t>
      </w:r>
      <w:smartTag w:uri="urn:schemas-microsoft-com:office:smarttags" w:element="stockticker">
        <w:r w:rsidRPr="00461DA7">
          <w:t>HCFC</w:t>
        </w:r>
      </w:smartTag>
      <w:r w:rsidRPr="00461DA7">
        <w:t>, products containing HCFC</w:t>
      </w:r>
      <w:r>
        <w:t xml:space="preserve">s, quotas, and </w:t>
      </w:r>
      <w:proofErr w:type="spellStart"/>
      <w:r>
        <w:t>licenc</w:t>
      </w:r>
      <w:r w:rsidRPr="00461DA7">
        <w:t>es</w:t>
      </w:r>
      <w:proofErr w:type="spellEnd"/>
      <w:r w:rsidRPr="00461DA7">
        <w:t>;</w:t>
      </w:r>
    </w:p>
    <w:p w:rsidR="008572B3" w:rsidRPr="00461DA7" w:rsidRDefault="008572B3" w:rsidP="008572B3">
      <w:pPr>
        <w:pStyle w:val="Heading3"/>
        <w:widowControl w:val="0"/>
        <w:tabs>
          <w:tab w:val="clear" w:pos="2955"/>
          <w:tab w:val="num" w:pos="90"/>
        </w:tabs>
        <w:ind w:left="2160"/>
      </w:pPr>
      <w:r w:rsidRPr="00461DA7">
        <w:t xml:space="preserve">Survey of </w:t>
      </w:r>
      <w:smartTag w:uri="urn:schemas-microsoft-com:office:smarttags" w:element="stockticker">
        <w:r w:rsidRPr="00461DA7">
          <w:t>HCFC</w:t>
        </w:r>
      </w:smartTag>
      <w:r w:rsidRPr="00461DA7">
        <w:t xml:space="preserve"> use and analysis of data;</w:t>
      </w:r>
    </w:p>
    <w:p w:rsidR="008572B3" w:rsidRPr="00461DA7" w:rsidRDefault="008572B3" w:rsidP="008572B3">
      <w:pPr>
        <w:pStyle w:val="Heading3"/>
        <w:widowControl w:val="0"/>
        <w:tabs>
          <w:tab w:val="clear" w:pos="2955"/>
          <w:tab w:val="num" w:pos="90"/>
        </w:tabs>
        <w:ind w:left="2160"/>
      </w:pPr>
      <w:r w:rsidRPr="00461DA7">
        <w:t xml:space="preserve">Development and finalization of the HPMP including its stage one to address the 2013 and 2015 control measures, the latter being akin to a </w:t>
      </w:r>
      <w:r>
        <w:t>terminal phase-out management plan (</w:t>
      </w:r>
      <w:r w:rsidRPr="00461DA7">
        <w:t>TPMP</w:t>
      </w:r>
      <w:r>
        <w:t>)</w:t>
      </w:r>
      <w:r w:rsidRPr="00461DA7">
        <w:t xml:space="preserve"> or a refrigeration service sector plan; </w:t>
      </w:r>
    </w:p>
    <w:p w:rsidR="008572B3" w:rsidRPr="00461DA7" w:rsidRDefault="008572B3" w:rsidP="008572B3">
      <w:pPr>
        <w:pStyle w:val="Heading3"/>
        <w:widowControl w:val="0"/>
        <w:tabs>
          <w:tab w:val="clear" w:pos="2955"/>
          <w:tab w:val="num" w:pos="90"/>
        </w:tabs>
        <w:ind w:left="2160"/>
      </w:pPr>
      <w:r w:rsidRPr="00461DA7">
        <w:t>Development of investment activities for the HCFC</w:t>
      </w:r>
      <w:r>
        <w:t>-</w:t>
      </w:r>
      <w:r w:rsidRPr="00461DA7">
        <w:t xml:space="preserve">consuming manufacturing sectors for stage one </w:t>
      </w:r>
      <w:r>
        <w:t>of an HPMP, if such activities we</w:t>
      </w:r>
      <w:r w:rsidRPr="00461DA7">
        <w:t>re necessary;</w:t>
      </w:r>
    </w:p>
    <w:p w:rsidR="008572B3" w:rsidRPr="00461DA7" w:rsidRDefault="008572B3" w:rsidP="008572B3">
      <w:pPr>
        <w:pStyle w:val="Heading2"/>
        <w:tabs>
          <w:tab w:val="clear" w:pos="720"/>
          <w:tab w:val="num" w:pos="0"/>
        </w:tabs>
        <w:ind w:left="1440"/>
      </w:pPr>
      <w:r>
        <w:t>To p</w:t>
      </w:r>
      <w:r w:rsidRPr="00461DA7">
        <w:t>rovide funding for elements (b)(i) to (iii) above as specified in the</w:t>
      </w:r>
      <w:r>
        <w:t xml:space="preserve"> table</w:t>
      </w:r>
      <w:r w:rsidRPr="00461DA7">
        <w:t xml:space="preserve"> below, based on the countries’ </w:t>
      </w:r>
      <w:smartTag w:uri="urn:schemas-microsoft-com:office:smarttags" w:element="stockticker">
        <w:r w:rsidRPr="00461DA7">
          <w:t>HCFC</w:t>
        </w:r>
      </w:smartTag>
      <w:r w:rsidRPr="00461DA7">
        <w:t xml:space="preserve"> consumption for </w:t>
      </w:r>
      <w:r>
        <w:t>2007</w:t>
      </w:r>
      <w:r w:rsidRPr="00461DA7">
        <w:t>, while applying decision 55/13(a), (b) and (c):</w:t>
      </w:r>
    </w:p>
    <w:tbl>
      <w:tblPr>
        <w:tblStyle w:val="TableGrid"/>
        <w:tblW w:w="0" w:type="auto"/>
        <w:jc w:val="right"/>
        <w:tblInd w:w="-588" w:type="dxa"/>
        <w:tblLook w:val="01E0" w:firstRow="1" w:lastRow="1" w:firstColumn="1" w:lastColumn="1" w:noHBand="0" w:noVBand="0"/>
      </w:tblPr>
      <w:tblGrid>
        <w:gridCol w:w="4788"/>
        <w:gridCol w:w="3240"/>
      </w:tblGrid>
      <w:tr w:rsidR="008572B3" w:rsidRPr="00461DA7" w:rsidTr="008572B3">
        <w:trPr>
          <w:trHeight w:val="444"/>
          <w:tblHeader/>
          <w:jc w:val="right"/>
        </w:trPr>
        <w:tc>
          <w:tcPr>
            <w:tcW w:w="4788" w:type="dxa"/>
          </w:tcPr>
          <w:p w:rsidR="008572B3" w:rsidRPr="00461DA7" w:rsidRDefault="008572B3" w:rsidP="008572B3">
            <w:pPr>
              <w:widowControl w:val="0"/>
              <w:jc w:val="center"/>
              <w:rPr>
                <w:b/>
              </w:rPr>
            </w:pPr>
            <w:r>
              <w:rPr>
                <w:b/>
              </w:rPr>
              <w:t>G</w:t>
            </w:r>
            <w:r w:rsidRPr="00461DA7">
              <w:rPr>
                <w:b/>
              </w:rPr>
              <w:t>roup according to consumption pattern</w:t>
            </w:r>
          </w:p>
        </w:tc>
        <w:tc>
          <w:tcPr>
            <w:tcW w:w="3240" w:type="dxa"/>
          </w:tcPr>
          <w:p w:rsidR="008572B3" w:rsidRPr="00461DA7" w:rsidRDefault="008572B3" w:rsidP="008572B3">
            <w:pPr>
              <w:widowControl w:val="0"/>
              <w:jc w:val="center"/>
              <w:rPr>
                <w:b/>
              </w:rPr>
            </w:pPr>
            <w:r>
              <w:rPr>
                <w:b/>
              </w:rPr>
              <w:t>F</w:t>
            </w:r>
            <w:r w:rsidRPr="00461DA7">
              <w:rPr>
                <w:b/>
              </w:rPr>
              <w:t>unding for above components (b)(i) to (iii)</w:t>
            </w:r>
          </w:p>
        </w:tc>
      </w:tr>
      <w:tr w:rsidR="008572B3" w:rsidRPr="00461DA7" w:rsidTr="008572B3">
        <w:trPr>
          <w:trHeight w:val="222"/>
          <w:jc w:val="right"/>
        </w:trPr>
        <w:tc>
          <w:tcPr>
            <w:tcW w:w="4788" w:type="dxa"/>
          </w:tcPr>
          <w:p w:rsidR="008572B3" w:rsidRPr="00461DA7" w:rsidRDefault="008572B3" w:rsidP="008572B3">
            <w:pPr>
              <w:widowControl w:val="0"/>
            </w:pPr>
            <w:r w:rsidRPr="00461DA7">
              <w:t>Countries with zero consumption of HCFC</w:t>
            </w:r>
          </w:p>
        </w:tc>
        <w:tc>
          <w:tcPr>
            <w:tcW w:w="3240" w:type="dxa"/>
          </w:tcPr>
          <w:p w:rsidR="008572B3" w:rsidRPr="00461DA7" w:rsidRDefault="008572B3" w:rsidP="008572B3">
            <w:pPr>
              <w:widowControl w:val="0"/>
              <w:jc w:val="right"/>
            </w:pPr>
            <w:r w:rsidRPr="00461DA7">
              <w:t>US</w:t>
            </w:r>
            <w:r>
              <w:t> </w:t>
            </w:r>
            <w:r w:rsidRPr="00461DA7">
              <w:t>$30,000</w:t>
            </w:r>
          </w:p>
        </w:tc>
      </w:tr>
      <w:tr w:rsidR="008572B3" w:rsidRPr="00461DA7" w:rsidTr="008572B3">
        <w:trPr>
          <w:trHeight w:val="444"/>
          <w:jc w:val="right"/>
        </w:trPr>
        <w:tc>
          <w:tcPr>
            <w:tcW w:w="4788" w:type="dxa"/>
          </w:tcPr>
          <w:p w:rsidR="008572B3" w:rsidRPr="00461DA7" w:rsidRDefault="008572B3" w:rsidP="008572B3">
            <w:pPr>
              <w:widowControl w:val="0"/>
            </w:pPr>
            <w:r w:rsidRPr="00461DA7">
              <w:t>Countries with consumption only of HCFC-22, or consumption below 6 ODP tonnes/year</w:t>
            </w:r>
          </w:p>
        </w:tc>
        <w:tc>
          <w:tcPr>
            <w:tcW w:w="3240" w:type="dxa"/>
          </w:tcPr>
          <w:p w:rsidR="008572B3" w:rsidRPr="00461DA7" w:rsidRDefault="008572B3" w:rsidP="008572B3">
            <w:pPr>
              <w:widowControl w:val="0"/>
              <w:jc w:val="right"/>
            </w:pPr>
            <w:r w:rsidRPr="00461DA7">
              <w:t>US</w:t>
            </w:r>
            <w:r>
              <w:t> </w:t>
            </w:r>
            <w:r w:rsidRPr="00461DA7">
              <w:t>$85,000</w:t>
            </w:r>
          </w:p>
        </w:tc>
      </w:tr>
      <w:tr w:rsidR="008572B3" w:rsidRPr="00461DA7" w:rsidTr="008572B3">
        <w:trPr>
          <w:trHeight w:val="444"/>
          <w:jc w:val="right"/>
        </w:trPr>
        <w:tc>
          <w:tcPr>
            <w:tcW w:w="4788" w:type="dxa"/>
          </w:tcPr>
          <w:p w:rsidR="008572B3" w:rsidRPr="00461DA7" w:rsidRDefault="008572B3" w:rsidP="008572B3">
            <w:pPr>
              <w:widowControl w:val="0"/>
            </w:pPr>
            <w:r w:rsidRPr="00461DA7">
              <w:t>Countries with medium consumption, between 6 ODP tonnes/year and 100 ODP tonnes/year</w:t>
            </w:r>
          </w:p>
        </w:tc>
        <w:tc>
          <w:tcPr>
            <w:tcW w:w="3240" w:type="dxa"/>
          </w:tcPr>
          <w:p w:rsidR="008572B3" w:rsidRPr="00461DA7" w:rsidRDefault="008572B3" w:rsidP="008572B3">
            <w:pPr>
              <w:widowControl w:val="0"/>
              <w:jc w:val="right"/>
            </w:pPr>
            <w:r w:rsidRPr="00461DA7">
              <w:t>US</w:t>
            </w:r>
            <w:r>
              <w:t> </w:t>
            </w:r>
            <w:r w:rsidRPr="00461DA7">
              <w:t>$150,000</w:t>
            </w:r>
          </w:p>
        </w:tc>
      </w:tr>
      <w:tr w:rsidR="008572B3" w:rsidRPr="00461DA7" w:rsidTr="008572B3">
        <w:trPr>
          <w:trHeight w:val="444"/>
          <w:jc w:val="right"/>
        </w:trPr>
        <w:tc>
          <w:tcPr>
            <w:tcW w:w="4788" w:type="dxa"/>
          </w:tcPr>
          <w:p w:rsidR="008572B3" w:rsidRPr="00461DA7" w:rsidRDefault="008572B3" w:rsidP="008572B3">
            <w:pPr>
              <w:widowControl w:val="0"/>
            </w:pPr>
            <w:r w:rsidRPr="00461DA7">
              <w:t>Countries with consumption</w:t>
            </w:r>
            <w:r>
              <w:t xml:space="preserve"> higher than </w:t>
            </w:r>
            <w:r w:rsidRPr="00461DA7">
              <w:t>10</w:t>
            </w:r>
            <w:r>
              <w:t>0</w:t>
            </w:r>
            <w:r w:rsidRPr="00461DA7">
              <w:t xml:space="preserve"> ODP tonnes/year </w:t>
            </w:r>
          </w:p>
        </w:tc>
        <w:tc>
          <w:tcPr>
            <w:tcW w:w="3240" w:type="dxa"/>
          </w:tcPr>
          <w:p w:rsidR="008572B3" w:rsidRPr="00461DA7" w:rsidRDefault="008572B3" w:rsidP="008572B3">
            <w:pPr>
              <w:widowControl w:val="0"/>
              <w:jc w:val="right"/>
            </w:pPr>
            <w:r w:rsidRPr="00461DA7">
              <w:t>US</w:t>
            </w:r>
            <w:r>
              <w:t> </w:t>
            </w:r>
            <w:r w:rsidRPr="00461DA7">
              <w:t>$195,000</w:t>
            </w:r>
          </w:p>
        </w:tc>
      </w:tr>
    </w:tbl>
    <w:p w:rsidR="008572B3" w:rsidRPr="00D474E3" w:rsidRDefault="008572B3" w:rsidP="008572B3">
      <w:pPr>
        <w:keepNext/>
        <w:keepLines/>
      </w:pPr>
    </w:p>
    <w:p w:rsidR="008572B3" w:rsidRDefault="008572B3" w:rsidP="008572B3">
      <w:pPr>
        <w:pStyle w:val="Heading2"/>
        <w:tabs>
          <w:tab w:val="clear" w:pos="720"/>
          <w:tab w:val="num" w:pos="0"/>
        </w:tabs>
        <w:ind w:left="1440"/>
      </w:pPr>
      <w:r>
        <w:t>To l</w:t>
      </w:r>
      <w:r w:rsidRPr="00D474E3">
        <w:t>imit the maximum funding provided for the element (b)(iv) of the HPMP for any country with a manufacturing sector using HCFC</w:t>
      </w:r>
      <w:r>
        <w:t>s</w:t>
      </w:r>
      <w:r w:rsidRPr="00D474E3">
        <w:t xml:space="preserve"> as per the following table based on the c</w:t>
      </w:r>
      <w:r w:rsidRPr="00F754FB">
        <w:t>o</w:t>
      </w:r>
      <w:r w:rsidRPr="00D474E3">
        <w:t xml:space="preserve">untries’ </w:t>
      </w:r>
      <w:smartTag w:uri="urn:schemas-microsoft-com:office:smarttags" w:element="stockticker">
        <w:r w:rsidRPr="00D474E3">
          <w:t>HCFC</w:t>
        </w:r>
      </w:smartTag>
      <w:r w:rsidRPr="00D474E3">
        <w:t xml:space="preserve"> consumption for 200</w:t>
      </w:r>
      <w:r>
        <w:t>7, on the understanding that tho</w:t>
      </w:r>
      <w:r w:rsidRPr="00D474E3">
        <w:t>se limits represent</w:t>
      </w:r>
      <w:r>
        <w:t>ed</w:t>
      </w:r>
      <w:r w:rsidRPr="00D474E3">
        <w:t xml:space="preserve"> maximum amounts and requests for project preparation would have to justify the level of funding up to th</w:t>
      </w:r>
      <w:r>
        <w:t>at</w:t>
      </w:r>
      <w:r w:rsidRPr="00D474E3">
        <w:t xml:space="preserve"> amount, and on the understanding that preparation costs for demonstration projects according to decision 55/43 paragraphs (b) to (f) </w:t>
      </w:r>
      <w:r>
        <w:t>were</w:t>
      </w:r>
      <w:r w:rsidRPr="00D474E3">
        <w:t xml:space="preserve"> not taken into account when calculating that level of funding; </w:t>
      </w:r>
    </w:p>
    <w:tbl>
      <w:tblPr>
        <w:tblStyle w:val="TableGrid"/>
        <w:tblW w:w="7920" w:type="dxa"/>
        <w:tblInd w:w="1548" w:type="dxa"/>
        <w:tblLook w:val="01E0" w:firstRow="1" w:lastRow="1" w:firstColumn="1" w:lastColumn="1" w:noHBand="0" w:noVBand="0"/>
      </w:tblPr>
      <w:tblGrid>
        <w:gridCol w:w="3960"/>
        <w:gridCol w:w="3960"/>
      </w:tblGrid>
      <w:tr w:rsidR="008572B3" w:rsidRPr="006201AB" w:rsidTr="008572B3">
        <w:tc>
          <w:tcPr>
            <w:tcW w:w="3960" w:type="dxa"/>
          </w:tcPr>
          <w:p w:rsidR="008572B3" w:rsidRPr="006201AB" w:rsidRDefault="008572B3" w:rsidP="008572B3">
            <w:pPr>
              <w:keepNext/>
              <w:rPr>
                <w:b/>
                <w:bCs/>
                <w:sz w:val="21"/>
                <w:szCs w:val="21"/>
              </w:rPr>
            </w:pPr>
            <w:r w:rsidRPr="006201AB">
              <w:rPr>
                <w:b/>
                <w:bCs/>
                <w:sz w:val="21"/>
                <w:szCs w:val="21"/>
              </w:rPr>
              <w:t>Consumption limit (ODP tonnes)</w:t>
            </w:r>
          </w:p>
        </w:tc>
        <w:tc>
          <w:tcPr>
            <w:tcW w:w="3960" w:type="dxa"/>
          </w:tcPr>
          <w:p w:rsidR="008572B3" w:rsidRPr="006201AB" w:rsidRDefault="008572B3" w:rsidP="008572B3">
            <w:pPr>
              <w:keepNext/>
              <w:jc w:val="center"/>
              <w:rPr>
                <w:b/>
                <w:bCs/>
                <w:sz w:val="21"/>
                <w:szCs w:val="21"/>
              </w:rPr>
            </w:pPr>
            <w:r w:rsidRPr="006201AB">
              <w:rPr>
                <w:b/>
                <w:bCs/>
                <w:sz w:val="21"/>
                <w:szCs w:val="21"/>
              </w:rPr>
              <w:t>Investment preparation limit</w:t>
            </w:r>
            <w:r>
              <w:rPr>
                <w:b/>
                <w:bCs/>
                <w:sz w:val="21"/>
                <w:szCs w:val="21"/>
              </w:rPr>
              <w:t xml:space="preserve"> (US $)</w:t>
            </w:r>
          </w:p>
        </w:tc>
      </w:tr>
      <w:tr w:rsidR="008572B3" w:rsidRPr="006201AB" w:rsidTr="008572B3">
        <w:tc>
          <w:tcPr>
            <w:tcW w:w="3960" w:type="dxa"/>
            <w:tcMar>
              <w:left w:w="720" w:type="dxa"/>
              <w:right w:w="115" w:type="dxa"/>
            </w:tcMar>
          </w:tcPr>
          <w:p w:rsidR="008572B3" w:rsidRPr="006201AB" w:rsidRDefault="008572B3" w:rsidP="008572B3">
            <w:pPr>
              <w:keepNext/>
              <w:rPr>
                <w:sz w:val="21"/>
                <w:szCs w:val="21"/>
              </w:rPr>
            </w:pPr>
            <w:r w:rsidRPr="006201AB">
              <w:rPr>
                <w:sz w:val="21"/>
                <w:szCs w:val="21"/>
              </w:rPr>
              <w:t xml:space="preserve">Up to 100 </w:t>
            </w:r>
          </w:p>
        </w:tc>
        <w:tc>
          <w:tcPr>
            <w:tcW w:w="3960" w:type="dxa"/>
            <w:tcMar>
              <w:left w:w="115" w:type="dxa"/>
              <w:right w:w="1080" w:type="dxa"/>
            </w:tcMar>
          </w:tcPr>
          <w:p w:rsidR="008572B3" w:rsidRPr="006201AB" w:rsidRDefault="008572B3" w:rsidP="008572B3">
            <w:pPr>
              <w:keepNext/>
              <w:jc w:val="right"/>
              <w:rPr>
                <w:sz w:val="21"/>
                <w:szCs w:val="21"/>
              </w:rPr>
            </w:pPr>
            <w:r w:rsidRPr="006201AB">
              <w:rPr>
                <w:sz w:val="21"/>
                <w:szCs w:val="21"/>
              </w:rPr>
              <w:t>100,000</w:t>
            </w:r>
          </w:p>
        </w:tc>
      </w:tr>
      <w:tr w:rsidR="008572B3" w:rsidRPr="006201AB" w:rsidTr="008572B3">
        <w:tc>
          <w:tcPr>
            <w:tcW w:w="3960" w:type="dxa"/>
            <w:tcMar>
              <w:left w:w="720" w:type="dxa"/>
              <w:right w:w="115" w:type="dxa"/>
            </w:tcMar>
          </w:tcPr>
          <w:p w:rsidR="008572B3" w:rsidRPr="006201AB" w:rsidRDefault="008572B3" w:rsidP="008572B3">
            <w:pPr>
              <w:rPr>
                <w:sz w:val="21"/>
                <w:szCs w:val="21"/>
              </w:rPr>
            </w:pPr>
            <w:r w:rsidRPr="006201AB">
              <w:rPr>
                <w:sz w:val="21"/>
                <w:szCs w:val="21"/>
              </w:rPr>
              <w:t xml:space="preserve">101 –300 </w:t>
            </w:r>
          </w:p>
        </w:tc>
        <w:tc>
          <w:tcPr>
            <w:tcW w:w="3960" w:type="dxa"/>
            <w:tcMar>
              <w:left w:w="115" w:type="dxa"/>
              <w:right w:w="1080" w:type="dxa"/>
            </w:tcMar>
          </w:tcPr>
          <w:p w:rsidR="008572B3" w:rsidRPr="006201AB" w:rsidRDefault="008572B3" w:rsidP="008572B3">
            <w:pPr>
              <w:jc w:val="right"/>
              <w:rPr>
                <w:sz w:val="21"/>
                <w:szCs w:val="21"/>
              </w:rPr>
            </w:pPr>
            <w:r w:rsidRPr="006201AB">
              <w:rPr>
                <w:sz w:val="21"/>
                <w:szCs w:val="21"/>
              </w:rPr>
              <w:t>200,000</w:t>
            </w:r>
          </w:p>
        </w:tc>
      </w:tr>
      <w:tr w:rsidR="008572B3" w:rsidRPr="006201AB" w:rsidTr="008572B3">
        <w:tc>
          <w:tcPr>
            <w:tcW w:w="3960" w:type="dxa"/>
            <w:tcMar>
              <w:left w:w="720" w:type="dxa"/>
              <w:right w:w="115" w:type="dxa"/>
            </w:tcMar>
          </w:tcPr>
          <w:p w:rsidR="008572B3" w:rsidRPr="006201AB" w:rsidRDefault="008572B3" w:rsidP="008572B3">
            <w:pPr>
              <w:rPr>
                <w:sz w:val="21"/>
                <w:szCs w:val="21"/>
              </w:rPr>
            </w:pPr>
            <w:r w:rsidRPr="006201AB">
              <w:rPr>
                <w:sz w:val="21"/>
                <w:szCs w:val="21"/>
              </w:rPr>
              <w:t>301-500</w:t>
            </w:r>
          </w:p>
        </w:tc>
        <w:tc>
          <w:tcPr>
            <w:tcW w:w="3960" w:type="dxa"/>
            <w:tcMar>
              <w:left w:w="115" w:type="dxa"/>
              <w:right w:w="1080" w:type="dxa"/>
            </w:tcMar>
          </w:tcPr>
          <w:p w:rsidR="008572B3" w:rsidRPr="006201AB" w:rsidRDefault="008572B3" w:rsidP="008572B3">
            <w:pPr>
              <w:jc w:val="right"/>
              <w:rPr>
                <w:sz w:val="21"/>
                <w:szCs w:val="21"/>
              </w:rPr>
            </w:pPr>
            <w:r w:rsidRPr="006201AB">
              <w:rPr>
                <w:sz w:val="21"/>
                <w:szCs w:val="21"/>
              </w:rPr>
              <w:t>250,000</w:t>
            </w:r>
          </w:p>
        </w:tc>
      </w:tr>
      <w:tr w:rsidR="008572B3" w:rsidRPr="006201AB" w:rsidTr="008572B3">
        <w:tc>
          <w:tcPr>
            <w:tcW w:w="3960" w:type="dxa"/>
            <w:tcMar>
              <w:left w:w="720" w:type="dxa"/>
              <w:right w:w="115" w:type="dxa"/>
            </w:tcMar>
          </w:tcPr>
          <w:p w:rsidR="008572B3" w:rsidRPr="006201AB" w:rsidRDefault="008572B3" w:rsidP="008572B3">
            <w:pPr>
              <w:rPr>
                <w:sz w:val="21"/>
                <w:szCs w:val="21"/>
              </w:rPr>
            </w:pPr>
            <w:r w:rsidRPr="006201AB">
              <w:rPr>
                <w:sz w:val="21"/>
                <w:szCs w:val="21"/>
              </w:rPr>
              <w:t xml:space="preserve">501 – 1,000 </w:t>
            </w:r>
          </w:p>
        </w:tc>
        <w:tc>
          <w:tcPr>
            <w:tcW w:w="3960" w:type="dxa"/>
            <w:tcMar>
              <w:left w:w="115" w:type="dxa"/>
              <w:right w:w="1080" w:type="dxa"/>
            </w:tcMar>
          </w:tcPr>
          <w:p w:rsidR="008572B3" w:rsidRPr="006201AB" w:rsidRDefault="008572B3" w:rsidP="008572B3">
            <w:pPr>
              <w:jc w:val="right"/>
              <w:rPr>
                <w:sz w:val="21"/>
                <w:szCs w:val="21"/>
              </w:rPr>
            </w:pPr>
            <w:r w:rsidRPr="006201AB">
              <w:rPr>
                <w:sz w:val="21"/>
                <w:szCs w:val="21"/>
              </w:rPr>
              <w:t>300,000</w:t>
            </w:r>
          </w:p>
        </w:tc>
      </w:tr>
      <w:tr w:rsidR="008572B3" w:rsidRPr="006201AB" w:rsidTr="008572B3">
        <w:tc>
          <w:tcPr>
            <w:tcW w:w="3960" w:type="dxa"/>
            <w:tcMar>
              <w:left w:w="720" w:type="dxa"/>
              <w:right w:w="115" w:type="dxa"/>
            </w:tcMar>
          </w:tcPr>
          <w:p w:rsidR="008572B3" w:rsidRPr="006201AB" w:rsidRDefault="008572B3" w:rsidP="008572B3">
            <w:pPr>
              <w:rPr>
                <w:sz w:val="21"/>
                <w:szCs w:val="21"/>
              </w:rPr>
            </w:pPr>
            <w:r w:rsidRPr="006201AB">
              <w:rPr>
                <w:sz w:val="21"/>
                <w:szCs w:val="21"/>
              </w:rPr>
              <w:t>1,001 and above</w:t>
            </w:r>
          </w:p>
        </w:tc>
        <w:tc>
          <w:tcPr>
            <w:tcW w:w="3960" w:type="dxa"/>
            <w:tcMar>
              <w:left w:w="115" w:type="dxa"/>
              <w:right w:w="1080" w:type="dxa"/>
            </w:tcMar>
          </w:tcPr>
          <w:p w:rsidR="008572B3" w:rsidRPr="006201AB" w:rsidRDefault="008572B3" w:rsidP="008572B3">
            <w:pPr>
              <w:jc w:val="right"/>
              <w:rPr>
                <w:sz w:val="21"/>
                <w:szCs w:val="21"/>
              </w:rPr>
            </w:pPr>
            <w:r w:rsidRPr="006201AB">
              <w:rPr>
                <w:sz w:val="21"/>
                <w:szCs w:val="21"/>
              </w:rPr>
              <w:t>400,000</w:t>
            </w:r>
          </w:p>
        </w:tc>
      </w:tr>
    </w:tbl>
    <w:p w:rsidR="008572B3" w:rsidRPr="00EB3713" w:rsidRDefault="008572B3" w:rsidP="008572B3"/>
    <w:p w:rsidR="008572B3" w:rsidRDefault="008572B3" w:rsidP="008572B3">
      <w:pPr>
        <w:pStyle w:val="Heading2"/>
        <w:tabs>
          <w:tab w:val="clear" w:pos="720"/>
          <w:tab w:val="num" w:pos="0"/>
        </w:tabs>
        <w:ind w:left="1440"/>
      </w:pPr>
      <w:r>
        <w:t>To d</w:t>
      </w:r>
      <w:r w:rsidRPr="00461DA7">
        <w:t xml:space="preserve">efine five manufacturing </w:t>
      </w:r>
      <w:r>
        <w:t>sub-</w:t>
      </w:r>
      <w:r w:rsidRPr="00461DA7">
        <w:t>sectors as follows: air-to-air air conditioning systems; refrigeration (including all refrigeration</w:t>
      </w:r>
      <w:r>
        <w:t>, heat pumps</w:t>
      </w:r>
      <w:r w:rsidRPr="00461DA7">
        <w:t xml:space="preserve"> and air conditioning sub-sectors except air-to-air air conditioning systems); polyurethane foam; </w:t>
      </w:r>
      <w:r>
        <w:t>extruded polyurethane (</w:t>
      </w:r>
      <w:r w:rsidRPr="00461DA7">
        <w:t>XPS</w:t>
      </w:r>
      <w:r>
        <w:t>)</w:t>
      </w:r>
      <w:r w:rsidRPr="00461DA7">
        <w:t xml:space="preserve"> foam; and solvent uses in manufacturing;</w:t>
      </w:r>
    </w:p>
    <w:p w:rsidR="008572B3" w:rsidRPr="00461DA7" w:rsidRDefault="008572B3" w:rsidP="008572B3">
      <w:pPr>
        <w:pStyle w:val="Heading2"/>
        <w:tabs>
          <w:tab w:val="clear" w:pos="720"/>
          <w:tab w:val="num" w:pos="0"/>
        </w:tabs>
        <w:ind w:left="1440"/>
      </w:pPr>
      <w:r>
        <w:t>To p</w:t>
      </w:r>
      <w:r w:rsidRPr="00461DA7">
        <w:t>rovide funding for the element (b)(iv) of the HPMP for countries with manufacturing capacity up to a maximum specified below, to be det</w:t>
      </w:r>
      <w:r>
        <w:t>ermined by the total number of e</w:t>
      </w:r>
      <w:r w:rsidRPr="00461DA7">
        <w:t xml:space="preserve">nterprises to be converted under HPMP stage one in the relevant </w:t>
      </w:r>
      <w:r>
        <w:t>sub-</w:t>
      </w:r>
      <w:r w:rsidRPr="00461DA7">
        <w:t xml:space="preserve">sector as defined under </w:t>
      </w:r>
      <w:r>
        <w:t xml:space="preserve">paragraph </w:t>
      </w:r>
      <w:r w:rsidRPr="00461DA7">
        <w:t>(</w:t>
      </w:r>
      <w:r>
        <w:t>e</w:t>
      </w:r>
      <w:r w:rsidRPr="00461DA7">
        <w:t>) above, excluding those enterprises with demonstration projects that m</w:t>
      </w:r>
      <w:r>
        <w:t>ight</w:t>
      </w:r>
      <w:r w:rsidRPr="00461DA7">
        <w:t xml:space="preserve"> be chosen by the Executive Committee according to decision 55/43</w:t>
      </w:r>
      <w:r>
        <w:t xml:space="preserve">, </w:t>
      </w:r>
      <w:r w:rsidRPr="00461DA7">
        <w:t xml:space="preserve">paragraphs (b) to (f): </w:t>
      </w:r>
    </w:p>
    <w:p w:rsidR="008572B3" w:rsidRPr="00461DA7" w:rsidRDefault="008572B3" w:rsidP="008572B3">
      <w:pPr>
        <w:pStyle w:val="Heading3"/>
        <w:widowControl w:val="0"/>
        <w:tabs>
          <w:tab w:val="clear" w:pos="2955"/>
          <w:tab w:val="num" w:pos="90"/>
        </w:tabs>
        <w:ind w:left="2160"/>
      </w:pPr>
      <w:r w:rsidRPr="00461DA7">
        <w:t xml:space="preserve">One enterprise to be converted in a manufacturing sector: US $30,000; </w:t>
      </w:r>
    </w:p>
    <w:p w:rsidR="008572B3" w:rsidRPr="00461DA7" w:rsidRDefault="008572B3" w:rsidP="008572B3">
      <w:pPr>
        <w:pStyle w:val="Heading3"/>
        <w:widowControl w:val="0"/>
        <w:tabs>
          <w:tab w:val="clear" w:pos="2955"/>
          <w:tab w:val="num" w:pos="90"/>
        </w:tabs>
        <w:ind w:left="2160"/>
      </w:pPr>
      <w:r w:rsidRPr="00461DA7">
        <w:t xml:space="preserve">Two enterprises to be converted in a manufacturing sector: US $60,000; </w:t>
      </w:r>
    </w:p>
    <w:p w:rsidR="008572B3" w:rsidRPr="00461DA7" w:rsidRDefault="008572B3" w:rsidP="008572B3">
      <w:pPr>
        <w:pStyle w:val="Heading3"/>
        <w:widowControl w:val="0"/>
        <w:tabs>
          <w:tab w:val="clear" w:pos="2955"/>
          <w:tab w:val="num" w:pos="90"/>
        </w:tabs>
        <w:ind w:left="2160"/>
      </w:pPr>
      <w:r>
        <w:t>Three to 14</w:t>
      </w:r>
      <w:r w:rsidRPr="00461DA7">
        <w:t xml:space="preserve"> enterprises</w:t>
      </w:r>
      <w:r w:rsidRPr="00461DA7" w:rsidDel="003C01EE">
        <w:t xml:space="preserve"> </w:t>
      </w:r>
      <w:r w:rsidRPr="00461DA7">
        <w:t>to be converted in a ma</w:t>
      </w:r>
      <w:r>
        <w:t>nufacturing sector: US $80,000;</w:t>
      </w:r>
    </w:p>
    <w:p w:rsidR="008572B3" w:rsidRPr="00D474E3" w:rsidRDefault="008572B3" w:rsidP="008572B3">
      <w:pPr>
        <w:pStyle w:val="Heading3"/>
        <w:widowControl w:val="0"/>
        <w:tabs>
          <w:tab w:val="clear" w:pos="2955"/>
          <w:tab w:val="num" w:pos="90"/>
        </w:tabs>
        <w:ind w:left="2160"/>
      </w:pPr>
      <w:r w:rsidRPr="00461DA7">
        <w:t xml:space="preserve">Fifteen </w:t>
      </w:r>
      <w:r>
        <w:t>or</w:t>
      </w:r>
      <w:r w:rsidRPr="00461DA7">
        <w:t xml:space="preserve"> more enterprise</w:t>
      </w:r>
      <w:r w:rsidRPr="00D474E3">
        <w:t>s</w:t>
      </w:r>
      <w:r w:rsidRPr="00D474E3" w:rsidDel="003C01EE">
        <w:t xml:space="preserve"> </w:t>
      </w:r>
      <w:r w:rsidRPr="00D474E3">
        <w:t xml:space="preserve">to be converted in a manufacturing sector: US $150,000; </w:t>
      </w:r>
    </w:p>
    <w:p w:rsidR="008572B3" w:rsidRPr="00D474E3" w:rsidRDefault="008572B3" w:rsidP="008572B3">
      <w:pPr>
        <w:pStyle w:val="Heading2"/>
        <w:tabs>
          <w:tab w:val="clear" w:pos="720"/>
          <w:tab w:val="num" w:pos="0"/>
        </w:tabs>
        <w:ind w:left="1440"/>
      </w:pPr>
      <w:r>
        <w:t>That i</w:t>
      </w:r>
      <w:r w:rsidRPr="00D474E3">
        <w:t>n the case where Parties wish to submit requests for preparation of sub-sector plans in the approved sectors, the total funding available for all sub-sector plans in each sector sh</w:t>
      </w:r>
      <w:r>
        <w:t>ould</w:t>
      </w:r>
      <w:r w:rsidRPr="00D474E3">
        <w:t xml:space="preserve"> not exceed </w:t>
      </w:r>
      <w:r>
        <w:t>US </w:t>
      </w:r>
      <w:r w:rsidRPr="00D474E3">
        <w:t>$150,000;</w:t>
      </w:r>
    </w:p>
    <w:p w:rsidR="008572B3" w:rsidRPr="00D474E3" w:rsidRDefault="008572B3" w:rsidP="008572B3">
      <w:pPr>
        <w:pStyle w:val="Heading2"/>
        <w:tabs>
          <w:tab w:val="clear" w:pos="720"/>
          <w:tab w:val="num" w:pos="0"/>
        </w:tabs>
        <w:ind w:left="1440"/>
      </w:pPr>
      <w:r w:rsidRPr="00D474E3">
        <w:rPr>
          <w:lang w:val="en-US"/>
        </w:rPr>
        <w:t xml:space="preserve">Not to apply the provisions in subparagraphs (c), (e) and (f) above to </w:t>
      </w:r>
      <w:smartTag w:uri="urn:schemas-microsoft-com:office:smarttags" w:element="place">
        <w:smartTag w:uri="urn:schemas-microsoft-com:office:smarttags" w:element="country-region">
          <w:r w:rsidRPr="00D474E3">
            <w:rPr>
              <w:lang w:val="en-US"/>
            </w:rPr>
            <w:t>China</w:t>
          </w:r>
        </w:smartTag>
      </w:smartTag>
      <w:r w:rsidRPr="00D474E3">
        <w:rPr>
          <w:lang w:val="en-US"/>
        </w:rPr>
        <w:t>;</w:t>
      </w:r>
      <w:r w:rsidRPr="00D474E3">
        <w:t xml:space="preserve"> </w:t>
      </w:r>
    </w:p>
    <w:p w:rsidR="008572B3" w:rsidRPr="00D474E3" w:rsidRDefault="008572B3" w:rsidP="008572B3">
      <w:pPr>
        <w:pStyle w:val="Heading2"/>
        <w:tabs>
          <w:tab w:val="clear" w:pos="720"/>
          <w:tab w:val="num" w:pos="0"/>
        </w:tabs>
        <w:ind w:left="1440"/>
      </w:pPr>
      <w:r>
        <w:t>To r</w:t>
      </w:r>
      <w:r w:rsidRPr="00D474E3">
        <w:t xml:space="preserve">equest that for demonstration projects, according to decision 55/43 paragraphs (b) to (f), the request for preparation funds should include specification of country, sector, brief description of the project, approximate ODP tonnes phase-out to be achieved, the enterprise(s) to be addressed, if relevant, and the date </w:t>
      </w:r>
      <w:r>
        <w:t xml:space="preserve">when </w:t>
      </w:r>
      <w:r w:rsidRPr="00D474E3">
        <w:t xml:space="preserve">they began operation, reference to the relevant sub-paragraph of decision 55/43, and a description of compelling reasons as to why the Executive Committee should choose this project as described in decision 55/43 (b). Funding could be provided up to the following levels: </w:t>
      </w:r>
    </w:p>
    <w:p w:rsidR="008572B3" w:rsidRPr="00D474E3" w:rsidRDefault="008572B3" w:rsidP="008572B3">
      <w:pPr>
        <w:pStyle w:val="Heading3"/>
        <w:widowControl w:val="0"/>
        <w:tabs>
          <w:tab w:val="clear" w:pos="2955"/>
          <w:tab w:val="num" w:pos="90"/>
        </w:tabs>
        <w:ind w:left="2160"/>
      </w:pPr>
      <w:r w:rsidRPr="00D474E3">
        <w:t>Stand</w:t>
      </w:r>
      <w:r>
        <w:t>-</w:t>
      </w:r>
      <w:r w:rsidRPr="00D474E3">
        <w:t xml:space="preserve">alone demonstration projects (55/43) in a manufacturing sector, per project: US $30,000; </w:t>
      </w:r>
    </w:p>
    <w:p w:rsidR="008572B3" w:rsidRPr="00D474E3" w:rsidRDefault="008572B3" w:rsidP="008572B3">
      <w:pPr>
        <w:pStyle w:val="Heading3"/>
        <w:widowControl w:val="0"/>
        <w:tabs>
          <w:tab w:val="clear" w:pos="2955"/>
          <w:tab w:val="num" w:pos="90"/>
        </w:tabs>
        <w:ind w:left="2160"/>
      </w:pPr>
      <w:r w:rsidRPr="00D474E3">
        <w:t xml:space="preserve">Umbrella demonstration projects (55/43) with three to </w:t>
      </w:r>
      <w:r>
        <w:t>14</w:t>
      </w:r>
      <w:r w:rsidRPr="00D474E3">
        <w:t xml:space="preserve"> beneficiaries in one manufacturing sector, per</w:t>
      </w:r>
      <w:r>
        <w:t xml:space="preserve"> umbrella project: US $80,000;</w:t>
      </w:r>
    </w:p>
    <w:p w:rsidR="008572B3" w:rsidRPr="00D474E3" w:rsidRDefault="008572B3" w:rsidP="008572B3">
      <w:pPr>
        <w:pStyle w:val="Heading3"/>
        <w:widowControl w:val="0"/>
        <w:tabs>
          <w:tab w:val="clear" w:pos="2955"/>
          <w:tab w:val="num" w:pos="90"/>
        </w:tabs>
        <w:ind w:left="2160"/>
      </w:pPr>
      <w:r w:rsidRPr="00D474E3">
        <w:t xml:space="preserve">Projects addressing </w:t>
      </w:r>
      <w:r>
        <w:t>15</w:t>
      </w:r>
      <w:r w:rsidRPr="00D474E3">
        <w:t xml:space="preserve"> or more beneficiaries c</w:t>
      </w:r>
      <w:r>
        <w:t xml:space="preserve">ould not </w:t>
      </w:r>
      <w:r w:rsidRPr="00D474E3">
        <w:t>receive preparation funding for demonstration projects related to decision 55/43</w:t>
      </w:r>
      <w:r>
        <w:t>; and</w:t>
      </w:r>
    </w:p>
    <w:p w:rsidR="008572B3" w:rsidRDefault="008572B3" w:rsidP="008572B3">
      <w:pPr>
        <w:pStyle w:val="Heading2"/>
        <w:tabs>
          <w:tab w:val="clear" w:pos="720"/>
          <w:tab w:val="num" w:pos="0"/>
        </w:tabs>
      </w:pPr>
      <w:r>
        <w:t>To r</w:t>
      </w:r>
      <w:r w:rsidRPr="00D474E3">
        <w:t>equest the Secretariat to apply this cost structure when assessing the eligibility for funding of th</w:t>
      </w:r>
      <w:r w:rsidRPr="00880994">
        <w:t>e different elements of the HPMP preparation, and to propose adjustments to the structure</w:t>
      </w:r>
      <w:r>
        <w:t>,</w:t>
      </w:r>
      <w:r w:rsidRPr="008751CB">
        <w:t xml:space="preserve"> in particular with regard to investment and associated activities</w:t>
      </w:r>
      <w:r>
        <w:t>,</w:t>
      </w:r>
      <w:r w:rsidRPr="008751CB">
        <w:t xml:space="preserve"> to the</w:t>
      </w:r>
      <w:r w:rsidRPr="00B7183D">
        <w:t xml:space="preserve"> Executive C</w:t>
      </w:r>
      <w:r w:rsidRPr="00F754FB">
        <w:t>o</w:t>
      </w:r>
      <w:r w:rsidRPr="00B7183D">
        <w:t>mmittee when necessary.</w:t>
      </w:r>
    </w:p>
    <w:p w:rsidR="008572B3" w:rsidRPr="00880994" w:rsidRDefault="008572B3" w:rsidP="008572B3">
      <w:pPr>
        <w:keepNext/>
        <w:spacing w:after="240"/>
        <w:rPr>
          <w:b/>
          <w:iCs/>
          <w:lang w:val="en-US"/>
        </w:rPr>
      </w:pPr>
      <w:r w:rsidRPr="00880994">
        <w:rPr>
          <w:b/>
        </w:rPr>
        <w:lastRenderedPageBreak/>
        <w:t xml:space="preserve">Decision 59/11: </w:t>
      </w:r>
      <w:r w:rsidRPr="00880994">
        <w:rPr>
          <w:b/>
          <w:iCs/>
          <w:lang w:val="en-US"/>
        </w:rPr>
        <w:t>Prioritization in the phase-out of HCFCs</w:t>
      </w:r>
    </w:p>
    <w:p w:rsidR="008572B3" w:rsidRPr="00880994" w:rsidRDefault="008572B3" w:rsidP="00752FC8">
      <w:pPr>
        <w:pStyle w:val="Heading1"/>
        <w:numPr>
          <w:ilvl w:val="0"/>
          <w:numId w:val="53"/>
        </w:numPr>
      </w:pPr>
      <w:r w:rsidRPr="00880994">
        <w:t xml:space="preserve">After hearing the report from the convener of the contact group, the Executive Committee </w:t>
      </w:r>
      <w:r w:rsidRPr="008572B3">
        <w:rPr>
          <w:u w:val="single"/>
        </w:rPr>
        <w:t>decided</w:t>
      </w:r>
      <w:r w:rsidRPr="00880994">
        <w:t>:</w:t>
      </w:r>
    </w:p>
    <w:p w:rsidR="008572B3" w:rsidRPr="00880994" w:rsidRDefault="008572B3" w:rsidP="00752FC8">
      <w:pPr>
        <w:numPr>
          <w:ilvl w:val="0"/>
          <w:numId w:val="36"/>
        </w:numPr>
        <w:tabs>
          <w:tab w:val="clear" w:pos="2520"/>
          <w:tab w:val="num" w:pos="1440"/>
        </w:tabs>
        <w:spacing w:after="240"/>
        <w:ind w:left="1440" w:hanging="720"/>
      </w:pPr>
      <w:r w:rsidRPr="00880994">
        <w:t xml:space="preserve">To request bilateral and implementing agencies to submit, as a priority, </w:t>
      </w:r>
      <w:smartTag w:uri="urn:schemas-microsoft-com:office:smarttags" w:element="stockticker">
        <w:r w:rsidRPr="00880994">
          <w:t>HCFC</w:t>
        </w:r>
      </w:smartTag>
      <w:r w:rsidRPr="00880994">
        <w:noBreakHyphen/>
        <w:t>141b phase-out projects to enable compliance with the reductions in consumption for the years 2013 and 2015, in accordance with decision XIX/6, paragraph 11(a), of the Nineteenth Meeting of the Parties; and</w:t>
      </w:r>
    </w:p>
    <w:p w:rsidR="008572B3" w:rsidRPr="00880994" w:rsidRDefault="008572B3" w:rsidP="00752FC8">
      <w:pPr>
        <w:keepNext/>
        <w:numPr>
          <w:ilvl w:val="0"/>
          <w:numId w:val="36"/>
        </w:numPr>
        <w:tabs>
          <w:tab w:val="clear" w:pos="2520"/>
          <w:tab w:val="num" w:pos="1440"/>
        </w:tabs>
        <w:spacing w:after="240"/>
        <w:ind w:left="1440" w:hanging="720"/>
      </w:pPr>
      <w:r w:rsidRPr="00880994">
        <w:t xml:space="preserve">To consider </w:t>
      </w:r>
      <w:smartTag w:uri="urn:schemas-microsoft-com:office:smarttags" w:element="stockticker">
        <w:r w:rsidRPr="00880994">
          <w:t>HCFC</w:t>
        </w:r>
      </w:smartTag>
      <w:r w:rsidRPr="00880994">
        <w:t xml:space="preserve"> consumption phase-out projects for HCFCs with </w:t>
      </w:r>
      <w:smartTag w:uri="urn:schemas-microsoft-com:office:smarttags" w:element="stockticker">
        <w:r w:rsidRPr="00880994">
          <w:t>ODP</w:t>
        </w:r>
      </w:smartTag>
      <w:r w:rsidRPr="00880994">
        <w:t xml:space="preserve"> lower than </w:t>
      </w:r>
      <w:smartTag w:uri="urn:schemas-microsoft-com:office:smarttags" w:element="stockticker">
        <w:r w:rsidRPr="00880994">
          <w:t>HCFC</w:t>
        </w:r>
      </w:smartTag>
      <w:r w:rsidRPr="00880994">
        <w:t>-141b, where national circumstances and priorities required their submission, in order to comply with the 2013 and 2015 control measures.</w:t>
      </w:r>
    </w:p>
    <w:p w:rsidR="008572B3" w:rsidRPr="000536DC" w:rsidRDefault="008572B3" w:rsidP="008572B3">
      <w:pPr>
        <w:rPr>
          <w:b/>
        </w:rPr>
      </w:pPr>
      <w:r w:rsidRPr="000536DC">
        <w:rPr>
          <w:b/>
        </w:rPr>
        <w:t>Decision 60/15: Additional policy issue raised by Canada: Accelerated phase-out of HCFCs</w:t>
      </w:r>
    </w:p>
    <w:p w:rsidR="008572B3" w:rsidRPr="00880994" w:rsidRDefault="008572B3" w:rsidP="008572B3">
      <w:pPr>
        <w:rPr>
          <w:u w:val="single"/>
        </w:rPr>
      </w:pPr>
    </w:p>
    <w:p w:rsidR="008572B3" w:rsidRPr="00880994" w:rsidRDefault="008572B3" w:rsidP="00752FC8">
      <w:pPr>
        <w:pStyle w:val="Heading1"/>
        <w:numPr>
          <w:ilvl w:val="0"/>
          <w:numId w:val="54"/>
        </w:numPr>
      </w:pPr>
      <w:r w:rsidRPr="00880994">
        <w:t>The representative of Canada raised an additional policy issue for consideration by the Executive Committee with respect to several HCFC projects submitted to the 60</w:t>
      </w:r>
      <w:r w:rsidRPr="008572B3">
        <w:rPr>
          <w:vertAlign w:val="superscript"/>
        </w:rPr>
        <w:t>th</w:t>
      </w:r>
      <w:r w:rsidRPr="00880994">
        <w:t xml:space="preserve"> </w:t>
      </w:r>
      <w:r>
        <w:t>m</w:t>
      </w:r>
      <w:r w:rsidRPr="00880994">
        <w:t>eeting that proposed levels of HCFC phase-out greater than the 10 per cent required to be phased out by 2015. In some cases, levels of phase-out proposed represented 30 to 40 per cent of the baseline. He said that while that might be appropriate in some cases, namely, in very LVC countries where levels of tonnage were small or where funding was provided over a shorter period to facilitate management or achieve economies of scale, the Multilateral Fund could not sustain such high levels of phase-out within the current replenishment period, especially for larger countries. However, the Executive Committee could support accelerated phase-out in LVC countries where the phase-out could be achieved and sustained and where there was a strong commitment. Where countries had proposed accelerated phase-out of HCFCs, the Executive Committee should make decisions on a case-by-case basis taking into account levels of HCFC consumption in LVC countries and the rationale behind the accelerated phase-out.</w:t>
      </w:r>
    </w:p>
    <w:p w:rsidR="008572B3" w:rsidRPr="00880994" w:rsidRDefault="008572B3" w:rsidP="008572B3">
      <w:pPr>
        <w:pStyle w:val="Heading1"/>
        <w:rPr>
          <w:u w:val="single"/>
        </w:rPr>
      </w:pPr>
      <w:r w:rsidRPr="00880994">
        <w:t xml:space="preserve">Following the presentation, the Executive Committee </w:t>
      </w:r>
      <w:r w:rsidRPr="00880994">
        <w:rPr>
          <w:u w:val="single"/>
        </w:rPr>
        <w:t>decided</w:t>
      </w:r>
      <w:r w:rsidRPr="00880994">
        <w:t xml:space="preserve"> that projects which accelerated the phase-out of consumption of HCFCs could be considered on a case-by-case basis for low</w:t>
      </w:r>
      <w:r w:rsidRPr="00880994">
        <w:noBreakHyphen/>
        <w:t>volume</w:t>
      </w:r>
      <w:r w:rsidRPr="00880994">
        <w:noBreakHyphen/>
        <w:t>consuming countries that had a strong national level of commitment in place to support accelerated phase-out.</w:t>
      </w:r>
    </w:p>
    <w:p w:rsidR="008572B3" w:rsidRPr="00012674" w:rsidRDefault="008572B3" w:rsidP="008572B3">
      <w:pPr>
        <w:rPr>
          <w:b/>
          <w:lang w:val="en-CA"/>
        </w:rPr>
      </w:pPr>
      <w:r>
        <w:rPr>
          <w:b/>
          <w:lang w:val="en-CA"/>
        </w:rPr>
        <w:t>Decision 60/44: Outstanding HCFC issues: Cut-off date, level of incremental operating costs, funding provided to the servicing sector, and incremental capital cost (</w:t>
      </w:r>
      <w:r w:rsidRPr="00012674">
        <w:rPr>
          <w:b/>
          <w:lang w:val="en-CA"/>
        </w:rPr>
        <w:t>decision 59/46)</w:t>
      </w:r>
    </w:p>
    <w:p w:rsidR="008572B3" w:rsidRPr="00012674" w:rsidRDefault="008572B3" w:rsidP="008572B3">
      <w:pPr>
        <w:rPr>
          <w:lang w:val="en-CA"/>
        </w:rPr>
      </w:pPr>
    </w:p>
    <w:p w:rsidR="008572B3" w:rsidRPr="00903B6D" w:rsidRDefault="008572B3" w:rsidP="00752FC8">
      <w:pPr>
        <w:pStyle w:val="Heading1"/>
        <w:numPr>
          <w:ilvl w:val="0"/>
          <w:numId w:val="55"/>
        </w:numPr>
      </w:pPr>
      <w:r>
        <w:t xml:space="preserve">The Executive Committee </w:t>
      </w:r>
      <w:r w:rsidRPr="008572B3">
        <w:rPr>
          <w:u w:val="single"/>
        </w:rPr>
        <w:t>decided</w:t>
      </w:r>
      <w:r>
        <w:t>:</w:t>
      </w:r>
      <w:r w:rsidRPr="00903B6D">
        <w:t xml:space="preserve"> </w:t>
      </w:r>
    </w:p>
    <w:p w:rsidR="008572B3" w:rsidRPr="0099742C" w:rsidRDefault="008572B3" w:rsidP="008572B3">
      <w:pPr>
        <w:pStyle w:val="Heading1"/>
        <w:numPr>
          <w:ilvl w:val="0"/>
          <w:numId w:val="0"/>
        </w:numPr>
        <w:ind w:left="720"/>
      </w:pPr>
      <w:r w:rsidRPr="0099742C">
        <w:t xml:space="preserve">In determining criteria for funding </w:t>
      </w:r>
      <w:smartTag w:uri="urn:schemas-microsoft-com:office:smarttags" w:element="stockticker">
        <w:r w:rsidRPr="0099742C">
          <w:t>HCFC</w:t>
        </w:r>
      </w:smartTag>
      <w:r w:rsidRPr="0099742C">
        <w:t xml:space="preserve"> phase-out in the consumption sector in Article 5 countries:</w:t>
      </w:r>
    </w:p>
    <w:p w:rsidR="008572B3" w:rsidRPr="0099742C" w:rsidRDefault="008572B3" w:rsidP="008572B3">
      <w:pPr>
        <w:keepNext/>
        <w:keepLines/>
        <w:rPr>
          <w:u w:val="single"/>
        </w:rPr>
      </w:pPr>
      <w:r w:rsidRPr="0099742C">
        <w:rPr>
          <w:u w:val="single"/>
        </w:rPr>
        <w:t>Cut-off date</w:t>
      </w:r>
    </w:p>
    <w:p w:rsidR="008572B3" w:rsidRPr="0099742C" w:rsidRDefault="008572B3" w:rsidP="008572B3">
      <w:pPr>
        <w:keepNext/>
      </w:pPr>
    </w:p>
    <w:p w:rsidR="008572B3" w:rsidRPr="0099742C" w:rsidRDefault="008572B3" w:rsidP="008572B3">
      <w:pPr>
        <w:pStyle w:val="Heading2"/>
        <w:keepNext/>
        <w:widowControl/>
        <w:tabs>
          <w:tab w:val="clear" w:pos="720"/>
          <w:tab w:val="num" w:pos="0"/>
        </w:tabs>
        <w:ind w:left="1440"/>
      </w:pPr>
      <w:r w:rsidRPr="0099742C">
        <w:t xml:space="preserve">Not to consider any projects to convert </w:t>
      </w:r>
      <w:smartTag w:uri="urn:schemas-microsoft-com:office:smarttags" w:element="stockticker">
        <w:r w:rsidRPr="0099742C">
          <w:t>HCFC</w:t>
        </w:r>
      </w:smartTag>
      <w:r w:rsidRPr="0099742C">
        <w:t xml:space="preserve">-based manufacturing capacity installed after 21 September 2007; </w:t>
      </w:r>
    </w:p>
    <w:p w:rsidR="008572B3" w:rsidRPr="0099742C" w:rsidRDefault="008572B3" w:rsidP="008572B3">
      <w:pPr>
        <w:keepNext/>
        <w:rPr>
          <w:u w:val="single"/>
        </w:rPr>
      </w:pPr>
      <w:r w:rsidRPr="0099742C">
        <w:rPr>
          <w:u w:val="single"/>
        </w:rPr>
        <w:t xml:space="preserve">Second-stage conversion </w:t>
      </w:r>
    </w:p>
    <w:p w:rsidR="008572B3" w:rsidRPr="0099742C" w:rsidRDefault="008572B3" w:rsidP="008572B3">
      <w:pPr>
        <w:keepNext/>
        <w:rPr>
          <w:u w:val="single"/>
        </w:rPr>
      </w:pPr>
    </w:p>
    <w:p w:rsidR="008572B3" w:rsidRPr="0099742C" w:rsidRDefault="008572B3" w:rsidP="008572B3">
      <w:pPr>
        <w:pStyle w:val="Heading2"/>
        <w:tabs>
          <w:tab w:val="clear" w:pos="720"/>
          <w:tab w:val="num" w:pos="0"/>
        </w:tabs>
        <w:ind w:left="1440"/>
        <w:rPr>
          <w:u w:val="single"/>
        </w:rPr>
      </w:pPr>
      <w:r w:rsidRPr="0099742C">
        <w:t xml:space="preserve">To apply the following principles in regard to second-stage conversion projects for the first stage of </w:t>
      </w:r>
      <w:r>
        <w:t>HCFC phase-out management plan (</w:t>
      </w:r>
      <w:r w:rsidRPr="0099742C">
        <w:t>HPMP</w:t>
      </w:r>
      <w:r>
        <w:t>)</w:t>
      </w:r>
      <w:r w:rsidRPr="0099742C">
        <w:t xml:space="preserve"> implementation to achieve the 2013 and 2015 </w:t>
      </w:r>
      <w:smartTag w:uri="urn:schemas-microsoft-com:office:smarttags" w:element="stockticker">
        <w:r w:rsidRPr="0099742C">
          <w:t>HCFC</w:t>
        </w:r>
      </w:smartTag>
      <w:r w:rsidRPr="0099742C">
        <w:t xml:space="preserve"> phase</w:t>
      </w:r>
      <w:r w:rsidRPr="0099742C">
        <w:noBreakHyphen/>
        <w:t>out compliance targets, to be reviewed by the Executive Comm</w:t>
      </w:r>
      <w:r>
        <w:t>ittee no earlier than the last m</w:t>
      </w:r>
      <w:r w:rsidRPr="0099742C">
        <w:t>eeting in 2013:</w:t>
      </w:r>
    </w:p>
    <w:p w:rsidR="008572B3" w:rsidRPr="0099742C" w:rsidRDefault="008572B3" w:rsidP="008572B3">
      <w:pPr>
        <w:pStyle w:val="Heading3"/>
        <w:widowControl w:val="0"/>
        <w:tabs>
          <w:tab w:val="clear" w:pos="2955"/>
          <w:tab w:val="num" w:pos="0"/>
        </w:tabs>
        <w:ind w:left="2160"/>
        <w:rPr>
          <w:color w:val="000000"/>
        </w:rPr>
      </w:pPr>
      <w:r w:rsidRPr="0099742C">
        <w:lastRenderedPageBreak/>
        <w:t xml:space="preserve">Full funding of eligible incremental costs of second-stage conversion projects will be considered in those cases where an Article 5 Party clearly demonstrates in its HPMP that such projects are necessary to comply with the Montreal Protocol </w:t>
      </w:r>
      <w:smartTag w:uri="urn:schemas-microsoft-com:office:smarttags" w:element="stockticker">
        <w:r w:rsidRPr="0099742C">
          <w:t>HCFC</w:t>
        </w:r>
      </w:smartTag>
      <w:r w:rsidRPr="0099742C">
        <w:t xml:space="preserve"> targets up to and including the 35 per cent reduction step by 1 January 2020 and/or are the most cost-effective projects measured in </w:t>
      </w:r>
      <w:smartTag w:uri="urn:schemas-microsoft-com:office:smarttags" w:element="stockticker">
        <w:r w:rsidRPr="0099742C">
          <w:t>ODP</w:t>
        </w:r>
      </w:smartTag>
      <w:r w:rsidRPr="0099742C">
        <w:t> tonnes that the Party concerned can undertake in the manufacturing sector in order to comply with these targets;</w:t>
      </w:r>
    </w:p>
    <w:p w:rsidR="008572B3" w:rsidRPr="0099742C" w:rsidRDefault="008572B3" w:rsidP="008572B3">
      <w:pPr>
        <w:pStyle w:val="Heading3"/>
        <w:keepNext/>
        <w:tabs>
          <w:tab w:val="clear" w:pos="2955"/>
          <w:tab w:val="num" w:pos="0"/>
        </w:tabs>
        <w:ind w:left="2160"/>
        <w:rPr>
          <w:color w:val="000000"/>
        </w:rPr>
      </w:pPr>
      <w:r w:rsidRPr="0099742C">
        <w:t>Funding for all other second-stage conversion projects not covered under paragraph (b)(i) above will be limited to funding for installation, trials, and training associated with those projects;</w:t>
      </w:r>
    </w:p>
    <w:p w:rsidR="008572B3" w:rsidRPr="0099742C" w:rsidRDefault="008572B3" w:rsidP="008572B3">
      <w:pPr>
        <w:pStyle w:val="Heading2"/>
        <w:numPr>
          <w:ilvl w:val="0"/>
          <w:numId w:val="0"/>
        </w:numPr>
      </w:pPr>
      <w:r w:rsidRPr="0099742C">
        <w:rPr>
          <w:u w:val="single"/>
        </w:rPr>
        <w:t xml:space="preserve">Starting points for aggregate reductions in </w:t>
      </w:r>
      <w:smartTag w:uri="urn:schemas-microsoft-com:office:smarttags" w:element="stockticker">
        <w:r w:rsidRPr="0099742C">
          <w:rPr>
            <w:u w:val="single"/>
          </w:rPr>
          <w:t>HCFC</w:t>
        </w:r>
      </w:smartTag>
      <w:r w:rsidRPr="0099742C">
        <w:rPr>
          <w:u w:val="single"/>
        </w:rPr>
        <w:t xml:space="preserve"> consumption</w:t>
      </w:r>
    </w:p>
    <w:p w:rsidR="008572B3" w:rsidRPr="0099742C" w:rsidRDefault="008572B3" w:rsidP="008572B3">
      <w:pPr>
        <w:pStyle w:val="Heading2"/>
        <w:tabs>
          <w:tab w:val="clear" w:pos="720"/>
          <w:tab w:val="num" w:pos="0"/>
        </w:tabs>
        <w:ind w:left="1440"/>
      </w:pPr>
      <w:r w:rsidRPr="0099742C">
        <w:t xml:space="preserve">To establish the starting points for aggregate reductions in </w:t>
      </w:r>
      <w:smartTag w:uri="urn:schemas-microsoft-com:office:smarttags" w:element="stockticker">
        <w:r w:rsidRPr="0099742C">
          <w:t>HCFC</w:t>
        </w:r>
      </w:smartTag>
      <w:r w:rsidRPr="0099742C">
        <w:t xml:space="preserve"> consumption, for those Article 5 countries that submit projects in advance of their assessed baseline, at the time of submission of either the </w:t>
      </w:r>
      <w:smartTag w:uri="urn:schemas-microsoft-com:office:smarttags" w:element="stockticker">
        <w:r w:rsidRPr="0099742C">
          <w:t>HCFC</w:t>
        </w:r>
      </w:smartTag>
      <w:r w:rsidRPr="0099742C">
        <w:t xml:space="preserve"> investment project or the HPMP, whichever is first submitted for the consideration of the Executive Committee;</w:t>
      </w:r>
    </w:p>
    <w:p w:rsidR="008572B3" w:rsidRPr="0099742C" w:rsidRDefault="008572B3" w:rsidP="008572B3">
      <w:pPr>
        <w:pStyle w:val="Heading2"/>
        <w:tabs>
          <w:tab w:val="clear" w:pos="720"/>
          <w:tab w:val="num" w:pos="0"/>
        </w:tabs>
        <w:ind w:left="1440"/>
      </w:pPr>
      <w:r w:rsidRPr="0099742C">
        <w:t xml:space="preserve">To allow Article 5 countries to choose between the most recent reported </w:t>
      </w:r>
      <w:smartTag w:uri="urn:schemas-microsoft-com:office:smarttags" w:element="stockticker">
        <w:r w:rsidRPr="0099742C">
          <w:t>HCFC</w:t>
        </w:r>
      </w:smartTag>
      <w:r w:rsidRPr="0099742C">
        <w:t xml:space="preserve"> consumption under Article 7 of the Montreal Protocol at the time of the submission of the HPMP and/or the investment project, and the average of consumption forecast for 2009 and 2010, in calculating starting points for aggregate reductions in </w:t>
      </w:r>
      <w:smartTag w:uri="urn:schemas-microsoft-com:office:smarttags" w:element="stockticker">
        <w:r w:rsidRPr="0099742C">
          <w:t>HCFC</w:t>
        </w:r>
      </w:smartTag>
      <w:r w:rsidRPr="0099742C">
        <w:t xml:space="preserve"> consumption;</w:t>
      </w:r>
    </w:p>
    <w:p w:rsidR="008572B3" w:rsidRPr="0099742C" w:rsidRDefault="008572B3" w:rsidP="008572B3">
      <w:pPr>
        <w:pStyle w:val="Heading2"/>
        <w:tabs>
          <w:tab w:val="clear" w:pos="720"/>
          <w:tab w:val="num" w:pos="0"/>
        </w:tabs>
        <w:ind w:left="1440"/>
      </w:pPr>
      <w:r w:rsidRPr="0099742C">
        <w:t xml:space="preserve">To adjust the agreed starting points for aggregate reductions in </w:t>
      </w:r>
      <w:smartTag w:uri="urn:schemas-microsoft-com:office:smarttags" w:element="stockticker">
        <w:r w:rsidRPr="0099742C">
          <w:t>HCFC</w:t>
        </w:r>
      </w:smartTag>
      <w:r w:rsidRPr="0099742C">
        <w:t xml:space="preserve"> consumption in cases where calculated </w:t>
      </w:r>
      <w:smartTag w:uri="urn:schemas-microsoft-com:office:smarttags" w:element="stockticker">
        <w:r w:rsidRPr="0099742C">
          <w:t>HCFC</w:t>
        </w:r>
      </w:smartTag>
      <w:r w:rsidRPr="0099742C">
        <w:t xml:space="preserve"> base</w:t>
      </w:r>
      <w:r w:rsidRPr="0099742C">
        <w:rPr>
          <w:rStyle w:val="Heading3Char3CharCharChar"/>
        </w:rPr>
        <w:t>l</w:t>
      </w:r>
      <w:proofErr w:type="spellStart"/>
      <w:r w:rsidRPr="0099742C">
        <w:t>ines</w:t>
      </w:r>
      <w:proofErr w:type="spellEnd"/>
      <w:r w:rsidRPr="0099742C">
        <w:t xml:space="preserve"> based on reported Article 7 data are different from the calculated starting point based on the average consumption forecast for 2009</w:t>
      </w:r>
      <w:r w:rsidRPr="0099742C">
        <w:noBreakHyphen/>
        <w:t xml:space="preserve">2010; </w:t>
      </w:r>
    </w:p>
    <w:p w:rsidR="008572B3" w:rsidRPr="0099742C" w:rsidRDefault="008572B3" w:rsidP="008572B3">
      <w:pPr>
        <w:pStyle w:val="Heading2"/>
        <w:numPr>
          <w:ilvl w:val="0"/>
          <w:numId w:val="0"/>
        </w:numPr>
        <w:rPr>
          <w:u w:val="single"/>
        </w:rPr>
      </w:pPr>
      <w:r w:rsidRPr="0099742C">
        <w:rPr>
          <w:u w:val="single"/>
        </w:rPr>
        <w:t xml:space="preserve">Eligible incremental costs of </w:t>
      </w:r>
      <w:smartTag w:uri="urn:schemas-microsoft-com:office:smarttags" w:element="stockticker">
        <w:r w:rsidRPr="0099742C">
          <w:rPr>
            <w:u w:val="single"/>
          </w:rPr>
          <w:t>HCFC</w:t>
        </w:r>
      </w:smartTag>
      <w:r w:rsidRPr="0099742C">
        <w:rPr>
          <w:u w:val="single"/>
        </w:rPr>
        <w:t xml:space="preserve"> phase-out projects</w:t>
      </w:r>
    </w:p>
    <w:p w:rsidR="008572B3" w:rsidRPr="0099742C" w:rsidRDefault="008572B3" w:rsidP="008572B3">
      <w:pPr>
        <w:pStyle w:val="Heading2"/>
        <w:tabs>
          <w:tab w:val="clear" w:pos="720"/>
          <w:tab w:val="num" w:pos="0"/>
        </w:tabs>
        <w:ind w:left="1440"/>
      </w:pPr>
      <w:r w:rsidRPr="0099742C">
        <w:t xml:space="preserve">To apply the following principles in regard to eligible incremental costs of </w:t>
      </w:r>
      <w:smartTag w:uri="urn:schemas-microsoft-com:office:smarttags" w:element="stockticker">
        <w:r w:rsidRPr="0099742C">
          <w:t>HCFC</w:t>
        </w:r>
      </w:smartTag>
      <w:r w:rsidRPr="0099742C">
        <w:t xml:space="preserve"> phase</w:t>
      </w:r>
      <w:r w:rsidRPr="0099742C">
        <w:noBreakHyphen/>
        <w:t xml:space="preserve">out projects for the first stage of HPMP implementation to achieve the 2013 and 2015 </w:t>
      </w:r>
      <w:smartTag w:uri="urn:schemas-microsoft-com:office:smarttags" w:element="stockticker">
        <w:r w:rsidRPr="0099742C">
          <w:t>HCFC</w:t>
        </w:r>
      </w:smartTag>
      <w:r w:rsidRPr="0099742C">
        <w:t xml:space="preserve"> phase</w:t>
      </w:r>
      <w:r w:rsidRPr="0099742C">
        <w:noBreakHyphen/>
        <w:t>out compliance targets, subject to a review in 2013:</w:t>
      </w:r>
    </w:p>
    <w:p w:rsidR="008572B3" w:rsidRPr="0099742C" w:rsidRDefault="008572B3" w:rsidP="008572B3">
      <w:pPr>
        <w:pStyle w:val="Heading3"/>
        <w:widowControl w:val="0"/>
        <w:tabs>
          <w:tab w:val="clear" w:pos="2955"/>
          <w:tab w:val="num" w:pos="0"/>
        </w:tabs>
        <w:ind w:left="2160"/>
      </w:pPr>
      <w:r w:rsidRPr="0099742C">
        <w:t xml:space="preserve">When preparing </w:t>
      </w:r>
      <w:smartTag w:uri="urn:schemas-microsoft-com:office:smarttags" w:element="stockticker">
        <w:r w:rsidRPr="0099742C">
          <w:t>HCFC</w:t>
        </w:r>
      </w:smartTag>
      <w:r w:rsidRPr="0099742C">
        <w:t xml:space="preserve"> phase-out projects in the foam, refrigeration and air</w:t>
      </w:r>
      <w:r w:rsidRPr="0099742C">
        <w:noBreakHyphen/>
        <w:t>conditioning sectors, bilateral and implementing agencies shall use the technical information contained in document UNEP/OzL.Pro/ExCom/55/47 as a guide;</w:t>
      </w:r>
    </w:p>
    <w:p w:rsidR="008572B3" w:rsidRPr="0099742C" w:rsidRDefault="008572B3" w:rsidP="008572B3">
      <w:pPr>
        <w:pStyle w:val="Heading3"/>
        <w:keepNext/>
        <w:keepLines/>
        <w:widowControl w:val="0"/>
        <w:tabs>
          <w:tab w:val="clear" w:pos="2955"/>
          <w:tab w:val="num" w:pos="0"/>
        </w:tabs>
        <w:ind w:left="2160"/>
      </w:pPr>
      <w:r w:rsidRPr="0099742C">
        <w:t>The current cost-effectiveness threshold values used for CFC phase-out p</w:t>
      </w:r>
      <w:r>
        <w:t>rojects in paragraph 32 of the final r</w:t>
      </w:r>
      <w:r w:rsidRPr="0099742C">
        <w:t>eport of the 16</w:t>
      </w:r>
      <w:r w:rsidRPr="0099742C">
        <w:rPr>
          <w:vertAlign w:val="superscript"/>
        </w:rPr>
        <w:t>th</w:t>
      </w:r>
      <w:r>
        <w:rPr>
          <w:vertAlign w:val="superscript"/>
        </w:rPr>
        <w:t> </w:t>
      </w:r>
      <w:r>
        <w:t>m</w:t>
      </w:r>
      <w:r w:rsidRPr="0099742C">
        <w:t>eeting of the Executiv</w:t>
      </w:r>
      <w:r>
        <w:t>e Committee (document UNEP/OzL.</w:t>
      </w:r>
      <w:r w:rsidRPr="0099742C">
        <w:t>Pro/</w:t>
      </w:r>
      <w:r>
        <w:t>ExCom/</w:t>
      </w:r>
      <w:r w:rsidRPr="0099742C">
        <w:t>16/20)</w:t>
      </w:r>
      <w:r>
        <w:t>,</w:t>
      </w:r>
      <w:r w:rsidRPr="0099742C">
        <w:t xml:space="preserve"> to be measured in metric </w:t>
      </w:r>
      <w:proofErr w:type="spellStart"/>
      <w:r w:rsidRPr="0099742C">
        <w:t>kilogrammes</w:t>
      </w:r>
      <w:proofErr w:type="spellEnd"/>
      <w:r>
        <w:t>,</w:t>
      </w:r>
      <w:r w:rsidRPr="0099742C">
        <w:t xml:space="preserve"> shall be used as guidelines during the development and implementation of the first stage of HPMPs; </w:t>
      </w:r>
    </w:p>
    <w:p w:rsidR="008572B3" w:rsidRPr="0099742C" w:rsidRDefault="008572B3" w:rsidP="008572B3">
      <w:pPr>
        <w:pStyle w:val="Heading3"/>
        <w:widowControl w:val="0"/>
        <w:tabs>
          <w:tab w:val="clear" w:pos="2955"/>
          <w:tab w:val="num" w:pos="0"/>
        </w:tabs>
        <w:ind w:left="2160"/>
        <w:rPr>
          <w:bCs/>
          <w:iCs/>
        </w:rPr>
      </w:pPr>
      <w:r w:rsidRPr="0099742C">
        <w:t>That countries will have the flexibility to allocate the approved funding from incremental operating costs to incremental capital costs and to allocate up to 20</w:t>
      </w:r>
      <w:r>
        <w:t> per cent</w:t>
      </w:r>
      <w:r w:rsidRPr="0099742C">
        <w:t xml:space="preserve"> of the approved funding for incremental capital costs to incremental operating costs, as long as the </w:t>
      </w:r>
      <w:r>
        <w:t xml:space="preserve">use of the </w:t>
      </w:r>
      <w:r w:rsidRPr="0099742C">
        <w:t>flexibility does not change the intent of the project. Any reallocation should be reported to the Executive Committee;</w:t>
      </w:r>
    </w:p>
    <w:p w:rsidR="008572B3" w:rsidRPr="0099742C" w:rsidRDefault="008572B3" w:rsidP="001A5222">
      <w:pPr>
        <w:pStyle w:val="Heading3"/>
        <w:keepNext/>
        <w:tabs>
          <w:tab w:val="clear" w:pos="2955"/>
          <w:tab w:val="num" w:pos="0"/>
        </w:tabs>
        <w:ind w:left="2160"/>
        <w:rPr>
          <w:bCs/>
          <w:iCs/>
        </w:rPr>
      </w:pPr>
      <w:r w:rsidRPr="0099742C">
        <w:lastRenderedPageBreak/>
        <w:t>Funding of up to a maximum of 25 per cent above the cost effectiveness threshold will be provided for projects when needed for the introduction of low global warming potential (GWP) alternatives;</w:t>
      </w:r>
    </w:p>
    <w:p w:rsidR="008572B3" w:rsidRPr="0099742C" w:rsidRDefault="008572B3" w:rsidP="008572B3">
      <w:pPr>
        <w:pStyle w:val="Heading3"/>
        <w:keepNext/>
        <w:numPr>
          <w:ilvl w:val="0"/>
          <w:numId w:val="0"/>
        </w:numPr>
        <w:ind w:left="720" w:firstLine="720"/>
      </w:pPr>
      <w:smartTag w:uri="urn:schemas-microsoft-com:office:smarttags" w:element="stockticker">
        <w:r w:rsidRPr="0099742C">
          <w:rPr>
            <w:u w:val="single"/>
          </w:rPr>
          <w:t>HCFC</w:t>
        </w:r>
      </w:smartTag>
      <w:r w:rsidRPr="0099742C">
        <w:rPr>
          <w:u w:val="single"/>
        </w:rPr>
        <w:t xml:space="preserve"> phase-out in the foam sector</w:t>
      </w:r>
    </w:p>
    <w:p w:rsidR="008572B3" w:rsidRPr="0099742C" w:rsidRDefault="008572B3" w:rsidP="008572B3">
      <w:pPr>
        <w:pStyle w:val="Heading3"/>
        <w:keepNext/>
        <w:tabs>
          <w:tab w:val="clear" w:pos="2955"/>
          <w:tab w:val="num" w:pos="0"/>
        </w:tabs>
        <w:ind w:left="2160"/>
      </w:pPr>
      <w:r w:rsidRPr="0099742C">
        <w:t xml:space="preserve">Incremental operating costs for projects in the foam sector will be considered at US $1.60/metric kg </w:t>
      </w:r>
      <w:r>
        <w:t>for</w:t>
      </w:r>
      <w:r w:rsidRPr="0099742C">
        <w:t xml:space="preserve"> </w:t>
      </w:r>
      <w:smartTag w:uri="urn:schemas-microsoft-com:office:smarttags" w:element="stockticker">
        <w:r w:rsidRPr="0099742C">
          <w:t>HCFC</w:t>
        </w:r>
      </w:smartTag>
      <w:r w:rsidRPr="0099742C">
        <w:t xml:space="preserve">-141b and US $1.40/metric kg for </w:t>
      </w:r>
      <w:smartTag w:uri="urn:schemas-microsoft-com:office:smarttags" w:element="stockticker">
        <w:r w:rsidRPr="0099742C">
          <w:t>HCFC</w:t>
        </w:r>
      </w:smartTag>
      <w:r w:rsidRPr="0099742C">
        <w:t>-142b consumption to be phased out at the manufacturing enterprise;</w:t>
      </w:r>
    </w:p>
    <w:p w:rsidR="008572B3" w:rsidRPr="0099742C" w:rsidRDefault="008572B3" w:rsidP="008572B3">
      <w:pPr>
        <w:pStyle w:val="Heading3"/>
        <w:keepNext/>
        <w:tabs>
          <w:tab w:val="clear" w:pos="2955"/>
          <w:tab w:val="num" w:pos="0"/>
        </w:tabs>
        <w:ind w:left="2160"/>
      </w:pPr>
      <w:r w:rsidRPr="0099742C">
        <w:t xml:space="preserve">For group projects linked to systems houses, incremental operating costs will be calculated on the basis of the total </w:t>
      </w:r>
      <w:smartTag w:uri="urn:schemas-microsoft-com:office:smarttags" w:element="stockticker">
        <w:r w:rsidRPr="0099742C">
          <w:t>HCFC</w:t>
        </w:r>
      </w:smartTag>
      <w:r w:rsidRPr="0099742C">
        <w:t xml:space="preserve"> consumption to be phased out </w:t>
      </w:r>
      <w:r>
        <w:t>for</w:t>
      </w:r>
      <w:r w:rsidRPr="0099742C">
        <w:t xml:space="preserve"> all downstream foam enterprises;</w:t>
      </w:r>
    </w:p>
    <w:p w:rsidR="008572B3" w:rsidRPr="0099742C" w:rsidRDefault="008572B3" w:rsidP="008572B3">
      <w:pPr>
        <w:pStyle w:val="Heading3"/>
        <w:keepNext/>
        <w:tabs>
          <w:tab w:val="clear" w:pos="2955"/>
          <w:tab w:val="num" w:pos="0"/>
        </w:tabs>
        <w:ind w:left="2160"/>
      </w:pPr>
      <w:r w:rsidRPr="0099742C">
        <w:t>The Executive Committee will consider, on a case-by-case basis, funding higher levels of incremental operating costs than indicated in paragraph (f)(v) above when required for the introduction of low-GWP water-blown technology;</w:t>
      </w:r>
    </w:p>
    <w:p w:rsidR="008572B3" w:rsidRPr="0099742C" w:rsidRDefault="008572B3" w:rsidP="008572B3">
      <w:pPr>
        <w:pStyle w:val="Heading3"/>
        <w:keepNext/>
        <w:numPr>
          <w:ilvl w:val="0"/>
          <w:numId w:val="0"/>
        </w:numPr>
        <w:ind w:left="1440"/>
        <w:rPr>
          <w:u w:val="single"/>
        </w:rPr>
      </w:pPr>
      <w:smartTag w:uri="urn:schemas-microsoft-com:office:smarttags" w:element="stockticker">
        <w:r w:rsidRPr="0099742C">
          <w:rPr>
            <w:u w:val="single"/>
          </w:rPr>
          <w:t>HCFC</w:t>
        </w:r>
      </w:smartTag>
      <w:r w:rsidRPr="0099742C">
        <w:rPr>
          <w:u w:val="single"/>
        </w:rPr>
        <w:t xml:space="preserve"> phase-out in the refrigeration and air-conditioning manufacturing sector</w:t>
      </w:r>
    </w:p>
    <w:p w:rsidR="008572B3" w:rsidRPr="0099742C" w:rsidRDefault="008572B3" w:rsidP="008572B3">
      <w:pPr>
        <w:pStyle w:val="Heading3"/>
        <w:widowControl w:val="0"/>
        <w:tabs>
          <w:tab w:val="clear" w:pos="2955"/>
          <w:tab w:val="num" w:pos="0"/>
        </w:tabs>
        <w:ind w:left="2160"/>
      </w:pPr>
      <w:r w:rsidRPr="0099742C">
        <w:t>Incremental operating costs for projects in the air</w:t>
      </w:r>
      <w:r>
        <w:t>-</w:t>
      </w:r>
      <w:r w:rsidRPr="0099742C">
        <w:t xml:space="preserve">conditioning sub-sector will be considered at US $6.30/metric kg of </w:t>
      </w:r>
      <w:smartTag w:uri="urn:schemas-microsoft-com:office:smarttags" w:element="stockticker">
        <w:r w:rsidRPr="0099742C">
          <w:t>HCFC</w:t>
        </w:r>
      </w:smartTag>
      <w:r w:rsidRPr="0099742C">
        <w:t xml:space="preserve"> consumption to be phased out at the manufacturing enterprise; </w:t>
      </w:r>
    </w:p>
    <w:p w:rsidR="008572B3" w:rsidRPr="0099742C" w:rsidRDefault="008572B3" w:rsidP="008572B3">
      <w:pPr>
        <w:pStyle w:val="Heading3"/>
        <w:keepNext/>
        <w:tabs>
          <w:tab w:val="clear" w:pos="2955"/>
          <w:tab w:val="num" w:pos="0"/>
        </w:tabs>
        <w:ind w:left="2160"/>
      </w:pPr>
      <w:r w:rsidRPr="0099742C">
        <w:t>Incremental operating costs for projects in the commercial refrigeration sub</w:t>
      </w:r>
      <w:r w:rsidRPr="0099742C">
        <w:noBreakHyphen/>
        <w:t xml:space="preserve">sector will be considered at US $3.80/metric kg of </w:t>
      </w:r>
      <w:smartTag w:uri="urn:schemas-microsoft-com:office:smarttags" w:element="stockticker">
        <w:r w:rsidRPr="0099742C">
          <w:t>HCFC</w:t>
        </w:r>
      </w:smartTag>
      <w:r w:rsidRPr="0099742C">
        <w:t xml:space="preserve"> consumption to be phased out at the manufacturing enterprise; </w:t>
      </w:r>
    </w:p>
    <w:p w:rsidR="008572B3" w:rsidRPr="0099742C" w:rsidRDefault="008572B3" w:rsidP="008572B3">
      <w:pPr>
        <w:pStyle w:val="Heading3"/>
        <w:widowControl w:val="0"/>
        <w:tabs>
          <w:tab w:val="clear" w:pos="2955"/>
          <w:tab w:val="num" w:pos="0"/>
        </w:tabs>
        <w:ind w:left="2160"/>
      </w:pPr>
      <w:r w:rsidRPr="0099742C">
        <w:t>Consistent with decision 31/45</w:t>
      </w:r>
      <w:r>
        <w:t xml:space="preserve"> of the Executive Committee</w:t>
      </w:r>
      <w:r w:rsidRPr="0099742C">
        <w:t>, incremental operating costs will not be considered for enterprises categorized under the refrigeration equipment assembly, installation and charging sub-sector;</w:t>
      </w:r>
    </w:p>
    <w:p w:rsidR="008572B3" w:rsidRPr="0099742C" w:rsidRDefault="008572B3" w:rsidP="008572B3">
      <w:pPr>
        <w:pStyle w:val="Heading3"/>
        <w:numPr>
          <w:ilvl w:val="0"/>
          <w:numId w:val="0"/>
        </w:numPr>
        <w:ind w:left="2160" w:hanging="720"/>
        <w:rPr>
          <w:u w:val="single"/>
        </w:rPr>
      </w:pPr>
      <w:smartTag w:uri="urn:schemas-microsoft-com:office:smarttags" w:element="stockticker">
        <w:r w:rsidRPr="0099742C">
          <w:rPr>
            <w:u w:val="single"/>
          </w:rPr>
          <w:t>HCFC</w:t>
        </w:r>
      </w:smartTag>
      <w:r w:rsidRPr="0099742C">
        <w:rPr>
          <w:u w:val="single"/>
        </w:rPr>
        <w:t xml:space="preserve"> phase-out in the refrigeration servicing sector</w:t>
      </w:r>
    </w:p>
    <w:p w:rsidR="008572B3" w:rsidRPr="0099742C" w:rsidRDefault="008572B3" w:rsidP="008572B3">
      <w:pPr>
        <w:pStyle w:val="Heading3"/>
        <w:widowControl w:val="0"/>
        <w:tabs>
          <w:tab w:val="clear" w:pos="2955"/>
          <w:tab w:val="num" w:pos="0"/>
        </w:tabs>
        <w:ind w:left="2160"/>
      </w:pPr>
      <w:r w:rsidRPr="0099742C">
        <w:t xml:space="preserve">Article 5 countries that have total </w:t>
      </w:r>
      <w:smartTag w:uri="urn:schemas-microsoft-com:office:smarttags" w:element="stockticker">
        <w:r w:rsidRPr="0099742C">
          <w:t>HCFC</w:t>
        </w:r>
      </w:smartTag>
      <w:r w:rsidRPr="0099742C">
        <w:t xml:space="preserve"> consumption of up to 360 metric tonnes must include in their HPMP, as a minimum:</w:t>
      </w:r>
    </w:p>
    <w:p w:rsidR="008572B3" w:rsidRDefault="008572B3" w:rsidP="008572B3">
      <w:pPr>
        <w:pStyle w:val="Header4"/>
        <w:numPr>
          <w:ilvl w:val="0"/>
          <w:numId w:val="26"/>
        </w:numPr>
        <w:tabs>
          <w:tab w:val="clear" w:pos="3600"/>
          <w:tab w:val="clear" w:pos="5760"/>
          <w:tab w:val="num" w:pos="2880"/>
        </w:tabs>
        <w:ind w:left="2880" w:hanging="720"/>
      </w:pPr>
      <w:r w:rsidRPr="00812314">
        <w:t xml:space="preserve">A commitment to meeting, without further requests for funding, at least the freeze in 2013 and the 10 per cent reduction step in 2015, and if the country so decides, the 35 per cent reduction step in 2020. This shall include a commitment by the country to restrict imports of </w:t>
      </w:r>
      <w:smartTag w:uri="urn:schemas-microsoft-com:office:smarttags" w:element="stockticker">
        <w:r w:rsidRPr="00812314">
          <w:t>HCFC</w:t>
        </w:r>
      </w:smartTag>
      <w:r w:rsidRPr="00812314">
        <w:t>-based equipment if necessary to achieve compliance with the reduction steps and to support relevant phase-out activities;</w:t>
      </w:r>
    </w:p>
    <w:p w:rsidR="008572B3" w:rsidRPr="002B4BC8" w:rsidRDefault="008572B3" w:rsidP="008572B3">
      <w:pPr>
        <w:pStyle w:val="Header4"/>
        <w:numPr>
          <w:ilvl w:val="0"/>
          <w:numId w:val="26"/>
        </w:numPr>
        <w:tabs>
          <w:tab w:val="clear" w:pos="3600"/>
          <w:tab w:val="clear" w:pos="5760"/>
          <w:tab w:val="num" w:pos="2880"/>
        </w:tabs>
        <w:ind w:left="2880" w:hanging="810"/>
      </w:pPr>
      <w:r w:rsidRPr="002B4BC8">
        <w:t>Mandatory reporting, by the time funding tranches for the HPMP are requested, on the implementation of activities undertaken in the refrigeration servicing sector and in the manufacturing sector when applicable, in the previous year, as well as a thorough and comprehensive annual work plan for the implementation</w:t>
      </w:r>
      <w:r w:rsidRPr="0099742C">
        <w:rPr>
          <w:b/>
          <w:i/>
        </w:rPr>
        <w:t xml:space="preserve"> </w:t>
      </w:r>
      <w:r w:rsidRPr="002B4BC8">
        <w:t>of the following activities associated with the next tranche;</w:t>
      </w:r>
    </w:p>
    <w:p w:rsidR="008572B3" w:rsidRPr="002B4BC8" w:rsidRDefault="008572B3" w:rsidP="008572B3">
      <w:pPr>
        <w:pStyle w:val="Header4"/>
        <w:numPr>
          <w:ilvl w:val="0"/>
          <w:numId w:val="26"/>
        </w:numPr>
        <w:tabs>
          <w:tab w:val="clear" w:pos="3600"/>
          <w:tab w:val="clear" w:pos="5760"/>
          <w:tab w:val="num" w:pos="2880"/>
        </w:tabs>
        <w:ind w:left="2880" w:hanging="810"/>
      </w:pPr>
      <w:r w:rsidRPr="002B4BC8">
        <w:t xml:space="preserve">A description of the roles and responsibilities of major stakeholders, as well as the lead implementing agency and the cooperating agencies, </w:t>
      </w:r>
      <w:r w:rsidRPr="002B4BC8">
        <w:lastRenderedPageBreak/>
        <w:t>where applicable;</w:t>
      </w:r>
    </w:p>
    <w:p w:rsidR="008572B3" w:rsidRPr="0099742C" w:rsidRDefault="008572B3" w:rsidP="008572B3">
      <w:pPr>
        <w:pStyle w:val="Heading3"/>
        <w:widowControl w:val="0"/>
        <w:tabs>
          <w:tab w:val="clear" w:pos="2955"/>
          <w:tab w:val="num" w:pos="0"/>
        </w:tabs>
        <w:ind w:left="2160"/>
      </w:pPr>
      <w:r w:rsidRPr="0099742C">
        <w:t xml:space="preserve">Article 5 countries that have total </w:t>
      </w:r>
      <w:smartTag w:uri="urn:schemas-microsoft-com:office:smarttags" w:element="stockticker">
        <w:r w:rsidRPr="0099742C">
          <w:t>HCFC</w:t>
        </w:r>
      </w:smartTag>
      <w:r w:rsidRPr="0099742C">
        <w:t xml:space="preserve"> consumption of up to 360 metric tonnes will be provided funding consistent with the level of consumption in the refrigeration servicing sector as shown in the table below, on the understanding that project proposals will still need to demonstrate that the funding level is necessary to achieve the 2013 and 2015 phase-out targets, and if the country so decides, the 2020 phase-out targets: </w:t>
      </w:r>
    </w:p>
    <w:tbl>
      <w:tblPr>
        <w:tblW w:w="7740" w:type="dxa"/>
        <w:tblInd w:w="1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0"/>
        <w:gridCol w:w="2580"/>
        <w:gridCol w:w="2580"/>
      </w:tblGrid>
      <w:tr w:rsidR="008572B3" w:rsidRPr="0099742C" w:rsidTr="008572B3">
        <w:tc>
          <w:tcPr>
            <w:tcW w:w="2580" w:type="dxa"/>
            <w:shd w:val="clear" w:color="auto" w:fill="auto"/>
            <w:noWrap/>
            <w:tcMar>
              <w:left w:w="144" w:type="dxa"/>
              <w:right w:w="0" w:type="dxa"/>
            </w:tcMar>
            <w:vAlign w:val="center"/>
          </w:tcPr>
          <w:p w:rsidR="008572B3" w:rsidRPr="006201AB" w:rsidRDefault="008572B3" w:rsidP="008572B3">
            <w:pPr>
              <w:jc w:val="left"/>
              <w:rPr>
                <w:b/>
                <w:bCs/>
                <w:sz w:val="21"/>
                <w:szCs w:val="21"/>
                <w:lang w:val="en-US"/>
              </w:rPr>
            </w:pPr>
            <w:r w:rsidRPr="006201AB">
              <w:rPr>
                <w:b/>
                <w:bCs/>
                <w:sz w:val="21"/>
                <w:szCs w:val="21"/>
                <w:lang w:val="en-US"/>
              </w:rPr>
              <w:t>Consumption (</w:t>
            </w:r>
            <w:r>
              <w:rPr>
                <w:b/>
                <w:bCs/>
                <w:sz w:val="21"/>
                <w:szCs w:val="21"/>
                <w:lang w:val="en-US"/>
              </w:rPr>
              <w:t>mt</w:t>
            </w:r>
            <w:r w:rsidRPr="006201AB">
              <w:rPr>
                <w:b/>
                <w:bCs/>
                <w:sz w:val="21"/>
                <w:szCs w:val="21"/>
                <w:lang w:val="en-US"/>
              </w:rPr>
              <w:t>)*</w:t>
            </w:r>
          </w:p>
        </w:tc>
        <w:tc>
          <w:tcPr>
            <w:tcW w:w="2580" w:type="dxa"/>
            <w:shd w:val="clear" w:color="auto" w:fill="auto"/>
            <w:noWrap/>
            <w:tcMar>
              <w:left w:w="0" w:type="dxa"/>
              <w:right w:w="0" w:type="dxa"/>
            </w:tcMar>
            <w:vAlign w:val="center"/>
          </w:tcPr>
          <w:p w:rsidR="008572B3" w:rsidRPr="006201AB" w:rsidRDefault="008572B3" w:rsidP="008572B3">
            <w:pPr>
              <w:jc w:val="center"/>
              <w:rPr>
                <w:b/>
                <w:bCs/>
                <w:sz w:val="21"/>
                <w:szCs w:val="21"/>
                <w:lang w:val="en-US"/>
              </w:rPr>
            </w:pPr>
            <w:r w:rsidRPr="006201AB">
              <w:rPr>
                <w:b/>
                <w:bCs/>
                <w:sz w:val="21"/>
                <w:szCs w:val="21"/>
                <w:lang w:val="en-US"/>
              </w:rPr>
              <w:t>Funding up to 2015 (US</w:t>
            </w:r>
            <w:r>
              <w:rPr>
                <w:b/>
                <w:bCs/>
                <w:sz w:val="21"/>
                <w:szCs w:val="21"/>
                <w:lang w:val="en-US"/>
              </w:rPr>
              <w:t> </w:t>
            </w:r>
            <w:r w:rsidRPr="006201AB">
              <w:rPr>
                <w:b/>
                <w:bCs/>
                <w:sz w:val="21"/>
                <w:szCs w:val="21"/>
                <w:lang w:val="en-US"/>
              </w:rPr>
              <w:t>$)</w:t>
            </w:r>
          </w:p>
        </w:tc>
        <w:tc>
          <w:tcPr>
            <w:tcW w:w="2580" w:type="dxa"/>
            <w:shd w:val="clear" w:color="auto" w:fill="auto"/>
            <w:noWrap/>
            <w:tcMar>
              <w:left w:w="0" w:type="dxa"/>
              <w:right w:w="0" w:type="dxa"/>
            </w:tcMar>
            <w:vAlign w:val="center"/>
          </w:tcPr>
          <w:p w:rsidR="008572B3" w:rsidRPr="006201AB" w:rsidRDefault="008572B3" w:rsidP="008572B3">
            <w:pPr>
              <w:jc w:val="center"/>
              <w:rPr>
                <w:b/>
                <w:bCs/>
                <w:sz w:val="21"/>
                <w:szCs w:val="21"/>
                <w:lang w:val="en-US"/>
              </w:rPr>
            </w:pPr>
            <w:r w:rsidRPr="006201AB">
              <w:rPr>
                <w:b/>
                <w:bCs/>
                <w:sz w:val="21"/>
                <w:szCs w:val="21"/>
                <w:lang w:val="en-US"/>
              </w:rPr>
              <w:t>Funding up to 2020 (US</w:t>
            </w:r>
            <w:r>
              <w:rPr>
                <w:b/>
                <w:bCs/>
                <w:sz w:val="21"/>
                <w:szCs w:val="21"/>
                <w:lang w:val="en-US"/>
              </w:rPr>
              <w:t> </w:t>
            </w:r>
            <w:r w:rsidRPr="006201AB">
              <w:rPr>
                <w:b/>
                <w:bCs/>
                <w:sz w:val="21"/>
                <w:szCs w:val="21"/>
                <w:lang w:val="en-US"/>
              </w:rPr>
              <w:t>$)</w:t>
            </w:r>
          </w:p>
        </w:tc>
      </w:tr>
      <w:tr w:rsidR="008572B3" w:rsidRPr="0099742C" w:rsidTr="008572B3">
        <w:tc>
          <w:tcPr>
            <w:tcW w:w="2580" w:type="dxa"/>
            <w:shd w:val="clear" w:color="auto" w:fill="auto"/>
            <w:noWrap/>
            <w:tcMar>
              <w:left w:w="576" w:type="dxa"/>
              <w:right w:w="115" w:type="dxa"/>
            </w:tcMar>
            <w:vAlign w:val="bottom"/>
          </w:tcPr>
          <w:p w:rsidR="008572B3" w:rsidRPr="006201AB" w:rsidRDefault="008572B3" w:rsidP="008572B3">
            <w:pPr>
              <w:jc w:val="left"/>
              <w:rPr>
                <w:sz w:val="21"/>
                <w:szCs w:val="21"/>
                <w:lang w:val="en-US"/>
              </w:rPr>
            </w:pPr>
            <w:r w:rsidRPr="006201AB">
              <w:rPr>
                <w:sz w:val="21"/>
                <w:szCs w:val="21"/>
                <w:lang w:val="en-US"/>
              </w:rPr>
              <w:t>&gt;0 &lt;15</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51,700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164,500</w:t>
            </w:r>
          </w:p>
        </w:tc>
      </w:tr>
      <w:tr w:rsidR="008572B3" w:rsidRPr="0099742C" w:rsidTr="008572B3">
        <w:tc>
          <w:tcPr>
            <w:tcW w:w="2580" w:type="dxa"/>
            <w:shd w:val="clear" w:color="auto" w:fill="auto"/>
            <w:noWrap/>
            <w:tcMar>
              <w:left w:w="576" w:type="dxa"/>
              <w:right w:w="115" w:type="dxa"/>
            </w:tcMar>
            <w:vAlign w:val="bottom"/>
          </w:tcPr>
          <w:p w:rsidR="008572B3" w:rsidRPr="006201AB" w:rsidRDefault="008572B3" w:rsidP="008572B3">
            <w:pPr>
              <w:jc w:val="left"/>
              <w:rPr>
                <w:sz w:val="21"/>
                <w:szCs w:val="21"/>
                <w:lang w:val="en-US"/>
              </w:rPr>
            </w:pPr>
            <w:r w:rsidRPr="006201AB">
              <w:rPr>
                <w:sz w:val="21"/>
                <w:szCs w:val="21"/>
                <w:lang w:val="en-US"/>
              </w:rPr>
              <w:t>15 &lt;40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66,000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210,000</w:t>
            </w:r>
          </w:p>
        </w:tc>
      </w:tr>
      <w:tr w:rsidR="008572B3" w:rsidRPr="0099742C" w:rsidTr="008572B3">
        <w:tc>
          <w:tcPr>
            <w:tcW w:w="2580" w:type="dxa"/>
            <w:shd w:val="clear" w:color="auto" w:fill="auto"/>
            <w:noWrap/>
            <w:tcMar>
              <w:left w:w="576" w:type="dxa"/>
              <w:right w:w="115" w:type="dxa"/>
            </w:tcMar>
            <w:vAlign w:val="bottom"/>
          </w:tcPr>
          <w:p w:rsidR="008572B3" w:rsidRPr="006201AB" w:rsidRDefault="008572B3" w:rsidP="008572B3">
            <w:pPr>
              <w:jc w:val="left"/>
              <w:rPr>
                <w:sz w:val="21"/>
                <w:szCs w:val="21"/>
                <w:lang w:val="en-US"/>
              </w:rPr>
            </w:pPr>
            <w:r w:rsidRPr="006201AB">
              <w:rPr>
                <w:sz w:val="21"/>
                <w:szCs w:val="21"/>
                <w:lang w:val="en-US"/>
              </w:rPr>
              <w:t>40 &lt;80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88,000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280,000</w:t>
            </w:r>
          </w:p>
        </w:tc>
      </w:tr>
      <w:tr w:rsidR="008572B3" w:rsidRPr="0099742C" w:rsidTr="008572B3">
        <w:tc>
          <w:tcPr>
            <w:tcW w:w="2580" w:type="dxa"/>
            <w:shd w:val="clear" w:color="auto" w:fill="auto"/>
            <w:noWrap/>
            <w:tcMar>
              <w:left w:w="576" w:type="dxa"/>
              <w:right w:w="115" w:type="dxa"/>
            </w:tcMar>
            <w:vAlign w:val="bottom"/>
          </w:tcPr>
          <w:p w:rsidR="008572B3" w:rsidRPr="006201AB" w:rsidRDefault="008572B3" w:rsidP="008572B3">
            <w:pPr>
              <w:jc w:val="left"/>
              <w:rPr>
                <w:sz w:val="21"/>
                <w:szCs w:val="21"/>
                <w:lang w:val="en-US"/>
              </w:rPr>
            </w:pPr>
            <w:r w:rsidRPr="006201AB">
              <w:rPr>
                <w:sz w:val="21"/>
                <w:szCs w:val="21"/>
                <w:lang w:val="en-US"/>
              </w:rPr>
              <w:t>80 &lt;120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99,000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315,000</w:t>
            </w:r>
          </w:p>
        </w:tc>
      </w:tr>
      <w:tr w:rsidR="008572B3" w:rsidRPr="0099742C" w:rsidTr="008572B3">
        <w:tc>
          <w:tcPr>
            <w:tcW w:w="2580" w:type="dxa"/>
            <w:shd w:val="clear" w:color="auto" w:fill="auto"/>
            <w:noWrap/>
            <w:tcMar>
              <w:left w:w="576" w:type="dxa"/>
              <w:right w:w="115" w:type="dxa"/>
            </w:tcMar>
            <w:vAlign w:val="bottom"/>
          </w:tcPr>
          <w:p w:rsidR="008572B3" w:rsidRPr="006201AB" w:rsidRDefault="008572B3" w:rsidP="008572B3">
            <w:pPr>
              <w:jc w:val="left"/>
              <w:rPr>
                <w:sz w:val="21"/>
                <w:szCs w:val="21"/>
                <w:lang w:val="en-US"/>
              </w:rPr>
            </w:pPr>
            <w:r w:rsidRPr="006201AB">
              <w:rPr>
                <w:sz w:val="21"/>
                <w:szCs w:val="21"/>
                <w:lang w:val="en-US"/>
              </w:rPr>
              <w:t>120 &lt;160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104,500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332,500</w:t>
            </w:r>
          </w:p>
        </w:tc>
      </w:tr>
      <w:tr w:rsidR="008572B3" w:rsidRPr="0099742C" w:rsidTr="008572B3">
        <w:tc>
          <w:tcPr>
            <w:tcW w:w="2580" w:type="dxa"/>
            <w:shd w:val="clear" w:color="auto" w:fill="auto"/>
            <w:noWrap/>
            <w:tcMar>
              <w:left w:w="576" w:type="dxa"/>
              <w:right w:w="115" w:type="dxa"/>
            </w:tcMar>
            <w:vAlign w:val="bottom"/>
          </w:tcPr>
          <w:p w:rsidR="008572B3" w:rsidRPr="006201AB" w:rsidRDefault="008572B3" w:rsidP="008572B3">
            <w:pPr>
              <w:jc w:val="left"/>
              <w:rPr>
                <w:sz w:val="21"/>
                <w:szCs w:val="21"/>
                <w:lang w:val="en-US"/>
              </w:rPr>
            </w:pPr>
            <w:r w:rsidRPr="006201AB">
              <w:rPr>
                <w:sz w:val="21"/>
                <w:szCs w:val="21"/>
                <w:lang w:val="en-US"/>
              </w:rPr>
              <w:t>160 &lt;200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110,000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350,000</w:t>
            </w:r>
          </w:p>
        </w:tc>
      </w:tr>
      <w:tr w:rsidR="008572B3" w:rsidRPr="0099742C" w:rsidTr="008572B3">
        <w:tc>
          <w:tcPr>
            <w:tcW w:w="2580" w:type="dxa"/>
            <w:shd w:val="clear" w:color="auto" w:fill="auto"/>
            <w:noWrap/>
            <w:tcMar>
              <w:left w:w="576" w:type="dxa"/>
              <w:right w:w="115" w:type="dxa"/>
            </w:tcMar>
            <w:vAlign w:val="bottom"/>
          </w:tcPr>
          <w:p w:rsidR="008572B3" w:rsidRPr="006201AB" w:rsidRDefault="008572B3" w:rsidP="008572B3">
            <w:pPr>
              <w:jc w:val="left"/>
              <w:rPr>
                <w:sz w:val="21"/>
                <w:szCs w:val="21"/>
                <w:lang w:val="en-US"/>
              </w:rPr>
            </w:pPr>
            <w:r w:rsidRPr="006201AB">
              <w:rPr>
                <w:sz w:val="21"/>
                <w:szCs w:val="21"/>
                <w:lang w:val="en-US"/>
              </w:rPr>
              <w:t>200 &lt;320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176,000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560,000</w:t>
            </w:r>
          </w:p>
        </w:tc>
      </w:tr>
      <w:tr w:rsidR="008572B3" w:rsidRPr="0099742C" w:rsidTr="008572B3">
        <w:tc>
          <w:tcPr>
            <w:tcW w:w="2580" w:type="dxa"/>
            <w:shd w:val="clear" w:color="auto" w:fill="auto"/>
            <w:noWrap/>
            <w:tcMar>
              <w:left w:w="576" w:type="dxa"/>
              <w:right w:w="115" w:type="dxa"/>
            </w:tcMar>
            <w:vAlign w:val="bottom"/>
          </w:tcPr>
          <w:p w:rsidR="008572B3" w:rsidRPr="006201AB" w:rsidRDefault="008572B3" w:rsidP="008572B3">
            <w:pPr>
              <w:jc w:val="left"/>
              <w:rPr>
                <w:sz w:val="21"/>
                <w:szCs w:val="21"/>
                <w:lang w:val="en-US"/>
              </w:rPr>
            </w:pPr>
            <w:r w:rsidRPr="006201AB">
              <w:rPr>
                <w:sz w:val="21"/>
                <w:szCs w:val="21"/>
                <w:lang w:val="en-US"/>
              </w:rPr>
              <w:t>320 &lt;360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198,000</w:t>
            </w:r>
          </w:p>
        </w:tc>
        <w:tc>
          <w:tcPr>
            <w:tcW w:w="2580" w:type="dxa"/>
            <w:shd w:val="clear" w:color="auto" w:fill="auto"/>
            <w:noWrap/>
            <w:tcMar>
              <w:left w:w="115" w:type="dxa"/>
              <w:right w:w="576" w:type="dxa"/>
            </w:tcMar>
            <w:vAlign w:val="bottom"/>
          </w:tcPr>
          <w:p w:rsidR="008572B3" w:rsidRPr="006201AB" w:rsidRDefault="008572B3" w:rsidP="008572B3">
            <w:pPr>
              <w:jc w:val="right"/>
              <w:rPr>
                <w:sz w:val="21"/>
                <w:szCs w:val="21"/>
                <w:lang w:val="en-US"/>
              </w:rPr>
            </w:pPr>
            <w:r w:rsidRPr="006201AB">
              <w:rPr>
                <w:sz w:val="21"/>
                <w:szCs w:val="21"/>
                <w:lang w:val="en-US"/>
              </w:rPr>
              <w:t>630,000</w:t>
            </w:r>
          </w:p>
        </w:tc>
      </w:tr>
    </w:tbl>
    <w:p w:rsidR="008572B3" w:rsidRPr="0099742C" w:rsidRDefault="008572B3" w:rsidP="008572B3">
      <w:r w:rsidRPr="0099742C">
        <w:tab/>
      </w:r>
      <w:r w:rsidRPr="0099742C">
        <w:tab/>
        <w:t>(*) Level of baseline HCFC consumption in the refrigeration servicing sector</w:t>
      </w:r>
    </w:p>
    <w:p w:rsidR="008572B3" w:rsidRPr="0099742C" w:rsidRDefault="008572B3" w:rsidP="008572B3"/>
    <w:p w:rsidR="008572B3" w:rsidRPr="0099742C" w:rsidRDefault="008572B3" w:rsidP="008572B3">
      <w:pPr>
        <w:pStyle w:val="Heading3"/>
        <w:widowControl w:val="0"/>
        <w:tabs>
          <w:tab w:val="clear" w:pos="2955"/>
          <w:tab w:val="num" w:pos="0"/>
        </w:tabs>
        <w:ind w:left="2160"/>
      </w:pPr>
      <w:r w:rsidRPr="0099742C">
        <w:t xml:space="preserve">Article 5 countries that have total </w:t>
      </w:r>
      <w:smartTag w:uri="urn:schemas-microsoft-com:office:smarttags" w:element="stockticker">
        <w:r w:rsidRPr="0099742C">
          <w:t>HCFC</w:t>
        </w:r>
      </w:smartTag>
      <w:r w:rsidRPr="0099742C">
        <w:t xml:space="preserve"> consumption of up to 360 metric tonnes and that receive funding consistent with the above table, will have flexibility in utilizing the resources available to address specific needs that might arise during project implementation to facilitate the smoothest possible phase-out of HCFCs;</w:t>
      </w:r>
    </w:p>
    <w:p w:rsidR="008572B3" w:rsidRPr="0099742C" w:rsidRDefault="008572B3" w:rsidP="008572B3">
      <w:pPr>
        <w:pStyle w:val="Heading3"/>
        <w:widowControl w:val="0"/>
        <w:tabs>
          <w:tab w:val="clear" w:pos="2955"/>
          <w:tab w:val="num" w:pos="0"/>
        </w:tabs>
        <w:ind w:left="2160"/>
      </w:pPr>
      <w:r w:rsidRPr="0099742C">
        <w:t xml:space="preserve">Article 5 countries that have total </w:t>
      </w:r>
      <w:smartTag w:uri="urn:schemas-microsoft-com:office:smarttags" w:element="stockticker">
        <w:r w:rsidRPr="0099742C">
          <w:t>HCFC</w:t>
        </w:r>
      </w:smartTag>
      <w:r w:rsidRPr="0099742C">
        <w:t xml:space="preserve"> consumption of up to 360 metric tonnes, used in both the manufacturing and refrigeration servicing sectors, could submit </w:t>
      </w:r>
      <w:smartTag w:uri="urn:schemas-microsoft-com:office:smarttags" w:element="stockticker">
        <w:r w:rsidRPr="0099742C">
          <w:t>HCFC</w:t>
        </w:r>
      </w:smartTag>
      <w:r w:rsidRPr="0099742C">
        <w:t xml:space="preserve"> phase-out investment projects in accordance </w:t>
      </w:r>
      <w:r>
        <w:t>with</w:t>
      </w:r>
      <w:r w:rsidRPr="0099742C">
        <w:t xml:space="preserve"> prevailing policies and decisions of the Multilateral Fund, in addition to funding for addressing </w:t>
      </w:r>
      <w:smartTag w:uri="urn:schemas-microsoft-com:office:smarttags" w:element="stockticker">
        <w:r w:rsidRPr="0099742C">
          <w:t>HCFC</w:t>
        </w:r>
      </w:smartTag>
      <w:r w:rsidRPr="0099742C">
        <w:t xml:space="preserve"> consumption in the servicing sector;</w:t>
      </w:r>
    </w:p>
    <w:p w:rsidR="008572B3" w:rsidRPr="0099742C" w:rsidRDefault="008572B3" w:rsidP="008572B3">
      <w:pPr>
        <w:pStyle w:val="Heading3"/>
        <w:widowControl w:val="0"/>
        <w:tabs>
          <w:tab w:val="clear" w:pos="2955"/>
          <w:tab w:val="num" w:pos="0"/>
        </w:tabs>
        <w:ind w:left="2160"/>
        <w:rPr>
          <w:u w:val="single"/>
        </w:rPr>
      </w:pPr>
      <w:r w:rsidRPr="0099742C">
        <w:t xml:space="preserve">Article 5 countries that have total </w:t>
      </w:r>
      <w:smartTag w:uri="urn:schemas-microsoft-com:office:smarttags" w:element="stockticker">
        <w:r w:rsidRPr="0099742C">
          <w:t>HCFC</w:t>
        </w:r>
      </w:smartTag>
      <w:r w:rsidRPr="0099742C">
        <w:t xml:space="preserve"> consumption above 360 metric tonnes should first address consumption in the manufacturing sector to meet the reduction steps in 2013 and 2015. However, if such countries clearly demonstrate that they require assistance in the refrigeration servicing sector to comply with these targets, funding for these activities, such as training, will be calculated at US$4.50/metric kg, which will be deducted from their starting point for aggregate reductions in </w:t>
      </w:r>
      <w:smartTag w:uri="urn:schemas-microsoft-com:office:smarttags" w:element="stockticker">
        <w:r w:rsidRPr="0099742C">
          <w:t>HCFC</w:t>
        </w:r>
      </w:smartTag>
      <w:r w:rsidRPr="0099742C">
        <w:t xml:space="preserve"> consumption.</w:t>
      </w:r>
    </w:p>
    <w:p w:rsidR="008572B3" w:rsidRPr="0099742C" w:rsidRDefault="008572B3" w:rsidP="001A5222">
      <w:pPr>
        <w:widowControl w:val="0"/>
        <w:ind w:left="720" w:firstLine="720"/>
        <w:rPr>
          <w:u w:val="single"/>
        </w:rPr>
      </w:pPr>
      <w:smartTag w:uri="urn:schemas-microsoft-com:office:smarttags" w:element="stockticker">
        <w:r w:rsidRPr="0099742C">
          <w:rPr>
            <w:u w:val="single"/>
          </w:rPr>
          <w:t>HCFC</w:t>
        </w:r>
      </w:smartTag>
      <w:r w:rsidRPr="0099742C">
        <w:rPr>
          <w:u w:val="single"/>
        </w:rPr>
        <w:t xml:space="preserve"> phase-out in the aerosol, fire extinguisher and solvent sectors</w:t>
      </w:r>
    </w:p>
    <w:p w:rsidR="008572B3" w:rsidRPr="0099742C" w:rsidRDefault="008572B3" w:rsidP="001A5222">
      <w:pPr>
        <w:pStyle w:val="0Heading0"/>
        <w:widowControl w:val="0"/>
      </w:pPr>
    </w:p>
    <w:p w:rsidR="008572B3" w:rsidRDefault="008572B3" w:rsidP="001A5222">
      <w:pPr>
        <w:pStyle w:val="Heading3"/>
        <w:widowControl w:val="0"/>
        <w:tabs>
          <w:tab w:val="clear" w:pos="2955"/>
          <w:tab w:val="num" w:pos="0"/>
        </w:tabs>
        <w:ind w:left="2160"/>
      </w:pPr>
      <w:r w:rsidRPr="0099742C">
        <w:t xml:space="preserve">The eligibility of incremental capital and operating costs for </w:t>
      </w:r>
      <w:smartTag w:uri="urn:schemas-microsoft-com:office:smarttags" w:element="stockticker">
        <w:r w:rsidRPr="0099742C">
          <w:t>HCFC</w:t>
        </w:r>
      </w:smartTag>
      <w:r w:rsidRPr="0099742C">
        <w:t xml:space="preserve"> phase</w:t>
      </w:r>
      <w:r w:rsidRPr="0099742C">
        <w:noBreakHyphen/>
        <w:t>out projects in the aerosol, fire extinguisher and solvent sectors will be considered on a case-by-case basis.</w:t>
      </w:r>
    </w:p>
    <w:p w:rsidR="008572B3" w:rsidRPr="00631DD2" w:rsidRDefault="008572B3" w:rsidP="001A5222">
      <w:pPr>
        <w:widowControl w:val="0"/>
        <w:autoSpaceDE w:val="0"/>
        <w:autoSpaceDN w:val="0"/>
        <w:adjustRightInd w:val="0"/>
        <w:spacing w:after="240"/>
        <w:rPr>
          <w:b/>
          <w:lang w:val="en-US"/>
        </w:rPr>
      </w:pPr>
      <w:r w:rsidRPr="00631DD2">
        <w:rPr>
          <w:b/>
          <w:lang w:val="en-US"/>
        </w:rPr>
        <w:t xml:space="preserve">Decision 62/12: </w:t>
      </w:r>
      <w:r w:rsidRPr="00631DD2">
        <w:rPr>
          <w:b/>
          <w:iCs/>
        </w:rPr>
        <w:t xml:space="preserve">Prioritization of HCFCs </w:t>
      </w:r>
      <w:r w:rsidRPr="00631DD2">
        <w:rPr>
          <w:b/>
          <w:lang w:val="en-US"/>
        </w:rPr>
        <w:t>(stage I of HPMPs)</w:t>
      </w:r>
    </w:p>
    <w:p w:rsidR="008572B3" w:rsidRPr="00631DD2" w:rsidRDefault="008572B3" w:rsidP="001A5222">
      <w:pPr>
        <w:pStyle w:val="Heading1"/>
        <w:widowControl w:val="0"/>
        <w:numPr>
          <w:ilvl w:val="0"/>
          <w:numId w:val="56"/>
        </w:numPr>
      </w:pPr>
      <w:r w:rsidRPr="00880994">
        <w:t xml:space="preserve">After hearing the report of the contact group and noting that project proposals for HCFCs with </w:t>
      </w:r>
      <w:smartTag w:uri="urn:schemas-microsoft-com:office:smarttags" w:element="stockticker">
        <w:r w:rsidRPr="00880994">
          <w:t>ODP</w:t>
        </w:r>
      </w:smartTag>
      <w:r w:rsidRPr="00880994">
        <w:t xml:space="preserve"> lower than </w:t>
      </w:r>
      <w:smartTag w:uri="urn:schemas-microsoft-com:office:smarttags" w:element="stockticker">
        <w:r w:rsidRPr="00880994">
          <w:t>HCFC</w:t>
        </w:r>
      </w:smartTag>
      <w:r w:rsidRPr="00880994">
        <w:t xml:space="preserve">-141b could be considered where national circumstances and priorities required their submission in order to comply with the 2013 and 2015 control measures as requested by decision 59/11, the Executive Committee </w:t>
      </w:r>
      <w:r w:rsidRPr="008572B3">
        <w:rPr>
          <w:u w:val="single"/>
        </w:rPr>
        <w:t>decided</w:t>
      </w:r>
      <w:r w:rsidRPr="00631DD2">
        <w:t>:</w:t>
      </w:r>
    </w:p>
    <w:p w:rsidR="008572B3" w:rsidRDefault="008572B3" w:rsidP="008572B3">
      <w:pPr>
        <w:pStyle w:val="Heading2"/>
        <w:keepNext/>
        <w:widowControl/>
        <w:numPr>
          <w:ilvl w:val="1"/>
          <w:numId w:val="24"/>
        </w:numPr>
        <w:tabs>
          <w:tab w:val="clear" w:pos="720"/>
          <w:tab w:val="num" w:pos="0"/>
        </w:tabs>
        <w:ind w:left="1440"/>
        <w:rPr>
          <w:lang w:val="en-US"/>
        </w:rPr>
      </w:pPr>
      <w:r w:rsidRPr="00993BB2">
        <w:rPr>
          <w:lang w:val="en-US"/>
        </w:rPr>
        <w:lastRenderedPageBreak/>
        <w:t>To request bilateral and implementing agencies, when submitting activities to phase out HCFC-22 used in the manuf</w:t>
      </w:r>
      <w:r>
        <w:rPr>
          <w:lang w:val="en-US"/>
        </w:rPr>
        <w:t>acture of refrigeration and air-</w:t>
      </w:r>
      <w:r w:rsidRPr="00993BB2">
        <w:rPr>
          <w:lang w:val="en-US"/>
        </w:rPr>
        <w:t xml:space="preserve">conditioning equipment, to estimate the total future amount of HCFC-22 that could potentially be required until 2020 for servicing such equipment; </w:t>
      </w:r>
    </w:p>
    <w:p w:rsidR="008572B3" w:rsidRDefault="008572B3" w:rsidP="008572B3">
      <w:pPr>
        <w:pStyle w:val="Heading2"/>
        <w:numPr>
          <w:ilvl w:val="1"/>
          <w:numId w:val="24"/>
        </w:numPr>
        <w:tabs>
          <w:tab w:val="clear" w:pos="720"/>
          <w:tab w:val="num" w:pos="0"/>
        </w:tabs>
        <w:ind w:left="1440"/>
        <w:rPr>
          <w:lang w:val="en-US"/>
        </w:rPr>
      </w:pPr>
      <w:r>
        <w:rPr>
          <w:lang w:val="en-US"/>
        </w:rPr>
        <w:t>T</w:t>
      </w:r>
      <w:r w:rsidRPr="00993BB2">
        <w:rPr>
          <w:lang w:val="en-US"/>
        </w:rPr>
        <w:t>o request bilateral and implementing agencies, when submitting activities to phase out HCFC-22 used in the refrigeration servicing sector, to clearly demonstrate how the proposed activities would reduce the growth rate in the servicing sector and contribute to meeting the reduction steps in 2013 and 2015</w:t>
      </w:r>
      <w:r>
        <w:rPr>
          <w:lang w:val="en-US"/>
        </w:rPr>
        <w:t>; and</w:t>
      </w:r>
    </w:p>
    <w:p w:rsidR="008572B3" w:rsidRPr="00DE0DB0" w:rsidRDefault="008572B3" w:rsidP="00DD04DC">
      <w:pPr>
        <w:pStyle w:val="Heading2"/>
        <w:tabs>
          <w:tab w:val="clear" w:pos="720"/>
          <w:tab w:val="num" w:pos="0"/>
        </w:tabs>
        <w:ind w:left="1440"/>
        <w:rPr>
          <w:lang w:val="en-US"/>
        </w:rPr>
      </w:pPr>
      <w:r w:rsidRPr="00DE0DB0">
        <w:rPr>
          <w:lang w:val="en-US"/>
        </w:rPr>
        <w:t>To consider projects for the phase-out of HCFC-22/HCFC-142b used for the manufacture of extruded polystyrene (XPS) foam when it was clearly demonstrated that they would be required by national circumstances and priorities to comply with the 2013 and 2015 control measures, and to consider all other XPS foam projects after 2014</w:t>
      </w:r>
      <w:r>
        <w:rPr>
          <w:lang w:val="en-US"/>
        </w:rPr>
        <w:t>.</w:t>
      </w:r>
    </w:p>
    <w:p w:rsidR="008572B3" w:rsidRPr="00C508EE" w:rsidRDefault="008572B3" w:rsidP="008572B3">
      <w:pPr>
        <w:keepNext/>
        <w:tabs>
          <w:tab w:val="left" w:pos="2880"/>
          <w:tab w:val="left" w:pos="5760"/>
        </w:tabs>
        <w:spacing w:after="240"/>
        <w:rPr>
          <w:rFonts w:ascii="Times New Roman Bold" w:hAnsi="Times New Roman Bold"/>
          <w:b/>
        </w:rPr>
      </w:pPr>
      <w:r>
        <w:rPr>
          <w:b/>
        </w:rPr>
        <w:t xml:space="preserve">Decision 74/50: </w:t>
      </w:r>
      <w:r w:rsidRPr="003A47CA">
        <w:rPr>
          <w:b/>
        </w:rPr>
        <w:t>C</w:t>
      </w:r>
      <w:r>
        <w:rPr>
          <w:b/>
        </w:rPr>
        <w:t>riteria for funding HCFC phase-out in the consumption sector for stage II of HPMPs</w:t>
      </w:r>
    </w:p>
    <w:p w:rsidR="008572B3" w:rsidRPr="003A47CA" w:rsidRDefault="008572B3" w:rsidP="00752FC8">
      <w:pPr>
        <w:pStyle w:val="Heading1"/>
        <w:numPr>
          <w:ilvl w:val="0"/>
          <w:numId w:val="57"/>
        </w:numPr>
      </w:pPr>
      <w:r w:rsidRPr="003A47CA">
        <w:t xml:space="preserve">The Executive Committee </w:t>
      </w:r>
      <w:r w:rsidRPr="008572B3">
        <w:rPr>
          <w:u w:val="single"/>
        </w:rPr>
        <w:t>decided</w:t>
      </w:r>
      <w:r w:rsidRPr="003A47CA">
        <w:t xml:space="preserve">, in determining criteria for funding </w:t>
      </w:r>
      <w:smartTag w:uri="urn:schemas-microsoft-com:office:smarttags" w:element="stockticker">
        <w:r w:rsidRPr="003A47CA">
          <w:t>HCFC</w:t>
        </w:r>
      </w:smartTag>
      <w:r w:rsidRPr="003A47CA">
        <w:t xml:space="preserve"> phase-out in the consumption sector for stage II of the HCFC phase</w:t>
      </w:r>
      <w:r w:rsidRPr="003A47CA">
        <w:noBreakHyphen/>
        <w:t>out management plans (HPMPs) in Article 5 countries:</w:t>
      </w:r>
    </w:p>
    <w:p w:rsidR="008572B3" w:rsidRPr="003A47CA" w:rsidRDefault="008572B3" w:rsidP="008572B3">
      <w:pPr>
        <w:keepNext/>
        <w:spacing w:after="240"/>
        <w:ind w:firstLine="720"/>
        <w:rPr>
          <w:i/>
          <w:color w:val="000000" w:themeColor="text1"/>
        </w:rPr>
      </w:pPr>
      <w:r w:rsidRPr="003A47CA">
        <w:rPr>
          <w:i/>
          <w:color w:val="000000" w:themeColor="text1"/>
        </w:rPr>
        <w:t>Cut-off date</w:t>
      </w:r>
    </w:p>
    <w:p w:rsidR="008572B3" w:rsidRPr="003A47CA" w:rsidRDefault="008572B3" w:rsidP="008572B3">
      <w:pPr>
        <w:widowControl w:val="0"/>
        <w:numPr>
          <w:ilvl w:val="1"/>
          <w:numId w:val="28"/>
        </w:numPr>
        <w:spacing w:after="240"/>
        <w:outlineLvl w:val="1"/>
      </w:pPr>
      <w:r w:rsidRPr="003A47CA">
        <w:t xml:space="preserve">Not to consider any projects to convert HCFC-based manufacturing capacity installed after 21 September 2007; </w:t>
      </w:r>
    </w:p>
    <w:p w:rsidR="008572B3" w:rsidRPr="003A47CA" w:rsidRDefault="008572B3" w:rsidP="008572B3">
      <w:pPr>
        <w:widowControl w:val="0"/>
        <w:spacing w:after="240"/>
        <w:ind w:firstLine="720"/>
        <w:rPr>
          <w:i/>
        </w:rPr>
      </w:pPr>
      <w:r w:rsidRPr="003A47CA">
        <w:rPr>
          <w:i/>
          <w:color w:val="000000" w:themeColor="text1"/>
        </w:rPr>
        <w:t>Second</w:t>
      </w:r>
      <w:r>
        <w:rPr>
          <w:i/>
          <w:color w:val="000000" w:themeColor="text1"/>
        </w:rPr>
        <w:t>-</w:t>
      </w:r>
      <w:r w:rsidRPr="003A47CA">
        <w:rPr>
          <w:i/>
          <w:color w:val="000000" w:themeColor="text1"/>
        </w:rPr>
        <w:t xml:space="preserve">stage </w:t>
      </w:r>
      <w:r w:rsidRPr="003A47CA">
        <w:rPr>
          <w:i/>
        </w:rPr>
        <w:t xml:space="preserve">conversion </w:t>
      </w:r>
    </w:p>
    <w:p w:rsidR="008572B3" w:rsidRPr="003A47CA" w:rsidRDefault="008572B3" w:rsidP="008572B3">
      <w:pPr>
        <w:widowControl w:val="0"/>
        <w:numPr>
          <w:ilvl w:val="1"/>
          <w:numId w:val="28"/>
        </w:numPr>
        <w:spacing w:after="240"/>
        <w:outlineLvl w:val="1"/>
      </w:pPr>
      <w:r w:rsidRPr="003A47CA">
        <w:t>To apply the following principles in respect of second-stage conversion projects:</w:t>
      </w:r>
    </w:p>
    <w:p w:rsidR="008572B3" w:rsidRPr="003A47CA" w:rsidRDefault="008572B3" w:rsidP="008572B3">
      <w:pPr>
        <w:pStyle w:val="Heading3"/>
        <w:widowControl w:val="0"/>
        <w:numPr>
          <w:ilvl w:val="2"/>
          <w:numId w:val="24"/>
        </w:numPr>
        <w:tabs>
          <w:tab w:val="clear" w:pos="2955"/>
          <w:tab w:val="num" w:pos="0"/>
        </w:tabs>
        <w:ind w:left="2160"/>
      </w:pPr>
      <w:r w:rsidRPr="003A47CA">
        <w:t>Full funding of eligible incremental costs of second-stage conversion projects would be considered in those cases where an Article 5 Party clearly demonstrated in its HPMP that such projects:</w:t>
      </w:r>
    </w:p>
    <w:p w:rsidR="008572B3" w:rsidRPr="003A47CA" w:rsidRDefault="008572B3" w:rsidP="008572B3">
      <w:pPr>
        <w:widowControl w:val="0"/>
        <w:numPr>
          <w:ilvl w:val="0"/>
          <w:numId w:val="27"/>
        </w:numPr>
        <w:tabs>
          <w:tab w:val="clear" w:pos="3600"/>
          <w:tab w:val="left" w:pos="2880"/>
          <w:tab w:val="left" w:pos="5760"/>
        </w:tabs>
        <w:spacing w:after="240"/>
        <w:ind w:left="2880" w:hanging="720"/>
      </w:pPr>
      <w:r w:rsidRPr="003A47CA">
        <w:t>Were necessary to comply with the Montreal Protocol HCFC targets up to and including the 35 per cent reduction step by 1 January 2020; and/or</w:t>
      </w:r>
    </w:p>
    <w:p w:rsidR="008572B3" w:rsidRPr="003A47CA" w:rsidRDefault="008572B3" w:rsidP="008572B3">
      <w:pPr>
        <w:keepNext/>
        <w:numPr>
          <w:ilvl w:val="0"/>
          <w:numId w:val="27"/>
        </w:numPr>
        <w:tabs>
          <w:tab w:val="clear" w:pos="3600"/>
          <w:tab w:val="left" w:pos="2880"/>
          <w:tab w:val="left" w:pos="5760"/>
        </w:tabs>
        <w:spacing w:after="240"/>
        <w:ind w:left="2880" w:hanging="720"/>
      </w:pPr>
      <w:r w:rsidRPr="003A47CA">
        <w:t>Were the most cost-effective projects measured in ODP tonnes that the Party concerned could undertake in the manufacturing sector in order to comply with those targets; and/or</w:t>
      </w:r>
    </w:p>
    <w:p w:rsidR="008572B3" w:rsidRPr="003A47CA" w:rsidRDefault="008572B3" w:rsidP="008572B3">
      <w:pPr>
        <w:widowControl w:val="0"/>
        <w:numPr>
          <w:ilvl w:val="0"/>
          <w:numId w:val="27"/>
        </w:numPr>
        <w:tabs>
          <w:tab w:val="clear" w:pos="3600"/>
          <w:tab w:val="left" w:pos="2880"/>
          <w:tab w:val="left" w:pos="5760"/>
        </w:tabs>
        <w:spacing w:after="240"/>
        <w:ind w:left="2880" w:hanging="720"/>
      </w:pPr>
      <w:r w:rsidRPr="003A47CA">
        <w:t xml:space="preserve">Would make the transition to </w:t>
      </w:r>
      <w:r w:rsidRPr="003A47CA">
        <w:rPr>
          <w:lang w:val="en-CA"/>
        </w:rPr>
        <w:t>low global-warming potential (GWP)</w:t>
      </w:r>
      <w:r w:rsidRPr="003A47CA">
        <w:t xml:space="preserve"> alternatives;</w:t>
      </w:r>
    </w:p>
    <w:p w:rsidR="008572B3" w:rsidRPr="003A47CA" w:rsidRDefault="008572B3" w:rsidP="008572B3">
      <w:pPr>
        <w:pStyle w:val="Heading3"/>
        <w:widowControl w:val="0"/>
        <w:tabs>
          <w:tab w:val="clear" w:pos="2955"/>
          <w:tab w:val="num" w:pos="0"/>
        </w:tabs>
        <w:ind w:left="2160"/>
      </w:pPr>
      <w:r w:rsidRPr="003A47CA">
        <w:t>Funding for all other second-stage conversion projects not covered under sub</w:t>
      </w:r>
      <w:r w:rsidRPr="003A47CA">
        <w:noBreakHyphen/>
        <w:t>paragraph (b)(i) above would be limited to funding for installation, trials, and training associated with those projects;</w:t>
      </w:r>
    </w:p>
    <w:p w:rsidR="008572B3" w:rsidRPr="003A47CA" w:rsidRDefault="008572B3" w:rsidP="001A5222">
      <w:pPr>
        <w:keepNext/>
        <w:tabs>
          <w:tab w:val="left" w:pos="720"/>
        </w:tabs>
        <w:spacing w:after="240"/>
        <w:ind w:firstLine="720"/>
        <w:outlineLvl w:val="1"/>
        <w:rPr>
          <w:i/>
          <w:color w:val="000000" w:themeColor="text1"/>
        </w:rPr>
      </w:pPr>
      <w:r w:rsidRPr="003A47CA">
        <w:rPr>
          <w:i/>
          <w:color w:val="000000" w:themeColor="text1"/>
        </w:rPr>
        <w:lastRenderedPageBreak/>
        <w:t>Eligible incremental costs of HCFC phase-out projects</w:t>
      </w:r>
    </w:p>
    <w:p w:rsidR="008572B3" w:rsidRPr="003A47CA" w:rsidRDefault="008572B3" w:rsidP="001A5222">
      <w:pPr>
        <w:keepNext/>
        <w:numPr>
          <w:ilvl w:val="1"/>
          <w:numId w:val="28"/>
        </w:numPr>
        <w:spacing w:after="240"/>
        <w:outlineLvl w:val="1"/>
      </w:pPr>
      <w:r w:rsidRPr="003A47CA">
        <w:t>To apply the following principles in respect of eligible incremental costs of HCFC phase</w:t>
      </w:r>
      <w:r w:rsidRPr="003A47CA">
        <w:noBreakHyphen/>
        <w:t>out projects for stage II of HPMPs, subject to a review in 2020:</w:t>
      </w:r>
    </w:p>
    <w:p w:rsidR="008572B3" w:rsidRPr="00DD04DC" w:rsidRDefault="008572B3" w:rsidP="00DD04DC">
      <w:pPr>
        <w:pStyle w:val="Heading3"/>
        <w:widowControl w:val="0"/>
        <w:numPr>
          <w:ilvl w:val="2"/>
          <w:numId w:val="87"/>
        </w:numPr>
        <w:tabs>
          <w:tab w:val="clear" w:pos="2955"/>
          <w:tab w:val="num" w:pos="0"/>
          <w:tab w:val="num" w:pos="450"/>
        </w:tabs>
        <w:ind w:left="2160"/>
        <w:rPr>
          <w:color w:val="000000" w:themeColor="text1"/>
        </w:rPr>
      </w:pPr>
      <w:r w:rsidRPr="00DD04DC">
        <w:rPr>
          <w:color w:val="000000" w:themeColor="text1"/>
        </w:rPr>
        <w:t>The current cost-effectiveness threshold values used for CFC phase-out projects in paragraph 32 of the final report of the 16</w:t>
      </w:r>
      <w:r w:rsidRPr="00DD04DC">
        <w:rPr>
          <w:color w:val="000000" w:themeColor="text1"/>
          <w:vertAlign w:val="superscript"/>
        </w:rPr>
        <w:t>th</w:t>
      </w:r>
      <w:r w:rsidRPr="00DD04DC">
        <w:rPr>
          <w:color w:val="000000" w:themeColor="text1"/>
        </w:rPr>
        <w:t xml:space="preserve"> meeting of the Executive Committee (document UNEP/OzL.Pro/ExCom/16/20), to be measured in metric kilograms, and a cost-effectiveness threshold of US $7.83/metric kilogram for rigid insulation refrigeration foam, should be used as guidelines during the development and implementation of the second and subsequent stages of HPMPs; </w:t>
      </w:r>
    </w:p>
    <w:p w:rsidR="008572B3" w:rsidRPr="003A47CA" w:rsidRDefault="008572B3" w:rsidP="008572B3">
      <w:pPr>
        <w:pStyle w:val="Heading3"/>
        <w:widowControl w:val="0"/>
        <w:tabs>
          <w:tab w:val="clear" w:pos="2955"/>
          <w:tab w:val="num" w:pos="0"/>
        </w:tabs>
        <w:ind w:left="2160"/>
      </w:pPr>
      <w:r w:rsidRPr="003A47CA">
        <w:t>Article 5 countries would have the flexibility to allocate the approved funding from incremental operating costs to incremental capital costs and to allocate up to 20 per cent of the approved funding for incremental capital costs to incremental operating costs, as long as the use of the flexibility did not change the intent of the project. Any reallocation should be reported to the Executive Committee;</w:t>
      </w:r>
    </w:p>
    <w:p w:rsidR="008572B3" w:rsidRPr="003A47CA" w:rsidRDefault="008572B3" w:rsidP="008572B3">
      <w:pPr>
        <w:pStyle w:val="Heading3"/>
        <w:widowControl w:val="0"/>
        <w:tabs>
          <w:tab w:val="clear" w:pos="2955"/>
          <w:tab w:val="num" w:pos="0"/>
        </w:tabs>
        <w:ind w:left="2160"/>
      </w:pPr>
      <w:r w:rsidRPr="003A47CA">
        <w:t>Funding of up to a maximum of 25 per cent above the cost-effectiveness threshold would be provided for projects when needed for the introduction of low-GWP alternatives; however, for small and medium-sized enterprises (SMEs) in the foam sector with consumption of less than 20 metric tonnes, the maximum would be up to 40 per cent above the cost-effectiveness threshold;</w:t>
      </w:r>
    </w:p>
    <w:p w:rsidR="008572B3" w:rsidRPr="003A47CA" w:rsidRDefault="008572B3" w:rsidP="008572B3">
      <w:pPr>
        <w:pStyle w:val="Heading3"/>
        <w:keepNext/>
        <w:numPr>
          <w:ilvl w:val="0"/>
          <w:numId w:val="0"/>
        </w:numPr>
        <w:ind w:firstLine="720"/>
        <w:rPr>
          <w:i/>
          <w:color w:val="000000" w:themeColor="text1"/>
        </w:rPr>
      </w:pPr>
      <w:r w:rsidRPr="003A47CA">
        <w:rPr>
          <w:i/>
          <w:color w:val="000000" w:themeColor="text1"/>
        </w:rPr>
        <w:t>HCFC phase-out in the foam sector</w:t>
      </w:r>
    </w:p>
    <w:p w:rsidR="008572B3" w:rsidRPr="003A47CA" w:rsidRDefault="008572B3" w:rsidP="008572B3">
      <w:pPr>
        <w:pStyle w:val="Heading3"/>
        <w:keepNext/>
        <w:tabs>
          <w:tab w:val="clear" w:pos="2955"/>
          <w:tab w:val="num" w:pos="0"/>
        </w:tabs>
        <w:ind w:left="2160"/>
      </w:pPr>
      <w:r w:rsidRPr="003A47CA">
        <w:t>Incremental operating costs for projects in the polyurethane foam sector would be considered at US $1.60/metric kilogram for HCFC-141b; however, for projects that make the transition to low-GWP alternatives, incremental operating costs would be considered at up to US $5.00/metric kilogram;</w:t>
      </w:r>
    </w:p>
    <w:p w:rsidR="008572B3" w:rsidRPr="003A47CA" w:rsidRDefault="008572B3" w:rsidP="008572B3">
      <w:pPr>
        <w:pStyle w:val="Heading3"/>
        <w:keepNext/>
        <w:tabs>
          <w:tab w:val="clear" w:pos="2955"/>
          <w:tab w:val="num" w:pos="0"/>
        </w:tabs>
        <w:ind w:left="2160"/>
      </w:pPr>
      <w:r w:rsidRPr="003A47CA">
        <w:rPr>
          <w:color w:val="000000" w:themeColor="text1"/>
        </w:rPr>
        <w:t>Incremental operating costs for projects in</w:t>
      </w:r>
      <w:r w:rsidRPr="003A47CA">
        <w:t xml:space="preserve"> the extruded polystyrene foam sector would be considered at US $1.40/metric kilogram for HCFC-142b, HCFC</w:t>
      </w:r>
      <w:r w:rsidRPr="003A47CA">
        <w:noBreakHyphen/>
        <w:t>142b/HCFC-22, or HCFC-22 consumption to be phased out at the manufacturing enterprise;</w:t>
      </w:r>
    </w:p>
    <w:p w:rsidR="008572B3" w:rsidRPr="003A47CA" w:rsidRDefault="008572B3" w:rsidP="008572B3">
      <w:pPr>
        <w:pStyle w:val="Heading3"/>
        <w:widowControl w:val="0"/>
        <w:tabs>
          <w:tab w:val="clear" w:pos="2955"/>
          <w:tab w:val="num" w:pos="0"/>
        </w:tabs>
        <w:ind w:left="2160"/>
      </w:pPr>
      <w:r w:rsidRPr="003A47CA">
        <w:t>For group projects linked to systems houses, incremental operating costs would be calculated on the basis of the total HCFC consumption to be phased out for all downstream foam enterprises;</w:t>
      </w:r>
    </w:p>
    <w:p w:rsidR="008572B3" w:rsidRPr="003A47CA" w:rsidRDefault="008572B3" w:rsidP="008572B3">
      <w:pPr>
        <w:pStyle w:val="Heading3"/>
        <w:widowControl w:val="0"/>
        <w:tabs>
          <w:tab w:val="clear" w:pos="2955"/>
          <w:tab w:val="num" w:pos="0"/>
        </w:tabs>
        <w:ind w:left="2160"/>
      </w:pPr>
      <w:r w:rsidRPr="003A47CA">
        <w:t>When it was clearly demonstrated that low-GWP alternatives with incremental operating costs as indicated in sub-paragraph (c)(iv) above were not feasible, the Executive Committee would fund higher levels of incremental operating costs when needed for the introduction of low-GWP alternatives by SMEs;</w:t>
      </w:r>
    </w:p>
    <w:p w:rsidR="008572B3" w:rsidRPr="003A47CA" w:rsidRDefault="008572B3" w:rsidP="008572B3">
      <w:pPr>
        <w:keepNext/>
        <w:tabs>
          <w:tab w:val="left" w:pos="720"/>
        </w:tabs>
        <w:spacing w:after="240"/>
        <w:ind w:left="709"/>
        <w:outlineLvl w:val="2"/>
        <w:rPr>
          <w:i/>
          <w:color w:val="000000" w:themeColor="text1"/>
        </w:rPr>
      </w:pPr>
      <w:r w:rsidRPr="003A47CA">
        <w:rPr>
          <w:i/>
          <w:color w:val="000000" w:themeColor="text1"/>
        </w:rPr>
        <w:t>HCFC phase-out in the refrigeration and air-conditioning manufacturing sector</w:t>
      </w:r>
    </w:p>
    <w:p w:rsidR="008572B3" w:rsidRPr="003A47CA" w:rsidRDefault="008572B3" w:rsidP="008572B3">
      <w:pPr>
        <w:pStyle w:val="Heading3"/>
        <w:widowControl w:val="0"/>
        <w:tabs>
          <w:tab w:val="clear" w:pos="2955"/>
          <w:tab w:val="num" w:pos="0"/>
        </w:tabs>
        <w:ind w:left="2160"/>
      </w:pPr>
      <w:r w:rsidRPr="003A47CA">
        <w:t xml:space="preserve">Incremental operating costs for projects in the air conditioning sub-sector would be considered at US $6.30/metric kilogram of HCFC consumption to be phased out at the manufacturing enterprise; </w:t>
      </w:r>
    </w:p>
    <w:p w:rsidR="008572B3" w:rsidRPr="003A47CA" w:rsidRDefault="008572B3" w:rsidP="008572B3">
      <w:pPr>
        <w:pStyle w:val="Heading3"/>
        <w:widowControl w:val="0"/>
        <w:tabs>
          <w:tab w:val="clear" w:pos="2955"/>
          <w:tab w:val="num" w:pos="0"/>
        </w:tabs>
        <w:ind w:left="2160"/>
      </w:pPr>
      <w:r w:rsidRPr="003A47CA">
        <w:t xml:space="preserve">Incremental operating costs for projects in the commercial refrigeration subsector </w:t>
      </w:r>
      <w:r w:rsidRPr="003A47CA">
        <w:lastRenderedPageBreak/>
        <w:t xml:space="preserve">would be considered at US $3.80/metric kilogram of HCFC consumption to be phased out at the manufacturing enterprise; </w:t>
      </w:r>
    </w:p>
    <w:p w:rsidR="008572B3" w:rsidRPr="003A47CA" w:rsidRDefault="008572B3" w:rsidP="00BA72D0">
      <w:pPr>
        <w:pStyle w:val="Heading3"/>
        <w:keepNext/>
        <w:tabs>
          <w:tab w:val="clear" w:pos="2955"/>
          <w:tab w:val="num" w:pos="0"/>
        </w:tabs>
        <w:ind w:left="2160"/>
      </w:pPr>
      <w:r w:rsidRPr="003A47CA">
        <w:t>Consistent with decision 31/45 of the Executive Committee, incremental operating costs would not be considered for enterprises in the refrigeration equipment assembly, installation and charging subsector category;</w:t>
      </w:r>
    </w:p>
    <w:p w:rsidR="008572B3" w:rsidRPr="003A47CA" w:rsidRDefault="008572B3" w:rsidP="008572B3">
      <w:pPr>
        <w:widowControl w:val="0"/>
        <w:spacing w:after="240"/>
        <w:ind w:left="709"/>
        <w:outlineLvl w:val="2"/>
        <w:rPr>
          <w:i/>
          <w:color w:val="000000" w:themeColor="text1"/>
        </w:rPr>
      </w:pPr>
      <w:r w:rsidRPr="003A47CA">
        <w:rPr>
          <w:i/>
          <w:color w:val="000000" w:themeColor="text1"/>
        </w:rPr>
        <w:t xml:space="preserve">HCFC phase-out in the refrigeration servicing sector, including </w:t>
      </w:r>
      <w:r w:rsidRPr="003A47CA">
        <w:rPr>
          <w:i/>
        </w:rPr>
        <w:t>servicing for all the relevant refrigeration and air</w:t>
      </w:r>
      <w:r w:rsidRPr="003A47CA">
        <w:rPr>
          <w:i/>
        </w:rPr>
        <w:noBreakHyphen/>
        <w:t>conditioning subsectors</w:t>
      </w:r>
    </w:p>
    <w:p w:rsidR="008572B3" w:rsidRPr="003A47CA" w:rsidRDefault="008572B3" w:rsidP="008572B3">
      <w:pPr>
        <w:pStyle w:val="Heading3"/>
        <w:widowControl w:val="0"/>
        <w:tabs>
          <w:tab w:val="clear" w:pos="2955"/>
          <w:tab w:val="num" w:pos="0"/>
        </w:tabs>
        <w:ind w:left="2160"/>
      </w:pPr>
      <w:r w:rsidRPr="003A47CA">
        <w:t>Article 5 countries with total HCFC consumption of up to 360 m</w:t>
      </w:r>
      <w:r>
        <w:t>t</w:t>
      </w:r>
      <w:r w:rsidRPr="003A47CA">
        <w:t>, and former low-volume-consuming (LVC) Article 5 countries with HCFC consumption in the refrigeration servicing sector only above 360 metric tonnes, must include in their HPMPs, as a minimum:</w:t>
      </w:r>
    </w:p>
    <w:p w:rsidR="008572B3" w:rsidRPr="00DD04DC" w:rsidRDefault="008572B3" w:rsidP="00DD04DC">
      <w:pPr>
        <w:pStyle w:val="Header4"/>
        <w:numPr>
          <w:ilvl w:val="0"/>
          <w:numId w:val="88"/>
        </w:numPr>
        <w:tabs>
          <w:tab w:val="clear" w:pos="3600"/>
        </w:tabs>
        <w:ind w:left="2880" w:hanging="720"/>
        <w:rPr>
          <w:color w:val="000000" w:themeColor="text1"/>
        </w:rPr>
      </w:pPr>
      <w:r w:rsidRPr="00DD04DC">
        <w:rPr>
          <w:color w:val="000000" w:themeColor="text1"/>
        </w:rPr>
        <w:t>A commitment to meeting, without further requests for funding at least the 35 per cent reduction step in 2020, and, if the country so decided, the 67.5 per cent reduction step in 2025 or the complete phase-out of HCFCs in line or ahead of the Montreal Protocol schedule. This should include a commitment by the country to restrict imports of HCFC-based equipment if necessary to achieve compliance with the reduction steps and to support relevant phase-out activities;</w:t>
      </w:r>
    </w:p>
    <w:p w:rsidR="008572B3" w:rsidRPr="003A47CA" w:rsidRDefault="008572B3" w:rsidP="008572B3">
      <w:pPr>
        <w:widowControl w:val="0"/>
        <w:numPr>
          <w:ilvl w:val="0"/>
          <w:numId w:val="27"/>
        </w:numPr>
        <w:tabs>
          <w:tab w:val="clear" w:pos="3600"/>
          <w:tab w:val="left" w:pos="2880"/>
          <w:tab w:val="left" w:pos="5760"/>
        </w:tabs>
        <w:spacing w:after="240"/>
        <w:ind w:left="2880" w:hanging="720"/>
        <w:rPr>
          <w:color w:val="000000" w:themeColor="text1"/>
        </w:rPr>
      </w:pPr>
      <w:r w:rsidRPr="003A47CA">
        <w:rPr>
          <w:color w:val="000000" w:themeColor="text1"/>
        </w:rPr>
        <w:t>Mandatory reporting, by the time funding tranches for the HPMP were requested, on the implementation of activities undertaken in the refrigeration servicing sector and in the manufacturing sector when applicable, in the previous year, as well as a thorough and comprehensive annual work plan for the implementation</w:t>
      </w:r>
      <w:r w:rsidRPr="003A47CA">
        <w:rPr>
          <w:i/>
          <w:color w:val="000000" w:themeColor="text1"/>
        </w:rPr>
        <w:t xml:space="preserve"> </w:t>
      </w:r>
      <w:r w:rsidRPr="003A47CA">
        <w:rPr>
          <w:color w:val="000000" w:themeColor="text1"/>
        </w:rPr>
        <w:t>of the activities associated with the next tranche;</w:t>
      </w:r>
    </w:p>
    <w:p w:rsidR="008572B3" w:rsidRPr="003A47CA" w:rsidRDefault="008572B3" w:rsidP="008572B3">
      <w:pPr>
        <w:widowControl w:val="0"/>
        <w:numPr>
          <w:ilvl w:val="0"/>
          <w:numId w:val="27"/>
        </w:numPr>
        <w:tabs>
          <w:tab w:val="clear" w:pos="3600"/>
          <w:tab w:val="left" w:pos="2880"/>
          <w:tab w:val="left" w:pos="5760"/>
        </w:tabs>
        <w:spacing w:after="240"/>
        <w:ind w:left="2880" w:hanging="720"/>
        <w:rPr>
          <w:color w:val="000000" w:themeColor="text1"/>
        </w:rPr>
      </w:pPr>
      <w:r w:rsidRPr="003A47CA">
        <w:rPr>
          <w:color w:val="000000" w:themeColor="text1"/>
        </w:rPr>
        <w:t>A description of the roles and responsibilities of major stakeholders, as well as the lead implementing agency and the cooperating agencies, where applicable;</w:t>
      </w:r>
    </w:p>
    <w:p w:rsidR="008572B3" w:rsidRPr="003A47CA" w:rsidRDefault="008572B3" w:rsidP="008572B3">
      <w:pPr>
        <w:pStyle w:val="Heading3"/>
        <w:widowControl w:val="0"/>
        <w:tabs>
          <w:tab w:val="clear" w:pos="2955"/>
          <w:tab w:val="num" w:pos="0"/>
        </w:tabs>
        <w:ind w:left="2160"/>
      </w:pPr>
      <w:r w:rsidRPr="003A47CA">
        <w:t>Article 5 countries with total HCFC consumption of up to 360 m</w:t>
      </w:r>
      <w:r>
        <w:t>t</w:t>
      </w:r>
      <w:r w:rsidRPr="003A47CA">
        <w:t xml:space="preserve"> would be provided with funding consistent with the level of consumption in the refrigeration servicing sector, as shown in the table below, on the understanding that project proposals would still need to demonstrate that the funding level was necessary to achieve the 2020 and 2025 phase-out targets, or if the country so decided, later reduction targets:</w:t>
      </w:r>
    </w:p>
    <w:tbl>
      <w:tblPr>
        <w:tblW w:w="7974" w:type="dxa"/>
        <w:tblInd w:w="1584" w:type="dxa"/>
        <w:tblLayout w:type="fixed"/>
        <w:tblLook w:val="04A0" w:firstRow="1" w:lastRow="0" w:firstColumn="1" w:lastColumn="0" w:noHBand="0" w:noVBand="1"/>
      </w:tblPr>
      <w:tblGrid>
        <w:gridCol w:w="1584"/>
        <w:gridCol w:w="2160"/>
        <w:gridCol w:w="2196"/>
        <w:gridCol w:w="2034"/>
      </w:tblGrid>
      <w:tr w:rsidR="008572B3" w:rsidRPr="003A47CA" w:rsidTr="008572B3">
        <w:trPr>
          <w:tblHeader/>
        </w:trPr>
        <w:tc>
          <w:tcPr>
            <w:tcW w:w="1584" w:type="dxa"/>
            <w:vMerge w:val="restart"/>
            <w:tcBorders>
              <w:top w:val="single" w:sz="4" w:space="0" w:color="auto"/>
              <w:left w:val="single" w:sz="4" w:space="0" w:color="auto"/>
              <w:bottom w:val="single" w:sz="4" w:space="0" w:color="auto"/>
              <w:right w:val="single" w:sz="4" w:space="0" w:color="auto"/>
            </w:tcBorders>
            <w:noWrap/>
            <w:vAlign w:val="center"/>
            <w:hideMark/>
          </w:tcPr>
          <w:p w:rsidR="008572B3" w:rsidRPr="006201AB" w:rsidRDefault="008572B3" w:rsidP="008572B3">
            <w:pPr>
              <w:keepNext/>
              <w:tabs>
                <w:tab w:val="num" w:pos="4770"/>
                <w:tab w:val="num" w:pos="5040"/>
                <w:tab w:val="left" w:pos="5130"/>
              </w:tabs>
              <w:jc w:val="center"/>
              <w:rPr>
                <w:color w:val="000000" w:themeColor="text1"/>
                <w:sz w:val="21"/>
                <w:szCs w:val="21"/>
              </w:rPr>
            </w:pPr>
            <w:r w:rsidRPr="006201AB">
              <w:rPr>
                <w:color w:val="000000" w:themeColor="text1"/>
                <w:sz w:val="21"/>
                <w:szCs w:val="21"/>
              </w:rPr>
              <w:t>Consumption (mt)*</w:t>
            </w:r>
          </w:p>
        </w:tc>
        <w:tc>
          <w:tcPr>
            <w:tcW w:w="6390" w:type="dxa"/>
            <w:gridSpan w:val="3"/>
            <w:tcBorders>
              <w:top w:val="single" w:sz="4" w:space="0" w:color="auto"/>
              <w:left w:val="nil"/>
              <w:bottom w:val="single" w:sz="4" w:space="0" w:color="auto"/>
              <w:right w:val="single" w:sz="4" w:space="0" w:color="auto"/>
            </w:tcBorders>
            <w:noWrap/>
            <w:vAlign w:val="center"/>
            <w:hideMark/>
          </w:tcPr>
          <w:p w:rsidR="008572B3" w:rsidRPr="006201AB" w:rsidRDefault="008572B3" w:rsidP="008572B3">
            <w:pPr>
              <w:keepNext/>
              <w:tabs>
                <w:tab w:val="num" w:pos="4770"/>
                <w:tab w:val="num" w:pos="5040"/>
                <w:tab w:val="left" w:pos="5130"/>
              </w:tabs>
              <w:jc w:val="center"/>
              <w:rPr>
                <w:color w:val="000000" w:themeColor="text1"/>
                <w:sz w:val="21"/>
                <w:szCs w:val="21"/>
              </w:rPr>
            </w:pPr>
            <w:r w:rsidRPr="006201AB">
              <w:rPr>
                <w:color w:val="000000" w:themeColor="text1"/>
                <w:sz w:val="21"/>
                <w:szCs w:val="21"/>
              </w:rPr>
              <w:t>Funding (</w:t>
            </w:r>
            <w:r>
              <w:rPr>
                <w:color w:val="000000" w:themeColor="text1"/>
                <w:sz w:val="21"/>
                <w:szCs w:val="21"/>
              </w:rPr>
              <w:t>US $</w:t>
            </w:r>
            <w:r w:rsidRPr="006201AB">
              <w:rPr>
                <w:color w:val="000000" w:themeColor="text1"/>
                <w:sz w:val="21"/>
                <w:szCs w:val="21"/>
              </w:rPr>
              <w:t>)(**)</w:t>
            </w:r>
          </w:p>
        </w:tc>
      </w:tr>
      <w:tr w:rsidR="008572B3" w:rsidRPr="003A47CA" w:rsidTr="008572B3">
        <w:trPr>
          <w:tblHeader/>
        </w:trPr>
        <w:tc>
          <w:tcPr>
            <w:tcW w:w="1584" w:type="dxa"/>
            <w:vMerge/>
            <w:tcBorders>
              <w:top w:val="single" w:sz="4" w:space="0" w:color="auto"/>
              <w:left w:val="single" w:sz="4" w:space="0" w:color="auto"/>
              <w:bottom w:val="single" w:sz="4" w:space="0" w:color="auto"/>
              <w:right w:val="single" w:sz="4" w:space="0" w:color="auto"/>
            </w:tcBorders>
            <w:vAlign w:val="center"/>
            <w:hideMark/>
          </w:tcPr>
          <w:p w:rsidR="008572B3" w:rsidRPr="006201AB" w:rsidRDefault="008572B3" w:rsidP="008572B3">
            <w:pPr>
              <w:keepNext/>
              <w:tabs>
                <w:tab w:val="num" w:pos="4770"/>
                <w:tab w:val="num" w:pos="5040"/>
                <w:tab w:val="left" w:pos="5130"/>
              </w:tabs>
              <w:jc w:val="left"/>
              <w:rPr>
                <w:color w:val="000000" w:themeColor="text1"/>
                <w:sz w:val="21"/>
                <w:szCs w:val="21"/>
              </w:rPr>
            </w:pPr>
          </w:p>
        </w:tc>
        <w:tc>
          <w:tcPr>
            <w:tcW w:w="2160" w:type="dxa"/>
            <w:tcBorders>
              <w:top w:val="single" w:sz="4" w:space="0" w:color="auto"/>
              <w:left w:val="nil"/>
              <w:bottom w:val="single" w:sz="4" w:space="0" w:color="auto"/>
              <w:right w:val="single" w:sz="4" w:space="0" w:color="auto"/>
            </w:tcBorders>
            <w:noWrap/>
            <w:vAlign w:val="center"/>
            <w:hideMark/>
          </w:tcPr>
          <w:p w:rsidR="008572B3" w:rsidRPr="006201AB" w:rsidRDefault="008572B3" w:rsidP="008572B3">
            <w:pPr>
              <w:keepNext/>
              <w:tabs>
                <w:tab w:val="num" w:pos="4770"/>
                <w:tab w:val="num" w:pos="5040"/>
                <w:tab w:val="left" w:pos="5130"/>
              </w:tabs>
              <w:jc w:val="center"/>
              <w:rPr>
                <w:color w:val="000000" w:themeColor="text1"/>
                <w:sz w:val="21"/>
                <w:szCs w:val="21"/>
              </w:rPr>
            </w:pPr>
            <w:r w:rsidRPr="006201AB">
              <w:rPr>
                <w:color w:val="000000" w:themeColor="text1"/>
                <w:sz w:val="21"/>
                <w:szCs w:val="21"/>
              </w:rPr>
              <w:t>Up to 2020</w:t>
            </w:r>
          </w:p>
        </w:tc>
        <w:tc>
          <w:tcPr>
            <w:tcW w:w="2196" w:type="dxa"/>
            <w:tcBorders>
              <w:top w:val="single" w:sz="4" w:space="0" w:color="auto"/>
              <w:left w:val="nil"/>
              <w:bottom w:val="single" w:sz="4" w:space="0" w:color="auto"/>
              <w:right w:val="single" w:sz="4" w:space="0" w:color="auto"/>
            </w:tcBorders>
            <w:noWrap/>
            <w:vAlign w:val="center"/>
            <w:hideMark/>
          </w:tcPr>
          <w:p w:rsidR="008572B3" w:rsidRPr="006201AB" w:rsidRDefault="008572B3" w:rsidP="008572B3">
            <w:pPr>
              <w:keepNext/>
              <w:tabs>
                <w:tab w:val="num" w:pos="4770"/>
                <w:tab w:val="num" w:pos="5040"/>
                <w:tab w:val="left" w:pos="5130"/>
              </w:tabs>
              <w:jc w:val="center"/>
              <w:rPr>
                <w:color w:val="000000" w:themeColor="text1"/>
                <w:sz w:val="21"/>
                <w:szCs w:val="21"/>
              </w:rPr>
            </w:pPr>
            <w:r w:rsidRPr="006201AB">
              <w:rPr>
                <w:color w:val="000000" w:themeColor="text1"/>
                <w:sz w:val="21"/>
                <w:szCs w:val="21"/>
              </w:rPr>
              <w:t>Up to 2025</w:t>
            </w:r>
          </w:p>
        </w:tc>
        <w:tc>
          <w:tcPr>
            <w:tcW w:w="2034" w:type="dxa"/>
            <w:tcBorders>
              <w:top w:val="single" w:sz="4" w:space="0" w:color="auto"/>
              <w:left w:val="nil"/>
              <w:bottom w:val="single" w:sz="4" w:space="0" w:color="auto"/>
              <w:right w:val="single" w:sz="4" w:space="0" w:color="auto"/>
            </w:tcBorders>
            <w:noWrap/>
            <w:vAlign w:val="center"/>
            <w:hideMark/>
          </w:tcPr>
          <w:p w:rsidR="008572B3" w:rsidRPr="006201AB" w:rsidRDefault="008572B3" w:rsidP="008572B3">
            <w:pPr>
              <w:keepNext/>
              <w:tabs>
                <w:tab w:val="num" w:pos="4770"/>
                <w:tab w:val="num" w:pos="5040"/>
                <w:tab w:val="left" w:pos="5130"/>
              </w:tabs>
              <w:jc w:val="center"/>
              <w:rPr>
                <w:color w:val="000000" w:themeColor="text1"/>
                <w:sz w:val="21"/>
                <w:szCs w:val="21"/>
              </w:rPr>
            </w:pPr>
            <w:r w:rsidRPr="006201AB">
              <w:rPr>
                <w:color w:val="000000" w:themeColor="text1"/>
                <w:sz w:val="21"/>
                <w:szCs w:val="21"/>
              </w:rPr>
              <w:t xml:space="preserve">Total phase-out </w:t>
            </w:r>
          </w:p>
        </w:tc>
      </w:tr>
      <w:tr w:rsidR="008572B3" w:rsidRPr="003A47CA" w:rsidTr="008572B3">
        <w:trPr>
          <w:trHeight w:val="20"/>
        </w:trPr>
        <w:tc>
          <w:tcPr>
            <w:tcW w:w="1584" w:type="dxa"/>
            <w:tcBorders>
              <w:top w:val="nil"/>
              <w:left w:val="single" w:sz="4" w:space="0" w:color="auto"/>
              <w:bottom w:val="single" w:sz="4" w:space="0" w:color="auto"/>
              <w:right w:val="single" w:sz="4" w:space="0" w:color="auto"/>
            </w:tcBorders>
            <w:noWrap/>
            <w:vAlign w:val="center"/>
            <w:hideMark/>
          </w:tcPr>
          <w:p w:rsidR="008572B3" w:rsidRPr="006201AB" w:rsidRDefault="008572B3" w:rsidP="008572B3">
            <w:pPr>
              <w:keepNext/>
              <w:tabs>
                <w:tab w:val="num" w:pos="4770"/>
                <w:tab w:val="num" w:pos="5040"/>
                <w:tab w:val="left" w:pos="5130"/>
              </w:tabs>
              <w:jc w:val="left"/>
              <w:rPr>
                <w:color w:val="000000" w:themeColor="text1"/>
                <w:sz w:val="21"/>
                <w:szCs w:val="21"/>
              </w:rPr>
            </w:pPr>
            <w:r w:rsidRPr="006201AB">
              <w:rPr>
                <w:color w:val="000000" w:themeColor="text1"/>
                <w:sz w:val="21"/>
                <w:szCs w:val="21"/>
              </w:rPr>
              <w:t>&gt;0 &lt;15</w:t>
            </w:r>
          </w:p>
        </w:tc>
        <w:tc>
          <w:tcPr>
            <w:tcW w:w="2160"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205,625</w:t>
            </w:r>
          </w:p>
        </w:tc>
        <w:tc>
          <w:tcPr>
            <w:tcW w:w="2196"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396,500</w:t>
            </w:r>
          </w:p>
        </w:tc>
        <w:tc>
          <w:tcPr>
            <w:tcW w:w="2034"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587,500</w:t>
            </w:r>
          </w:p>
        </w:tc>
      </w:tr>
      <w:tr w:rsidR="008572B3" w:rsidRPr="003A47CA" w:rsidTr="008572B3">
        <w:trPr>
          <w:trHeight w:val="20"/>
        </w:trPr>
        <w:tc>
          <w:tcPr>
            <w:tcW w:w="1584" w:type="dxa"/>
            <w:tcBorders>
              <w:top w:val="nil"/>
              <w:left w:val="single" w:sz="4" w:space="0" w:color="auto"/>
              <w:bottom w:val="single" w:sz="4" w:space="0" w:color="auto"/>
              <w:right w:val="single" w:sz="4" w:space="0" w:color="auto"/>
            </w:tcBorders>
            <w:noWrap/>
            <w:vAlign w:val="center"/>
            <w:hideMark/>
          </w:tcPr>
          <w:p w:rsidR="008572B3" w:rsidRPr="006201AB" w:rsidRDefault="008572B3" w:rsidP="008572B3">
            <w:pPr>
              <w:keepNext/>
              <w:tabs>
                <w:tab w:val="num" w:pos="4770"/>
                <w:tab w:val="num" w:pos="5040"/>
                <w:tab w:val="left" w:pos="5130"/>
              </w:tabs>
              <w:jc w:val="left"/>
              <w:rPr>
                <w:color w:val="000000" w:themeColor="text1"/>
                <w:sz w:val="21"/>
                <w:szCs w:val="21"/>
              </w:rPr>
            </w:pPr>
            <w:r w:rsidRPr="006201AB">
              <w:rPr>
                <w:color w:val="000000" w:themeColor="text1"/>
                <w:sz w:val="21"/>
                <w:szCs w:val="21"/>
              </w:rPr>
              <w:t>15 &lt;40</w:t>
            </w:r>
          </w:p>
        </w:tc>
        <w:tc>
          <w:tcPr>
            <w:tcW w:w="2160"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262,500</w:t>
            </w:r>
          </w:p>
        </w:tc>
        <w:tc>
          <w:tcPr>
            <w:tcW w:w="2196"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506,250</w:t>
            </w:r>
          </w:p>
        </w:tc>
        <w:tc>
          <w:tcPr>
            <w:tcW w:w="2034"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750,000</w:t>
            </w:r>
          </w:p>
        </w:tc>
      </w:tr>
      <w:tr w:rsidR="008572B3" w:rsidRPr="003A47CA" w:rsidTr="008572B3">
        <w:trPr>
          <w:trHeight w:val="20"/>
        </w:trPr>
        <w:tc>
          <w:tcPr>
            <w:tcW w:w="1584" w:type="dxa"/>
            <w:tcBorders>
              <w:top w:val="nil"/>
              <w:left w:val="single" w:sz="4" w:space="0" w:color="auto"/>
              <w:bottom w:val="single" w:sz="4" w:space="0" w:color="auto"/>
              <w:right w:val="single" w:sz="4" w:space="0" w:color="auto"/>
            </w:tcBorders>
            <w:noWrap/>
            <w:vAlign w:val="center"/>
            <w:hideMark/>
          </w:tcPr>
          <w:p w:rsidR="008572B3" w:rsidRPr="006201AB" w:rsidRDefault="008572B3" w:rsidP="008572B3">
            <w:pPr>
              <w:keepNext/>
              <w:tabs>
                <w:tab w:val="num" w:pos="4770"/>
                <w:tab w:val="num" w:pos="5040"/>
                <w:tab w:val="left" w:pos="5130"/>
              </w:tabs>
              <w:jc w:val="left"/>
              <w:rPr>
                <w:color w:val="000000" w:themeColor="text1"/>
                <w:sz w:val="21"/>
                <w:szCs w:val="21"/>
              </w:rPr>
            </w:pPr>
            <w:r w:rsidRPr="006201AB">
              <w:rPr>
                <w:color w:val="000000" w:themeColor="text1"/>
                <w:sz w:val="21"/>
                <w:szCs w:val="21"/>
              </w:rPr>
              <w:t>40 &lt;80</w:t>
            </w:r>
          </w:p>
        </w:tc>
        <w:tc>
          <w:tcPr>
            <w:tcW w:w="2160"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280,000</w:t>
            </w:r>
          </w:p>
        </w:tc>
        <w:tc>
          <w:tcPr>
            <w:tcW w:w="2196"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540,000</w:t>
            </w:r>
          </w:p>
        </w:tc>
        <w:tc>
          <w:tcPr>
            <w:tcW w:w="2034"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800,000</w:t>
            </w:r>
          </w:p>
        </w:tc>
      </w:tr>
      <w:tr w:rsidR="008572B3" w:rsidRPr="003A47CA" w:rsidTr="008572B3">
        <w:trPr>
          <w:trHeight w:val="20"/>
        </w:trPr>
        <w:tc>
          <w:tcPr>
            <w:tcW w:w="1584" w:type="dxa"/>
            <w:tcBorders>
              <w:top w:val="nil"/>
              <w:left w:val="single" w:sz="4" w:space="0" w:color="auto"/>
              <w:bottom w:val="single" w:sz="4" w:space="0" w:color="auto"/>
              <w:right w:val="single" w:sz="4" w:space="0" w:color="auto"/>
            </w:tcBorders>
            <w:noWrap/>
            <w:vAlign w:val="center"/>
            <w:hideMark/>
          </w:tcPr>
          <w:p w:rsidR="008572B3" w:rsidRPr="006201AB" w:rsidRDefault="008572B3" w:rsidP="008572B3">
            <w:pPr>
              <w:keepNext/>
              <w:tabs>
                <w:tab w:val="num" w:pos="4770"/>
                <w:tab w:val="num" w:pos="5040"/>
                <w:tab w:val="left" w:pos="5130"/>
              </w:tabs>
              <w:jc w:val="left"/>
              <w:rPr>
                <w:color w:val="000000" w:themeColor="text1"/>
                <w:sz w:val="21"/>
                <w:szCs w:val="21"/>
              </w:rPr>
            </w:pPr>
            <w:r w:rsidRPr="006201AB">
              <w:rPr>
                <w:color w:val="000000" w:themeColor="text1"/>
                <w:sz w:val="21"/>
                <w:szCs w:val="21"/>
              </w:rPr>
              <w:t>80 &lt;120</w:t>
            </w:r>
          </w:p>
        </w:tc>
        <w:tc>
          <w:tcPr>
            <w:tcW w:w="2160"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315,000</w:t>
            </w:r>
          </w:p>
        </w:tc>
        <w:tc>
          <w:tcPr>
            <w:tcW w:w="2196"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607,500</w:t>
            </w:r>
          </w:p>
        </w:tc>
        <w:tc>
          <w:tcPr>
            <w:tcW w:w="2034"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keepNext/>
              <w:tabs>
                <w:tab w:val="num" w:pos="4770"/>
                <w:tab w:val="num" w:pos="5040"/>
                <w:tab w:val="left" w:pos="5130"/>
              </w:tabs>
              <w:jc w:val="right"/>
              <w:rPr>
                <w:color w:val="000000" w:themeColor="text1"/>
                <w:sz w:val="21"/>
                <w:szCs w:val="21"/>
              </w:rPr>
            </w:pPr>
            <w:r w:rsidRPr="006201AB">
              <w:rPr>
                <w:color w:val="000000" w:themeColor="text1"/>
                <w:sz w:val="21"/>
                <w:szCs w:val="21"/>
              </w:rPr>
              <w:t>900,000</w:t>
            </w:r>
          </w:p>
        </w:tc>
      </w:tr>
      <w:tr w:rsidR="008572B3" w:rsidRPr="003A47CA" w:rsidTr="008572B3">
        <w:trPr>
          <w:trHeight w:val="20"/>
        </w:trPr>
        <w:tc>
          <w:tcPr>
            <w:tcW w:w="1584" w:type="dxa"/>
            <w:tcBorders>
              <w:top w:val="nil"/>
              <w:left w:val="single" w:sz="4" w:space="0" w:color="auto"/>
              <w:bottom w:val="single" w:sz="4" w:space="0" w:color="auto"/>
              <w:right w:val="single" w:sz="4" w:space="0" w:color="auto"/>
            </w:tcBorders>
            <w:noWrap/>
            <w:vAlign w:val="center"/>
            <w:hideMark/>
          </w:tcPr>
          <w:p w:rsidR="008572B3" w:rsidRPr="006201AB" w:rsidRDefault="008572B3" w:rsidP="008572B3">
            <w:pPr>
              <w:widowControl w:val="0"/>
              <w:tabs>
                <w:tab w:val="num" w:pos="4770"/>
                <w:tab w:val="num" w:pos="5040"/>
                <w:tab w:val="left" w:pos="5130"/>
              </w:tabs>
              <w:jc w:val="left"/>
              <w:rPr>
                <w:color w:val="000000" w:themeColor="text1"/>
                <w:sz w:val="21"/>
                <w:szCs w:val="21"/>
              </w:rPr>
            </w:pPr>
            <w:r w:rsidRPr="006201AB">
              <w:rPr>
                <w:color w:val="000000" w:themeColor="text1"/>
                <w:sz w:val="21"/>
                <w:szCs w:val="21"/>
              </w:rPr>
              <w:t>120 &lt;160</w:t>
            </w:r>
          </w:p>
        </w:tc>
        <w:tc>
          <w:tcPr>
            <w:tcW w:w="2160"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332,500</w:t>
            </w:r>
          </w:p>
        </w:tc>
        <w:tc>
          <w:tcPr>
            <w:tcW w:w="2196"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641,250</w:t>
            </w:r>
          </w:p>
        </w:tc>
        <w:tc>
          <w:tcPr>
            <w:tcW w:w="2034"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950,000</w:t>
            </w:r>
          </w:p>
        </w:tc>
      </w:tr>
      <w:tr w:rsidR="008572B3" w:rsidRPr="003A47CA" w:rsidTr="008572B3">
        <w:trPr>
          <w:trHeight w:val="20"/>
        </w:trPr>
        <w:tc>
          <w:tcPr>
            <w:tcW w:w="1584" w:type="dxa"/>
            <w:tcBorders>
              <w:top w:val="nil"/>
              <w:left w:val="single" w:sz="4" w:space="0" w:color="auto"/>
              <w:bottom w:val="single" w:sz="4" w:space="0" w:color="auto"/>
              <w:right w:val="single" w:sz="4" w:space="0" w:color="auto"/>
            </w:tcBorders>
            <w:noWrap/>
            <w:vAlign w:val="center"/>
            <w:hideMark/>
          </w:tcPr>
          <w:p w:rsidR="008572B3" w:rsidRPr="006201AB" w:rsidRDefault="008572B3" w:rsidP="008572B3">
            <w:pPr>
              <w:widowControl w:val="0"/>
              <w:tabs>
                <w:tab w:val="num" w:pos="4770"/>
                <w:tab w:val="num" w:pos="5040"/>
                <w:tab w:val="left" w:pos="5130"/>
              </w:tabs>
              <w:jc w:val="left"/>
              <w:rPr>
                <w:color w:val="000000" w:themeColor="text1"/>
                <w:sz w:val="21"/>
                <w:szCs w:val="21"/>
              </w:rPr>
            </w:pPr>
            <w:r w:rsidRPr="006201AB">
              <w:rPr>
                <w:color w:val="000000" w:themeColor="text1"/>
                <w:sz w:val="21"/>
                <w:szCs w:val="21"/>
              </w:rPr>
              <w:t>160 &lt;200</w:t>
            </w:r>
          </w:p>
        </w:tc>
        <w:tc>
          <w:tcPr>
            <w:tcW w:w="2160"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350,000</w:t>
            </w:r>
          </w:p>
        </w:tc>
        <w:tc>
          <w:tcPr>
            <w:tcW w:w="2196"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675,000</w:t>
            </w:r>
          </w:p>
        </w:tc>
        <w:tc>
          <w:tcPr>
            <w:tcW w:w="2034"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1,000,000</w:t>
            </w:r>
          </w:p>
        </w:tc>
      </w:tr>
      <w:tr w:rsidR="008572B3" w:rsidRPr="003A47CA" w:rsidTr="008572B3">
        <w:trPr>
          <w:trHeight w:val="20"/>
        </w:trPr>
        <w:tc>
          <w:tcPr>
            <w:tcW w:w="1584" w:type="dxa"/>
            <w:tcBorders>
              <w:top w:val="nil"/>
              <w:left w:val="single" w:sz="4" w:space="0" w:color="auto"/>
              <w:bottom w:val="single" w:sz="4" w:space="0" w:color="auto"/>
              <w:right w:val="single" w:sz="4" w:space="0" w:color="auto"/>
            </w:tcBorders>
            <w:noWrap/>
            <w:vAlign w:val="center"/>
            <w:hideMark/>
          </w:tcPr>
          <w:p w:rsidR="008572B3" w:rsidRPr="006201AB" w:rsidRDefault="008572B3" w:rsidP="008572B3">
            <w:pPr>
              <w:widowControl w:val="0"/>
              <w:tabs>
                <w:tab w:val="num" w:pos="4770"/>
                <w:tab w:val="num" w:pos="5040"/>
                <w:tab w:val="left" w:pos="5130"/>
              </w:tabs>
              <w:jc w:val="left"/>
              <w:rPr>
                <w:color w:val="000000" w:themeColor="text1"/>
                <w:sz w:val="21"/>
                <w:szCs w:val="21"/>
              </w:rPr>
            </w:pPr>
            <w:r w:rsidRPr="006201AB">
              <w:rPr>
                <w:color w:val="000000" w:themeColor="text1"/>
                <w:sz w:val="21"/>
                <w:szCs w:val="21"/>
              </w:rPr>
              <w:t>200 &lt;320</w:t>
            </w:r>
          </w:p>
        </w:tc>
        <w:tc>
          <w:tcPr>
            <w:tcW w:w="2160"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560,000</w:t>
            </w:r>
          </w:p>
        </w:tc>
        <w:tc>
          <w:tcPr>
            <w:tcW w:w="2196"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1,080,000</w:t>
            </w:r>
          </w:p>
        </w:tc>
        <w:tc>
          <w:tcPr>
            <w:tcW w:w="2034"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1,600,000</w:t>
            </w:r>
          </w:p>
        </w:tc>
      </w:tr>
      <w:tr w:rsidR="008572B3" w:rsidRPr="003A47CA" w:rsidTr="008572B3">
        <w:trPr>
          <w:trHeight w:val="20"/>
        </w:trPr>
        <w:tc>
          <w:tcPr>
            <w:tcW w:w="1584" w:type="dxa"/>
            <w:tcBorders>
              <w:top w:val="nil"/>
              <w:left w:val="single" w:sz="4" w:space="0" w:color="auto"/>
              <w:bottom w:val="single" w:sz="4" w:space="0" w:color="auto"/>
              <w:right w:val="single" w:sz="4" w:space="0" w:color="auto"/>
            </w:tcBorders>
            <w:noWrap/>
            <w:vAlign w:val="center"/>
            <w:hideMark/>
          </w:tcPr>
          <w:p w:rsidR="008572B3" w:rsidRPr="006201AB" w:rsidRDefault="008572B3" w:rsidP="008572B3">
            <w:pPr>
              <w:widowControl w:val="0"/>
              <w:tabs>
                <w:tab w:val="num" w:pos="4770"/>
                <w:tab w:val="num" w:pos="5040"/>
                <w:tab w:val="left" w:pos="5130"/>
              </w:tabs>
              <w:jc w:val="left"/>
              <w:rPr>
                <w:color w:val="000000" w:themeColor="text1"/>
                <w:sz w:val="21"/>
                <w:szCs w:val="21"/>
              </w:rPr>
            </w:pPr>
            <w:r w:rsidRPr="006201AB">
              <w:rPr>
                <w:color w:val="000000" w:themeColor="text1"/>
                <w:sz w:val="21"/>
                <w:szCs w:val="21"/>
              </w:rPr>
              <w:t>320 &lt;360</w:t>
            </w:r>
          </w:p>
        </w:tc>
        <w:tc>
          <w:tcPr>
            <w:tcW w:w="2160"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630,000</w:t>
            </w:r>
          </w:p>
        </w:tc>
        <w:tc>
          <w:tcPr>
            <w:tcW w:w="2196"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1,215,000</w:t>
            </w:r>
          </w:p>
        </w:tc>
        <w:tc>
          <w:tcPr>
            <w:tcW w:w="2034" w:type="dxa"/>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8572B3" w:rsidRPr="006201AB" w:rsidRDefault="008572B3" w:rsidP="008572B3">
            <w:pPr>
              <w:widowControl w:val="0"/>
              <w:tabs>
                <w:tab w:val="num" w:pos="4770"/>
                <w:tab w:val="num" w:pos="5040"/>
                <w:tab w:val="left" w:pos="5130"/>
              </w:tabs>
              <w:jc w:val="right"/>
              <w:rPr>
                <w:color w:val="000000" w:themeColor="text1"/>
                <w:sz w:val="21"/>
                <w:szCs w:val="21"/>
              </w:rPr>
            </w:pPr>
            <w:r w:rsidRPr="006201AB">
              <w:rPr>
                <w:color w:val="000000" w:themeColor="text1"/>
                <w:sz w:val="21"/>
                <w:szCs w:val="21"/>
              </w:rPr>
              <w:t>1,800,000</w:t>
            </w:r>
          </w:p>
        </w:tc>
      </w:tr>
    </w:tbl>
    <w:p w:rsidR="008572B3" w:rsidRPr="003A47CA" w:rsidRDefault="008572B3" w:rsidP="008572B3">
      <w:pPr>
        <w:widowControl w:val="0"/>
        <w:tabs>
          <w:tab w:val="num" w:pos="4770"/>
          <w:tab w:val="num" w:pos="5040"/>
          <w:tab w:val="left" w:pos="5130"/>
        </w:tabs>
        <w:ind w:left="1560"/>
        <w:rPr>
          <w:color w:val="000000" w:themeColor="text1"/>
          <w:sz w:val="20"/>
        </w:rPr>
      </w:pPr>
      <w:r w:rsidRPr="003A47CA">
        <w:rPr>
          <w:color w:val="000000" w:themeColor="text1"/>
          <w:sz w:val="20"/>
        </w:rPr>
        <w:t>(*) Level of HCFC baseline consumption in the refrigeration servicing sector</w:t>
      </w:r>
    </w:p>
    <w:p w:rsidR="008572B3" w:rsidRPr="003A47CA" w:rsidRDefault="008572B3" w:rsidP="008572B3">
      <w:pPr>
        <w:widowControl w:val="0"/>
        <w:tabs>
          <w:tab w:val="num" w:pos="4770"/>
          <w:tab w:val="num" w:pos="5040"/>
          <w:tab w:val="left" w:pos="5130"/>
        </w:tabs>
        <w:spacing w:after="240"/>
        <w:ind w:left="1560"/>
        <w:rPr>
          <w:sz w:val="20"/>
        </w:rPr>
      </w:pPr>
      <w:r w:rsidRPr="003A47CA">
        <w:rPr>
          <w:sz w:val="20"/>
        </w:rPr>
        <w:t>(**) This represents the maximum funding eligible, including funding already provided</w:t>
      </w:r>
    </w:p>
    <w:p w:rsidR="008572B3" w:rsidRPr="003A47CA" w:rsidRDefault="008572B3" w:rsidP="00BA72D0">
      <w:pPr>
        <w:pStyle w:val="Heading3"/>
        <w:keepNext/>
        <w:tabs>
          <w:tab w:val="clear" w:pos="2955"/>
          <w:tab w:val="num" w:pos="0"/>
        </w:tabs>
        <w:ind w:left="2160"/>
      </w:pPr>
      <w:r w:rsidRPr="003A47CA">
        <w:lastRenderedPageBreak/>
        <w:t>Article 5 countries with HCFC consumption in the refrigeration servicing sector only above 360 m</w:t>
      </w:r>
      <w:r>
        <w:t>t</w:t>
      </w:r>
      <w:r w:rsidRPr="003A47CA">
        <w:t xml:space="preserve"> would be provided with funding for phase-out activities at US $4.80/metric kilogram;</w:t>
      </w:r>
    </w:p>
    <w:p w:rsidR="008572B3" w:rsidRPr="003A47CA" w:rsidRDefault="008572B3" w:rsidP="008572B3">
      <w:pPr>
        <w:pStyle w:val="Heading3"/>
        <w:widowControl w:val="0"/>
        <w:tabs>
          <w:tab w:val="clear" w:pos="2955"/>
          <w:tab w:val="num" w:pos="0"/>
        </w:tabs>
        <w:ind w:left="2160"/>
      </w:pPr>
      <w:r w:rsidRPr="003A47CA">
        <w:t>Article 5 countries with total HCFC consumption in the servicing sector only of up to 360 m</w:t>
      </w:r>
      <w:r>
        <w:t>t</w:t>
      </w:r>
      <w:r w:rsidRPr="003A47CA">
        <w:t xml:space="preserve"> would have flexibility in utilizing the resources available to address specific needs that might arise during project implementation to facilitate the smoothest possible phase-out of HCFCs, consistent with Executive Committee decisions;</w:t>
      </w:r>
    </w:p>
    <w:p w:rsidR="008572B3" w:rsidRPr="003A47CA" w:rsidRDefault="008572B3" w:rsidP="008572B3">
      <w:pPr>
        <w:pStyle w:val="Heading3"/>
        <w:widowControl w:val="0"/>
        <w:tabs>
          <w:tab w:val="clear" w:pos="2955"/>
          <w:tab w:val="num" w:pos="0"/>
        </w:tabs>
        <w:ind w:left="2160"/>
      </w:pPr>
      <w:r w:rsidRPr="003A47CA">
        <w:t>Article 5 countries with total HCFC consumption of up to 360 m</w:t>
      </w:r>
      <w:r>
        <w:t>t</w:t>
      </w:r>
      <w:r w:rsidRPr="003A47CA">
        <w:t>, used in both the manufacturing and refrigeration servicing sectors, could submit HCFC phase</w:t>
      </w:r>
      <w:r>
        <w:noBreakHyphen/>
      </w:r>
      <w:r w:rsidRPr="003A47CA">
        <w:t>out investment projects in accordance with the policies and decisions of the Executive Committee, in addition to funding for addressing HCFC consumption in the servicing sector;</w:t>
      </w:r>
    </w:p>
    <w:p w:rsidR="008572B3" w:rsidRPr="003A47CA" w:rsidRDefault="008572B3" w:rsidP="008572B3">
      <w:pPr>
        <w:pStyle w:val="Heading3"/>
        <w:widowControl w:val="0"/>
        <w:tabs>
          <w:tab w:val="clear" w:pos="2955"/>
          <w:tab w:val="num" w:pos="0"/>
        </w:tabs>
        <w:ind w:left="2160"/>
      </w:pPr>
      <w:r w:rsidRPr="003A47CA">
        <w:t>Article 5 countries with total HCFC consumption above 360 m</w:t>
      </w:r>
      <w:r>
        <w:t>t</w:t>
      </w:r>
      <w:r w:rsidRPr="003A47CA">
        <w:t xml:space="preserve"> used in both the manufacturing and refrigeration servicing sectors should prioritize consumption in the manufacturing sector to meet the reduction steps in 2020, where possible. Activities in the refrigeration servicing sector for such countries would be calculated at US $4.8/metric kilogram, to be deducted from their starting point for aggregate reductions in HCFC consumption;</w:t>
      </w:r>
    </w:p>
    <w:p w:rsidR="008572B3" w:rsidRPr="003A47CA" w:rsidRDefault="008572B3" w:rsidP="008572B3">
      <w:pPr>
        <w:keepNext/>
        <w:spacing w:after="240"/>
        <w:ind w:left="720" w:hanging="11"/>
        <w:rPr>
          <w:i/>
          <w:color w:val="000000" w:themeColor="text1"/>
        </w:rPr>
      </w:pPr>
      <w:r w:rsidRPr="003A47CA">
        <w:rPr>
          <w:i/>
          <w:color w:val="000000" w:themeColor="text1"/>
        </w:rPr>
        <w:t xml:space="preserve">HCFC phase-out in the aerosol, fire extinguisher and solvent sectors </w:t>
      </w:r>
    </w:p>
    <w:p w:rsidR="008572B3" w:rsidRPr="003A47CA" w:rsidRDefault="008572B3" w:rsidP="008572B3">
      <w:pPr>
        <w:pStyle w:val="Heading3"/>
        <w:widowControl w:val="0"/>
        <w:tabs>
          <w:tab w:val="clear" w:pos="2955"/>
          <w:tab w:val="num" w:pos="0"/>
        </w:tabs>
        <w:ind w:left="2160"/>
      </w:pPr>
      <w:r w:rsidRPr="003A47CA">
        <w:t>The eligibility of incremental capital and operating costs for HCFC phase</w:t>
      </w:r>
      <w:r w:rsidRPr="003A47CA">
        <w:noBreakHyphen/>
        <w:t>out projects in the aerosol, fire extinguisher, and solvent sectors would be considered on a case-by-case basis; and</w:t>
      </w:r>
    </w:p>
    <w:p w:rsidR="008572B3" w:rsidRPr="003A47CA" w:rsidRDefault="008572B3" w:rsidP="008572B3">
      <w:pPr>
        <w:keepNext/>
        <w:numPr>
          <w:ilvl w:val="1"/>
          <w:numId w:val="28"/>
        </w:numPr>
        <w:spacing w:after="240"/>
        <w:outlineLvl w:val="1"/>
      </w:pPr>
      <w:r w:rsidRPr="003A47CA">
        <w:t>The Executive Committee would be open to considering projects to promote transition to not-in-kind technologies in relevant sectors.</w:t>
      </w:r>
    </w:p>
    <w:p w:rsidR="008572B3" w:rsidRDefault="008572B3" w:rsidP="008572B3">
      <w:pPr>
        <w:jc w:val="right"/>
        <w:rPr>
          <w:b/>
        </w:rPr>
      </w:pPr>
    </w:p>
    <w:p w:rsidR="008572B3" w:rsidRPr="00F876DE" w:rsidRDefault="008572B3" w:rsidP="008572B3">
      <w:pPr>
        <w:jc w:val="left"/>
        <w:rPr>
          <w:b/>
          <w:u w:val="single"/>
        </w:rPr>
      </w:pPr>
      <w:r w:rsidRPr="00F876DE">
        <w:rPr>
          <w:b/>
          <w:u w:val="single"/>
        </w:rPr>
        <w:t>Sustained aggregate reductions in HFC consumption and production</w:t>
      </w:r>
    </w:p>
    <w:p w:rsidR="008572B3" w:rsidRDefault="008572B3" w:rsidP="008572B3">
      <w:pPr>
        <w:jc w:val="left"/>
        <w:rPr>
          <w:b/>
        </w:rPr>
      </w:pPr>
    </w:p>
    <w:p w:rsidR="008572B3" w:rsidRPr="00B400BC" w:rsidRDefault="008572B3" w:rsidP="008572B3">
      <w:pPr>
        <w:autoSpaceDE w:val="0"/>
        <w:autoSpaceDN w:val="0"/>
        <w:adjustRightInd w:val="0"/>
        <w:rPr>
          <w:b/>
          <w:iCs/>
          <w:sz w:val="20"/>
          <w:lang w:val="en-CA"/>
        </w:rPr>
      </w:pPr>
      <w:r w:rsidRPr="00B400BC">
        <w:rPr>
          <w:b/>
          <w:iCs/>
          <w:lang w:val="en-CA"/>
        </w:rPr>
        <w:t>D</w:t>
      </w:r>
      <w:r>
        <w:rPr>
          <w:b/>
          <w:iCs/>
          <w:lang w:val="en-CA"/>
        </w:rPr>
        <w:t>ecision</w:t>
      </w:r>
      <w:r w:rsidRPr="00B400BC">
        <w:rPr>
          <w:b/>
          <w:iCs/>
          <w:lang w:val="en-CA"/>
        </w:rPr>
        <w:t xml:space="preserve"> 35/57: </w:t>
      </w:r>
      <w:r w:rsidRPr="00B400BC">
        <w:rPr>
          <w:rFonts w:ascii="TimesNewRoman,Bold" w:hAnsi="TimesNewRoman,Bold" w:cs="TimesNewRoman,Bold"/>
          <w:b/>
          <w:bCs/>
          <w:szCs w:val="24"/>
          <w:lang w:val="en-CA"/>
        </w:rPr>
        <w:t>S</w:t>
      </w:r>
      <w:r>
        <w:rPr>
          <w:rFonts w:ascii="TimesNewRoman,Bold" w:hAnsi="TimesNewRoman,Bold" w:cs="TimesNewRoman,Bold"/>
          <w:b/>
          <w:bCs/>
          <w:szCs w:val="24"/>
          <w:lang w:val="en-CA"/>
        </w:rPr>
        <w:t xml:space="preserve">tudy `on defining a starting point for determining the remaining ODS consumption eligible for funding by the Multilateral Fund: Follow up to decision </w:t>
      </w:r>
      <w:r w:rsidRPr="00B400BC">
        <w:rPr>
          <w:rFonts w:ascii="TimesNewRoman,Bold" w:hAnsi="TimesNewRoman,Bold" w:cs="TimesNewRoman,Bold"/>
          <w:b/>
          <w:bCs/>
          <w:szCs w:val="24"/>
          <w:lang w:val="en-CA"/>
        </w:rPr>
        <w:t>34/66 (</w:t>
      </w:r>
      <w:r>
        <w:rPr>
          <w:rFonts w:ascii="TimesNewRoman,Bold" w:hAnsi="TimesNewRoman,Bold" w:cs="TimesNewRoman,Bold"/>
          <w:b/>
          <w:bCs/>
          <w:szCs w:val="24"/>
          <w:lang w:val="en-CA"/>
        </w:rPr>
        <w:t>a</w:t>
      </w:r>
      <w:r w:rsidRPr="00B400BC">
        <w:rPr>
          <w:rFonts w:ascii="TimesNewRoman,Bold" w:hAnsi="TimesNewRoman,Bold" w:cs="TimesNewRoman,Bold"/>
          <w:b/>
          <w:bCs/>
          <w:szCs w:val="24"/>
          <w:lang w:val="en-CA"/>
        </w:rPr>
        <w:t>)</w:t>
      </w:r>
    </w:p>
    <w:p w:rsidR="008572B3" w:rsidRPr="00B400BC" w:rsidRDefault="008572B3" w:rsidP="008572B3">
      <w:pPr>
        <w:rPr>
          <w:b/>
          <w:sz w:val="20"/>
        </w:rPr>
      </w:pPr>
    </w:p>
    <w:p w:rsidR="008572B3" w:rsidRPr="008572B3" w:rsidRDefault="008572B3" w:rsidP="00752FC8">
      <w:pPr>
        <w:pStyle w:val="Heading1"/>
        <w:numPr>
          <w:ilvl w:val="0"/>
          <w:numId w:val="58"/>
        </w:numPr>
        <w:autoSpaceDE w:val="0"/>
        <w:autoSpaceDN w:val="0"/>
        <w:adjustRightInd w:val="0"/>
        <w:rPr>
          <w:lang w:val="en-CA"/>
        </w:rPr>
      </w:pPr>
      <w:r w:rsidRPr="008572B3">
        <w:rPr>
          <w:lang w:val="en-CA"/>
        </w:rPr>
        <w:t>In the context of the Executive Committee agreement on strategic planning (decision 33/54), the Executive Committee agreed (at its 35</w:t>
      </w:r>
      <w:r w:rsidRPr="008572B3">
        <w:rPr>
          <w:vertAlign w:val="superscript"/>
          <w:lang w:val="en-CA"/>
        </w:rPr>
        <w:t>th </w:t>
      </w:r>
      <w:r w:rsidRPr="008572B3">
        <w:rPr>
          <w:lang w:val="en-CA"/>
        </w:rPr>
        <w:t>meeting) that further funding must be predicated on a commitment by the country to achieve sustainable permanent aggregate reductions in consumption and production, as relevant. In implementing this provision, the Executive Committee believes that all Article 5 countries should be treated equally. In that regard, each Article 5 country should select one option from two options below for determining the starting point for implementation of its national aggregate consumption.</w:t>
      </w:r>
    </w:p>
    <w:p w:rsidR="008572B3" w:rsidRPr="00B400BC" w:rsidRDefault="008572B3" w:rsidP="008572B3">
      <w:pPr>
        <w:autoSpaceDE w:val="0"/>
        <w:autoSpaceDN w:val="0"/>
        <w:adjustRightInd w:val="0"/>
        <w:ind w:firstLine="284"/>
        <w:jc w:val="left"/>
        <w:rPr>
          <w:lang w:val="en-CA"/>
        </w:rPr>
      </w:pPr>
      <w:r w:rsidRPr="00B400BC">
        <w:rPr>
          <w:u w:val="single"/>
          <w:lang w:val="en-CA"/>
        </w:rPr>
        <w:t>Option 1</w:t>
      </w:r>
      <w:r w:rsidRPr="00B400BC">
        <w:rPr>
          <w:lang w:val="en-CA"/>
        </w:rPr>
        <w:t xml:space="preserve"> </w:t>
      </w:r>
      <w:r w:rsidRPr="00B400BC">
        <w:rPr>
          <w:lang w:val="en-CA"/>
        </w:rPr>
        <w:tab/>
      </w:r>
      <w:r w:rsidRPr="00B400BC">
        <w:rPr>
          <w:lang w:val="en-CA"/>
        </w:rPr>
        <w:tab/>
      </w:r>
      <w:r w:rsidRPr="00B400BC">
        <w:rPr>
          <w:lang w:val="en-CA"/>
        </w:rPr>
        <w:tab/>
      </w:r>
      <w:r w:rsidRPr="00B400BC">
        <w:rPr>
          <w:lang w:val="en-CA"/>
        </w:rPr>
        <w:tab/>
      </w:r>
      <w:r w:rsidRPr="00B400BC">
        <w:rPr>
          <w:lang w:val="en-CA"/>
        </w:rPr>
        <w:tab/>
      </w:r>
      <w:r w:rsidRPr="00B400BC">
        <w:rPr>
          <w:lang w:val="en-CA"/>
        </w:rPr>
        <w:tab/>
      </w:r>
      <w:r w:rsidRPr="00B400BC">
        <w:rPr>
          <w:u w:val="single"/>
          <w:lang w:val="en-CA"/>
        </w:rPr>
        <w:t>Option 2</w:t>
      </w:r>
    </w:p>
    <w:p w:rsidR="008572B3" w:rsidRPr="00B400BC" w:rsidRDefault="008572B3" w:rsidP="008572B3">
      <w:pPr>
        <w:autoSpaceDE w:val="0"/>
        <w:autoSpaceDN w:val="0"/>
        <w:adjustRightInd w:val="0"/>
        <w:ind w:firstLine="284"/>
        <w:jc w:val="left"/>
        <w:rPr>
          <w:lang w:val="en-CA"/>
        </w:rPr>
      </w:pPr>
      <w:r w:rsidRPr="00B400BC">
        <w:rPr>
          <w:lang w:val="en-CA"/>
        </w:rPr>
        <w:t>Montreal Protocol baseline</w:t>
      </w:r>
      <w:r w:rsidRPr="00B400BC">
        <w:rPr>
          <w:lang w:val="en-CA"/>
        </w:rPr>
        <w:tab/>
      </w:r>
      <w:r w:rsidRPr="00B400BC">
        <w:rPr>
          <w:lang w:val="en-CA"/>
        </w:rPr>
        <w:tab/>
      </w:r>
      <w:r w:rsidRPr="00B400BC">
        <w:rPr>
          <w:lang w:val="en-CA"/>
        </w:rPr>
        <w:tab/>
      </w:r>
      <w:r w:rsidRPr="00B400BC">
        <w:rPr>
          <w:lang w:val="en-CA"/>
        </w:rPr>
        <w:tab/>
        <w:t>Latest reported data (1999 or 2000)</w:t>
      </w:r>
    </w:p>
    <w:p w:rsidR="008572B3" w:rsidRPr="00B400BC" w:rsidRDefault="008572B3" w:rsidP="008572B3">
      <w:pPr>
        <w:autoSpaceDE w:val="0"/>
        <w:autoSpaceDN w:val="0"/>
        <w:adjustRightInd w:val="0"/>
        <w:ind w:firstLine="284"/>
        <w:jc w:val="left"/>
        <w:rPr>
          <w:lang w:val="en-CA"/>
        </w:rPr>
      </w:pPr>
      <w:r w:rsidRPr="00B400BC">
        <w:rPr>
          <w:lang w:val="en-CA"/>
        </w:rPr>
        <w:t>as reported at the 35</w:t>
      </w:r>
      <w:r w:rsidRPr="00315146">
        <w:rPr>
          <w:vertAlign w:val="superscript"/>
          <w:lang w:val="en-CA"/>
        </w:rPr>
        <w:t>th</w:t>
      </w:r>
      <w:r>
        <w:rPr>
          <w:lang w:val="en-CA"/>
        </w:rPr>
        <w:t> m</w:t>
      </w:r>
      <w:r w:rsidRPr="00B400BC">
        <w:rPr>
          <w:lang w:val="en-CA"/>
        </w:rPr>
        <w:t>eeting (Annex VI.2)</w:t>
      </w:r>
      <w:r w:rsidRPr="00B400BC">
        <w:rPr>
          <w:lang w:val="en-CA"/>
        </w:rPr>
        <w:tab/>
      </w:r>
      <w:r w:rsidRPr="00B400BC">
        <w:rPr>
          <w:lang w:val="en-CA"/>
        </w:rPr>
        <w:tab/>
        <w:t>as reported at the 35</w:t>
      </w:r>
      <w:r w:rsidRPr="00315146">
        <w:rPr>
          <w:vertAlign w:val="superscript"/>
          <w:lang w:val="en-CA"/>
        </w:rPr>
        <w:t>th</w:t>
      </w:r>
      <w:r>
        <w:rPr>
          <w:lang w:val="en-CA"/>
        </w:rPr>
        <w:t> m</w:t>
      </w:r>
      <w:r w:rsidRPr="00B400BC">
        <w:rPr>
          <w:lang w:val="en-CA"/>
        </w:rPr>
        <w:t>eeting (Annex VI.2)</w:t>
      </w:r>
    </w:p>
    <w:p w:rsidR="008572B3" w:rsidRPr="00B400BC" w:rsidRDefault="008572B3" w:rsidP="008572B3">
      <w:pPr>
        <w:autoSpaceDE w:val="0"/>
        <w:autoSpaceDN w:val="0"/>
        <w:adjustRightInd w:val="0"/>
        <w:ind w:firstLine="284"/>
        <w:jc w:val="left"/>
        <w:rPr>
          <w:lang w:val="en-CA"/>
        </w:rPr>
      </w:pPr>
    </w:p>
    <w:p w:rsidR="008572B3" w:rsidRPr="00B400BC" w:rsidRDefault="008572B3" w:rsidP="008572B3">
      <w:pPr>
        <w:autoSpaceDE w:val="0"/>
        <w:autoSpaceDN w:val="0"/>
        <w:adjustRightInd w:val="0"/>
        <w:ind w:firstLine="284"/>
        <w:jc w:val="left"/>
        <w:rPr>
          <w:lang w:val="en-CA"/>
        </w:rPr>
      </w:pPr>
      <w:r w:rsidRPr="00B400BC">
        <w:rPr>
          <w:lang w:val="en-CA"/>
        </w:rPr>
        <w:t>Projects approved but not yet implemented when</w:t>
      </w:r>
      <w:r w:rsidRPr="00B400BC">
        <w:rPr>
          <w:lang w:val="en-CA"/>
        </w:rPr>
        <w:tab/>
        <w:t>Projects approved but not yet implemented</w:t>
      </w:r>
    </w:p>
    <w:p w:rsidR="008572B3" w:rsidRPr="00B400BC" w:rsidRDefault="008572B3" w:rsidP="008572B3">
      <w:pPr>
        <w:autoSpaceDE w:val="0"/>
        <w:autoSpaceDN w:val="0"/>
        <w:adjustRightInd w:val="0"/>
        <w:ind w:firstLine="284"/>
        <w:jc w:val="left"/>
        <w:rPr>
          <w:lang w:val="en-CA"/>
        </w:rPr>
      </w:pPr>
      <w:r w:rsidRPr="00B400BC">
        <w:rPr>
          <w:lang w:val="en-CA"/>
        </w:rPr>
        <w:t>the baseline was established in 1997, and projects</w:t>
      </w:r>
    </w:p>
    <w:p w:rsidR="008572B3" w:rsidRPr="00B400BC" w:rsidRDefault="008572B3" w:rsidP="008572B3">
      <w:pPr>
        <w:autoSpaceDE w:val="0"/>
        <w:autoSpaceDN w:val="0"/>
        <w:adjustRightInd w:val="0"/>
        <w:ind w:firstLine="284"/>
        <w:jc w:val="left"/>
        <w:rPr>
          <w:lang w:val="en-CA"/>
        </w:rPr>
      </w:pPr>
      <w:r w:rsidRPr="00B400BC">
        <w:rPr>
          <w:lang w:val="en-CA"/>
        </w:rPr>
        <w:t>approved since</w:t>
      </w:r>
    </w:p>
    <w:p w:rsidR="008572B3" w:rsidRPr="00B400BC" w:rsidRDefault="008572B3" w:rsidP="008572B3">
      <w:pPr>
        <w:autoSpaceDE w:val="0"/>
        <w:autoSpaceDN w:val="0"/>
        <w:adjustRightInd w:val="0"/>
        <w:jc w:val="left"/>
        <w:rPr>
          <w:lang w:val="en-CA"/>
        </w:rPr>
      </w:pPr>
    </w:p>
    <w:p w:rsidR="008572B3" w:rsidRPr="00B400BC" w:rsidRDefault="008572B3" w:rsidP="0061521A">
      <w:pPr>
        <w:keepNext/>
        <w:autoSpaceDE w:val="0"/>
        <w:autoSpaceDN w:val="0"/>
        <w:adjustRightInd w:val="0"/>
        <w:jc w:val="center"/>
        <w:rPr>
          <w:lang w:val="en-CA"/>
        </w:rPr>
      </w:pPr>
      <w:r w:rsidRPr="00B400BC">
        <w:rPr>
          <w:u w:val="single"/>
          <w:lang w:val="en-CA"/>
        </w:rPr>
        <w:t>Provisos relating to Decision 35/57</w:t>
      </w:r>
      <w:r w:rsidRPr="00B400BC">
        <w:rPr>
          <w:lang w:val="en-CA"/>
        </w:rPr>
        <w:t>:</w:t>
      </w:r>
    </w:p>
    <w:p w:rsidR="008572B3" w:rsidRPr="00B400BC" w:rsidRDefault="008572B3" w:rsidP="0061521A">
      <w:pPr>
        <w:keepNext/>
        <w:autoSpaceDE w:val="0"/>
        <w:autoSpaceDN w:val="0"/>
        <w:adjustRightInd w:val="0"/>
        <w:jc w:val="left"/>
        <w:rPr>
          <w:lang w:val="en-CA"/>
        </w:rPr>
      </w:pPr>
    </w:p>
    <w:p w:rsidR="008572B3" w:rsidRPr="00B400BC" w:rsidRDefault="008572B3" w:rsidP="0061521A">
      <w:pPr>
        <w:pStyle w:val="ListParagraph"/>
        <w:keepNext/>
        <w:numPr>
          <w:ilvl w:val="0"/>
          <w:numId w:val="29"/>
        </w:numPr>
        <w:autoSpaceDE w:val="0"/>
        <w:autoSpaceDN w:val="0"/>
        <w:adjustRightInd w:val="0"/>
        <w:ind w:left="284" w:firstLine="0"/>
        <w:rPr>
          <w:lang w:val="en-CA"/>
        </w:rPr>
      </w:pPr>
      <w:r>
        <w:rPr>
          <w:lang w:val="en-CA"/>
        </w:rPr>
        <w:t>I</w:t>
      </w:r>
      <w:r w:rsidRPr="00B400BC">
        <w:rPr>
          <w:lang w:val="en-CA"/>
        </w:rPr>
        <w:t>f an Article 5 country selects option 2, it should be with the understanding that the Executive Committee may agree in exceptional cases to adjust the resulting baseline at the first instance a project from a country is considered, to take into account the demonstrated non-representative nature of the last year’s data for reasons such as clearly demonstrated stockpiling in the specific 12-month period, and/or national economic difficulties in the specific 12-month period. In so considering, the Executive Committee shall not take into account illegal imports, as there should be agreement that firms that import illegally, or purchase illegal imports, should not benefit from Fund assistance. In any case, it must be perfectly clear that only the Montreal Protocol baseline will be used to determine compliance with the Montreal Protocol.</w:t>
      </w:r>
    </w:p>
    <w:p w:rsidR="008572B3" w:rsidRPr="00B400BC" w:rsidRDefault="008572B3" w:rsidP="008572B3">
      <w:pPr>
        <w:autoSpaceDE w:val="0"/>
        <w:autoSpaceDN w:val="0"/>
        <w:adjustRightInd w:val="0"/>
        <w:rPr>
          <w:lang w:val="en-CA"/>
        </w:rPr>
      </w:pPr>
    </w:p>
    <w:p w:rsidR="008572B3" w:rsidRDefault="008572B3" w:rsidP="008572B3">
      <w:pPr>
        <w:pStyle w:val="ListParagraph"/>
        <w:numPr>
          <w:ilvl w:val="0"/>
          <w:numId w:val="29"/>
        </w:numPr>
        <w:autoSpaceDE w:val="0"/>
        <w:autoSpaceDN w:val="0"/>
        <w:adjustRightInd w:val="0"/>
        <w:ind w:left="284" w:firstLine="0"/>
        <w:rPr>
          <w:lang w:val="en-CA"/>
        </w:rPr>
      </w:pPr>
      <w:r>
        <w:rPr>
          <w:lang w:val="en-CA"/>
        </w:rPr>
        <w:t>I</w:t>
      </w:r>
      <w:r w:rsidRPr="00B400BC">
        <w:rPr>
          <w:lang w:val="en-CA"/>
        </w:rPr>
        <w:t>t is acknowledged that some future years’ reported consumption may go above or below the levels that result from the agreed calculation, but if consumption numbers go above the resulting levels, such increases in consumption would not be eligible for funding. It is further noted that the resulting numbers represent maximum residual ODS that the Fund will pay to reduce, and that existing Fund guidance related to eligibility of projects would be maintained in all respects.</w:t>
      </w:r>
    </w:p>
    <w:p w:rsidR="008572B3" w:rsidRPr="00B400BC" w:rsidRDefault="008572B3" w:rsidP="008572B3">
      <w:pPr>
        <w:pStyle w:val="ListParagraph"/>
        <w:rPr>
          <w:lang w:val="en-CA"/>
        </w:rPr>
      </w:pPr>
    </w:p>
    <w:p w:rsidR="008572B3" w:rsidRPr="00B400BC" w:rsidRDefault="008572B3" w:rsidP="008572B3">
      <w:pPr>
        <w:pStyle w:val="ListParagraph"/>
        <w:numPr>
          <w:ilvl w:val="0"/>
          <w:numId w:val="29"/>
        </w:numPr>
        <w:autoSpaceDE w:val="0"/>
        <w:autoSpaceDN w:val="0"/>
        <w:adjustRightInd w:val="0"/>
        <w:ind w:left="284" w:firstLine="0"/>
        <w:rPr>
          <w:lang w:val="en-CA"/>
        </w:rPr>
      </w:pPr>
      <w:r>
        <w:rPr>
          <w:lang w:val="en-CA"/>
        </w:rPr>
        <w:t>I</w:t>
      </w:r>
      <w:r w:rsidRPr="00B400BC">
        <w:rPr>
          <w:lang w:val="en-CA"/>
        </w:rPr>
        <w:t>t is noted that RMPs and methyl bromide projects lead to a specific commitment of levels of reductions in national aggregate consumption relative to Montreal Protocol obligations, and that halon banking projects often lead to commitment for a total national phase-out and ban on the import of halon. Those projects should continue to be handled on that basis.</w:t>
      </w:r>
    </w:p>
    <w:p w:rsidR="008572B3" w:rsidRPr="00B400BC" w:rsidRDefault="008572B3" w:rsidP="008572B3">
      <w:pPr>
        <w:pStyle w:val="ListParagraph"/>
        <w:rPr>
          <w:lang w:val="en-CA"/>
        </w:rPr>
      </w:pPr>
    </w:p>
    <w:p w:rsidR="008572B3" w:rsidRPr="00B400BC" w:rsidRDefault="008572B3" w:rsidP="008572B3">
      <w:pPr>
        <w:pStyle w:val="ListParagraph"/>
        <w:numPr>
          <w:ilvl w:val="0"/>
          <w:numId w:val="29"/>
        </w:numPr>
        <w:autoSpaceDE w:val="0"/>
        <w:autoSpaceDN w:val="0"/>
        <w:adjustRightInd w:val="0"/>
        <w:ind w:left="284" w:firstLine="0"/>
        <w:rPr>
          <w:lang w:val="en-CA"/>
        </w:rPr>
      </w:pPr>
      <w:r>
        <w:rPr>
          <w:lang w:val="en-CA"/>
        </w:rPr>
        <w:t>I</w:t>
      </w:r>
      <w:r w:rsidRPr="00B400BC">
        <w:rPr>
          <w:lang w:val="en-CA"/>
        </w:rPr>
        <w:t>nstitutional strengthening and non-investment activities, including UNEP activities and any country dialogues that may be approved, undeniably contribute to Article 5 reductions in the use of ODS, otherwise, there would be no need to fund these activities. That said, their direct ODS reduction impact has been notoriously difficult to quantify. The Technology and Economic Assessment Panel historically suggested that for methyl bromide, non-investment activities may be five times more cost-effective than phase-out projects, yielding a cost-effectiveness of under US $4.25/kg. For the purposes of this endeavor, it has been agreed to take a much more conservative stance, and agreed that all future non-investment activities be given a value that is not many times more cost-effective than investment projects, which is at US $12.10/kg, which is one third as cost-effective as the average investment project approved under the Fund. This should be used as an interim figure until more research can be done on the issue.</w:t>
      </w:r>
    </w:p>
    <w:p w:rsidR="008572B3" w:rsidRPr="00B400BC" w:rsidRDefault="008572B3" w:rsidP="008572B3">
      <w:pPr>
        <w:pStyle w:val="ListParagraph"/>
        <w:rPr>
          <w:lang w:val="en-CA"/>
        </w:rPr>
      </w:pPr>
    </w:p>
    <w:p w:rsidR="008572B3" w:rsidRDefault="008572B3" w:rsidP="008572B3">
      <w:pPr>
        <w:pStyle w:val="ListParagraph"/>
        <w:numPr>
          <w:ilvl w:val="0"/>
          <w:numId w:val="29"/>
        </w:numPr>
        <w:autoSpaceDE w:val="0"/>
        <w:autoSpaceDN w:val="0"/>
        <w:adjustRightInd w:val="0"/>
        <w:ind w:left="284" w:firstLine="0"/>
        <w:rPr>
          <w:lang w:val="en-CA"/>
        </w:rPr>
      </w:pPr>
      <w:r w:rsidRPr="00B400BC">
        <w:rPr>
          <w:lang w:val="en-CA"/>
        </w:rPr>
        <w:t xml:space="preserve"> </w:t>
      </w:r>
      <w:r>
        <w:rPr>
          <w:lang w:val="en-CA"/>
        </w:rPr>
        <w:t>W</w:t>
      </w:r>
      <w:r w:rsidRPr="00B400BC">
        <w:rPr>
          <w:lang w:val="en-CA"/>
        </w:rPr>
        <w:t>hile countries are still explicitly given the option of proceeding on a project by project or sector/national basis, it should be noted that in the case of broader plans such as production sector plans, RMPs, solvents sector plans, halon sector plans or national CFC phase-out plans, complicated issues such as selecting a starting point and ensuring national sustained reductions become less critical, as the agreements themselves embody a specific commitment to eliminate national aggregate consumption or production of the given substance on a specific schedule.</w:t>
      </w:r>
    </w:p>
    <w:p w:rsidR="008572B3" w:rsidRPr="00B400BC" w:rsidRDefault="008572B3" w:rsidP="008572B3">
      <w:pPr>
        <w:pStyle w:val="ListParagraph"/>
        <w:rPr>
          <w:lang w:val="en-CA"/>
        </w:rPr>
      </w:pPr>
    </w:p>
    <w:p w:rsidR="008572B3" w:rsidRPr="004579DD" w:rsidRDefault="008572B3" w:rsidP="008572B3">
      <w:pPr>
        <w:jc w:val="left"/>
        <w:rPr>
          <w:b/>
        </w:rPr>
      </w:pPr>
      <w:r w:rsidRPr="004579DD">
        <w:rPr>
          <w:b/>
        </w:rPr>
        <w:t>D</w:t>
      </w:r>
      <w:r>
        <w:rPr>
          <w:b/>
        </w:rPr>
        <w:t>ecision</w:t>
      </w:r>
      <w:r w:rsidRPr="004579DD">
        <w:rPr>
          <w:b/>
        </w:rPr>
        <w:t xml:space="preserve"> 37/66 (c)</w:t>
      </w:r>
      <w:r>
        <w:rPr>
          <w:b/>
        </w:rPr>
        <w:t xml:space="preserve">: </w:t>
      </w:r>
      <w:r w:rsidRPr="00992F81">
        <w:rPr>
          <w:b/>
        </w:rPr>
        <w:t>S</w:t>
      </w:r>
      <w:r>
        <w:rPr>
          <w:b/>
        </w:rPr>
        <w:t xml:space="preserve">election of options pursuant to decision </w:t>
      </w:r>
      <w:r w:rsidRPr="00992F81">
        <w:rPr>
          <w:b/>
        </w:rPr>
        <w:t>35/57</w:t>
      </w:r>
    </w:p>
    <w:p w:rsidR="008572B3" w:rsidRDefault="008572B3" w:rsidP="008572B3">
      <w:pPr>
        <w:jc w:val="left"/>
        <w:rPr>
          <w:b/>
        </w:rPr>
      </w:pPr>
    </w:p>
    <w:p w:rsidR="008572B3" w:rsidRDefault="008572B3" w:rsidP="00752FC8">
      <w:pPr>
        <w:pStyle w:val="Heading1"/>
        <w:numPr>
          <w:ilvl w:val="0"/>
          <w:numId w:val="59"/>
        </w:numPr>
      </w:pPr>
      <w:r>
        <w:t xml:space="preserve">The Executive Committee </w:t>
      </w:r>
      <w:r w:rsidRPr="008572B3">
        <w:rPr>
          <w:u w:val="single"/>
        </w:rPr>
        <w:t>decided</w:t>
      </w:r>
      <w:r>
        <w:t>:</w:t>
      </w:r>
    </w:p>
    <w:p w:rsidR="008572B3" w:rsidRDefault="008572B3" w:rsidP="008572B3">
      <w:pPr>
        <w:pStyle w:val="Heading2"/>
        <w:keepNext/>
        <w:widowControl/>
        <w:numPr>
          <w:ilvl w:val="1"/>
          <w:numId w:val="24"/>
        </w:numPr>
        <w:tabs>
          <w:tab w:val="clear" w:pos="720"/>
          <w:tab w:val="num" w:pos="0"/>
        </w:tabs>
        <w:ind w:left="1440"/>
      </w:pPr>
      <w:r>
        <w:t xml:space="preserve">For countries that had not made or confirmed their final selection of an option: </w:t>
      </w:r>
    </w:p>
    <w:p w:rsidR="008572B3" w:rsidRDefault="008572B3" w:rsidP="008572B3">
      <w:pPr>
        <w:pStyle w:val="Heading3"/>
        <w:tabs>
          <w:tab w:val="clear" w:pos="2955"/>
          <w:tab w:val="num" w:pos="0"/>
        </w:tabs>
        <w:ind w:left="2160"/>
      </w:pPr>
      <w:r>
        <w:t>To set a deadline for selection at eight weeks prior to the meeting at which the country concerned intended to submit a project for consideration by the Executive Committee;</w:t>
      </w:r>
    </w:p>
    <w:p w:rsidR="008572B3" w:rsidRDefault="008572B3" w:rsidP="008572B3">
      <w:pPr>
        <w:pStyle w:val="Heading3"/>
        <w:tabs>
          <w:tab w:val="clear" w:pos="2955"/>
          <w:tab w:val="num" w:pos="0"/>
        </w:tabs>
        <w:ind w:left="2160"/>
      </w:pPr>
      <w:r>
        <w:lastRenderedPageBreak/>
        <w:t>Automatically to apply Option 1 if such a country submitted a project without making a selection;</w:t>
      </w:r>
    </w:p>
    <w:p w:rsidR="008572B3" w:rsidRDefault="008572B3" w:rsidP="008572B3">
      <w:pPr>
        <w:pStyle w:val="Heading3"/>
        <w:tabs>
          <w:tab w:val="clear" w:pos="2955"/>
          <w:tab w:val="num" w:pos="0"/>
        </w:tabs>
        <w:ind w:left="2160"/>
      </w:pPr>
      <w:r>
        <w:t>Notwithstanding sub-paragraphs (i) and (ii) above, to consider requests from countries at risk of non-compliance;</w:t>
      </w:r>
    </w:p>
    <w:p w:rsidR="008572B3" w:rsidRDefault="008572B3" w:rsidP="008572B3">
      <w:pPr>
        <w:pStyle w:val="Heading3"/>
        <w:tabs>
          <w:tab w:val="clear" w:pos="2955"/>
          <w:tab w:val="num" w:pos="0"/>
        </w:tabs>
        <w:ind w:left="2160"/>
      </w:pPr>
      <w:r>
        <w:t>To request the Secretariat to assist those countries that were having technical difficulties in making their selection;</w:t>
      </w:r>
    </w:p>
    <w:p w:rsidR="008572B3" w:rsidRDefault="008572B3" w:rsidP="008572B3">
      <w:pPr>
        <w:jc w:val="left"/>
        <w:rPr>
          <w:b/>
        </w:rPr>
      </w:pPr>
      <w:r w:rsidRPr="004579DD">
        <w:rPr>
          <w:b/>
        </w:rPr>
        <w:t>D</w:t>
      </w:r>
      <w:r>
        <w:rPr>
          <w:b/>
        </w:rPr>
        <w:t>ecision</w:t>
      </w:r>
      <w:r w:rsidRPr="004579DD">
        <w:rPr>
          <w:b/>
        </w:rPr>
        <w:t xml:space="preserve"> </w:t>
      </w:r>
      <w:r>
        <w:rPr>
          <w:b/>
        </w:rPr>
        <w:t xml:space="preserve">60/44 (c)(d) and (e) </w:t>
      </w:r>
    </w:p>
    <w:p w:rsidR="008572B3" w:rsidRDefault="008572B3" w:rsidP="008572B3">
      <w:pPr>
        <w:jc w:val="left"/>
        <w:rPr>
          <w:b/>
        </w:rPr>
      </w:pPr>
    </w:p>
    <w:p w:rsidR="008572B3" w:rsidRPr="00F47AA5" w:rsidRDefault="008572B3" w:rsidP="008572B3">
      <w:pPr>
        <w:pStyle w:val="Heading1"/>
        <w:numPr>
          <w:ilvl w:val="0"/>
          <w:numId w:val="0"/>
        </w:numPr>
        <w:rPr>
          <w:b/>
        </w:rPr>
      </w:pPr>
      <w:r>
        <w:t>(Refer to</w:t>
      </w:r>
      <w:r w:rsidRPr="00472453">
        <w:t xml:space="preserve"> decision 60/44 </w:t>
      </w:r>
      <w:r>
        <w:t>under</w:t>
      </w:r>
      <w:r w:rsidRPr="00472453">
        <w:t xml:space="preserve"> Overa</w:t>
      </w:r>
      <w:r>
        <w:t>rching principles and timelines)</w:t>
      </w:r>
    </w:p>
    <w:p w:rsidR="008572B3" w:rsidRPr="00F876DE" w:rsidRDefault="008572B3" w:rsidP="008572B3">
      <w:pPr>
        <w:jc w:val="left"/>
        <w:rPr>
          <w:b/>
          <w:u w:val="single"/>
        </w:rPr>
      </w:pPr>
      <w:r w:rsidRPr="00F876DE">
        <w:rPr>
          <w:b/>
          <w:u w:val="single"/>
        </w:rPr>
        <w:t>Eligible incremental cost</w:t>
      </w:r>
    </w:p>
    <w:p w:rsidR="008572B3" w:rsidRDefault="008572B3" w:rsidP="008572B3">
      <w:pPr>
        <w:jc w:val="left"/>
        <w:rPr>
          <w:b/>
        </w:rPr>
      </w:pPr>
    </w:p>
    <w:p w:rsidR="008572B3" w:rsidRPr="00F47AA5" w:rsidRDefault="008572B3" w:rsidP="008572B3">
      <w:pPr>
        <w:rPr>
          <w:b/>
        </w:rPr>
      </w:pPr>
      <w:r>
        <w:rPr>
          <w:b/>
        </w:rPr>
        <w:t>De</w:t>
      </w:r>
      <w:r w:rsidRPr="001735E1">
        <w:rPr>
          <w:b/>
        </w:rPr>
        <w:t>cision taken at the 16</w:t>
      </w:r>
      <w:r w:rsidRPr="001735E1">
        <w:rPr>
          <w:b/>
          <w:vertAlign w:val="superscript"/>
        </w:rPr>
        <w:t>th</w:t>
      </w:r>
      <w:r>
        <w:rPr>
          <w:b/>
          <w:vertAlign w:val="superscript"/>
        </w:rPr>
        <w:t> </w:t>
      </w:r>
      <w:r>
        <w:rPr>
          <w:b/>
        </w:rPr>
        <w:t>m</w:t>
      </w:r>
      <w:r w:rsidRPr="001735E1">
        <w:rPr>
          <w:b/>
        </w:rPr>
        <w:t>eeting of the Executive Committee (1995)</w:t>
      </w:r>
      <w:r>
        <w:rPr>
          <w:b/>
        </w:rPr>
        <w:t xml:space="preserve"> on </w:t>
      </w:r>
      <w:r w:rsidRPr="00F47AA5">
        <w:rPr>
          <w:b/>
        </w:rPr>
        <w:t>cost</w:t>
      </w:r>
      <w:r>
        <w:rPr>
          <w:b/>
        </w:rPr>
        <w:t>-</w:t>
      </w:r>
      <w:r w:rsidRPr="00F47AA5">
        <w:rPr>
          <w:b/>
        </w:rPr>
        <w:t>effectiveness thresholds</w:t>
      </w:r>
    </w:p>
    <w:p w:rsidR="008572B3" w:rsidRPr="001735E1" w:rsidRDefault="008572B3" w:rsidP="008572B3">
      <w:pPr>
        <w:tabs>
          <w:tab w:val="left" w:pos="-1440"/>
          <w:tab w:val="left" w:pos="-720"/>
          <w:tab w:val="left" w:pos="804"/>
          <w:tab w:val="left" w:pos="1527"/>
          <w:tab w:val="left" w:pos="2251"/>
          <w:tab w:val="left" w:pos="2974"/>
          <w:tab w:val="left" w:pos="3712"/>
        </w:tabs>
        <w:rPr>
          <w:b/>
        </w:rPr>
      </w:pPr>
    </w:p>
    <w:p w:rsidR="008572B3" w:rsidRPr="00AE3A75" w:rsidRDefault="008572B3" w:rsidP="00752FC8">
      <w:pPr>
        <w:pStyle w:val="Heading1"/>
        <w:numPr>
          <w:ilvl w:val="0"/>
          <w:numId w:val="60"/>
        </w:numPr>
      </w:pPr>
      <w:r w:rsidRPr="001735E1">
        <w:t>The Executive Committee</w:t>
      </w:r>
      <w:r>
        <w:t xml:space="preserve"> </w:t>
      </w:r>
      <w:r w:rsidRPr="008572B3">
        <w:rPr>
          <w:spacing w:val="-2"/>
          <w:lang w:val="en-US"/>
        </w:rPr>
        <w:t>(UNEP/OzL.Pro/ExCom/16/20 (paragraph 32))</w:t>
      </w:r>
      <w:r w:rsidRPr="00AE3A75">
        <w:t>:</w:t>
      </w:r>
    </w:p>
    <w:p w:rsidR="008572B3" w:rsidRPr="001735E1" w:rsidRDefault="008572B3" w:rsidP="008572B3">
      <w:pPr>
        <w:pStyle w:val="Heading2"/>
        <w:tabs>
          <w:tab w:val="clear" w:pos="720"/>
          <w:tab w:val="num" w:pos="0"/>
        </w:tabs>
      </w:pPr>
      <w:r w:rsidRPr="001735E1">
        <w:rPr>
          <w:u w:val="single"/>
        </w:rPr>
        <w:t>Decided</w:t>
      </w:r>
      <w:r w:rsidRPr="001735E1">
        <w:t xml:space="preserve"> that the first option proposed by the Sub</w:t>
      </w:r>
      <w:r w:rsidRPr="001735E1">
        <w:noBreakHyphen/>
        <w:t>Committee on Project Review, as outlined in paragraph 25 above, should be implemented on a trial basis for projects submitted to the Seventeenth Meeting of the Executive Committee and that it should be reviewed at the Eighteenth Meeting;</w:t>
      </w:r>
    </w:p>
    <w:p w:rsidR="008572B3" w:rsidRPr="001735E1" w:rsidRDefault="008572B3" w:rsidP="008572B3">
      <w:pPr>
        <w:pStyle w:val="Heading2"/>
        <w:tabs>
          <w:tab w:val="clear" w:pos="720"/>
          <w:tab w:val="num" w:pos="0"/>
        </w:tabs>
      </w:pPr>
      <w:r w:rsidRPr="001735E1">
        <w:rPr>
          <w:u w:val="single"/>
        </w:rPr>
        <w:t>Decided</w:t>
      </w:r>
      <w:r w:rsidRPr="001735E1">
        <w:t xml:space="preserve"> that ODS consumption should be calculated on the basis of either the year, or an average of the three years, immediately preceding project preparation;</w:t>
      </w:r>
    </w:p>
    <w:p w:rsidR="008572B3" w:rsidRPr="001735E1" w:rsidRDefault="008572B3" w:rsidP="008572B3">
      <w:pPr>
        <w:pStyle w:val="Heading2"/>
        <w:tabs>
          <w:tab w:val="clear" w:pos="720"/>
          <w:tab w:val="num" w:pos="0"/>
        </w:tabs>
      </w:pPr>
      <w:r w:rsidRPr="001735E1">
        <w:rPr>
          <w:u w:val="single"/>
        </w:rPr>
        <w:t>Adopted</w:t>
      </w:r>
      <w:r w:rsidRPr="001735E1">
        <w:t xml:space="preserve"> the following sector and sub</w:t>
      </w:r>
      <w:r w:rsidRPr="001735E1">
        <w:noBreakHyphen/>
        <w:t>sector cost</w:t>
      </w:r>
      <w:r w:rsidRPr="001735E1">
        <w:noBreakHyphen/>
        <w:t>effectiveness threshold values to be applied to projects submitted to the Seventeenth Meeting;</w:t>
      </w:r>
    </w:p>
    <w:tbl>
      <w:tblPr>
        <w:tblW w:w="0" w:type="auto"/>
        <w:jc w:val="center"/>
        <w:tblLayout w:type="fixed"/>
        <w:tblCellMar>
          <w:left w:w="120" w:type="dxa"/>
          <w:right w:w="120" w:type="dxa"/>
        </w:tblCellMar>
        <w:tblLook w:val="0000" w:firstRow="0" w:lastRow="0" w:firstColumn="0" w:lastColumn="0" w:noHBand="0" w:noVBand="0"/>
      </w:tblPr>
      <w:tblGrid>
        <w:gridCol w:w="3604"/>
        <w:gridCol w:w="1857"/>
      </w:tblGrid>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rPr>
                <w:spacing w:val="-3"/>
              </w:rPr>
            </w:pPr>
            <w:r w:rsidRPr="001735E1">
              <w:rPr>
                <w:spacing w:val="-3"/>
                <w:u w:val="single"/>
              </w:rPr>
              <w:t>Sector</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center"/>
              <w:rPr>
                <w:spacing w:val="-3"/>
                <w:u w:val="single"/>
              </w:rPr>
            </w:pPr>
            <w:r w:rsidRPr="001735E1">
              <w:rPr>
                <w:spacing w:val="-3"/>
                <w:u w:val="single"/>
              </w:rPr>
              <w:t>US $/kg ODP</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rPr>
                <w:spacing w:val="-3"/>
              </w:rPr>
            </w:pPr>
            <w:r w:rsidRPr="001735E1">
              <w:rPr>
                <w:spacing w:val="-3"/>
              </w:rPr>
              <w:t>AEROSOL</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Hydrocarbon</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4.40</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rPr>
                <w:spacing w:val="-3"/>
              </w:rPr>
            </w:pPr>
            <w:r w:rsidRPr="001735E1">
              <w:rPr>
                <w:spacing w:val="-3"/>
              </w:rPr>
              <w:t>FOAM</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General</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9.53</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Flexible polyurethane</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6.23</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Integral skin</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16.86</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Polystyrene/polyethylene</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8.22</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Rigid polyurethane</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7.83</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rPr>
                <w:spacing w:val="-3"/>
              </w:rPr>
            </w:pPr>
            <w:r w:rsidRPr="001735E1">
              <w:rPr>
                <w:spacing w:val="-3"/>
              </w:rPr>
              <w:t>HALON</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General</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1.48</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rPr>
                <w:spacing w:val="-3"/>
              </w:rPr>
            </w:pPr>
            <w:r w:rsidRPr="001735E1">
              <w:rPr>
                <w:spacing w:val="-3"/>
              </w:rPr>
              <w:t>REFRIGERATION</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Commercial</w:t>
            </w:r>
          </w:p>
        </w:tc>
        <w:tc>
          <w:tcPr>
            <w:tcW w:w="1857" w:type="dxa"/>
            <w:tcBorders>
              <w:top w:val="nil"/>
              <w:left w:val="nil"/>
              <w:bottom w:val="nil"/>
              <w:right w:val="nil"/>
            </w:tcBorders>
          </w:tcPr>
          <w:p w:rsidR="008572B3" w:rsidRPr="001735E1" w:rsidRDefault="008572B3" w:rsidP="008572B3">
            <w:pPr>
              <w:keepNext/>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15.21</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widowControl w:val="0"/>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Domestic</w:t>
            </w:r>
          </w:p>
        </w:tc>
        <w:tc>
          <w:tcPr>
            <w:tcW w:w="1857" w:type="dxa"/>
            <w:tcBorders>
              <w:top w:val="nil"/>
              <w:left w:val="nil"/>
              <w:bottom w:val="nil"/>
              <w:right w:val="nil"/>
            </w:tcBorders>
          </w:tcPr>
          <w:p w:rsidR="008572B3" w:rsidRPr="001735E1" w:rsidRDefault="008572B3" w:rsidP="008572B3">
            <w:pPr>
              <w:widowControl w:val="0"/>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13.76</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widowControl w:val="0"/>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rPr>
                <w:spacing w:val="-3"/>
              </w:rPr>
            </w:pPr>
            <w:r w:rsidRPr="001735E1">
              <w:rPr>
                <w:spacing w:val="-3"/>
              </w:rPr>
              <w:t>SOLVENT</w:t>
            </w:r>
          </w:p>
        </w:tc>
        <w:tc>
          <w:tcPr>
            <w:tcW w:w="1857" w:type="dxa"/>
            <w:tcBorders>
              <w:top w:val="nil"/>
              <w:left w:val="nil"/>
              <w:bottom w:val="nil"/>
              <w:right w:val="nil"/>
            </w:tcBorders>
          </w:tcPr>
          <w:p w:rsidR="008572B3" w:rsidRPr="001735E1" w:rsidRDefault="008572B3" w:rsidP="008572B3">
            <w:pPr>
              <w:widowControl w:val="0"/>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p>
        </w:tc>
      </w:tr>
      <w:tr w:rsidR="008572B3" w:rsidRPr="001735E1" w:rsidTr="008572B3">
        <w:trPr>
          <w:trHeight w:val="243"/>
          <w:jc w:val="center"/>
        </w:trPr>
        <w:tc>
          <w:tcPr>
            <w:tcW w:w="3604" w:type="dxa"/>
            <w:tcBorders>
              <w:top w:val="nil"/>
              <w:left w:val="nil"/>
              <w:bottom w:val="nil"/>
              <w:right w:val="nil"/>
            </w:tcBorders>
          </w:tcPr>
          <w:p w:rsidR="008572B3" w:rsidRPr="001735E1" w:rsidRDefault="008572B3" w:rsidP="008572B3">
            <w:pPr>
              <w:widowControl w:val="0"/>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CFC-113</w:t>
            </w:r>
          </w:p>
        </w:tc>
        <w:tc>
          <w:tcPr>
            <w:tcW w:w="1857" w:type="dxa"/>
            <w:tcBorders>
              <w:top w:val="nil"/>
              <w:left w:val="nil"/>
              <w:bottom w:val="nil"/>
              <w:right w:val="nil"/>
            </w:tcBorders>
          </w:tcPr>
          <w:p w:rsidR="008572B3" w:rsidRPr="001735E1" w:rsidRDefault="008572B3" w:rsidP="008572B3">
            <w:pPr>
              <w:widowControl w:val="0"/>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19.73</w:t>
            </w:r>
          </w:p>
        </w:tc>
      </w:tr>
      <w:tr w:rsidR="008572B3" w:rsidRPr="001735E1" w:rsidTr="008572B3">
        <w:trPr>
          <w:jc w:val="center"/>
        </w:trPr>
        <w:tc>
          <w:tcPr>
            <w:tcW w:w="3604" w:type="dxa"/>
            <w:tcBorders>
              <w:top w:val="nil"/>
              <w:left w:val="nil"/>
              <w:bottom w:val="nil"/>
              <w:right w:val="nil"/>
            </w:tcBorders>
          </w:tcPr>
          <w:p w:rsidR="008572B3" w:rsidRPr="001735E1" w:rsidRDefault="008572B3" w:rsidP="008572B3">
            <w:pPr>
              <w:widowControl w:val="0"/>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ind w:left="804" w:hanging="804"/>
              <w:rPr>
                <w:spacing w:val="-3"/>
              </w:rPr>
            </w:pPr>
            <w:r w:rsidRPr="001735E1">
              <w:rPr>
                <w:spacing w:val="-3"/>
              </w:rPr>
              <w:t>TCA</w:t>
            </w:r>
          </w:p>
        </w:tc>
        <w:tc>
          <w:tcPr>
            <w:tcW w:w="1857" w:type="dxa"/>
            <w:tcBorders>
              <w:top w:val="nil"/>
              <w:left w:val="nil"/>
              <w:bottom w:val="nil"/>
              <w:right w:val="nil"/>
            </w:tcBorders>
          </w:tcPr>
          <w:p w:rsidR="008572B3" w:rsidRPr="001735E1" w:rsidRDefault="008572B3" w:rsidP="008572B3">
            <w:pPr>
              <w:widowControl w:val="0"/>
              <w:tabs>
                <w:tab w:val="left" w:pos="-1440"/>
                <w:tab w:val="left" w:pos="-720"/>
                <w:tab w:val="left" w:pos="804"/>
                <w:tab w:val="left" w:pos="1527"/>
                <w:tab w:val="left" w:pos="2251"/>
                <w:tab w:val="left" w:pos="2974"/>
                <w:tab w:val="left" w:pos="3712"/>
              </w:tabs>
              <w:suppressAutoHyphens/>
              <w:autoSpaceDE w:val="0"/>
              <w:autoSpaceDN w:val="0"/>
              <w:adjustRightInd w:val="0"/>
              <w:spacing w:after="48" w:line="240" w:lineRule="atLeast"/>
              <w:jc w:val="right"/>
              <w:rPr>
                <w:spacing w:val="-3"/>
              </w:rPr>
            </w:pPr>
            <w:r w:rsidRPr="001735E1">
              <w:rPr>
                <w:spacing w:val="-3"/>
              </w:rPr>
              <w:t>38.50”</w:t>
            </w:r>
          </w:p>
        </w:tc>
      </w:tr>
    </w:tbl>
    <w:p w:rsidR="008572B3" w:rsidRDefault="008572B3" w:rsidP="008572B3">
      <w:pPr>
        <w:tabs>
          <w:tab w:val="left" w:pos="1800"/>
          <w:tab w:val="right" w:pos="5400"/>
        </w:tabs>
        <w:ind w:left="360" w:hanging="360"/>
        <w:jc w:val="left"/>
        <w:rPr>
          <w:spacing w:val="-2"/>
          <w:lang w:val="en-US"/>
        </w:rPr>
      </w:pPr>
    </w:p>
    <w:p w:rsidR="008572B3" w:rsidRDefault="008572B3" w:rsidP="008572B3">
      <w:pPr>
        <w:pStyle w:val="Heading2"/>
        <w:tabs>
          <w:tab w:val="clear" w:pos="720"/>
          <w:tab w:val="num" w:pos="0"/>
        </w:tabs>
      </w:pPr>
      <w:r>
        <w:rPr>
          <w:u w:val="single"/>
        </w:rPr>
        <w:t>Decided</w:t>
      </w:r>
      <w:r>
        <w:t xml:space="preserve"> to review the above values at the Eighteenth Meeting;</w:t>
      </w:r>
    </w:p>
    <w:p w:rsidR="008572B3" w:rsidRDefault="008572B3" w:rsidP="008572B3">
      <w:pPr>
        <w:pStyle w:val="Heading2"/>
        <w:tabs>
          <w:tab w:val="clear" w:pos="720"/>
          <w:tab w:val="num" w:pos="0"/>
        </w:tabs>
        <w:rPr>
          <w:rFonts w:ascii="CG Times" w:hAnsi="CG Times" w:cs="CG Times"/>
          <w:spacing w:val="-3"/>
        </w:rPr>
      </w:pPr>
      <w:r>
        <w:rPr>
          <w:rFonts w:ascii="CG Times" w:hAnsi="CG Times" w:cs="CG Times"/>
          <w:spacing w:val="-3"/>
          <w:u w:val="single"/>
        </w:rPr>
        <w:lastRenderedPageBreak/>
        <w:t>Recognized</w:t>
      </w:r>
      <w:r>
        <w:rPr>
          <w:rFonts w:ascii="CG Times" w:hAnsi="CG Times" w:cs="CG Times"/>
          <w:spacing w:val="-3"/>
        </w:rPr>
        <w:t xml:space="preserve"> that in some domestic refrigeration projects using hydrocarbon technologies there are significant costs related to the provision of safety equipment and </w:t>
      </w:r>
      <w:r>
        <w:rPr>
          <w:rFonts w:ascii="CG Times" w:hAnsi="CG Times" w:cs="CG Times"/>
          <w:spacing w:val="-3"/>
          <w:u w:val="single"/>
        </w:rPr>
        <w:t>agreed</w:t>
      </w:r>
      <w:r>
        <w:rPr>
          <w:rFonts w:ascii="CG Times" w:hAnsi="CG Times" w:cs="CG Times"/>
          <w:spacing w:val="-3"/>
        </w:rPr>
        <w:t xml:space="preserve"> that in calculating the cost</w:t>
      </w:r>
      <w:r>
        <w:rPr>
          <w:rFonts w:ascii="CG Times" w:hAnsi="CG Times" w:cs="CG Times"/>
          <w:spacing w:val="-3"/>
        </w:rPr>
        <w:noBreakHyphen/>
        <w:t>effectiveness of such projects, the safety</w:t>
      </w:r>
      <w:r>
        <w:rPr>
          <w:rFonts w:ascii="CG Times" w:hAnsi="CG Times" w:cs="CG Times"/>
          <w:spacing w:val="-3"/>
        </w:rPr>
        <w:noBreakHyphen/>
        <w:t>related costs should be identified and deducted from the total project cost before the cost</w:t>
      </w:r>
      <w:r>
        <w:rPr>
          <w:rFonts w:ascii="CG Times" w:hAnsi="CG Times" w:cs="CG Times"/>
          <w:spacing w:val="-3"/>
        </w:rPr>
        <w:noBreakHyphen/>
        <w:t>effectiveness calculations are made. These costs would, however, be considered in determining the level of project costs and funding;</w:t>
      </w:r>
    </w:p>
    <w:p w:rsidR="008572B3" w:rsidRDefault="008572B3" w:rsidP="008572B3">
      <w:pPr>
        <w:pStyle w:val="Heading2"/>
        <w:tabs>
          <w:tab w:val="clear" w:pos="720"/>
          <w:tab w:val="num" w:pos="0"/>
        </w:tabs>
        <w:rPr>
          <w:rFonts w:ascii="CG Times" w:hAnsi="CG Times" w:cs="CG Times"/>
          <w:spacing w:val="-3"/>
        </w:rPr>
      </w:pPr>
      <w:r>
        <w:rPr>
          <w:rFonts w:ascii="CG Times" w:hAnsi="CG Times" w:cs="CG Times"/>
          <w:spacing w:val="-3"/>
          <w:u w:val="single"/>
        </w:rPr>
        <w:t>Noted</w:t>
      </w:r>
      <w:r>
        <w:rPr>
          <w:rFonts w:ascii="CG Times" w:hAnsi="CG Times" w:cs="CG Times"/>
          <w:spacing w:val="-3"/>
        </w:rPr>
        <w:t xml:space="preserve"> that it was difficult to determine cost</w:t>
      </w:r>
      <w:r>
        <w:rPr>
          <w:rFonts w:ascii="CG Times" w:hAnsi="CG Times" w:cs="CG Times"/>
          <w:spacing w:val="-3"/>
        </w:rPr>
        <w:noBreakHyphen/>
        <w:t>effectiveness thresholds for the mobile air conditioner and compressor sub</w:t>
      </w:r>
      <w:r>
        <w:rPr>
          <w:rFonts w:ascii="CG Times" w:hAnsi="CG Times" w:cs="CG Times"/>
          <w:spacing w:val="-3"/>
        </w:rPr>
        <w:noBreakHyphen/>
        <w:t xml:space="preserve">sectors and therefore </w:t>
      </w:r>
      <w:r>
        <w:rPr>
          <w:rFonts w:ascii="CG Times" w:hAnsi="CG Times" w:cs="CG Times"/>
          <w:spacing w:val="-3"/>
          <w:u w:val="single"/>
        </w:rPr>
        <w:t>agreed</w:t>
      </w:r>
      <w:r>
        <w:rPr>
          <w:rFonts w:ascii="CG Times" w:hAnsi="CG Times" w:cs="CG Times"/>
          <w:spacing w:val="-3"/>
        </w:rPr>
        <w:t xml:space="preserve"> that an amount of US $8,900,000 should be reserved for funding these projects in 1995;</w:t>
      </w:r>
    </w:p>
    <w:p w:rsidR="008572B3" w:rsidRPr="0062251C" w:rsidRDefault="008572B3" w:rsidP="008572B3">
      <w:pPr>
        <w:jc w:val="left"/>
        <w:rPr>
          <w:b/>
        </w:rPr>
      </w:pPr>
      <w:r w:rsidRPr="0062251C">
        <w:rPr>
          <w:b/>
        </w:rPr>
        <w:t>D</w:t>
      </w:r>
      <w:r>
        <w:rPr>
          <w:b/>
        </w:rPr>
        <w:t xml:space="preserve">ecision </w:t>
      </w:r>
      <w:r w:rsidRPr="0062251C">
        <w:rPr>
          <w:b/>
        </w:rPr>
        <w:t>18/25: Technology upgrade</w:t>
      </w:r>
    </w:p>
    <w:p w:rsidR="008572B3" w:rsidRDefault="008572B3" w:rsidP="008572B3">
      <w:pPr>
        <w:jc w:val="left"/>
      </w:pPr>
    </w:p>
    <w:p w:rsidR="008572B3" w:rsidRDefault="008572B3" w:rsidP="00752FC8">
      <w:pPr>
        <w:pStyle w:val="Heading1"/>
        <w:numPr>
          <w:ilvl w:val="0"/>
          <w:numId w:val="61"/>
        </w:numPr>
      </w:pPr>
      <w:r>
        <w:t xml:space="preserve">The Executive Committee </w:t>
      </w:r>
      <w:r w:rsidRPr="008572B3">
        <w:rPr>
          <w:u w:val="single"/>
        </w:rPr>
        <w:t>decided</w:t>
      </w:r>
      <w:r>
        <w:t>:</w:t>
      </w:r>
    </w:p>
    <w:p w:rsidR="008572B3" w:rsidRDefault="008572B3" w:rsidP="008572B3">
      <w:pPr>
        <w:pStyle w:val="Heading2"/>
        <w:numPr>
          <w:ilvl w:val="1"/>
          <w:numId w:val="24"/>
        </w:numPr>
        <w:tabs>
          <w:tab w:val="clear" w:pos="720"/>
          <w:tab w:val="num" w:pos="0"/>
        </w:tabs>
        <w:ind w:left="1440"/>
      </w:pPr>
      <w:r>
        <w:t>That costs associated with avoidable technological upgrades should not be considered as eligible incremental costs and therefore should not be funded by the Multilateral Fund; and</w:t>
      </w:r>
    </w:p>
    <w:p w:rsidR="008572B3" w:rsidRDefault="008572B3" w:rsidP="00DD04DC">
      <w:pPr>
        <w:pStyle w:val="Heading2"/>
        <w:tabs>
          <w:tab w:val="clear" w:pos="720"/>
          <w:tab w:val="num" w:pos="0"/>
        </w:tabs>
        <w:ind w:left="1440"/>
      </w:pPr>
      <w:r>
        <w:t>That the following methodology for the quantification of technological upgrades will be used as guidance in the calculation of incremental costs:</w:t>
      </w:r>
    </w:p>
    <w:p w:rsidR="008572B3" w:rsidRDefault="008572B3" w:rsidP="008572B3">
      <w:pPr>
        <w:ind w:left="1440"/>
      </w:pPr>
      <w:r>
        <w:t>In projects where add-on technological upgrading is established, but standard projects and production capacity/market expansion are not determined, the baseline scenarios should be constructed with respect to future investment and benefits streams. The projected investment and benefits profiles of the enterprise (with and without the conversion project) should be reviewed by the technical reviewer and the implementing agency to ensure broad consistency with the technological and commercial practices of the enterprise. The incremental costs would be calculated as:</w:t>
      </w:r>
    </w:p>
    <w:p w:rsidR="008572B3" w:rsidRDefault="008572B3" w:rsidP="008572B3">
      <w:pPr>
        <w:ind w:left="1440"/>
      </w:pPr>
    </w:p>
    <w:p w:rsidR="008572B3" w:rsidRDefault="008572B3" w:rsidP="008572B3">
      <w:pPr>
        <w:ind w:left="1440"/>
      </w:pPr>
      <w:r>
        <w:t>IC = [CC - NPV(FI)] + NPV[FBb - Fbp], where,</w:t>
      </w:r>
    </w:p>
    <w:p w:rsidR="008572B3" w:rsidRDefault="008572B3" w:rsidP="008572B3">
      <w:pPr>
        <w:ind w:left="1440"/>
      </w:pPr>
      <w:r>
        <w:t>IC is the incremental cost,</w:t>
      </w:r>
    </w:p>
    <w:p w:rsidR="008572B3" w:rsidRDefault="008572B3" w:rsidP="008572B3">
      <w:pPr>
        <w:ind w:left="1440"/>
      </w:pPr>
      <w:r>
        <w:t>CC is the capital cost of the conversion project,</w:t>
      </w:r>
    </w:p>
    <w:p w:rsidR="008572B3" w:rsidRDefault="008572B3" w:rsidP="008572B3">
      <w:pPr>
        <w:ind w:left="1440"/>
      </w:pPr>
      <w:r>
        <w:t>FI is future baseline investments (that would have occurred absent the conversion),</w:t>
      </w:r>
    </w:p>
    <w:p w:rsidR="008572B3" w:rsidRDefault="008572B3" w:rsidP="008572B3">
      <w:pPr>
        <w:ind w:left="1440"/>
      </w:pPr>
      <w:r>
        <w:t>Fbb is the future baseline benefits (that would have occurred absent the conversion),</w:t>
      </w:r>
    </w:p>
    <w:p w:rsidR="008572B3" w:rsidRDefault="008572B3" w:rsidP="008572B3">
      <w:pPr>
        <w:ind w:left="1440"/>
      </w:pPr>
      <w:r>
        <w:t>Fbp is the future benefits with the conversion project.</w:t>
      </w:r>
    </w:p>
    <w:p w:rsidR="008572B3" w:rsidRDefault="008572B3" w:rsidP="008572B3">
      <w:pPr>
        <w:ind w:left="1440"/>
        <w:rPr>
          <w:b/>
        </w:rPr>
      </w:pPr>
      <w:r>
        <w:t>NPV refers the net present value of a stream of costs/benefits.</w:t>
      </w:r>
    </w:p>
    <w:p w:rsidR="008572B3" w:rsidRDefault="008572B3" w:rsidP="008572B3">
      <w:pPr>
        <w:rPr>
          <w:b/>
        </w:rPr>
      </w:pPr>
    </w:p>
    <w:p w:rsidR="008572B3" w:rsidRDefault="008572B3" w:rsidP="008572B3">
      <w:pPr>
        <w:jc w:val="left"/>
        <w:rPr>
          <w:b/>
        </w:rPr>
      </w:pPr>
      <w:r w:rsidRPr="006F17A9">
        <w:rPr>
          <w:b/>
        </w:rPr>
        <w:t>D</w:t>
      </w:r>
      <w:r>
        <w:rPr>
          <w:b/>
        </w:rPr>
        <w:t>ecisions</w:t>
      </w:r>
      <w:r w:rsidRPr="006F17A9">
        <w:rPr>
          <w:b/>
        </w:rPr>
        <w:t xml:space="preserve"> 22/25 and 23/52: Prices of chemicals</w:t>
      </w:r>
    </w:p>
    <w:p w:rsidR="008572B3" w:rsidRPr="006F17A9" w:rsidRDefault="008572B3" w:rsidP="008572B3">
      <w:pPr>
        <w:jc w:val="left"/>
        <w:rPr>
          <w:b/>
        </w:rPr>
      </w:pPr>
    </w:p>
    <w:p w:rsidR="008572B3" w:rsidRPr="000536DC" w:rsidRDefault="008572B3" w:rsidP="00752FC8">
      <w:pPr>
        <w:pStyle w:val="Heading1"/>
        <w:numPr>
          <w:ilvl w:val="0"/>
          <w:numId w:val="62"/>
        </w:numPr>
      </w:pPr>
      <w:r w:rsidRPr="000536DC">
        <w:t>Having considered the recommendations of the Sub-Committee on Project Review on the price of chemicals,</w:t>
      </w:r>
      <w:r>
        <w:rPr>
          <w:rStyle w:val="FootnoteReference"/>
        </w:rPr>
        <w:footnoteReference w:id="51"/>
      </w:r>
      <w:r w:rsidRPr="000536DC">
        <w:t xml:space="preserve"> the Executive Committee </w:t>
      </w:r>
      <w:r w:rsidRPr="008572B3">
        <w:rPr>
          <w:u w:val="single"/>
        </w:rPr>
        <w:t>decided</w:t>
      </w:r>
      <w:r w:rsidRPr="000536DC">
        <w:t xml:space="preserve"> to request the Secretariat and the implementing agencies to hold discussions on and review the process of setting the prices of ODS and other chemicals for the purpose of calculating incremental operating costs, taking fully into account the earlier decision of the Executive Committee on limiting the variation in prices to 20 per cent of the regional border price, and to prepare, by the </w:t>
      </w:r>
      <w:r>
        <w:t>23</w:t>
      </w:r>
      <w:r w:rsidRPr="008572B3">
        <w:rPr>
          <w:vertAlign w:val="superscript"/>
        </w:rPr>
        <w:t>rd</w:t>
      </w:r>
      <w:r>
        <w:t xml:space="preserve"> meeting</w:t>
      </w:r>
      <w:r w:rsidRPr="000536DC">
        <w:t>, a paper outlining the process proposed to be followed.</w:t>
      </w:r>
    </w:p>
    <w:p w:rsidR="008572B3" w:rsidRPr="000536DC" w:rsidRDefault="008572B3" w:rsidP="008572B3">
      <w:pPr>
        <w:pStyle w:val="Heading1"/>
        <w:keepNext/>
      </w:pPr>
      <w:r w:rsidRPr="000536DC">
        <w:lastRenderedPageBreak/>
        <w:t xml:space="preserve">Having considered a paper prepared jointly by the Secretariat and the implementing agencies in response to </w:t>
      </w:r>
      <w:r>
        <w:t>d</w:t>
      </w:r>
      <w:r w:rsidRPr="000536DC">
        <w:t>ecision 22/25,</w:t>
      </w:r>
      <w:r>
        <w:rPr>
          <w:rStyle w:val="FootnoteReference"/>
        </w:rPr>
        <w:footnoteReference w:id="52"/>
      </w:r>
      <w:r w:rsidRPr="000536DC">
        <w:t xml:space="preserve"> describing a process and a methodology for determining prices of chemicals for the purpose of calculating incremental operating costs, the Executive Committee </w:t>
      </w:r>
      <w:r w:rsidRPr="000536DC">
        <w:rPr>
          <w:u w:val="single"/>
        </w:rPr>
        <w:t>decided</w:t>
      </w:r>
      <w:r w:rsidRPr="000536DC">
        <w:t>:</w:t>
      </w:r>
    </w:p>
    <w:p w:rsidR="008572B3" w:rsidRDefault="008572B3" w:rsidP="00DD04DC">
      <w:pPr>
        <w:pStyle w:val="Heading2"/>
        <w:keepNext/>
        <w:widowControl/>
        <w:tabs>
          <w:tab w:val="clear" w:pos="720"/>
          <w:tab w:val="num" w:pos="0"/>
        </w:tabs>
        <w:ind w:left="1440"/>
      </w:pPr>
      <w:r>
        <w:t>To approve the document, amended by inserting in its paragraph 13 the words “and Article 5” following “Article 2”; and</w:t>
      </w:r>
    </w:p>
    <w:p w:rsidR="008572B3" w:rsidRPr="00104524" w:rsidRDefault="008572B3" w:rsidP="00DD04DC">
      <w:pPr>
        <w:pStyle w:val="Heading2"/>
        <w:keepNext/>
        <w:widowControl/>
        <w:tabs>
          <w:tab w:val="clear" w:pos="720"/>
          <w:tab w:val="num" w:pos="0"/>
        </w:tabs>
        <w:ind w:left="1440"/>
      </w:pPr>
      <w:r>
        <w:t>To consider at a subsequent meeting a simplified methodology to be prepared by the representative of India.</w:t>
      </w:r>
    </w:p>
    <w:p w:rsidR="008572B3" w:rsidRPr="0021150D" w:rsidRDefault="008572B3" w:rsidP="008572B3">
      <w:pPr>
        <w:jc w:val="left"/>
        <w:rPr>
          <w:b/>
        </w:rPr>
      </w:pPr>
      <w:r w:rsidRPr="0021150D">
        <w:rPr>
          <w:b/>
        </w:rPr>
        <w:t>Decision 25/48</w:t>
      </w:r>
      <w:r>
        <w:rPr>
          <w:b/>
        </w:rPr>
        <w:t>:</w:t>
      </w:r>
      <w:r w:rsidRPr="0021150D">
        <w:rPr>
          <w:b/>
        </w:rPr>
        <w:t xml:space="preserve"> Baseline equipment</w:t>
      </w:r>
      <w:r>
        <w:rPr>
          <w:b/>
        </w:rPr>
        <w:t xml:space="preserve"> and unavoidable technological upgrades</w:t>
      </w:r>
    </w:p>
    <w:p w:rsidR="008572B3" w:rsidRPr="00AA2DDB" w:rsidRDefault="008572B3" w:rsidP="008572B3">
      <w:pPr>
        <w:jc w:val="left"/>
      </w:pPr>
    </w:p>
    <w:p w:rsidR="008572B3" w:rsidRPr="00AA2DDB" w:rsidRDefault="008572B3" w:rsidP="00752FC8">
      <w:pPr>
        <w:pStyle w:val="Heading1"/>
        <w:numPr>
          <w:ilvl w:val="0"/>
          <w:numId w:val="63"/>
        </w:numPr>
      </w:pPr>
      <w:r w:rsidRPr="00AA2DDB">
        <w:t xml:space="preserve">Having taken note of the comments and recommendations of the Sub-Committee on Project </w:t>
      </w:r>
      <w:r>
        <w:t>r</w:t>
      </w:r>
      <w:r w:rsidRPr="00AA2DDB">
        <w:t>eview,</w:t>
      </w:r>
      <w:r>
        <w:rPr>
          <w:rStyle w:val="FootnoteReference"/>
        </w:rPr>
        <w:footnoteReference w:id="53"/>
      </w:r>
      <w:r w:rsidRPr="00AA2DDB">
        <w:t xml:space="preserve"> and the proposals from the floor, the Executive Committee: </w:t>
      </w:r>
    </w:p>
    <w:p w:rsidR="008572B3" w:rsidRPr="00AA2DDB" w:rsidRDefault="008572B3" w:rsidP="008572B3">
      <w:pPr>
        <w:pStyle w:val="Heading2"/>
        <w:numPr>
          <w:ilvl w:val="1"/>
          <w:numId w:val="24"/>
        </w:numPr>
        <w:tabs>
          <w:tab w:val="clear" w:pos="720"/>
          <w:tab w:val="num" w:pos="0"/>
        </w:tabs>
        <w:ind w:left="1440"/>
      </w:pPr>
      <w:r w:rsidRPr="00315146">
        <w:rPr>
          <w:u w:val="single"/>
        </w:rPr>
        <w:t>Noted</w:t>
      </w:r>
      <w:r w:rsidRPr="00AA2DDB">
        <w:t xml:space="preserve"> that the Sub-Committee on Project Review proposed to take up, at its next meeting, the following issues:</w:t>
      </w:r>
      <w:r>
        <w:t xml:space="preserve"> </w:t>
      </w:r>
      <w:r w:rsidRPr="00AA2DDB">
        <w:t>“the provision of replacement equipment constituted a technological upgrade in relation to the baseline conditions of enterprises for which retrofit of existing equipment was not feasible</w:t>
      </w:r>
      <w:r>
        <w:t>”</w:t>
      </w:r>
      <w:r w:rsidRPr="00AA2DDB">
        <w:t>;</w:t>
      </w:r>
      <w:r>
        <w:t xml:space="preserve"> and </w:t>
      </w:r>
      <w:r w:rsidRPr="00AA2DDB">
        <w:t>“that unavoidable technological upgrade was to be taken into account in determining eligible incremental costs”; and</w:t>
      </w:r>
    </w:p>
    <w:p w:rsidR="008572B3" w:rsidRPr="00AA2DDB" w:rsidRDefault="008572B3" w:rsidP="00DD04DC">
      <w:pPr>
        <w:pStyle w:val="Heading2"/>
        <w:tabs>
          <w:tab w:val="clear" w:pos="720"/>
          <w:tab w:val="num" w:pos="0"/>
        </w:tabs>
        <w:ind w:left="1440"/>
      </w:pPr>
      <w:r w:rsidRPr="000750E3">
        <w:rPr>
          <w:u w:val="single"/>
        </w:rPr>
        <w:t>Decided</w:t>
      </w:r>
      <w:r w:rsidRPr="00AA2DDB">
        <w:t xml:space="preserve"> that the baseline concept be adopted and implemented selectively, through application of Decision 18/25 on technological upgrade utilizing pro-rating of equipment costs, to the specific circumstances indicated below, and with the methodologies as also indicated:</w:t>
      </w:r>
    </w:p>
    <w:p w:rsidR="008572B3" w:rsidRDefault="008572B3" w:rsidP="008572B3">
      <w:pPr>
        <w:keepNext/>
        <w:ind w:left="720"/>
        <w:jc w:val="left"/>
        <w:rPr>
          <w:u w:val="single"/>
        </w:rPr>
      </w:pPr>
      <w:r w:rsidRPr="00455B19">
        <w:rPr>
          <w:u w:val="single"/>
        </w:rPr>
        <w:t>For the domestic and commercial refrigeration and rigi</w:t>
      </w:r>
      <w:r>
        <w:rPr>
          <w:u w:val="single"/>
        </w:rPr>
        <w:t>d polyurethane foam sub sectors:</w:t>
      </w:r>
    </w:p>
    <w:p w:rsidR="008572B3" w:rsidRPr="00455B19" w:rsidRDefault="008572B3" w:rsidP="008572B3">
      <w:pPr>
        <w:keepNext/>
        <w:jc w:val="left"/>
        <w:rPr>
          <w:u w:val="single"/>
        </w:rPr>
      </w:pPr>
    </w:p>
    <w:p w:rsidR="008572B3" w:rsidRPr="00AA2DDB" w:rsidRDefault="008572B3" w:rsidP="008572B3">
      <w:pPr>
        <w:pStyle w:val="Heading3"/>
        <w:keepNext/>
        <w:tabs>
          <w:tab w:val="clear" w:pos="2955"/>
          <w:tab w:val="num" w:pos="0"/>
        </w:tabs>
        <w:ind w:left="2160"/>
      </w:pPr>
      <w:r>
        <w:t>T</w:t>
      </w:r>
      <w:r w:rsidRPr="00AA2DDB">
        <w:t>he incremental cost of providing new foam machines where these are essential for conversion and none exist in the baseline should be based on either the difference between the cost of a low-pressure and a high-pressure foam machine, where a high-pressure machine is essential, or, alternatively, an agreed percentage of the cost of a low-pressure machine;</w:t>
      </w:r>
    </w:p>
    <w:p w:rsidR="008572B3" w:rsidRPr="00AA2DDB" w:rsidRDefault="008572B3" w:rsidP="008572B3">
      <w:pPr>
        <w:pStyle w:val="Heading3"/>
        <w:widowControl w:val="0"/>
        <w:tabs>
          <w:tab w:val="clear" w:pos="2955"/>
          <w:tab w:val="num" w:pos="0"/>
        </w:tabs>
        <w:ind w:left="2160"/>
      </w:pPr>
      <w:r>
        <w:t>F</w:t>
      </w:r>
      <w:r w:rsidRPr="00AA2DDB">
        <w:t>or foam machines nearing the end of their useful life, the incremental cost of conversion should be based on the cost, from the same supplier, of a new machine, from which has been deducted the cost of a replacement ODS</w:t>
      </w:r>
      <w:r>
        <w:noBreakHyphen/>
      </w:r>
      <w:r w:rsidRPr="00AA2DDB">
        <w:t xml:space="preserve">technology machine, or a proportion thereof calculated according to </w:t>
      </w:r>
      <w:r>
        <w:t>d</w:t>
      </w:r>
      <w:r w:rsidRPr="00AA2DDB">
        <w:t>ecision</w:t>
      </w:r>
      <w:r>
        <w:t> </w:t>
      </w:r>
      <w:r w:rsidRPr="00AA2DDB">
        <w:t>18/25;</w:t>
      </w:r>
    </w:p>
    <w:p w:rsidR="008572B3" w:rsidRPr="00AA2DDB" w:rsidRDefault="008572B3" w:rsidP="008572B3">
      <w:pPr>
        <w:pStyle w:val="Heading3"/>
        <w:widowControl w:val="0"/>
        <w:tabs>
          <w:tab w:val="clear" w:pos="2955"/>
          <w:tab w:val="num" w:pos="0"/>
        </w:tabs>
        <w:ind w:left="2160"/>
      </w:pPr>
      <w:r>
        <w:t>F</w:t>
      </w:r>
      <w:r w:rsidRPr="00AA2DDB">
        <w:t>or foam machines in all other circumstances, the incremental cost of conversion should be based on the cost of retrofitting similar machines available through international bidding.</w:t>
      </w:r>
    </w:p>
    <w:p w:rsidR="008572B3" w:rsidRDefault="008572B3" w:rsidP="008572B3">
      <w:pPr>
        <w:jc w:val="left"/>
        <w:rPr>
          <w:u w:val="single"/>
        </w:rPr>
      </w:pPr>
      <w:r w:rsidRPr="00AA2DDB">
        <w:tab/>
      </w:r>
      <w:r w:rsidRPr="00455B19">
        <w:rPr>
          <w:u w:val="single"/>
        </w:rPr>
        <w:t>For the solvents sector</w:t>
      </w:r>
      <w:r>
        <w:rPr>
          <w:u w:val="single"/>
        </w:rPr>
        <w:t>:</w:t>
      </w:r>
    </w:p>
    <w:p w:rsidR="008572B3" w:rsidRPr="00455B19" w:rsidRDefault="008572B3" w:rsidP="008572B3">
      <w:pPr>
        <w:jc w:val="left"/>
        <w:rPr>
          <w:u w:val="single"/>
        </w:rPr>
      </w:pPr>
    </w:p>
    <w:p w:rsidR="008572B3" w:rsidRPr="00AA2DDB" w:rsidRDefault="008572B3" w:rsidP="008572B3">
      <w:pPr>
        <w:pStyle w:val="Heading3"/>
        <w:widowControl w:val="0"/>
        <w:numPr>
          <w:ilvl w:val="2"/>
          <w:numId w:val="24"/>
        </w:numPr>
        <w:tabs>
          <w:tab w:val="clear" w:pos="2955"/>
          <w:tab w:val="num" w:pos="0"/>
        </w:tabs>
        <w:ind w:left="2160"/>
      </w:pPr>
      <w:r>
        <w:t>T</w:t>
      </w:r>
      <w:r w:rsidRPr="00AA2DDB">
        <w:t>he incremental cost of conversion of existing solvent cleaning machines to use non-CFC or non-TCA solvents should be based on the cost of retrofitting similar machines available through international bidding (excluding conversion to aqueous/semi-aqueous technology which requires different equipment).</w:t>
      </w:r>
    </w:p>
    <w:p w:rsidR="008572B3" w:rsidRPr="007646B0" w:rsidRDefault="008572B3" w:rsidP="008572B3">
      <w:pPr>
        <w:jc w:val="left"/>
        <w:rPr>
          <w:b/>
        </w:rPr>
      </w:pPr>
      <w:r>
        <w:rPr>
          <w:b/>
        </w:rPr>
        <w:lastRenderedPageBreak/>
        <w:t xml:space="preserve">Decision 25/49: </w:t>
      </w:r>
      <w:r w:rsidRPr="007646B0">
        <w:rPr>
          <w:b/>
        </w:rPr>
        <w:t>Incremental operating costs for compressors</w:t>
      </w:r>
    </w:p>
    <w:p w:rsidR="008572B3" w:rsidRDefault="008572B3" w:rsidP="008572B3">
      <w:pPr>
        <w:keepNext/>
        <w:keepLines/>
      </w:pPr>
    </w:p>
    <w:p w:rsidR="008572B3" w:rsidRDefault="008572B3" w:rsidP="00752FC8">
      <w:pPr>
        <w:pStyle w:val="Heading1"/>
        <w:numPr>
          <w:ilvl w:val="0"/>
          <w:numId w:val="64"/>
        </w:numPr>
      </w:pPr>
      <w:r>
        <w:t>Having taken note of the comments and recommendations of the Sub-Committee on Project Review,</w:t>
      </w:r>
      <w:r>
        <w:rPr>
          <w:rStyle w:val="FootnoteReference"/>
        </w:rPr>
        <w:footnoteReference w:id="54"/>
      </w:r>
      <w:r>
        <w:t xml:space="preserve"> the Executive Committee </w:t>
      </w:r>
      <w:r w:rsidRPr="008572B3">
        <w:rPr>
          <w:u w:val="single"/>
        </w:rPr>
        <w:t>decided</w:t>
      </w:r>
      <w:r>
        <w:t xml:space="preserve"> to request the Secretariat to rethink the whole question of incremental operating costs for compressors, and to produce a new document based on a much simpler approach, such as, for example, a percentage of the capital costs.</w:t>
      </w:r>
    </w:p>
    <w:p w:rsidR="008572B3" w:rsidRDefault="008572B3" w:rsidP="008572B3">
      <w:pPr>
        <w:jc w:val="left"/>
        <w:rPr>
          <w:b/>
        </w:rPr>
      </w:pPr>
      <w:r w:rsidRPr="00AB54F7">
        <w:rPr>
          <w:b/>
        </w:rPr>
        <w:t>D</w:t>
      </w:r>
      <w:r>
        <w:rPr>
          <w:b/>
        </w:rPr>
        <w:t>ecision</w:t>
      </w:r>
      <w:r w:rsidRPr="00AB54F7">
        <w:rPr>
          <w:b/>
        </w:rPr>
        <w:t xml:space="preserve"> 62/9:</w:t>
      </w:r>
      <w:r>
        <w:rPr>
          <w:b/>
        </w:rPr>
        <w:t xml:space="preserve"> </w:t>
      </w:r>
      <w:r w:rsidRPr="00CD649D">
        <w:rPr>
          <w:b/>
        </w:rPr>
        <w:t>Incremental operating costs</w:t>
      </w:r>
      <w:r>
        <w:rPr>
          <w:b/>
        </w:rPr>
        <w:t xml:space="preserve"> in the aerosol sector for HCFC phase-out</w:t>
      </w:r>
    </w:p>
    <w:p w:rsidR="008572B3" w:rsidRPr="00CD649D" w:rsidRDefault="008572B3" w:rsidP="008572B3">
      <w:pPr>
        <w:jc w:val="left"/>
        <w:rPr>
          <w:b/>
        </w:rPr>
      </w:pPr>
    </w:p>
    <w:p w:rsidR="008572B3" w:rsidRDefault="008572B3" w:rsidP="00752FC8">
      <w:pPr>
        <w:pStyle w:val="Heading1"/>
        <w:numPr>
          <w:ilvl w:val="0"/>
          <w:numId w:val="65"/>
        </w:numPr>
      </w:pPr>
      <w:r>
        <w:t>At its 62</w:t>
      </w:r>
      <w:r w:rsidRPr="008572B3">
        <w:rPr>
          <w:vertAlign w:val="superscript"/>
        </w:rPr>
        <w:t>nd</w:t>
      </w:r>
      <w:r>
        <w:t xml:space="preserve"> m</w:t>
      </w:r>
      <w:r w:rsidRPr="00CD649D">
        <w:t>eeting</w:t>
      </w:r>
      <w:r>
        <w:t>,</w:t>
      </w:r>
      <w:r w:rsidRPr="00CD649D">
        <w:t xml:space="preserve"> the Executive Committee </w:t>
      </w:r>
      <w:r w:rsidRPr="008572B3">
        <w:rPr>
          <w:u w:val="single"/>
        </w:rPr>
        <w:t>decided</w:t>
      </w:r>
      <w:r w:rsidRPr="000750E3">
        <w:t xml:space="preserve"> </w:t>
      </w:r>
      <w:r w:rsidRPr="00CD649D">
        <w:t>that the incremental operating costs for the</w:t>
      </w:r>
      <w:r>
        <w:t xml:space="preserve"> </w:t>
      </w:r>
      <w:r w:rsidRPr="00CD649D">
        <w:t>aerosol sector should be determined on the basis of a one-year duration.</w:t>
      </w:r>
    </w:p>
    <w:p w:rsidR="008572B3" w:rsidRPr="00773006" w:rsidRDefault="008572B3" w:rsidP="008572B3">
      <w:pPr>
        <w:keepNext/>
        <w:spacing w:after="240"/>
        <w:rPr>
          <w:b/>
        </w:rPr>
      </w:pPr>
      <w:r w:rsidRPr="00773006">
        <w:rPr>
          <w:b/>
        </w:rPr>
        <w:t>Decision 62/13: Cost-effectiveness threshold for the rigid insulation refrigeration foam sub-sector</w:t>
      </w:r>
    </w:p>
    <w:p w:rsidR="008572B3" w:rsidRPr="00773006" w:rsidRDefault="008572B3" w:rsidP="00752FC8">
      <w:pPr>
        <w:pStyle w:val="Heading1"/>
        <w:keepNext/>
        <w:numPr>
          <w:ilvl w:val="0"/>
          <w:numId w:val="66"/>
        </w:numPr>
      </w:pPr>
      <w:r w:rsidRPr="00773006">
        <w:t xml:space="preserve">The Executive Committee </w:t>
      </w:r>
      <w:r w:rsidRPr="008572B3">
        <w:rPr>
          <w:u w:val="single"/>
        </w:rPr>
        <w:t>decided</w:t>
      </w:r>
      <w:r w:rsidRPr="00773006">
        <w:t xml:space="preserve"> to set the cost-effectiveness threshold for rigid insulation refrigeration foam at US $7.83/kg with a maximum of up to 25 per cent above this threshold for low</w:t>
      </w:r>
      <w:r w:rsidRPr="00773006">
        <w:noBreakHyphen/>
        <w:t>global warming potential alternatives.</w:t>
      </w:r>
    </w:p>
    <w:p w:rsidR="008572B3" w:rsidRPr="00487798" w:rsidRDefault="008572B3" w:rsidP="008572B3">
      <w:pPr>
        <w:rPr>
          <w:b/>
        </w:rPr>
      </w:pPr>
      <w:r w:rsidRPr="00487798">
        <w:rPr>
          <w:b/>
        </w:rPr>
        <w:t>D</w:t>
      </w:r>
      <w:r>
        <w:rPr>
          <w:b/>
        </w:rPr>
        <w:t>ecisions</w:t>
      </w:r>
      <w:r w:rsidRPr="00487798">
        <w:rPr>
          <w:b/>
        </w:rPr>
        <w:t xml:space="preserve"> 61/47, 63/15, 66/51 </w:t>
      </w:r>
      <w:r>
        <w:rPr>
          <w:b/>
        </w:rPr>
        <w:t>and</w:t>
      </w:r>
      <w:r w:rsidRPr="00487798">
        <w:rPr>
          <w:b/>
        </w:rPr>
        <w:t xml:space="preserve"> 68/42 </w:t>
      </w:r>
      <w:r>
        <w:rPr>
          <w:b/>
        </w:rPr>
        <w:t>r</w:t>
      </w:r>
      <w:r>
        <w:rPr>
          <w:rFonts w:ascii="Times New Roman Bold" w:hAnsi="Times New Roman Bold"/>
          <w:b/>
        </w:rPr>
        <w:t xml:space="preserve">elated to </w:t>
      </w:r>
      <w:r w:rsidRPr="007646B0">
        <w:rPr>
          <w:rFonts w:ascii="Times New Roman Bold" w:hAnsi="Times New Roman Bold"/>
          <w:b/>
        </w:rPr>
        <w:t>HCFC-141b contained in imported pre-blended polyol system</w:t>
      </w:r>
      <w:r>
        <w:rPr>
          <w:rFonts w:ascii="Times New Roman Bold" w:hAnsi="Times New Roman Bold"/>
          <w:b/>
        </w:rPr>
        <w:t>s</w:t>
      </w:r>
    </w:p>
    <w:p w:rsidR="008572B3" w:rsidRPr="00487798" w:rsidRDefault="008572B3" w:rsidP="008572B3">
      <w:pPr>
        <w:jc w:val="left"/>
      </w:pPr>
    </w:p>
    <w:p w:rsidR="008572B3" w:rsidRPr="00487798" w:rsidRDefault="008572B3" w:rsidP="00752FC8">
      <w:pPr>
        <w:pStyle w:val="Heading1"/>
        <w:numPr>
          <w:ilvl w:val="0"/>
          <w:numId w:val="67"/>
        </w:numPr>
      </w:pPr>
      <w:r w:rsidRPr="00487798">
        <w:t>Two project proposals were submitted to the 59</w:t>
      </w:r>
      <w:r w:rsidRPr="008572B3">
        <w:rPr>
          <w:vertAlign w:val="superscript"/>
        </w:rPr>
        <w:t>th</w:t>
      </w:r>
      <w:r w:rsidRPr="00487798">
        <w:t xml:space="preserve"> meeting to phase out HCFC-141b contained in imported pre-blended polyols for foam</w:t>
      </w:r>
      <w:r w:rsidRPr="00487798">
        <w:rPr>
          <w:vertAlign w:val="superscript"/>
        </w:rPr>
        <w:footnoteReference w:id="55"/>
      </w:r>
      <w:r w:rsidRPr="00487798">
        <w:t xml:space="preserve">. In both cases, the amount of HCFC-141b to be phased out was not recorded as consumption as per the Montreal Protocol’s definition. When consulted, the Ozone Secretariat had indicated that it was not possible to determine whether Parties included pre-blended polyols in their reported Article 7 data. It was further noted that the issue of not reporting HCFC-141b contained in pre-blended polyols was likely to occur in a number of Article 5 countries. Following a discussion, the Executive Committee </w:t>
      </w:r>
      <w:r w:rsidRPr="008572B3">
        <w:rPr>
          <w:i/>
        </w:rPr>
        <w:t xml:space="preserve">inter alia </w:t>
      </w:r>
      <w:r w:rsidRPr="00487798">
        <w:t>requested the Fund Secretariat, in consultation with the Ozone Secretariat, to prepare a paper outlining the implications for Article 5 Parties and the Multilateral Fund associated with the import and export of HCFC-based pre-blended polyols (decision 59/12).</w:t>
      </w:r>
    </w:p>
    <w:p w:rsidR="008572B3" w:rsidRPr="00487798" w:rsidRDefault="008572B3" w:rsidP="008572B3">
      <w:pPr>
        <w:pStyle w:val="Heading1"/>
      </w:pPr>
      <w:r w:rsidRPr="00487798">
        <w:t>In response to decision 59/12, the Executive Committee considered at its 61</w:t>
      </w:r>
      <w:r w:rsidRPr="00487798">
        <w:rPr>
          <w:vertAlign w:val="superscript"/>
        </w:rPr>
        <w:t>st </w:t>
      </w:r>
      <w:r w:rsidRPr="00487798">
        <w:t>meeting (July 2010) a paper on the consumption arising from HCFC-141b contained in pre-blended foam chemicals (polyols)</w:t>
      </w:r>
      <w:r w:rsidR="00DD04DC">
        <w:rPr>
          <w:rStyle w:val="FootnoteReference"/>
        </w:rPr>
        <w:footnoteReference w:id="56"/>
      </w:r>
      <w:r w:rsidRPr="00487798">
        <w:t>. Given the importance of the matter and the desire to ensure that all eligible enterprises using HCFC-141b in pre</w:t>
      </w:r>
      <w:r w:rsidRPr="00487798">
        <w:noBreakHyphen/>
        <w:t>blended polyols could benefit from Multilateral Fund assistance, the Executive Committee decided (decision 61/47):</w:t>
      </w:r>
    </w:p>
    <w:p w:rsidR="008572B3" w:rsidRPr="00487798" w:rsidRDefault="008572B3" w:rsidP="00752FC8">
      <w:pPr>
        <w:pStyle w:val="Heading2"/>
        <w:numPr>
          <w:ilvl w:val="1"/>
          <w:numId w:val="47"/>
        </w:numPr>
        <w:tabs>
          <w:tab w:val="clear" w:pos="720"/>
          <w:tab w:val="num" w:pos="0"/>
        </w:tabs>
        <w:ind w:left="1440"/>
      </w:pPr>
      <w:r w:rsidRPr="00487798">
        <w:t>To take note of document UNEP/OzL.Pro/ExCom/61/53 on consumption arising from HCFC-141b contained in pre-blended foam chemicals (polyols) (decisions 59/12 and 60/50);</w:t>
      </w:r>
    </w:p>
    <w:p w:rsidR="008572B3" w:rsidRPr="00487798" w:rsidRDefault="008572B3" w:rsidP="008572B3">
      <w:pPr>
        <w:pStyle w:val="Heading2"/>
        <w:tabs>
          <w:tab w:val="clear" w:pos="720"/>
          <w:tab w:val="num" w:pos="0"/>
        </w:tabs>
        <w:ind w:left="1440"/>
      </w:pPr>
      <w:r w:rsidRPr="00487798">
        <w:t>To confirm that the phase-out of HCFC-141b contained in pre-blended polyol systems that were imported and/or manufactured domestically, and counted as consumption under Article 7, was eligible for assistance according to existing guidelines;</w:t>
      </w:r>
    </w:p>
    <w:p w:rsidR="008572B3" w:rsidRPr="00487798" w:rsidRDefault="008572B3" w:rsidP="008572B3">
      <w:pPr>
        <w:pStyle w:val="Heading2"/>
        <w:keepNext/>
        <w:widowControl/>
        <w:tabs>
          <w:tab w:val="clear" w:pos="720"/>
          <w:tab w:val="num" w:pos="0"/>
        </w:tabs>
        <w:ind w:left="1440"/>
      </w:pPr>
      <w:r w:rsidRPr="00487798">
        <w:lastRenderedPageBreak/>
        <w:t>With regard to the import of HCFC-141b contained in pre-blended polyols, which had not been counted as consumption under Article 7, to request Article 5 countries that wished to seek assistance for the phase-out of such imports:</w:t>
      </w:r>
    </w:p>
    <w:p w:rsidR="008572B3" w:rsidRPr="00487798" w:rsidRDefault="008572B3" w:rsidP="008572B3">
      <w:pPr>
        <w:pStyle w:val="Heading3"/>
        <w:widowControl w:val="0"/>
        <w:tabs>
          <w:tab w:val="clear" w:pos="2955"/>
          <w:tab w:val="num" w:pos="0"/>
        </w:tabs>
        <w:ind w:left="2160"/>
      </w:pPr>
      <w:r w:rsidRPr="00487798">
        <w:t>To include in the overarching strategy for their HCFC phase-out management plans (HPMPs) an indicative list of all the foam enterprises established prior to 21 September 2007 that used imported polyol systems, including the amount of HCFC-141b contained therein;</w:t>
      </w:r>
    </w:p>
    <w:p w:rsidR="008572B3" w:rsidRPr="00487798" w:rsidRDefault="008572B3" w:rsidP="008572B3">
      <w:pPr>
        <w:pStyle w:val="Heading3"/>
        <w:widowControl w:val="0"/>
        <w:tabs>
          <w:tab w:val="clear" w:pos="2955"/>
          <w:tab w:val="num" w:pos="0"/>
        </w:tabs>
        <w:ind w:left="2160"/>
      </w:pPr>
      <w:r w:rsidRPr="00487798">
        <w:t>To include in the starting point for aggregate reduction in HCFC consumption the annual amount of HCFC-141b contained in imported polyol systems during the 2007-2009 period;</w:t>
      </w:r>
    </w:p>
    <w:p w:rsidR="008572B3" w:rsidRPr="00487798" w:rsidRDefault="008572B3" w:rsidP="008572B3">
      <w:pPr>
        <w:pStyle w:val="Heading3"/>
        <w:widowControl w:val="0"/>
        <w:tabs>
          <w:tab w:val="clear" w:pos="2955"/>
          <w:tab w:val="num" w:pos="0"/>
        </w:tabs>
        <w:ind w:left="2160"/>
      </w:pPr>
      <w:r w:rsidRPr="00487798">
        <w:t>Also to include in their HPMPs a sector plan for the complete phase-out of the use of HCFC-141b in imported pre-blended polyol systems, covering the cost and funding schedule, taking into account that the share of imported polyol within the HPMP might need support under a schedule beyond 2015, and on the understanding that quantities of HCFC-141b in imported pre-blended polyol systems that had not been included in the overarching strategy for the HPMP would not be eligible for funding;</w:t>
      </w:r>
    </w:p>
    <w:p w:rsidR="008572B3" w:rsidRPr="00487798" w:rsidRDefault="008572B3" w:rsidP="008572B3">
      <w:pPr>
        <w:pStyle w:val="Heading3"/>
        <w:widowControl w:val="0"/>
        <w:tabs>
          <w:tab w:val="clear" w:pos="2955"/>
          <w:tab w:val="num" w:pos="0"/>
        </w:tabs>
        <w:ind w:left="2160"/>
      </w:pPr>
      <w:r w:rsidRPr="00487798">
        <w:t>To include in the sector plan a commitment from the country to put in place, by the time the last foam manufacturing plant had been converted to a non-HCFC technology, regulations or policies banning the import and or the use of HCFC</w:t>
      </w:r>
      <w:r w:rsidRPr="00487798">
        <w:noBreakHyphen/>
        <w:t>141b pre-blended polyol systems;</w:t>
      </w:r>
    </w:p>
    <w:p w:rsidR="008572B3" w:rsidRPr="00487798" w:rsidRDefault="008572B3" w:rsidP="008572B3">
      <w:pPr>
        <w:pStyle w:val="Heading2"/>
        <w:keepNext/>
        <w:widowControl/>
        <w:tabs>
          <w:tab w:val="clear" w:pos="720"/>
          <w:tab w:val="num" w:pos="0"/>
        </w:tabs>
        <w:ind w:left="1440"/>
      </w:pPr>
      <w:r w:rsidRPr="00487798">
        <w:t>That Article 5 Parties with eligible enterprises manufacturing HCFC-141b pre-blended polyol systems would be provided with assistance calculated on the basis of consumption of HCFC-141b sold domestically, on the understanding that the full consumption of HCFC-141b by those enterprises manufacturing pre-blended polyol systems would be deducted from the starting point.</w:t>
      </w:r>
    </w:p>
    <w:p w:rsidR="008572B3" w:rsidRPr="00487798" w:rsidRDefault="008572B3" w:rsidP="008572B3">
      <w:pPr>
        <w:pStyle w:val="Heading1"/>
      </w:pPr>
      <w:r w:rsidRPr="00487798">
        <w:t xml:space="preserve">At their </w:t>
      </w:r>
      <w:r>
        <w:t>Twenty-Second M</w:t>
      </w:r>
      <w:r w:rsidRPr="00487798">
        <w:t>eeting</w:t>
      </w:r>
      <w:r w:rsidRPr="00487798">
        <w:rPr>
          <w:vertAlign w:val="superscript"/>
        </w:rPr>
        <w:footnoteReference w:id="57"/>
      </w:r>
      <w:r w:rsidRPr="00487798">
        <w:t xml:space="preserve"> the Parties noted with appreciation the cooperative manner in which the members of the Executive Committee addressed the issue of HCFCs in pre-blended polyols through decision 61/47 by agreeing on a framework on eligible incremental costs for Article 5 parties in their transition away from the use of these polyols, and affirmed that this issue had been addressed to the satisfaction of the parties (decision XXII/9).</w:t>
      </w:r>
    </w:p>
    <w:p w:rsidR="008572B3" w:rsidRPr="00487798" w:rsidRDefault="008572B3" w:rsidP="008572B3">
      <w:pPr>
        <w:numPr>
          <w:ilvl w:val="0"/>
          <w:numId w:val="1"/>
        </w:numPr>
        <w:tabs>
          <w:tab w:val="clear" w:pos="0"/>
          <w:tab w:val="num" w:pos="90"/>
        </w:tabs>
        <w:spacing w:after="240"/>
        <w:ind w:left="90"/>
        <w:outlineLvl w:val="0"/>
      </w:pPr>
      <w:r w:rsidRPr="00487798">
        <w:t>At its 63</w:t>
      </w:r>
      <w:r w:rsidRPr="00487798">
        <w:rPr>
          <w:vertAlign w:val="superscript"/>
        </w:rPr>
        <w:t>rd</w:t>
      </w:r>
      <w:r>
        <w:rPr>
          <w:vertAlign w:val="superscript"/>
        </w:rPr>
        <w:t> </w:t>
      </w:r>
      <w:r w:rsidRPr="00487798">
        <w:t>meeting</w:t>
      </w:r>
      <w:r>
        <w:t>,</w:t>
      </w:r>
      <w:r w:rsidRPr="00487798">
        <w:t xml:space="preserve"> the Executive Committee decided (decision 63/15) that Article 5 countries with HCFC consumption reported under Article 7 solely in the refrigeration servicing sector and with foam enterprises relying exclusively on imported HCFC-141b pre-blended polyol systems not reported as consumption could, on an exceptional and case-by-case basis, and consistent with decision 61/47, submit a funding request for the conversion of those enterprises during the implementation of stage I of the HCFC phase-out management plan (HPMP), on the understanding that:</w:t>
      </w:r>
    </w:p>
    <w:p w:rsidR="008572B3" w:rsidRPr="00487798" w:rsidRDefault="008572B3" w:rsidP="008572B3">
      <w:pPr>
        <w:pStyle w:val="Heading2"/>
        <w:tabs>
          <w:tab w:val="clear" w:pos="720"/>
          <w:tab w:val="num" w:pos="0"/>
        </w:tabs>
        <w:ind w:left="1440"/>
      </w:pPr>
      <w:r w:rsidRPr="00487798">
        <w:t>There were no systems houses in the country concerned, and funding for the conversion of any of the foam enterprises was not requested but fully described in the submission of stage I of the HPMP;</w:t>
      </w:r>
    </w:p>
    <w:p w:rsidR="008572B3" w:rsidRPr="00487798" w:rsidRDefault="008572B3" w:rsidP="008572B3">
      <w:pPr>
        <w:pStyle w:val="Heading2"/>
        <w:tabs>
          <w:tab w:val="clear" w:pos="720"/>
          <w:tab w:val="num" w:pos="0"/>
        </w:tabs>
        <w:ind w:left="1440"/>
      </w:pPr>
      <w:r w:rsidRPr="00487798">
        <w:t xml:space="preserve">All foam enterprises and </w:t>
      </w:r>
      <w:r w:rsidRPr="00487798">
        <w:rPr>
          <w:lang w:val="en-US"/>
        </w:rPr>
        <w:t>the annual amount of HCFC-141b contained in imported pre</w:t>
      </w:r>
      <w:r w:rsidRPr="00487798">
        <w:rPr>
          <w:lang w:val="en-US"/>
        </w:rPr>
        <w:noBreakHyphen/>
        <w:t xml:space="preserve">blended polyol, to be calculated based on the 2007-2009 average consumption </w:t>
      </w:r>
      <w:r w:rsidRPr="00487798">
        <w:rPr>
          <w:lang w:val="en-US"/>
        </w:rPr>
        <w:lastRenderedPageBreak/>
        <w:t>excluding those years in which no production was reported,</w:t>
      </w:r>
      <w:r w:rsidRPr="00487798">
        <w:rPr>
          <w:b/>
          <w:lang w:val="en-US"/>
        </w:rPr>
        <w:t xml:space="preserve"> </w:t>
      </w:r>
      <w:r w:rsidRPr="00487798">
        <w:t>would be included therein;</w:t>
      </w:r>
    </w:p>
    <w:p w:rsidR="008572B3" w:rsidRPr="00487798" w:rsidRDefault="008572B3" w:rsidP="008572B3">
      <w:pPr>
        <w:pStyle w:val="Heading2"/>
        <w:tabs>
          <w:tab w:val="clear" w:pos="720"/>
          <w:tab w:val="num" w:pos="0"/>
        </w:tabs>
        <w:ind w:left="1440"/>
      </w:pPr>
      <w:r w:rsidRPr="00487798">
        <w:t>The eligibility of the foam enterprises would be determined at the time of the submission of the project, and the funding level would be based on the amount of HCFC-141b contained in imported pre-blended polyol systems as defined under subparagraph (b) above; and</w:t>
      </w:r>
    </w:p>
    <w:p w:rsidR="008572B3" w:rsidRPr="00487798" w:rsidRDefault="008572B3" w:rsidP="008572B3">
      <w:pPr>
        <w:pStyle w:val="Heading2"/>
        <w:tabs>
          <w:tab w:val="clear" w:pos="720"/>
          <w:tab w:val="num" w:pos="0"/>
        </w:tabs>
        <w:ind w:left="1440"/>
      </w:pPr>
      <w:r w:rsidRPr="00487798">
        <w:t>The project proposal would completely phase out the use of HCFC-141b in imported pre</w:t>
      </w:r>
      <w:r w:rsidRPr="00487798">
        <w:noBreakHyphen/>
        <w:t>blended polyol systems and would include a commitment from the country to put in place, by the time the last foam manufacturing plant had been converted to a non-HCFC technology, regulations or policies banning the import and/or the use of HCFC-141b pre</w:t>
      </w:r>
      <w:r w:rsidRPr="00487798">
        <w:noBreakHyphen/>
        <w:t>blended polyol systems.</w:t>
      </w:r>
    </w:p>
    <w:p w:rsidR="008572B3" w:rsidRPr="00487798" w:rsidRDefault="008572B3" w:rsidP="008572B3">
      <w:pPr>
        <w:pStyle w:val="Heading1"/>
      </w:pPr>
      <w:r w:rsidRPr="00487798">
        <w:t>At the 65</w:t>
      </w:r>
      <w:r w:rsidRPr="00487798">
        <w:rPr>
          <w:vertAlign w:val="superscript"/>
        </w:rPr>
        <w:t>th</w:t>
      </w:r>
      <w:r w:rsidRPr="00487798">
        <w:t xml:space="preserve"> meeting, in the context of a discussion on the issue of providing information on second-stage conversions in relevant project documents, it was noted that there were instances in which countries were seeking funding for second-stage conversions to phase out HCFC</w:t>
      </w:r>
      <w:r w:rsidRPr="00487798">
        <w:noBreakHyphen/>
        <w:t xml:space="preserve">141b-based pre-blended polyols not reported under Article 7. Under the HCFC guidelines, second-stage conversions were eligible for funding only if they were necessary or were the most cost-effective projects to meet the targets under the Montreal Protocol, based on consumption reported under Article 7. Following a discussion, the Executive Committee </w:t>
      </w:r>
      <w:r w:rsidRPr="00487798">
        <w:rPr>
          <w:i/>
        </w:rPr>
        <w:t xml:space="preserve">inter alia, </w:t>
      </w:r>
      <w:r w:rsidRPr="00487798">
        <w:t>requested the Secretariat to prepare a document on options for a tracking system to correlate, by country, the amounts of HCFC 141b-based pre-blended polyols exported by systems houses with the amounts used by foam enterprises in importing Article 5 countries that had been approved for phase-out, which could be updated on a periodic basis (decision 65/12(b)).</w:t>
      </w:r>
    </w:p>
    <w:p w:rsidR="008572B3" w:rsidRDefault="008572B3" w:rsidP="008572B3">
      <w:pPr>
        <w:pStyle w:val="Heading1"/>
      </w:pPr>
      <w:r w:rsidRPr="00487798">
        <w:t>In response to decision 65/12(b), the Secretariat submitted to the 66</w:t>
      </w:r>
      <w:r w:rsidRPr="00487798">
        <w:rPr>
          <w:vertAlign w:val="superscript"/>
        </w:rPr>
        <w:t>th</w:t>
      </w:r>
      <w:r w:rsidRPr="00487798">
        <w:t xml:space="preserve"> meeting (April 2012) a document on options for a tracking system</w:t>
      </w:r>
      <w:r w:rsidRPr="00487798">
        <w:rPr>
          <w:vertAlign w:val="superscript"/>
        </w:rPr>
        <w:footnoteReference w:id="58"/>
      </w:r>
      <w:r w:rsidRPr="00487798">
        <w:t xml:space="preserve">, which could be updated on a periodic basis, and which would correlate, by country, the amounts of HCFC-141b-based pre-blended polyols exported by systems houses on the one hand, with the amounts used by foam enterprises in importing Article 5 countries on the other. Following a discussion, the Executive Committee, </w:t>
      </w:r>
      <w:r w:rsidRPr="00487798">
        <w:rPr>
          <w:i/>
        </w:rPr>
        <w:t xml:space="preserve">inter alia, </w:t>
      </w:r>
      <w:r w:rsidRPr="00487798">
        <w:t>requested the Secretariat to update the document based on best available data on the amount of HCFC-141b in pre-blended polyols exported in 2009 and 2010 in Chile, China and Colombia, and to report back to the 68</w:t>
      </w:r>
      <w:r w:rsidRPr="00487798">
        <w:rPr>
          <w:vertAlign w:val="superscript"/>
        </w:rPr>
        <w:t>th</w:t>
      </w:r>
      <w:r w:rsidRPr="00487798">
        <w:t xml:space="preserve"> meeting </w:t>
      </w:r>
      <w:r w:rsidRPr="00FC5678">
        <w:t>(decision 66/51).</w:t>
      </w:r>
      <w:r w:rsidRPr="00487798">
        <w:t xml:space="preserve"> </w:t>
      </w:r>
    </w:p>
    <w:p w:rsidR="008572B3" w:rsidRPr="00487798" w:rsidRDefault="008572B3" w:rsidP="008572B3">
      <w:pPr>
        <w:pStyle w:val="Heading1"/>
      </w:pPr>
      <w:r w:rsidRPr="00487798">
        <w:t>Based on the document submitted to the 68</w:t>
      </w:r>
      <w:r w:rsidRPr="00487798">
        <w:rPr>
          <w:vertAlign w:val="superscript"/>
        </w:rPr>
        <w:t>th</w:t>
      </w:r>
      <w:r w:rsidRPr="00487798">
        <w:t xml:space="preserve"> meeting pursuant to decision 66/51</w:t>
      </w:r>
      <w:r w:rsidR="00DD04DC">
        <w:rPr>
          <w:rStyle w:val="FootnoteReference"/>
        </w:rPr>
        <w:footnoteReference w:id="59"/>
      </w:r>
      <w:r w:rsidRPr="00487798">
        <w:t>, the Executive Committee decided</w:t>
      </w:r>
      <w:r>
        <w:t xml:space="preserve"> (decision 68/42)</w:t>
      </w:r>
      <w:r w:rsidRPr="00487798">
        <w:t>:</w:t>
      </w:r>
    </w:p>
    <w:p w:rsidR="008572B3" w:rsidRPr="00487798" w:rsidRDefault="008572B3" w:rsidP="00752FC8">
      <w:pPr>
        <w:pStyle w:val="Heading2"/>
        <w:numPr>
          <w:ilvl w:val="1"/>
          <w:numId w:val="48"/>
        </w:numPr>
        <w:tabs>
          <w:tab w:val="clear" w:pos="720"/>
          <w:tab w:val="num" w:pos="0"/>
        </w:tabs>
        <w:ind w:left="1440"/>
      </w:pPr>
      <w:r w:rsidRPr="00487798">
        <w:t>When stage II of the countries’ HPMPs were submitted, to deduct the following amounts of HCFC-141b exported in pre-blended polyols from the starting point for aggregate reduction in HCFC consumption: 2.42 ODP tonnes for Chile; 137.83 ODP tonnes for China; 12.30 ODP tonnes for Colombia and 28.60 ODP tonnes for Mexico; and</w:t>
      </w:r>
    </w:p>
    <w:p w:rsidR="008572B3" w:rsidRPr="00487798" w:rsidRDefault="008572B3" w:rsidP="008572B3">
      <w:pPr>
        <w:pStyle w:val="Heading2"/>
        <w:tabs>
          <w:tab w:val="clear" w:pos="720"/>
          <w:tab w:val="num" w:pos="0"/>
        </w:tabs>
        <w:ind w:left="1440"/>
      </w:pPr>
      <w:r w:rsidRPr="00487798">
        <w:t>To encourage relevant Article 5 countries to consider establishing a national system for recording the amounts of HCFC-141b contained in pre-blended polyols imported and/or exported (where applicable) to support the ban on imports of pure HCFC-141b, as well as that contained in pre-blended polyols, to be issued once all the foam enterprises had been converted, and to facilitate monitoring of these enterprises to sustain the phase-out of HCFC-141b.</w:t>
      </w:r>
    </w:p>
    <w:p w:rsidR="008572B3" w:rsidRPr="00472453" w:rsidRDefault="008572B3" w:rsidP="008572B3">
      <w:pPr>
        <w:spacing w:after="240"/>
        <w:outlineLvl w:val="0"/>
        <w:rPr>
          <w:b/>
          <w:u w:val="single"/>
        </w:rPr>
      </w:pPr>
      <w:r w:rsidRPr="00472453">
        <w:rPr>
          <w:b/>
          <w:u w:val="single"/>
        </w:rPr>
        <w:t>Refrigeration servicing sector</w:t>
      </w:r>
    </w:p>
    <w:p w:rsidR="008572B3" w:rsidRDefault="008572B3" w:rsidP="008572B3">
      <w:pPr>
        <w:jc w:val="left"/>
        <w:rPr>
          <w:b/>
        </w:rPr>
      </w:pPr>
      <w:r>
        <w:rPr>
          <w:b/>
        </w:rPr>
        <w:lastRenderedPageBreak/>
        <w:t>Decision 28/44: G</w:t>
      </w:r>
      <w:r w:rsidRPr="0062251C">
        <w:rPr>
          <w:b/>
        </w:rPr>
        <w:t>uidelines for end</w:t>
      </w:r>
      <w:r>
        <w:rPr>
          <w:b/>
        </w:rPr>
        <w:t>-</w:t>
      </w:r>
      <w:r w:rsidRPr="0062251C">
        <w:rPr>
          <w:b/>
        </w:rPr>
        <w:t>user</w:t>
      </w:r>
      <w:r>
        <w:rPr>
          <w:b/>
        </w:rPr>
        <w:t xml:space="preserve"> </w:t>
      </w:r>
      <w:r w:rsidRPr="0062251C">
        <w:rPr>
          <w:b/>
        </w:rPr>
        <w:t>conversion in the commercial refrigeration sector</w:t>
      </w:r>
      <w:r>
        <w:rPr>
          <w:b/>
        </w:rPr>
        <w:t xml:space="preserve"> </w:t>
      </w:r>
    </w:p>
    <w:p w:rsidR="008572B3" w:rsidRDefault="008572B3" w:rsidP="008572B3">
      <w:pPr>
        <w:jc w:val="left"/>
        <w:rPr>
          <w:b/>
        </w:rPr>
      </w:pPr>
    </w:p>
    <w:p w:rsidR="008572B3" w:rsidRPr="00A83A11" w:rsidRDefault="008572B3" w:rsidP="00752FC8">
      <w:pPr>
        <w:pStyle w:val="Heading1"/>
        <w:numPr>
          <w:ilvl w:val="0"/>
          <w:numId w:val="68"/>
        </w:numPr>
      </w:pPr>
      <w:r w:rsidRPr="00A83A11">
        <w:t xml:space="preserve">The Executive Committee </w:t>
      </w:r>
      <w:r w:rsidRPr="008572B3">
        <w:rPr>
          <w:u w:val="single"/>
        </w:rPr>
        <w:t>decided</w:t>
      </w:r>
      <w:r w:rsidRPr="00A83A11">
        <w:t xml:space="preserve"> to adopt the following guidelines for end-user conversion in the commercial refrigeration sector:</w:t>
      </w:r>
    </w:p>
    <w:p w:rsidR="008572B3" w:rsidRPr="00A83A11" w:rsidRDefault="008572B3" w:rsidP="008572B3">
      <w:pPr>
        <w:pStyle w:val="Heading1"/>
        <w:numPr>
          <w:ilvl w:val="0"/>
          <w:numId w:val="0"/>
        </w:numPr>
        <w:spacing w:after="0"/>
        <w:ind w:left="720"/>
      </w:pPr>
      <w:r w:rsidRPr="00A83A11">
        <w:t>For an initial period of 18 months, the relevant circumstances which must prevail before priority will be accorded to end-user conversion activities are:</w:t>
      </w:r>
    </w:p>
    <w:p w:rsidR="008572B3" w:rsidRPr="00A83A11" w:rsidRDefault="008572B3" w:rsidP="008572B3"/>
    <w:p w:rsidR="008572B3" w:rsidRPr="00A83A11" w:rsidRDefault="008572B3" w:rsidP="00752FC8">
      <w:pPr>
        <w:numPr>
          <w:ilvl w:val="0"/>
          <w:numId w:val="44"/>
        </w:numPr>
        <w:ind w:left="1080"/>
      </w:pPr>
      <w:r>
        <w:t>T</w:t>
      </w:r>
      <w:r w:rsidRPr="00A83A11">
        <w:t>hat the country has production and import controls on CFCs and CFC-based equipment in place and effectively enforced, and restricts the deployment of new CFC components;</w:t>
      </w:r>
    </w:p>
    <w:p w:rsidR="008572B3" w:rsidRPr="00A83A11" w:rsidRDefault="008572B3" w:rsidP="008572B3">
      <w:pPr>
        <w:tabs>
          <w:tab w:val="num" w:pos="720"/>
        </w:tabs>
        <w:ind w:left="2160" w:hanging="720"/>
      </w:pPr>
    </w:p>
    <w:p w:rsidR="008572B3" w:rsidRPr="00A83A11" w:rsidRDefault="008572B3" w:rsidP="00752FC8">
      <w:pPr>
        <w:numPr>
          <w:ilvl w:val="0"/>
          <w:numId w:val="44"/>
        </w:numPr>
        <w:ind w:left="1080"/>
      </w:pPr>
      <w:r>
        <w:t>T</w:t>
      </w:r>
      <w:r w:rsidRPr="00A83A11">
        <w:t>hat, at the time of seeking compensation in the form of grants for end-user conversions, the country can establish that its major remaining consumption is for the servicing of refrigeration and air-conditioning equipment;</w:t>
      </w:r>
    </w:p>
    <w:p w:rsidR="008572B3" w:rsidRPr="00A83A11" w:rsidRDefault="008572B3" w:rsidP="008572B3">
      <w:pPr>
        <w:tabs>
          <w:tab w:val="num" w:pos="720"/>
        </w:tabs>
        <w:ind w:left="2880" w:hanging="720"/>
      </w:pPr>
    </w:p>
    <w:p w:rsidR="008572B3" w:rsidRPr="00A83A11" w:rsidRDefault="008572B3" w:rsidP="00752FC8">
      <w:pPr>
        <w:numPr>
          <w:ilvl w:val="0"/>
          <w:numId w:val="45"/>
        </w:numPr>
        <w:ind w:left="1080"/>
      </w:pPr>
      <w:r>
        <w:t>T</w:t>
      </w:r>
      <w:r w:rsidRPr="00A83A11">
        <w:t>o establish the above, that comprehensive data on the profile of all remaining consumption has been determined and made available to the Executive Committee;</w:t>
      </w:r>
    </w:p>
    <w:p w:rsidR="008572B3" w:rsidRPr="00A83A11" w:rsidRDefault="008572B3" w:rsidP="008572B3">
      <w:pPr>
        <w:ind w:left="1440"/>
      </w:pPr>
    </w:p>
    <w:p w:rsidR="008572B3" w:rsidRPr="00A83A11" w:rsidRDefault="008572B3" w:rsidP="00752FC8">
      <w:pPr>
        <w:numPr>
          <w:ilvl w:val="0"/>
          <w:numId w:val="46"/>
        </w:numPr>
        <w:ind w:left="1080"/>
      </w:pPr>
      <w:r>
        <w:t>T</w:t>
      </w:r>
      <w:r w:rsidRPr="00A83A11">
        <w:t>hat either no other possible activities would allow the country to meet its CFC control obligations, or the comparative consumer price of CFCs, relative to substitute refrigerants, has been high for at least 9 months and is predicted to continue to increase.</w:t>
      </w:r>
    </w:p>
    <w:p w:rsidR="008572B3" w:rsidRPr="00A83A11" w:rsidRDefault="008572B3" w:rsidP="008572B3"/>
    <w:p w:rsidR="008572B3" w:rsidRPr="00A83A11" w:rsidRDefault="008572B3" w:rsidP="008572B3">
      <w:pPr>
        <w:keepNext/>
        <w:ind w:firstLine="720"/>
      </w:pPr>
      <w:r w:rsidRPr="00A83A11">
        <w:t>The guidelines for the initial period of 18 months are:</w:t>
      </w:r>
    </w:p>
    <w:p w:rsidR="008572B3" w:rsidRPr="00A83A11" w:rsidRDefault="008572B3" w:rsidP="008572B3">
      <w:pPr>
        <w:keepNext/>
      </w:pPr>
    </w:p>
    <w:p w:rsidR="008572B3" w:rsidRPr="00A83A11" w:rsidRDefault="008572B3" w:rsidP="00752FC8">
      <w:pPr>
        <w:keepNext/>
        <w:numPr>
          <w:ilvl w:val="0"/>
          <w:numId w:val="37"/>
        </w:numPr>
        <w:tabs>
          <w:tab w:val="num" w:pos="1080"/>
        </w:tabs>
        <w:ind w:left="1080"/>
      </w:pPr>
      <w:r>
        <w:t>R</w:t>
      </w:r>
      <w:r w:rsidRPr="00A83A11">
        <w:t>etrofitting of commercial refrigeration equipment should continue to be assessed on a case</w:t>
      </w:r>
      <w:r w:rsidRPr="00A83A11">
        <w:noBreakHyphen/>
        <w:t>by-case basis;</w:t>
      </w:r>
    </w:p>
    <w:p w:rsidR="008572B3" w:rsidRPr="00A83A11" w:rsidRDefault="008572B3" w:rsidP="008572B3">
      <w:pPr>
        <w:ind w:left="1440"/>
      </w:pPr>
    </w:p>
    <w:p w:rsidR="008572B3" w:rsidRPr="00A83A11" w:rsidRDefault="008572B3" w:rsidP="00752FC8">
      <w:pPr>
        <w:numPr>
          <w:ilvl w:val="0"/>
          <w:numId w:val="38"/>
        </w:numPr>
        <w:tabs>
          <w:tab w:val="num" w:pos="1080"/>
        </w:tabs>
        <w:ind w:left="1080"/>
      </w:pPr>
      <w:r>
        <w:t>T</w:t>
      </w:r>
      <w:r w:rsidRPr="00A83A11">
        <w:t>raining of refrigeration technicians should be recognized as part of end-user conversion activity in the refrigeration sector;</w:t>
      </w:r>
    </w:p>
    <w:p w:rsidR="008572B3" w:rsidRPr="00A83A11" w:rsidRDefault="008572B3" w:rsidP="008572B3">
      <w:pPr>
        <w:ind w:left="1440"/>
      </w:pPr>
    </w:p>
    <w:p w:rsidR="008572B3" w:rsidRPr="00A83A11" w:rsidRDefault="008572B3" w:rsidP="00752FC8">
      <w:pPr>
        <w:numPr>
          <w:ilvl w:val="0"/>
          <w:numId w:val="39"/>
        </w:numPr>
        <w:ind w:left="1080"/>
      </w:pPr>
      <w:r>
        <w:t>R</w:t>
      </w:r>
      <w:r w:rsidRPr="00A83A11">
        <w:t>etrofitting of commercial refrigeration equipment would be considered for funding based on the experience gained from implementation of the relevant parts of a refrigerant management plan;</w:t>
      </w:r>
    </w:p>
    <w:p w:rsidR="008572B3" w:rsidRPr="00A83A11" w:rsidRDefault="008572B3" w:rsidP="008572B3">
      <w:pPr>
        <w:ind w:left="1080"/>
      </w:pPr>
    </w:p>
    <w:p w:rsidR="008572B3" w:rsidRPr="00A83A11" w:rsidRDefault="008572B3" w:rsidP="00752FC8">
      <w:pPr>
        <w:numPr>
          <w:ilvl w:val="0"/>
          <w:numId w:val="40"/>
        </w:numPr>
        <w:ind w:left="1080"/>
      </w:pPr>
      <w:r>
        <w:t>F</w:t>
      </w:r>
      <w:r w:rsidRPr="00A83A11">
        <w:t>or the initial period, pending review, priority should be given to projects for the conversion of cold stores in the agricultural, fisheries or other food-chain industries which are important for the economies of the countries concerned;</w:t>
      </w:r>
    </w:p>
    <w:p w:rsidR="008572B3" w:rsidRPr="00A83A11" w:rsidRDefault="008572B3" w:rsidP="008572B3">
      <w:pPr>
        <w:ind w:left="1440"/>
      </w:pPr>
    </w:p>
    <w:p w:rsidR="008572B3" w:rsidRPr="00A83A11" w:rsidRDefault="008572B3" w:rsidP="00752FC8">
      <w:pPr>
        <w:numPr>
          <w:ilvl w:val="0"/>
          <w:numId w:val="41"/>
        </w:numPr>
        <w:ind w:left="1080"/>
      </w:pPr>
      <w:r>
        <w:t>F</w:t>
      </w:r>
      <w:r w:rsidRPr="00A83A11">
        <w:t>or the initial period, the costs associated with replacement of the refrigerant, replacement of the oil and minor capital items where necessary, and labour at the local labour rate, will be eligible as incremental costs. More extensive conversions including reconditioning or replacement of compressors and major overhaul of refrigeration systems will not be considered under the initial guidelines. Incremental operating costs and savings should be calculated as for other commercial refrigeration projects for a two-year period;</w:t>
      </w:r>
    </w:p>
    <w:p w:rsidR="008572B3" w:rsidRPr="00A83A11" w:rsidRDefault="008572B3" w:rsidP="008572B3">
      <w:pPr>
        <w:ind w:left="1440"/>
      </w:pPr>
    </w:p>
    <w:p w:rsidR="008572B3" w:rsidRPr="00A83A11" w:rsidRDefault="008572B3" w:rsidP="00752FC8">
      <w:pPr>
        <w:numPr>
          <w:ilvl w:val="0"/>
          <w:numId w:val="42"/>
        </w:numPr>
        <w:ind w:left="1080"/>
      </w:pPr>
      <w:r>
        <w:t>E</w:t>
      </w:r>
      <w:r w:rsidRPr="00A83A11">
        <w:t>nterprise consumption will be the average annual quantity of CFC refrigerant which can be established as having been added to the refrigeration system as per existing Executive Committee guidelines;</w:t>
      </w:r>
    </w:p>
    <w:p w:rsidR="008572B3" w:rsidRPr="00A83A11" w:rsidRDefault="008572B3" w:rsidP="008572B3">
      <w:pPr>
        <w:ind w:left="1440"/>
      </w:pPr>
    </w:p>
    <w:p w:rsidR="008572B3" w:rsidRPr="00A83A11" w:rsidRDefault="008572B3" w:rsidP="00752FC8">
      <w:pPr>
        <w:numPr>
          <w:ilvl w:val="0"/>
          <w:numId w:val="43"/>
        </w:numPr>
        <w:ind w:left="1080"/>
      </w:pPr>
      <w:r>
        <w:t>N</w:t>
      </w:r>
      <w:r w:rsidRPr="00A83A11">
        <w:t>o cost-effectiveness threshold needs to be established for this initial period but all existing baseline conditions and eligibility criteria will be applied. The funding for the initial period of 18 months will be limited to US $10 million;</w:t>
      </w:r>
    </w:p>
    <w:p w:rsidR="008572B3" w:rsidRPr="00A83A11" w:rsidRDefault="008572B3" w:rsidP="008572B3">
      <w:pPr>
        <w:ind w:left="720"/>
      </w:pPr>
    </w:p>
    <w:p w:rsidR="008572B3" w:rsidRPr="00A83A11" w:rsidRDefault="008572B3" w:rsidP="00752FC8">
      <w:pPr>
        <w:numPr>
          <w:ilvl w:val="0"/>
          <w:numId w:val="43"/>
        </w:numPr>
        <w:ind w:left="1080"/>
      </w:pPr>
      <w:r>
        <w:t>T</w:t>
      </w:r>
      <w:r w:rsidRPr="00A83A11">
        <w:t xml:space="preserve">hese guidelines should be reviewed after being in operation for 18 months. </w:t>
      </w:r>
    </w:p>
    <w:p w:rsidR="008572B3" w:rsidRDefault="008572B3" w:rsidP="008572B3">
      <w:pPr>
        <w:jc w:val="left"/>
      </w:pPr>
    </w:p>
    <w:p w:rsidR="008572B3" w:rsidRPr="008901A9" w:rsidRDefault="008572B3" w:rsidP="008572B3">
      <w:pPr>
        <w:jc w:val="left"/>
        <w:rPr>
          <w:b/>
        </w:rPr>
      </w:pPr>
      <w:r>
        <w:rPr>
          <w:b/>
        </w:rPr>
        <w:t>Decision 31/45: S</w:t>
      </w:r>
      <w:r w:rsidRPr="008901A9">
        <w:rPr>
          <w:b/>
        </w:rPr>
        <w:t>ubsector for the assembly, installation and servicing of refrigeration equipment</w:t>
      </w:r>
    </w:p>
    <w:p w:rsidR="008572B3" w:rsidRDefault="008572B3" w:rsidP="008572B3">
      <w:pPr>
        <w:jc w:val="left"/>
        <w:rPr>
          <w:b/>
        </w:rPr>
      </w:pPr>
    </w:p>
    <w:p w:rsidR="008572B3" w:rsidRDefault="008572B3" w:rsidP="00752FC8">
      <w:pPr>
        <w:pStyle w:val="Heading1"/>
        <w:numPr>
          <w:ilvl w:val="0"/>
          <w:numId w:val="69"/>
        </w:numPr>
      </w:pPr>
      <w:r w:rsidRPr="008901A9">
        <w:t xml:space="preserve">The Executive Committee </w:t>
      </w:r>
      <w:r w:rsidRPr="008572B3">
        <w:rPr>
          <w:u w:val="single"/>
        </w:rPr>
        <w:t>decided</w:t>
      </w:r>
      <w:r w:rsidRPr="008901A9">
        <w:t>:</w:t>
      </w:r>
    </w:p>
    <w:p w:rsidR="008572B3" w:rsidRPr="008901A9" w:rsidRDefault="008572B3" w:rsidP="00DD04DC">
      <w:pPr>
        <w:pStyle w:val="Heading2"/>
        <w:tabs>
          <w:tab w:val="clear" w:pos="720"/>
          <w:tab w:val="num" w:pos="0"/>
        </w:tabs>
        <w:ind w:left="1440"/>
      </w:pPr>
      <w:r>
        <w:t>T</w:t>
      </w:r>
      <w:r w:rsidRPr="008901A9">
        <w:t>o adopt, for a period of 18 months, the guidelines for the subsector for assembly, installation and charging</w:t>
      </w:r>
      <w:r>
        <w:t xml:space="preserve"> </w:t>
      </w:r>
      <w:r w:rsidRPr="008901A9">
        <w:t>of refrigeration equipment contained in Annex IX.23</w:t>
      </w:r>
      <w:r>
        <w:t xml:space="preserve"> of document </w:t>
      </w:r>
      <w:r w:rsidRPr="008901A9">
        <w:t>UNEP/OzL.Pro/ExCom/31/61;</w:t>
      </w:r>
    </w:p>
    <w:p w:rsidR="008572B3" w:rsidRPr="008901A9" w:rsidRDefault="008572B3" w:rsidP="00DD04DC">
      <w:pPr>
        <w:pStyle w:val="Heading2"/>
        <w:tabs>
          <w:tab w:val="clear" w:pos="720"/>
          <w:tab w:val="num" w:pos="0"/>
        </w:tabs>
        <w:ind w:left="1440"/>
        <w:jc w:val="left"/>
      </w:pPr>
      <w:r>
        <w:t>T</w:t>
      </w:r>
      <w:r w:rsidRPr="008901A9">
        <w:t>o pay attention to projects submitted under guidelines 3 and 4, in particular to determine whether there is</w:t>
      </w:r>
      <w:r>
        <w:t xml:space="preserve"> </w:t>
      </w:r>
      <w:r w:rsidRPr="008901A9">
        <w:t>any eligible incremental cost;</w:t>
      </w:r>
      <w:r>
        <w:t xml:space="preserve"> and</w:t>
      </w:r>
    </w:p>
    <w:p w:rsidR="008572B3" w:rsidRPr="008901A9" w:rsidRDefault="008572B3" w:rsidP="00DD04DC">
      <w:pPr>
        <w:pStyle w:val="Heading2"/>
        <w:tabs>
          <w:tab w:val="clear" w:pos="720"/>
          <w:tab w:val="num" w:pos="0"/>
        </w:tabs>
        <w:ind w:left="1440"/>
      </w:pPr>
      <w:r>
        <w:t>T</w:t>
      </w:r>
      <w:r w:rsidRPr="008901A9">
        <w:t>o consider projects on a case-by-case basis in order to gain experience.</w:t>
      </w:r>
    </w:p>
    <w:p w:rsidR="008572B3" w:rsidRDefault="008572B3" w:rsidP="008572B3">
      <w:pPr>
        <w:keepNext/>
        <w:spacing w:after="240"/>
        <w:outlineLvl w:val="0"/>
        <w:rPr>
          <w:b/>
          <w:lang w:val="en-US"/>
        </w:rPr>
      </w:pPr>
      <w:r w:rsidRPr="00244C96">
        <w:rPr>
          <w:b/>
          <w:lang w:val="en-US"/>
        </w:rPr>
        <w:t>Decision 64/14</w:t>
      </w:r>
      <w:r>
        <w:rPr>
          <w:b/>
          <w:lang w:val="en-US"/>
        </w:rPr>
        <w:t xml:space="preserve"> on prioritization of the servicing sector by non-LVCs (stage I of HPMPs)</w:t>
      </w:r>
    </w:p>
    <w:p w:rsidR="008572B3" w:rsidRPr="008572B3" w:rsidRDefault="008572B3" w:rsidP="00752FC8">
      <w:pPr>
        <w:pStyle w:val="Heading1"/>
        <w:keepNext/>
        <w:numPr>
          <w:ilvl w:val="0"/>
          <w:numId w:val="70"/>
        </w:numPr>
        <w:rPr>
          <w:lang w:val="en-US"/>
        </w:rPr>
      </w:pPr>
      <w:r>
        <w:t>T</w:t>
      </w:r>
      <w:r w:rsidRPr="00244C96">
        <w:t xml:space="preserve">he Executive Committee </w:t>
      </w:r>
      <w:r w:rsidRPr="008572B3">
        <w:rPr>
          <w:u w:val="single"/>
        </w:rPr>
        <w:t>decided</w:t>
      </w:r>
      <w:r w:rsidRPr="00244C96">
        <w:t xml:space="preserve"> to consider, on a case-by-case basis, project proposals from countries with total HCFC consumption above 360 </w:t>
      </w:r>
      <w:r>
        <w:t>mt</w:t>
      </w:r>
      <w:r w:rsidRPr="00244C96">
        <w:t xml:space="preserve"> that included funding requests for refrigeration servicing sector activities instead of the manufacturing sector.</w:t>
      </w:r>
    </w:p>
    <w:p w:rsidR="008572B3" w:rsidRDefault="008572B3" w:rsidP="008572B3">
      <w:pPr>
        <w:keepNext/>
        <w:spacing w:after="240"/>
        <w:outlineLvl w:val="0"/>
        <w:rPr>
          <w:b/>
          <w:lang w:val="en-US"/>
        </w:rPr>
      </w:pPr>
      <w:r>
        <w:rPr>
          <w:b/>
          <w:lang w:val="en-US"/>
        </w:rPr>
        <w:t xml:space="preserve">Decision 64/53: </w:t>
      </w:r>
      <w:r w:rsidRPr="00993BB2">
        <w:rPr>
          <w:b/>
          <w:lang w:val="en-US"/>
        </w:rPr>
        <w:t>Funding for countries with HCFC consumption between 361 and 400 metric tonnes in the servicing</w:t>
      </w:r>
      <w:r>
        <w:rPr>
          <w:b/>
          <w:lang w:val="en-US"/>
        </w:rPr>
        <w:t xml:space="preserve"> s</w:t>
      </w:r>
      <w:r w:rsidRPr="00993BB2">
        <w:rPr>
          <w:b/>
          <w:lang w:val="en-US"/>
        </w:rPr>
        <w:t>ector</w:t>
      </w:r>
      <w:r>
        <w:rPr>
          <w:b/>
          <w:lang w:val="en-US"/>
        </w:rPr>
        <w:t xml:space="preserve"> </w:t>
      </w:r>
    </w:p>
    <w:p w:rsidR="008572B3" w:rsidRPr="008572B3" w:rsidRDefault="008572B3" w:rsidP="00752FC8">
      <w:pPr>
        <w:pStyle w:val="Heading1"/>
        <w:keepNext/>
        <w:numPr>
          <w:ilvl w:val="0"/>
          <w:numId w:val="71"/>
        </w:numPr>
        <w:rPr>
          <w:lang w:val="en-US"/>
        </w:rPr>
      </w:pPr>
      <w:r w:rsidRPr="008572B3">
        <w:rPr>
          <w:lang w:val="en-US"/>
        </w:rPr>
        <w:t xml:space="preserve">The Executive Committee </w:t>
      </w:r>
      <w:r w:rsidRPr="008572B3">
        <w:rPr>
          <w:u w:val="single"/>
          <w:lang w:val="en-US"/>
        </w:rPr>
        <w:t>agreed</w:t>
      </w:r>
      <w:r w:rsidRPr="008572B3">
        <w:rPr>
          <w:lang w:val="en-US"/>
        </w:rPr>
        <w:t xml:space="preserve"> to continue to consider, on a case-by-case basis, the need for equitable treatment of those countries with HCFC consumption between 361 and 400 mt in the refrigeration servicing sector whose maximum level of funding would be lower than that for countries with consumption of between 300 and 360 mt. </w:t>
      </w:r>
    </w:p>
    <w:p w:rsidR="008572B3" w:rsidRPr="00993BB2" w:rsidRDefault="008572B3" w:rsidP="008572B3">
      <w:pPr>
        <w:outlineLvl w:val="0"/>
        <w:rPr>
          <w:b/>
        </w:rPr>
      </w:pPr>
      <w:r w:rsidRPr="00993BB2">
        <w:rPr>
          <w:b/>
        </w:rPr>
        <w:t xml:space="preserve">Decision 72/41: Minimizing adverse climate impact of HCFC phase-out in the refrigeration servicing sector </w:t>
      </w:r>
    </w:p>
    <w:p w:rsidR="008572B3" w:rsidRDefault="008572B3" w:rsidP="008572B3">
      <w:pPr>
        <w:outlineLvl w:val="0"/>
      </w:pPr>
    </w:p>
    <w:p w:rsidR="008572B3" w:rsidRDefault="008572B3" w:rsidP="00752FC8">
      <w:pPr>
        <w:pStyle w:val="Heading1"/>
        <w:numPr>
          <w:ilvl w:val="0"/>
          <w:numId w:val="72"/>
        </w:numPr>
      </w:pPr>
      <w:r>
        <w:t>T</w:t>
      </w:r>
      <w:r w:rsidRPr="00993BB2">
        <w:t xml:space="preserve">he Executive Committee </w:t>
      </w:r>
      <w:r w:rsidRPr="008572B3">
        <w:rPr>
          <w:u w:val="single"/>
        </w:rPr>
        <w:t>decided</w:t>
      </w:r>
      <w:r w:rsidRPr="00993BB2">
        <w:t>:</w:t>
      </w:r>
    </w:p>
    <w:p w:rsidR="008572B3" w:rsidRDefault="008572B3" w:rsidP="008572B3">
      <w:pPr>
        <w:pStyle w:val="Heading2"/>
        <w:numPr>
          <w:ilvl w:val="1"/>
          <w:numId w:val="24"/>
        </w:numPr>
        <w:tabs>
          <w:tab w:val="clear" w:pos="720"/>
          <w:tab w:val="num" w:pos="0"/>
        </w:tabs>
        <w:ind w:left="1440"/>
      </w:pPr>
      <w:r w:rsidRPr="00993BB2">
        <w:t>To take note of documents UNEP/OzL.Pro/ExCom/70/53/Rev.1 and UNEP/OzL.Pro/ExCom/72/42 on</w:t>
      </w:r>
      <w:r>
        <w:t xml:space="preserve"> </w:t>
      </w:r>
      <w:r w:rsidRPr="00993BB2">
        <w:t>minimizing adverse climate impact of HCFC phase-out in the refrigeration servicing sector;</w:t>
      </w:r>
    </w:p>
    <w:p w:rsidR="008572B3" w:rsidRDefault="008572B3" w:rsidP="008572B3">
      <w:pPr>
        <w:pStyle w:val="Heading2"/>
        <w:numPr>
          <w:ilvl w:val="1"/>
          <w:numId w:val="24"/>
        </w:numPr>
        <w:tabs>
          <w:tab w:val="clear" w:pos="720"/>
          <w:tab w:val="num" w:pos="0"/>
        </w:tabs>
        <w:ind w:left="1440"/>
      </w:pPr>
      <w:r w:rsidRPr="00993BB2">
        <w:t>To invite relevant bilateral and implementing agencies to consider the information contained in documents</w:t>
      </w:r>
      <w:r>
        <w:t xml:space="preserve"> </w:t>
      </w:r>
      <w:r w:rsidRPr="00993BB2">
        <w:t>UNEP/OzL.Pro/ExCom/70/53/Rev.1 and UNEP/OzL.Pro/ExCom/72/42 when assisting Article 5</w:t>
      </w:r>
      <w:r>
        <w:t xml:space="preserve"> </w:t>
      </w:r>
      <w:r w:rsidRPr="00993BB2">
        <w:t>countries in the preparation and implementation of activities in the refrigeration servicing sector contained</w:t>
      </w:r>
      <w:r>
        <w:t xml:space="preserve"> </w:t>
      </w:r>
      <w:r w:rsidRPr="00993BB2">
        <w:t>in their HCFC phase-out management plans (HPMPs); and</w:t>
      </w:r>
    </w:p>
    <w:p w:rsidR="008572B3" w:rsidRPr="00993BB2" w:rsidRDefault="008572B3" w:rsidP="008572B3">
      <w:pPr>
        <w:pStyle w:val="Heading2"/>
        <w:numPr>
          <w:ilvl w:val="1"/>
          <w:numId w:val="24"/>
        </w:numPr>
        <w:tabs>
          <w:tab w:val="clear" w:pos="720"/>
          <w:tab w:val="num" w:pos="0"/>
        </w:tabs>
        <w:ind w:left="1440"/>
      </w:pPr>
      <w:r w:rsidRPr="00993BB2">
        <w:t>To encourage Article 5 countries, when implementing their HPMPs, to consider, as needed and feasible:</w:t>
      </w:r>
    </w:p>
    <w:p w:rsidR="008572B3" w:rsidRDefault="008572B3" w:rsidP="008572B3">
      <w:pPr>
        <w:pStyle w:val="Heading3"/>
        <w:widowControl w:val="0"/>
        <w:tabs>
          <w:tab w:val="clear" w:pos="2955"/>
          <w:tab w:val="num" w:pos="0"/>
        </w:tabs>
        <w:ind w:left="2160"/>
      </w:pPr>
      <w:r w:rsidRPr="00993BB2">
        <w:t>The development of regulations and codes of practice, and the adoption of standards for the safe</w:t>
      </w:r>
      <w:r>
        <w:t xml:space="preserve"> </w:t>
      </w:r>
      <w:r w:rsidRPr="00993BB2">
        <w:t>introduction of flammable and toxic refrigerants given the potential risk of accidents and negative</w:t>
      </w:r>
      <w:r>
        <w:t xml:space="preserve"> </w:t>
      </w:r>
      <w:r w:rsidRPr="00993BB2">
        <w:t>effects on health associated with their use;</w:t>
      </w:r>
    </w:p>
    <w:p w:rsidR="008572B3" w:rsidRDefault="008572B3" w:rsidP="008572B3">
      <w:pPr>
        <w:pStyle w:val="Heading3"/>
        <w:widowControl w:val="0"/>
        <w:tabs>
          <w:tab w:val="clear" w:pos="2955"/>
          <w:tab w:val="num" w:pos="0"/>
        </w:tabs>
        <w:ind w:left="2160"/>
      </w:pPr>
      <w:r w:rsidRPr="00993BB2">
        <w:lastRenderedPageBreak/>
        <w:t>Measures to limit the import of HCFC-based equipment and to facilitate the introduction of energy</w:t>
      </w:r>
      <w:r>
        <w:t xml:space="preserve"> </w:t>
      </w:r>
      <w:r w:rsidRPr="00993BB2">
        <w:t>efficient</w:t>
      </w:r>
      <w:r>
        <w:t xml:space="preserve"> a</w:t>
      </w:r>
      <w:r w:rsidRPr="00993BB2">
        <w:t>nd climate-friendly alternatives; and</w:t>
      </w:r>
      <w:r>
        <w:t xml:space="preserve"> </w:t>
      </w:r>
    </w:p>
    <w:p w:rsidR="008572B3" w:rsidRDefault="008572B3" w:rsidP="008572B3">
      <w:pPr>
        <w:pStyle w:val="Heading3"/>
        <w:widowControl w:val="0"/>
        <w:tabs>
          <w:tab w:val="clear" w:pos="2955"/>
          <w:tab w:val="num" w:pos="0"/>
        </w:tabs>
        <w:ind w:left="2160"/>
      </w:pPr>
      <w:r w:rsidRPr="00993BB2">
        <w:t>Focusing activities in the refrigeration servicing sector on training of technicians, good practices, the</w:t>
      </w:r>
      <w:r>
        <w:t xml:space="preserve"> </w:t>
      </w:r>
      <w:r w:rsidRPr="00993BB2">
        <w:t>safe handling of refrigerants, containment, recovery and recycling and reuse of recovered refrigerants</w:t>
      </w:r>
      <w:r>
        <w:t xml:space="preserve"> </w:t>
      </w:r>
      <w:r w:rsidRPr="00993BB2">
        <w:t>rather than retrofitting.</w:t>
      </w:r>
    </w:p>
    <w:p w:rsidR="008572B3" w:rsidRPr="00DE0DB0" w:rsidRDefault="008572B3" w:rsidP="008572B3">
      <w:pPr>
        <w:rPr>
          <w:b/>
        </w:rPr>
      </w:pPr>
      <w:r w:rsidRPr="00DE0DB0">
        <w:rPr>
          <w:b/>
        </w:rPr>
        <w:t>Decisions 72/17 and 73/34 on retrofit of existing HCFC-based refrigeration and air-conditioning equipment to flammable or toxic refrigera</w:t>
      </w:r>
      <w:r>
        <w:rPr>
          <w:b/>
        </w:rPr>
        <w:t>nts</w:t>
      </w:r>
    </w:p>
    <w:p w:rsidR="008572B3" w:rsidRDefault="008572B3" w:rsidP="008572B3"/>
    <w:p w:rsidR="008572B3" w:rsidRDefault="008572B3" w:rsidP="00752FC8">
      <w:pPr>
        <w:pStyle w:val="Heading1"/>
        <w:numPr>
          <w:ilvl w:val="0"/>
          <w:numId w:val="73"/>
        </w:numPr>
      </w:pPr>
      <w:r>
        <w:t>At its 72</w:t>
      </w:r>
      <w:r w:rsidRPr="008572B3">
        <w:rPr>
          <w:vertAlign w:val="superscript"/>
        </w:rPr>
        <w:t>nd </w:t>
      </w:r>
      <w:r>
        <w:t xml:space="preserve">meeting, the Executive Committee </w:t>
      </w:r>
      <w:r w:rsidRPr="008572B3">
        <w:rPr>
          <w:u w:val="single"/>
        </w:rPr>
        <w:t>decided</w:t>
      </w:r>
      <w:r>
        <w:t xml:space="preserve"> to include in the approval of HCFC phase out management plans, tranches, projects or activities that proposed the retrofit of HCFC based refrigeration and air-conditioning equipment to flammable or toxic refrigerants that the Executive Committee notes that, if the country engages in retrofitting HCFC-based refrigeration and air-conditioning equipment to flammable or toxic refrigerants and associated servicing, it does so on the understanding that they assume all associated responsibilities and risks.</w:t>
      </w:r>
    </w:p>
    <w:p w:rsidR="008572B3" w:rsidRPr="00DE0DB0" w:rsidRDefault="008572B3" w:rsidP="008572B3">
      <w:pPr>
        <w:pStyle w:val="Heading1"/>
        <w:rPr>
          <w:lang w:val="en-US"/>
        </w:rPr>
      </w:pPr>
      <w:r>
        <w:t>At its 73</w:t>
      </w:r>
      <w:r w:rsidRPr="00F80813">
        <w:rPr>
          <w:vertAlign w:val="superscript"/>
        </w:rPr>
        <w:t>rd</w:t>
      </w:r>
      <w:r>
        <w:t xml:space="preserve"> meeting, the Executive Committee </w:t>
      </w:r>
      <w:r w:rsidRPr="00E36EF1">
        <w:rPr>
          <w:u w:val="single"/>
        </w:rPr>
        <w:t>decided</w:t>
      </w:r>
      <w:r>
        <w:t xml:space="preserve"> that, if a country were to decide, after taking into account decision 72/17, to proceed with retrofits that used flammable substances in equipment originally designed for non-flammable substances, it should be done only in accordance with the relevant standards and </w:t>
      </w:r>
      <w:r w:rsidRPr="00DE0DB0">
        <w:rPr>
          <w:lang w:val="en-US"/>
        </w:rPr>
        <w:t>protocols.</w:t>
      </w:r>
    </w:p>
    <w:p w:rsidR="008572B3" w:rsidRPr="00472453" w:rsidRDefault="008572B3" w:rsidP="008572B3">
      <w:pPr>
        <w:keepNext/>
        <w:spacing w:after="240"/>
        <w:outlineLvl w:val="0"/>
        <w:rPr>
          <w:b/>
          <w:u w:val="single"/>
        </w:rPr>
      </w:pPr>
      <w:r w:rsidRPr="00472453">
        <w:rPr>
          <w:b/>
          <w:u w:val="single"/>
        </w:rPr>
        <w:t>Disposal</w:t>
      </w:r>
    </w:p>
    <w:p w:rsidR="008572B3" w:rsidRDefault="008572B3" w:rsidP="008572B3">
      <w:pPr>
        <w:keepNext/>
        <w:jc w:val="left"/>
        <w:rPr>
          <w:b/>
        </w:rPr>
      </w:pPr>
      <w:r>
        <w:rPr>
          <w:b/>
        </w:rPr>
        <w:t xml:space="preserve">Decision 58/19: </w:t>
      </w:r>
      <w:r w:rsidRPr="007E304E">
        <w:rPr>
          <w:b/>
        </w:rPr>
        <w:t>Interim guidelines for funding of demonstration projects for the disposal of ODS</w:t>
      </w:r>
    </w:p>
    <w:p w:rsidR="008572B3" w:rsidRDefault="008572B3" w:rsidP="008572B3">
      <w:pPr>
        <w:keepNext/>
        <w:jc w:val="left"/>
        <w:rPr>
          <w:b/>
        </w:rPr>
      </w:pPr>
    </w:p>
    <w:p w:rsidR="008572B3" w:rsidRPr="007E304E" w:rsidRDefault="008572B3" w:rsidP="00752FC8">
      <w:pPr>
        <w:pStyle w:val="Heading1"/>
        <w:keepNext/>
        <w:numPr>
          <w:ilvl w:val="0"/>
          <w:numId w:val="74"/>
        </w:numPr>
      </w:pPr>
      <w:r w:rsidRPr="007E304E">
        <w:t xml:space="preserve">The Executive Committee </w:t>
      </w:r>
      <w:r w:rsidRPr="008572B3">
        <w:rPr>
          <w:u w:val="single"/>
        </w:rPr>
        <w:t>decided</w:t>
      </w:r>
      <w:r w:rsidRPr="007E304E">
        <w:t>:</w:t>
      </w:r>
    </w:p>
    <w:p w:rsidR="008572B3" w:rsidRDefault="008572B3" w:rsidP="008572B3">
      <w:pPr>
        <w:pStyle w:val="Heading2"/>
        <w:keepNext/>
        <w:widowControl/>
        <w:numPr>
          <w:ilvl w:val="1"/>
          <w:numId w:val="24"/>
        </w:numPr>
        <w:tabs>
          <w:tab w:val="clear" w:pos="720"/>
          <w:tab w:val="num" w:pos="0"/>
        </w:tabs>
        <w:ind w:left="1440"/>
      </w:pPr>
      <w:r>
        <w:t>T</w:t>
      </w:r>
      <w:r w:rsidRPr="007E304E">
        <w:t>o approve the following interim guidelines for the funding of demonstration projects for the disposal of ODS</w:t>
      </w:r>
      <w:r>
        <w:t xml:space="preserve"> </w:t>
      </w:r>
      <w:r w:rsidRPr="007E304E">
        <w:t>in accordance with paragraph 2 of decision XX/7 of the Meeting of the Parties:</w:t>
      </w:r>
    </w:p>
    <w:p w:rsidR="008572B3" w:rsidRDefault="008572B3" w:rsidP="008572B3">
      <w:pPr>
        <w:pStyle w:val="Heading3"/>
        <w:widowControl w:val="0"/>
        <w:tabs>
          <w:tab w:val="clear" w:pos="2955"/>
          <w:tab w:val="num" w:pos="0"/>
        </w:tabs>
        <w:ind w:left="2160"/>
      </w:pPr>
      <w:r>
        <w:t>F</w:t>
      </w:r>
      <w:r w:rsidRPr="007E304E">
        <w:t>or each separate category of activities for ODS disposal, namely collection, transport, storage and</w:t>
      </w:r>
      <w:r>
        <w:t xml:space="preserve"> </w:t>
      </w:r>
      <w:r w:rsidRPr="007E304E">
        <w:t>destruction, the definitions are as set out in Annex VIII to the present report;</w:t>
      </w:r>
      <w:r>
        <w:t xml:space="preserve"> </w:t>
      </w:r>
    </w:p>
    <w:p w:rsidR="008572B3" w:rsidRPr="007E304E" w:rsidRDefault="008572B3" w:rsidP="008572B3">
      <w:pPr>
        <w:pStyle w:val="Heading3"/>
        <w:widowControl w:val="0"/>
        <w:tabs>
          <w:tab w:val="clear" w:pos="2955"/>
          <w:tab w:val="num" w:pos="0"/>
        </w:tabs>
        <w:ind w:left="2160"/>
      </w:pPr>
      <w:r>
        <w:t>T</w:t>
      </w:r>
      <w:r w:rsidRPr="007E304E">
        <w:t>he Multilateral Fund will fund a limited number of demonstration projects under the following</w:t>
      </w:r>
      <w:r>
        <w:t xml:space="preserve"> </w:t>
      </w:r>
      <w:r w:rsidRPr="007E304E">
        <w:t>conditions:</w:t>
      </w:r>
    </w:p>
    <w:p w:rsidR="008572B3" w:rsidRDefault="008572B3" w:rsidP="00DD04DC">
      <w:pPr>
        <w:pStyle w:val="Header4"/>
        <w:numPr>
          <w:ilvl w:val="0"/>
          <w:numId w:val="83"/>
        </w:numPr>
        <w:tabs>
          <w:tab w:val="clear" w:pos="3600"/>
        </w:tabs>
        <w:ind w:left="2880" w:hanging="720"/>
        <w:outlineLvl w:val="0"/>
      </w:pPr>
      <w:r>
        <w:t>N</w:t>
      </w:r>
      <w:r w:rsidRPr="007E304E">
        <w:t>o funding would be available for the collection of ODS, except as a contribution to the monitoring</w:t>
      </w:r>
      <w:r>
        <w:t xml:space="preserve"> </w:t>
      </w:r>
      <w:r w:rsidRPr="007E304E">
        <w:t>of the sources of the ODS for an already existing, separately funded, collection effort for CFCs;</w:t>
      </w:r>
    </w:p>
    <w:p w:rsidR="008572B3" w:rsidRDefault="008572B3" w:rsidP="00DD04DC">
      <w:pPr>
        <w:pStyle w:val="Header4"/>
        <w:numPr>
          <w:ilvl w:val="0"/>
          <w:numId w:val="83"/>
        </w:numPr>
        <w:tabs>
          <w:tab w:val="clear" w:pos="3600"/>
        </w:tabs>
        <w:ind w:left="2880" w:hanging="720"/>
        <w:outlineLvl w:val="0"/>
      </w:pPr>
      <w:r>
        <w:t>A</w:t>
      </w:r>
      <w:r w:rsidRPr="007E304E">
        <w:t xml:space="preserve"> limited number of demonstration projects for ODS disposal related to paragraph 2 of decision</w:t>
      </w:r>
      <w:r>
        <w:t xml:space="preserve"> </w:t>
      </w:r>
      <w:r w:rsidRPr="007E304E">
        <w:t>XX/7, covering aspects not yet covered by other demonstration projects, will be considered only at</w:t>
      </w:r>
      <w:r>
        <w:t xml:space="preserve"> </w:t>
      </w:r>
      <w:r w:rsidRPr="007E304E">
        <w:t>the 59th Meeting for project preparation funding;</w:t>
      </w:r>
    </w:p>
    <w:p w:rsidR="008572B3" w:rsidRDefault="008572B3" w:rsidP="00DD04DC">
      <w:pPr>
        <w:pStyle w:val="Header4"/>
        <w:numPr>
          <w:ilvl w:val="0"/>
          <w:numId w:val="83"/>
        </w:numPr>
        <w:tabs>
          <w:tab w:val="clear" w:pos="3600"/>
        </w:tabs>
        <w:ind w:left="2880" w:hanging="720"/>
        <w:outlineLvl w:val="0"/>
      </w:pPr>
      <w:r>
        <w:t>T</w:t>
      </w:r>
      <w:r w:rsidRPr="007E304E">
        <w:t>he funding would be limited to a maximum level of up to US $13.2/kg of ODS to be destroyed for</w:t>
      </w:r>
      <w:r>
        <w:t xml:space="preserve"> </w:t>
      </w:r>
      <w:r w:rsidRPr="007E304E">
        <w:t>non-low-volume-consuming countries, on the understanding that this would be based on expectation</w:t>
      </w:r>
      <w:r>
        <w:t xml:space="preserve"> </w:t>
      </w:r>
      <w:r w:rsidRPr="007E304E">
        <w:t>of high start-up costs for these new activities, and would not constitute a precedent. Should the</w:t>
      </w:r>
      <w:r>
        <w:t xml:space="preserve"> </w:t>
      </w:r>
      <w:r w:rsidRPr="007E304E">
        <w:t xml:space="preserve">project not foresee activities related to all of the following </w:t>
      </w:r>
      <w:r w:rsidRPr="007E304E">
        <w:lastRenderedPageBreak/>
        <w:t>areas (transport, storage and destruction),</w:t>
      </w:r>
      <w:r>
        <w:t xml:space="preserve"> </w:t>
      </w:r>
      <w:r w:rsidRPr="007E304E">
        <w:t>this threshold would be adjusted accordingly;</w:t>
      </w:r>
    </w:p>
    <w:p w:rsidR="008572B3" w:rsidRPr="007E304E" w:rsidRDefault="008572B3" w:rsidP="008572B3">
      <w:pPr>
        <w:pStyle w:val="Header4"/>
        <w:numPr>
          <w:ilvl w:val="0"/>
          <w:numId w:val="26"/>
        </w:numPr>
        <w:tabs>
          <w:tab w:val="clear" w:pos="3600"/>
        </w:tabs>
        <w:ind w:left="2835" w:hanging="567"/>
        <w:outlineLvl w:val="0"/>
      </w:pPr>
      <w:r>
        <w:t>F</w:t>
      </w:r>
      <w:r w:rsidRPr="007E304E">
        <w:t>or the disposal of halon and for the disposal of carbon tetrachloride (CTC), funding would be</w:t>
      </w:r>
      <w:r>
        <w:t xml:space="preserve"> </w:t>
      </w:r>
      <w:r w:rsidRPr="007E304E">
        <w:t>provided for a maximum of one demonstration project each, provided the respective projects have</w:t>
      </w:r>
      <w:r>
        <w:t xml:space="preserve"> </w:t>
      </w:r>
      <w:r w:rsidRPr="007E304E">
        <w:t>an important demonstration value;</w:t>
      </w:r>
    </w:p>
    <w:p w:rsidR="008572B3" w:rsidRPr="007E304E" w:rsidRDefault="008572B3" w:rsidP="008572B3">
      <w:pPr>
        <w:pStyle w:val="Heading3"/>
        <w:keepNext/>
        <w:tabs>
          <w:tab w:val="clear" w:pos="2955"/>
          <w:tab w:val="num" w:pos="0"/>
        </w:tabs>
        <w:ind w:left="2160"/>
      </w:pPr>
      <w:r>
        <w:t>B</w:t>
      </w:r>
      <w:r w:rsidRPr="007E304E">
        <w:t>ilateral and implementing agencies are requested to report annually to the first meeting of the Executive</w:t>
      </w:r>
      <w:r>
        <w:t xml:space="preserve"> </w:t>
      </w:r>
      <w:r w:rsidRPr="007E304E">
        <w:t>Committee on progress and experiences gained in demonstration projects on disposal, commencing in</w:t>
      </w:r>
      <w:r>
        <w:t xml:space="preserve"> </w:t>
      </w:r>
      <w:r w:rsidRPr="007E304E">
        <w:t>the first year after project approval. These reports should cover the amounts of the different ODS</w:t>
      </w:r>
      <w:r>
        <w:t xml:space="preserve"> </w:t>
      </w:r>
      <w:r w:rsidRPr="007E304E">
        <w:t>collected or identified, transported, stored and destroyed, as well as financial, managerial and co-funding</w:t>
      </w:r>
      <w:r>
        <w:t xml:space="preserve"> </w:t>
      </w:r>
      <w:r w:rsidRPr="007E304E">
        <w:t>arrangements, and any other relevant issues;</w:t>
      </w:r>
    </w:p>
    <w:p w:rsidR="008572B3" w:rsidRPr="007E304E" w:rsidRDefault="008572B3" w:rsidP="008572B3">
      <w:pPr>
        <w:pStyle w:val="Heading3"/>
        <w:widowControl w:val="0"/>
        <w:tabs>
          <w:tab w:val="clear" w:pos="2955"/>
          <w:tab w:val="num" w:pos="0"/>
        </w:tabs>
        <w:ind w:left="2160"/>
      </w:pPr>
      <w:r>
        <w:t>B</w:t>
      </w:r>
      <w:r w:rsidRPr="007E304E">
        <w:t>ilateral and implementing agencies are requested, when submitting activities for funding that are related</w:t>
      </w:r>
      <w:r>
        <w:t xml:space="preserve"> </w:t>
      </w:r>
      <w:r w:rsidRPr="007E304E">
        <w:t>to the disposal of ODS, to provide:</w:t>
      </w:r>
    </w:p>
    <w:p w:rsidR="008572B3" w:rsidRDefault="008572B3" w:rsidP="00DD04DC">
      <w:pPr>
        <w:pStyle w:val="Header4"/>
        <w:numPr>
          <w:ilvl w:val="0"/>
          <w:numId w:val="86"/>
        </w:numPr>
        <w:tabs>
          <w:tab w:val="clear" w:pos="3600"/>
        </w:tabs>
        <w:ind w:hanging="1440"/>
        <w:outlineLvl w:val="0"/>
      </w:pPr>
      <w:r>
        <w:t>I</w:t>
      </w:r>
      <w:r w:rsidRPr="007E304E">
        <w:t>n the case of requests for project preparation funding:</w:t>
      </w:r>
    </w:p>
    <w:p w:rsidR="008572B3" w:rsidRDefault="008572B3" w:rsidP="008572B3">
      <w:pPr>
        <w:pStyle w:val="Heading5"/>
        <w:keepNext w:val="0"/>
        <w:widowControl w:val="0"/>
        <w:ind w:left="3427" w:hanging="360"/>
      </w:pPr>
      <w:r>
        <w:t>A</w:t>
      </w:r>
      <w:r w:rsidRPr="007E304E">
        <w:t>n indication of the category or categories of activities for the disposal of ODS (collection,</w:t>
      </w:r>
      <w:r>
        <w:t xml:space="preserve"> </w:t>
      </w:r>
      <w:r w:rsidRPr="007E304E">
        <w:t>transport, storage, destruction), which will be included in the project proposal;</w:t>
      </w:r>
    </w:p>
    <w:p w:rsidR="008572B3" w:rsidRDefault="008572B3" w:rsidP="008572B3">
      <w:pPr>
        <w:pStyle w:val="Heading5"/>
        <w:keepNext w:val="0"/>
        <w:widowControl w:val="0"/>
        <w:ind w:left="3427" w:hanging="360"/>
      </w:pPr>
      <w:r>
        <w:t>A</w:t>
      </w:r>
      <w:r w:rsidRPr="007E304E">
        <w:t>n indication whether disposal programmes for chemicals related to other multilateral</w:t>
      </w:r>
      <w:r>
        <w:t xml:space="preserve"> </w:t>
      </w:r>
      <w:r w:rsidRPr="007E304E">
        <w:t>environmental agreements are presently ongoing in the country or planned for the near future,</w:t>
      </w:r>
      <w:r>
        <w:t xml:space="preserve"> </w:t>
      </w:r>
      <w:r w:rsidRPr="007E304E">
        <w:t>and whether synergies would be possible;</w:t>
      </w:r>
    </w:p>
    <w:p w:rsidR="008572B3" w:rsidRDefault="008572B3" w:rsidP="008572B3">
      <w:pPr>
        <w:pStyle w:val="Heading5"/>
        <w:keepNext w:val="0"/>
        <w:widowControl w:val="0"/>
        <w:ind w:left="3427" w:hanging="360"/>
      </w:pPr>
      <w:r>
        <w:t>A</w:t>
      </w:r>
      <w:r w:rsidRPr="007E304E">
        <w:t>n estimate of the amount of each ODS that is meant to be handled within the project;</w:t>
      </w:r>
    </w:p>
    <w:p w:rsidR="008572B3" w:rsidRDefault="008572B3" w:rsidP="008572B3">
      <w:pPr>
        <w:pStyle w:val="Heading5"/>
        <w:keepNext w:val="0"/>
        <w:widowControl w:val="0"/>
        <w:ind w:left="3427" w:hanging="360"/>
      </w:pPr>
      <w:r>
        <w:t>T</w:t>
      </w:r>
      <w:r w:rsidRPr="007E304E">
        <w:t>he basis for the estimate of the amount of ODS; this estimate should be based on known</w:t>
      </w:r>
      <w:r>
        <w:t xml:space="preserve"> </w:t>
      </w:r>
      <w:r w:rsidRPr="007E304E">
        <w:t>existing stocks already collected, or collection efforts already at a very advanced and well</w:t>
      </w:r>
      <w:r>
        <w:t xml:space="preserve"> </w:t>
      </w:r>
      <w:r w:rsidRPr="007E304E">
        <w:t>documented</w:t>
      </w:r>
      <w:r>
        <w:t xml:space="preserve"> </w:t>
      </w:r>
      <w:r w:rsidRPr="007E304E">
        <w:t>stage of being set up;</w:t>
      </w:r>
    </w:p>
    <w:p w:rsidR="008572B3" w:rsidRDefault="008572B3" w:rsidP="008572B3">
      <w:pPr>
        <w:pStyle w:val="Heading5"/>
        <w:keepNext w:val="0"/>
        <w:widowControl w:val="0"/>
        <w:ind w:left="3427" w:hanging="360"/>
      </w:pPr>
      <w:r>
        <w:t>F</w:t>
      </w:r>
      <w:r w:rsidRPr="007E304E">
        <w:t>or collection activities, information regarding existing or near-future, credible collection efforts</w:t>
      </w:r>
      <w:r>
        <w:t xml:space="preserve"> </w:t>
      </w:r>
      <w:r w:rsidRPr="007E304E">
        <w:t>and programmes that are at an advanced stage of being set up and to which activities under this</w:t>
      </w:r>
      <w:r>
        <w:t xml:space="preserve"> </w:t>
      </w:r>
      <w:r w:rsidRPr="007E304E">
        <w:t>project would relate;</w:t>
      </w:r>
    </w:p>
    <w:p w:rsidR="008572B3" w:rsidRPr="007E304E" w:rsidRDefault="008572B3" w:rsidP="008572B3">
      <w:pPr>
        <w:pStyle w:val="Heading5"/>
        <w:keepNext w:val="0"/>
        <w:widowControl w:val="0"/>
        <w:ind w:left="3427" w:hanging="360"/>
      </w:pPr>
      <w:r>
        <w:t>F</w:t>
      </w:r>
      <w:r w:rsidRPr="007E304E">
        <w:t>or activities that focus at least partially on CTC or halon, an explanation of how this project</w:t>
      </w:r>
      <w:r>
        <w:t xml:space="preserve"> </w:t>
      </w:r>
      <w:r w:rsidRPr="007E304E">
        <w:t>might have an important demonstration value;</w:t>
      </w:r>
    </w:p>
    <w:p w:rsidR="008572B3" w:rsidRPr="007E304E" w:rsidRDefault="008572B3" w:rsidP="008572B3">
      <w:pPr>
        <w:pStyle w:val="Header4"/>
        <w:numPr>
          <w:ilvl w:val="0"/>
          <w:numId w:val="26"/>
        </w:numPr>
        <w:tabs>
          <w:tab w:val="clear" w:pos="3600"/>
        </w:tabs>
        <w:ind w:left="2835" w:hanging="567"/>
        <w:outlineLvl w:val="0"/>
      </w:pPr>
      <w:r>
        <w:t>I</w:t>
      </w:r>
      <w:r w:rsidRPr="007E304E">
        <w:t>n the case of project submissions:</w:t>
      </w:r>
    </w:p>
    <w:p w:rsidR="008572B3" w:rsidRDefault="008572B3" w:rsidP="00C742AE">
      <w:pPr>
        <w:pStyle w:val="Heading5"/>
        <w:numPr>
          <w:ilvl w:val="0"/>
          <w:numId w:val="30"/>
        </w:numPr>
        <w:ind w:left="3402" w:hanging="425"/>
      </w:pPr>
      <w:r>
        <w:t>U</w:t>
      </w:r>
      <w:r w:rsidRPr="007E304E">
        <w:t>pdated and more detailed information for all issues mentioned under project preparation</w:t>
      </w:r>
      <w:r>
        <w:t xml:space="preserve"> </w:t>
      </w:r>
      <w:r w:rsidRPr="007E304E">
        <w:t>funding contained in all sub-paragraphs of (iv) a. mentioned above;</w:t>
      </w:r>
    </w:p>
    <w:p w:rsidR="008572B3" w:rsidRPr="007E304E" w:rsidRDefault="008572B3" w:rsidP="00752FC8">
      <w:pPr>
        <w:pStyle w:val="Heading5"/>
        <w:keepNext w:val="0"/>
        <w:widowControl w:val="0"/>
        <w:numPr>
          <w:ilvl w:val="0"/>
          <w:numId w:val="30"/>
        </w:numPr>
        <w:ind w:left="3402" w:hanging="425"/>
      </w:pPr>
      <w:r>
        <w:t>A</w:t>
      </w:r>
      <w:r w:rsidRPr="007E304E">
        <w:t xml:space="preserve"> detailed description of the foreseen management and financial </w:t>
      </w:r>
      <w:r w:rsidRPr="007E304E">
        <w:lastRenderedPageBreak/>
        <w:t>set up; this should include</w:t>
      </w:r>
      <w:r>
        <w:t xml:space="preserve"> </w:t>
      </w:r>
      <w:r w:rsidRPr="007E304E">
        <w:t>details such as the total cost of the disposal activity including costs not covered by the</w:t>
      </w:r>
      <w:r>
        <w:t xml:space="preserve"> </w:t>
      </w:r>
      <w:r w:rsidRPr="007E304E">
        <w:t>Multilateral Fund, the sources of funding for covering these costs, description of the</w:t>
      </w:r>
      <w:r>
        <w:t xml:space="preserve"> </w:t>
      </w:r>
      <w:r w:rsidRPr="007E304E">
        <w:t>sustainability of the underlying business model, and an identification of time-critical elements</w:t>
      </w:r>
      <w:r>
        <w:t xml:space="preserve"> </w:t>
      </w:r>
      <w:r w:rsidRPr="007E304E">
        <w:t>of the implementation, which subsequently might be used to monitor progress;</w:t>
      </w:r>
    </w:p>
    <w:p w:rsidR="008572B3" w:rsidRPr="007E304E" w:rsidRDefault="008572B3" w:rsidP="00752FC8">
      <w:pPr>
        <w:pStyle w:val="Heading5"/>
        <w:keepNext w:val="0"/>
        <w:widowControl w:val="0"/>
        <w:numPr>
          <w:ilvl w:val="0"/>
          <w:numId w:val="30"/>
        </w:numPr>
        <w:ind w:left="3402" w:hanging="425"/>
      </w:pPr>
      <w:r>
        <w:t>A</w:t>
      </w:r>
      <w:r w:rsidRPr="007E304E">
        <w:t xml:space="preserve"> clear indication how the project will secure other sources of funding; these other sources of</w:t>
      </w:r>
      <w:r>
        <w:t xml:space="preserve"> </w:t>
      </w:r>
      <w:r w:rsidRPr="007E304E">
        <w:t>funding should be available, at least partially, before the end of 2011. In case of activities of the</w:t>
      </w:r>
      <w:r>
        <w:t xml:space="preserve"> </w:t>
      </w:r>
      <w:r w:rsidRPr="007E304E">
        <w:t>collection type, any other sources of funding necessary in line with sub-paragraph (iv) a. iv.</w:t>
      </w:r>
      <w:r>
        <w:t xml:space="preserve"> </w:t>
      </w:r>
      <w:r w:rsidRPr="007E304E">
        <w:t>above related to collection would need to be secured before the project is submitted to the</w:t>
      </w:r>
      <w:r>
        <w:t xml:space="preserve"> </w:t>
      </w:r>
      <w:r w:rsidRPr="007E304E">
        <w:t>Executive Committee;</w:t>
      </w:r>
    </w:p>
    <w:p w:rsidR="008572B3" w:rsidRDefault="008572B3" w:rsidP="00752FC8">
      <w:pPr>
        <w:pStyle w:val="Heading5"/>
        <w:keepNext w:val="0"/>
        <w:widowControl w:val="0"/>
        <w:numPr>
          <w:ilvl w:val="0"/>
          <w:numId w:val="30"/>
        </w:numPr>
        <w:ind w:left="3402" w:hanging="425"/>
      </w:pPr>
      <w:r>
        <w:t>A</w:t>
      </w:r>
      <w:r w:rsidRPr="007E304E">
        <w:t xml:space="preserve"> concept for monitoring the origin of recovered ODS for future destruction, with the objective</w:t>
      </w:r>
      <w:r>
        <w:t xml:space="preserve"> </w:t>
      </w:r>
      <w:r w:rsidRPr="007E304E">
        <w:t>of discouraging the declaration of virgin ODS as used ODS for destruction. This concept should</w:t>
      </w:r>
      <w:r>
        <w:t xml:space="preserve"> </w:t>
      </w:r>
      <w:r w:rsidRPr="007E304E">
        <w:t>include or at least allow for external verification of the amounts destroyed, and the costs for its</w:t>
      </w:r>
      <w:r>
        <w:t xml:space="preserve"> </w:t>
      </w:r>
      <w:r w:rsidRPr="007E304E">
        <w:t>operation should be covered sustainably;</w:t>
      </w:r>
    </w:p>
    <w:p w:rsidR="008572B3" w:rsidRDefault="008572B3" w:rsidP="00752FC8">
      <w:pPr>
        <w:pStyle w:val="Heading5"/>
        <w:keepNext w:val="0"/>
        <w:widowControl w:val="0"/>
        <w:numPr>
          <w:ilvl w:val="0"/>
          <w:numId w:val="30"/>
        </w:numPr>
        <w:ind w:left="3402" w:hanging="425"/>
      </w:pPr>
      <w:r>
        <w:rPr>
          <w:lang w:val="en-CA"/>
        </w:rPr>
        <w:t>T</w:t>
      </w:r>
      <w:r w:rsidRPr="007E304E">
        <w:t>he project proposal should include valid assurances that the amount of ODS mentioned in the</w:t>
      </w:r>
      <w:r>
        <w:t xml:space="preserve"> </w:t>
      </w:r>
      <w:r w:rsidRPr="007E304E">
        <w:t>proposal will actually be destroyed, and the agencies should submit proof of destruction with</w:t>
      </w:r>
      <w:r>
        <w:t xml:space="preserve"> </w:t>
      </w:r>
      <w:r w:rsidRPr="007E304E">
        <w:t>the financial closure of the project;</w:t>
      </w:r>
      <w:r>
        <w:t xml:space="preserve"> </w:t>
      </w:r>
    </w:p>
    <w:p w:rsidR="008572B3" w:rsidRPr="007E304E" w:rsidRDefault="008572B3" w:rsidP="00752FC8">
      <w:pPr>
        <w:pStyle w:val="Heading5"/>
        <w:keepNext w:val="0"/>
        <w:widowControl w:val="0"/>
        <w:numPr>
          <w:ilvl w:val="0"/>
          <w:numId w:val="30"/>
        </w:numPr>
        <w:ind w:left="3402" w:hanging="425"/>
      </w:pPr>
      <w:r>
        <w:t>A</w:t>
      </w:r>
      <w:r w:rsidRPr="007E304E">
        <w:t>n exploration of other disposal options for the used ODS such as recycling and reuse</w:t>
      </w:r>
      <w:r>
        <w:t xml:space="preserve"> </w:t>
      </w:r>
      <w:r w:rsidRPr="007E304E">
        <w:t>opportunities;</w:t>
      </w:r>
    </w:p>
    <w:p w:rsidR="008572B3" w:rsidRPr="007E304E" w:rsidRDefault="008572B3" w:rsidP="00DD04DC">
      <w:pPr>
        <w:pStyle w:val="Heading2"/>
        <w:tabs>
          <w:tab w:val="clear" w:pos="720"/>
          <w:tab w:val="num" w:pos="0"/>
        </w:tabs>
        <w:ind w:left="1440"/>
      </w:pPr>
      <w:r>
        <w:t>T</w:t>
      </w:r>
      <w:r w:rsidRPr="007E304E">
        <w:t>o consider at its 60</w:t>
      </w:r>
      <w:r w:rsidRPr="00420379">
        <w:rPr>
          <w:vertAlign w:val="superscript"/>
        </w:rPr>
        <w:t>th</w:t>
      </w:r>
      <w:r>
        <w:t xml:space="preserve"> m</w:t>
      </w:r>
      <w:r w:rsidRPr="007E304E">
        <w:t>eeting any decision taken by the Parties at their Twenty-first Meeting that might</w:t>
      </w:r>
      <w:r>
        <w:t xml:space="preserve"> </w:t>
      </w:r>
      <w:r w:rsidRPr="007E304E">
        <w:t>relate to these interim guidelines and definitions;</w:t>
      </w:r>
    </w:p>
    <w:p w:rsidR="008572B3" w:rsidRDefault="008572B3" w:rsidP="00DD04DC">
      <w:pPr>
        <w:pStyle w:val="Heading2"/>
        <w:tabs>
          <w:tab w:val="clear" w:pos="720"/>
          <w:tab w:val="num" w:pos="0"/>
        </w:tabs>
        <w:ind w:left="1440"/>
      </w:pPr>
      <w:r>
        <w:t>T</w:t>
      </w:r>
      <w:r w:rsidRPr="007E304E">
        <w:t xml:space="preserve">o request the Fund Secretariat to provide, to the second </w:t>
      </w:r>
      <w:r>
        <w:t>m</w:t>
      </w:r>
      <w:r w:rsidRPr="007E304E">
        <w:t>eeting of the Executive Committee in 2011, a</w:t>
      </w:r>
      <w:r>
        <w:t xml:space="preserve"> </w:t>
      </w:r>
      <w:r w:rsidRPr="007E304E">
        <w:t>report on the experience gained in the implementation of the disposal projects, using reports from bilateral</w:t>
      </w:r>
      <w:r>
        <w:t xml:space="preserve"> </w:t>
      </w:r>
      <w:r w:rsidRPr="007E304E">
        <w:t>and implementing agencies and other relevant sources of information; and</w:t>
      </w:r>
      <w:r>
        <w:t xml:space="preserve"> </w:t>
      </w:r>
    </w:p>
    <w:p w:rsidR="008572B3" w:rsidRPr="007E304E" w:rsidRDefault="008572B3" w:rsidP="00DD04DC">
      <w:pPr>
        <w:pStyle w:val="Heading2"/>
        <w:tabs>
          <w:tab w:val="clear" w:pos="720"/>
          <w:tab w:val="num" w:pos="0"/>
        </w:tabs>
        <w:ind w:left="1440"/>
      </w:pPr>
      <w:r>
        <w:t>T</w:t>
      </w:r>
      <w:r w:rsidRPr="007E304E">
        <w:t>o consider whether to review the interim guidelines and related definitions at the 64th Meeting in light of the</w:t>
      </w:r>
      <w:r>
        <w:t xml:space="preserve"> </w:t>
      </w:r>
      <w:r w:rsidRPr="007E304E">
        <w:t>experience gained and any additional information and guidance available at that time.</w:t>
      </w:r>
    </w:p>
    <w:p w:rsidR="008572B3" w:rsidRPr="007E304E" w:rsidRDefault="008572B3" w:rsidP="008572B3">
      <w:pPr>
        <w:widowControl w:val="0"/>
        <w:spacing w:after="240"/>
        <w:outlineLvl w:val="0"/>
        <w:rPr>
          <w:b/>
          <w:lang w:val="en-US"/>
        </w:rPr>
      </w:pPr>
      <w:r w:rsidRPr="007E304E">
        <w:rPr>
          <w:b/>
          <w:lang w:val="en-US"/>
        </w:rPr>
        <w:t>Decision 64/50</w:t>
      </w:r>
      <w:r>
        <w:rPr>
          <w:b/>
          <w:lang w:val="en-US"/>
        </w:rPr>
        <w:t>: Report on implementation of disposal projects (decision 58/19)</w:t>
      </w:r>
    </w:p>
    <w:p w:rsidR="008572B3" w:rsidRPr="007E304E" w:rsidRDefault="008572B3" w:rsidP="00752FC8">
      <w:pPr>
        <w:pStyle w:val="Heading1"/>
        <w:numPr>
          <w:ilvl w:val="0"/>
          <w:numId w:val="75"/>
        </w:numPr>
      </w:pPr>
      <w:r>
        <w:t>T</w:t>
      </w:r>
      <w:r w:rsidRPr="007E304E">
        <w:t xml:space="preserve">he Executive Committee </w:t>
      </w:r>
      <w:r w:rsidRPr="008572B3">
        <w:rPr>
          <w:u w:val="single"/>
        </w:rPr>
        <w:t>decided</w:t>
      </w:r>
      <w:r w:rsidRPr="007E304E">
        <w:t>:</w:t>
      </w:r>
    </w:p>
    <w:p w:rsidR="008572B3" w:rsidRDefault="008572B3" w:rsidP="008572B3">
      <w:pPr>
        <w:pStyle w:val="Heading2"/>
        <w:numPr>
          <w:ilvl w:val="1"/>
          <w:numId w:val="24"/>
        </w:numPr>
        <w:tabs>
          <w:tab w:val="clear" w:pos="720"/>
          <w:tab w:val="num" w:pos="0"/>
        </w:tabs>
        <w:ind w:left="1440"/>
      </w:pPr>
      <w:r w:rsidRPr="007E304E">
        <w:t>To note the report on the use of the interim guidelines for the funding of demonstration projects for the</w:t>
      </w:r>
      <w:r>
        <w:t xml:space="preserve"> </w:t>
      </w:r>
      <w:r w:rsidRPr="007E304E">
        <w:t>disposal of unwanted ODS, while mindful that there was as yet very little experience in the implementation</w:t>
      </w:r>
      <w:r>
        <w:t xml:space="preserve"> </w:t>
      </w:r>
      <w:r w:rsidRPr="007E304E">
        <w:t>of the full pilot projects;</w:t>
      </w:r>
      <w:r>
        <w:t xml:space="preserve"> </w:t>
      </w:r>
    </w:p>
    <w:p w:rsidR="008572B3" w:rsidRDefault="008572B3" w:rsidP="008572B3">
      <w:pPr>
        <w:pStyle w:val="Heading2"/>
        <w:keepNext/>
        <w:widowControl/>
        <w:numPr>
          <w:ilvl w:val="1"/>
          <w:numId w:val="24"/>
        </w:numPr>
        <w:tabs>
          <w:tab w:val="clear" w:pos="720"/>
          <w:tab w:val="num" w:pos="0"/>
        </w:tabs>
        <w:ind w:left="1440"/>
      </w:pPr>
      <w:r w:rsidRPr="007E304E">
        <w:lastRenderedPageBreak/>
        <w:t>To request implementing agencies to provide an update to the Secretariat on how those guidelines were used</w:t>
      </w:r>
      <w:r>
        <w:t xml:space="preserve"> </w:t>
      </w:r>
      <w:r w:rsidRPr="007E304E">
        <w:t>in carrying out the approved ODS disposal pilot projects as their implementation progresses, no later than the</w:t>
      </w:r>
      <w:r>
        <w:t xml:space="preserve"> </w:t>
      </w:r>
      <w:r w:rsidRPr="007E304E">
        <w:t>69</w:t>
      </w:r>
      <w:r w:rsidRPr="007E304E">
        <w:rPr>
          <w:vertAlign w:val="superscript"/>
        </w:rPr>
        <w:t>th</w:t>
      </w:r>
      <w:r>
        <w:t xml:space="preserve"> </w:t>
      </w:r>
      <w:r w:rsidRPr="007E304E">
        <w:t>meeting;</w:t>
      </w:r>
      <w:r>
        <w:t xml:space="preserve"> </w:t>
      </w:r>
    </w:p>
    <w:p w:rsidR="008572B3" w:rsidRDefault="008572B3" w:rsidP="008572B3">
      <w:pPr>
        <w:pStyle w:val="Heading2"/>
        <w:numPr>
          <w:ilvl w:val="1"/>
          <w:numId w:val="24"/>
        </w:numPr>
        <w:tabs>
          <w:tab w:val="clear" w:pos="720"/>
          <w:tab w:val="num" w:pos="0"/>
        </w:tabs>
        <w:ind w:left="1440"/>
      </w:pPr>
      <w:r w:rsidRPr="007E304E">
        <w:t>To reiterate that, in line with decision 58/19(a)(iii), bilateral and implementing agencies were requested to</w:t>
      </w:r>
      <w:r>
        <w:t xml:space="preserve"> </w:t>
      </w:r>
      <w:r w:rsidRPr="007E304E">
        <w:t>report annually to the first meeting of the Executive Committee on progress and experiences gained in</w:t>
      </w:r>
      <w:r>
        <w:t xml:space="preserve"> </w:t>
      </w:r>
      <w:r w:rsidRPr="007E304E">
        <w:t>demonstration projects on disposal, commencing in the first year after project approval, and to include in</w:t>
      </w:r>
      <w:r>
        <w:t xml:space="preserve"> </w:t>
      </w:r>
      <w:r w:rsidRPr="007E304E">
        <w:t>those reports information on: the amounts of the different ODS collected or identified, transported, stored and</w:t>
      </w:r>
      <w:r>
        <w:t xml:space="preserve"> </w:t>
      </w:r>
      <w:r w:rsidRPr="007E304E">
        <w:t>destroyed, as well as on financial, managerial and co-funding arrangements, and any other relevant issues,</w:t>
      </w:r>
      <w:r>
        <w:t xml:space="preserve"> </w:t>
      </w:r>
      <w:r w:rsidRPr="007E304E">
        <w:t>starting at the 66</w:t>
      </w:r>
      <w:r w:rsidRPr="007E304E">
        <w:rPr>
          <w:vertAlign w:val="superscript"/>
        </w:rPr>
        <w:t>th</w:t>
      </w:r>
      <w:r>
        <w:t xml:space="preserve"> </w:t>
      </w:r>
      <w:r w:rsidRPr="007E304E">
        <w:t>meeting;</w:t>
      </w:r>
    </w:p>
    <w:p w:rsidR="008572B3" w:rsidRDefault="008572B3" w:rsidP="00DD04DC">
      <w:pPr>
        <w:pStyle w:val="Heading2"/>
        <w:tabs>
          <w:tab w:val="clear" w:pos="720"/>
          <w:tab w:val="num" w:pos="0"/>
        </w:tabs>
        <w:ind w:left="1440"/>
      </w:pPr>
      <w:r w:rsidRPr="007E304E">
        <w:t>To request the Secretariat to prepare a report for the consideration of the Executive Committee at the 70</w:t>
      </w:r>
      <w:r w:rsidRPr="007E304E">
        <w:rPr>
          <w:vertAlign w:val="superscript"/>
        </w:rPr>
        <w:t>th</w:t>
      </w:r>
      <w:r>
        <w:t xml:space="preserve"> </w:t>
      </w:r>
      <w:r w:rsidRPr="007E304E">
        <w:t>meeting based on subparagraph (b) above, summarizing the experience gained and making recommendations</w:t>
      </w:r>
      <w:r>
        <w:t xml:space="preserve"> </w:t>
      </w:r>
      <w:r w:rsidRPr="007E304E">
        <w:t>for future action; and</w:t>
      </w:r>
    </w:p>
    <w:p w:rsidR="008572B3" w:rsidRPr="007E304E" w:rsidRDefault="008572B3" w:rsidP="008572B3">
      <w:pPr>
        <w:pStyle w:val="Heading2"/>
        <w:numPr>
          <w:ilvl w:val="1"/>
          <w:numId w:val="24"/>
        </w:numPr>
        <w:tabs>
          <w:tab w:val="clear" w:pos="720"/>
          <w:tab w:val="num" w:pos="0"/>
        </w:tabs>
        <w:ind w:left="1440"/>
      </w:pPr>
      <w:r w:rsidRPr="007E304E">
        <w:t>To request the Secretariat to continue using the interim guidelines and applying them also to pilot projects for</w:t>
      </w:r>
      <w:r>
        <w:t xml:space="preserve"> </w:t>
      </w:r>
      <w:r w:rsidRPr="007E304E">
        <w:t>low-volume-consuming countries until the Committee had considered the report requested in subparagraph (d) above.</w:t>
      </w:r>
    </w:p>
    <w:p w:rsidR="008572B3" w:rsidRDefault="008572B3" w:rsidP="008572B3">
      <w:pPr>
        <w:keepNext/>
        <w:spacing w:after="240"/>
        <w:outlineLvl w:val="0"/>
        <w:rPr>
          <w:b/>
        </w:rPr>
      </w:pPr>
      <w:r w:rsidRPr="007E304E">
        <w:rPr>
          <w:b/>
          <w:lang w:val="en-US"/>
        </w:rPr>
        <w:t>Decision 70/22</w:t>
      </w:r>
      <w:r>
        <w:rPr>
          <w:b/>
          <w:lang w:val="en-US"/>
        </w:rPr>
        <w:t>: Report on progress and experiences gained in demonstration projects for the disposal of unwanted ODS (decision 64/50)</w:t>
      </w:r>
    </w:p>
    <w:p w:rsidR="008572B3" w:rsidRPr="007E304E" w:rsidRDefault="008572B3" w:rsidP="00752FC8">
      <w:pPr>
        <w:pStyle w:val="Heading1"/>
        <w:numPr>
          <w:ilvl w:val="0"/>
          <w:numId w:val="76"/>
        </w:numPr>
      </w:pPr>
      <w:r w:rsidRPr="007E304E">
        <w:t>The Executive Committee decided:</w:t>
      </w:r>
    </w:p>
    <w:p w:rsidR="008572B3" w:rsidRPr="007E304E" w:rsidRDefault="008572B3" w:rsidP="008572B3">
      <w:pPr>
        <w:pStyle w:val="Heading2"/>
        <w:numPr>
          <w:ilvl w:val="1"/>
          <w:numId w:val="24"/>
        </w:numPr>
        <w:tabs>
          <w:tab w:val="clear" w:pos="720"/>
          <w:tab w:val="num" w:pos="0"/>
        </w:tabs>
        <w:ind w:left="1440"/>
      </w:pPr>
      <w:r w:rsidRPr="007E304E">
        <w:t>To note the report on the use of the interim guidelines for the funding of demonstration projects for the disposal of unwanted ODS, as approved by decision 58/19, as contained in documents UNEP/OzL.Pro/ExCom/70/54 and Corr.1; and</w:t>
      </w:r>
    </w:p>
    <w:p w:rsidR="008572B3" w:rsidRDefault="008572B3" w:rsidP="00DD04DC">
      <w:pPr>
        <w:pStyle w:val="Heading2"/>
        <w:tabs>
          <w:tab w:val="clear" w:pos="720"/>
          <w:tab w:val="num" w:pos="0"/>
        </w:tabs>
        <w:ind w:left="1440"/>
      </w:pPr>
      <w:r w:rsidRPr="007E304E">
        <w:t>To request the Secretariat to continue using the interim guidelines and applying them to the remaining demonstration projects for the disposal of unwanted ODS due for submission no later than the 72</w:t>
      </w:r>
      <w:r w:rsidRPr="00420379">
        <w:rPr>
          <w:vertAlign w:val="superscript"/>
        </w:rPr>
        <w:t>nd</w:t>
      </w:r>
      <w:r>
        <w:t xml:space="preserve"> </w:t>
      </w:r>
      <w:r w:rsidRPr="007E304E">
        <w:t>meeting.</w:t>
      </w:r>
    </w:p>
    <w:p w:rsidR="008572B3" w:rsidRPr="00BE0683" w:rsidRDefault="008572B3" w:rsidP="008572B3">
      <w:pPr>
        <w:jc w:val="center"/>
      </w:pPr>
    </w:p>
    <w:p w:rsidR="00042B18" w:rsidRDefault="00042B18" w:rsidP="008572B3">
      <w:pPr>
        <w:jc w:val="left"/>
      </w:pPr>
    </w:p>
    <w:p w:rsidR="008572B3" w:rsidRDefault="008572B3" w:rsidP="00042B18">
      <w:pPr>
        <w:jc w:val="center"/>
      </w:pPr>
    </w:p>
    <w:p w:rsidR="008572B3" w:rsidRPr="00BE0683" w:rsidRDefault="008572B3" w:rsidP="00042B18">
      <w:pPr>
        <w:jc w:val="center"/>
      </w:pPr>
    </w:p>
    <w:p w:rsidR="00042B18" w:rsidRDefault="00042B18" w:rsidP="00042B18">
      <w:pPr>
        <w:rPr>
          <w:highlight w:val="yellow"/>
        </w:rPr>
        <w:sectPr w:rsidR="00042B18" w:rsidSect="00042B18">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2" w:left="1440" w:header="720" w:footer="476" w:gutter="0"/>
          <w:pgNumType w:start="1"/>
          <w:cols w:space="720"/>
          <w:titlePg/>
        </w:sectPr>
      </w:pPr>
    </w:p>
    <w:p w:rsidR="008572B3" w:rsidRDefault="008572B3" w:rsidP="008572B3">
      <w:pPr>
        <w:tabs>
          <w:tab w:val="left" w:pos="4080"/>
          <w:tab w:val="center" w:pos="4680"/>
        </w:tabs>
        <w:jc w:val="center"/>
        <w:rPr>
          <w:b/>
        </w:rPr>
      </w:pPr>
      <w:r>
        <w:rPr>
          <w:b/>
        </w:rPr>
        <w:lastRenderedPageBreak/>
        <w:t>A</w:t>
      </w:r>
      <w:r w:rsidRPr="002C70A3">
        <w:rPr>
          <w:b/>
        </w:rPr>
        <w:t>nnex I</w:t>
      </w:r>
      <w:r>
        <w:rPr>
          <w:b/>
        </w:rPr>
        <w:t>II</w:t>
      </w:r>
    </w:p>
    <w:p w:rsidR="008572B3" w:rsidRDefault="008572B3" w:rsidP="008572B3">
      <w:pPr>
        <w:tabs>
          <w:tab w:val="left" w:pos="4080"/>
          <w:tab w:val="center" w:pos="4680"/>
        </w:tabs>
        <w:jc w:val="center"/>
        <w:rPr>
          <w:b/>
        </w:rPr>
      </w:pPr>
    </w:p>
    <w:p w:rsidR="008572B3" w:rsidRPr="007306DB" w:rsidRDefault="008572B3" w:rsidP="008572B3">
      <w:pPr>
        <w:jc w:val="center"/>
        <w:outlineLvl w:val="1"/>
        <w:rPr>
          <w:b/>
        </w:rPr>
      </w:pPr>
      <w:bookmarkStart w:id="5" w:name="_Toc450290718"/>
      <w:r w:rsidRPr="007306DB">
        <w:rPr>
          <w:b/>
        </w:rPr>
        <w:t>RULES OF PROCEDURE FOR MEETINGS OF THE EXECUTIVE COMMITTEE OF THE MULTILATERAL FUND FOR THE IMPLEMENTATION OF THE MONTREAL PROTOCOL</w:t>
      </w:r>
      <w:bookmarkEnd w:id="5"/>
    </w:p>
    <w:p w:rsidR="008572B3" w:rsidRPr="007306DB" w:rsidRDefault="008572B3" w:rsidP="008572B3">
      <w:pPr>
        <w:jc w:val="left"/>
        <w:outlineLvl w:val="1"/>
        <w:rPr>
          <w:b/>
        </w:rPr>
      </w:pPr>
    </w:p>
    <w:p w:rsidR="008572B3" w:rsidRPr="007306DB" w:rsidRDefault="008572B3" w:rsidP="008572B3">
      <w:pPr>
        <w:rPr>
          <w:b/>
          <w:spacing w:val="-3"/>
        </w:rPr>
      </w:pPr>
      <w:r w:rsidRPr="007306DB">
        <w:rPr>
          <w:b/>
          <w:spacing w:val="-3"/>
        </w:rPr>
        <w:t>APPLICABILITY</w:t>
      </w:r>
    </w:p>
    <w:p w:rsidR="008572B3" w:rsidRPr="007306DB" w:rsidRDefault="008572B3" w:rsidP="008572B3">
      <w:pPr>
        <w:rPr>
          <w:spacing w:val="-3"/>
        </w:rPr>
      </w:pPr>
    </w:p>
    <w:p w:rsidR="008572B3" w:rsidRPr="007306DB" w:rsidRDefault="008572B3" w:rsidP="00752FC8">
      <w:pPr>
        <w:pStyle w:val="Heading1"/>
        <w:numPr>
          <w:ilvl w:val="0"/>
          <w:numId w:val="77"/>
        </w:numPr>
      </w:pPr>
      <w:r w:rsidRPr="007306DB">
        <w:t xml:space="preserve">Unless otherwise provided for by the Montreal Protocol or by the decision of the Parties, or excluded by the Rules of Procedure hereunder, the Rules of Procedures for meetings of the Parties to the Montreal Protocol on Substances that Deplete the Ozone Layer shall apply </w:t>
      </w:r>
      <w:r w:rsidRPr="008572B3">
        <w:rPr>
          <w:i/>
        </w:rPr>
        <w:t>mutatis mutandis</w:t>
      </w:r>
      <w:r w:rsidRPr="007306DB">
        <w:t xml:space="preserve"> to the proceedings of any meeting of the Executive Committee. </w:t>
      </w:r>
    </w:p>
    <w:p w:rsidR="008572B3" w:rsidRDefault="008572B3" w:rsidP="008572B3">
      <w:pPr>
        <w:rPr>
          <w:b/>
          <w:spacing w:val="-3"/>
        </w:rPr>
      </w:pPr>
      <w:r w:rsidRPr="007306DB">
        <w:rPr>
          <w:b/>
          <w:spacing w:val="-3"/>
        </w:rPr>
        <w:t>Rule 1</w:t>
      </w:r>
    </w:p>
    <w:p w:rsidR="008572B3" w:rsidRPr="007306DB" w:rsidRDefault="008572B3" w:rsidP="008572B3">
      <w:pPr>
        <w:rPr>
          <w:b/>
          <w:spacing w:val="-3"/>
        </w:rPr>
      </w:pPr>
    </w:p>
    <w:p w:rsidR="008572B3" w:rsidRPr="007306DB" w:rsidRDefault="008572B3" w:rsidP="008572B3">
      <w:pPr>
        <w:pStyle w:val="Heading1"/>
      </w:pPr>
      <w:r w:rsidRPr="007306DB">
        <w:t xml:space="preserve">These Rules of procedure shall apply to any meeting of the Executive Committee for the Interim Multilateral Fund under the Protocol on Substances that Deplete the Ozone Layer convened in accordance with Article 11 of the Protocol. </w:t>
      </w:r>
    </w:p>
    <w:p w:rsidR="008572B3" w:rsidRPr="007306DB" w:rsidRDefault="008572B3" w:rsidP="008572B3">
      <w:pPr>
        <w:rPr>
          <w:b/>
          <w:spacing w:val="-3"/>
        </w:rPr>
      </w:pPr>
      <w:r w:rsidRPr="007306DB">
        <w:rPr>
          <w:b/>
          <w:spacing w:val="-3"/>
        </w:rPr>
        <w:t>DEFINITIONS</w:t>
      </w:r>
    </w:p>
    <w:p w:rsidR="008572B3" w:rsidRPr="007306DB" w:rsidRDefault="008572B3" w:rsidP="008572B3">
      <w:pPr>
        <w:rPr>
          <w:b/>
          <w:spacing w:val="-3"/>
        </w:rPr>
      </w:pPr>
    </w:p>
    <w:p w:rsidR="008572B3" w:rsidRPr="007306DB" w:rsidRDefault="008572B3" w:rsidP="008572B3">
      <w:pPr>
        <w:rPr>
          <w:b/>
          <w:spacing w:val="-3"/>
        </w:rPr>
      </w:pPr>
      <w:r w:rsidRPr="007306DB">
        <w:rPr>
          <w:b/>
          <w:spacing w:val="-3"/>
        </w:rPr>
        <w:t>Rule 2</w:t>
      </w:r>
    </w:p>
    <w:p w:rsidR="008572B3" w:rsidRDefault="008572B3" w:rsidP="008572B3">
      <w:pPr>
        <w:rPr>
          <w:spacing w:val="-3"/>
        </w:rPr>
      </w:pPr>
    </w:p>
    <w:p w:rsidR="008572B3" w:rsidRPr="007306DB" w:rsidRDefault="008572B3" w:rsidP="008572B3">
      <w:pPr>
        <w:pStyle w:val="Heading1"/>
      </w:pPr>
      <w:r w:rsidRPr="007306DB">
        <w:t xml:space="preserve">For the purposes of these rules: </w:t>
      </w:r>
    </w:p>
    <w:p w:rsidR="008572B3" w:rsidRPr="007306DB" w:rsidRDefault="008572B3" w:rsidP="008572B3">
      <w:pPr>
        <w:pStyle w:val="Heading2"/>
        <w:tabs>
          <w:tab w:val="clear" w:pos="720"/>
          <w:tab w:val="num" w:pos="0"/>
        </w:tabs>
        <w:ind w:left="1440"/>
      </w:pPr>
      <w:r w:rsidRPr="007306DB">
        <w:t xml:space="preserve">"Executive Committee" means the Executive Committee for the Interim Multilateral Fund as established by decision II/8 at the Second Meeting of the Parties to the Montreal Protocol. </w:t>
      </w:r>
    </w:p>
    <w:p w:rsidR="008572B3" w:rsidRPr="007306DB" w:rsidRDefault="008572B3" w:rsidP="008572B3">
      <w:pPr>
        <w:pStyle w:val="Heading2"/>
        <w:tabs>
          <w:tab w:val="clear" w:pos="720"/>
          <w:tab w:val="num" w:pos="0"/>
        </w:tabs>
        <w:ind w:left="1440"/>
      </w:pPr>
      <w:r w:rsidRPr="007306DB">
        <w:t xml:space="preserve">"Committee members" means Parties selected as members of the Executive Committee for the Interim Multilateral Fund. </w:t>
      </w:r>
    </w:p>
    <w:p w:rsidR="008572B3" w:rsidRPr="007306DB" w:rsidRDefault="008572B3" w:rsidP="008572B3">
      <w:pPr>
        <w:pStyle w:val="Heading2"/>
        <w:tabs>
          <w:tab w:val="clear" w:pos="720"/>
          <w:tab w:val="num" w:pos="0"/>
        </w:tabs>
        <w:ind w:left="1440"/>
      </w:pPr>
      <w:r w:rsidRPr="007306DB">
        <w:t xml:space="preserve">"Meeting" means any meeting of the Executive Committee for the Interim Multilateral Fund. </w:t>
      </w:r>
    </w:p>
    <w:p w:rsidR="008572B3" w:rsidRPr="007306DB" w:rsidRDefault="008572B3" w:rsidP="008572B3">
      <w:pPr>
        <w:pStyle w:val="Heading2"/>
        <w:tabs>
          <w:tab w:val="clear" w:pos="720"/>
          <w:tab w:val="num" w:pos="0"/>
        </w:tabs>
        <w:ind w:left="1440"/>
      </w:pPr>
      <w:r w:rsidRPr="007306DB">
        <w:t xml:space="preserve">"Chairman" means the Committee member selected Chairman of the Executive Committee. </w:t>
      </w:r>
    </w:p>
    <w:p w:rsidR="008572B3" w:rsidRPr="007306DB" w:rsidRDefault="008572B3" w:rsidP="008572B3">
      <w:pPr>
        <w:pStyle w:val="Heading2"/>
        <w:tabs>
          <w:tab w:val="clear" w:pos="720"/>
          <w:tab w:val="num" w:pos="0"/>
        </w:tabs>
        <w:ind w:left="1440"/>
      </w:pPr>
      <w:r w:rsidRPr="007306DB">
        <w:t xml:space="preserve">"Secretariat" means the Multilateral Fund Secretariat. </w:t>
      </w:r>
    </w:p>
    <w:p w:rsidR="008572B3" w:rsidRPr="007306DB" w:rsidRDefault="008572B3" w:rsidP="008572B3">
      <w:pPr>
        <w:pStyle w:val="Heading2"/>
        <w:tabs>
          <w:tab w:val="clear" w:pos="720"/>
          <w:tab w:val="num" w:pos="0"/>
        </w:tabs>
        <w:ind w:left="1440"/>
      </w:pPr>
      <w:r w:rsidRPr="007306DB">
        <w:t xml:space="preserve">"Fund" means the Interim Multilateral Fund. </w:t>
      </w:r>
    </w:p>
    <w:p w:rsidR="008572B3" w:rsidRPr="007306DB" w:rsidRDefault="008572B3" w:rsidP="008572B3">
      <w:pPr>
        <w:rPr>
          <w:b/>
          <w:spacing w:val="-3"/>
        </w:rPr>
      </w:pPr>
      <w:r w:rsidRPr="007306DB">
        <w:rPr>
          <w:b/>
          <w:spacing w:val="-3"/>
        </w:rPr>
        <w:t>PLACE OF MEETINGS</w:t>
      </w:r>
    </w:p>
    <w:p w:rsidR="008572B3" w:rsidRPr="007306DB" w:rsidRDefault="008572B3" w:rsidP="008572B3">
      <w:pPr>
        <w:rPr>
          <w:b/>
          <w:spacing w:val="-3"/>
        </w:rPr>
      </w:pPr>
    </w:p>
    <w:p w:rsidR="008572B3" w:rsidRDefault="008572B3" w:rsidP="008572B3">
      <w:pPr>
        <w:rPr>
          <w:b/>
          <w:spacing w:val="-3"/>
        </w:rPr>
      </w:pPr>
      <w:r w:rsidRPr="007306DB">
        <w:rPr>
          <w:b/>
          <w:spacing w:val="-3"/>
        </w:rPr>
        <w:t>Rule 3</w:t>
      </w:r>
    </w:p>
    <w:p w:rsidR="008572B3" w:rsidRPr="007306DB" w:rsidRDefault="008572B3" w:rsidP="008572B3">
      <w:pPr>
        <w:rPr>
          <w:b/>
          <w:spacing w:val="-3"/>
        </w:rPr>
      </w:pPr>
    </w:p>
    <w:p w:rsidR="008572B3" w:rsidRPr="007306DB" w:rsidRDefault="008572B3" w:rsidP="008572B3">
      <w:pPr>
        <w:pStyle w:val="Heading1"/>
      </w:pPr>
      <w:r w:rsidRPr="007306DB">
        <w:t xml:space="preserve">The meetings of the Executive Committee shall take place at the seat of the Fund Secretariat, unless other appropriate arrangements are made by the Fund Secretariat in consultation with the Executive Committee. </w:t>
      </w:r>
    </w:p>
    <w:p w:rsidR="008572B3" w:rsidRPr="007306DB" w:rsidRDefault="008572B3" w:rsidP="008572B3">
      <w:pPr>
        <w:keepNext/>
        <w:rPr>
          <w:b/>
          <w:spacing w:val="-3"/>
        </w:rPr>
      </w:pPr>
      <w:r w:rsidRPr="007306DB">
        <w:rPr>
          <w:b/>
          <w:spacing w:val="-3"/>
        </w:rPr>
        <w:lastRenderedPageBreak/>
        <w:t>DATES OF MEETINGS</w:t>
      </w:r>
    </w:p>
    <w:p w:rsidR="008572B3" w:rsidRPr="007306DB" w:rsidRDefault="008572B3" w:rsidP="008572B3">
      <w:pPr>
        <w:keepNext/>
        <w:rPr>
          <w:b/>
          <w:spacing w:val="-3"/>
        </w:rPr>
      </w:pPr>
    </w:p>
    <w:p w:rsidR="008572B3" w:rsidRDefault="008572B3" w:rsidP="008572B3">
      <w:pPr>
        <w:keepNext/>
        <w:rPr>
          <w:b/>
          <w:spacing w:val="-3"/>
        </w:rPr>
      </w:pPr>
      <w:r w:rsidRPr="007306DB">
        <w:rPr>
          <w:b/>
          <w:spacing w:val="-3"/>
        </w:rPr>
        <w:t>Rule 4</w:t>
      </w:r>
    </w:p>
    <w:p w:rsidR="008572B3" w:rsidRPr="007306DB" w:rsidRDefault="008572B3" w:rsidP="008572B3">
      <w:pPr>
        <w:keepNext/>
        <w:rPr>
          <w:b/>
          <w:spacing w:val="-3"/>
        </w:rPr>
      </w:pPr>
    </w:p>
    <w:p w:rsidR="008572B3" w:rsidRPr="007306DB" w:rsidRDefault="008572B3" w:rsidP="008572B3">
      <w:pPr>
        <w:pStyle w:val="Heading1"/>
        <w:keepNext/>
      </w:pPr>
      <w:r w:rsidRPr="007306DB">
        <w:t xml:space="preserve">Meetings of the Executive Committee shall be held at least twice every year. </w:t>
      </w:r>
    </w:p>
    <w:p w:rsidR="008572B3" w:rsidRPr="007306DB" w:rsidRDefault="008572B3" w:rsidP="008572B3">
      <w:pPr>
        <w:pStyle w:val="Heading1"/>
      </w:pPr>
      <w:r w:rsidRPr="007306DB">
        <w:t xml:space="preserve">At each meeting, the Executive Committee shall fix the opening date and duration of the next meeting. </w:t>
      </w:r>
    </w:p>
    <w:p w:rsidR="008572B3" w:rsidRPr="005F1ED4" w:rsidRDefault="008572B3" w:rsidP="008572B3">
      <w:pPr>
        <w:pStyle w:val="Heading1"/>
      </w:pPr>
      <w:r w:rsidRPr="005F1ED4">
        <w:t>The Executive Committee shall have the flexibility to hold two or three meetings annually, if it so decides, and shall report at each Meeting of the Parties on any decision taken there. The Executive Committee should consider meeting, when appropriate, in conjunction with other Montreal Protocol meetings.</w:t>
      </w:r>
      <w:r>
        <w:rPr>
          <w:rStyle w:val="FootnoteReference"/>
        </w:rPr>
        <w:footnoteReference w:id="60"/>
      </w:r>
      <w:r w:rsidRPr="005F1ED4">
        <w:t xml:space="preserve"> </w:t>
      </w:r>
    </w:p>
    <w:p w:rsidR="008572B3" w:rsidRDefault="008572B3" w:rsidP="008572B3">
      <w:pPr>
        <w:rPr>
          <w:b/>
          <w:spacing w:val="-3"/>
        </w:rPr>
      </w:pPr>
      <w:r w:rsidRPr="007306DB">
        <w:rPr>
          <w:b/>
          <w:spacing w:val="-3"/>
        </w:rPr>
        <w:t>Rule 5</w:t>
      </w:r>
    </w:p>
    <w:p w:rsidR="008572B3" w:rsidRPr="007306DB" w:rsidRDefault="008572B3" w:rsidP="008572B3">
      <w:pPr>
        <w:rPr>
          <w:b/>
          <w:spacing w:val="-3"/>
        </w:rPr>
      </w:pPr>
    </w:p>
    <w:p w:rsidR="008572B3" w:rsidRPr="007306DB" w:rsidRDefault="008572B3" w:rsidP="008572B3">
      <w:pPr>
        <w:pStyle w:val="Heading1"/>
      </w:pPr>
      <w:r w:rsidRPr="007306DB">
        <w:t xml:space="preserve">The Secretariat shall notify all Committee members of the dates and venue of meetings at least six weeks before the meeting. </w:t>
      </w:r>
    </w:p>
    <w:p w:rsidR="008572B3" w:rsidRPr="007306DB" w:rsidRDefault="008572B3" w:rsidP="008572B3">
      <w:pPr>
        <w:rPr>
          <w:b/>
          <w:spacing w:val="-3"/>
        </w:rPr>
      </w:pPr>
      <w:r w:rsidRPr="007306DB">
        <w:rPr>
          <w:b/>
          <w:spacing w:val="-3"/>
        </w:rPr>
        <w:t>OBSERVERS</w:t>
      </w:r>
    </w:p>
    <w:p w:rsidR="008572B3" w:rsidRPr="007306DB" w:rsidRDefault="008572B3" w:rsidP="008572B3">
      <w:pPr>
        <w:rPr>
          <w:b/>
          <w:spacing w:val="-3"/>
        </w:rPr>
      </w:pPr>
    </w:p>
    <w:p w:rsidR="008572B3" w:rsidRDefault="008572B3" w:rsidP="008572B3">
      <w:pPr>
        <w:rPr>
          <w:b/>
          <w:spacing w:val="-3"/>
        </w:rPr>
      </w:pPr>
      <w:r w:rsidRPr="007306DB">
        <w:rPr>
          <w:b/>
          <w:spacing w:val="-3"/>
        </w:rPr>
        <w:t>Rule 6</w:t>
      </w:r>
    </w:p>
    <w:p w:rsidR="008572B3" w:rsidRPr="007306DB" w:rsidRDefault="008572B3" w:rsidP="008572B3">
      <w:pPr>
        <w:rPr>
          <w:b/>
          <w:spacing w:val="-3"/>
        </w:rPr>
      </w:pPr>
    </w:p>
    <w:p w:rsidR="008572B3" w:rsidRPr="007306DB" w:rsidRDefault="008572B3" w:rsidP="008572B3">
      <w:pPr>
        <w:pStyle w:val="Heading1"/>
      </w:pPr>
      <w:r w:rsidRPr="007306DB">
        <w:t xml:space="preserve">The Secretariat shall notify the President of the Bureau and the implementing agencies </w:t>
      </w:r>
      <w:r w:rsidRPr="007306DB">
        <w:rPr>
          <w:i/>
        </w:rPr>
        <w:t>inter alia</w:t>
      </w:r>
      <w:r w:rsidRPr="007306DB">
        <w:t xml:space="preserve"> UNEP, UNDP, UNIDO and the World Bank of any meeting of the Executive Committee so that they may participate as observers. </w:t>
      </w:r>
    </w:p>
    <w:p w:rsidR="008572B3" w:rsidRPr="007306DB" w:rsidRDefault="008572B3" w:rsidP="008572B3">
      <w:pPr>
        <w:pStyle w:val="Heading1"/>
      </w:pPr>
      <w:r w:rsidRPr="007306DB">
        <w:t xml:space="preserve">Such observers may, upon invitation of the Chairman, participate without the right to vote in the proceedings of any meeting. </w:t>
      </w:r>
    </w:p>
    <w:p w:rsidR="008572B3" w:rsidRDefault="008572B3" w:rsidP="008572B3">
      <w:pPr>
        <w:rPr>
          <w:b/>
          <w:spacing w:val="-3"/>
        </w:rPr>
      </w:pPr>
      <w:r w:rsidRPr="007306DB">
        <w:rPr>
          <w:b/>
          <w:spacing w:val="-3"/>
        </w:rPr>
        <w:t>Rule 7</w:t>
      </w:r>
    </w:p>
    <w:p w:rsidR="008572B3" w:rsidRPr="007306DB" w:rsidRDefault="008572B3" w:rsidP="008572B3">
      <w:pPr>
        <w:rPr>
          <w:b/>
          <w:spacing w:val="-3"/>
        </w:rPr>
      </w:pPr>
    </w:p>
    <w:p w:rsidR="008572B3" w:rsidRPr="007306DB" w:rsidRDefault="008572B3" w:rsidP="008572B3">
      <w:pPr>
        <w:pStyle w:val="Heading1"/>
      </w:pPr>
      <w:r w:rsidRPr="007306DB">
        <w:t xml:space="preserve">The Secretariat shall notify anybody or agency, whether national or international, governmental or nongovernmental, qualified in the field related to the work of the Executive Committee, that has informed the Secretariat of its wishes to be represented, of any meeting so that it may be represented by an observer subject to the condition that their admission to the meeting is not objected to by at least one third of the Parties present at the meeting. However, the Executive Committee may determine that any portion of its meetings involving sensitive matters may be closed to observers. Nongovernmental observers should include observers from developing and developed countries and their total number should be limited as far as possible. </w:t>
      </w:r>
    </w:p>
    <w:p w:rsidR="008572B3" w:rsidRPr="007306DB" w:rsidRDefault="008572B3" w:rsidP="008572B3">
      <w:pPr>
        <w:pStyle w:val="Heading1"/>
      </w:pPr>
      <w:r w:rsidRPr="007306DB">
        <w:t xml:space="preserve">Such observers may, upon invitation of the Chairman and if there is no objection from the Committee members present, participate without the right to vote in the proceedings of any meeting in matters of direct concern to the body or agency which they represent. </w:t>
      </w:r>
    </w:p>
    <w:p w:rsidR="008572B3" w:rsidRPr="007306DB" w:rsidRDefault="008572B3" w:rsidP="008572B3">
      <w:pPr>
        <w:keepNext/>
        <w:rPr>
          <w:b/>
          <w:spacing w:val="-3"/>
        </w:rPr>
      </w:pPr>
      <w:r w:rsidRPr="007306DB">
        <w:rPr>
          <w:b/>
          <w:spacing w:val="-3"/>
        </w:rPr>
        <w:lastRenderedPageBreak/>
        <w:t>AGENDA</w:t>
      </w:r>
    </w:p>
    <w:p w:rsidR="008572B3" w:rsidRPr="007306DB" w:rsidRDefault="008572B3" w:rsidP="008572B3">
      <w:pPr>
        <w:keepNext/>
        <w:rPr>
          <w:b/>
          <w:spacing w:val="-3"/>
        </w:rPr>
      </w:pPr>
    </w:p>
    <w:p w:rsidR="008572B3" w:rsidRDefault="008572B3" w:rsidP="008572B3">
      <w:pPr>
        <w:keepNext/>
        <w:rPr>
          <w:b/>
          <w:spacing w:val="-3"/>
        </w:rPr>
      </w:pPr>
      <w:r w:rsidRPr="007306DB">
        <w:rPr>
          <w:b/>
          <w:spacing w:val="-3"/>
        </w:rPr>
        <w:t>Rule 8</w:t>
      </w:r>
    </w:p>
    <w:p w:rsidR="008572B3" w:rsidRPr="007306DB" w:rsidRDefault="008572B3" w:rsidP="008572B3">
      <w:pPr>
        <w:keepNext/>
        <w:rPr>
          <w:b/>
          <w:spacing w:val="-3"/>
        </w:rPr>
      </w:pPr>
    </w:p>
    <w:p w:rsidR="008572B3" w:rsidRPr="007306DB" w:rsidRDefault="008572B3" w:rsidP="008572B3">
      <w:pPr>
        <w:pStyle w:val="Heading1"/>
        <w:keepNext/>
      </w:pPr>
      <w:r w:rsidRPr="007306DB">
        <w:t xml:space="preserve">In agreement with the Chairman and the Vice Chairman, the Secretariat shall prepare the provisional agenda for each meeting. </w:t>
      </w:r>
    </w:p>
    <w:p w:rsidR="008572B3" w:rsidRPr="007306DB" w:rsidRDefault="008572B3" w:rsidP="008572B3">
      <w:pPr>
        <w:rPr>
          <w:b/>
          <w:spacing w:val="-3"/>
        </w:rPr>
      </w:pPr>
      <w:r w:rsidRPr="007306DB">
        <w:rPr>
          <w:b/>
          <w:spacing w:val="-3"/>
        </w:rPr>
        <w:t>Rule 9</w:t>
      </w:r>
    </w:p>
    <w:p w:rsidR="008572B3" w:rsidRDefault="008572B3" w:rsidP="008572B3">
      <w:pPr>
        <w:rPr>
          <w:spacing w:val="-3"/>
        </w:rPr>
      </w:pPr>
    </w:p>
    <w:p w:rsidR="008572B3" w:rsidRPr="007306DB" w:rsidRDefault="008572B3" w:rsidP="008572B3">
      <w:pPr>
        <w:pStyle w:val="Heading1"/>
      </w:pPr>
      <w:r w:rsidRPr="007306DB">
        <w:t xml:space="preserve">The Secretariat shall report to the meeting on the administrative and financial implications of all substantive agenda items submitted to the meeting, before they are considered by it. Unless the meeting decides otherwise, no such item shall be considered until at least twenty-four hours after the meeting has received the Secretariat's report on the administrative and financial implications. </w:t>
      </w:r>
    </w:p>
    <w:p w:rsidR="008572B3" w:rsidRPr="007306DB" w:rsidRDefault="008572B3" w:rsidP="008572B3">
      <w:pPr>
        <w:rPr>
          <w:b/>
          <w:spacing w:val="-3"/>
        </w:rPr>
      </w:pPr>
      <w:r w:rsidRPr="007306DB">
        <w:rPr>
          <w:b/>
          <w:spacing w:val="-3"/>
        </w:rPr>
        <w:t>Rule 10</w:t>
      </w:r>
    </w:p>
    <w:p w:rsidR="008572B3" w:rsidRDefault="008572B3" w:rsidP="008572B3">
      <w:pPr>
        <w:rPr>
          <w:spacing w:val="-3"/>
        </w:rPr>
      </w:pPr>
    </w:p>
    <w:p w:rsidR="008572B3" w:rsidRPr="007306DB" w:rsidRDefault="008572B3" w:rsidP="008572B3">
      <w:pPr>
        <w:pStyle w:val="Heading1"/>
      </w:pPr>
      <w:r w:rsidRPr="007306DB">
        <w:t xml:space="preserve">Any item of the agenda of any meeting, consideration of which has not been completed at the meeting, shall be included automatically in the agenda of the next meeting, unless otherwise decided by the Executive Committee. </w:t>
      </w:r>
    </w:p>
    <w:p w:rsidR="008572B3" w:rsidRPr="007306DB" w:rsidRDefault="008572B3" w:rsidP="008572B3">
      <w:pPr>
        <w:rPr>
          <w:b/>
          <w:spacing w:val="-3"/>
        </w:rPr>
      </w:pPr>
      <w:r w:rsidRPr="007306DB">
        <w:rPr>
          <w:b/>
          <w:spacing w:val="-3"/>
        </w:rPr>
        <w:t>REPRESENTATION AND CREDENTIALS</w:t>
      </w:r>
    </w:p>
    <w:p w:rsidR="008572B3" w:rsidRPr="007306DB" w:rsidRDefault="008572B3" w:rsidP="008572B3">
      <w:pPr>
        <w:rPr>
          <w:b/>
          <w:spacing w:val="-3"/>
        </w:rPr>
      </w:pPr>
    </w:p>
    <w:p w:rsidR="008572B3" w:rsidRPr="007306DB" w:rsidRDefault="008572B3" w:rsidP="008572B3">
      <w:pPr>
        <w:pStyle w:val="Heading1"/>
        <w:numPr>
          <w:ilvl w:val="0"/>
          <w:numId w:val="0"/>
        </w:numPr>
        <w:rPr>
          <w:b/>
        </w:rPr>
      </w:pPr>
      <w:r w:rsidRPr="007306DB">
        <w:rPr>
          <w:b/>
        </w:rPr>
        <w:t>Rule 11</w:t>
      </w:r>
    </w:p>
    <w:p w:rsidR="008572B3" w:rsidRPr="007306DB" w:rsidRDefault="008572B3" w:rsidP="008572B3">
      <w:pPr>
        <w:pStyle w:val="Heading1"/>
      </w:pPr>
      <w:r w:rsidRPr="007306DB">
        <w:t>The Executive Committee shall consist of seven Parties from the group of Parties operating under paragraph 1 of Article 5 of the Protocol and seven Parties from the group of Parties not so operating. Each group shall select its Executive Committee members. The members of the Executive Committee shall be formally endorsed by the Meeting of the Parties.</w:t>
      </w:r>
    </w:p>
    <w:p w:rsidR="008572B3" w:rsidRDefault="008572B3" w:rsidP="008572B3">
      <w:pPr>
        <w:rPr>
          <w:b/>
          <w:spacing w:val="-3"/>
        </w:rPr>
      </w:pPr>
      <w:r w:rsidRPr="007306DB">
        <w:rPr>
          <w:b/>
          <w:spacing w:val="-3"/>
        </w:rPr>
        <w:t>Rule 12</w:t>
      </w:r>
    </w:p>
    <w:p w:rsidR="008572B3" w:rsidRPr="007306DB" w:rsidRDefault="008572B3" w:rsidP="008572B3">
      <w:pPr>
        <w:rPr>
          <w:b/>
          <w:spacing w:val="-3"/>
        </w:rPr>
      </w:pPr>
    </w:p>
    <w:p w:rsidR="008572B3" w:rsidRPr="007306DB" w:rsidRDefault="008572B3" w:rsidP="008572B3">
      <w:pPr>
        <w:pStyle w:val="Heading1"/>
      </w:pPr>
      <w:r w:rsidRPr="007306DB">
        <w:t xml:space="preserve">Each Committee member shall be represented by an accredited representative who may be accompanied by such alternate representatives and advisers as may be required. </w:t>
      </w:r>
    </w:p>
    <w:p w:rsidR="008572B3" w:rsidRPr="007306DB" w:rsidRDefault="008572B3" w:rsidP="008572B3">
      <w:pPr>
        <w:rPr>
          <w:b/>
          <w:spacing w:val="-3"/>
        </w:rPr>
      </w:pPr>
      <w:r w:rsidRPr="007306DB">
        <w:rPr>
          <w:b/>
          <w:spacing w:val="-3"/>
        </w:rPr>
        <w:t>OFFICERS</w:t>
      </w:r>
    </w:p>
    <w:p w:rsidR="008572B3" w:rsidRPr="007306DB" w:rsidRDefault="008572B3" w:rsidP="008572B3">
      <w:pPr>
        <w:rPr>
          <w:b/>
          <w:spacing w:val="-3"/>
        </w:rPr>
      </w:pPr>
    </w:p>
    <w:p w:rsidR="008572B3" w:rsidRPr="007306DB" w:rsidRDefault="008572B3" w:rsidP="008572B3">
      <w:pPr>
        <w:rPr>
          <w:b/>
          <w:spacing w:val="-3"/>
        </w:rPr>
      </w:pPr>
      <w:r w:rsidRPr="007306DB">
        <w:rPr>
          <w:b/>
          <w:spacing w:val="-3"/>
        </w:rPr>
        <w:t>Rule 13</w:t>
      </w:r>
    </w:p>
    <w:p w:rsidR="008572B3" w:rsidRDefault="008572B3" w:rsidP="008572B3">
      <w:pPr>
        <w:rPr>
          <w:spacing w:val="-3"/>
        </w:rPr>
      </w:pPr>
    </w:p>
    <w:p w:rsidR="008572B3" w:rsidRPr="007306DB" w:rsidRDefault="008572B3" w:rsidP="008572B3">
      <w:pPr>
        <w:pStyle w:val="Heading1"/>
      </w:pPr>
      <w:r w:rsidRPr="007306DB">
        <w:t xml:space="preserve">If the Chairman is temporarily unable to fulfil the obligation of the office, the Vice Chairman shall in the interim assume all the obligations and authorities of the Chairman. </w:t>
      </w:r>
    </w:p>
    <w:p w:rsidR="008572B3" w:rsidRPr="007306DB" w:rsidRDefault="008572B3" w:rsidP="008572B3">
      <w:pPr>
        <w:rPr>
          <w:b/>
          <w:spacing w:val="-3"/>
        </w:rPr>
      </w:pPr>
      <w:r w:rsidRPr="007306DB">
        <w:rPr>
          <w:b/>
          <w:spacing w:val="-3"/>
        </w:rPr>
        <w:t>Rule 14</w:t>
      </w:r>
    </w:p>
    <w:p w:rsidR="008572B3" w:rsidRDefault="008572B3" w:rsidP="008572B3">
      <w:pPr>
        <w:rPr>
          <w:spacing w:val="-3"/>
        </w:rPr>
      </w:pPr>
    </w:p>
    <w:p w:rsidR="008572B3" w:rsidRPr="007306DB" w:rsidRDefault="008572B3" w:rsidP="008572B3">
      <w:pPr>
        <w:pStyle w:val="Heading1"/>
      </w:pPr>
      <w:r w:rsidRPr="007306DB">
        <w:t xml:space="preserve">If the Chairman or Vice Chairman is unable to complete the term of office the Committee members representing the group which selected that officer shall select a replacement to complete the term of office. </w:t>
      </w:r>
    </w:p>
    <w:p w:rsidR="008572B3" w:rsidRPr="007306DB" w:rsidRDefault="008572B3" w:rsidP="008572B3">
      <w:pPr>
        <w:rPr>
          <w:b/>
          <w:spacing w:val="-3"/>
        </w:rPr>
      </w:pPr>
      <w:r w:rsidRPr="007306DB">
        <w:rPr>
          <w:b/>
          <w:spacing w:val="-3"/>
        </w:rPr>
        <w:t>Rule 15</w:t>
      </w:r>
    </w:p>
    <w:p w:rsidR="008572B3" w:rsidRDefault="008572B3" w:rsidP="008572B3">
      <w:pPr>
        <w:rPr>
          <w:spacing w:val="-3"/>
        </w:rPr>
      </w:pPr>
    </w:p>
    <w:p w:rsidR="008572B3" w:rsidRPr="007306DB" w:rsidRDefault="008572B3" w:rsidP="008572B3">
      <w:pPr>
        <w:pStyle w:val="Heading1"/>
      </w:pPr>
      <w:r w:rsidRPr="007306DB">
        <w:t xml:space="preserve">The Secretariat shall: </w:t>
      </w:r>
    </w:p>
    <w:p w:rsidR="008572B3" w:rsidRPr="007306DB" w:rsidRDefault="008572B3" w:rsidP="00C15E5D">
      <w:pPr>
        <w:pStyle w:val="Heading2"/>
        <w:keepNext/>
        <w:widowControl/>
        <w:tabs>
          <w:tab w:val="clear" w:pos="720"/>
          <w:tab w:val="num" w:pos="0"/>
        </w:tabs>
        <w:ind w:left="1440"/>
      </w:pPr>
      <w:r w:rsidRPr="007306DB">
        <w:lastRenderedPageBreak/>
        <w:t xml:space="preserve">Make the necessary arrangements for the meetings of the Executive Committee, including the issue of invitations and preparation of documents and reports of the meeting; </w:t>
      </w:r>
    </w:p>
    <w:p w:rsidR="008572B3" w:rsidRPr="007306DB" w:rsidRDefault="008572B3" w:rsidP="008572B3">
      <w:pPr>
        <w:pStyle w:val="Heading2"/>
        <w:tabs>
          <w:tab w:val="clear" w:pos="720"/>
          <w:tab w:val="num" w:pos="0"/>
        </w:tabs>
        <w:ind w:left="1440"/>
      </w:pPr>
      <w:r w:rsidRPr="007306DB">
        <w:t xml:space="preserve">Arrange for the custody and preservation of the documents of the meeting in the archives of the international organization designated as secretariat of the Convention; and </w:t>
      </w:r>
    </w:p>
    <w:p w:rsidR="008572B3" w:rsidRPr="007306DB" w:rsidRDefault="008572B3" w:rsidP="008572B3">
      <w:pPr>
        <w:pStyle w:val="Heading2"/>
        <w:tabs>
          <w:tab w:val="clear" w:pos="720"/>
          <w:tab w:val="num" w:pos="0"/>
        </w:tabs>
        <w:ind w:left="1440"/>
      </w:pPr>
      <w:r w:rsidRPr="007306DB">
        <w:t xml:space="preserve"> Generally perform all other functions that the Executive Committee may require. </w:t>
      </w:r>
    </w:p>
    <w:p w:rsidR="008572B3" w:rsidRDefault="008572B3" w:rsidP="008572B3">
      <w:pPr>
        <w:keepNext/>
        <w:rPr>
          <w:b/>
          <w:spacing w:val="-3"/>
        </w:rPr>
      </w:pPr>
      <w:r w:rsidRPr="007306DB">
        <w:rPr>
          <w:b/>
          <w:spacing w:val="-3"/>
        </w:rPr>
        <w:t>Rule 16</w:t>
      </w:r>
    </w:p>
    <w:p w:rsidR="008572B3" w:rsidRPr="007306DB" w:rsidRDefault="008572B3" w:rsidP="008572B3">
      <w:pPr>
        <w:keepNext/>
        <w:rPr>
          <w:b/>
          <w:spacing w:val="-3"/>
        </w:rPr>
      </w:pPr>
    </w:p>
    <w:p w:rsidR="008572B3" w:rsidRPr="007306DB" w:rsidRDefault="008572B3" w:rsidP="008572B3">
      <w:pPr>
        <w:pStyle w:val="Heading1"/>
        <w:keepNext/>
      </w:pPr>
      <w:r w:rsidRPr="007306DB">
        <w:t>The Chief Officer of the Secretariat shall be the Secretary of any meeting of the Executive Committee.</w:t>
      </w:r>
    </w:p>
    <w:p w:rsidR="008572B3" w:rsidRPr="007306DB" w:rsidRDefault="008572B3" w:rsidP="008572B3">
      <w:pPr>
        <w:rPr>
          <w:b/>
          <w:spacing w:val="-3"/>
        </w:rPr>
      </w:pPr>
      <w:r w:rsidRPr="007306DB">
        <w:rPr>
          <w:b/>
          <w:spacing w:val="-3"/>
        </w:rPr>
        <w:t>VOTING</w:t>
      </w:r>
    </w:p>
    <w:p w:rsidR="008572B3" w:rsidRPr="007306DB" w:rsidRDefault="008572B3" w:rsidP="008572B3">
      <w:pPr>
        <w:rPr>
          <w:b/>
          <w:spacing w:val="-3"/>
        </w:rPr>
      </w:pPr>
    </w:p>
    <w:p w:rsidR="008572B3" w:rsidRDefault="008572B3" w:rsidP="008572B3">
      <w:pPr>
        <w:rPr>
          <w:b/>
          <w:spacing w:val="-3"/>
        </w:rPr>
      </w:pPr>
      <w:r w:rsidRPr="007306DB">
        <w:rPr>
          <w:b/>
          <w:spacing w:val="-3"/>
        </w:rPr>
        <w:t>Rule 17</w:t>
      </w:r>
    </w:p>
    <w:p w:rsidR="008572B3" w:rsidRPr="007306DB" w:rsidRDefault="008572B3" w:rsidP="008572B3">
      <w:pPr>
        <w:rPr>
          <w:b/>
          <w:spacing w:val="-3"/>
        </w:rPr>
      </w:pPr>
    </w:p>
    <w:p w:rsidR="008572B3" w:rsidRPr="007306DB" w:rsidRDefault="008572B3" w:rsidP="008572B3">
      <w:pPr>
        <w:pStyle w:val="Heading1"/>
      </w:pPr>
      <w:r w:rsidRPr="007306DB">
        <w:t xml:space="preserve">Decisions of the Executive Committee shall be taken by consensus whenever possible. If all efforts at consensus have been exhausted and no agreement reached, decisions shall be taken by a two thirds majority of the Parties present and voting, representing a majority of the Parties operating under paragraph 1 of Article 5 and a majority of the Parties not so operating present and voting. </w:t>
      </w:r>
    </w:p>
    <w:p w:rsidR="008572B3" w:rsidRPr="007306DB" w:rsidRDefault="008572B3" w:rsidP="008572B3">
      <w:pPr>
        <w:rPr>
          <w:b/>
          <w:spacing w:val="-3"/>
        </w:rPr>
      </w:pPr>
      <w:r w:rsidRPr="007306DB">
        <w:rPr>
          <w:b/>
          <w:spacing w:val="-3"/>
        </w:rPr>
        <w:t>LANGUAGES</w:t>
      </w:r>
    </w:p>
    <w:p w:rsidR="008572B3" w:rsidRPr="007306DB" w:rsidRDefault="008572B3" w:rsidP="008572B3">
      <w:pPr>
        <w:rPr>
          <w:b/>
          <w:spacing w:val="-3"/>
        </w:rPr>
      </w:pPr>
    </w:p>
    <w:p w:rsidR="008572B3" w:rsidRDefault="008572B3" w:rsidP="008572B3">
      <w:pPr>
        <w:rPr>
          <w:b/>
          <w:spacing w:val="-3"/>
        </w:rPr>
      </w:pPr>
      <w:r w:rsidRPr="007306DB">
        <w:rPr>
          <w:b/>
          <w:spacing w:val="-3"/>
        </w:rPr>
        <w:t>Rule 18</w:t>
      </w:r>
    </w:p>
    <w:p w:rsidR="008572B3" w:rsidRPr="007306DB" w:rsidRDefault="008572B3" w:rsidP="008572B3">
      <w:pPr>
        <w:rPr>
          <w:b/>
          <w:spacing w:val="-3"/>
        </w:rPr>
      </w:pPr>
    </w:p>
    <w:p w:rsidR="008572B3" w:rsidRPr="007306DB" w:rsidRDefault="008572B3" w:rsidP="008572B3">
      <w:pPr>
        <w:pStyle w:val="Heading1"/>
      </w:pPr>
      <w:r w:rsidRPr="007306DB">
        <w:t xml:space="preserve">The meeting of the Executive Committee shall be conducted in those official languages of the United Nations required by members of the Executive Committee. Nevertheless the Executive Committee may agree to conduct its business in one of the United Nations official languages. </w:t>
      </w:r>
    </w:p>
    <w:p w:rsidR="008572B3" w:rsidRPr="007306DB" w:rsidRDefault="008572B3" w:rsidP="008572B3">
      <w:pPr>
        <w:rPr>
          <w:b/>
          <w:spacing w:val="-3"/>
        </w:rPr>
      </w:pPr>
      <w:r w:rsidRPr="007306DB">
        <w:rPr>
          <w:b/>
          <w:spacing w:val="-3"/>
        </w:rPr>
        <w:t>AMENDMENTS TO RULES OF PROCEDURE</w:t>
      </w:r>
    </w:p>
    <w:p w:rsidR="008572B3" w:rsidRPr="007306DB" w:rsidRDefault="008572B3" w:rsidP="008572B3">
      <w:pPr>
        <w:rPr>
          <w:b/>
          <w:spacing w:val="-3"/>
        </w:rPr>
      </w:pPr>
    </w:p>
    <w:p w:rsidR="008572B3" w:rsidRDefault="008572B3" w:rsidP="008572B3">
      <w:pPr>
        <w:rPr>
          <w:b/>
          <w:spacing w:val="-3"/>
        </w:rPr>
      </w:pPr>
      <w:r w:rsidRPr="007306DB">
        <w:rPr>
          <w:b/>
          <w:spacing w:val="-3"/>
        </w:rPr>
        <w:t>Rule 19</w:t>
      </w:r>
    </w:p>
    <w:p w:rsidR="008572B3" w:rsidRPr="007306DB" w:rsidRDefault="008572B3" w:rsidP="008572B3">
      <w:pPr>
        <w:rPr>
          <w:b/>
          <w:spacing w:val="-3"/>
        </w:rPr>
      </w:pPr>
    </w:p>
    <w:p w:rsidR="008572B3" w:rsidRPr="007306DB" w:rsidRDefault="008572B3" w:rsidP="008572B3">
      <w:pPr>
        <w:pStyle w:val="Heading1"/>
      </w:pPr>
      <w:r w:rsidRPr="007306DB">
        <w:t xml:space="preserve">These rules of procedure may be amended according to Rule 17 above and formally endorsed by the Meeting of the Parties to the Montreal Protocol. </w:t>
      </w:r>
    </w:p>
    <w:p w:rsidR="008572B3" w:rsidRPr="007306DB" w:rsidRDefault="008572B3" w:rsidP="008572B3">
      <w:pPr>
        <w:rPr>
          <w:b/>
          <w:spacing w:val="-3"/>
        </w:rPr>
      </w:pPr>
      <w:r>
        <w:rPr>
          <w:b/>
          <w:spacing w:val="-3"/>
        </w:rPr>
        <w:t>O</w:t>
      </w:r>
      <w:r w:rsidRPr="007306DB">
        <w:rPr>
          <w:b/>
          <w:spacing w:val="-3"/>
        </w:rPr>
        <w:t>VERRIDING AUTHORITY OF THE PROTOCOL</w:t>
      </w:r>
    </w:p>
    <w:p w:rsidR="008572B3" w:rsidRPr="007306DB" w:rsidRDefault="008572B3" w:rsidP="008572B3">
      <w:pPr>
        <w:rPr>
          <w:b/>
          <w:spacing w:val="-3"/>
        </w:rPr>
      </w:pPr>
    </w:p>
    <w:p w:rsidR="008572B3" w:rsidRDefault="008572B3" w:rsidP="008572B3">
      <w:pPr>
        <w:rPr>
          <w:b/>
          <w:spacing w:val="-3"/>
        </w:rPr>
      </w:pPr>
      <w:r w:rsidRPr="007306DB">
        <w:rPr>
          <w:b/>
          <w:spacing w:val="-3"/>
        </w:rPr>
        <w:t>Rule 20</w:t>
      </w:r>
    </w:p>
    <w:p w:rsidR="008572B3" w:rsidRPr="007306DB" w:rsidRDefault="008572B3" w:rsidP="008572B3">
      <w:pPr>
        <w:rPr>
          <w:b/>
          <w:spacing w:val="-3"/>
        </w:rPr>
      </w:pPr>
    </w:p>
    <w:p w:rsidR="008572B3" w:rsidRPr="007306DB" w:rsidRDefault="008572B3" w:rsidP="008572B3">
      <w:pPr>
        <w:pStyle w:val="Heading1"/>
      </w:pPr>
      <w:r w:rsidRPr="007306DB">
        <w:t xml:space="preserve">In the event of any conflict between any provision of these rules and any provision of the Protocol, the Protocol shall prevail. </w:t>
      </w:r>
    </w:p>
    <w:p w:rsidR="008572B3" w:rsidRPr="007306DB" w:rsidRDefault="008572B3" w:rsidP="008572B3">
      <w:pPr>
        <w:keepNext/>
        <w:rPr>
          <w:b/>
          <w:spacing w:val="-3"/>
        </w:rPr>
      </w:pPr>
      <w:r w:rsidRPr="007306DB">
        <w:rPr>
          <w:b/>
          <w:spacing w:val="-3"/>
        </w:rPr>
        <w:t xml:space="preserve">DECISIONS PERTAINING TO MEETING COSTS </w:t>
      </w:r>
    </w:p>
    <w:p w:rsidR="008572B3" w:rsidRPr="007306DB" w:rsidRDefault="008572B3" w:rsidP="008572B3">
      <w:pPr>
        <w:keepNext/>
        <w:rPr>
          <w:spacing w:val="-3"/>
        </w:rPr>
      </w:pPr>
    </w:p>
    <w:p w:rsidR="008572B3" w:rsidRPr="007306DB" w:rsidRDefault="008572B3" w:rsidP="008572B3">
      <w:pPr>
        <w:pStyle w:val="Heading1"/>
      </w:pPr>
      <w:r w:rsidRPr="007306DB">
        <w:t>Costs of meetings, including travel and subsistence of Executive Committee participants from Parties operating under paragraph 1 of Article 5 shall be disbursed from the Multilateral Fund as necessary.</w:t>
      </w:r>
    </w:p>
    <w:p w:rsidR="008572B3" w:rsidRPr="007306DB" w:rsidRDefault="008572B3" w:rsidP="008572B3">
      <w:pPr>
        <w:autoSpaceDE w:val="0"/>
        <w:autoSpaceDN w:val="0"/>
        <w:adjustRightInd w:val="0"/>
        <w:jc w:val="left"/>
        <w:rPr>
          <w:iCs/>
        </w:rPr>
      </w:pPr>
      <w:r w:rsidRPr="007306DB">
        <w:rPr>
          <w:iCs/>
        </w:rPr>
        <w:t>(UNEP/OzL.Pro/2/3 Appendix II of decision II/8, para. 6).</w:t>
      </w:r>
    </w:p>
    <w:p w:rsidR="008572B3" w:rsidRPr="007306DB" w:rsidRDefault="008572B3" w:rsidP="008572B3">
      <w:pPr>
        <w:autoSpaceDE w:val="0"/>
        <w:autoSpaceDN w:val="0"/>
        <w:adjustRightInd w:val="0"/>
        <w:jc w:val="left"/>
        <w:rPr>
          <w:iCs/>
        </w:rPr>
      </w:pPr>
      <w:r w:rsidRPr="007306DB">
        <w:rPr>
          <w:iCs/>
        </w:rPr>
        <w:t>(UNEP/OzL.Pro/4/15 Annex X to decision IV/8, para. 6).</w:t>
      </w:r>
    </w:p>
    <w:p w:rsidR="008572B3" w:rsidRPr="007306DB" w:rsidRDefault="008572B3" w:rsidP="008572B3">
      <w:pPr>
        <w:autoSpaceDE w:val="0"/>
        <w:autoSpaceDN w:val="0"/>
        <w:adjustRightInd w:val="0"/>
        <w:jc w:val="left"/>
        <w:rPr>
          <w:iCs/>
        </w:rPr>
      </w:pPr>
    </w:p>
    <w:p w:rsidR="008572B3" w:rsidRPr="007306DB" w:rsidRDefault="008572B3" w:rsidP="008572B3">
      <w:pPr>
        <w:pStyle w:val="Heading1"/>
      </w:pPr>
      <w:r w:rsidRPr="007306DB">
        <w:t>The Executive Committee decided that budget line 3301 could be used to support travel of the Chairperson or Vice-Chairperson of the Executive Committee, irrespective of whether or not they represented countries operating under paragraph 1 of Article 5, if such travel was required to enable the Chairperson or Vice-Chairperson to represent the Executive Committee.</w:t>
      </w:r>
    </w:p>
    <w:p w:rsidR="008572B3" w:rsidRPr="007306DB" w:rsidRDefault="008572B3" w:rsidP="008572B3">
      <w:pPr>
        <w:pStyle w:val="Heading1"/>
      </w:pPr>
      <w:r w:rsidRPr="007306DB">
        <w:t>The Executive Committee decided in 1992 that when the President of the Bureau of the Meeting of the Parties to the Montreal Protocol is a national of a developing country operating under Article 5, paragraph 1, the costs of travel and daily subsistence allowance for his/her attendance or attendance of his/her representative as observer at the meeting should be paid from the Fund.</w:t>
      </w:r>
    </w:p>
    <w:p w:rsidR="00042B18" w:rsidRDefault="00042B18" w:rsidP="00042B18"/>
    <w:p w:rsidR="008572B3" w:rsidRDefault="008572B3" w:rsidP="00042B18"/>
    <w:p w:rsidR="008572B3" w:rsidRPr="007306DB" w:rsidRDefault="008572B3" w:rsidP="00042B18"/>
    <w:p w:rsidR="00042B18" w:rsidRDefault="00042B18" w:rsidP="00042B18">
      <w:pPr>
        <w:sectPr w:rsidR="00042B18" w:rsidSect="00042B18">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720" w:right="1440" w:bottom="864" w:left="1440" w:header="720" w:footer="475" w:gutter="0"/>
          <w:pgNumType w:start="1"/>
          <w:cols w:space="720"/>
          <w:titlePg/>
        </w:sectPr>
      </w:pPr>
    </w:p>
    <w:p w:rsidR="00122907" w:rsidRDefault="00122907" w:rsidP="00122907">
      <w:pPr>
        <w:tabs>
          <w:tab w:val="left" w:pos="4080"/>
          <w:tab w:val="center" w:pos="4680"/>
        </w:tabs>
        <w:jc w:val="center"/>
        <w:rPr>
          <w:b/>
        </w:rPr>
      </w:pPr>
      <w:r w:rsidRPr="002C70A3">
        <w:rPr>
          <w:b/>
        </w:rPr>
        <w:lastRenderedPageBreak/>
        <w:t>Annex I</w:t>
      </w:r>
      <w:r>
        <w:rPr>
          <w:b/>
        </w:rPr>
        <w:t>V</w:t>
      </w:r>
    </w:p>
    <w:p w:rsidR="00122907" w:rsidRDefault="00122907" w:rsidP="00122907">
      <w:pPr>
        <w:autoSpaceDE w:val="0"/>
        <w:autoSpaceDN w:val="0"/>
        <w:adjustRightInd w:val="0"/>
        <w:jc w:val="center"/>
        <w:rPr>
          <w:b/>
        </w:rPr>
      </w:pPr>
    </w:p>
    <w:p w:rsidR="00122907" w:rsidRPr="007306DB" w:rsidRDefault="00122907" w:rsidP="00122907">
      <w:pPr>
        <w:autoSpaceDE w:val="0"/>
        <w:autoSpaceDN w:val="0"/>
        <w:adjustRightInd w:val="0"/>
        <w:jc w:val="center"/>
        <w:rPr>
          <w:iCs/>
        </w:rPr>
      </w:pPr>
      <w:r>
        <w:rPr>
          <w:b/>
        </w:rPr>
        <w:t>REFRIGERATION SERVICING SECTOR</w:t>
      </w:r>
    </w:p>
    <w:p w:rsidR="00122907" w:rsidRPr="007306DB" w:rsidRDefault="00122907" w:rsidP="00122907"/>
    <w:p w:rsidR="00122907" w:rsidRPr="00A85065" w:rsidRDefault="00122907" w:rsidP="00122907">
      <w:pPr>
        <w:pStyle w:val="Heading1"/>
        <w:numPr>
          <w:ilvl w:val="0"/>
          <w:numId w:val="78"/>
        </w:numPr>
      </w:pPr>
      <w:r w:rsidRPr="00A85065">
        <w:t>For the majority of Article 5 countries</w:t>
      </w:r>
      <w:r>
        <w:t>,</w:t>
      </w:r>
      <w:r w:rsidRPr="00A85065">
        <w:t xml:space="preserve"> the refrigeration servicing sector continues to be the largest or the only consumer of </w:t>
      </w:r>
      <w:r>
        <w:t>controlled substances under the Montreal Protocol</w:t>
      </w:r>
      <w:r w:rsidRPr="00A85065">
        <w:t>. About 95 Article 5 countries use HFCF-22 solely in this sector. For the remaining 50 countries, which have</w:t>
      </w:r>
      <w:r>
        <w:t xml:space="preserve"> </w:t>
      </w:r>
      <w:r w:rsidRPr="00A85065">
        <w:t xml:space="preserve">enterprises that use HCFCs in manufacturing, the refrigeration servicing sector becomes critical as HCFCs are being phased out from </w:t>
      </w:r>
      <w:r>
        <w:t xml:space="preserve">the </w:t>
      </w:r>
      <w:r w:rsidRPr="00A85065">
        <w:t xml:space="preserve">manufacturing sector. </w:t>
      </w:r>
    </w:p>
    <w:p w:rsidR="00122907" w:rsidRPr="00A85065" w:rsidRDefault="00122907" w:rsidP="00122907">
      <w:pPr>
        <w:numPr>
          <w:ilvl w:val="0"/>
          <w:numId w:val="1"/>
        </w:numPr>
        <w:spacing w:after="240"/>
        <w:outlineLvl w:val="0"/>
      </w:pPr>
      <w:r w:rsidRPr="00A85065">
        <w:t>Decision XIX/6 introduced a number of elements in the approach to implement</w:t>
      </w:r>
      <w:r>
        <w:t>ing</w:t>
      </w:r>
      <w:r w:rsidRPr="00A85065">
        <w:t xml:space="preserve"> projects (including </w:t>
      </w:r>
      <w:r>
        <w:t xml:space="preserve">in </w:t>
      </w:r>
      <w:r w:rsidRPr="00A85065">
        <w:t xml:space="preserve">the refrigeration servicing sector) by requesting the Parties to promote the selection of alternatives to HCFCs that minimize environmental impacts, in particular impacts on climate, while achieving HCFC phase-out, and by asking the Executive Committee to give priority to cost-effective projects and programmes which focus on </w:t>
      </w:r>
      <w:r w:rsidRPr="00A85065">
        <w:rPr>
          <w:i/>
        </w:rPr>
        <w:t>inter alia</w:t>
      </w:r>
      <w:r w:rsidRPr="00A85065">
        <w:t xml:space="preserve"> substitutes and alternatives that minimize other impacts on the environment, including on the climate, taking into account GWP, energy use and other relevant factors.</w:t>
      </w:r>
    </w:p>
    <w:p w:rsidR="00122907" w:rsidRPr="00A85065" w:rsidRDefault="00122907" w:rsidP="00122907">
      <w:pPr>
        <w:numPr>
          <w:ilvl w:val="0"/>
          <w:numId w:val="1"/>
        </w:numPr>
        <w:spacing w:after="240"/>
        <w:outlineLvl w:val="0"/>
      </w:pPr>
      <w:r w:rsidRPr="00A85065">
        <w:t>At the 70</w:t>
      </w:r>
      <w:r w:rsidRPr="00A85065">
        <w:rPr>
          <w:vertAlign w:val="superscript"/>
        </w:rPr>
        <w:t>th</w:t>
      </w:r>
      <w:r w:rsidRPr="00A85065">
        <w:t xml:space="preserve"> meeting</w:t>
      </w:r>
      <w:r>
        <w:t xml:space="preserve"> (July 2013),</w:t>
      </w:r>
      <w:r w:rsidRPr="00A85065">
        <w:t xml:space="preserve"> the Secretariat prepared in consultation with the agencies a discussion paper </w:t>
      </w:r>
      <w:r>
        <w:t xml:space="preserve">on </w:t>
      </w:r>
      <w:r w:rsidRPr="00A85065">
        <w:t xml:space="preserve">key issues and considerations involved in promoting strategies, approaches and technologies to minimize any climate impacts of HCFC phase-out in the refrigeration servicing sector in the context of decision XIX/6. </w:t>
      </w:r>
      <w:r>
        <w:t xml:space="preserve">Some the </w:t>
      </w:r>
      <w:r w:rsidRPr="00A85065">
        <w:t xml:space="preserve">issues </w:t>
      </w:r>
      <w:r>
        <w:t>identified are summarized below</w:t>
      </w:r>
      <w:r w:rsidRPr="00A85065">
        <w:t xml:space="preserve">: </w:t>
      </w:r>
    </w:p>
    <w:p w:rsidR="00122907" w:rsidRPr="00A85065" w:rsidRDefault="00122907" w:rsidP="00122907">
      <w:pPr>
        <w:pStyle w:val="Heading2"/>
        <w:tabs>
          <w:tab w:val="clear" w:pos="720"/>
          <w:tab w:val="num" w:pos="0"/>
        </w:tabs>
        <w:ind w:left="1440"/>
      </w:pPr>
      <w:r w:rsidRPr="00A85065">
        <w:t xml:space="preserve">The need to consider in addition to the traditional activities to reduce direct </w:t>
      </w:r>
      <w:r>
        <w:t>greenhouse gas (</w:t>
      </w:r>
      <w:r w:rsidRPr="00A85065">
        <w:t>GHG</w:t>
      </w:r>
      <w:r>
        <w:t>)</w:t>
      </w:r>
      <w:r w:rsidRPr="00A85065">
        <w:t xml:space="preserve"> emissions (refrigerant leaks and venting), activities to reduce indirect emissions during the operation of equipment</w:t>
      </w:r>
      <w:r w:rsidRPr="00A85065">
        <w:rPr>
          <w:vertAlign w:val="superscript"/>
        </w:rPr>
        <w:footnoteReference w:id="61"/>
      </w:r>
      <w:r w:rsidRPr="00A85065">
        <w:t xml:space="preserve"> by maintaining energy efficiency with </w:t>
      </w:r>
      <w:r w:rsidRPr="00A85065">
        <w:rPr>
          <w:i/>
        </w:rPr>
        <w:t>inter alia</w:t>
      </w:r>
      <w:r w:rsidRPr="00A85065">
        <w:t xml:space="preserve"> appropriate settings of controls often performed or adjusted on-site, as well as the cleanliness of the heat exchangers and ease of related airflow;</w:t>
      </w:r>
    </w:p>
    <w:p w:rsidR="00122907" w:rsidRPr="00A85065" w:rsidRDefault="00122907" w:rsidP="00122907">
      <w:pPr>
        <w:pStyle w:val="Heading2"/>
        <w:tabs>
          <w:tab w:val="clear" w:pos="720"/>
          <w:tab w:val="num" w:pos="0"/>
        </w:tabs>
        <w:ind w:left="1440"/>
      </w:pPr>
      <w:r w:rsidRPr="00A85065">
        <w:t xml:space="preserve">The importance </w:t>
      </w:r>
      <w:r>
        <w:t>of</w:t>
      </w:r>
      <w:r w:rsidRPr="00A85065">
        <w:t xml:space="preserve"> influenc</w:t>
      </w:r>
      <w:r>
        <w:t>ing</w:t>
      </w:r>
      <w:r w:rsidRPr="00A85065">
        <w:t xml:space="preserve"> technology choice during the assembly, installation, initial charging and commissioning of new refrigeration equipment by servicing enterprises and technicians</w:t>
      </w:r>
      <w:r>
        <w:t>,</w:t>
      </w:r>
      <w:r w:rsidRPr="00A85065">
        <w:t xml:space="preserve"> in addition to the traditional servicing operations, where the choice of technology is limited by an already existing system;</w:t>
      </w:r>
    </w:p>
    <w:p w:rsidR="00122907" w:rsidRPr="00A85065" w:rsidRDefault="00122907" w:rsidP="00122907">
      <w:pPr>
        <w:pStyle w:val="Heading2"/>
        <w:tabs>
          <w:tab w:val="clear" w:pos="720"/>
          <w:tab w:val="num" w:pos="0"/>
        </w:tabs>
        <w:ind w:left="1440"/>
      </w:pPr>
      <w:r w:rsidRPr="00A85065">
        <w:t>The impact of reducing the refrigerant charge size in the design of systems where the service sector performs assembly and/or installation, thus reducing the amounts of refrigerants emitted;</w:t>
      </w:r>
    </w:p>
    <w:p w:rsidR="00122907" w:rsidRPr="00A85065" w:rsidRDefault="00122907" w:rsidP="00122907">
      <w:pPr>
        <w:pStyle w:val="Heading2"/>
        <w:tabs>
          <w:tab w:val="clear" w:pos="720"/>
          <w:tab w:val="num" w:pos="0"/>
        </w:tabs>
        <w:ind w:left="1440"/>
      </w:pPr>
      <w:r w:rsidRPr="00A85065">
        <w:t xml:space="preserve">The need for Article 5 countries to start giving due consideration to addressing barriers to enable the introduction of low-GWP refrigerants classified as flammable or toxic; including specialized training, development of regulations </w:t>
      </w:r>
      <w:r>
        <w:t xml:space="preserve">and </w:t>
      </w:r>
      <w:r w:rsidRPr="00A85065">
        <w:t xml:space="preserve">codes of practice, adoption of standards for the safe introduction of flammable refrigerants, use of incentives, technology demonstration projects and awareness rising; and </w:t>
      </w:r>
    </w:p>
    <w:p w:rsidR="00122907" w:rsidRPr="00A85065" w:rsidRDefault="00122907" w:rsidP="00122907">
      <w:pPr>
        <w:pStyle w:val="Heading2"/>
        <w:tabs>
          <w:tab w:val="clear" w:pos="720"/>
          <w:tab w:val="num" w:pos="0"/>
        </w:tabs>
        <w:ind w:left="1440"/>
      </w:pPr>
      <w:r w:rsidRPr="00A85065">
        <w:t xml:space="preserve">The need to avoid using flammable refrigerants in equipment designed to operate with non-flammable refrigerants, which reverted in further discussion </w:t>
      </w:r>
      <w:r>
        <w:t xml:space="preserve">by the Executive Committee </w:t>
      </w:r>
      <w:r w:rsidRPr="00A85065">
        <w:t>and decisions 72/17 and 73/34 on retrofits.</w:t>
      </w:r>
    </w:p>
    <w:p w:rsidR="00122907" w:rsidRPr="00A85065" w:rsidRDefault="00122907" w:rsidP="00122907">
      <w:pPr>
        <w:numPr>
          <w:ilvl w:val="0"/>
          <w:numId w:val="1"/>
        </w:numPr>
        <w:spacing w:after="240"/>
        <w:outlineLvl w:val="0"/>
      </w:pPr>
      <w:r w:rsidRPr="00A85065">
        <w:t>The phase-out of HFCs pure or in blends (e.g., HFC-134a, R</w:t>
      </w:r>
      <w:r w:rsidRPr="00A85065">
        <w:noBreakHyphen/>
        <w:t xml:space="preserve">404A, R-410A and R-407C) also used in the </w:t>
      </w:r>
      <w:r>
        <w:t xml:space="preserve">refrigeration servicing </w:t>
      </w:r>
      <w:r w:rsidRPr="00A85065">
        <w:t xml:space="preserve">sector has not been the focus of the Multilateral Fund as these were not </w:t>
      </w:r>
      <w:r w:rsidRPr="00A85065">
        <w:lastRenderedPageBreak/>
        <w:t>controlled substances under the Montreal Protocol. HFC consumption in the sector could be as large as or larger than HCFC consumption</w:t>
      </w:r>
      <w:r w:rsidRPr="00A85065">
        <w:rPr>
          <w:vertAlign w:val="superscript"/>
        </w:rPr>
        <w:footnoteReference w:id="62"/>
      </w:r>
      <w:r w:rsidRPr="00A85065">
        <w:t xml:space="preserve"> and includes </w:t>
      </w:r>
      <w:r>
        <w:t>HFC</w:t>
      </w:r>
      <w:r w:rsidRPr="00A85065">
        <w:t xml:space="preserve"> use as an alternative to HCFCs in several applications (e.g., R-410A as an alternative to HCFC-22 in room air-conditioning, R-404A as an alternative to HCFC</w:t>
      </w:r>
      <w:r>
        <w:noBreakHyphen/>
      </w:r>
      <w:r w:rsidRPr="00A85065">
        <w:t>22 in several commercial refrigeration systems)</w:t>
      </w:r>
      <w:r>
        <w:t>,</w:t>
      </w:r>
      <w:r w:rsidRPr="00A85065">
        <w:t xml:space="preserve"> or </w:t>
      </w:r>
      <w:r>
        <w:t>its</w:t>
      </w:r>
      <w:r w:rsidRPr="00A85065">
        <w:t xml:space="preserve"> use in applications currently not targeted under H</w:t>
      </w:r>
      <w:r>
        <w:t xml:space="preserve">CFC phase-out management plans (HPMPs) </w:t>
      </w:r>
      <w:r w:rsidRPr="00A85065">
        <w:t xml:space="preserve">(e.g., domestic </w:t>
      </w:r>
      <w:r>
        <w:t xml:space="preserve">and commercial </w:t>
      </w:r>
      <w:r w:rsidRPr="00A85065">
        <w:t>refrigeration</w:t>
      </w:r>
      <w:r>
        <w:t>,</w:t>
      </w:r>
      <w:r w:rsidRPr="00A85065">
        <w:t xml:space="preserve"> and mobile air-conditioning). </w:t>
      </w:r>
    </w:p>
    <w:p w:rsidR="00122907" w:rsidRPr="00A85065" w:rsidRDefault="00122907" w:rsidP="00122907">
      <w:pPr>
        <w:numPr>
          <w:ilvl w:val="0"/>
          <w:numId w:val="1"/>
        </w:numPr>
        <w:spacing w:after="240"/>
        <w:outlineLvl w:val="0"/>
      </w:pPr>
      <w:r w:rsidRPr="00A85065">
        <w:t>Many of the activities currently being implemented to phase out HCFC</w:t>
      </w:r>
      <w:r>
        <w:t>s</w:t>
      </w:r>
      <w:r w:rsidRPr="00A85065">
        <w:t xml:space="preserve"> in the refrigeration servicing sector have a potential impact on the HFC phase-down. For instance, training on low-GWP alternatives, and technicians’ certification schemes have a positive impact </w:t>
      </w:r>
      <w:r>
        <w:t>o</w:t>
      </w:r>
      <w:r w:rsidRPr="00A85065">
        <w:t>n both HCFC phase-out and HFC phase-down. In addition, many of the HCFC recovery and recycling units distributed in Article 5 countries can also be used to recover and recycle HFCs.</w:t>
      </w:r>
      <w:r>
        <w:t xml:space="preserve"> </w:t>
      </w:r>
      <w:r w:rsidRPr="00A85065">
        <w:t>While these synergies have been reported in the progress reports of HPMPs, an analysis of the activities and associated cost in the refrigeration servicing sector for HCFC phase-out and HFC phase-down has not taken place.</w:t>
      </w:r>
    </w:p>
    <w:p w:rsidR="00122907" w:rsidRPr="00A85065" w:rsidRDefault="00122907" w:rsidP="00122907">
      <w:pPr>
        <w:pStyle w:val="Heading1"/>
        <w:rPr>
          <w:lang w:val="en-CA"/>
        </w:rPr>
      </w:pPr>
      <w:r w:rsidRPr="00A85065">
        <w:t>Given the need to implement the HCFC phase-out and the HFC phase-down, and given that many of the low-GWP alternatives are classified with some level of flammability or toxicity, Article 5 countries would need to consider long</w:t>
      </w:r>
      <w:r>
        <w:t>-</w:t>
      </w:r>
      <w:r w:rsidRPr="00A85065">
        <w:t xml:space="preserve">term strategies for the sector focused on creating an adequate infrastructure to ensure the safe introduction of alternatives (e.g., technicians’ training and certification in every country should ensure that a minimum level of knowledge has been acquired to ensure safe servicing operation by technicians). This will be in addition to reducing emissions of all controlled substances and maintaining existing equipment operating with minimum climate impact. Several Article 5 countries have already incorporated in their HPMPs activities in the refrigeration servicing sector to facilitate the safe handling of flammable refrigerants, including training, codes of practices and </w:t>
      </w:r>
      <w:r>
        <w:t>more streamlined</w:t>
      </w:r>
      <w:r w:rsidRPr="00A85065">
        <w:t xml:space="preserve"> adoption of technical standards. </w:t>
      </w:r>
      <w:r>
        <w:t>I</w:t>
      </w:r>
      <w:r w:rsidRPr="00A85065">
        <w:t>n this regard, the Parties requested the Executive Committee to prioritize technical assistance and capacity building to address safety issues associated with low-GWP and zero-GWP alternatives</w:t>
      </w:r>
      <w:r>
        <w:t>.</w:t>
      </w:r>
      <w:r w:rsidRPr="00A85065">
        <w:rPr>
          <w:vertAlign w:val="superscript"/>
        </w:rPr>
        <w:footnoteReference w:id="63"/>
      </w:r>
    </w:p>
    <w:p w:rsidR="00122907" w:rsidRDefault="00122907" w:rsidP="00122907">
      <w:pPr>
        <w:pStyle w:val="Heading1"/>
      </w:pPr>
      <w:r w:rsidRPr="00FE4216">
        <w:t xml:space="preserve">Given the potential of the assembly and installation sector to influence technology choice, additional attention to this sector would be required in the future. For instance, the demonstration project on </w:t>
      </w:r>
      <w:r>
        <w:t xml:space="preserve">the </w:t>
      </w:r>
      <w:r w:rsidRPr="00FE4216">
        <w:t>introduction of trans-critical CO</w:t>
      </w:r>
      <w:r w:rsidRPr="003A2020">
        <w:rPr>
          <w:vertAlign w:val="subscript"/>
        </w:rPr>
        <w:t>2</w:t>
      </w:r>
      <w:r w:rsidRPr="00FE4216">
        <w:t xml:space="preserve"> in supermarkets in Argentina and Tunisia</w:t>
      </w:r>
      <w:r>
        <w:t>,</w:t>
      </w:r>
      <w:r w:rsidRPr="00FE4216">
        <w:t xml:space="preserve"> and other similar initiatives taking place outside of the Multilateral Fund</w:t>
      </w:r>
      <w:r>
        <w:t>,</w:t>
      </w:r>
      <w:r w:rsidRPr="00FE4216">
        <w:t xml:space="preserve"> would produce valuable data for Article 5 countries </w:t>
      </w:r>
      <w:r>
        <w:t xml:space="preserve">when </w:t>
      </w:r>
      <w:r w:rsidRPr="00FE4216">
        <w:t>implement</w:t>
      </w:r>
      <w:r>
        <w:t>ing</w:t>
      </w:r>
      <w:r w:rsidRPr="00FE4216">
        <w:t xml:space="preserve"> both the HCFC phase-out and the HFC phase-down. </w:t>
      </w:r>
    </w:p>
    <w:p w:rsidR="00122907" w:rsidRPr="00A85065" w:rsidRDefault="00122907" w:rsidP="00122907">
      <w:pPr>
        <w:pStyle w:val="Heading1"/>
      </w:pPr>
      <w:r w:rsidRPr="00A85065">
        <w:t xml:space="preserve">The Government of </w:t>
      </w:r>
      <w:r>
        <w:t xml:space="preserve">the </w:t>
      </w:r>
      <w:r w:rsidRPr="00A85065">
        <w:t>Unite</w:t>
      </w:r>
      <w:r>
        <w:t>d</w:t>
      </w:r>
      <w:r w:rsidRPr="00A85065">
        <w:t xml:space="preserve"> States of America provided a comprehensive set of documents containing relevant information regarding the refrigeration servicing sector being implemented domestically but with principles applicable to Article 5 countries. The most recent ones are summarized below:</w:t>
      </w:r>
    </w:p>
    <w:p w:rsidR="00122907" w:rsidRPr="00A85065" w:rsidRDefault="00122907" w:rsidP="00122907">
      <w:pPr>
        <w:pStyle w:val="Heading2"/>
        <w:tabs>
          <w:tab w:val="clear" w:pos="720"/>
          <w:tab w:val="num" w:pos="0"/>
        </w:tabs>
        <w:ind w:left="1440"/>
      </w:pPr>
      <w:r w:rsidRPr="00A85065">
        <w:t>A report providing options to reduce emissions from the refrigeration and air</w:t>
      </w:r>
      <w:r w:rsidRPr="00A85065">
        <w:noBreakHyphen/>
        <w:t>conditioning sector by using low-GWP refrigerants, low-emission technologies, and improved practices to properly recover refrigerant at equipment servicing and disposal</w:t>
      </w:r>
      <w:r>
        <w:t>.</w:t>
      </w:r>
      <w:r w:rsidRPr="00A85065">
        <w:rPr>
          <w:vertAlign w:val="superscript"/>
        </w:rPr>
        <w:footnoteReference w:id="64"/>
      </w:r>
      <w:r w:rsidRPr="00A85065">
        <w:t xml:space="preserve"> The </w:t>
      </w:r>
      <w:r>
        <w:t xml:space="preserve">report </w:t>
      </w:r>
      <w:r w:rsidRPr="00A85065">
        <w:t xml:space="preserve">analyses the effectiveness and cost of reducing HFC emissions by </w:t>
      </w:r>
      <w:r>
        <w:t xml:space="preserve">introducing </w:t>
      </w:r>
      <w:r w:rsidRPr="00A85065">
        <w:t xml:space="preserve">14 new technologies and using three types of improved technician practices in specific applications in six subsectors (e.g., 85 per cent of the refrigerant charge can be recovered during disposal and 95 per cent during servicing; leak repair can reduce emissions by 40 per cent in some systems). As an example of the analysis, it was determined that using ammonia or HC secondary loop and/or cascade systems in new large retail food systems </w:t>
      </w:r>
      <w:r w:rsidRPr="00A85065">
        <w:lastRenderedPageBreak/>
        <w:t xml:space="preserve">could have an incremental cost of US $45,600 per supermarket (10 per cent more in </w:t>
      </w:r>
      <w:r>
        <w:t xml:space="preserve">Article 5 </w:t>
      </w:r>
      <w:r w:rsidRPr="00A85065">
        <w:t xml:space="preserve">countries), annual operational savings in energy and refrigerant at around US $5,900 (perhaps larger in </w:t>
      </w:r>
      <w:r>
        <w:t xml:space="preserve">Article 5 </w:t>
      </w:r>
      <w:r w:rsidRPr="00A85065">
        <w:t xml:space="preserve">countries due </w:t>
      </w:r>
      <w:r>
        <w:t xml:space="preserve">to </w:t>
      </w:r>
      <w:r w:rsidRPr="00A85065">
        <w:t>the cost of energy), and a 100 per cent reduction in HFC emissions;</w:t>
      </w:r>
    </w:p>
    <w:p w:rsidR="00122907" w:rsidRPr="00A85065" w:rsidRDefault="00122907" w:rsidP="00122907">
      <w:pPr>
        <w:pStyle w:val="Heading2"/>
        <w:tabs>
          <w:tab w:val="clear" w:pos="720"/>
          <w:tab w:val="num" w:pos="0"/>
        </w:tabs>
        <w:ind w:left="1440"/>
      </w:pPr>
      <w:r w:rsidRPr="00A85065">
        <w:t>An overview of the reclamation industry in the United States of America</w:t>
      </w:r>
      <w:r>
        <w:t>,</w:t>
      </w:r>
      <w:r w:rsidRPr="00A85065">
        <w:rPr>
          <w:vertAlign w:val="superscript"/>
        </w:rPr>
        <w:footnoteReference w:id="65"/>
      </w:r>
      <w:r w:rsidRPr="00A85065">
        <w:t xml:space="preserve"> responsible for the reclamation of 12.6 million pounds of refrigerant (including 10 million pounds of HCFC</w:t>
      </w:r>
      <w:r w:rsidRPr="00A85065">
        <w:noBreakHyphen/>
        <w:t>22) or 7.3 per cent of the refrigerant demand in the country. The analysis includes existing reclamation technologies and practices, potential environmental impact of reclamation, and best practices of reclamation and approaches to ensuring them. The study concludes that there is a large variety of reclaimer profiles and reclamation technologies used. Best practices to minimize leaks are common in the reclamation industry</w:t>
      </w:r>
      <w:r>
        <w:t>,</w:t>
      </w:r>
      <w:r w:rsidRPr="00A85065">
        <w:t xml:space="preserve"> as refrigerant losses represent a loss of revenue. Reclaimers agreed on the importance </w:t>
      </w:r>
      <w:r>
        <w:t>of</w:t>
      </w:r>
      <w:r w:rsidRPr="00A85065">
        <w:t xml:space="preserve"> reaching out to technicians to reduce refrigerant emissions</w:t>
      </w:r>
      <w:r>
        <w:t>,</w:t>
      </w:r>
      <w:r w:rsidRPr="00A85065">
        <w:t xml:space="preserve"> as the primary reason </w:t>
      </w:r>
      <w:r>
        <w:t>for</w:t>
      </w:r>
      <w:r w:rsidRPr="00A85065">
        <w:t xml:space="preserve"> releases is human error during refrigerant handling;</w:t>
      </w:r>
    </w:p>
    <w:p w:rsidR="00122907" w:rsidRPr="00A85065" w:rsidRDefault="00122907" w:rsidP="00122907">
      <w:pPr>
        <w:pStyle w:val="Heading2"/>
        <w:tabs>
          <w:tab w:val="clear" w:pos="720"/>
          <w:tab w:val="num" w:pos="0"/>
        </w:tabs>
        <w:ind w:left="1440"/>
      </w:pPr>
      <w:r w:rsidRPr="00A85065">
        <w:t xml:space="preserve">A report proposing twelve refrigerant leak reduction measures and energy conservation measures for commercial refrigeration and storage systems, and comparing </w:t>
      </w:r>
      <w:r>
        <w:t xml:space="preserve">the </w:t>
      </w:r>
      <w:r w:rsidRPr="00A85065">
        <w:t>costs, savings and environmental impact of these practices</w:t>
      </w:r>
      <w:r>
        <w:t>.</w:t>
      </w:r>
      <w:r w:rsidRPr="00A85065">
        <w:rPr>
          <w:vertAlign w:val="superscript"/>
        </w:rPr>
        <w:footnoteReference w:id="66"/>
      </w:r>
      <w:r w:rsidRPr="00A85065">
        <w:t xml:space="preserve"> The </w:t>
      </w:r>
      <w:r>
        <w:t xml:space="preserve">report </w:t>
      </w:r>
      <w:r w:rsidRPr="00A85065">
        <w:t xml:space="preserve">concludes that energy conservation measures </w:t>
      </w:r>
      <w:r>
        <w:t xml:space="preserve">in supermarkets </w:t>
      </w:r>
      <w:r w:rsidRPr="00A85065">
        <w:t>(e.g., display case lighting controls, reclaim</w:t>
      </w:r>
      <w:r>
        <w:t>ed</w:t>
      </w:r>
      <w:r w:rsidRPr="00A85065">
        <w:t xml:space="preserve"> waste heat from refrigerant systems, mechanical sub-cooling, floating suction pressure efficiency, condenser</w:t>
      </w:r>
      <w:r>
        <w:t>-</w:t>
      </w:r>
      <w:r w:rsidRPr="00A85065">
        <w:t>specific efficiency, floating head pressure, variable fan speed and variable set point condenser)</w:t>
      </w:r>
      <w:r>
        <w:t>,</w:t>
      </w:r>
      <w:r w:rsidRPr="00A85065">
        <w:t xml:space="preserve"> and refrigerant leak reduction measures (e.g., measures to leak-tight piping and valves</w:t>
      </w:r>
      <w:r>
        <w:t>,</w:t>
      </w:r>
      <w:r w:rsidRPr="00A85065">
        <w:t xml:space="preserve"> corrosion-resistant service cases</w:t>
      </w:r>
      <w:r>
        <w:t>,</w:t>
      </w:r>
      <w:r w:rsidRPr="00A85065">
        <w:t xml:space="preserve"> refrigerant receiver level indicators, and pressure and vacuum testing to ensure leak-tight equipment installation) are cost</w:t>
      </w:r>
      <w:r w:rsidRPr="00A85065">
        <w:noBreakHyphen/>
        <w:t>effective means of reducing overall GHG emissions from the retail food sector. On average</w:t>
      </w:r>
      <w:r>
        <w:t>,</w:t>
      </w:r>
      <w:r w:rsidRPr="00A85065">
        <w:t xml:space="preserve"> collectively the measures will enable supermarkets to reduce refrigerant use by two per cent, electricity use by eight per cent and natural gas use by 85 per cent</w:t>
      </w:r>
      <w:r>
        <w:t xml:space="preserve">. The </w:t>
      </w:r>
      <w:r w:rsidRPr="00A85065">
        <w:t>savings are enough incentive to undertake the measures noting that the high initial added cost (US</w:t>
      </w:r>
      <w:r>
        <w:t> </w:t>
      </w:r>
      <w:r w:rsidRPr="00A85065">
        <w:t>$56,000 to US</w:t>
      </w:r>
      <w:r>
        <w:t> </w:t>
      </w:r>
      <w:r w:rsidRPr="00A85065">
        <w:t>$176,000) may be a barrier for many supermarkets;</w:t>
      </w:r>
    </w:p>
    <w:p w:rsidR="00122907" w:rsidRPr="00A85065" w:rsidRDefault="00122907" w:rsidP="00122907">
      <w:pPr>
        <w:pStyle w:val="Heading2"/>
        <w:tabs>
          <w:tab w:val="clear" w:pos="720"/>
          <w:tab w:val="num" w:pos="0"/>
        </w:tabs>
        <w:ind w:left="1440"/>
      </w:pPr>
      <w:r w:rsidRPr="00A85065">
        <w:t>A technical support document analysing the costs and benefits of implementing refrigerant servicing practices being proposed in a revised regulation on refrigerant recycling and emission reduction (2016)</w:t>
      </w:r>
      <w:r>
        <w:t>.</w:t>
      </w:r>
      <w:r w:rsidRPr="00A85065">
        <w:rPr>
          <w:vertAlign w:val="superscript"/>
        </w:rPr>
        <w:footnoteReference w:id="67"/>
      </w:r>
      <w:r w:rsidRPr="00A85065">
        <w:t xml:space="preserve"> The analyses proposed adjustments to add non</w:t>
      </w:r>
      <w:r>
        <w:noBreakHyphen/>
      </w:r>
      <w:r w:rsidRPr="00A85065">
        <w:t>ODS refrigerants (e.g., HFCs) to current regulations on leak repair, record keeping and reporting, refrigerant sales restriction and other regulatory requirements. It estimates a total annual compliance cost of US $24.5 million, annual savings of US $44</w:t>
      </w:r>
      <w:r>
        <w:t>.0</w:t>
      </w:r>
      <w:r w:rsidRPr="00A85065">
        <w:t> million associated with reduced used of ODS and HFCs, total GHG emissions avoided of 7.3</w:t>
      </w:r>
      <w:r>
        <w:t> </w:t>
      </w:r>
      <w:r w:rsidRPr="00A85065">
        <w:t>MMTCO</w:t>
      </w:r>
      <w:r w:rsidRPr="00A85065">
        <w:rPr>
          <w:vertAlign w:val="subscript"/>
        </w:rPr>
        <w:t>2</w:t>
      </w:r>
      <w:r w:rsidRPr="00A85065">
        <w:t xml:space="preserve">eq, and a low cost of compliance for small businesses. </w:t>
      </w:r>
    </w:p>
    <w:p w:rsidR="00122907" w:rsidRPr="00384F40" w:rsidRDefault="00122907" w:rsidP="00122907">
      <w:pPr>
        <w:pStyle w:val="Heading1"/>
      </w:pPr>
      <w:r w:rsidRPr="00A85065">
        <w:t xml:space="preserve">The Government of </w:t>
      </w:r>
      <w:r>
        <w:t xml:space="preserve">the </w:t>
      </w:r>
      <w:r w:rsidRPr="00A85065">
        <w:t>Unite</w:t>
      </w:r>
      <w:r>
        <w:t>d</w:t>
      </w:r>
      <w:r w:rsidRPr="00A85065">
        <w:t xml:space="preserve"> States of America also shared information on several best practices and standards documents related to </w:t>
      </w:r>
      <w:r>
        <w:t xml:space="preserve">the refrigeration </w:t>
      </w:r>
      <w:r w:rsidRPr="00A85065">
        <w:t>servicing</w:t>
      </w:r>
      <w:r>
        <w:t xml:space="preserve"> sector</w:t>
      </w:r>
      <w:r w:rsidRPr="00A85065">
        <w:t>, including proper installation and maintenance of refrigeration and air</w:t>
      </w:r>
      <w:r w:rsidRPr="00A85065">
        <w:noBreakHyphen/>
        <w:t xml:space="preserve">conditioning equipment to reduce refrigerant leakage and maintain energy efficiency. The documents provided include two articles on the effects of heat pump sizing and duct leakage on </w:t>
      </w:r>
      <w:r>
        <w:t>h</w:t>
      </w:r>
      <w:r w:rsidRPr="00A16DD5">
        <w:t xml:space="preserve">eating, ventilation and air conditioning </w:t>
      </w:r>
      <w:r w:rsidRPr="00A85065">
        <w:t xml:space="preserve">equipment, and the decrease in rooftop unit capacity and coefficient of performance resulting from various problems with a system that can be addressed by servicing; guides on best practices for reducing leaks from commercial refrigeration systems; standards on installation and maintenance of commercial building </w:t>
      </w:r>
      <w:r>
        <w:t>h</w:t>
      </w:r>
      <w:r w:rsidRPr="00A16DD5">
        <w:t xml:space="preserve">eating, ventilation and air </w:t>
      </w:r>
      <w:r w:rsidRPr="00A16DD5">
        <w:lastRenderedPageBreak/>
        <w:t xml:space="preserve">conditioning </w:t>
      </w:r>
      <w:r w:rsidRPr="00A85065">
        <w:t xml:space="preserve">systems, maintenance of residential systems and quality installation specification; and a comprehensive set of material on energy efficiency that is described in the energy </w:t>
      </w:r>
      <w:r w:rsidRPr="00C84CBA">
        <w:t xml:space="preserve">efficiency </w:t>
      </w:r>
      <w:r w:rsidRPr="00384F40">
        <w:t xml:space="preserve">section in Annex V to the present document. </w:t>
      </w:r>
    </w:p>
    <w:p w:rsidR="00122907" w:rsidRPr="00A85065" w:rsidRDefault="00122907" w:rsidP="00122907">
      <w:pPr>
        <w:numPr>
          <w:ilvl w:val="0"/>
          <w:numId w:val="1"/>
        </w:numPr>
        <w:spacing w:after="240"/>
        <w:outlineLvl w:val="0"/>
      </w:pPr>
      <w:r w:rsidRPr="00A85065">
        <w:t>The information shared by the Government of Unite</w:t>
      </w:r>
      <w:r>
        <w:t>d</w:t>
      </w:r>
      <w:r w:rsidRPr="00A85065">
        <w:t xml:space="preserve"> States of America contains detailed data on </w:t>
      </w:r>
      <w:r>
        <w:t xml:space="preserve">the </w:t>
      </w:r>
      <w:r w:rsidRPr="00A85065">
        <w:t>cost and environmental impact of good practices in installation and maintenance of several types of refrigeration and air-conditioning systems, noting that while these are activities being implemented in the United States</w:t>
      </w:r>
      <w:r>
        <w:t xml:space="preserve"> of America</w:t>
      </w:r>
      <w:r w:rsidRPr="00A85065">
        <w:t xml:space="preserve">, there are some opportunities </w:t>
      </w:r>
      <w:r>
        <w:t>to</w:t>
      </w:r>
      <w:r w:rsidRPr="00A85065">
        <w:t xml:space="preserve"> replicat</w:t>
      </w:r>
      <w:r>
        <w:t>e</w:t>
      </w:r>
      <w:r w:rsidRPr="00A85065">
        <w:t xml:space="preserve"> the</w:t>
      </w:r>
      <w:r>
        <w:t>m</w:t>
      </w:r>
      <w:r w:rsidRPr="00A85065">
        <w:t xml:space="preserve"> in Article</w:t>
      </w:r>
      <w:r>
        <w:t> </w:t>
      </w:r>
      <w:r w:rsidRPr="00A85065">
        <w:t>5 countries. Th</w:t>
      </w:r>
      <w:r>
        <w:t>ese</w:t>
      </w:r>
      <w:r w:rsidRPr="00A85065">
        <w:t xml:space="preserve"> and other sources of information available with the </w:t>
      </w:r>
      <w:r>
        <w:t xml:space="preserve">bilateral and </w:t>
      </w:r>
      <w:r w:rsidRPr="00A85065">
        <w:t>implementing agencies will be of u</w:t>
      </w:r>
      <w:r>
        <w:t>se</w:t>
      </w:r>
      <w:r w:rsidRPr="00A85065">
        <w:t xml:space="preserve"> for Article 5 countries </w:t>
      </w:r>
      <w:r>
        <w:t>in</w:t>
      </w:r>
      <w:r w:rsidRPr="00A85065">
        <w:t xml:space="preserve"> assess</w:t>
      </w:r>
      <w:r>
        <w:t>ing</w:t>
      </w:r>
      <w:r w:rsidRPr="00A85065">
        <w:t xml:space="preserve"> options </w:t>
      </w:r>
      <w:r>
        <w:t>for</w:t>
      </w:r>
      <w:r w:rsidRPr="00A85065">
        <w:t xml:space="preserve"> activities that could be implemented and their cost.</w:t>
      </w:r>
    </w:p>
    <w:p w:rsidR="00122907" w:rsidRDefault="00122907" w:rsidP="00122907">
      <w:pPr>
        <w:tabs>
          <w:tab w:val="left" w:pos="4080"/>
          <w:tab w:val="center" w:pos="4680"/>
        </w:tabs>
        <w:jc w:val="left"/>
        <w:rPr>
          <w:b/>
        </w:rPr>
        <w:sectPr w:rsidR="00122907" w:rsidSect="00896234">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code="1"/>
          <w:pgMar w:top="720" w:right="1440" w:bottom="864" w:left="1440" w:header="720" w:footer="475" w:gutter="0"/>
          <w:cols w:space="720"/>
          <w:titlePg/>
        </w:sectPr>
      </w:pPr>
    </w:p>
    <w:p w:rsidR="00DC7FB5" w:rsidRDefault="00DC7FB5" w:rsidP="00DC7FB5">
      <w:pPr>
        <w:jc w:val="center"/>
        <w:rPr>
          <w:b/>
        </w:rPr>
      </w:pPr>
      <w:r>
        <w:rPr>
          <w:b/>
        </w:rPr>
        <w:lastRenderedPageBreak/>
        <w:t>Annex V</w:t>
      </w:r>
    </w:p>
    <w:p w:rsidR="00DC7FB5" w:rsidRPr="00CB4F81" w:rsidRDefault="00DC7FB5" w:rsidP="00DC7FB5">
      <w:pPr>
        <w:jc w:val="center"/>
        <w:rPr>
          <w:b/>
        </w:rPr>
      </w:pPr>
    </w:p>
    <w:p w:rsidR="00DC7FB5" w:rsidRDefault="00DC7FB5" w:rsidP="00DC7FB5">
      <w:pPr>
        <w:jc w:val="center"/>
        <w:rPr>
          <w:b/>
        </w:rPr>
      </w:pPr>
      <w:r w:rsidRPr="00CB4F81">
        <w:rPr>
          <w:b/>
        </w:rPr>
        <w:t>AN OVERVIEW OF ISSUES RELATED TO ENERGY EFFICIENCY</w:t>
      </w:r>
    </w:p>
    <w:p w:rsidR="00DC7FB5" w:rsidRPr="00CB4F81" w:rsidRDefault="00DC7FB5" w:rsidP="00DC7FB5">
      <w:pPr>
        <w:jc w:val="center"/>
        <w:rPr>
          <w:b/>
        </w:rPr>
      </w:pPr>
    </w:p>
    <w:p w:rsidR="00DC7FB5" w:rsidRPr="00CB4F81" w:rsidRDefault="00DC7FB5" w:rsidP="00DC7FB5">
      <w:pPr>
        <w:rPr>
          <w:b/>
        </w:rPr>
      </w:pPr>
      <w:r w:rsidRPr="00CB4F81">
        <w:rPr>
          <w:b/>
        </w:rPr>
        <w:t>Background</w:t>
      </w:r>
    </w:p>
    <w:p w:rsidR="00DC7FB5" w:rsidRPr="00CB4F81" w:rsidRDefault="00DC7FB5" w:rsidP="00DC7FB5">
      <w:pPr>
        <w:rPr>
          <w:u w:val="single"/>
        </w:rPr>
      </w:pPr>
    </w:p>
    <w:p w:rsidR="00DC7FB5" w:rsidRPr="00DC7FB5" w:rsidRDefault="00DC7FB5" w:rsidP="00DC7FB5">
      <w:pPr>
        <w:pStyle w:val="Heading1"/>
        <w:numPr>
          <w:ilvl w:val="0"/>
          <w:numId w:val="82"/>
        </w:numPr>
        <w:rPr>
          <w:lang w:val="en-CA"/>
        </w:rPr>
      </w:pPr>
      <w:r w:rsidRPr="00DC7FB5">
        <w:rPr>
          <w:lang w:val="en-CA"/>
        </w:rPr>
        <w:t xml:space="preserve">At their Twenty-eighth Meeting, the Parties requested the Executive Committee to </w:t>
      </w:r>
      <w:r w:rsidRPr="00DC7FB5">
        <w:rPr>
          <w:i/>
          <w:lang w:val="en-CA"/>
        </w:rPr>
        <w:t xml:space="preserve">inter alia </w:t>
      </w:r>
      <w:r w:rsidRPr="00DC7FB5">
        <w:rPr>
          <w:lang w:val="en-CA"/>
        </w:rPr>
        <w:t>develop cost guidance associated with maintaining and/or enhancing the energy efficiency of low-GWP or zero-GWP replacement technologies and equipment, when phasing down HFCs, while taking note of the role of other institutions addressing energy efficiency, when appropriate.</w:t>
      </w:r>
      <w:r w:rsidRPr="00CB4F81">
        <w:rPr>
          <w:rStyle w:val="FootnoteReference"/>
          <w:lang w:val="en-CA"/>
        </w:rPr>
        <w:footnoteReference w:id="68"/>
      </w:r>
      <w:r w:rsidRPr="00DC7FB5">
        <w:rPr>
          <w:lang w:val="en-CA"/>
        </w:rPr>
        <w:t xml:space="preserve"> The Parties also requested the Executive Committee to increase, in relation to the servicing sector, the funding available under decision 74/50 above the amounts listed in that decision for countries with total HCFC baseline consumption up to 360 mt when needed for the introduction of alternatives to HCFCs with low-GWP and zero-GWP alternatives to HFCs, and for maintaining energy efficiency in the servicing/end-user sector as well.</w:t>
      </w:r>
      <w:r w:rsidRPr="00CB4F81">
        <w:rPr>
          <w:rStyle w:val="FootnoteReference"/>
          <w:lang w:val="en-CA"/>
        </w:rPr>
        <w:footnoteReference w:id="69"/>
      </w:r>
      <w:r w:rsidRPr="00DC7FB5">
        <w:rPr>
          <w:lang w:val="en-CA"/>
        </w:rPr>
        <w:t xml:space="preserve"> </w:t>
      </w:r>
    </w:p>
    <w:p w:rsidR="00DC7FB5" w:rsidRDefault="00DC7FB5" w:rsidP="00DC7FB5">
      <w:pPr>
        <w:pStyle w:val="Heading1"/>
        <w:rPr>
          <w:lang w:val="en-CA"/>
        </w:rPr>
      </w:pPr>
      <w:r>
        <w:rPr>
          <w:lang w:val="en-CA"/>
        </w:rPr>
        <w:t>In addition, t</w:t>
      </w:r>
      <w:r w:rsidRPr="00CB4F81">
        <w:rPr>
          <w:lang w:val="en-CA"/>
        </w:rPr>
        <w:t xml:space="preserve">he Parties requested </w:t>
      </w:r>
      <w:r>
        <w:rPr>
          <w:lang w:val="en-CA"/>
        </w:rPr>
        <w:t xml:space="preserve">the </w:t>
      </w:r>
      <w:r w:rsidRPr="00CB4F81">
        <w:rPr>
          <w:lang w:val="en-CA"/>
        </w:rPr>
        <w:t>TEAP to provide a report to the</w:t>
      </w:r>
      <w:r>
        <w:rPr>
          <w:lang w:val="en-CA"/>
        </w:rPr>
        <w:t>ir</w:t>
      </w:r>
      <w:r w:rsidRPr="00CB4F81">
        <w:rPr>
          <w:lang w:val="en-CA"/>
        </w:rPr>
        <w:t xml:space="preserve"> </w:t>
      </w:r>
      <w:r>
        <w:rPr>
          <w:lang w:val="en-CA"/>
        </w:rPr>
        <w:t xml:space="preserve">Twenty-ninth Meeting </w:t>
      </w:r>
      <w:r w:rsidRPr="00CB4F81">
        <w:rPr>
          <w:lang w:val="en-CA"/>
        </w:rPr>
        <w:t>on energy efficiency opportunities in the refrigeration and air-conditioning</w:t>
      </w:r>
      <w:r>
        <w:rPr>
          <w:lang w:val="en-CA"/>
        </w:rPr>
        <w:t xml:space="preserve"> (RAC)</w:t>
      </w:r>
      <w:r w:rsidRPr="00CB4F81">
        <w:rPr>
          <w:lang w:val="en-CA"/>
        </w:rPr>
        <w:t xml:space="preserve"> sectors during the transition to low-GWP and zero</w:t>
      </w:r>
      <w:r>
        <w:rPr>
          <w:lang w:val="en-CA"/>
        </w:rPr>
        <w:t>-</w:t>
      </w:r>
      <w:r w:rsidRPr="00CB4F81">
        <w:rPr>
          <w:lang w:val="en-CA"/>
        </w:rPr>
        <w:t>GWP alternatives, based on information submitted by Parties</w:t>
      </w:r>
      <w:r>
        <w:rPr>
          <w:lang w:val="en-CA"/>
        </w:rPr>
        <w:t>.</w:t>
      </w:r>
      <w:r w:rsidRPr="00CB4F81">
        <w:rPr>
          <w:rStyle w:val="FootnoteReference"/>
          <w:lang w:val="en-CA"/>
        </w:rPr>
        <w:footnoteReference w:id="70"/>
      </w:r>
    </w:p>
    <w:p w:rsidR="00DC7FB5" w:rsidRPr="0017103D" w:rsidRDefault="00DC7FB5" w:rsidP="00DC7FB5">
      <w:pPr>
        <w:rPr>
          <w:u w:val="single"/>
          <w:lang w:val="en-CA"/>
        </w:rPr>
      </w:pPr>
      <w:r w:rsidRPr="0017103D">
        <w:rPr>
          <w:u w:val="single"/>
          <w:lang w:val="en-CA"/>
        </w:rPr>
        <w:t>Scope of the annex</w:t>
      </w:r>
    </w:p>
    <w:p w:rsidR="00DC7FB5" w:rsidRPr="00CB4F81" w:rsidRDefault="00DC7FB5" w:rsidP="00DC7FB5">
      <w:pPr>
        <w:rPr>
          <w:lang w:val="en-CA"/>
        </w:rPr>
      </w:pPr>
    </w:p>
    <w:p w:rsidR="00DC7FB5" w:rsidRPr="00CB4F81" w:rsidRDefault="00DC7FB5" w:rsidP="00DC7FB5">
      <w:pPr>
        <w:pStyle w:val="Heading1"/>
        <w:rPr>
          <w:lang w:val="en-CA"/>
        </w:rPr>
      </w:pPr>
      <w:r>
        <w:rPr>
          <w:lang w:val="en-CA"/>
        </w:rPr>
        <w:t>This annex presents relevant decisions of the Parties and the Executive Committee on energy efficiency; presents a limited literature review on policies/regulations for energy efficiency enhancement; and presents aspects to be considered for energy efficiency enhancement in the manufacturing and servicing sectors; and briefly describes the Multilateral Fund Climate Impact Indicator (MCII).</w:t>
      </w:r>
    </w:p>
    <w:p w:rsidR="00DC7FB5" w:rsidRPr="00AE467D" w:rsidRDefault="00DC7FB5" w:rsidP="00DC7FB5">
      <w:pPr>
        <w:pStyle w:val="Heading1"/>
        <w:numPr>
          <w:ilvl w:val="0"/>
          <w:numId w:val="0"/>
        </w:numPr>
        <w:spacing w:after="0"/>
        <w:rPr>
          <w:b/>
          <w:lang w:val="en-CA"/>
        </w:rPr>
      </w:pPr>
      <w:r w:rsidRPr="00AE467D">
        <w:rPr>
          <w:b/>
          <w:lang w:val="en-CA"/>
        </w:rPr>
        <w:t xml:space="preserve">Decisions of the Executive Committee </w:t>
      </w:r>
      <w:r>
        <w:rPr>
          <w:b/>
          <w:lang w:val="en-CA"/>
        </w:rPr>
        <w:t>related to</w:t>
      </w:r>
      <w:r w:rsidRPr="00AE467D">
        <w:rPr>
          <w:b/>
          <w:lang w:val="en-CA"/>
        </w:rPr>
        <w:t xml:space="preserve"> energy efficiency </w:t>
      </w:r>
    </w:p>
    <w:p w:rsidR="00DC7FB5" w:rsidRPr="00B2731E" w:rsidRDefault="00DC7FB5" w:rsidP="00DC7FB5">
      <w:pPr>
        <w:pStyle w:val="Heading1"/>
        <w:numPr>
          <w:ilvl w:val="0"/>
          <w:numId w:val="0"/>
        </w:numPr>
        <w:spacing w:after="0"/>
      </w:pPr>
    </w:p>
    <w:p w:rsidR="00DC7FB5" w:rsidRDefault="00DC7FB5" w:rsidP="00DC7FB5">
      <w:pPr>
        <w:pStyle w:val="Heading1"/>
        <w:rPr>
          <w:lang w:val="en-CA"/>
        </w:rPr>
      </w:pPr>
      <w:r w:rsidRPr="00CB4F81">
        <w:rPr>
          <w:lang w:val="en-CA"/>
        </w:rPr>
        <w:t>Prior to the adoption of the Kigali Amendment and decision XXVIII/2, energy efficiency was not considered an eligible incremental cost, though energy use was considered while developing funding criteria for HCFC phase-out projects</w:t>
      </w:r>
      <w:r>
        <w:rPr>
          <w:lang w:val="en-CA"/>
        </w:rPr>
        <w:t>.</w:t>
      </w:r>
      <w:r w:rsidRPr="00CB4F81">
        <w:rPr>
          <w:rStyle w:val="FootnoteReference"/>
          <w:lang w:val="en-CA"/>
        </w:rPr>
        <w:footnoteReference w:id="71"/>
      </w:r>
      <w:r w:rsidRPr="00CB4F81">
        <w:rPr>
          <w:lang w:val="en-CA"/>
        </w:rPr>
        <w:t xml:space="preserve"> </w:t>
      </w:r>
    </w:p>
    <w:p w:rsidR="00DC7FB5" w:rsidRDefault="00DC7FB5" w:rsidP="00DC7FB5">
      <w:pPr>
        <w:pStyle w:val="Heading1"/>
      </w:pPr>
      <w:r>
        <w:t>T</w:t>
      </w:r>
      <w:r w:rsidRPr="00B2731E">
        <w:t xml:space="preserve">he Executive Committee </w:t>
      </w:r>
      <w:r>
        <w:t xml:space="preserve">has </w:t>
      </w:r>
      <w:r w:rsidRPr="00B2731E">
        <w:t xml:space="preserve">sought opportunities to promote energy efficiency improvements </w:t>
      </w:r>
      <w:r>
        <w:t xml:space="preserve">when phasing out CFCs and </w:t>
      </w:r>
      <w:r w:rsidRPr="00B2731E">
        <w:t>HCFC</w:t>
      </w:r>
      <w:r>
        <w:t>s. With regard to the CFC phase-out, t</w:t>
      </w:r>
      <w:r w:rsidRPr="00B2731E">
        <w:t>he issue of energy efficiency was considered in the context of chillers</w:t>
      </w:r>
      <w:r>
        <w:t xml:space="preserve"> projects as follows: </w:t>
      </w:r>
    </w:p>
    <w:p w:rsidR="00DC7FB5" w:rsidRPr="00604399" w:rsidRDefault="00DC7FB5" w:rsidP="00DC7FB5">
      <w:pPr>
        <w:pStyle w:val="Heading2"/>
        <w:tabs>
          <w:tab w:val="clear" w:pos="720"/>
          <w:tab w:val="num" w:pos="0"/>
        </w:tabs>
        <w:ind w:left="1440"/>
        <w:rPr>
          <w:rFonts w:ascii="CG Times" w:hAnsi="CG Times" w:cs="CG Times"/>
          <w:spacing w:val="-3"/>
        </w:rPr>
      </w:pPr>
      <w:r>
        <w:t>At the 12</w:t>
      </w:r>
      <w:r w:rsidRPr="00B936CD">
        <w:rPr>
          <w:vertAlign w:val="superscript"/>
        </w:rPr>
        <w:t>th</w:t>
      </w:r>
      <w:r>
        <w:t xml:space="preserve"> meeting (March 1994), the Executive Committee considered a R</w:t>
      </w:r>
      <w:r w:rsidRPr="00B936CD">
        <w:t>eport on strategic options for retrofitting of mobile air conditioners and chillers</w:t>
      </w:r>
      <w:r>
        <w:rPr>
          <w:rStyle w:val="FootnoteReference"/>
        </w:rPr>
        <w:footnoteReference w:id="72"/>
      </w:r>
      <w:r>
        <w:t xml:space="preserve">. Based on this report, the Executive Committee decided </w:t>
      </w:r>
      <w:r w:rsidRPr="00843465">
        <w:rPr>
          <w:i/>
        </w:rPr>
        <w:t>inter alia</w:t>
      </w:r>
      <w:r>
        <w:t xml:space="preserve"> </w:t>
      </w:r>
      <w:r w:rsidRPr="00843465">
        <w:t xml:space="preserve">that consideration be given to the Total Equivalent Warming Impact (TEWI) in selecting alternative technology in the chiller sector, which would include both direct effects (refrigerant </w:t>
      </w:r>
      <w:r>
        <w:t>GWP</w:t>
      </w:r>
      <w:r w:rsidRPr="00843465">
        <w:t>) and indirect effects (system energy efficiency), and to human health and safety aspects.</w:t>
      </w:r>
      <w:r w:rsidRPr="00B936CD">
        <w:t xml:space="preserve"> </w:t>
      </w:r>
      <w:r>
        <w:t xml:space="preserve">The Committee also decided to </w:t>
      </w:r>
      <w:r>
        <w:rPr>
          <w:rFonts w:ascii="CG Times" w:hAnsi="CG Times" w:cs="CG Times"/>
          <w:spacing w:val="-3"/>
        </w:rPr>
        <w:t xml:space="preserve">approve the replacement of CFC chillers as a first priority of </w:t>
      </w:r>
      <w:r>
        <w:rPr>
          <w:rFonts w:ascii="CG Times" w:hAnsi="CG Times" w:cs="CG Times"/>
          <w:spacing w:val="-3"/>
        </w:rPr>
        <w:lastRenderedPageBreak/>
        <w:t>strategic options in ODS phase-out in the chiller sector; energy savings should be taken into consideration when calculating the incremental costs of replacement (d</w:t>
      </w:r>
      <w:r w:rsidRPr="00413BA6">
        <w:t>ecision in para</w:t>
      </w:r>
      <w:r>
        <w:t>graph</w:t>
      </w:r>
      <w:r w:rsidRPr="00413BA6">
        <w:t xml:space="preserve"> 160(i)</w:t>
      </w:r>
      <w:r>
        <w:t xml:space="preserve"> and (iv) of document </w:t>
      </w:r>
      <w:r w:rsidRPr="00413BA6">
        <w:t>UNEP/OzL.Pro/ExCom/12/37</w:t>
      </w:r>
      <w:r>
        <w:t>;</w:t>
      </w:r>
    </w:p>
    <w:p w:rsidR="00DC7FB5" w:rsidRDefault="00DC7FB5" w:rsidP="00DC7FB5">
      <w:pPr>
        <w:pStyle w:val="Heading2"/>
        <w:tabs>
          <w:tab w:val="clear" w:pos="720"/>
          <w:tab w:val="num" w:pos="0"/>
        </w:tabs>
        <w:ind w:left="1440"/>
      </w:pPr>
      <w:r>
        <w:t>At the</w:t>
      </w:r>
      <w:r w:rsidRPr="00ED7542">
        <w:t xml:space="preserve"> </w:t>
      </w:r>
      <w:r>
        <w:t>26</w:t>
      </w:r>
      <w:r w:rsidRPr="00862E45">
        <w:rPr>
          <w:vertAlign w:val="superscript"/>
        </w:rPr>
        <w:t>th</w:t>
      </w:r>
      <w:r>
        <w:t xml:space="preserve"> (November 1998) and 28</w:t>
      </w:r>
      <w:r w:rsidRPr="00862E45">
        <w:rPr>
          <w:vertAlign w:val="superscript"/>
        </w:rPr>
        <w:t>th</w:t>
      </w:r>
      <w:r>
        <w:t xml:space="preserve"> (July 1999) meetings the Executive Committee approved</w:t>
      </w:r>
      <w:r w:rsidRPr="00ED7542">
        <w:t xml:space="preserve"> two </w:t>
      </w:r>
      <w:r>
        <w:t xml:space="preserve">chiller projects </w:t>
      </w:r>
      <w:r w:rsidRPr="00ED7542">
        <w:t>for Thailand and Mexico</w:t>
      </w:r>
      <w:r>
        <w:t xml:space="preserve"> using the concessional loan mechanism (decisions 26/34 and 28/32);</w:t>
      </w:r>
    </w:p>
    <w:p w:rsidR="00DC7FB5" w:rsidRDefault="00DC7FB5" w:rsidP="00DC7FB5">
      <w:pPr>
        <w:pStyle w:val="Heading2"/>
        <w:tabs>
          <w:tab w:val="clear" w:pos="720"/>
          <w:tab w:val="num" w:pos="0"/>
        </w:tabs>
        <w:ind w:left="1440"/>
      </w:pPr>
      <w:r>
        <w:t>At its 37</w:t>
      </w:r>
      <w:r w:rsidRPr="002E3131">
        <w:rPr>
          <w:vertAlign w:val="superscript"/>
        </w:rPr>
        <w:t>th</w:t>
      </w:r>
      <w:r>
        <w:t xml:space="preserve"> meeting (July 2002), the Committee requested the Secretariat to re-examine the issues raised in the chiller sub-sector, and to report to a future meeting on a possible update of policy guidance, clarification of the nature of savings that could be envisaged as a result of increased energy efficiency, and how soon those energy savings might be realized (d</w:t>
      </w:r>
      <w:r w:rsidRPr="00413BA6">
        <w:t>ecision 37/21</w:t>
      </w:r>
      <w:r>
        <w:t>);</w:t>
      </w:r>
    </w:p>
    <w:p w:rsidR="00DC7FB5" w:rsidRDefault="00DC7FB5" w:rsidP="00DC7FB5">
      <w:pPr>
        <w:pStyle w:val="Heading2"/>
        <w:tabs>
          <w:tab w:val="clear" w:pos="720"/>
          <w:tab w:val="num" w:pos="0"/>
        </w:tabs>
        <w:ind w:left="1440"/>
      </w:pPr>
      <w:r>
        <w:t xml:space="preserve">The Sixteenth Meeting of the Parties (November 2004) decided to request the Executive Committee </w:t>
      </w:r>
      <w:r w:rsidRPr="002E3131">
        <w:rPr>
          <w:i/>
        </w:rPr>
        <w:t>inter alia</w:t>
      </w:r>
      <w:r>
        <w:t xml:space="preserve"> to consider </w:t>
      </w:r>
      <w:r w:rsidRPr="0020401B">
        <w:t>funding of additional demonstration projects to help demonstrate the value of replacement of CFC-based chillers, pursuant to relevant decisions of the Executive Committee</w:t>
      </w:r>
      <w:r>
        <w:t>;</w:t>
      </w:r>
    </w:p>
    <w:p w:rsidR="00DC7FB5" w:rsidRDefault="00DC7FB5" w:rsidP="00DC7FB5">
      <w:pPr>
        <w:pStyle w:val="Heading2"/>
        <w:tabs>
          <w:tab w:val="clear" w:pos="720"/>
          <w:tab w:val="num" w:pos="0"/>
        </w:tabs>
        <w:ind w:left="1440"/>
      </w:pPr>
      <w:r>
        <w:t>In its 46</w:t>
      </w:r>
      <w:r w:rsidRPr="00266D99">
        <w:rPr>
          <w:vertAlign w:val="superscript"/>
        </w:rPr>
        <w:t>th</w:t>
      </w:r>
      <w:r>
        <w:t xml:space="preserve"> m</w:t>
      </w:r>
      <w:r w:rsidRPr="00B37A3E">
        <w:t>eeting</w:t>
      </w:r>
      <w:r>
        <w:t xml:space="preserve"> (July 2005),</w:t>
      </w:r>
      <w:r w:rsidRPr="00B37A3E">
        <w:t xml:space="preserve"> the Executive Committee decided </w:t>
      </w:r>
      <w:r w:rsidRPr="00B37A3E">
        <w:rPr>
          <w:i/>
        </w:rPr>
        <w:t>inter alia</w:t>
      </w:r>
      <w:r w:rsidRPr="00B37A3E">
        <w:t xml:space="preserve"> to </w:t>
      </w:r>
      <w:r>
        <w:t>use</w:t>
      </w:r>
      <w:r w:rsidRPr="00B37A3E">
        <w:t xml:space="preserve"> the funding window of US $ 15.2 million for additional demonstration projects in the chiller-subsector (decision 46/33)</w:t>
      </w:r>
      <w:r>
        <w:t xml:space="preserve"> with </w:t>
      </w:r>
      <w:r w:rsidRPr="00B37A3E">
        <w:t xml:space="preserve">the primary objective to minimise </w:t>
      </w:r>
      <w:r>
        <w:t>or</w:t>
      </w:r>
      <w:r w:rsidRPr="00B37A3E">
        <w:t xml:space="preserve"> eliminate use of CFCs in the chillers</w:t>
      </w:r>
      <w:r>
        <w:t xml:space="preserve">. </w:t>
      </w:r>
      <w:r w:rsidRPr="00B37A3E">
        <w:t>Energy efficiency of new chiller</w:t>
      </w:r>
      <w:r>
        <w:t>s</w:t>
      </w:r>
      <w:r w:rsidRPr="00B37A3E">
        <w:t xml:space="preserve"> was identified as one the factors that would promote adoption of ODS free chillers</w:t>
      </w:r>
      <w:r>
        <w:t xml:space="preserve"> (</w:t>
      </w:r>
      <w:r w:rsidRPr="003F0601">
        <w:t>UNEP/OzL.Pro/ExCom/46/37</w:t>
      </w:r>
      <w:r>
        <w:t>);</w:t>
      </w:r>
      <w:r w:rsidRPr="00B37A3E">
        <w:t xml:space="preserve">  </w:t>
      </w:r>
    </w:p>
    <w:p w:rsidR="00DC7FB5" w:rsidRPr="00B37A3E" w:rsidRDefault="00DC7FB5" w:rsidP="00DC7FB5">
      <w:pPr>
        <w:pStyle w:val="Heading2"/>
        <w:tabs>
          <w:tab w:val="clear" w:pos="720"/>
          <w:tab w:val="num" w:pos="0"/>
        </w:tabs>
        <w:ind w:left="1440"/>
      </w:pPr>
      <w:r>
        <w:t>In its 47</w:t>
      </w:r>
      <w:r w:rsidRPr="00266D99">
        <w:rPr>
          <w:vertAlign w:val="superscript"/>
        </w:rPr>
        <w:t>th</w:t>
      </w:r>
      <w:r>
        <w:t xml:space="preserve"> (November 2005)</w:t>
      </w:r>
      <w:r w:rsidRPr="00B37A3E">
        <w:t xml:space="preserve"> and </w:t>
      </w:r>
      <w:r>
        <w:t>48</w:t>
      </w:r>
      <w:r w:rsidRPr="00266D99">
        <w:rPr>
          <w:vertAlign w:val="superscript"/>
        </w:rPr>
        <w:t>th</w:t>
      </w:r>
      <w:r>
        <w:t xml:space="preserve"> (April 2006)</w:t>
      </w:r>
      <w:r w:rsidRPr="00B37A3E">
        <w:t xml:space="preserve"> </w:t>
      </w:r>
      <w:r>
        <w:t>meet</w:t>
      </w:r>
      <w:r w:rsidRPr="00B37A3E">
        <w:t xml:space="preserve">ings, chiller demonstration projects were approved for Brazil, </w:t>
      </w:r>
      <w:r>
        <w:t xml:space="preserve">the </w:t>
      </w:r>
      <w:r w:rsidRPr="00B37A3E">
        <w:t xml:space="preserve">Caribbean region, Colombia, Cuba, </w:t>
      </w:r>
      <w:r>
        <w:t xml:space="preserve">the </w:t>
      </w:r>
      <w:r w:rsidRPr="00B37A3E">
        <w:t>East European region, Syria</w:t>
      </w:r>
      <w:r>
        <w:t>n Arab Republic</w:t>
      </w:r>
      <w:r w:rsidRPr="00B37A3E">
        <w:t>, a global chiller replacement program</w:t>
      </w:r>
      <w:r>
        <w:t xml:space="preserve">, </w:t>
      </w:r>
      <w:r w:rsidRPr="00B37A3E">
        <w:t xml:space="preserve">and </w:t>
      </w:r>
      <w:r>
        <w:t xml:space="preserve">the </w:t>
      </w:r>
      <w:r w:rsidRPr="00B37A3E">
        <w:t>African region (decision</w:t>
      </w:r>
      <w:r>
        <w:t>s</w:t>
      </w:r>
      <w:r w:rsidRPr="00B37A3E">
        <w:t xml:space="preserve"> 47/2</w:t>
      </w:r>
      <w:r>
        <w:t>6</w:t>
      </w:r>
      <w:r w:rsidRPr="00B37A3E">
        <w:t xml:space="preserve"> and 48/24)</w:t>
      </w:r>
      <w:r>
        <w:t>;</w:t>
      </w:r>
    </w:p>
    <w:p w:rsidR="00DC7FB5" w:rsidRPr="007E7311" w:rsidRDefault="00DC7FB5" w:rsidP="00DC7FB5">
      <w:pPr>
        <w:pStyle w:val="Heading2"/>
        <w:tabs>
          <w:tab w:val="clear" w:pos="720"/>
          <w:tab w:val="num" w:pos="0"/>
        </w:tabs>
        <w:ind w:left="1440"/>
      </w:pPr>
      <w:r>
        <w:t>A desk study on the evaluation of chiller projects</w:t>
      </w:r>
      <w:r>
        <w:rPr>
          <w:rStyle w:val="FootnoteReference"/>
        </w:rPr>
        <w:footnoteReference w:id="73"/>
      </w:r>
      <w:r>
        <w:t xml:space="preserve"> </w:t>
      </w:r>
      <w:r w:rsidRPr="009A6792">
        <w:t>examined efforts to set up co-funding programmes between the Multilateral Fund and other institutions, looked at the technical feasibility and financial attractiveness of chiller replacements and presented a number of conclusions, lessons learned and recommendations.</w:t>
      </w:r>
      <w:r>
        <w:t xml:space="preserve">  Building on the findings of this evaluation, at the 68</w:t>
      </w:r>
      <w:r w:rsidRPr="0040700C">
        <w:rPr>
          <w:vertAlign w:val="superscript"/>
        </w:rPr>
        <w:t>th</w:t>
      </w:r>
      <w:r>
        <w:t xml:space="preserve"> meeting, the Executive Committee considered the D</w:t>
      </w:r>
      <w:r w:rsidRPr="005E587D">
        <w:t>esk study on the evaluation of chiller projects</w:t>
      </w:r>
      <w:r>
        <w:rPr>
          <w:rStyle w:val="FootnoteReference"/>
        </w:rPr>
        <w:footnoteReference w:id="74"/>
      </w:r>
      <w:r w:rsidRPr="005E587D">
        <w:t xml:space="preserve"> </w:t>
      </w:r>
      <w:r>
        <w:t>prepared by t</w:t>
      </w:r>
      <w:r w:rsidRPr="005E587D">
        <w:t>he Senior Monitoring and Evaluation Officer</w:t>
      </w:r>
      <w:r>
        <w:t xml:space="preserve"> (SMEO)</w:t>
      </w:r>
      <w:r w:rsidRPr="005E587D">
        <w:t xml:space="preserve">. </w:t>
      </w:r>
      <w:r>
        <w:t xml:space="preserve">Further to a discussion, the Committee, </w:t>
      </w:r>
      <w:r w:rsidRPr="0040700C">
        <w:rPr>
          <w:i/>
        </w:rPr>
        <w:t>inter alia</w:t>
      </w:r>
      <w:r>
        <w:rPr>
          <w:i/>
        </w:rPr>
        <w:t>,</w:t>
      </w:r>
      <w:r w:rsidRPr="0040700C">
        <w:rPr>
          <w:i/>
        </w:rPr>
        <w:t xml:space="preserve"> </w:t>
      </w:r>
      <w:r w:rsidRPr="007E7311">
        <w:t>request</w:t>
      </w:r>
      <w:r>
        <w:t>ed</w:t>
      </w:r>
      <w:r w:rsidRPr="007E7311">
        <w:t xml:space="preserve"> the Secretariat to prepare annually a report on the progress of ongoing chiller projects, highlighting key progress in implementation of activities, any further information on co-financing arrangements, information on ODS replaced and any energy efficiency gains achieved through chiller conversions</w:t>
      </w:r>
      <w:r>
        <w:t xml:space="preserve">; and also requested </w:t>
      </w:r>
      <w:r w:rsidRPr="007E7311">
        <w:t>the implementing agencies to provide timely information to the Secretariat on the progress of chiller projects in order to enable it to prepare the annual reports</w:t>
      </w:r>
      <w:r>
        <w:t xml:space="preserve"> </w:t>
      </w:r>
      <w:r w:rsidRPr="007E7311">
        <w:t>(</w:t>
      </w:r>
      <w:r>
        <w:t>d</w:t>
      </w:r>
      <w:r w:rsidRPr="007E7311">
        <w:t>ecision 68/8</w:t>
      </w:r>
      <w:r>
        <w:t xml:space="preserve"> (c) and (d)</w:t>
      </w:r>
      <w:r w:rsidRPr="007E7311">
        <w:t>)</w:t>
      </w:r>
      <w:r>
        <w:t>; and</w:t>
      </w:r>
    </w:p>
    <w:p w:rsidR="00DC7FB5" w:rsidRDefault="00DC7FB5" w:rsidP="00DC7FB5">
      <w:pPr>
        <w:pStyle w:val="Heading2"/>
        <w:tabs>
          <w:tab w:val="clear" w:pos="720"/>
          <w:tab w:val="num" w:pos="0"/>
        </w:tabs>
        <w:ind w:left="1440"/>
      </w:pPr>
      <w:r>
        <w:t>The SMEO work programme approved at the 77</w:t>
      </w:r>
      <w:r w:rsidRPr="00604399">
        <w:rPr>
          <w:vertAlign w:val="superscript"/>
        </w:rPr>
        <w:t>th</w:t>
      </w:r>
      <w:r>
        <w:t xml:space="preserve"> meeting (November – December 2006) included the second phase of the evaluation of chiller projects. The evaluation will examine, </w:t>
      </w:r>
      <w:r w:rsidRPr="004A502D">
        <w:rPr>
          <w:i/>
        </w:rPr>
        <w:t>inter alia</w:t>
      </w:r>
      <w:r>
        <w:rPr>
          <w:i/>
        </w:rPr>
        <w:t>,</w:t>
      </w:r>
      <w:r>
        <w:t xml:space="preserve"> the impact of energy efficiency gains achieved through the chiller projects.</w:t>
      </w:r>
      <w:r>
        <w:rPr>
          <w:rStyle w:val="FootnoteReference"/>
        </w:rPr>
        <w:footnoteReference w:id="75"/>
      </w:r>
      <w:r>
        <w:t xml:space="preserve">  </w:t>
      </w:r>
    </w:p>
    <w:p w:rsidR="00DC7FB5" w:rsidRPr="00B37A3E" w:rsidRDefault="00DC7FB5" w:rsidP="00DC7FB5">
      <w:pPr>
        <w:pStyle w:val="Heading1"/>
        <w:rPr>
          <w:lang w:val="en-CA"/>
        </w:rPr>
      </w:pPr>
      <w:r>
        <w:lastRenderedPageBreak/>
        <w:t xml:space="preserve">With regard to HCFCs, </w:t>
      </w:r>
      <w:r w:rsidRPr="00B2731E">
        <w:t xml:space="preserve">one of the criteria in selecting projects for demonstration </w:t>
      </w:r>
      <w:r>
        <w:t xml:space="preserve">of </w:t>
      </w:r>
      <w:r w:rsidRPr="00B2731E">
        <w:t xml:space="preserve">low-GWP </w:t>
      </w:r>
      <w:r w:rsidRPr="00B37A3E">
        <w:t>alternatives to HCFCs was that the project should promote energy efficiency improvements</w:t>
      </w:r>
      <w:r>
        <w:t xml:space="preserve"> (decision 72/40(b)(i)(f))</w:t>
      </w:r>
      <w:r w:rsidRPr="00B37A3E">
        <w:t>.</w:t>
      </w:r>
      <w:r w:rsidRPr="00B37A3E">
        <w:rPr>
          <w:lang w:val="en-CA"/>
        </w:rPr>
        <w:t xml:space="preserve"> Fourteen demonstration projects relat</w:t>
      </w:r>
      <w:r>
        <w:rPr>
          <w:lang w:val="en-CA"/>
        </w:rPr>
        <w:t>ed</w:t>
      </w:r>
      <w:r w:rsidRPr="00B37A3E">
        <w:rPr>
          <w:lang w:val="en-CA"/>
        </w:rPr>
        <w:t xml:space="preserve"> to </w:t>
      </w:r>
      <w:r>
        <w:rPr>
          <w:lang w:val="en-CA"/>
        </w:rPr>
        <w:t xml:space="preserve">the </w:t>
      </w:r>
      <w:r w:rsidRPr="00B37A3E">
        <w:rPr>
          <w:lang w:val="en-CA"/>
        </w:rPr>
        <w:t>RAC sector were approved at the 74</w:t>
      </w:r>
      <w:r w:rsidRPr="00604399">
        <w:rPr>
          <w:vertAlign w:val="superscript"/>
          <w:lang w:val="en-CA"/>
        </w:rPr>
        <w:t>th</w:t>
      </w:r>
      <w:r>
        <w:rPr>
          <w:lang w:val="en-CA"/>
        </w:rPr>
        <w:t xml:space="preserve"> (May 2015),</w:t>
      </w:r>
      <w:r w:rsidRPr="00B37A3E">
        <w:rPr>
          <w:lang w:val="en-CA"/>
        </w:rPr>
        <w:t xml:space="preserve"> 75</w:t>
      </w:r>
      <w:r w:rsidRPr="00604399">
        <w:rPr>
          <w:vertAlign w:val="superscript"/>
          <w:lang w:val="en-CA"/>
        </w:rPr>
        <w:t>th</w:t>
      </w:r>
      <w:r w:rsidRPr="00B37A3E">
        <w:rPr>
          <w:lang w:val="en-CA"/>
        </w:rPr>
        <w:t xml:space="preserve"> </w:t>
      </w:r>
      <w:r>
        <w:rPr>
          <w:lang w:val="en-CA"/>
        </w:rPr>
        <w:t xml:space="preserve">(November 2015) </w:t>
      </w:r>
      <w:r w:rsidRPr="00B37A3E">
        <w:rPr>
          <w:lang w:val="en-CA"/>
        </w:rPr>
        <w:t>and 76</w:t>
      </w:r>
      <w:r w:rsidRPr="00604399">
        <w:rPr>
          <w:vertAlign w:val="superscript"/>
          <w:lang w:val="en-CA"/>
        </w:rPr>
        <w:t>th</w:t>
      </w:r>
      <w:r w:rsidRPr="00B37A3E">
        <w:rPr>
          <w:lang w:val="en-CA"/>
        </w:rPr>
        <w:t xml:space="preserve"> </w:t>
      </w:r>
      <w:r>
        <w:rPr>
          <w:lang w:val="en-CA"/>
        </w:rPr>
        <w:t xml:space="preserve">(May 2016) </w:t>
      </w:r>
      <w:r w:rsidRPr="00B37A3E">
        <w:rPr>
          <w:lang w:val="en-CA"/>
        </w:rPr>
        <w:t xml:space="preserve">meetings in line with </w:t>
      </w:r>
      <w:r>
        <w:rPr>
          <w:lang w:val="en-CA"/>
        </w:rPr>
        <w:t xml:space="preserve">the </w:t>
      </w:r>
      <w:r w:rsidRPr="00B37A3E">
        <w:rPr>
          <w:lang w:val="en-CA"/>
        </w:rPr>
        <w:t xml:space="preserve">guidance provided in decision 72/40. Energy efficiency performance was to be reported as apart of relevant project results.  Detailed information on the demonstration projects is available in UNEP/OzL.Pro/ExCom/78/6. </w:t>
      </w:r>
    </w:p>
    <w:p w:rsidR="00DC7FB5" w:rsidRDefault="00DC7FB5" w:rsidP="00DC7FB5">
      <w:pPr>
        <w:pStyle w:val="Heading1"/>
        <w:rPr>
          <w:lang w:val="en-CA"/>
        </w:rPr>
      </w:pPr>
      <w:r w:rsidRPr="00B37A3E">
        <w:rPr>
          <w:lang w:val="en-CA"/>
        </w:rPr>
        <w:t xml:space="preserve">In a few </w:t>
      </w:r>
      <w:r>
        <w:rPr>
          <w:lang w:val="en-CA"/>
        </w:rPr>
        <w:t>HPMPs</w:t>
      </w:r>
      <w:r w:rsidRPr="00B37A3E">
        <w:rPr>
          <w:lang w:val="en-CA"/>
        </w:rPr>
        <w:t xml:space="preserve">, specific conditions on energy efficiency </w:t>
      </w:r>
      <w:r>
        <w:rPr>
          <w:lang w:val="en-CA"/>
        </w:rPr>
        <w:t>were</w:t>
      </w:r>
      <w:r w:rsidRPr="001B19CF">
        <w:rPr>
          <w:lang w:val="en-CA"/>
        </w:rPr>
        <w:t xml:space="preserve"> include</w:t>
      </w:r>
      <w:r w:rsidRPr="00862E45">
        <w:rPr>
          <w:lang w:val="en-CA"/>
        </w:rPr>
        <w:t>d when approving those projects, For example, the HPMP for Jordan included a requirement that the overall air conditioning sector plan would incorporate policy and technical approaches to improve the energy efficiency of residential air-conditioning equipment to offset the climate impact of the R-410A; a commitment by the Government to achieve energy consumption for residential air-conditioners using R-410A at least equal to or lower than the HCFC-22 air-conditioners they replaced; and a commitment by one of the enterprises, Petra Engineering Industries Co.</w:t>
      </w:r>
      <w:r>
        <w:rPr>
          <w:lang w:val="en-CA"/>
        </w:rPr>
        <w:t>,</w:t>
      </w:r>
      <w:r w:rsidRPr="00862E45">
        <w:rPr>
          <w:lang w:val="en-CA"/>
        </w:rPr>
        <w:t xml:space="preserve"> to develop, convert manufacture a</w:t>
      </w:r>
      <w:r>
        <w:rPr>
          <w:lang w:val="en-CA"/>
        </w:rPr>
        <w:t>nd actively promote hydrocarbon</w:t>
      </w:r>
      <w:r>
        <w:rPr>
          <w:lang w:val="en-CA"/>
        </w:rPr>
        <w:noBreakHyphen/>
      </w:r>
      <w:r w:rsidRPr="00862E45">
        <w:rPr>
          <w:lang w:val="en-CA"/>
        </w:rPr>
        <w:t xml:space="preserve">based split air conditioners (decision 65/40). </w:t>
      </w:r>
      <w:r>
        <w:rPr>
          <w:lang w:val="en-CA"/>
        </w:rPr>
        <w:t>The</w:t>
      </w:r>
      <w:r w:rsidRPr="00862E45">
        <w:rPr>
          <w:lang w:val="en-CA"/>
        </w:rPr>
        <w:t xml:space="preserve"> HPMP for Thailand</w:t>
      </w:r>
      <w:r>
        <w:rPr>
          <w:lang w:val="en-CA"/>
        </w:rPr>
        <w:t xml:space="preserve"> included technical assistance to support promoting adoption of energy efficient products beyond those that would be achieved as part of the conversion, and support assisting energy efficiency initiatives in buildings. </w:t>
      </w:r>
      <w:r w:rsidRPr="00507655">
        <w:rPr>
          <w:lang w:val="en-CA"/>
        </w:rPr>
        <w:t xml:space="preserve"> </w:t>
      </w:r>
    </w:p>
    <w:p w:rsidR="00DC7FB5" w:rsidRDefault="00DC7FB5" w:rsidP="00DC7FB5">
      <w:pPr>
        <w:rPr>
          <w:lang w:val="en-CA"/>
        </w:rPr>
      </w:pPr>
      <w:r>
        <w:rPr>
          <w:b/>
          <w:lang w:val="en-CA"/>
        </w:rPr>
        <w:t>P</w:t>
      </w:r>
      <w:r w:rsidRPr="00B2731E">
        <w:rPr>
          <w:b/>
          <w:lang w:val="en-CA"/>
        </w:rPr>
        <w:t>olicies and regulations</w:t>
      </w:r>
      <w:r>
        <w:rPr>
          <w:b/>
          <w:lang w:val="en-CA"/>
        </w:rPr>
        <w:t xml:space="preserve"> for enhancing energy efficiency</w:t>
      </w:r>
    </w:p>
    <w:p w:rsidR="00DC7FB5" w:rsidRPr="00AE467D" w:rsidRDefault="00DC7FB5" w:rsidP="00DC7FB5">
      <w:pPr>
        <w:rPr>
          <w:lang w:val="en-CA"/>
        </w:rPr>
      </w:pPr>
    </w:p>
    <w:p w:rsidR="00DC7FB5" w:rsidRPr="00B2731E" w:rsidRDefault="00DC7FB5" w:rsidP="00DC7FB5">
      <w:pPr>
        <w:pStyle w:val="Heading1"/>
        <w:spacing w:after="0"/>
      </w:pPr>
      <w:r w:rsidRPr="00B2731E">
        <w:t xml:space="preserve">Policies and regulations that promote </w:t>
      </w:r>
      <w:r>
        <w:t xml:space="preserve">the </w:t>
      </w:r>
      <w:r w:rsidRPr="00B2731E">
        <w:t xml:space="preserve">introduction of energy-efficient </w:t>
      </w:r>
      <w:r>
        <w:t>RAC</w:t>
      </w:r>
      <w:r w:rsidRPr="00B2731E">
        <w:t xml:space="preserve"> equipment and ensure its </w:t>
      </w:r>
      <w:r>
        <w:t>energy-efficient</w:t>
      </w:r>
      <w:r w:rsidRPr="00B2731E">
        <w:t xml:space="preserve"> performance, coupled with an improvement in maintenance and servicing, could contribute extensively to mitigating climate change. However, implementing such initiatives at the country level would </w:t>
      </w:r>
      <w:r>
        <w:t>require</w:t>
      </w:r>
      <w:r w:rsidRPr="00B2731E">
        <w:t xml:space="preserve"> overcom</w:t>
      </w:r>
      <w:r>
        <w:t>ing</w:t>
      </w:r>
      <w:r w:rsidRPr="00B2731E">
        <w:t xml:space="preserve"> policy, regulatory and institutional barriers; lack of information</w:t>
      </w:r>
      <w:r>
        <w:t xml:space="preserve"> on</w:t>
      </w:r>
      <w:r w:rsidRPr="00B2731E">
        <w:t xml:space="preserve"> and/or assessment of the cost</w:t>
      </w:r>
      <w:r w:rsidRPr="00B2731E">
        <w:noBreakHyphen/>
        <w:t>benefit ratio of introducing highly energy-efficient equipment at the national level; financial barriers; and technical barriers</w:t>
      </w:r>
      <w:r>
        <w:t>.</w:t>
      </w:r>
      <w:r w:rsidRPr="00B2731E">
        <w:rPr>
          <w:rStyle w:val="FootnoteReference"/>
        </w:rPr>
        <w:footnoteReference w:id="76"/>
      </w:r>
      <w:r w:rsidRPr="00B2731E">
        <w:t xml:space="preserve"> </w:t>
      </w:r>
    </w:p>
    <w:p w:rsidR="00DC7FB5" w:rsidRPr="00B2731E" w:rsidRDefault="00DC7FB5" w:rsidP="00DC7FB5"/>
    <w:p w:rsidR="00DC7FB5" w:rsidRPr="00B2731E" w:rsidRDefault="00DC7FB5" w:rsidP="00DC7FB5">
      <w:pPr>
        <w:pStyle w:val="Heading1"/>
      </w:pPr>
      <w:r>
        <w:t>Countries’ r</w:t>
      </w:r>
      <w:r w:rsidRPr="00B2731E">
        <w:t xml:space="preserve">eadiness to facilitate energy efficiency measures while </w:t>
      </w:r>
      <w:r>
        <w:t>phasing down</w:t>
      </w:r>
      <w:r w:rsidRPr="00B2731E">
        <w:t xml:space="preserve"> HFC</w:t>
      </w:r>
      <w:r>
        <w:t>s</w:t>
      </w:r>
      <w:r w:rsidRPr="00B2731E">
        <w:t xml:space="preserve"> would vary and mainly depend upon national regulations associated with energy policy and energy efficiency</w:t>
      </w:r>
      <w:r>
        <w:t>,</w:t>
      </w:r>
      <w:r w:rsidRPr="00B2731E">
        <w:t xml:space="preserve"> and institutional mechanisms.</w:t>
      </w:r>
      <w:r>
        <w:t xml:space="preserve"> </w:t>
      </w:r>
      <w:r w:rsidRPr="00B2731E">
        <w:t xml:space="preserve">While studies also show that energy efficiency measures offer </w:t>
      </w:r>
      <w:r>
        <w:t xml:space="preserve">the </w:t>
      </w:r>
      <w:r w:rsidRPr="00B2731E">
        <w:t>least</w:t>
      </w:r>
      <w:r>
        <w:t>-</w:t>
      </w:r>
      <w:r w:rsidRPr="00B2731E">
        <w:t>cost path to achieving greenhouse gas (GHG</w:t>
      </w:r>
      <w:r>
        <w:t>)</w:t>
      </w:r>
      <w:r w:rsidRPr="00B2731E">
        <w:t xml:space="preserve"> emission reductions, national regulations that result in</w:t>
      </w:r>
      <w:r>
        <w:t xml:space="preserve"> the</w:t>
      </w:r>
      <w:r w:rsidRPr="00B2731E">
        <w:t xml:space="preserve"> adoption of standards would play a key role in improv</w:t>
      </w:r>
      <w:r>
        <w:t>ing the</w:t>
      </w:r>
      <w:r w:rsidRPr="00B2731E">
        <w:t xml:space="preserve"> energy efficiency </w:t>
      </w:r>
      <w:r>
        <w:t>of</w:t>
      </w:r>
      <w:r w:rsidRPr="00B2731E">
        <w:t xml:space="preserve"> equipment.</w:t>
      </w:r>
      <w:r>
        <w:t xml:space="preserve"> </w:t>
      </w:r>
      <w:r w:rsidRPr="00B2731E">
        <w:t xml:space="preserve">Minimum energy performance standards coupled with labelling would strengthen national processes </w:t>
      </w:r>
      <w:r>
        <w:t>to</w:t>
      </w:r>
      <w:r w:rsidRPr="00B2731E">
        <w:t xml:space="preserve"> achiev</w:t>
      </w:r>
      <w:r>
        <w:t>e</w:t>
      </w:r>
      <w:r w:rsidRPr="00B2731E">
        <w:t xml:space="preserve"> higher energy efficiency levels.</w:t>
      </w:r>
      <w:r>
        <w:t xml:space="preserve"> </w:t>
      </w:r>
      <w:r w:rsidRPr="00B2731E">
        <w:t>Lack of such standards would often result in manufacturing and/or sales of least-cost, low-energy</w:t>
      </w:r>
      <w:r>
        <w:t>-</w:t>
      </w:r>
      <w:r w:rsidRPr="00B2731E">
        <w:t>efficient equipment.</w:t>
      </w:r>
      <w:r>
        <w:t xml:space="preserve"> </w:t>
      </w:r>
      <w:r w:rsidRPr="00B2731E">
        <w:t>This is also essential for verifiable results that can be reported on energy efficiency performance.</w:t>
      </w:r>
      <w:r>
        <w:rPr>
          <w:rStyle w:val="FootnoteReference"/>
        </w:rPr>
        <w:footnoteReference w:id="77"/>
      </w:r>
    </w:p>
    <w:p w:rsidR="00DC7FB5" w:rsidRPr="00B2731E" w:rsidRDefault="00DC7FB5" w:rsidP="00DC7FB5">
      <w:pPr>
        <w:pStyle w:val="Heading1"/>
      </w:pPr>
      <w:r>
        <w:t>C</w:t>
      </w:r>
      <w:r w:rsidRPr="00B2731E">
        <w:t>ost</w:t>
      </w:r>
      <w:r>
        <w:t>-</w:t>
      </w:r>
      <w:r w:rsidRPr="00B2731E">
        <w:t>benefit analys</w:t>
      </w:r>
      <w:r>
        <w:t>e</w:t>
      </w:r>
      <w:r w:rsidRPr="00B2731E">
        <w:t xml:space="preserve">s for implementing new regulatory standards on energy efficiency and conservation </w:t>
      </w:r>
      <w:r>
        <w:t>would need</w:t>
      </w:r>
      <w:r w:rsidRPr="00B2731E">
        <w:t xml:space="preserve"> to </w:t>
      </w:r>
      <w:r>
        <w:t>consider</w:t>
      </w:r>
      <w:r w:rsidRPr="00B2731E">
        <w:t xml:space="preserve"> additional costs to industry compared to the baseline situation</w:t>
      </w:r>
      <w:r>
        <w:t xml:space="preserve">. For those cases where lower cost, less energy-efficient equipment continue to be available in the market, the </w:t>
      </w:r>
      <w:r w:rsidRPr="00B2731E">
        <w:t xml:space="preserve">adoption of new energy efficiency standards </w:t>
      </w:r>
      <w:r>
        <w:t>would need to be complemented by a revision of regulatory standards or other incentives for the market to take up the more energy-efficient equipment.</w:t>
      </w:r>
      <w:r w:rsidRPr="00B2731E">
        <w:rPr>
          <w:rStyle w:val="FootnoteReference"/>
        </w:rPr>
        <w:footnoteReference w:id="78"/>
      </w:r>
      <w:r w:rsidRPr="00B2731E">
        <w:t xml:space="preserve"> </w:t>
      </w:r>
    </w:p>
    <w:p w:rsidR="00DC7FB5" w:rsidRDefault="00DC7FB5" w:rsidP="00DC7FB5">
      <w:pPr>
        <w:pStyle w:val="Heading1"/>
        <w:spacing w:after="0"/>
      </w:pPr>
      <w:r w:rsidRPr="00B2731E">
        <w:t>Structured incentive program</w:t>
      </w:r>
      <w:r>
        <w:t>me</w:t>
      </w:r>
      <w:r w:rsidRPr="00B2731E">
        <w:t xml:space="preserve">s for promoting </w:t>
      </w:r>
      <w:r>
        <w:t>energy-efficient</w:t>
      </w:r>
      <w:r w:rsidRPr="00B2731E">
        <w:t xml:space="preserve"> equipment adoption were implemented in different countries</w:t>
      </w:r>
      <w:r>
        <w:t>.</w:t>
      </w:r>
      <w:r w:rsidRPr="00B2731E">
        <w:rPr>
          <w:rStyle w:val="FootnoteReference"/>
        </w:rPr>
        <w:footnoteReference w:id="79"/>
      </w:r>
      <w:r>
        <w:t xml:space="preserve"> </w:t>
      </w:r>
      <w:r w:rsidRPr="00B2731E">
        <w:t>These program</w:t>
      </w:r>
      <w:r>
        <w:t>me</w:t>
      </w:r>
      <w:r w:rsidRPr="00B2731E">
        <w:t xml:space="preserve">s included </w:t>
      </w:r>
      <w:r w:rsidRPr="005743AF">
        <w:rPr>
          <w:i/>
        </w:rPr>
        <w:t>inter</w:t>
      </w:r>
      <w:r>
        <w:rPr>
          <w:i/>
        </w:rPr>
        <w:t xml:space="preserve"> </w:t>
      </w:r>
      <w:r w:rsidRPr="005743AF">
        <w:rPr>
          <w:i/>
        </w:rPr>
        <w:t>alia</w:t>
      </w:r>
      <w:r w:rsidRPr="00B2731E">
        <w:t xml:space="preserve"> bulk procurement of energy</w:t>
      </w:r>
      <w:r>
        <w:t>-</w:t>
      </w:r>
      <w:r w:rsidRPr="00B2731E">
        <w:lastRenderedPageBreak/>
        <w:t>efficient equipment</w:t>
      </w:r>
      <w:r>
        <w:t xml:space="preserve"> and</w:t>
      </w:r>
      <w:r w:rsidRPr="00B2731E">
        <w:t xml:space="preserve"> subsid</w:t>
      </w:r>
      <w:r>
        <w:t>ies</w:t>
      </w:r>
      <w:r w:rsidRPr="00B2731E">
        <w:t xml:space="preserve"> for equipment, as </w:t>
      </w:r>
      <w:r>
        <w:t>well as</w:t>
      </w:r>
      <w:r w:rsidRPr="00B2731E">
        <w:t xml:space="preserve"> safe disposal of </w:t>
      </w:r>
      <w:r>
        <w:t xml:space="preserve">the </w:t>
      </w:r>
      <w:r w:rsidRPr="00B2731E">
        <w:t>refrigerant in existing equipment. Such</w:t>
      </w:r>
      <w:r>
        <w:t xml:space="preserve"> programmes could play an important role in promoting a faster pace of adoption of energy</w:t>
      </w:r>
      <w:r>
        <w:noBreakHyphen/>
        <w:t>efficient equipment.</w:t>
      </w:r>
    </w:p>
    <w:p w:rsidR="00DC7FB5" w:rsidRDefault="00DC7FB5" w:rsidP="00DC7FB5">
      <w:pPr>
        <w:pStyle w:val="Heading1"/>
        <w:numPr>
          <w:ilvl w:val="0"/>
          <w:numId w:val="0"/>
        </w:numPr>
        <w:spacing w:after="0"/>
        <w:rPr>
          <w:b/>
          <w:lang w:val="en-CA"/>
        </w:rPr>
      </w:pPr>
    </w:p>
    <w:p w:rsidR="00DC7FB5" w:rsidRPr="00CB4F81" w:rsidRDefault="00DC7FB5" w:rsidP="00DC7FB5">
      <w:pPr>
        <w:jc w:val="left"/>
        <w:rPr>
          <w:b/>
          <w:lang w:val="en-CA"/>
        </w:rPr>
      </w:pPr>
      <w:r w:rsidRPr="00CB4F81">
        <w:rPr>
          <w:b/>
          <w:lang w:val="en-CA"/>
        </w:rPr>
        <w:t>Manufacturing equipment</w:t>
      </w:r>
    </w:p>
    <w:p w:rsidR="00DC7FB5" w:rsidRPr="00CB4F81" w:rsidRDefault="00DC7FB5" w:rsidP="00DC7FB5">
      <w:pPr>
        <w:rPr>
          <w:lang w:val="en-CA"/>
        </w:rPr>
      </w:pPr>
    </w:p>
    <w:p w:rsidR="00DC7FB5" w:rsidRPr="00CB4F81" w:rsidRDefault="00DC7FB5" w:rsidP="00DC7FB5">
      <w:pPr>
        <w:pStyle w:val="Heading1"/>
      </w:pPr>
      <w:r w:rsidRPr="00CB4F81">
        <w:rPr>
          <w:lang w:val="en-CA"/>
        </w:rPr>
        <w:t xml:space="preserve">In manufacturing equipment, in addition to the choice of refrigerants, nominal energy efficiency of </w:t>
      </w:r>
      <w:r>
        <w:rPr>
          <w:lang w:val="en-CA"/>
        </w:rPr>
        <w:t>RAC</w:t>
      </w:r>
      <w:r w:rsidRPr="00CB4F81">
        <w:rPr>
          <w:lang w:val="en-CA"/>
        </w:rPr>
        <w:t xml:space="preserve"> equipment can be enhanced </w:t>
      </w:r>
      <w:r w:rsidRPr="00CB4F81">
        <w:rPr>
          <w:i/>
          <w:lang w:val="en-CA"/>
        </w:rPr>
        <w:t>inter alia</w:t>
      </w:r>
      <w:r w:rsidRPr="00CB4F81">
        <w:rPr>
          <w:lang w:val="en-CA"/>
        </w:rPr>
        <w:t xml:space="preserve"> </w:t>
      </w:r>
      <w:r w:rsidRPr="00CB4F81">
        <w:t>through the following</w:t>
      </w:r>
      <w:r>
        <w:t>:</w:t>
      </w:r>
      <w:r w:rsidRPr="00CB4F81">
        <w:rPr>
          <w:rStyle w:val="FootnoteReference"/>
        </w:rPr>
        <w:footnoteReference w:id="80"/>
      </w:r>
      <w:r w:rsidRPr="00604399">
        <w:rPr>
          <w:vertAlign w:val="superscript"/>
        </w:rPr>
        <w:t>,</w:t>
      </w:r>
      <w:r w:rsidRPr="00CB4F81">
        <w:rPr>
          <w:rStyle w:val="FootnoteReference"/>
        </w:rPr>
        <w:footnoteReference w:id="81"/>
      </w:r>
    </w:p>
    <w:p w:rsidR="00DC7FB5" w:rsidRPr="00CB4F81" w:rsidRDefault="00DC7FB5" w:rsidP="00DC7FB5">
      <w:pPr>
        <w:pStyle w:val="Heading2"/>
        <w:tabs>
          <w:tab w:val="clear" w:pos="720"/>
          <w:tab w:val="num" w:pos="0"/>
        </w:tabs>
        <w:ind w:left="1440"/>
      </w:pPr>
      <w:r w:rsidRPr="00CB4F81">
        <w:t>Redesign/modification of compressors;</w:t>
      </w:r>
    </w:p>
    <w:p w:rsidR="00DC7FB5" w:rsidRPr="00CB4F81" w:rsidRDefault="00DC7FB5" w:rsidP="00DC7FB5">
      <w:pPr>
        <w:pStyle w:val="Heading2"/>
        <w:tabs>
          <w:tab w:val="clear" w:pos="720"/>
          <w:tab w:val="num" w:pos="0"/>
        </w:tabs>
        <w:ind w:left="1440"/>
      </w:pPr>
      <w:r w:rsidRPr="00CB4F81">
        <w:t>Redesign/modification of heat exchangers;</w:t>
      </w:r>
    </w:p>
    <w:p w:rsidR="00DC7FB5" w:rsidRPr="00CB4F81" w:rsidRDefault="00DC7FB5" w:rsidP="00DC7FB5">
      <w:pPr>
        <w:pStyle w:val="Heading2"/>
        <w:tabs>
          <w:tab w:val="clear" w:pos="720"/>
          <w:tab w:val="num" w:pos="0"/>
        </w:tabs>
        <w:ind w:left="1440"/>
      </w:pPr>
      <w:r w:rsidRPr="00CB4F81">
        <w:t xml:space="preserve">Redesign/modification of </w:t>
      </w:r>
      <w:r>
        <w:t>t</w:t>
      </w:r>
      <w:r w:rsidRPr="00CB4F81">
        <w:t xml:space="preserve">hermostatic </w:t>
      </w:r>
      <w:r>
        <w:t>e</w:t>
      </w:r>
      <w:r w:rsidRPr="00CB4F81">
        <w:t>xpansion valves/</w:t>
      </w:r>
      <w:r>
        <w:t>e</w:t>
      </w:r>
      <w:r w:rsidRPr="00CB4F81">
        <w:t>lectronic expansion valves;</w:t>
      </w:r>
    </w:p>
    <w:p w:rsidR="00DC7FB5" w:rsidRPr="00CB4F81" w:rsidRDefault="00DC7FB5" w:rsidP="00DC7FB5">
      <w:pPr>
        <w:pStyle w:val="Heading2"/>
        <w:tabs>
          <w:tab w:val="clear" w:pos="720"/>
          <w:tab w:val="num" w:pos="0"/>
        </w:tabs>
        <w:ind w:left="1440"/>
      </w:pPr>
      <w:r w:rsidRPr="00CB4F81">
        <w:t>Redesign/modification of fan and compressor drives;</w:t>
      </w:r>
      <w:r>
        <w:t xml:space="preserve"> and</w:t>
      </w:r>
    </w:p>
    <w:p w:rsidR="00DC7FB5" w:rsidRPr="00CB4F81" w:rsidRDefault="00DC7FB5" w:rsidP="00DC7FB5">
      <w:pPr>
        <w:pStyle w:val="Heading2"/>
        <w:tabs>
          <w:tab w:val="clear" w:pos="720"/>
          <w:tab w:val="num" w:pos="0"/>
        </w:tabs>
        <w:ind w:left="1440"/>
      </w:pPr>
      <w:r w:rsidRPr="00CB4F81">
        <w:t>Improved controls and design of the equipment.</w:t>
      </w:r>
    </w:p>
    <w:p w:rsidR="00DC7FB5" w:rsidRPr="00B2731E" w:rsidRDefault="00DC7FB5" w:rsidP="00DC7FB5">
      <w:pPr>
        <w:pStyle w:val="Heading1"/>
        <w:rPr>
          <w:lang w:val="en-CA"/>
        </w:rPr>
      </w:pPr>
      <w:r>
        <w:rPr>
          <w:lang w:val="en-CA"/>
        </w:rPr>
        <w:t>The April 2013</w:t>
      </w:r>
      <w:r w:rsidRPr="00B2731E">
        <w:rPr>
          <w:lang w:val="en-CA"/>
        </w:rPr>
        <w:t xml:space="preserve"> report </w:t>
      </w:r>
      <w:r>
        <w:rPr>
          <w:lang w:val="en-CA"/>
        </w:rPr>
        <w:t>on “</w:t>
      </w:r>
      <w:r w:rsidRPr="00B2731E">
        <w:rPr>
          <w:lang w:val="en-CA"/>
        </w:rPr>
        <w:t xml:space="preserve">Cooling the </w:t>
      </w:r>
      <w:r>
        <w:rPr>
          <w:lang w:val="en-CA"/>
        </w:rPr>
        <w:t>p</w:t>
      </w:r>
      <w:r w:rsidRPr="00B2731E">
        <w:rPr>
          <w:lang w:val="en-CA"/>
        </w:rPr>
        <w:t xml:space="preserve">lanet: </w:t>
      </w:r>
      <w:r>
        <w:rPr>
          <w:lang w:val="en-CA"/>
        </w:rPr>
        <w:t>o</w:t>
      </w:r>
      <w:r w:rsidRPr="00B2731E">
        <w:rPr>
          <w:lang w:val="en-CA"/>
        </w:rPr>
        <w:t xml:space="preserve">pportunities for </w:t>
      </w:r>
      <w:r>
        <w:rPr>
          <w:lang w:val="en-CA"/>
        </w:rPr>
        <w:t>d</w:t>
      </w:r>
      <w:r w:rsidRPr="00B2731E">
        <w:rPr>
          <w:lang w:val="en-CA"/>
        </w:rPr>
        <w:t xml:space="preserve">eployment of </w:t>
      </w:r>
      <w:r>
        <w:rPr>
          <w:lang w:val="en-CA"/>
        </w:rPr>
        <w:t>s</w:t>
      </w:r>
      <w:r w:rsidRPr="00B2731E">
        <w:rPr>
          <w:lang w:val="en-CA"/>
        </w:rPr>
        <w:t xml:space="preserve">uperefficient </w:t>
      </w:r>
      <w:r>
        <w:rPr>
          <w:lang w:val="en-CA"/>
        </w:rPr>
        <w:t>r</w:t>
      </w:r>
      <w:r w:rsidRPr="00B2731E">
        <w:rPr>
          <w:lang w:val="en-CA"/>
        </w:rPr>
        <w:t xml:space="preserve">oom </w:t>
      </w:r>
      <w:r>
        <w:rPr>
          <w:lang w:val="en-CA"/>
        </w:rPr>
        <w:t>a</w:t>
      </w:r>
      <w:r w:rsidRPr="00B2731E">
        <w:rPr>
          <w:lang w:val="en-CA"/>
        </w:rPr>
        <w:t>ir</w:t>
      </w:r>
      <w:r>
        <w:rPr>
          <w:lang w:val="en-CA"/>
        </w:rPr>
        <w:t>-c</w:t>
      </w:r>
      <w:r w:rsidRPr="00B2731E">
        <w:rPr>
          <w:lang w:val="en-CA"/>
        </w:rPr>
        <w:t>onditioners</w:t>
      </w:r>
      <w:r>
        <w:rPr>
          <w:lang w:val="en-CA"/>
        </w:rPr>
        <w:t>”</w:t>
      </w:r>
      <w:r>
        <w:rPr>
          <w:rStyle w:val="FootnoteReference"/>
          <w:lang w:val="en-CA"/>
        </w:rPr>
        <w:footnoteReference w:id="82"/>
      </w:r>
      <w:r w:rsidRPr="00B2731E">
        <w:rPr>
          <w:lang w:val="en-CA"/>
        </w:rPr>
        <w:t xml:space="preserve"> </w:t>
      </w:r>
      <w:r>
        <w:rPr>
          <w:lang w:val="en-CA"/>
        </w:rPr>
        <w:t>estimates</w:t>
      </w:r>
      <w:r w:rsidRPr="00B2731E">
        <w:rPr>
          <w:lang w:val="en-CA"/>
        </w:rPr>
        <w:t xml:space="preserve"> </w:t>
      </w:r>
      <w:r>
        <w:rPr>
          <w:lang w:val="en-CA"/>
        </w:rPr>
        <w:t xml:space="preserve">a </w:t>
      </w:r>
      <w:r w:rsidRPr="00B2731E">
        <w:rPr>
          <w:lang w:val="en-CA"/>
        </w:rPr>
        <w:t xml:space="preserve">range of costs for </w:t>
      </w:r>
      <w:r>
        <w:rPr>
          <w:lang w:val="en-CA"/>
        </w:rPr>
        <w:t xml:space="preserve">the </w:t>
      </w:r>
      <w:r w:rsidRPr="00B2731E">
        <w:rPr>
          <w:lang w:val="en-CA"/>
        </w:rPr>
        <w:t xml:space="preserve">improvement of energy efficiency as </w:t>
      </w:r>
      <w:r>
        <w:rPr>
          <w:lang w:val="en-CA"/>
        </w:rPr>
        <w:t xml:space="preserve">shown </w:t>
      </w:r>
      <w:r w:rsidRPr="00B2731E">
        <w:rPr>
          <w:lang w:val="en-CA"/>
        </w:rPr>
        <w:t xml:space="preserve">in </w:t>
      </w:r>
      <w:r>
        <w:rPr>
          <w:lang w:val="en-CA"/>
        </w:rPr>
        <w:t>T</w:t>
      </w:r>
      <w:r w:rsidRPr="00B2731E">
        <w:rPr>
          <w:lang w:val="en-CA"/>
        </w:rPr>
        <w:t>able</w:t>
      </w:r>
      <w:r>
        <w:rPr>
          <w:lang w:val="en-CA"/>
        </w:rPr>
        <w:t> 1</w:t>
      </w:r>
      <w:r w:rsidRPr="00B2731E">
        <w:rPr>
          <w:lang w:val="en-CA"/>
        </w:rPr>
        <w:t xml:space="preserve">, noting that </w:t>
      </w:r>
      <w:r>
        <w:rPr>
          <w:lang w:val="en-CA"/>
        </w:rPr>
        <w:t xml:space="preserve">the </w:t>
      </w:r>
      <w:r w:rsidRPr="00B2731E">
        <w:rPr>
          <w:lang w:val="en-CA"/>
        </w:rPr>
        <w:t>energy savings figures presented are representative of conditions in Europe.</w:t>
      </w:r>
    </w:p>
    <w:p w:rsidR="00DC7FB5" w:rsidRPr="00902FD7" w:rsidRDefault="00DC7FB5" w:rsidP="00DC7FB5">
      <w:pPr>
        <w:widowControl w:val="0"/>
        <w:rPr>
          <w:b/>
          <w:sz w:val="21"/>
          <w:szCs w:val="21"/>
          <w:lang w:val="en-CA"/>
        </w:rPr>
      </w:pPr>
      <w:r w:rsidRPr="00902FD7">
        <w:rPr>
          <w:b/>
          <w:sz w:val="21"/>
          <w:szCs w:val="21"/>
          <w:lang w:val="en-CA"/>
        </w:rPr>
        <w:t>Table 1: Efficiency improvement options and corresponding energy savings</w:t>
      </w:r>
    </w:p>
    <w:tbl>
      <w:tblPr>
        <w:tblW w:w="94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30"/>
        <w:gridCol w:w="4860"/>
        <w:gridCol w:w="1134"/>
        <w:gridCol w:w="992"/>
      </w:tblGrid>
      <w:tr w:rsidR="00DC7FB5" w:rsidRPr="00902FD7" w:rsidTr="007D68E6">
        <w:tc>
          <w:tcPr>
            <w:tcW w:w="2430" w:type="dxa"/>
            <w:vMerge w:val="restart"/>
            <w:vAlign w:val="center"/>
          </w:tcPr>
          <w:p w:rsidR="00DC7FB5" w:rsidRPr="00902FD7" w:rsidRDefault="00DC7FB5" w:rsidP="007D68E6">
            <w:pPr>
              <w:pStyle w:val="TableParagraph"/>
              <w:ind w:left="99"/>
              <w:rPr>
                <w:rFonts w:ascii="Times New Roman" w:eastAsia="Calibri" w:hAnsi="Times New Roman" w:cs="Times New Roman"/>
                <w:sz w:val="21"/>
                <w:szCs w:val="21"/>
              </w:rPr>
            </w:pPr>
            <w:r w:rsidRPr="00902FD7">
              <w:rPr>
                <w:rFonts w:ascii="Times New Roman" w:hAnsi="Times New Roman" w:cs="Times New Roman"/>
                <w:b/>
                <w:spacing w:val="-1"/>
                <w:sz w:val="21"/>
                <w:szCs w:val="21"/>
              </w:rPr>
              <w:t>Option</w:t>
            </w:r>
          </w:p>
        </w:tc>
        <w:tc>
          <w:tcPr>
            <w:tcW w:w="4860" w:type="dxa"/>
            <w:vMerge w:val="restart"/>
            <w:vAlign w:val="center"/>
          </w:tcPr>
          <w:p w:rsidR="00DC7FB5" w:rsidRPr="00902FD7" w:rsidRDefault="00DC7FB5" w:rsidP="007D68E6">
            <w:pPr>
              <w:pStyle w:val="TableParagraph"/>
              <w:ind w:left="99"/>
              <w:jc w:val="center"/>
              <w:rPr>
                <w:rFonts w:ascii="Times New Roman" w:eastAsia="Calibri" w:hAnsi="Times New Roman" w:cs="Times New Roman"/>
                <w:sz w:val="21"/>
                <w:szCs w:val="21"/>
              </w:rPr>
            </w:pPr>
            <w:r w:rsidRPr="00902FD7">
              <w:rPr>
                <w:rFonts w:ascii="Times New Roman" w:hAnsi="Times New Roman" w:cs="Times New Roman"/>
                <w:b/>
                <w:spacing w:val="-2"/>
                <w:sz w:val="21"/>
                <w:szCs w:val="21"/>
              </w:rPr>
              <w:t>Description</w:t>
            </w:r>
          </w:p>
        </w:tc>
        <w:tc>
          <w:tcPr>
            <w:tcW w:w="2126" w:type="dxa"/>
            <w:gridSpan w:val="2"/>
          </w:tcPr>
          <w:p w:rsidR="00DC7FB5" w:rsidRPr="00902FD7" w:rsidRDefault="00DC7FB5" w:rsidP="007D68E6">
            <w:pPr>
              <w:pStyle w:val="TableParagraph"/>
              <w:ind w:left="99" w:right="198"/>
              <w:jc w:val="center"/>
              <w:rPr>
                <w:rFonts w:ascii="Times New Roman" w:eastAsia="Calibri" w:hAnsi="Times New Roman" w:cs="Times New Roman"/>
                <w:sz w:val="21"/>
                <w:szCs w:val="21"/>
              </w:rPr>
            </w:pPr>
            <w:r w:rsidRPr="00902FD7">
              <w:rPr>
                <w:rFonts w:ascii="Times New Roman" w:hAnsi="Times New Roman" w:cs="Times New Roman"/>
                <w:b/>
                <w:spacing w:val="-1"/>
                <w:sz w:val="21"/>
                <w:szCs w:val="21"/>
              </w:rPr>
              <w:t>Improvement</w:t>
            </w:r>
            <w:r w:rsidRPr="00902FD7">
              <w:rPr>
                <w:rFonts w:ascii="Times New Roman" w:hAnsi="Times New Roman" w:cs="Times New Roman"/>
                <w:b/>
                <w:spacing w:val="22"/>
                <w:sz w:val="21"/>
                <w:szCs w:val="21"/>
              </w:rPr>
              <w:t xml:space="preserve"> </w:t>
            </w:r>
            <w:r w:rsidRPr="00902FD7">
              <w:rPr>
                <w:rFonts w:ascii="Times New Roman" w:hAnsi="Times New Roman" w:cs="Times New Roman"/>
                <w:b/>
                <w:spacing w:val="-1"/>
                <w:sz w:val="21"/>
                <w:szCs w:val="21"/>
              </w:rPr>
              <w:t>from</w:t>
            </w:r>
            <w:r w:rsidRPr="00902FD7">
              <w:rPr>
                <w:rFonts w:ascii="Times New Roman" w:hAnsi="Times New Roman" w:cs="Times New Roman"/>
                <w:b/>
                <w:spacing w:val="-4"/>
                <w:sz w:val="21"/>
                <w:szCs w:val="21"/>
              </w:rPr>
              <w:t xml:space="preserve"> </w:t>
            </w:r>
            <w:r w:rsidRPr="00902FD7">
              <w:rPr>
                <w:rFonts w:ascii="Times New Roman" w:hAnsi="Times New Roman" w:cs="Times New Roman"/>
                <w:b/>
                <w:sz w:val="21"/>
                <w:szCs w:val="21"/>
              </w:rPr>
              <w:t>base</w:t>
            </w:r>
            <w:r w:rsidRPr="00902FD7">
              <w:rPr>
                <w:rFonts w:ascii="Times New Roman" w:hAnsi="Times New Roman" w:cs="Times New Roman"/>
                <w:b/>
                <w:spacing w:val="-3"/>
                <w:sz w:val="21"/>
                <w:szCs w:val="21"/>
              </w:rPr>
              <w:t xml:space="preserve"> </w:t>
            </w:r>
            <w:r w:rsidRPr="00902FD7">
              <w:rPr>
                <w:rFonts w:ascii="Times New Roman" w:hAnsi="Times New Roman" w:cs="Times New Roman"/>
                <w:b/>
                <w:spacing w:val="-1"/>
                <w:sz w:val="21"/>
                <w:szCs w:val="21"/>
              </w:rPr>
              <w:t>case</w:t>
            </w:r>
          </w:p>
        </w:tc>
      </w:tr>
      <w:tr w:rsidR="00DC7FB5" w:rsidRPr="00902FD7" w:rsidTr="007D68E6">
        <w:tc>
          <w:tcPr>
            <w:tcW w:w="2430" w:type="dxa"/>
            <w:vMerge/>
          </w:tcPr>
          <w:p w:rsidR="00DC7FB5" w:rsidRPr="00902FD7" w:rsidRDefault="00DC7FB5" w:rsidP="007D68E6">
            <w:pPr>
              <w:widowControl w:val="0"/>
              <w:jc w:val="left"/>
              <w:rPr>
                <w:sz w:val="21"/>
                <w:szCs w:val="21"/>
              </w:rPr>
            </w:pPr>
          </w:p>
        </w:tc>
        <w:tc>
          <w:tcPr>
            <w:tcW w:w="4860" w:type="dxa"/>
            <w:vMerge/>
          </w:tcPr>
          <w:p w:rsidR="00DC7FB5" w:rsidRPr="00902FD7" w:rsidRDefault="00DC7FB5" w:rsidP="007D68E6">
            <w:pPr>
              <w:widowControl w:val="0"/>
              <w:jc w:val="left"/>
              <w:rPr>
                <w:sz w:val="21"/>
                <w:szCs w:val="21"/>
              </w:rPr>
            </w:pPr>
          </w:p>
        </w:tc>
        <w:tc>
          <w:tcPr>
            <w:tcW w:w="1134" w:type="dxa"/>
            <w:vAlign w:val="center"/>
          </w:tcPr>
          <w:p w:rsidR="00DC7FB5" w:rsidRPr="00902FD7" w:rsidRDefault="00DC7FB5" w:rsidP="007D68E6">
            <w:pPr>
              <w:pStyle w:val="TableParagraph"/>
              <w:ind w:left="99"/>
              <w:jc w:val="center"/>
              <w:rPr>
                <w:rFonts w:ascii="Times New Roman" w:eastAsia="Calibri" w:hAnsi="Times New Roman" w:cs="Times New Roman"/>
                <w:sz w:val="21"/>
                <w:szCs w:val="21"/>
              </w:rPr>
            </w:pPr>
            <w:r w:rsidRPr="00902FD7">
              <w:rPr>
                <w:rFonts w:ascii="Times New Roman" w:hAnsi="Times New Roman" w:cs="Times New Roman"/>
                <w:b/>
                <w:spacing w:val="-1"/>
                <w:sz w:val="21"/>
                <w:szCs w:val="21"/>
              </w:rPr>
              <w:t>Min</w:t>
            </w:r>
            <w:r>
              <w:rPr>
                <w:rFonts w:ascii="Times New Roman" w:hAnsi="Times New Roman" w:cs="Times New Roman"/>
                <w:b/>
                <w:spacing w:val="-1"/>
                <w:sz w:val="21"/>
                <w:szCs w:val="21"/>
              </w:rPr>
              <w:t xml:space="preserve"> (</w:t>
            </w:r>
            <w:r w:rsidRPr="00902FD7">
              <w:rPr>
                <w:rFonts w:ascii="Times New Roman" w:hAnsi="Times New Roman" w:cs="Times New Roman"/>
                <w:spacing w:val="-1"/>
                <w:sz w:val="21"/>
                <w:szCs w:val="21"/>
              </w:rPr>
              <w:t>%</w:t>
            </w:r>
            <w:r>
              <w:rPr>
                <w:rFonts w:ascii="Times New Roman" w:hAnsi="Times New Roman" w:cs="Times New Roman"/>
                <w:spacing w:val="-1"/>
                <w:sz w:val="21"/>
                <w:szCs w:val="21"/>
              </w:rPr>
              <w:t>)</w:t>
            </w:r>
          </w:p>
        </w:tc>
        <w:tc>
          <w:tcPr>
            <w:tcW w:w="992" w:type="dxa"/>
            <w:vAlign w:val="center"/>
          </w:tcPr>
          <w:p w:rsidR="00DC7FB5" w:rsidRPr="00902FD7" w:rsidRDefault="00DC7FB5" w:rsidP="007D68E6">
            <w:pPr>
              <w:pStyle w:val="TableParagraph"/>
              <w:ind w:left="104"/>
              <w:jc w:val="center"/>
              <w:rPr>
                <w:rFonts w:ascii="Times New Roman" w:eastAsia="Calibri" w:hAnsi="Times New Roman" w:cs="Times New Roman"/>
                <w:sz w:val="21"/>
                <w:szCs w:val="21"/>
              </w:rPr>
            </w:pPr>
            <w:r w:rsidRPr="00902FD7">
              <w:rPr>
                <w:rFonts w:ascii="Times New Roman" w:hAnsi="Times New Roman" w:cs="Times New Roman"/>
                <w:b/>
                <w:sz w:val="21"/>
                <w:szCs w:val="21"/>
              </w:rPr>
              <w:t>Max</w:t>
            </w:r>
            <w:r>
              <w:rPr>
                <w:rFonts w:ascii="Times New Roman" w:hAnsi="Times New Roman" w:cs="Times New Roman"/>
                <w:b/>
                <w:sz w:val="21"/>
                <w:szCs w:val="21"/>
              </w:rPr>
              <w:t xml:space="preserve"> (</w:t>
            </w:r>
            <w:r w:rsidRPr="00902FD7">
              <w:rPr>
                <w:rFonts w:ascii="Times New Roman" w:hAnsi="Times New Roman" w:cs="Times New Roman"/>
                <w:spacing w:val="-1"/>
                <w:sz w:val="21"/>
                <w:szCs w:val="21"/>
              </w:rPr>
              <w:t>%</w:t>
            </w:r>
            <w:r>
              <w:rPr>
                <w:rFonts w:ascii="Times New Roman" w:hAnsi="Times New Roman" w:cs="Times New Roman"/>
                <w:spacing w:val="-1"/>
                <w:sz w:val="21"/>
                <w:szCs w:val="21"/>
              </w:rPr>
              <w:t>)</w:t>
            </w:r>
          </w:p>
        </w:tc>
      </w:tr>
      <w:tr w:rsidR="00DC7FB5" w:rsidRPr="00902FD7" w:rsidTr="007D68E6">
        <w:tc>
          <w:tcPr>
            <w:tcW w:w="2430" w:type="dxa"/>
          </w:tcPr>
          <w:p w:rsidR="00DC7FB5" w:rsidRPr="00902FD7" w:rsidRDefault="00DC7FB5" w:rsidP="007D68E6">
            <w:pPr>
              <w:pStyle w:val="TableParagraph"/>
              <w:ind w:left="99" w:right="1024"/>
              <w:rPr>
                <w:rFonts w:ascii="Times New Roman" w:eastAsia="Calibri" w:hAnsi="Times New Roman" w:cs="Times New Roman"/>
                <w:sz w:val="21"/>
                <w:szCs w:val="21"/>
              </w:rPr>
            </w:pPr>
            <w:r w:rsidRPr="00902FD7">
              <w:rPr>
                <w:rFonts w:ascii="Times New Roman" w:hAnsi="Times New Roman" w:cs="Times New Roman"/>
                <w:spacing w:val="-1"/>
                <w:sz w:val="21"/>
                <w:szCs w:val="21"/>
              </w:rPr>
              <w:t>Efficient</w:t>
            </w:r>
            <w:r w:rsidRPr="00902FD7">
              <w:rPr>
                <w:rFonts w:ascii="Times New Roman" w:hAnsi="Times New Roman" w:cs="Times New Roman"/>
                <w:spacing w:val="-5"/>
                <w:sz w:val="21"/>
                <w:szCs w:val="21"/>
              </w:rPr>
              <w:t xml:space="preserve"> h</w:t>
            </w:r>
            <w:r w:rsidRPr="00902FD7">
              <w:rPr>
                <w:rFonts w:ascii="Times New Roman" w:hAnsi="Times New Roman" w:cs="Times New Roman"/>
                <w:sz w:val="21"/>
                <w:szCs w:val="21"/>
              </w:rPr>
              <w:t>eat</w:t>
            </w:r>
            <w:r w:rsidRPr="00902FD7">
              <w:rPr>
                <w:rFonts w:ascii="Times New Roman" w:hAnsi="Times New Roman" w:cs="Times New Roman"/>
                <w:spacing w:val="24"/>
                <w:sz w:val="21"/>
                <w:szCs w:val="21"/>
              </w:rPr>
              <w:t xml:space="preserve"> e</w:t>
            </w:r>
            <w:r w:rsidRPr="00902FD7">
              <w:rPr>
                <w:rFonts w:ascii="Times New Roman" w:hAnsi="Times New Roman" w:cs="Times New Roman"/>
                <w:spacing w:val="-1"/>
                <w:sz w:val="21"/>
                <w:szCs w:val="21"/>
              </w:rPr>
              <w:t>xchanger</w:t>
            </w:r>
          </w:p>
        </w:tc>
        <w:tc>
          <w:tcPr>
            <w:tcW w:w="4860" w:type="dxa"/>
          </w:tcPr>
          <w:p w:rsidR="00DC7FB5" w:rsidRPr="00902FD7" w:rsidRDefault="00DC7FB5" w:rsidP="007D68E6">
            <w:pPr>
              <w:pStyle w:val="TableParagraph"/>
              <w:ind w:left="99" w:right="142"/>
              <w:rPr>
                <w:rFonts w:ascii="Times New Roman" w:eastAsia="Calibri" w:hAnsi="Times New Roman" w:cs="Times New Roman"/>
                <w:sz w:val="21"/>
                <w:szCs w:val="21"/>
              </w:rPr>
            </w:pPr>
            <w:r w:rsidRPr="00902FD7">
              <w:rPr>
                <w:rFonts w:ascii="Times New Roman" w:hAnsi="Times New Roman" w:cs="Times New Roman"/>
                <w:sz w:val="21"/>
                <w:szCs w:val="21"/>
              </w:rPr>
              <w:t>High</w:t>
            </w:r>
            <w:r w:rsidRPr="00902FD7">
              <w:rPr>
                <w:rFonts w:ascii="Times New Roman" w:hAnsi="Times New Roman" w:cs="Times New Roman"/>
                <w:spacing w:val="-2"/>
                <w:sz w:val="21"/>
                <w:szCs w:val="21"/>
              </w:rPr>
              <w:t xml:space="preserve"> </w:t>
            </w:r>
            <w:r w:rsidRPr="00902FD7">
              <w:rPr>
                <w:rFonts w:ascii="Times New Roman" w:hAnsi="Times New Roman" w:cs="Times New Roman"/>
                <w:spacing w:val="-1"/>
                <w:sz w:val="21"/>
                <w:szCs w:val="21"/>
              </w:rPr>
              <w:t>efficiency</w:t>
            </w:r>
            <w:r w:rsidRPr="00902FD7">
              <w:rPr>
                <w:rFonts w:ascii="Times New Roman" w:hAnsi="Times New Roman" w:cs="Times New Roman"/>
                <w:spacing w:val="-2"/>
                <w:sz w:val="21"/>
                <w:szCs w:val="21"/>
              </w:rPr>
              <w:t xml:space="preserve"> microchannel</w:t>
            </w:r>
            <w:r w:rsidRPr="00902FD7">
              <w:rPr>
                <w:rFonts w:ascii="Times New Roman" w:hAnsi="Times New Roman" w:cs="Times New Roman"/>
                <w:sz w:val="21"/>
                <w:szCs w:val="21"/>
              </w:rPr>
              <w:t xml:space="preserve"> </w:t>
            </w:r>
            <w:r w:rsidRPr="00902FD7">
              <w:rPr>
                <w:rFonts w:ascii="Times New Roman" w:hAnsi="Times New Roman" w:cs="Times New Roman"/>
                <w:spacing w:val="-1"/>
                <w:sz w:val="21"/>
                <w:szCs w:val="21"/>
              </w:rPr>
              <w:t>heat</w:t>
            </w:r>
            <w:r w:rsidRPr="00902FD7">
              <w:rPr>
                <w:rFonts w:ascii="Times New Roman" w:hAnsi="Times New Roman" w:cs="Times New Roman"/>
                <w:spacing w:val="41"/>
                <w:sz w:val="21"/>
                <w:szCs w:val="21"/>
              </w:rPr>
              <w:t xml:space="preserve"> </w:t>
            </w:r>
            <w:r w:rsidRPr="00902FD7">
              <w:rPr>
                <w:rFonts w:ascii="Times New Roman" w:hAnsi="Times New Roman" w:cs="Times New Roman"/>
                <w:spacing w:val="-1"/>
                <w:sz w:val="21"/>
                <w:szCs w:val="21"/>
              </w:rPr>
              <w:t>exchangers,</w:t>
            </w:r>
            <w:r w:rsidRPr="00902FD7">
              <w:rPr>
                <w:rFonts w:ascii="Times New Roman" w:hAnsi="Times New Roman" w:cs="Times New Roman"/>
                <w:spacing w:val="-5"/>
                <w:sz w:val="21"/>
                <w:szCs w:val="21"/>
              </w:rPr>
              <w:t xml:space="preserve"> </w:t>
            </w:r>
            <w:r w:rsidRPr="00902FD7">
              <w:rPr>
                <w:rFonts w:ascii="Times New Roman" w:hAnsi="Times New Roman" w:cs="Times New Roman"/>
                <w:sz w:val="21"/>
                <w:szCs w:val="21"/>
              </w:rPr>
              <w:t>larger</w:t>
            </w:r>
            <w:r w:rsidRPr="00902FD7">
              <w:rPr>
                <w:rFonts w:ascii="Times New Roman" w:hAnsi="Times New Roman" w:cs="Times New Roman"/>
                <w:spacing w:val="-2"/>
                <w:sz w:val="21"/>
                <w:szCs w:val="21"/>
              </w:rPr>
              <w:t xml:space="preserve"> </w:t>
            </w:r>
            <w:r w:rsidRPr="00902FD7">
              <w:rPr>
                <w:rFonts w:ascii="Times New Roman" w:hAnsi="Times New Roman" w:cs="Times New Roman"/>
                <w:spacing w:val="-1"/>
                <w:sz w:val="21"/>
                <w:szCs w:val="21"/>
              </w:rPr>
              <w:t>sized</w:t>
            </w:r>
            <w:r w:rsidRPr="00902FD7">
              <w:rPr>
                <w:rFonts w:ascii="Times New Roman" w:hAnsi="Times New Roman" w:cs="Times New Roman"/>
                <w:spacing w:val="-3"/>
                <w:sz w:val="21"/>
                <w:szCs w:val="21"/>
              </w:rPr>
              <w:t xml:space="preserve"> </w:t>
            </w:r>
            <w:r w:rsidRPr="00902FD7">
              <w:rPr>
                <w:rFonts w:ascii="Times New Roman" w:hAnsi="Times New Roman" w:cs="Times New Roman"/>
                <w:spacing w:val="-1"/>
                <w:sz w:val="21"/>
                <w:szCs w:val="21"/>
              </w:rPr>
              <w:t>heat</w:t>
            </w:r>
            <w:r w:rsidRPr="00902FD7">
              <w:rPr>
                <w:rFonts w:ascii="Times New Roman" w:hAnsi="Times New Roman" w:cs="Times New Roman"/>
                <w:spacing w:val="-4"/>
                <w:sz w:val="21"/>
                <w:szCs w:val="21"/>
              </w:rPr>
              <w:t xml:space="preserve"> </w:t>
            </w:r>
            <w:r w:rsidRPr="00902FD7">
              <w:rPr>
                <w:rFonts w:ascii="Times New Roman" w:hAnsi="Times New Roman" w:cs="Times New Roman"/>
                <w:spacing w:val="-1"/>
                <w:sz w:val="21"/>
                <w:szCs w:val="21"/>
              </w:rPr>
              <w:t>exchangers</w:t>
            </w:r>
          </w:p>
        </w:tc>
        <w:tc>
          <w:tcPr>
            <w:tcW w:w="1134" w:type="dxa"/>
          </w:tcPr>
          <w:p w:rsidR="00DC7FB5" w:rsidRPr="00902FD7" w:rsidRDefault="00DC7FB5" w:rsidP="007D68E6">
            <w:pPr>
              <w:pStyle w:val="TableParagraph"/>
              <w:ind w:left="99" w:right="142"/>
              <w:jc w:val="right"/>
              <w:rPr>
                <w:rFonts w:ascii="Times New Roman" w:eastAsia="Calibri" w:hAnsi="Times New Roman" w:cs="Times New Roman"/>
                <w:sz w:val="21"/>
                <w:szCs w:val="21"/>
              </w:rPr>
            </w:pPr>
            <w:r w:rsidRPr="00902FD7">
              <w:rPr>
                <w:rFonts w:ascii="Times New Roman" w:hAnsi="Times New Roman" w:cs="Times New Roman"/>
                <w:spacing w:val="-1"/>
                <w:sz w:val="21"/>
                <w:szCs w:val="21"/>
              </w:rPr>
              <w:t>9.1</w:t>
            </w:r>
          </w:p>
        </w:tc>
        <w:tc>
          <w:tcPr>
            <w:tcW w:w="992" w:type="dxa"/>
          </w:tcPr>
          <w:p w:rsidR="00DC7FB5" w:rsidRPr="00902FD7" w:rsidRDefault="00DC7FB5" w:rsidP="007D68E6">
            <w:pPr>
              <w:pStyle w:val="TableParagraph"/>
              <w:ind w:left="99" w:right="142"/>
              <w:jc w:val="right"/>
              <w:rPr>
                <w:rFonts w:ascii="Times New Roman" w:hAnsi="Times New Roman" w:cs="Times New Roman"/>
                <w:spacing w:val="-1"/>
                <w:sz w:val="21"/>
                <w:szCs w:val="21"/>
              </w:rPr>
            </w:pPr>
            <w:r w:rsidRPr="00902FD7">
              <w:rPr>
                <w:rFonts w:ascii="Times New Roman" w:hAnsi="Times New Roman" w:cs="Times New Roman"/>
                <w:spacing w:val="-1"/>
                <w:sz w:val="21"/>
                <w:szCs w:val="21"/>
              </w:rPr>
              <w:t>28.6</w:t>
            </w:r>
          </w:p>
        </w:tc>
      </w:tr>
      <w:tr w:rsidR="00DC7FB5" w:rsidRPr="00902FD7" w:rsidTr="007D68E6">
        <w:tc>
          <w:tcPr>
            <w:tcW w:w="2430" w:type="dxa"/>
          </w:tcPr>
          <w:p w:rsidR="00DC7FB5" w:rsidRPr="00902FD7" w:rsidRDefault="00DC7FB5" w:rsidP="007D68E6">
            <w:pPr>
              <w:pStyle w:val="TableParagraph"/>
              <w:ind w:left="99"/>
              <w:rPr>
                <w:rFonts w:ascii="Times New Roman" w:eastAsia="Calibri" w:hAnsi="Times New Roman" w:cs="Times New Roman"/>
                <w:sz w:val="21"/>
                <w:szCs w:val="21"/>
              </w:rPr>
            </w:pPr>
            <w:r w:rsidRPr="00902FD7">
              <w:rPr>
                <w:rFonts w:ascii="Times New Roman" w:hAnsi="Times New Roman" w:cs="Times New Roman"/>
                <w:spacing w:val="-1"/>
                <w:sz w:val="21"/>
                <w:szCs w:val="21"/>
              </w:rPr>
              <w:t>Efficient</w:t>
            </w:r>
            <w:r w:rsidRPr="00902FD7">
              <w:rPr>
                <w:rFonts w:ascii="Times New Roman" w:hAnsi="Times New Roman" w:cs="Times New Roman"/>
                <w:spacing w:val="-5"/>
                <w:sz w:val="21"/>
                <w:szCs w:val="21"/>
              </w:rPr>
              <w:t xml:space="preserve"> c</w:t>
            </w:r>
            <w:r w:rsidRPr="00902FD7">
              <w:rPr>
                <w:rFonts w:ascii="Times New Roman" w:hAnsi="Times New Roman" w:cs="Times New Roman"/>
                <w:spacing w:val="-1"/>
                <w:sz w:val="21"/>
                <w:szCs w:val="21"/>
              </w:rPr>
              <w:t>ompressors</w:t>
            </w:r>
          </w:p>
        </w:tc>
        <w:tc>
          <w:tcPr>
            <w:tcW w:w="4860" w:type="dxa"/>
          </w:tcPr>
          <w:p w:rsidR="00DC7FB5" w:rsidRPr="00902FD7" w:rsidRDefault="00DC7FB5" w:rsidP="007D68E6">
            <w:pPr>
              <w:pStyle w:val="TableParagraph"/>
              <w:ind w:left="99" w:right="142"/>
              <w:rPr>
                <w:rFonts w:ascii="Times New Roman" w:eastAsia="Calibri" w:hAnsi="Times New Roman" w:cs="Times New Roman"/>
                <w:sz w:val="21"/>
                <w:szCs w:val="21"/>
              </w:rPr>
            </w:pPr>
            <w:r w:rsidRPr="00902FD7">
              <w:rPr>
                <w:rFonts w:ascii="Times New Roman" w:hAnsi="Times New Roman" w:cs="Times New Roman"/>
                <w:spacing w:val="-1"/>
                <w:sz w:val="21"/>
                <w:szCs w:val="21"/>
              </w:rPr>
              <w:t>Two-stage</w:t>
            </w:r>
            <w:r w:rsidRPr="00902FD7">
              <w:rPr>
                <w:rFonts w:ascii="Times New Roman" w:hAnsi="Times New Roman" w:cs="Times New Roman"/>
                <w:spacing w:val="-2"/>
                <w:sz w:val="21"/>
                <w:szCs w:val="21"/>
              </w:rPr>
              <w:t xml:space="preserve"> </w:t>
            </w:r>
            <w:r w:rsidRPr="00902FD7">
              <w:rPr>
                <w:rFonts w:ascii="Times New Roman" w:hAnsi="Times New Roman" w:cs="Times New Roman"/>
                <w:spacing w:val="-1"/>
                <w:sz w:val="21"/>
                <w:szCs w:val="21"/>
              </w:rPr>
              <w:t>rotary</w:t>
            </w:r>
            <w:r w:rsidRPr="00902FD7">
              <w:rPr>
                <w:rFonts w:ascii="Times New Roman" w:hAnsi="Times New Roman" w:cs="Times New Roman"/>
                <w:spacing w:val="-2"/>
                <w:sz w:val="21"/>
                <w:szCs w:val="21"/>
              </w:rPr>
              <w:t xml:space="preserve"> </w:t>
            </w:r>
            <w:r w:rsidRPr="00902FD7">
              <w:rPr>
                <w:rFonts w:ascii="Times New Roman" w:hAnsi="Times New Roman" w:cs="Times New Roman"/>
                <w:spacing w:val="-1"/>
                <w:sz w:val="21"/>
                <w:szCs w:val="21"/>
              </w:rPr>
              <w:t>compressors,</w:t>
            </w:r>
            <w:r w:rsidRPr="00902FD7">
              <w:rPr>
                <w:rFonts w:ascii="Times New Roman" w:hAnsi="Times New Roman" w:cs="Times New Roman"/>
                <w:sz w:val="21"/>
                <w:szCs w:val="21"/>
              </w:rPr>
              <w:t xml:space="preserve"> high</w:t>
            </w:r>
            <w:r w:rsidRPr="00902FD7">
              <w:rPr>
                <w:rFonts w:ascii="Times New Roman" w:hAnsi="Times New Roman" w:cs="Times New Roman"/>
                <w:spacing w:val="23"/>
                <w:sz w:val="21"/>
                <w:szCs w:val="21"/>
              </w:rPr>
              <w:t xml:space="preserve"> </w:t>
            </w:r>
            <w:r w:rsidRPr="00902FD7">
              <w:rPr>
                <w:rFonts w:ascii="Times New Roman" w:hAnsi="Times New Roman" w:cs="Times New Roman"/>
                <w:spacing w:val="-1"/>
                <w:sz w:val="21"/>
                <w:szCs w:val="21"/>
              </w:rPr>
              <w:t>efficiency</w:t>
            </w:r>
            <w:r w:rsidRPr="00902FD7">
              <w:rPr>
                <w:rFonts w:ascii="Times New Roman" w:hAnsi="Times New Roman" w:cs="Times New Roman"/>
                <w:spacing w:val="-2"/>
                <w:sz w:val="21"/>
                <w:szCs w:val="21"/>
              </w:rPr>
              <w:t xml:space="preserve"> </w:t>
            </w:r>
            <w:r w:rsidRPr="00902FD7">
              <w:rPr>
                <w:rFonts w:ascii="Times New Roman" w:hAnsi="Times New Roman" w:cs="Times New Roman"/>
                <w:spacing w:val="-1"/>
                <w:sz w:val="21"/>
                <w:szCs w:val="21"/>
              </w:rPr>
              <w:t>scroll</w:t>
            </w:r>
            <w:r w:rsidRPr="00902FD7">
              <w:rPr>
                <w:rFonts w:ascii="Times New Roman" w:hAnsi="Times New Roman" w:cs="Times New Roman"/>
                <w:sz w:val="21"/>
                <w:szCs w:val="21"/>
              </w:rPr>
              <w:t xml:space="preserve"> </w:t>
            </w:r>
            <w:r w:rsidRPr="00902FD7">
              <w:rPr>
                <w:rFonts w:ascii="Times New Roman" w:hAnsi="Times New Roman" w:cs="Times New Roman"/>
                <w:spacing w:val="-1"/>
                <w:sz w:val="21"/>
                <w:szCs w:val="21"/>
              </w:rPr>
              <w:t>compressors</w:t>
            </w:r>
            <w:r w:rsidRPr="00902FD7">
              <w:rPr>
                <w:rFonts w:ascii="Times New Roman" w:hAnsi="Times New Roman" w:cs="Times New Roman"/>
                <w:spacing w:val="-2"/>
                <w:sz w:val="21"/>
                <w:szCs w:val="21"/>
              </w:rPr>
              <w:t xml:space="preserve"> </w:t>
            </w:r>
            <w:r w:rsidRPr="00902FD7">
              <w:rPr>
                <w:rFonts w:ascii="Times New Roman" w:hAnsi="Times New Roman" w:cs="Times New Roman"/>
                <w:sz w:val="21"/>
                <w:szCs w:val="21"/>
              </w:rPr>
              <w:t>with</w:t>
            </w:r>
            <w:r w:rsidRPr="00902FD7">
              <w:rPr>
                <w:rFonts w:ascii="Times New Roman" w:hAnsi="Times New Roman" w:cs="Times New Roman"/>
                <w:spacing w:val="-3"/>
                <w:sz w:val="21"/>
                <w:szCs w:val="21"/>
              </w:rPr>
              <w:t xml:space="preserve"> </w:t>
            </w:r>
            <w:r w:rsidRPr="00902FD7">
              <w:rPr>
                <w:rFonts w:ascii="Times New Roman" w:hAnsi="Times New Roman" w:cs="Times New Roman"/>
                <w:spacing w:val="-1"/>
                <w:sz w:val="21"/>
                <w:szCs w:val="21"/>
              </w:rPr>
              <w:t>DC</w:t>
            </w:r>
            <w:r w:rsidRPr="00902FD7">
              <w:rPr>
                <w:rFonts w:ascii="Times New Roman" w:hAnsi="Times New Roman" w:cs="Times New Roman"/>
                <w:sz w:val="21"/>
                <w:szCs w:val="21"/>
              </w:rPr>
              <w:t xml:space="preserve"> </w:t>
            </w:r>
            <w:r w:rsidRPr="00902FD7">
              <w:rPr>
                <w:rFonts w:ascii="Times New Roman" w:hAnsi="Times New Roman" w:cs="Times New Roman"/>
                <w:spacing w:val="-1"/>
                <w:sz w:val="21"/>
                <w:szCs w:val="21"/>
              </w:rPr>
              <w:t>motors</w:t>
            </w:r>
          </w:p>
        </w:tc>
        <w:tc>
          <w:tcPr>
            <w:tcW w:w="1134" w:type="dxa"/>
          </w:tcPr>
          <w:p w:rsidR="00DC7FB5" w:rsidRPr="00902FD7" w:rsidRDefault="00DC7FB5" w:rsidP="007D68E6">
            <w:pPr>
              <w:pStyle w:val="TableParagraph"/>
              <w:ind w:left="99" w:right="142"/>
              <w:jc w:val="right"/>
              <w:rPr>
                <w:rFonts w:ascii="Times New Roman" w:eastAsia="Calibri" w:hAnsi="Times New Roman" w:cs="Times New Roman"/>
                <w:sz w:val="21"/>
                <w:szCs w:val="21"/>
              </w:rPr>
            </w:pPr>
            <w:r w:rsidRPr="00902FD7">
              <w:rPr>
                <w:rFonts w:ascii="Times New Roman" w:hAnsi="Times New Roman" w:cs="Times New Roman"/>
                <w:spacing w:val="-1"/>
                <w:sz w:val="21"/>
                <w:szCs w:val="21"/>
              </w:rPr>
              <w:t>6.5</w:t>
            </w:r>
          </w:p>
        </w:tc>
        <w:tc>
          <w:tcPr>
            <w:tcW w:w="992" w:type="dxa"/>
          </w:tcPr>
          <w:p w:rsidR="00DC7FB5" w:rsidRPr="00902FD7" w:rsidRDefault="00DC7FB5" w:rsidP="007D68E6">
            <w:pPr>
              <w:pStyle w:val="TableParagraph"/>
              <w:ind w:left="99" w:right="142"/>
              <w:jc w:val="right"/>
              <w:rPr>
                <w:rFonts w:ascii="Times New Roman" w:hAnsi="Times New Roman" w:cs="Times New Roman"/>
                <w:spacing w:val="-1"/>
                <w:sz w:val="21"/>
                <w:szCs w:val="21"/>
              </w:rPr>
            </w:pPr>
            <w:r w:rsidRPr="00902FD7">
              <w:rPr>
                <w:rFonts w:ascii="Times New Roman" w:hAnsi="Times New Roman" w:cs="Times New Roman"/>
                <w:spacing w:val="-1"/>
                <w:sz w:val="21"/>
                <w:szCs w:val="21"/>
              </w:rPr>
              <w:t>18.7</w:t>
            </w:r>
          </w:p>
        </w:tc>
      </w:tr>
      <w:tr w:rsidR="00DC7FB5" w:rsidRPr="00902FD7" w:rsidTr="007D68E6">
        <w:tc>
          <w:tcPr>
            <w:tcW w:w="2430" w:type="dxa"/>
          </w:tcPr>
          <w:p w:rsidR="00DC7FB5" w:rsidRPr="00902FD7" w:rsidRDefault="00DC7FB5" w:rsidP="007D68E6">
            <w:pPr>
              <w:pStyle w:val="TableParagraph"/>
              <w:ind w:left="99" w:right="690"/>
              <w:rPr>
                <w:rFonts w:ascii="Times New Roman" w:eastAsia="Calibri" w:hAnsi="Times New Roman" w:cs="Times New Roman"/>
                <w:sz w:val="21"/>
                <w:szCs w:val="21"/>
              </w:rPr>
            </w:pPr>
            <w:r w:rsidRPr="00902FD7">
              <w:rPr>
                <w:rFonts w:ascii="Times New Roman" w:hAnsi="Times New Roman" w:cs="Times New Roman"/>
                <w:spacing w:val="-1"/>
                <w:sz w:val="21"/>
                <w:szCs w:val="21"/>
              </w:rPr>
              <w:t>Inverter/variable</w:t>
            </w:r>
            <w:r w:rsidRPr="00902FD7">
              <w:rPr>
                <w:rFonts w:ascii="Times New Roman" w:hAnsi="Times New Roman" w:cs="Times New Roman"/>
                <w:spacing w:val="29"/>
                <w:sz w:val="21"/>
                <w:szCs w:val="21"/>
              </w:rPr>
              <w:t xml:space="preserve"> s</w:t>
            </w:r>
            <w:r w:rsidRPr="00902FD7">
              <w:rPr>
                <w:rFonts w:ascii="Times New Roman" w:hAnsi="Times New Roman" w:cs="Times New Roman"/>
                <w:spacing w:val="-1"/>
                <w:sz w:val="21"/>
                <w:szCs w:val="21"/>
              </w:rPr>
              <w:t>peed</w:t>
            </w:r>
          </w:p>
        </w:tc>
        <w:tc>
          <w:tcPr>
            <w:tcW w:w="4860" w:type="dxa"/>
          </w:tcPr>
          <w:p w:rsidR="00DC7FB5" w:rsidRPr="00902FD7" w:rsidRDefault="00DC7FB5" w:rsidP="007D68E6">
            <w:pPr>
              <w:pStyle w:val="TableParagraph"/>
              <w:ind w:left="99" w:right="142"/>
              <w:rPr>
                <w:rFonts w:ascii="Times New Roman" w:eastAsia="Calibri" w:hAnsi="Times New Roman" w:cs="Times New Roman"/>
                <w:sz w:val="21"/>
                <w:szCs w:val="21"/>
              </w:rPr>
            </w:pPr>
            <w:r w:rsidRPr="00902FD7">
              <w:rPr>
                <w:rFonts w:ascii="Times New Roman" w:hAnsi="Times New Roman" w:cs="Times New Roman"/>
                <w:sz w:val="21"/>
                <w:szCs w:val="21"/>
              </w:rPr>
              <w:t>AC,</w:t>
            </w:r>
            <w:r w:rsidRPr="00902FD7">
              <w:rPr>
                <w:rFonts w:ascii="Times New Roman" w:hAnsi="Times New Roman" w:cs="Times New Roman"/>
                <w:spacing w:val="-5"/>
                <w:sz w:val="21"/>
                <w:szCs w:val="21"/>
              </w:rPr>
              <w:t xml:space="preserve"> </w:t>
            </w:r>
            <w:r w:rsidRPr="00902FD7">
              <w:rPr>
                <w:rFonts w:ascii="Times New Roman" w:hAnsi="Times New Roman" w:cs="Times New Roman"/>
                <w:spacing w:val="-1"/>
                <w:sz w:val="21"/>
                <w:szCs w:val="21"/>
              </w:rPr>
              <w:t>AC/DC</w:t>
            </w:r>
            <w:r w:rsidRPr="00902FD7">
              <w:rPr>
                <w:rFonts w:ascii="Times New Roman" w:hAnsi="Times New Roman" w:cs="Times New Roman"/>
                <w:sz w:val="21"/>
                <w:szCs w:val="21"/>
              </w:rPr>
              <w:t xml:space="preserve"> </w:t>
            </w:r>
            <w:r w:rsidRPr="00902FD7">
              <w:rPr>
                <w:rFonts w:ascii="Times New Roman" w:hAnsi="Times New Roman" w:cs="Times New Roman"/>
                <w:spacing w:val="-1"/>
                <w:sz w:val="21"/>
                <w:szCs w:val="21"/>
              </w:rPr>
              <w:t>or</w:t>
            </w:r>
            <w:r w:rsidRPr="00902FD7">
              <w:rPr>
                <w:rFonts w:ascii="Times New Roman" w:hAnsi="Times New Roman" w:cs="Times New Roman"/>
                <w:spacing w:val="-2"/>
                <w:sz w:val="21"/>
                <w:szCs w:val="21"/>
              </w:rPr>
              <w:t xml:space="preserve"> </w:t>
            </w:r>
            <w:r w:rsidRPr="00902FD7">
              <w:rPr>
                <w:rFonts w:ascii="Times New Roman" w:hAnsi="Times New Roman" w:cs="Times New Roman"/>
                <w:spacing w:val="-1"/>
                <w:sz w:val="21"/>
                <w:szCs w:val="21"/>
              </w:rPr>
              <w:t>DC</w:t>
            </w:r>
            <w:r w:rsidRPr="00902FD7">
              <w:rPr>
                <w:rFonts w:ascii="Times New Roman" w:hAnsi="Times New Roman" w:cs="Times New Roman"/>
                <w:sz w:val="21"/>
                <w:szCs w:val="21"/>
              </w:rPr>
              <w:t xml:space="preserve"> </w:t>
            </w:r>
            <w:r w:rsidRPr="00902FD7">
              <w:rPr>
                <w:rFonts w:ascii="Times New Roman" w:hAnsi="Times New Roman" w:cs="Times New Roman"/>
                <w:spacing w:val="-1"/>
                <w:sz w:val="21"/>
                <w:szCs w:val="21"/>
              </w:rPr>
              <w:t>inverter</w:t>
            </w:r>
            <w:r w:rsidRPr="00902FD7">
              <w:rPr>
                <w:rFonts w:ascii="Times New Roman" w:hAnsi="Times New Roman" w:cs="Times New Roman"/>
                <w:spacing w:val="-2"/>
                <w:sz w:val="21"/>
                <w:szCs w:val="21"/>
              </w:rPr>
              <w:t>-</w:t>
            </w:r>
            <w:r w:rsidRPr="00902FD7">
              <w:rPr>
                <w:rFonts w:ascii="Times New Roman" w:hAnsi="Times New Roman" w:cs="Times New Roman"/>
                <w:sz w:val="21"/>
                <w:szCs w:val="21"/>
              </w:rPr>
              <w:t xml:space="preserve">driven compressors </w:t>
            </w:r>
          </w:p>
        </w:tc>
        <w:tc>
          <w:tcPr>
            <w:tcW w:w="1134" w:type="dxa"/>
          </w:tcPr>
          <w:p w:rsidR="00DC7FB5" w:rsidRPr="00902FD7" w:rsidRDefault="00DC7FB5" w:rsidP="007D68E6">
            <w:pPr>
              <w:pStyle w:val="TableParagraph"/>
              <w:ind w:left="99" w:right="142"/>
              <w:jc w:val="right"/>
              <w:rPr>
                <w:rFonts w:ascii="Times New Roman" w:eastAsia="Calibri" w:hAnsi="Times New Roman" w:cs="Times New Roman"/>
                <w:sz w:val="21"/>
                <w:szCs w:val="21"/>
              </w:rPr>
            </w:pPr>
            <w:r w:rsidRPr="00902FD7">
              <w:rPr>
                <w:rFonts w:ascii="Times New Roman" w:hAnsi="Times New Roman" w:cs="Times New Roman"/>
                <w:spacing w:val="-2"/>
                <w:sz w:val="21"/>
                <w:szCs w:val="21"/>
              </w:rPr>
              <w:t>20</w:t>
            </w:r>
          </w:p>
        </w:tc>
        <w:tc>
          <w:tcPr>
            <w:tcW w:w="992" w:type="dxa"/>
          </w:tcPr>
          <w:p w:rsidR="00DC7FB5" w:rsidRPr="00902FD7" w:rsidRDefault="00DC7FB5" w:rsidP="007D68E6">
            <w:pPr>
              <w:pStyle w:val="TableParagraph"/>
              <w:ind w:left="99" w:right="142"/>
              <w:jc w:val="right"/>
              <w:rPr>
                <w:rFonts w:ascii="Times New Roman" w:hAnsi="Times New Roman" w:cs="Times New Roman"/>
                <w:spacing w:val="-1"/>
                <w:sz w:val="21"/>
                <w:szCs w:val="21"/>
              </w:rPr>
            </w:pPr>
            <w:r w:rsidRPr="00902FD7">
              <w:rPr>
                <w:rFonts w:ascii="Times New Roman" w:hAnsi="Times New Roman" w:cs="Times New Roman"/>
                <w:spacing w:val="-1"/>
                <w:sz w:val="21"/>
                <w:szCs w:val="21"/>
              </w:rPr>
              <w:t>24.8</w:t>
            </w:r>
          </w:p>
        </w:tc>
      </w:tr>
      <w:tr w:rsidR="00DC7FB5" w:rsidRPr="00902FD7" w:rsidTr="007D68E6">
        <w:tc>
          <w:tcPr>
            <w:tcW w:w="2430" w:type="dxa"/>
          </w:tcPr>
          <w:p w:rsidR="00DC7FB5" w:rsidRPr="00902FD7" w:rsidRDefault="00DC7FB5" w:rsidP="007D68E6">
            <w:pPr>
              <w:pStyle w:val="TableParagraph"/>
              <w:ind w:left="99"/>
              <w:rPr>
                <w:rFonts w:ascii="Times New Roman" w:eastAsia="Calibri" w:hAnsi="Times New Roman" w:cs="Times New Roman"/>
                <w:sz w:val="21"/>
                <w:szCs w:val="21"/>
              </w:rPr>
            </w:pPr>
            <w:r w:rsidRPr="00902FD7">
              <w:rPr>
                <w:rFonts w:ascii="Times New Roman" w:hAnsi="Times New Roman" w:cs="Times New Roman"/>
                <w:spacing w:val="-2"/>
                <w:sz w:val="21"/>
                <w:szCs w:val="21"/>
              </w:rPr>
              <w:t>Expansion</w:t>
            </w:r>
            <w:r w:rsidRPr="00902FD7">
              <w:rPr>
                <w:rFonts w:ascii="Times New Roman" w:hAnsi="Times New Roman" w:cs="Times New Roman"/>
                <w:spacing w:val="-3"/>
                <w:sz w:val="21"/>
                <w:szCs w:val="21"/>
              </w:rPr>
              <w:t xml:space="preserve"> v</w:t>
            </w:r>
            <w:r w:rsidRPr="00902FD7">
              <w:rPr>
                <w:rFonts w:ascii="Times New Roman" w:hAnsi="Times New Roman" w:cs="Times New Roman"/>
                <w:spacing w:val="-1"/>
                <w:sz w:val="21"/>
                <w:szCs w:val="21"/>
              </w:rPr>
              <w:t>alve</w:t>
            </w:r>
          </w:p>
        </w:tc>
        <w:tc>
          <w:tcPr>
            <w:tcW w:w="4860" w:type="dxa"/>
          </w:tcPr>
          <w:p w:rsidR="00DC7FB5" w:rsidRPr="00902FD7" w:rsidRDefault="00DC7FB5" w:rsidP="007D68E6">
            <w:pPr>
              <w:pStyle w:val="TableParagraph"/>
              <w:ind w:left="99" w:right="142"/>
              <w:rPr>
                <w:rFonts w:ascii="Times New Roman" w:eastAsia="Calibri" w:hAnsi="Times New Roman" w:cs="Times New Roman"/>
                <w:sz w:val="21"/>
                <w:szCs w:val="21"/>
              </w:rPr>
            </w:pPr>
            <w:r w:rsidRPr="00902FD7">
              <w:rPr>
                <w:rFonts w:ascii="Times New Roman" w:hAnsi="Times New Roman" w:cs="Times New Roman"/>
                <w:spacing w:val="-1"/>
                <w:sz w:val="21"/>
                <w:szCs w:val="21"/>
              </w:rPr>
              <w:t>Thermostatic</w:t>
            </w:r>
            <w:r w:rsidRPr="00902FD7">
              <w:rPr>
                <w:rFonts w:ascii="Times New Roman" w:hAnsi="Times New Roman" w:cs="Times New Roman"/>
                <w:spacing w:val="-4"/>
                <w:sz w:val="21"/>
                <w:szCs w:val="21"/>
              </w:rPr>
              <w:t xml:space="preserve"> </w:t>
            </w:r>
            <w:r w:rsidRPr="00902FD7">
              <w:rPr>
                <w:rFonts w:ascii="Times New Roman" w:hAnsi="Times New Roman" w:cs="Times New Roman"/>
                <w:spacing w:val="-1"/>
                <w:sz w:val="21"/>
                <w:szCs w:val="21"/>
              </w:rPr>
              <w:t>and</w:t>
            </w:r>
            <w:r w:rsidRPr="00902FD7">
              <w:rPr>
                <w:rFonts w:ascii="Times New Roman" w:hAnsi="Times New Roman" w:cs="Times New Roman"/>
                <w:spacing w:val="-3"/>
                <w:sz w:val="21"/>
                <w:szCs w:val="21"/>
              </w:rPr>
              <w:t xml:space="preserve"> </w:t>
            </w:r>
            <w:r w:rsidRPr="00902FD7">
              <w:rPr>
                <w:rFonts w:ascii="Times New Roman" w:hAnsi="Times New Roman" w:cs="Times New Roman"/>
                <w:spacing w:val="-1"/>
                <w:sz w:val="21"/>
                <w:szCs w:val="21"/>
              </w:rPr>
              <w:t>electronic</w:t>
            </w:r>
            <w:r w:rsidRPr="00902FD7">
              <w:rPr>
                <w:rFonts w:ascii="Times New Roman" w:hAnsi="Times New Roman" w:cs="Times New Roman"/>
                <w:spacing w:val="3"/>
                <w:sz w:val="21"/>
                <w:szCs w:val="21"/>
              </w:rPr>
              <w:t xml:space="preserve"> </w:t>
            </w:r>
            <w:r w:rsidRPr="00902FD7">
              <w:rPr>
                <w:rFonts w:ascii="Times New Roman" w:hAnsi="Times New Roman" w:cs="Times New Roman"/>
                <w:spacing w:val="-1"/>
                <w:sz w:val="21"/>
                <w:szCs w:val="21"/>
              </w:rPr>
              <w:t>expansion</w:t>
            </w:r>
            <w:r w:rsidRPr="00902FD7">
              <w:rPr>
                <w:rFonts w:ascii="Times New Roman" w:hAnsi="Times New Roman" w:cs="Times New Roman"/>
                <w:spacing w:val="31"/>
                <w:sz w:val="21"/>
                <w:szCs w:val="21"/>
              </w:rPr>
              <w:t xml:space="preserve"> </w:t>
            </w:r>
            <w:r w:rsidRPr="00902FD7">
              <w:rPr>
                <w:rFonts w:ascii="Times New Roman" w:hAnsi="Times New Roman" w:cs="Times New Roman"/>
                <w:sz w:val="21"/>
                <w:szCs w:val="21"/>
              </w:rPr>
              <w:t>valves</w:t>
            </w:r>
          </w:p>
        </w:tc>
        <w:tc>
          <w:tcPr>
            <w:tcW w:w="1134" w:type="dxa"/>
          </w:tcPr>
          <w:p w:rsidR="00DC7FB5" w:rsidRPr="00902FD7" w:rsidRDefault="00DC7FB5" w:rsidP="007D68E6">
            <w:pPr>
              <w:pStyle w:val="TableParagraph"/>
              <w:ind w:left="99" w:right="142"/>
              <w:jc w:val="right"/>
              <w:rPr>
                <w:rFonts w:ascii="Times New Roman" w:eastAsia="Calibri" w:hAnsi="Times New Roman" w:cs="Times New Roman"/>
                <w:sz w:val="21"/>
                <w:szCs w:val="21"/>
              </w:rPr>
            </w:pPr>
            <w:r w:rsidRPr="00902FD7">
              <w:rPr>
                <w:rFonts w:ascii="Times New Roman" w:hAnsi="Times New Roman" w:cs="Times New Roman"/>
                <w:spacing w:val="-2"/>
                <w:sz w:val="21"/>
                <w:szCs w:val="21"/>
              </w:rPr>
              <w:t>5</w:t>
            </w:r>
          </w:p>
        </w:tc>
        <w:tc>
          <w:tcPr>
            <w:tcW w:w="992" w:type="dxa"/>
          </w:tcPr>
          <w:p w:rsidR="00DC7FB5" w:rsidRPr="00902FD7" w:rsidRDefault="00DC7FB5" w:rsidP="007D68E6">
            <w:pPr>
              <w:pStyle w:val="TableParagraph"/>
              <w:ind w:left="99" w:right="142"/>
              <w:jc w:val="right"/>
              <w:rPr>
                <w:rFonts w:ascii="Times New Roman" w:hAnsi="Times New Roman" w:cs="Times New Roman"/>
                <w:spacing w:val="-1"/>
                <w:sz w:val="21"/>
                <w:szCs w:val="21"/>
              </w:rPr>
            </w:pPr>
            <w:r w:rsidRPr="00902FD7">
              <w:rPr>
                <w:rFonts w:ascii="Times New Roman" w:hAnsi="Times New Roman" w:cs="Times New Roman"/>
                <w:spacing w:val="-1"/>
                <w:sz w:val="21"/>
                <w:szCs w:val="21"/>
              </w:rPr>
              <w:t>8.8</w:t>
            </w:r>
          </w:p>
        </w:tc>
      </w:tr>
      <w:tr w:rsidR="00DC7FB5" w:rsidRPr="00902FD7" w:rsidTr="007D68E6">
        <w:tc>
          <w:tcPr>
            <w:tcW w:w="2430" w:type="dxa"/>
          </w:tcPr>
          <w:p w:rsidR="00DC7FB5" w:rsidRPr="00902FD7" w:rsidRDefault="00DC7FB5" w:rsidP="007D68E6">
            <w:pPr>
              <w:pStyle w:val="TableParagraph"/>
              <w:ind w:left="99"/>
              <w:rPr>
                <w:rFonts w:ascii="Times New Roman" w:eastAsia="Calibri" w:hAnsi="Times New Roman" w:cs="Times New Roman"/>
                <w:sz w:val="21"/>
                <w:szCs w:val="21"/>
              </w:rPr>
            </w:pPr>
            <w:r w:rsidRPr="00902FD7">
              <w:rPr>
                <w:rFonts w:ascii="Times New Roman" w:hAnsi="Times New Roman" w:cs="Times New Roman"/>
                <w:spacing w:val="-1"/>
                <w:sz w:val="21"/>
                <w:szCs w:val="21"/>
              </w:rPr>
              <w:t>Crankcase</w:t>
            </w:r>
            <w:r w:rsidRPr="00902FD7">
              <w:rPr>
                <w:rFonts w:ascii="Times New Roman" w:hAnsi="Times New Roman" w:cs="Times New Roman"/>
                <w:spacing w:val="-2"/>
                <w:sz w:val="21"/>
                <w:szCs w:val="21"/>
              </w:rPr>
              <w:t xml:space="preserve"> h</w:t>
            </w:r>
            <w:r w:rsidRPr="00902FD7">
              <w:rPr>
                <w:rFonts w:ascii="Times New Roman" w:hAnsi="Times New Roman" w:cs="Times New Roman"/>
                <w:spacing w:val="-1"/>
                <w:sz w:val="21"/>
                <w:szCs w:val="21"/>
              </w:rPr>
              <w:t>eating</w:t>
            </w:r>
          </w:p>
        </w:tc>
        <w:tc>
          <w:tcPr>
            <w:tcW w:w="4860" w:type="dxa"/>
          </w:tcPr>
          <w:p w:rsidR="00DC7FB5" w:rsidRPr="00902FD7" w:rsidRDefault="00DC7FB5" w:rsidP="007D68E6">
            <w:pPr>
              <w:pStyle w:val="TableParagraph"/>
              <w:ind w:left="99" w:right="142"/>
              <w:rPr>
                <w:rFonts w:ascii="Times New Roman" w:eastAsia="Calibri" w:hAnsi="Times New Roman" w:cs="Times New Roman"/>
                <w:sz w:val="21"/>
                <w:szCs w:val="21"/>
              </w:rPr>
            </w:pPr>
            <w:r w:rsidRPr="00902FD7">
              <w:rPr>
                <w:rFonts w:ascii="Times New Roman" w:hAnsi="Times New Roman" w:cs="Times New Roman"/>
                <w:spacing w:val="-1"/>
                <w:sz w:val="21"/>
                <w:szCs w:val="21"/>
              </w:rPr>
              <w:t>Reduced</w:t>
            </w:r>
            <w:r w:rsidRPr="00902FD7">
              <w:rPr>
                <w:rFonts w:ascii="Times New Roman" w:hAnsi="Times New Roman" w:cs="Times New Roman"/>
                <w:spacing w:val="-3"/>
                <w:sz w:val="21"/>
                <w:szCs w:val="21"/>
              </w:rPr>
              <w:t xml:space="preserve"> </w:t>
            </w:r>
            <w:r w:rsidRPr="00902FD7">
              <w:rPr>
                <w:rFonts w:ascii="Times New Roman" w:hAnsi="Times New Roman" w:cs="Times New Roman"/>
                <w:spacing w:val="-1"/>
                <w:sz w:val="21"/>
                <w:szCs w:val="21"/>
              </w:rPr>
              <w:t>crankcase</w:t>
            </w:r>
            <w:r w:rsidRPr="00902FD7">
              <w:rPr>
                <w:rFonts w:ascii="Times New Roman" w:hAnsi="Times New Roman" w:cs="Times New Roman"/>
                <w:spacing w:val="-2"/>
                <w:sz w:val="21"/>
                <w:szCs w:val="21"/>
              </w:rPr>
              <w:t xml:space="preserve"> </w:t>
            </w:r>
            <w:r w:rsidRPr="00902FD7">
              <w:rPr>
                <w:rFonts w:ascii="Times New Roman" w:hAnsi="Times New Roman" w:cs="Times New Roman"/>
                <w:spacing w:val="-1"/>
                <w:sz w:val="21"/>
                <w:szCs w:val="21"/>
              </w:rPr>
              <w:t>heating power</w:t>
            </w:r>
            <w:r w:rsidRPr="00902FD7">
              <w:rPr>
                <w:rFonts w:ascii="Times New Roman" w:hAnsi="Times New Roman" w:cs="Times New Roman"/>
                <w:spacing w:val="-2"/>
                <w:sz w:val="21"/>
                <w:szCs w:val="21"/>
              </w:rPr>
              <w:t xml:space="preserve"> </w:t>
            </w:r>
            <w:r w:rsidRPr="00902FD7">
              <w:rPr>
                <w:rFonts w:ascii="Times New Roman" w:hAnsi="Times New Roman" w:cs="Times New Roman"/>
                <w:spacing w:val="-1"/>
                <w:sz w:val="21"/>
                <w:szCs w:val="21"/>
              </w:rPr>
              <w:t>and</w:t>
            </w:r>
            <w:r w:rsidRPr="00902FD7">
              <w:rPr>
                <w:rFonts w:ascii="Times New Roman" w:hAnsi="Times New Roman" w:cs="Times New Roman"/>
                <w:spacing w:val="27"/>
                <w:sz w:val="21"/>
                <w:szCs w:val="21"/>
              </w:rPr>
              <w:t xml:space="preserve"> </w:t>
            </w:r>
            <w:r w:rsidRPr="00902FD7">
              <w:rPr>
                <w:rFonts w:ascii="Times New Roman" w:hAnsi="Times New Roman" w:cs="Times New Roman"/>
                <w:spacing w:val="-1"/>
                <w:sz w:val="21"/>
                <w:szCs w:val="21"/>
              </w:rPr>
              <w:t>duration</w:t>
            </w:r>
          </w:p>
        </w:tc>
        <w:tc>
          <w:tcPr>
            <w:tcW w:w="1134" w:type="dxa"/>
          </w:tcPr>
          <w:p w:rsidR="00DC7FB5" w:rsidRPr="00902FD7" w:rsidRDefault="00DC7FB5" w:rsidP="007D68E6">
            <w:pPr>
              <w:pStyle w:val="TableParagraph"/>
              <w:ind w:left="99" w:right="142"/>
              <w:jc w:val="right"/>
              <w:rPr>
                <w:rFonts w:ascii="Times New Roman" w:eastAsia="Calibri" w:hAnsi="Times New Roman" w:cs="Times New Roman"/>
                <w:sz w:val="21"/>
                <w:szCs w:val="21"/>
              </w:rPr>
            </w:pPr>
            <w:r w:rsidRPr="00902FD7">
              <w:rPr>
                <w:rFonts w:ascii="Times New Roman" w:hAnsi="Times New Roman" w:cs="Times New Roman"/>
                <w:spacing w:val="-1"/>
                <w:sz w:val="21"/>
                <w:szCs w:val="21"/>
              </w:rPr>
              <w:t>9.8</w:t>
            </w:r>
          </w:p>
        </w:tc>
        <w:tc>
          <w:tcPr>
            <w:tcW w:w="992" w:type="dxa"/>
          </w:tcPr>
          <w:p w:rsidR="00DC7FB5" w:rsidRPr="00902FD7" w:rsidRDefault="00DC7FB5" w:rsidP="007D68E6">
            <w:pPr>
              <w:pStyle w:val="TableParagraph"/>
              <w:ind w:left="99" w:right="142"/>
              <w:jc w:val="right"/>
              <w:rPr>
                <w:rFonts w:ascii="Times New Roman" w:hAnsi="Times New Roman" w:cs="Times New Roman"/>
                <w:spacing w:val="-1"/>
                <w:sz w:val="21"/>
                <w:szCs w:val="21"/>
              </w:rPr>
            </w:pPr>
            <w:r w:rsidRPr="00902FD7">
              <w:rPr>
                <w:rFonts w:ascii="Times New Roman" w:hAnsi="Times New Roman" w:cs="Times New Roman"/>
                <w:spacing w:val="-1"/>
                <w:sz w:val="21"/>
                <w:szCs w:val="21"/>
              </w:rPr>
              <w:t>10.7</w:t>
            </w:r>
          </w:p>
        </w:tc>
      </w:tr>
      <w:tr w:rsidR="00DC7FB5" w:rsidRPr="00902FD7" w:rsidTr="007D68E6">
        <w:tc>
          <w:tcPr>
            <w:tcW w:w="2430" w:type="dxa"/>
          </w:tcPr>
          <w:p w:rsidR="00DC7FB5" w:rsidRPr="00902FD7" w:rsidRDefault="00DC7FB5" w:rsidP="007D68E6">
            <w:pPr>
              <w:pStyle w:val="TableParagraph"/>
              <w:ind w:left="99"/>
              <w:rPr>
                <w:rFonts w:ascii="Times New Roman" w:eastAsia="Calibri" w:hAnsi="Times New Roman" w:cs="Times New Roman"/>
                <w:sz w:val="21"/>
                <w:szCs w:val="21"/>
              </w:rPr>
            </w:pPr>
            <w:r w:rsidRPr="00902FD7">
              <w:rPr>
                <w:rFonts w:ascii="Times New Roman" w:hAnsi="Times New Roman" w:cs="Times New Roman"/>
                <w:spacing w:val="-1"/>
                <w:sz w:val="21"/>
                <w:szCs w:val="21"/>
              </w:rPr>
              <w:t>Standby</w:t>
            </w:r>
            <w:r w:rsidRPr="00902FD7">
              <w:rPr>
                <w:rFonts w:ascii="Times New Roman" w:hAnsi="Times New Roman" w:cs="Times New Roman"/>
                <w:spacing w:val="-2"/>
                <w:sz w:val="21"/>
                <w:szCs w:val="21"/>
              </w:rPr>
              <w:t xml:space="preserve"> </w:t>
            </w:r>
            <w:r w:rsidRPr="00902FD7">
              <w:rPr>
                <w:rFonts w:ascii="Times New Roman" w:hAnsi="Times New Roman" w:cs="Times New Roman"/>
                <w:spacing w:val="-1"/>
                <w:sz w:val="21"/>
                <w:szCs w:val="21"/>
              </w:rPr>
              <w:t>load</w:t>
            </w:r>
          </w:p>
        </w:tc>
        <w:tc>
          <w:tcPr>
            <w:tcW w:w="4860" w:type="dxa"/>
          </w:tcPr>
          <w:p w:rsidR="00DC7FB5" w:rsidRPr="00902FD7" w:rsidRDefault="00DC7FB5" w:rsidP="007D68E6">
            <w:pPr>
              <w:pStyle w:val="TableParagraph"/>
              <w:ind w:left="99" w:right="142"/>
              <w:rPr>
                <w:rFonts w:ascii="Times New Roman" w:eastAsia="Calibri" w:hAnsi="Times New Roman" w:cs="Times New Roman"/>
                <w:sz w:val="21"/>
                <w:szCs w:val="21"/>
              </w:rPr>
            </w:pPr>
            <w:r w:rsidRPr="00902FD7">
              <w:rPr>
                <w:rFonts w:ascii="Times New Roman" w:hAnsi="Times New Roman" w:cs="Times New Roman"/>
                <w:spacing w:val="-1"/>
                <w:sz w:val="21"/>
                <w:szCs w:val="21"/>
              </w:rPr>
              <w:t>Reduced</w:t>
            </w:r>
            <w:r w:rsidRPr="00902FD7">
              <w:rPr>
                <w:rFonts w:ascii="Times New Roman" w:hAnsi="Times New Roman" w:cs="Times New Roman"/>
                <w:spacing w:val="-3"/>
                <w:sz w:val="21"/>
                <w:szCs w:val="21"/>
              </w:rPr>
              <w:t xml:space="preserve"> </w:t>
            </w:r>
            <w:r w:rsidRPr="00902FD7">
              <w:rPr>
                <w:rFonts w:ascii="Times New Roman" w:hAnsi="Times New Roman" w:cs="Times New Roman"/>
                <w:spacing w:val="-1"/>
                <w:sz w:val="21"/>
                <w:szCs w:val="21"/>
              </w:rPr>
              <w:t>standby</w:t>
            </w:r>
            <w:r w:rsidRPr="00902FD7">
              <w:rPr>
                <w:rFonts w:ascii="Times New Roman" w:hAnsi="Times New Roman" w:cs="Times New Roman"/>
                <w:spacing w:val="-2"/>
                <w:sz w:val="21"/>
                <w:szCs w:val="21"/>
              </w:rPr>
              <w:t xml:space="preserve"> </w:t>
            </w:r>
            <w:r w:rsidRPr="00902FD7">
              <w:rPr>
                <w:rFonts w:ascii="Times New Roman" w:hAnsi="Times New Roman" w:cs="Times New Roman"/>
                <w:spacing w:val="-1"/>
                <w:sz w:val="21"/>
                <w:szCs w:val="21"/>
              </w:rPr>
              <w:t>loads</w:t>
            </w:r>
          </w:p>
        </w:tc>
        <w:tc>
          <w:tcPr>
            <w:tcW w:w="1134" w:type="dxa"/>
          </w:tcPr>
          <w:p w:rsidR="00DC7FB5" w:rsidRPr="00902FD7" w:rsidRDefault="00DC7FB5" w:rsidP="007D68E6">
            <w:pPr>
              <w:pStyle w:val="TableParagraph"/>
              <w:ind w:left="99" w:right="142"/>
              <w:jc w:val="right"/>
              <w:rPr>
                <w:rFonts w:ascii="Times New Roman" w:eastAsia="Calibri" w:hAnsi="Times New Roman" w:cs="Times New Roman"/>
                <w:sz w:val="21"/>
                <w:szCs w:val="21"/>
              </w:rPr>
            </w:pPr>
            <w:r w:rsidRPr="00902FD7">
              <w:rPr>
                <w:rFonts w:ascii="Times New Roman" w:hAnsi="Times New Roman" w:cs="Times New Roman"/>
                <w:spacing w:val="-1"/>
                <w:sz w:val="21"/>
                <w:szCs w:val="21"/>
              </w:rPr>
              <w:t>2.2</w:t>
            </w:r>
          </w:p>
        </w:tc>
        <w:tc>
          <w:tcPr>
            <w:tcW w:w="992" w:type="dxa"/>
          </w:tcPr>
          <w:p w:rsidR="00DC7FB5" w:rsidRPr="00902FD7" w:rsidRDefault="00DC7FB5" w:rsidP="007D68E6">
            <w:pPr>
              <w:pStyle w:val="TableParagraph"/>
              <w:ind w:left="99" w:right="142"/>
              <w:jc w:val="right"/>
              <w:rPr>
                <w:rFonts w:ascii="Times New Roman" w:hAnsi="Times New Roman" w:cs="Times New Roman"/>
                <w:spacing w:val="-1"/>
                <w:sz w:val="21"/>
                <w:szCs w:val="21"/>
              </w:rPr>
            </w:pPr>
            <w:r w:rsidRPr="00902FD7">
              <w:rPr>
                <w:rFonts w:ascii="Times New Roman" w:hAnsi="Times New Roman" w:cs="Times New Roman"/>
                <w:spacing w:val="-1"/>
                <w:sz w:val="21"/>
                <w:szCs w:val="21"/>
              </w:rPr>
              <w:t>2.2</w:t>
            </w:r>
          </w:p>
        </w:tc>
      </w:tr>
    </w:tbl>
    <w:p w:rsidR="00DC7FB5" w:rsidRDefault="00DC7FB5" w:rsidP="00DC7FB5">
      <w:pPr>
        <w:widowControl w:val="0"/>
        <w:rPr>
          <w:lang w:val="en-CA"/>
        </w:rPr>
      </w:pPr>
    </w:p>
    <w:p w:rsidR="00DC7FB5" w:rsidRPr="00B2731E" w:rsidRDefault="00DC7FB5" w:rsidP="00DC7FB5">
      <w:pPr>
        <w:widowControl w:val="0"/>
        <w:rPr>
          <w:lang w:val="en-CA"/>
        </w:rPr>
      </w:pPr>
    </w:p>
    <w:p w:rsidR="00DC7FB5" w:rsidRPr="00B2731E" w:rsidRDefault="00DC7FB5" w:rsidP="00DC7FB5">
      <w:pPr>
        <w:pStyle w:val="Heading1"/>
        <w:keepNext/>
        <w:rPr>
          <w:lang w:val="en-CA"/>
        </w:rPr>
      </w:pPr>
      <w:r w:rsidRPr="00B2731E">
        <w:rPr>
          <w:lang w:val="en-CA"/>
        </w:rPr>
        <w:t>Broadly, improvement o</w:t>
      </w:r>
      <w:r>
        <w:rPr>
          <w:lang w:val="en-CA"/>
        </w:rPr>
        <w:t>f the</w:t>
      </w:r>
      <w:r w:rsidRPr="00B2731E">
        <w:rPr>
          <w:lang w:val="en-CA"/>
        </w:rPr>
        <w:t xml:space="preserve"> energy efficiency of any given equipment is usually associated with a potential increase in</w:t>
      </w:r>
      <w:r>
        <w:rPr>
          <w:lang w:val="en-CA"/>
        </w:rPr>
        <w:t xml:space="preserve"> the</w:t>
      </w:r>
      <w:r w:rsidRPr="00B2731E">
        <w:rPr>
          <w:lang w:val="en-CA"/>
        </w:rPr>
        <w:t xml:space="preserve"> cost of the equipment (e.g., due to a more complex design, additional material, and/or additional controls, optimising design) that could also result in </w:t>
      </w:r>
      <w:r>
        <w:rPr>
          <w:lang w:val="en-CA"/>
        </w:rPr>
        <w:t xml:space="preserve">an </w:t>
      </w:r>
      <w:r w:rsidRPr="00B2731E">
        <w:rPr>
          <w:lang w:val="en-CA"/>
        </w:rPr>
        <w:t xml:space="preserve">increase in </w:t>
      </w:r>
      <w:r>
        <w:rPr>
          <w:lang w:val="en-CA"/>
        </w:rPr>
        <w:t xml:space="preserve">the </w:t>
      </w:r>
      <w:r w:rsidRPr="00B2731E">
        <w:rPr>
          <w:lang w:val="en-CA"/>
        </w:rPr>
        <w:t xml:space="preserve">final price </w:t>
      </w:r>
      <w:r>
        <w:rPr>
          <w:lang w:val="en-CA"/>
        </w:rPr>
        <w:t>of sale to</w:t>
      </w:r>
      <w:r w:rsidRPr="00B2731E">
        <w:rPr>
          <w:lang w:val="en-CA"/>
        </w:rPr>
        <w:t xml:space="preserve"> the consumer, but would save </w:t>
      </w:r>
      <w:r>
        <w:rPr>
          <w:lang w:val="en-CA"/>
        </w:rPr>
        <w:t xml:space="preserve">on the consumer’s </w:t>
      </w:r>
      <w:r w:rsidRPr="00B2731E">
        <w:rPr>
          <w:lang w:val="en-CA"/>
        </w:rPr>
        <w:t xml:space="preserve">energy costs over the life of the equipment. Studies tracking efficiency and price trends over time show </w:t>
      </w:r>
      <w:r>
        <w:rPr>
          <w:lang w:val="en-CA"/>
        </w:rPr>
        <w:t xml:space="preserve">that the </w:t>
      </w:r>
      <w:r w:rsidRPr="00B2731E">
        <w:rPr>
          <w:lang w:val="en-CA"/>
        </w:rPr>
        <w:t>efficiency of appliances and their components improve over time while the prices continue to decline. In Japan, for example, between 1995 and 2008, efficiency improved by 180 per cent while prices dropped by over 50 per cent in real terms</w:t>
      </w:r>
      <w:r w:rsidRPr="007E3DA2">
        <w:rPr>
          <w:lang w:val="en-CA"/>
        </w:rPr>
        <w:t>.</w:t>
      </w:r>
      <w:r w:rsidRPr="007E3DA2">
        <w:rPr>
          <w:vertAlign w:val="superscript"/>
          <w:lang w:val="en-CA"/>
        </w:rPr>
        <w:t>8</w:t>
      </w:r>
      <w:r w:rsidRPr="00B2731E">
        <w:rPr>
          <w:lang w:val="en-CA"/>
        </w:rPr>
        <w:t xml:space="preserve"> While several factors, such as economies of scale and changes in mark-ups, have been identified as potential drivers </w:t>
      </w:r>
      <w:r>
        <w:rPr>
          <w:lang w:val="en-CA"/>
        </w:rPr>
        <w:t>of</w:t>
      </w:r>
      <w:r w:rsidRPr="00B2731E">
        <w:rPr>
          <w:lang w:val="en-CA"/>
        </w:rPr>
        <w:t xml:space="preserve"> this overall trend, the primary driver is likely technological learning. Studies also show that the </w:t>
      </w:r>
      <w:r w:rsidRPr="00B2731E">
        <w:rPr>
          <w:lang w:val="en-CA"/>
        </w:rPr>
        <w:lastRenderedPageBreak/>
        <w:t>energy savings from new energy</w:t>
      </w:r>
      <w:r>
        <w:rPr>
          <w:lang w:val="en-CA"/>
        </w:rPr>
        <w:t>-</w:t>
      </w:r>
      <w:r w:rsidRPr="00B2731E">
        <w:rPr>
          <w:lang w:val="en-CA"/>
        </w:rPr>
        <w:t xml:space="preserve">efficient equipment generally results in </w:t>
      </w:r>
      <w:r>
        <w:rPr>
          <w:lang w:val="en-CA"/>
        </w:rPr>
        <w:t xml:space="preserve">consumers recovering the </w:t>
      </w:r>
      <w:r w:rsidRPr="00B2731E">
        <w:rPr>
          <w:lang w:val="en-CA"/>
        </w:rPr>
        <w:t xml:space="preserve">higher </w:t>
      </w:r>
      <w:r>
        <w:rPr>
          <w:lang w:val="en-CA"/>
        </w:rPr>
        <w:t xml:space="preserve">purchase </w:t>
      </w:r>
      <w:r w:rsidRPr="00B2731E">
        <w:rPr>
          <w:lang w:val="en-CA"/>
        </w:rPr>
        <w:t>price</w:t>
      </w:r>
      <w:r>
        <w:rPr>
          <w:lang w:val="en-CA"/>
        </w:rPr>
        <w:t>s</w:t>
      </w:r>
      <w:r w:rsidRPr="00B2731E">
        <w:rPr>
          <w:lang w:val="en-CA"/>
        </w:rPr>
        <w:t xml:space="preserve"> for energy</w:t>
      </w:r>
      <w:r>
        <w:rPr>
          <w:lang w:val="en-CA"/>
        </w:rPr>
        <w:t>-</w:t>
      </w:r>
      <w:r w:rsidRPr="00B2731E">
        <w:rPr>
          <w:lang w:val="en-CA"/>
        </w:rPr>
        <w:t>efficient equipment within a few years.</w:t>
      </w:r>
      <w:r w:rsidRPr="00D247C7">
        <w:rPr>
          <w:rStyle w:val="FootnoteReference"/>
          <w:lang w:val="en-CA"/>
        </w:rPr>
        <w:t xml:space="preserve"> </w:t>
      </w:r>
      <w:r w:rsidRPr="00B2731E">
        <w:rPr>
          <w:rStyle w:val="FootnoteReference"/>
          <w:lang w:val="en-CA"/>
        </w:rPr>
        <w:footnoteReference w:id="83"/>
      </w:r>
      <w:r>
        <w:rPr>
          <w:lang w:val="en-CA"/>
        </w:rPr>
        <w:t xml:space="preserve"> </w:t>
      </w:r>
    </w:p>
    <w:p w:rsidR="00DC7FB5" w:rsidRPr="00B2731E" w:rsidRDefault="00DC7FB5" w:rsidP="00DC7FB5">
      <w:pPr>
        <w:pStyle w:val="Heading1"/>
        <w:rPr>
          <w:lang w:val="en-CA"/>
        </w:rPr>
      </w:pPr>
      <w:r w:rsidRPr="00B2731E">
        <w:rPr>
          <w:lang w:val="en-CA"/>
        </w:rPr>
        <w:t>Research studies show that many of the low-GWP refrigerant alternatives under consideration can operate under similar or higher energy efficiency with only soft optimization, even in hig</w:t>
      </w:r>
      <w:r>
        <w:rPr>
          <w:lang w:val="en-CA"/>
        </w:rPr>
        <w:t>h</w:t>
      </w:r>
      <w:r>
        <w:rPr>
          <w:lang w:val="en-CA"/>
        </w:rPr>
        <w:noBreakHyphen/>
      </w:r>
      <w:r w:rsidRPr="00B2731E">
        <w:rPr>
          <w:lang w:val="en-CA"/>
        </w:rPr>
        <w:t>ambient</w:t>
      </w:r>
      <w:r>
        <w:rPr>
          <w:lang w:val="en-CA"/>
        </w:rPr>
        <w:noBreakHyphen/>
      </w:r>
      <w:r w:rsidRPr="00B2731E">
        <w:rPr>
          <w:lang w:val="en-CA"/>
        </w:rPr>
        <w:t>temperature conditions</w:t>
      </w:r>
      <w:r>
        <w:rPr>
          <w:lang w:val="en-CA"/>
        </w:rPr>
        <w:t>.</w:t>
      </w:r>
      <w:r w:rsidRPr="00B2731E">
        <w:rPr>
          <w:rStyle w:val="FootnoteReference"/>
          <w:lang w:val="en-CA"/>
        </w:rPr>
        <w:footnoteReference w:id="84"/>
      </w:r>
      <w:r>
        <w:rPr>
          <w:lang w:val="en-CA"/>
        </w:rPr>
        <w:t xml:space="preserve"> </w:t>
      </w:r>
      <w:r w:rsidRPr="00B2731E">
        <w:rPr>
          <w:lang w:val="en-CA"/>
        </w:rPr>
        <w:t>The researchers note that manufacturers can typically overcome performance losses of up to 5</w:t>
      </w:r>
      <w:r>
        <w:rPr>
          <w:lang w:val="en-CA"/>
        </w:rPr>
        <w:t xml:space="preserve"> per cent </w:t>
      </w:r>
      <w:r w:rsidRPr="00B2731E">
        <w:rPr>
          <w:lang w:val="en-CA"/>
        </w:rPr>
        <w:t>through further soft optimization, whereas 10</w:t>
      </w:r>
      <w:r>
        <w:rPr>
          <w:lang w:val="en-CA"/>
        </w:rPr>
        <w:t xml:space="preserve"> per cent </w:t>
      </w:r>
      <w:r w:rsidRPr="00B2731E">
        <w:rPr>
          <w:lang w:val="en-CA"/>
        </w:rPr>
        <w:t>losses may require additional engineering, and losses greater than 10</w:t>
      </w:r>
      <w:r>
        <w:rPr>
          <w:lang w:val="en-CA"/>
        </w:rPr>
        <w:t xml:space="preserve"> per cent </w:t>
      </w:r>
      <w:r w:rsidRPr="00B2731E">
        <w:rPr>
          <w:lang w:val="en-CA"/>
        </w:rPr>
        <w:t>may require complete unit redesign</w:t>
      </w:r>
      <w:r>
        <w:rPr>
          <w:lang w:val="en-CA"/>
        </w:rPr>
        <w:t>.</w:t>
      </w:r>
      <w:r w:rsidRPr="00B2731E">
        <w:rPr>
          <w:rStyle w:val="FootnoteReference"/>
          <w:lang w:val="en-CA"/>
        </w:rPr>
        <w:footnoteReference w:id="85"/>
      </w:r>
      <w:r>
        <w:rPr>
          <w:lang w:val="en-CA"/>
        </w:rPr>
        <w:t xml:space="preserve"> </w:t>
      </w:r>
      <w:r w:rsidRPr="00B2731E">
        <w:rPr>
          <w:lang w:val="en-CA"/>
        </w:rPr>
        <w:t xml:space="preserve">The study also shows that historical inflation-adjusted equipment cost </w:t>
      </w:r>
      <w:r>
        <w:rPr>
          <w:lang w:val="en-CA"/>
        </w:rPr>
        <w:t>in</w:t>
      </w:r>
      <w:r w:rsidRPr="00B2731E">
        <w:rPr>
          <w:lang w:val="en-CA"/>
        </w:rPr>
        <w:t xml:space="preserve"> the United States </w:t>
      </w:r>
      <w:r>
        <w:rPr>
          <w:lang w:val="en-CA"/>
        </w:rPr>
        <w:t xml:space="preserve">of America decreased </w:t>
      </w:r>
      <w:r w:rsidRPr="00B2731E">
        <w:rPr>
          <w:lang w:val="en-CA"/>
        </w:rPr>
        <w:t xml:space="preserve">even when other regulations were implemented (e.g., minimum energy efficiency standards increased, </w:t>
      </w:r>
      <w:r>
        <w:rPr>
          <w:lang w:val="en-CA"/>
        </w:rPr>
        <w:t xml:space="preserve">and </w:t>
      </w:r>
      <w:r w:rsidRPr="00B2731E">
        <w:rPr>
          <w:lang w:val="en-CA"/>
        </w:rPr>
        <w:t>ODS phase</w:t>
      </w:r>
      <w:r>
        <w:rPr>
          <w:lang w:val="en-CA"/>
        </w:rPr>
        <w:t>-</w:t>
      </w:r>
      <w:r w:rsidRPr="00B2731E">
        <w:rPr>
          <w:lang w:val="en-CA"/>
        </w:rPr>
        <w:t>out enforcement was under implementation)</w:t>
      </w:r>
      <w:r>
        <w:rPr>
          <w:lang w:val="en-CA"/>
        </w:rPr>
        <w:t>.</w:t>
      </w:r>
      <w:r w:rsidRPr="00B2731E">
        <w:rPr>
          <w:lang w:val="en-CA"/>
        </w:rPr>
        <w:t xml:space="preserve"> </w:t>
      </w:r>
      <w:r>
        <w:rPr>
          <w:lang w:val="en-CA"/>
        </w:rPr>
        <w:t>T</w:t>
      </w:r>
      <w:r w:rsidRPr="00B2731E">
        <w:rPr>
          <w:lang w:val="en-CA"/>
        </w:rPr>
        <w:t>he study also provides information on ways</w:t>
      </w:r>
      <w:r>
        <w:rPr>
          <w:lang w:val="en-CA"/>
        </w:rPr>
        <w:t xml:space="preserve"> through which </w:t>
      </w:r>
      <w:r w:rsidRPr="00B2731E">
        <w:rPr>
          <w:lang w:val="en-CA"/>
        </w:rPr>
        <w:t>the equipment manufacturers are reducing transition costs to provide cost</w:t>
      </w:r>
      <w:r>
        <w:rPr>
          <w:lang w:val="en-CA"/>
        </w:rPr>
        <w:t>-</w:t>
      </w:r>
      <w:r w:rsidRPr="00B2731E">
        <w:rPr>
          <w:lang w:val="en-CA"/>
        </w:rPr>
        <w:t xml:space="preserve">effective </w:t>
      </w:r>
      <w:r>
        <w:rPr>
          <w:lang w:val="en-CA"/>
        </w:rPr>
        <w:t>energy-efficient</w:t>
      </w:r>
      <w:r w:rsidRPr="00B2731E">
        <w:rPr>
          <w:lang w:val="en-CA"/>
        </w:rPr>
        <w:t xml:space="preserve"> systems to the consumers. In addition, a</w:t>
      </w:r>
      <w:r>
        <w:rPr>
          <w:lang w:val="en-CA"/>
        </w:rPr>
        <w:t>nother</w:t>
      </w:r>
      <w:r w:rsidRPr="00B2731E">
        <w:rPr>
          <w:lang w:val="en-CA"/>
        </w:rPr>
        <w:t xml:space="preserve"> study shows that </w:t>
      </w:r>
      <w:r>
        <w:rPr>
          <w:lang w:val="en-CA"/>
        </w:rPr>
        <w:t xml:space="preserve">the </w:t>
      </w:r>
      <w:r w:rsidRPr="00B2731E">
        <w:rPr>
          <w:lang w:val="en-CA"/>
        </w:rPr>
        <w:t>introduction and updating of appliance standards is not associated with a long-term increase in purchase price; rather, quality-adjusted prices undergo a continued or accelerated long-term decline</w:t>
      </w:r>
      <w:r>
        <w:rPr>
          <w:lang w:val="en-CA"/>
        </w:rPr>
        <w:t>.</w:t>
      </w:r>
      <w:r w:rsidRPr="00B2731E">
        <w:rPr>
          <w:rStyle w:val="FootnoteReference"/>
          <w:lang w:val="en-CA"/>
        </w:rPr>
        <w:footnoteReference w:id="86"/>
      </w:r>
    </w:p>
    <w:p w:rsidR="00DC7FB5" w:rsidRPr="00B2731E" w:rsidRDefault="00DC7FB5" w:rsidP="00DC7FB5">
      <w:pPr>
        <w:pStyle w:val="Heading1"/>
        <w:spacing w:after="0"/>
        <w:rPr>
          <w:lang w:val="en-CA"/>
        </w:rPr>
      </w:pPr>
      <w:r w:rsidRPr="00B2731E">
        <w:rPr>
          <w:lang w:val="en-CA"/>
        </w:rPr>
        <w:t xml:space="preserve">There is limited experience in determining the incremental costs associated with converting manufacturing lines to improve the energy efficiency of the RAC equipment while adopting alternative refrigerants, or </w:t>
      </w:r>
      <w:r>
        <w:rPr>
          <w:lang w:val="en-CA"/>
        </w:rPr>
        <w:t xml:space="preserve">performing </w:t>
      </w:r>
      <w:r w:rsidRPr="00B2731E">
        <w:rPr>
          <w:lang w:val="en-CA"/>
        </w:rPr>
        <w:t xml:space="preserve">the cost-benefit analysis of improved energy efficiency. </w:t>
      </w:r>
      <w:r w:rsidRPr="00B2731E">
        <w:t>The levels of investment and target energy efficiency levels could vary depending upon the individual enterprise business strategy and could also be driven by national policies, noting that several studies</w:t>
      </w:r>
      <w:r>
        <w:t>,</w:t>
      </w:r>
      <w:r w:rsidRPr="00B2731E">
        <w:t xml:space="preserve"> as mentioned earlier</w:t>
      </w:r>
      <w:r>
        <w:t>,</w:t>
      </w:r>
      <w:r w:rsidRPr="00B2731E">
        <w:t xml:space="preserve"> show a decrease in </w:t>
      </w:r>
      <w:r>
        <w:t xml:space="preserve">the </w:t>
      </w:r>
      <w:r w:rsidRPr="00B2731E">
        <w:t xml:space="preserve">cost of equipment in </w:t>
      </w:r>
      <w:r>
        <w:t xml:space="preserve">the </w:t>
      </w:r>
      <w:r w:rsidRPr="00B2731E">
        <w:t xml:space="preserve">long run while there is an increase in energy efficiency of the equipment. </w:t>
      </w:r>
    </w:p>
    <w:p w:rsidR="00DC7FB5" w:rsidRPr="00B2731E" w:rsidRDefault="00DC7FB5" w:rsidP="00DC7FB5">
      <w:pPr>
        <w:pStyle w:val="Heading1"/>
        <w:numPr>
          <w:ilvl w:val="0"/>
          <w:numId w:val="0"/>
        </w:numPr>
        <w:spacing w:after="0"/>
      </w:pPr>
    </w:p>
    <w:p w:rsidR="00DC7FB5" w:rsidRPr="00B2731E" w:rsidRDefault="00DC7FB5" w:rsidP="00DC7FB5">
      <w:pPr>
        <w:pStyle w:val="Heading1"/>
        <w:spacing w:after="0"/>
      </w:pPr>
      <w:r w:rsidRPr="00B2731E">
        <w:t xml:space="preserve">Monitoring </w:t>
      </w:r>
      <w:r>
        <w:t xml:space="preserve">the </w:t>
      </w:r>
      <w:r w:rsidRPr="00B2731E">
        <w:t>energy</w:t>
      </w:r>
      <w:r>
        <w:t>-</w:t>
      </w:r>
      <w:r w:rsidRPr="00B2731E">
        <w:t xml:space="preserve">efficient performance of redesigned equipment and </w:t>
      </w:r>
      <w:r>
        <w:t xml:space="preserve">the </w:t>
      </w:r>
      <w:r w:rsidRPr="00B2731E">
        <w:t>introduction of more energy</w:t>
      </w:r>
      <w:r>
        <w:t>-</w:t>
      </w:r>
      <w:r w:rsidRPr="00B2731E">
        <w:t xml:space="preserve">efficient equipment into the market would need to be assessed over time. To undertake such an assessment, data on baseline energy performance level is essential. Monitoring mechanisms for projects/programmes and energy efficiency at a national level would </w:t>
      </w:r>
      <w:r>
        <w:t>have</w:t>
      </w:r>
      <w:r w:rsidRPr="00B2731E">
        <w:t xml:space="preserve"> to be defined in consultation with various stakeholders.</w:t>
      </w:r>
    </w:p>
    <w:p w:rsidR="00DC7FB5" w:rsidRPr="00B2731E" w:rsidRDefault="00DC7FB5" w:rsidP="00DC7FB5"/>
    <w:p w:rsidR="00DC7FB5" w:rsidRPr="00B2731E" w:rsidRDefault="00DC7FB5" w:rsidP="00DC7FB5">
      <w:pPr>
        <w:pStyle w:val="Heading1"/>
        <w:keepNext/>
        <w:numPr>
          <w:ilvl w:val="0"/>
          <w:numId w:val="0"/>
        </w:numPr>
        <w:spacing w:after="0"/>
        <w:rPr>
          <w:b/>
          <w:lang w:val="en-CA"/>
        </w:rPr>
      </w:pPr>
      <w:r w:rsidRPr="00B2731E">
        <w:rPr>
          <w:b/>
          <w:lang w:val="en-CA"/>
        </w:rPr>
        <w:t>Installation, maintenance and servicing and use regulations</w:t>
      </w:r>
    </w:p>
    <w:p w:rsidR="00DC7FB5" w:rsidRPr="00B2731E" w:rsidRDefault="00DC7FB5" w:rsidP="00DC7FB5">
      <w:pPr>
        <w:pStyle w:val="Heading1"/>
        <w:keepNext/>
        <w:numPr>
          <w:ilvl w:val="0"/>
          <w:numId w:val="0"/>
        </w:numPr>
        <w:spacing w:after="0"/>
      </w:pPr>
    </w:p>
    <w:p w:rsidR="00DC7FB5" w:rsidRDefault="00DC7FB5" w:rsidP="00DC7FB5">
      <w:pPr>
        <w:pStyle w:val="Heading1"/>
        <w:keepNext/>
        <w:spacing w:after="0"/>
      </w:pPr>
      <w:r w:rsidRPr="00B2731E">
        <w:t xml:space="preserve">Installation, maintenance and servicing play a critical role in ensuring </w:t>
      </w:r>
      <w:r>
        <w:t>energy-efficient</w:t>
      </w:r>
      <w:r w:rsidRPr="00B2731E">
        <w:t xml:space="preserve"> operation of equipment over the life of equipment and could result in direct and indirect GHG emission reduction. Equipment suppliers and installers, as well as servicing enterprises, play an important role in this regard. In addition, national policies and regulations that relate to servicing practices and energy efficiency, particularly minimum energy performance standards</w:t>
      </w:r>
      <w:r>
        <w:t>,</w:t>
      </w:r>
      <w:r w:rsidRPr="00B2731E">
        <w:t xml:space="preserve"> provide support for energy efficiency while using such equipment.</w:t>
      </w:r>
    </w:p>
    <w:p w:rsidR="00DC7FB5" w:rsidRPr="00760F22" w:rsidRDefault="00DC7FB5" w:rsidP="00DC7FB5"/>
    <w:p w:rsidR="00DC7FB5" w:rsidRDefault="00DC7FB5" w:rsidP="00DC7FB5">
      <w:pPr>
        <w:pStyle w:val="Heading1"/>
        <w:spacing w:after="0"/>
      </w:pPr>
      <w:r w:rsidRPr="00CB4F81">
        <w:lastRenderedPageBreak/>
        <w:t xml:space="preserve">For maintaining energy efficiency, </w:t>
      </w:r>
      <w:r>
        <w:t xml:space="preserve">an </w:t>
      </w:r>
      <w:r w:rsidRPr="00CB4F81">
        <w:t xml:space="preserve">illustrative list of measures that are typically adopted are </w:t>
      </w:r>
      <w:r>
        <w:t>shown in Table 2 below.</w:t>
      </w:r>
      <w:r>
        <w:rPr>
          <w:rStyle w:val="FootnoteReference"/>
        </w:rPr>
        <w:footnoteReference w:id="87"/>
      </w:r>
      <w:r>
        <w:t xml:space="preserve"> A combination of these measures could form an integral part of other projects or programmes to maintain or enhance the energy efficiency of equipment while achieving HFC phase</w:t>
      </w:r>
      <w:r>
        <w:noBreakHyphen/>
        <w:t>down.</w:t>
      </w:r>
    </w:p>
    <w:p w:rsidR="00DC7FB5" w:rsidRPr="00640839" w:rsidRDefault="00DC7FB5" w:rsidP="00DC7FB5"/>
    <w:p w:rsidR="00DC7FB5" w:rsidRPr="00640839" w:rsidRDefault="00DC7FB5" w:rsidP="00DC7FB5">
      <w:pPr>
        <w:rPr>
          <w:b/>
        </w:rPr>
      </w:pPr>
      <w:r w:rsidRPr="00640839">
        <w:rPr>
          <w:b/>
        </w:rPr>
        <w:t xml:space="preserve">Table </w:t>
      </w:r>
      <w:r>
        <w:rPr>
          <w:b/>
        </w:rPr>
        <w:t>2</w:t>
      </w:r>
      <w:r w:rsidRPr="00640839">
        <w:rPr>
          <w:b/>
        </w:rPr>
        <w:t xml:space="preserve">: Measures for </w:t>
      </w:r>
      <w:r>
        <w:rPr>
          <w:b/>
        </w:rPr>
        <w:t xml:space="preserve">maintaining monitoring </w:t>
      </w:r>
      <w:r w:rsidRPr="00640839">
        <w:rPr>
          <w:b/>
        </w:rPr>
        <w:t>energy efficiency</w:t>
      </w:r>
    </w:p>
    <w:tbl>
      <w:tblPr>
        <w:tblStyle w:val="TableGrid"/>
        <w:tblW w:w="0" w:type="auto"/>
        <w:tblInd w:w="108" w:type="dxa"/>
        <w:tblLook w:val="04A0" w:firstRow="1" w:lastRow="0" w:firstColumn="1" w:lastColumn="0" w:noHBand="0" w:noVBand="1"/>
      </w:tblPr>
      <w:tblGrid>
        <w:gridCol w:w="1843"/>
        <w:gridCol w:w="7513"/>
      </w:tblGrid>
      <w:tr w:rsidR="00DC7FB5" w:rsidRPr="00CB4F81" w:rsidTr="007D68E6">
        <w:trPr>
          <w:cantSplit/>
          <w:tblHeader/>
        </w:trPr>
        <w:tc>
          <w:tcPr>
            <w:tcW w:w="1843" w:type="dxa"/>
          </w:tcPr>
          <w:p w:rsidR="00DC7FB5" w:rsidRPr="00CB4F81" w:rsidRDefault="00DC7FB5" w:rsidP="007D68E6">
            <w:pPr>
              <w:jc w:val="center"/>
              <w:rPr>
                <w:b/>
                <w:lang w:val="en-CA"/>
              </w:rPr>
            </w:pPr>
            <w:r w:rsidRPr="00CB4F81">
              <w:rPr>
                <w:b/>
                <w:lang w:val="en-CA"/>
              </w:rPr>
              <w:t>Particulars</w:t>
            </w:r>
          </w:p>
        </w:tc>
        <w:tc>
          <w:tcPr>
            <w:tcW w:w="7513" w:type="dxa"/>
          </w:tcPr>
          <w:p w:rsidR="00DC7FB5" w:rsidRPr="00CB4F81" w:rsidRDefault="00DC7FB5" w:rsidP="007D68E6">
            <w:pPr>
              <w:jc w:val="center"/>
              <w:rPr>
                <w:b/>
                <w:lang w:val="en-CA"/>
              </w:rPr>
            </w:pPr>
            <w:r w:rsidRPr="00CB4F81">
              <w:rPr>
                <w:b/>
                <w:lang w:val="en-CA"/>
              </w:rPr>
              <w:t>Interventions</w:t>
            </w:r>
          </w:p>
        </w:tc>
      </w:tr>
      <w:tr w:rsidR="00DC7FB5" w:rsidRPr="00CB4F81" w:rsidTr="007D68E6">
        <w:trPr>
          <w:cantSplit/>
        </w:trPr>
        <w:tc>
          <w:tcPr>
            <w:tcW w:w="9356" w:type="dxa"/>
            <w:gridSpan w:val="2"/>
          </w:tcPr>
          <w:p w:rsidR="00DC7FB5" w:rsidRPr="00CB4F81" w:rsidRDefault="00DC7FB5" w:rsidP="007D68E6">
            <w:pPr>
              <w:jc w:val="left"/>
              <w:rPr>
                <w:b/>
                <w:lang w:val="en-CA"/>
              </w:rPr>
            </w:pPr>
            <w:r>
              <w:rPr>
                <w:b/>
                <w:lang w:val="en-CA"/>
              </w:rPr>
              <w:t>Installation and maintenance of equipment</w:t>
            </w:r>
          </w:p>
        </w:tc>
      </w:tr>
      <w:tr w:rsidR="00DC7FB5" w:rsidRPr="00CB4F81" w:rsidTr="007D68E6">
        <w:trPr>
          <w:cantSplit/>
        </w:trPr>
        <w:tc>
          <w:tcPr>
            <w:tcW w:w="1843" w:type="dxa"/>
          </w:tcPr>
          <w:p w:rsidR="00DC7FB5" w:rsidRPr="00A76E71" w:rsidRDefault="00DC7FB5" w:rsidP="007D68E6">
            <w:pPr>
              <w:jc w:val="left"/>
            </w:pPr>
            <w:r>
              <w:rPr>
                <w:lang w:val="en-CA"/>
              </w:rPr>
              <w:t xml:space="preserve">Training and capacity building </w:t>
            </w:r>
          </w:p>
          <w:p w:rsidR="00DC7FB5" w:rsidRPr="00CB4F81" w:rsidRDefault="00DC7FB5" w:rsidP="007D68E6">
            <w:pPr>
              <w:jc w:val="center"/>
              <w:rPr>
                <w:b/>
                <w:lang w:val="en-CA"/>
              </w:rPr>
            </w:pPr>
          </w:p>
        </w:tc>
        <w:tc>
          <w:tcPr>
            <w:tcW w:w="7513" w:type="dxa"/>
          </w:tcPr>
          <w:p w:rsidR="00DC7FB5" w:rsidRDefault="00DC7FB5" w:rsidP="00DC7FB5">
            <w:pPr>
              <w:pStyle w:val="ListParagraph"/>
              <w:numPr>
                <w:ilvl w:val="0"/>
                <w:numId w:val="81"/>
              </w:numPr>
              <w:ind w:left="357" w:hanging="357"/>
              <w:rPr>
                <w:lang w:val="en-CA"/>
              </w:rPr>
            </w:pPr>
            <w:r w:rsidRPr="00CB4F81">
              <w:rPr>
                <w:lang w:val="en-CA"/>
              </w:rPr>
              <w:t>Leakage detection equipment for larger capacity equipment</w:t>
            </w:r>
          </w:p>
          <w:p w:rsidR="00DC7FB5" w:rsidRPr="00CB4F81" w:rsidRDefault="00DC7FB5" w:rsidP="00DC7FB5">
            <w:pPr>
              <w:pStyle w:val="ListParagraph"/>
              <w:numPr>
                <w:ilvl w:val="0"/>
                <w:numId w:val="81"/>
              </w:numPr>
              <w:ind w:left="357" w:hanging="357"/>
              <w:rPr>
                <w:lang w:val="en-CA"/>
              </w:rPr>
            </w:pPr>
            <w:r w:rsidRPr="00CB4F81">
              <w:rPr>
                <w:lang w:val="en-CA"/>
              </w:rPr>
              <w:t>Good practices in installation of air-conditioning equipment (e.g. tightly sealed joints, ensuring full refrigerant charge during equipment operations)</w:t>
            </w:r>
          </w:p>
          <w:p w:rsidR="00DC7FB5" w:rsidRPr="00CB4F81" w:rsidRDefault="00DC7FB5" w:rsidP="00DC7FB5">
            <w:pPr>
              <w:pStyle w:val="ListParagraph"/>
              <w:numPr>
                <w:ilvl w:val="0"/>
                <w:numId w:val="81"/>
              </w:numPr>
              <w:ind w:left="357" w:hanging="357"/>
              <w:rPr>
                <w:lang w:val="en-CA"/>
              </w:rPr>
            </w:pPr>
            <w:r w:rsidRPr="00CB4F81">
              <w:rPr>
                <w:lang w:val="en-CA"/>
              </w:rPr>
              <w:t>Good maintenance and service practices (e.g. periodic cleaning of heat exchangers)</w:t>
            </w:r>
          </w:p>
          <w:p w:rsidR="00DC7FB5" w:rsidRPr="00CB4F81" w:rsidRDefault="00DC7FB5" w:rsidP="00DC7FB5">
            <w:pPr>
              <w:pStyle w:val="ListParagraph"/>
              <w:numPr>
                <w:ilvl w:val="0"/>
                <w:numId w:val="81"/>
              </w:numPr>
              <w:ind w:left="357" w:hanging="357"/>
              <w:rPr>
                <w:lang w:val="en-CA"/>
              </w:rPr>
            </w:pPr>
            <w:r w:rsidRPr="00CB4F81">
              <w:rPr>
                <w:lang w:val="en-CA"/>
              </w:rPr>
              <w:t>Periodic operations and maintenance checks</w:t>
            </w:r>
          </w:p>
          <w:p w:rsidR="00DC7FB5" w:rsidRPr="00CB4F81" w:rsidRDefault="00DC7FB5" w:rsidP="00DC7FB5">
            <w:pPr>
              <w:pStyle w:val="ListParagraph"/>
              <w:numPr>
                <w:ilvl w:val="0"/>
                <w:numId w:val="81"/>
              </w:numPr>
              <w:ind w:left="357" w:hanging="357"/>
              <w:rPr>
                <w:lang w:val="en-CA"/>
              </w:rPr>
            </w:pPr>
            <w:r w:rsidRPr="00CB4F81">
              <w:rPr>
                <w:lang w:val="en-CA"/>
              </w:rPr>
              <w:t>Equipment servicing through qualified and trained technicians</w:t>
            </w:r>
          </w:p>
          <w:p w:rsidR="00DC7FB5" w:rsidRPr="006E1CBD" w:rsidRDefault="00DC7FB5" w:rsidP="007D68E6"/>
        </w:tc>
      </w:tr>
      <w:tr w:rsidR="00DC7FB5" w:rsidRPr="00CB4F81" w:rsidTr="007D68E6">
        <w:trPr>
          <w:cantSplit/>
        </w:trPr>
        <w:tc>
          <w:tcPr>
            <w:tcW w:w="9356" w:type="dxa"/>
            <w:gridSpan w:val="2"/>
          </w:tcPr>
          <w:p w:rsidR="00DC7FB5" w:rsidRPr="00CB4F81" w:rsidRDefault="00DC7FB5" w:rsidP="007D68E6">
            <w:pPr>
              <w:jc w:val="left"/>
              <w:rPr>
                <w:b/>
                <w:lang w:val="en-CA"/>
              </w:rPr>
            </w:pPr>
            <w:r>
              <w:rPr>
                <w:b/>
                <w:lang w:val="en-CA"/>
              </w:rPr>
              <w:t>Sector and national level actions</w:t>
            </w:r>
          </w:p>
        </w:tc>
      </w:tr>
      <w:tr w:rsidR="00DC7FB5" w:rsidRPr="00CB4F81" w:rsidTr="007D68E6">
        <w:trPr>
          <w:cantSplit/>
        </w:trPr>
        <w:tc>
          <w:tcPr>
            <w:tcW w:w="1843" w:type="dxa"/>
          </w:tcPr>
          <w:p w:rsidR="00DC7FB5" w:rsidRPr="00CB4F81" w:rsidRDefault="00DC7FB5" w:rsidP="007D68E6">
            <w:pPr>
              <w:jc w:val="left"/>
              <w:rPr>
                <w:lang w:val="en-CA"/>
              </w:rPr>
            </w:pPr>
            <w:r w:rsidRPr="00CB4F81">
              <w:rPr>
                <w:lang w:val="en-CA"/>
              </w:rPr>
              <w:t>Strengthening standards for operation</w:t>
            </w:r>
          </w:p>
        </w:tc>
        <w:tc>
          <w:tcPr>
            <w:tcW w:w="7513" w:type="dxa"/>
          </w:tcPr>
          <w:p w:rsidR="00DC7FB5" w:rsidRPr="00CB4F81" w:rsidRDefault="00DC7FB5" w:rsidP="00DC7FB5">
            <w:pPr>
              <w:pStyle w:val="ListParagraph"/>
              <w:numPr>
                <w:ilvl w:val="0"/>
                <w:numId w:val="10"/>
              </w:numPr>
              <w:ind w:left="289" w:hanging="289"/>
              <w:rPr>
                <w:lang w:val="en-CA"/>
              </w:rPr>
            </w:pPr>
            <w:r w:rsidRPr="00CB4F81">
              <w:rPr>
                <w:lang w:val="en-CA"/>
              </w:rPr>
              <w:t>Introduction of standards and labelling programmes for minimum energy efficiency performance</w:t>
            </w:r>
          </w:p>
          <w:p w:rsidR="00DC7FB5" w:rsidRPr="00CB4F81" w:rsidRDefault="00DC7FB5" w:rsidP="00DC7FB5">
            <w:pPr>
              <w:pStyle w:val="ListParagraph"/>
              <w:numPr>
                <w:ilvl w:val="0"/>
                <w:numId w:val="10"/>
              </w:numPr>
              <w:ind w:left="289" w:hanging="289"/>
              <w:rPr>
                <w:lang w:val="en-CA"/>
              </w:rPr>
            </w:pPr>
            <w:r w:rsidRPr="00CB4F81">
              <w:rPr>
                <w:lang w:val="en-CA"/>
              </w:rPr>
              <w:t xml:space="preserve">Integrated energy efficiency standards </w:t>
            </w:r>
            <w:r>
              <w:rPr>
                <w:lang w:val="en-CA"/>
              </w:rPr>
              <w:t>for</w:t>
            </w:r>
            <w:r w:rsidRPr="00CB4F81">
              <w:rPr>
                <w:lang w:val="en-CA"/>
              </w:rPr>
              <w:t xml:space="preserve"> end-use applications</w:t>
            </w:r>
            <w:r>
              <w:rPr>
                <w:lang w:val="en-CA"/>
              </w:rPr>
              <w:t>,</w:t>
            </w:r>
            <w:r w:rsidRPr="00CB4F81">
              <w:rPr>
                <w:lang w:val="en-CA"/>
              </w:rPr>
              <w:t xml:space="preserve"> including installation and maintenance practices</w:t>
            </w:r>
          </w:p>
          <w:p w:rsidR="00DC7FB5" w:rsidRPr="00CB4F81" w:rsidRDefault="00DC7FB5" w:rsidP="00DC7FB5">
            <w:pPr>
              <w:pStyle w:val="ListParagraph"/>
              <w:numPr>
                <w:ilvl w:val="0"/>
                <w:numId w:val="10"/>
              </w:numPr>
              <w:ind w:left="289" w:hanging="289"/>
              <w:rPr>
                <w:lang w:val="en-CA"/>
              </w:rPr>
            </w:pPr>
            <w:r w:rsidRPr="00CB4F81">
              <w:rPr>
                <w:lang w:val="en-CA"/>
              </w:rPr>
              <w:t>Introduction of standards of safe and efficient use of equipment including good maintenance practices</w:t>
            </w:r>
            <w:r>
              <w:rPr>
                <w:rStyle w:val="FootnoteReference"/>
                <w:lang w:val="en-CA"/>
              </w:rPr>
              <w:footnoteReference w:id="88"/>
            </w:r>
          </w:p>
          <w:p w:rsidR="00DC7FB5" w:rsidRPr="00CB4F81" w:rsidRDefault="00DC7FB5" w:rsidP="007D68E6">
            <w:pPr>
              <w:pStyle w:val="ListParagraph"/>
              <w:ind w:left="289"/>
              <w:rPr>
                <w:lang w:val="en-CA"/>
              </w:rPr>
            </w:pPr>
          </w:p>
        </w:tc>
      </w:tr>
      <w:tr w:rsidR="00DC7FB5" w:rsidRPr="00CB4F81" w:rsidTr="007D68E6">
        <w:trPr>
          <w:cantSplit/>
        </w:trPr>
        <w:tc>
          <w:tcPr>
            <w:tcW w:w="1843" w:type="dxa"/>
          </w:tcPr>
          <w:p w:rsidR="00DC7FB5" w:rsidRPr="00CB4F81" w:rsidRDefault="00DC7FB5" w:rsidP="007D68E6">
            <w:pPr>
              <w:jc w:val="left"/>
              <w:rPr>
                <w:lang w:val="en-CA"/>
              </w:rPr>
            </w:pPr>
            <w:r w:rsidRPr="00CB4F81">
              <w:rPr>
                <w:lang w:val="en-CA"/>
              </w:rPr>
              <w:t>Training and capacity building</w:t>
            </w:r>
          </w:p>
        </w:tc>
        <w:tc>
          <w:tcPr>
            <w:tcW w:w="7513" w:type="dxa"/>
          </w:tcPr>
          <w:p w:rsidR="00DC7FB5" w:rsidRPr="00CB4F81" w:rsidRDefault="00DC7FB5" w:rsidP="00DC7FB5">
            <w:pPr>
              <w:pStyle w:val="ListParagraph"/>
              <w:numPr>
                <w:ilvl w:val="0"/>
                <w:numId w:val="80"/>
              </w:numPr>
              <w:ind w:left="289" w:hanging="288"/>
              <w:rPr>
                <w:lang w:val="en-CA"/>
              </w:rPr>
            </w:pPr>
            <w:r>
              <w:rPr>
                <w:lang w:val="en-CA"/>
              </w:rPr>
              <w:t>C</w:t>
            </w:r>
            <w:r w:rsidRPr="00CB4F81">
              <w:rPr>
                <w:lang w:val="en-CA"/>
              </w:rPr>
              <w:t>ost-effective training programmes for service technicians (e.g., adjusting controls, improved equipment repair quality, maintenance advice to users)</w:t>
            </w:r>
          </w:p>
          <w:p w:rsidR="00DC7FB5" w:rsidRPr="00CB4F81" w:rsidRDefault="00DC7FB5" w:rsidP="00DC7FB5">
            <w:pPr>
              <w:pStyle w:val="ListParagraph"/>
              <w:numPr>
                <w:ilvl w:val="0"/>
                <w:numId w:val="80"/>
              </w:numPr>
              <w:ind w:left="289" w:hanging="288"/>
              <w:rPr>
                <w:lang w:val="en-CA"/>
              </w:rPr>
            </w:pPr>
            <w:r w:rsidRPr="00CB4F81">
              <w:rPr>
                <w:lang w:val="en-CA"/>
              </w:rPr>
              <w:t xml:space="preserve">Infrastructure for testing equipment </w:t>
            </w:r>
            <w:r>
              <w:rPr>
                <w:lang w:val="en-CA"/>
              </w:rPr>
              <w:t>to verify the</w:t>
            </w:r>
            <w:r w:rsidRPr="00CB4F81">
              <w:rPr>
                <w:lang w:val="en-CA"/>
              </w:rPr>
              <w:t xml:space="preserve"> achievement</w:t>
            </w:r>
            <w:r>
              <w:rPr>
                <w:lang w:val="en-CA"/>
              </w:rPr>
              <w:t xml:space="preserve"> of energy efficiency standards</w:t>
            </w:r>
          </w:p>
          <w:p w:rsidR="00DC7FB5" w:rsidRPr="00CB4F81" w:rsidRDefault="00DC7FB5" w:rsidP="007D68E6">
            <w:pPr>
              <w:pStyle w:val="ListParagraph"/>
              <w:ind w:left="289"/>
              <w:rPr>
                <w:lang w:val="en-CA"/>
              </w:rPr>
            </w:pPr>
          </w:p>
        </w:tc>
      </w:tr>
      <w:tr w:rsidR="00DC7FB5" w:rsidRPr="00CB4F81" w:rsidTr="007D68E6">
        <w:trPr>
          <w:cantSplit/>
        </w:trPr>
        <w:tc>
          <w:tcPr>
            <w:tcW w:w="1843" w:type="dxa"/>
          </w:tcPr>
          <w:p w:rsidR="00DC7FB5" w:rsidRPr="00CB4F81" w:rsidRDefault="00DC7FB5" w:rsidP="007D68E6">
            <w:pPr>
              <w:jc w:val="left"/>
              <w:rPr>
                <w:lang w:val="en-CA"/>
              </w:rPr>
            </w:pPr>
            <w:r w:rsidRPr="00CB4F81">
              <w:rPr>
                <w:lang w:val="en-CA"/>
              </w:rPr>
              <w:t>Integrated regulatory standards and policies</w:t>
            </w:r>
          </w:p>
        </w:tc>
        <w:tc>
          <w:tcPr>
            <w:tcW w:w="7513" w:type="dxa"/>
          </w:tcPr>
          <w:p w:rsidR="00DC7FB5" w:rsidRPr="00CB4F81" w:rsidRDefault="00DC7FB5" w:rsidP="00DC7FB5">
            <w:pPr>
              <w:pStyle w:val="ListParagraph"/>
              <w:numPr>
                <w:ilvl w:val="0"/>
                <w:numId w:val="80"/>
              </w:numPr>
              <w:ind w:left="289" w:hanging="288"/>
              <w:rPr>
                <w:lang w:val="en-CA"/>
              </w:rPr>
            </w:pPr>
            <w:r w:rsidRPr="00CB4F81">
              <w:rPr>
                <w:lang w:val="en-CA"/>
              </w:rPr>
              <w:t>Development of policies promoting energy efficiency and climate</w:t>
            </w:r>
            <w:r>
              <w:rPr>
                <w:lang w:val="en-CA"/>
              </w:rPr>
              <w:t>-</w:t>
            </w:r>
            <w:r w:rsidRPr="00CB4F81">
              <w:rPr>
                <w:lang w:val="en-CA"/>
              </w:rPr>
              <w:t>friendly refrigerant standards</w:t>
            </w:r>
          </w:p>
          <w:p w:rsidR="00DC7FB5" w:rsidRPr="00CB4F81" w:rsidRDefault="00DC7FB5" w:rsidP="00DC7FB5">
            <w:pPr>
              <w:pStyle w:val="ListParagraph"/>
              <w:numPr>
                <w:ilvl w:val="0"/>
                <w:numId w:val="80"/>
              </w:numPr>
              <w:ind w:left="289" w:hanging="288"/>
              <w:rPr>
                <w:lang w:val="en-CA"/>
              </w:rPr>
            </w:pPr>
            <w:r w:rsidRPr="00CB4F81">
              <w:rPr>
                <w:lang w:val="en-CA"/>
              </w:rPr>
              <w:t>Bulk procurement program</w:t>
            </w:r>
            <w:r>
              <w:rPr>
                <w:lang w:val="en-CA"/>
              </w:rPr>
              <w:t>mes (</w:t>
            </w:r>
            <w:r w:rsidRPr="00CB4F81">
              <w:rPr>
                <w:lang w:val="en-CA"/>
              </w:rPr>
              <w:t>government or other</w:t>
            </w:r>
            <w:r>
              <w:rPr>
                <w:lang w:val="en-CA"/>
              </w:rPr>
              <w:t>)</w:t>
            </w:r>
            <w:r w:rsidRPr="00CB4F81">
              <w:rPr>
                <w:lang w:val="en-CA"/>
              </w:rPr>
              <w:t xml:space="preserve"> for energy</w:t>
            </w:r>
            <w:r>
              <w:rPr>
                <w:lang w:val="en-CA"/>
              </w:rPr>
              <w:t>-</w:t>
            </w:r>
            <w:r w:rsidRPr="00CB4F81">
              <w:rPr>
                <w:lang w:val="en-CA"/>
              </w:rPr>
              <w:t>efficient equipment using low/zero GWP refrigerants</w:t>
            </w:r>
          </w:p>
          <w:p w:rsidR="00DC7FB5" w:rsidRPr="00CB4F81" w:rsidRDefault="00DC7FB5" w:rsidP="00DC7FB5">
            <w:pPr>
              <w:pStyle w:val="ListParagraph"/>
              <w:numPr>
                <w:ilvl w:val="0"/>
                <w:numId w:val="80"/>
              </w:numPr>
              <w:ind w:left="289" w:hanging="288"/>
              <w:rPr>
                <w:lang w:val="en-CA"/>
              </w:rPr>
            </w:pPr>
            <w:r w:rsidRPr="00CB4F81">
              <w:rPr>
                <w:lang w:val="en-CA"/>
              </w:rPr>
              <w:t>Prohibition of import of equipment using low</w:t>
            </w:r>
            <w:r>
              <w:rPr>
                <w:lang w:val="en-CA"/>
              </w:rPr>
              <w:t>er than specified</w:t>
            </w:r>
            <w:r w:rsidRPr="00CB4F81">
              <w:rPr>
                <w:lang w:val="en-CA"/>
              </w:rPr>
              <w:t xml:space="preserve"> energy efficiency standards (e.g., equipment using HCFCs that </w:t>
            </w:r>
            <w:r>
              <w:rPr>
                <w:lang w:val="en-CA"/>
              </w:rPr>
              <w:t>do not have</w:t>
            </w:r>
            <w:r w:rsidRPr="00CB4F81">
              <w:rPr>
                <w:lang w:val="en-CA"/>
              </w:rPr>
              <w:t xml:space="preserve"> high energy efficiency, second hand equipment)</w:t>
            </w:r>
          </w:p>
          <w:p w:rsidR="00DC7FB5" w:rsidRPr="00CB4F81" w:rsidRDefault="00DC7FB5" w:rsidP="00DC7FB5">
            <w:pPr>
              <w:pStyle w:val="ListParagraph"/>
              <w:numPr>
                <w:ilvl w:val="0"/>
                <w:numId w:val="80"/>
              </w:numPr>
              <w:ind w:left="289" w:hanging="288"/>
              <w:rPr>
                <w:lang w:val="en-CA"/>
              </w:rPr>
            </w:pPr>
            <w:r w:rsidRPr="00CB4F81">
              <w:rPr>
                <w:lang w:val="en-CA"/>
              </w:rPr>
              <w:t xml:space="preserve">Integrated housing finance policies for </w:t>
            </w:r>
            <w:r>
              <w:rPr>
                <w:lang w:val="en-CA"/>
              </w:rPr>
              <w:t xml:space="preserve">the </w:t>
            </w:r>
            <w:r w:rsidRPr="00CB4F81">
              <w:rPr>
                <w:lang w:val="en-CA"/>
              </w:rPr>
              <w:t>adoption of energy</w:t>
            </w:r>
            <w:r>
              <w:rPr>
                <w:lang w:val="en-CA"/>
              </w:rPr>
              <w:t>-</w:t>
            </w:r>
            <w:r w:rsidRPr="00CB4F81">
              <w:rPr>
                <w:lang w:val="en-CA"/>
              </w:rPr>
              <w:t>efficient equipment for existing and new buildings</w:t>
            </w:r>
          </w:p>
          <w:p w:rsidR="00DC7FB5" w:rsidRPr="00CB4F81" w:rsidRDefault="00DC7FB5" w:rsidP="00DC7FB5">
            <w:pPr>
              <w:pStyle w:val="ListParagraph"/>
              <w:numPr>
                <w:ilvl w:val="0"/>
                <w:numId w:val="80"/>
              </w:numPr>
              <w:ind w:left="289" w:hanging="288"/>
              <w:rPr>
                <w:lang w:val="en-CA"/>
              </w:rPr>
            </w:pPr>
            <w:r w:rsidRPr="00CB4F81">
              <w:rPr>
                <w:lang w:val="en-CA"/>
              </w:rPr>
              <w:t>Policies for energy</w:t>
            </w:r>
            <w:r>
              <w:rPr>
                <w:lang w:val="en-CA"/>
              </w:rPr>
              <w:t>-</w:t>
            </w:r>
            <w:r w:rsidRPr="00CB4F81">
              <w:rPr>
                <w:lang w:val="en-CA"/>
              </w:rPr>
              <w:t>efficient and climate</w:t>
            </w:r>
            <w:r>
              <w:rPr>
                <w:lang w:val="en-CA"/>
              </w:rPr>
              <w:t>-</w:t>
            </w:r>
            <w:r w:rsidRPr="00CB4F81">
              <w:rPr>
                <w:lang w:val="en-CA"/>
              </w:rPr>
              <w:t>friendly technologies in different industry segments (e.g., cold chain, tourism application</w:t>
            </w:r>
            <w:r>
              <w:rPr>
                <w:lang w:val="en-CA"/>
              </w:rPr>
              <w:t>s</w:t>
            </w:r>
            <w:r w:rsidRPr="00CB4F81">
              <w:rPr>
                <w:lang w:val="en-CA"/>
              </w:rPr>
              <w:t>)</w:t>
            </w:r>
          </w:p>
          <w:p w:rsidR="00DC7FB5" w:rsidRPr="00CB4F81" w:rsidRDefault="00DC7FB5" w:rsidP="00DC7FB5">
            <w:pPr>
              <w:pStyle w:val="ListParagraph"/>
              <w:numPr>
                <w:ilvl w:val="0"/>
                <w:numId w:val="80"/>
              </w:numPr>
              <w:ind w:left="289" w:hanging="288"/>
              <w:rPr>
                <w:lang w:val="en-CA"/>
              </w:rPr>
            </w:pPr>
            <w:r w:rsidRPr="00CB4F81">
              <w:rPr>
                <w:lang w:val="en-CA"/>
              </w:rPr>
              <w:t>Policies to develop incentive programmes for utility companies to encourage the use of energy</w:t>
            </w:r>
            <w:r>
              <w:rPr>
                <w:lang w:val="en-CA"/>
              </w:rPr>
              <w:t>-</w:t>
            </w:r>
            <w:r w:rsidRPr="00CB4F81">
              <w:rPr>
                <w:lang w:val="en-CA"/>
              </w:rPr>
              <w:t xml:space="preserve">efficient equipment </w:t>
            </w:r>
          </w:p>
          <w:p w:rsidR="00DC7FB5" w:rsidRPr="00CB4F81" w:rsidRDefault="00DC7FB5" w:rsidP="00DC7FB5">
            <w:pPr>
              <w:pStyle w:val="ListParagraph"/>
              <w:numPr>
                <w:ilvl w:val="0"/>
                <w:numId w:val="80"/>
              </w:numPr>
              <w:ind w:left="289" w:hanging="288"/>
              <w:rPr>
                <w:lang w:val="en-CA"/>
              </w:rPr>
            </w:pPr>
            <w:r w:rsidRPr="00CB4F81">
              <w:rPr>
                <w:lang w:val="en-CA"/>
              </w:rPr>
              <w:t xml:space="preserve">Policies for </w:t>
            </w:r>
            <w:r>
              <w:rPr>
                <w:lang w:val="en-CA"/>
              </w:rPr>
              <w:t xml:space="preserve">the </w:t>
            </w:r>
            <w:r w:rsidRPr="00CB4F81">
              <w:rPr>
                <w:lang w:val="en-CA"/>
              </w:rPr>
              <w:t>adoption of not-in-kind technologies, wherever feasible</w:t>
            </w:r>
          </w:p>
          <w:p w:rsidR="00DC7FB5" w:rsidRPr="00CB4F81" w:rsidRDefault="00DC7FB5" w:rsidP="007D68E6">
            <w:pPr>
              <w:pStyle w:val="ListParagraph"/>
              <w:ind w:left="289"/>
              <w:rPr>
                <w:lang w:val="en-CA"/>
              </w:rPr>
            </w:pPr>
          </w:p>
        </w:tc>
      </w:tr>
    </w:tbl>
    <w:p w:rsidR="00DC7FB5" w:rsidRDefault="00DC7FB5" w:rsidP="00DC7FB5"/>
    <w:p w:rsidR="00DC7FB5" w:rsidRDefault="00DC7FB5" w:rsidP="00DC7FB5">
      <w:pPr>
        <w:pStyle w:val="Heading1"/>
        <w:keepNext/>
        <w:numPr>
          <w:ilvl w:val="0"/>
          <w:numId w:val="0"/>
        </w:numPr>
        <w:spacing w:after="0"/>
        <w:rPr>
          <w:b/>
          <w:lang w:val="en-CA"/>
        </w:rPr>
      </w:pPr>
      <w:r>
        <w:rPr>
          <w:b/>
          <w:lang w:val="en-CA"/>
        </w:rPr>
        <w:lastRenderedPageBreak/>
        <w:t xml:space="preserve">Multilateral Fund Climate Impact Indicator </w:t>
      </w:r>
    </w:p>
    <w:p w:rsidR="00DC7FB5" w:rsidRPr="007E3DA2" w:rsidRDefault="00DC7FB5" w:rsidP="00DC7FB5">
      <w:pPr>
        <w:keepNext/>
        <w:rPr>
          <w:lang w:val="en-CA"/>
        </w:rPr>
      </w:pPr>
    </w:p>
    <w:p w:rsidR="00DC7FB5" w:rsidRDefault="00DC7FB5" w:rsidP="00DC7FB5">
      <w:pPr>
        <w:pStyle w:val="Heading1"/>
        <w:keepNext/>
        <w:spacing w:after="0"/>
        <w:rPr>
          <w:lang w:val="en-CA"/>
        </w:rPr>
      </w:pPr>
      <w:r w:rsidRPr="00CB4F81">
        <w:rPr>
          <w:lang w:val="en-CA"/>
        </w:rPr>
        <w:t xml:space="preserve">In line with decision XIX/6, the Secretariat developed the Multilateral Fund Climate Impact Indicator (MCII), a tool to assess the impact on the climate associated with the conversion of </w:t>
      </w:r>
      <w:r>
        <w:rPr>
          <w:lang w:val="en-CA"/>
        </w:rPr>
        <w:t>RAC</w:t>
      </w:r>
      <w:r w:rsidRPr="00CB4F81">
        <w:rPr>
          <w:lang w:val="en-CA"/>
        </w:rPr>
        <w:t xml:space="preserve"> manufacturing enterprises </w:t>
      </w:r>
      <w:r>
        <w:rPr>
          <w:lang w:val="en-CA"/>
        </w:rPr>
        <w:t>in</w:t>
      </w:r>
      <w:r w:rsidRPr="00CB4F81">
        <w:rPr>
          <w:lang w:val="en-CA"/>
        </w:rPr>
        <w:t xml:space="preserve"> approved HPMPs</w:t>
      </w:r>
      <w:r>
        <w:rPr>
          <w:lang w:val="en-CA"/>
        </w:rPr>
        <w:t>, with</w:t>
      </w:r>
      <w:r w:rsidRPr="00CB4F81">
        <w:rPr>
          <w:lang w:val="en-CA"/>
        </w:rPr>
        <w:t xml:space="preserve"> the results </w:t>
      </w:r>
      <w:r>
        <w:rPr>
          <w:lang w:val="en-CA"/>
        </w:rPr>
        <w:t>being</w:t>
      </w:r>
      <w:r w:rsidRPr="00CB4F81">
        <w:rPr>
          <w:lang w:val="en-CA"/>
        </w:rPr>
        <w:t xml:space="preserve"> included in relevant project documents submitted to the Executive Committee.</w:t>
      </w:r>
      <w:r>
        <w:rPr>
          <w:lang w:val="en-CA"/>
        </w:rPr>
        <w:t xml:space="preserve"> </w:t>
      </w:r>
    </w:p>
    <w:p w:rsidR="00DC7FB5" w:rsidRDefault="00DC7FB5" w:rsidP="00DC7FB5">
      <w:pPr>
        <w:pStyle w:val="Heading1"/>
        <w:keepNext/>
        <w:numPr>
          <w:ilvl w:val="0"/>
          <w:numId w:val="0"/>
        </w:numPr>
        <w:spacing w:after="0"/>
        <w:rPr>
          <w:lang w:val="en-CA"/>
        </w:rPr>
      </w:pPr>
    </w:p>
    <w:p w:rsidR="00DC7FB5" w:rsidRPr="00FC182F" w:rsidRDefault="00DC7FB5" w:rsidP="00DC7FB5">
      <w:pPr>
        <w:pStyle w:val="Heading1"/>
        <w:keepNext/>
        <w:spacing w:after="0"/>
        <w:rPr>
          <w:lang w:val="en-CA"/>
        </w:rPr>
      </w:pPr>
      <w:r w:rsidRPr="00FC182F">
        <w:rPr>
          <w:lang w:val="en-CA"/>
        </w:rPr>
        <w:t>The MCII aims to be reliable without being too complex, and standardizes the calculations of the climate impact in a way that provides fair and comparable results between alternative technologies. It calculates the climate impact of a conversion project as the difference between the climate impact after and before conversion, with the climate impact being calculated for the emissions over both the product lifetime of the substance, and those related to the use of energy for the given application</w:t>
      </w:r>
      <w:r w:rsidRPr="006E1CBD">
        <w:rPr>
          <w:rStyle w:val="FootnoteReference"/>
          <w:lang w:val="en-CA"/>
        </w:rPr>
        <w:footnoteReference w:id="89"/>
      </w:r>
      <w:r w:rsidRPr="00FC182F">
        <w:rPr>
          <w:lang w:val="en-CA"/>
        </w:rPr>
        <w:t>. To undertake its calculations, the MCII contains an internal model that calculates the energy consumption of the system based on first principles for the thermodynamic circuit. It effectively calculates cycles based on average system characteristics, such as expected compressor efficiencies and heat exchanger performances. The performance of alternative refrigerants is then estimated based on first principles based on the thermodynamic differences with HCFC-22. The model assumes that the alternative refrigerants have no impact on compressor efficiency and heat exchanger performance, which in reality may not be the case as these components may be, or may need to be, optimized for the alternative selected</w:t>
      </w:r>
      <w:r>
        <w:rPr>
          <w:lang w:val="en-CA"/>
        </w:rPr>
        <w:t>.</w:t>
      </w:r>
      <w:r>
        <w:rPr>
          <w:rStyle w:val="FootnoteReference"/>
          <w:lang w:val="en-CA"/>
        </w:rPr>
        <w:footnoteReference w:id="90"/>
      </w:r>
    </w:p>
    <w:p w:rsidR="00DC7FB5" w:rsidRPr="00FC182F" w:rsidRDefault="00DC7FB5" w:rsidP="00DC7FB5">
      <w:pPr>
        <w:rPr>
          <w:lang w:val="en-CA"/>
        </w:rPr>
      </w:pPr>
    </w:p>
    <w:p w:rsidR="00DC7FB5" w:rsidRPr="00210B31" w:rsidRDefault="00DC7FB5" w:rsidP="00DC7FB5">
      <w:pPr>
        <w:pStyle w:val="Heading1"/>
        <w:spacing w:after="0"/>
        <w:rPr>
          <w:lang w:val="en-CA"/>
        </w:rPr>
      </w:pPr>
      <w:r w:rsidRPr="00210B31">
        <w:rPr>
          <w:lang w:val="en-CA"/>
        </w:rPr>
        <w:t xml:space="preserve">The objective of the MCII is </w:t>
      </w:r>
      <w:r>
        <w:rPr>
          <w:lang w:val="en-CA"/>
        </w:rPr>
        <w:t>merely</w:t>
      </w:r>
      <w:r w:rsidRPr="00210B31">
        <w:rPr>
          <w:lang w:val="en-CA"/>
        </w:rPr>
        <w:t xml:space="preserve"> to offer an indication of the climate impact prior to any conversion activities based on limited data, not to replace any analysis that could be undertaken on the basis of more detailed information on the performance of specific RAC equipment, such as a life-cycle climate performance or a life-cycle analysis.</w:t>
      </w:r>
      <w:r>
        <w:rPr>
          <w:lang w:val="en-CA"/>
        </w:rPr>
        <w:t xml:space="preserve"> </w:t>
      </w:r>
    </w:p>
    <w:p w:rsidR="00DC7FB5" w:rsidRDefault="00DC7FB5" w:rsidP="00DC7FB5">
      <w:pPr>
        <w:pStyle w:val="Heading1"/>
        <w:numPr>
          <w:ilvl w:val="0"/>
          <w:numId w:val="0"/>
        </w:numPr>
        <w:spacing w:after="0"/>
        <w:rPr>
          <w:b/>
          <w:lang w:val="en-CA"/>
        </w:rPr>
      </w:pPr>
    </w:p>
    <w:p w:rsidR="00DC7FB5" w:rsidRDefault="00DC7FB5" w:rsidP="00DC7FB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C7FB5" w:rsidTr="007D68E6">
        <w:tc>
          <w:tcPr>
            <w:tcW w:w="1915" w:type="dxa"/>
          </w:tcPr>
          <w:p w:rsidR="00DC7FB5" w:rsidRDefault="00DC7FB5" w:rsidP="007D68E6">
            <w:pPr>
              <w:rPr>
                <w:lang w:val="en-US"/>
              </w:rPr>
            </w:pPr>
          </w:p>
        </w:tc>
        <w:tc>
          <w:tcPr>
            <w:tcW w:w="1915" w:type="dxa"/>
          </w:tcPr>
          <w:p w:rsidR="00DC7FB5" w:rsidRDefault="00DC7FB5" w:rsidP="007D68E6">
            <w:pPr>
              <w:rPr>
                <w:lang w:val="en-US"/>
              </w:rPr>
            </w:pPr>
          </w:p>
        </w:tc>
        <w:tc>
          <w:tcPr>
            <w:tcW w:w="1915" w:type="dxa"/>
            <w:tcBorders>
              <w:bottom w:val="single" w:sz="4" w:space="0" w:color="auto"/>
            </w:tcBorders>
          </w:tcPr>
          <w:p w:rsidR="00DC7FB5" w:rsidRDefault="00DC7FB5" w:rsidP="007D68E6">
            <w:pPr>
              <w:rPr>
                <w:lang w:val="en-US"/>
              </w:rPr>
            </w:pPr>
          </w:p>
        </w:tc>
        <w:tc>
          <w:tcPr>
            <w:tcW w:w="1915" w:type="dxa"/>
          </w:tcPr>
          <w:p w:rsidR="00DC7FB5" w:rsidRDefault="00DC7FB5" w:rsidP="007D68E6">
            <w:pPr>
              <w:rPr>
                <w:lang w:val="en-US"/>
              </w:rPr>
            </w:pPr>
          </w:p>
        </w:tc>
        <w:tc>
          <w:tcPr>
            <w:tcW w:w="1916" w:type="dxa"/>
          </w:tcPr>
          <w:p w:rsidR="00DC7FB5" w:rsidRDefault="00DC7FB5" w:rsidP="007D68E6">
            <w:pPr>
              <w:rPr>
                <w:lang w:val="en-US"/>
              </w:rPr>
            </w:pPr>
          </w:p>
        </w:tc>
      </w:tr>
    </w:tbl>
    <w:p w:rsidR="00DC7FB5" w:rsidRPr="005D3E9D" w:rsidRDefault="00DC7FB5" w:rsidP="00DC7FB5">
      <w:pPr>
        <w:rPr>
          <w:lang w:val="en-US"/>
        </w:rPr>
      </w:pPr>
    </w:p>
    <w:p w:rsidR="00DC7FB5" w:rsidRPr="00755D0C" w:rsidRDefault="00DC7FB5" w:rsidP="00DC7FB5">
      <w:pPr>
        <w:pStyle w:val="Heading2"/>
        <w:numPr>
          <w:ilvl w:val="0"/>
          <w:numId w:val="0"/>
        </w:numPr>
      </w:pPr>
    </w:p>
    <w:p w:rsidR="00DC7FB5" w:rsidRPr="00823547" w:rsidRDefault="00DC7FB5" w:rsidP="00DC7FB5">
      <w:pPr>
        <w:rPr>
          <w:lang w:val="en-CA"/>
        </w:rPr>
      </w:pPr>
    </w:p>
    <w:p w:rsidR="00042B18" w:rsidRPr="00DC7FB5" w:rsidRDefault="00042B18" w:rsidP="00122907">
      <w:pPr>
        <w:tabs>
          <w:tab w:val="left" w:pos="4080"/>
          <w:tab w:val="center" w:pos="4680"/>
        </w:tabs>
        <w:jc w:val="left"/>
        <w:rPr>
          <w:b/>
          <w:lang w:val="en-CA"/>
        </w:rPr>
      </w:pPr>
    </w:p>
    <w:sectPr w:rsidR="00042B18" w:rsidRPr="00DC7FB5" w:rsidSect="006415F1">
      <w:headerReference w:type="even" r:id="rId36"/>
      <w:headerReference w:type="default" r:id="rId37"/>
      <w:footerReference w:type="even" r:id="rId38"/>
      <w:footerReference w:type="default" r:id="rId39"/>
      <w:headerReference w:type="first" r:id="rId40"/>
      <w:footerReference w:type="first" r:id="rId4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8E6" w:rsidRDefault="007D68E6" w:rsidP="004A504B">
      <w:r>
        <w:separator/>
      </w:r>
    </w:p>
  </w:endnote>
  <w:endnote w:type="continuationSeparator" w:id="0">
    <w:p w:rsidR="007D68E6" w:rsidRDefault="007D68E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Roboto">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G Times">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TimesNewRoman,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7079592"/>
      <w:docPartObj>
        <w:docPartGallery w:val="Page Numbers (Bottom of Page)"/>
        <w:docPartUnique/>
      </w:docPartObj>
    </w:sdtPr>
    <w:sdtEndPr>
      <w:rPr>
        <w:noProof/>
      </w:rPr>
    </w:sdtEndPr>
    <w:sdtContent>
      <w:p w:rsidR="007D68E6" w:rsidRDefault="007D68E6">
        <w:pPr>
          <w:pStyle w:val="Footer"/>
          <w:jc w:val="center"/>
        </w:pPr>
        <w:r>
          <w:fldChar w:fldCharType="begin"/>
        </w:r>
        <w:r>
          <w:instrText xml:space="preserve"> PAGE   \* MERGEFORMAT </w:instrText>
        </w:r>
        <w:r>
          <w:fldChar w:fldCharType="separate"/>
        </w:r>
        <w:r w:rsidR="00FB3F9B">
          <w:rPr>
            <w:noProof/>
          </w:rPr>
          <w:t>18</w:t>
        </w:r>
        <w:r>
          <w:rPr>
            <w:noProof/>
          </w:rPr>
          <w:fldChar w:fldCharType="end"/>
        </w:r>
      </w:p>
    </w:sdtContent>
  </w:sdt>
  <w:p w:rsidR="007D68E6" w:rsidRDefault="007D68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577107"/>
      <w:docPartObj>
        <w:docPartGallery w:val="Page Numbers (Bottom of Page)"/>
        <w:docPartUnique/>
      </w:docPartObj>
    </w:sdtPr>
    <w:sdtEndPr>
      <w:rPr>
        <w:noProof/>
      </w:rPr>
    </w:sdtEndPr>
    <w:sdtContent>
      <w:p w:rsidR="007D68E6" w:rsidRDefault="007D68E6">
        <w:pPr>
          <w:pStyle w:val="Footer"/>
          <w:jc w:val="center"/>
        </w:pPr>
        <w:r>
          <w:fldChar w:fldCharType="begin"/>
        </w:r>
        <w:r>
          <w:instrText xml:space="preserve"> PAGE   \* MERGEFORMAT </w:instrText>
        </w:r>
        <w:r>
          <w:fldChar w:fldCharType="separate"/>
        </w:r>
        <w:r w:rsidR="00FB3F9B">
          <w:rPr>
            <w:noProof/>
          </w:rPr>
          <w:t>19</w:t>
        </w:r>
        <w:r>
          <w:rPr>
            <w:noProof/>
          </w:rPr>
          <w:fldChar w:fldCharType="end"/>
        </w:r>
      </w:p>
    </w:sdtContent>
  </w:sdt>
  <w:p w:rsidR="007D68E6" w:rsidRDefault="007D68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0438701"/>
      <w:docPartObj>
        <w:docPartGallery w:val="Page Numbers (Bottom of Page)"/>
        <w:docPartUnique/>
      </w:docPartObj>
    </w:sdtPr>
    <w:sdtEndPr>
      <w:rPr>
        <w:noProof/>
      </w:rPr>
    </w:sdtEndPr>
    <w:sdtContent>
      <w:p w:rsidR="007D68E6" w:rsidRDefault="007D68E6">
        <w:pPr>
          <w:pStyle w:val="Footer"/>
          <w:jc w:val="center"/>
        </w:pPr>
        <w:r>
          <w:fldChar w:fldCharType="begin"/>
        </w:r>
        <w:r>
          <w:instrText xml:space="preserve"> PAGE   \* MERGEFORMAT </w:instrText>
        </w:r>
        <w:r>
          <w:fldChar w:fldCharType="separate"/>
        </w:r>
        <w:r w:rsidR="00FB3F9B">
          <w:rPr>
            <w:noProof/>
          </w:rPr>
          <w:t>1</w:t>
        </w:r>
        <w:r>
          <w:rPr>
            <w:noProof/>
          </w:rPr>
          <w:fldChar w:fldCharType="end"/>
        </w:r>
      </w:p>
    </w:sdtContent>
  </w:sdt>
  <w:p w:rsidR="007D68E6" w:rsidRPr="00594882" w:rsidRDefault="007D68E6" w:rsidP="0059488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5978643"/>
      <w:docPartObj>
        <w:docPartGallery w:val="Page Numbers (Bottom of Page)"/>
        <w:docPartUnique/>
      </w:docPartObj>
    </w:sdtPr>
    <w:sdtEndPr>
      <w:rPr>
        <w:noProof/>
      </w:rPr>
    </w:sdtEndPr>
    <w:sdtContent>
      <w:p w:rsidR="007D68E6" w:rsidRDefault="007D68E6">
        <w:pPr>
          <w:pStyle w:val="Footer"/>
          <w:jc w:val="center"/>
        </w:pPr>
        <w:r>
          <w:fldChar w:fldCharType="begin"/>
        </w:r>
        <w:r>
          <w:instrText xml:space="preserve"> PAGE   \* MERGEFORMAT </w:instrText>
        </w:r>
        <w:r>
          <w:fldChar w:fldCharType="separate"/>
        </w:r>
        <w:r w:rsidR="00FB3F9B">
          <w:rPr>
            <w:noProof/>
          </w:rPr>
          <w:t>30</w:t>
        </w:r>
        <w:r>
          <w:rPr>
            <w:noProof/>
          </w:rPr>
          <w:fldChar w:fldCharType="end"/>
        </w:r>
      </w:p>
    </w:sdtContent>
  </w:sdt>
  <w:p w:rsidR="007D68E6" w:rsidRDefault="007D68E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4184898"/>
      <w:docPartObj>
        <w:docPartGallery w:val="Page Numbers (Bottom of Page)"/>
        <w:docPartUnique/>
      </w:docPartObj>
    </w:sdtPr>
    <w:sdtEndPr>
      <w:rPr>
        <w:noProof/>
      </w:rPr>
    </w:sdtEndPr>
    <w:sdtContent>
      <w:p w:rsidR="007D68E6" w:rsidRDefault="007D68E6">
        <w:pPr>
          <w:pStyle w:val="Footer"/>
          <w:jc w:val="center"/>
        </w:pPr>
        <w:r>
          <w:fldChar w:fldCharType="begin"/>
        </w:r>
        <w:r>
          <w:instrText xml:space="preserve"> PAGE   \* MERGEFORMAT </w:instrText>
        </w:r>
        <w:r>
          <w:fldChar w:fldCharType="separate"/>
        </w:r>
        <w:r w:rsidR="00FB3F9B">
          <w:rPr>
            <w:noProof/>
          </w:rPr>
          <w:t>31</w:t>
        </w:r>
        <w:r>
          <w:rPr>
            <w:noProof/>
          </w:rPr>
          <w:fldChar w:fldCharType="end"/>
        </w:r>
      </w:p>
    </w:sdtContent>
  </w:sdt>
  <w:p w:rsidR="007D68E6" w:rsidRDefault="007D68E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3445273"/>
      <w:docPartObj>
        <w:docPartGallery w:val="Page Numbers (Bottom of Page)"/>
        <w:docPartUnique/>
      </w:docPartObj>
    </w:sdtPr>
    <w:sdtEndPr>
      <w:rPr>
        <w:noProof/>
      </w:rPr>
    </w:sdtEndPr>
    <w:sdtContent>
      <w:p w:rsidR="007D68E6" w:rsidRDefault="007D68E6">
        <w:pPr>
          <w:pStyle w:val="Footer"/>
          <w:jc w:val="center"/>
        </w:pPr>
        <w:r>
          <w:fldChar w:fldCharType="begin"/>
        </w:r>
        <w:r>
          <w:instrText xml:space="preserve"> PAGE   \* MERGEFORMAT </w:instrText>
        </w:r>
        <w:r>
          <w:fldChar w:fldCharType="separate"/>
        </w:r>
        <w:r w:rsidR="00FB3F9B">
          <w:rPr>
            <w:noProof/>
          </w:rPr>
          <w:t>1</w:t>
        </w:r>
        <w:r>
          <w:rPr>
            <w:noProof/>
          </w:rPr>
          <w:fldChar w:fldCharType="end"/>
        </w:r>
      </w:p>
    </w:sdtContent>
  </w:sdt>
  <w:p w:rsidR="007D68E6" w:rsidRDefault="007D68E6">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33525D" w:rsidRDefault="007D68E6">
    <w:pPr>
      <w:jc w:val="center"/>
    </w:pPr>
    <w:r>
      <w:fldChar w:fldCharType="begin"/>
    </w:r>
    <w:r>
      <w:instrText xml:space="preserve"> PAGE </w:instrText>
    </w:r>
    <w:r>
      <w:fldChar w:fldCharType="separate"/>
    </w:r>
    <w:r w:rsidR="00FB3F9B">
      <w:rPr>
        <w:noProof/>
      </w:rPr>
      <w:t>4</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33525D" w:rsidRDefault="007D68E6">
    <w:pPr>
      <w:jc w:val="center"/>
    </w:pPr>
    <w:r>
      <w:fldChar w:fldCharType="begin"/>
    </w:r>
    <w:r>
      <w:instrText xml:space="preserve"> PAGE </w:instrText>
    </w:r>
    <w:r>
      <w:fldChar w:fldCharType="separate"/>
    </w:r>
    <w:r w:rsidR="00FB3F9B">
      <w:rPr>
        <w:noProof/>
      </w:rPr>
      <w:t>5</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084391"/>
      <w:docPartObj>
        <w:docPartGallery w:val="Page Numbers (Bottom of Page)"/>
        <w:docPartUnique/>
      </w:docPartObj>
    </w:sdtPr>
    <w:sdtEndPr>
      <w:rPr>
        <w:noProof/>
      </w:rPr>
    </w:sdtEndPr>
    <w:sdtContent>
      <w:p w:rsidR="007D68E6" w:rsidRDefault="007D68E6">
        <w:pPr>
          <w:pStyle w:val="Footer"/>
          <w:jc w:val="center"/>
        </w:pPr>
        <w:r>
          <w:fldChar w:fldCharType="begin"/>
        </w:r>
        <w:r>
          <w:instrText xml:space="preserve"> PAGE   \* MERGEFORMAT </w:instrText>
        </w:r>
        <w:r>
          <w:fldChar w:fldCharType="separate"/>
        </w:r>
        <w:r w:rsidR="00FB3F9B">
          <w:rPr>
            <w:noProof/>
          </w:rPr>
          <w:t>1</w:t>
        </w:r>
        <w:r>
          <w:rPr>
            <w:noProof/>
          </w:rPr>
          <w:fldChar w:fldCharType="end"/>
        </w:r>
      </w:p>
    </w:sdtContent>
  </w:sdt>
  <w:p w:rsidR="007D68E6" w:rsidRPr="000247A4" w:rsidRDefault="007D68E6" w:rsidP="00042B18">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33525D" w:rsidRDefault="007D68E6">
    <w:pPr>
      <w:jc w:val="center"/>
    </w:pPr>
    <w:r>
      <w:fldChar w:fldCharType="begin"/>
    </w:r>
    <w:r>
      <w:instrText xml:space="preserve"> PAGE </w:instrText>
    </w:r>
    <w:r>
      <w:fldChar w:fldCharType="separate"/>
    </w:r>
    <w:r w:rsidR="00FB3F9B">
      <w:rPr>
        <w:noProof/>
      </w:rPr>
      <w:t>8</w:t>
    </w:r>
    <w:r>
      <w:rPr>
        <w:noProof/>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33525D" w:rsidRDefault="007D68E6">
    <w:pPr>
      <w:jc w:val="center"/>
    </w:pPr>
    <w:r>
      <w:fldChar w:fldCharType="begin"/>
    </w:r>
    <w:r>
      <w:instrText xml:space="preserve"> PAGE </w:instrText>
    </w:r>
    <w:r>
      <w:fldChar w:fldCharType="separate"/>
    </w:r>
    <w:r w:rsidR="00FB3F9B">
      <w:rPr>
        <w:noProof/>
      </w:rPr>
      <w:t>9</w:t>
    </w:r>
    <w:r>
      <w:rPr>
        <w:noProof/>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2617563"/>
      <w:docPartObj>
        <w:docPartGallery w:val="Page Numbers (Bottom of Page)"/>
        <w:docPartUnique/>
      </w:docPartObj>
    </w:sdtPr>
    <w:sdtEndPr>
      <w:rPr>
        <w:noProof/>
      </w:rPr>
    </w:sdtEndPr>
    <w:sdtContent>
      <w:p w:rsidR="007D68E6" w:rsidRDefault="007D68E6">
        <w:pPr>
          <w:pStyle w:val="Footer"/>
          <w:jc w:val="center"/>
        </w:pPr>
        <w:r>
          <w:fldChar w:fldCharType="begin"/>
        </w:r>
        <w:r>
          <w:instrText xml:space="preserve"> PAGE   \* MERGEFORMAT </w:instrText>
        </w:r>
        <w:r>
          <w:fldChar w:fldCharType="separate"/>
        </w:r>
        <w:r w:rsidR="00FB3F9B">
          <w:rPr>
            <w:noProof/>
          </w:rPr>
          <w:t>6</w:t>
        </w:r>
        <w:r>
          <w:rPr>
            <w:noProof/>
          </w:rP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33525D" w:rsidRDefault="007D68E6">
    <w:pPr>
      <w:jc w:val="center"/>
    </w:pPr>
    <w:r>
      <w:fldChar w:fldCharType="begin"/>
    </w:r>
    <w:r>
      <w:instrText xml:space="preserve"> PAGE </w:instrText>
    </w:r>
    <w:r>
      <w:fldChar w:fldCharType="separate"/>
    </w:r>
    <w:r w:rsidR="00FB3F9B">
      <w:rPr>
        <w:noProof/>
      </w:rPr>
      <w:t>6</w:t>
    </w:r>
    <w:r>
      <w:rPr>
        <w:noProof/>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33525D" w:rsidRDefault="007D68E6">
    <w:pPr>
      <w:jc w:val="center"/>
    </w:pPr>
    <w:r>
      <w:fldChar w:fldCharType="begin"/>
    </w:r>
    <w:r>
      <w:instrText xml:space="preserve"> PAGE </w:instrText>
    </w:r>
    <w:r>
      <w:fldChar w:fldCharType="separate"/>
    </w:r>
    <w:r w:rsidR="00FB3F9B">
      <w:rPr>
        <w:noProof/>
      </w:rPr>
      <w:t>7</w:t>
    </w:r>
    <w:r>
      <w:rPr>
        <w:noProof/>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474777"/>
      <w:docPartObj>
        <w:docPartGallery w:val="Page Numbers (Bottom of Page)"/>
        <w:docPartUnique/>
      </w:docPartObj>
    </w:sdtPr>
    <w:sdtEndPr>
      <w:rPr>
        <w:noProof/>
      </w:rPr>
    </w:sdtEndPr>
    <w:sdtContent>
      <w:p w:rsidR="006415F1" w:rsidRDefault="006415F1">
        <w:pPr>
          <w:pStyle w:val="Footer"/>
          <w:jc w:val="center"/>
        </w:pPr>
        <w:r>
          <w:fldChar w:fldCharType="begin"/>
        </w:r>
        <w:r>
          <w:instrText xml:space="preserve"> PAGE   \* MERGEFORMAT </w:instrText>
        </w:r>
        <w:r>
          <w:fldChar w:fldCharType="separate"/>
        </w:r>
        <w:r w:rsidR="00FB3F9B">
          <w:rPr>
            <w:noProof/>
          </w:rPr>
          <w:t>1</w:t>
        </w:r>
        <w:r>
          <w:rPr>
            <w:noProof/>
          </w:rPr>
          <w:fldChar w:fldCharType="end"/>
        </w:r>
      </w:p>
    </w:sdtContent>
  </w:sdt>
  <w:p w:rsidR="007D68E6" w:rsidRDefault="007D68E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8E6" w:rsidRDefault="007D68E6" w:rsidP="004A504B">
      <w:r>
        <w:separator/>
      </w:r>
    </w:p>
  </w:footnote>
  <w:footnote w:type="continuationSeparator" w:id="0">
    <w:p w:rsidR="007D68E6" w:rsidRDefault="007D68E6" w:rsidP="004A504B">
      <w:r>
        <w:continuationSeparator/>
      </w:r>
    </w:p>
  </w:footnote>
  <w:footnote w:id="1">
    <w:p w:rsidR="007D68E6" w:rsidRPr="007B4D2A" w:rsidRDefault="007D68E6" w:rsidP="00010AE1">
      <w:pPr>
        <w:pStyle w:val="FootnoteText"/>
      </w:pPr>
      <w:r>
        <w:rPr>
          <w:rStyle w:val="FootnoteReference"/>
        </w:rPr>
        <w:footnoteRef/>
      </w:r>
      <w:r>
        <w:t xml:space="preserve"> Kigali, Rwanda, 10–15 October 2016.</w:t>
      </w:r>
    </w:p>
  </w:footnote>
  <w:footnote w:id="2">
    <w:p w:rsidR="007D68E6" w:rsidRPr="0007077E" w:rsidRDefault="007D68E6" w:rsidP="00010AE1">
      <w:pPr>
        <w:pStyle w:val="FootnoteText"/>
        <w:rPr>
          <w:lang w:val="en-US"/>
        </w:rPr>
      </w:pPr>
      <w:r>
        <w:rPr>
          <w:rStyle w:val="FootnoteReference"/>
        </w:rPr>
        <w:footnoteRef/>
      </w:r>
      <w:r w:rsidRPr="0007077E">
        <w:rPr>
          <w:lang w:val="en-US"/>
        </w:rPr>
        <w:t xml:space="preserve"> Decision XXVIII/1, Annex </w:t>
      </w:r>
      <w:r>
        <w:rPr>
          <w:lang w:val="en-US"/>
        </w:rPr>
        <w:t>I</w:t>
      </w:r>
      <w:r w:rsidRPr="0007077E">
        <w:rPr>
          <w:lang w:val="en-US"/>
        </w:rPr>
        <w:t xml:space="preserve"> of document UNEP/OzL.Pro/28/12.</w:t>
      </w:r>
    </w:p>
  </w:footnote>
  <w:footnote w:id="3">
    <w:p w:rsidR="007D68E6" w:rsidRPr="00E86116" w:rsidRDefault="007D68E6" w:rsidP="00010AE1">
      <w:pPr>
        <w:pStyle w:val="FootnoteText"/>
      </w:pPr>
      <w:r>
        <w:rPr>
          <w:rStyle w:val="FootnoteReference"/>
        </w:rPr>
        <w:footnoteRef/>
      </w:r>
      <w:r>
        <w:t xml:space="preserve"> Information was received from the Governments of Argentina, Germany, Japan and the United States of America.</w:t>
      </w:r>
    </w:p>
  </w:footnote>
  <w:footnote w:id="4">
    <w:p w:rsidR="007D68E6" w:rsidRPr="00056698" w:rsidRDefault="007D68E6">
      <w:pPr>
        <w:pStyle w:val="FootnoteText"/>
      </w:pPr>
      <w:r>
        <w:rPr>
          <w:rStyle w:val="FootnoteReference"/>
        </w:rPr>
        <w:footnoteRef/>
      </w:r>
      <w:r>
        <w:t xml:space="preserve"> The complete text of the information provided by members of the Executive Committee is contained in Annex II of document UNEP/OzL.Pro/ExCom/78/1/Add.1 (Annotated provisional agenda).</w:t>
      </w:r>
    </w:p>
  </w:footnote>
  <w:footnote w:id="5">
    <w:p w:rsidR="007D68E6" w:rsidRPr="00B413EB" w:rsidRDefault="007D68E6">
      <w:pPr>
        <w:pStyle w:val="FootnoteText"/>
      </w:pPr>
      <w:r>
        <w:rPr>
          <w:rStyle w:val="FootnoteReference"/>
        </w:rPr>
        <w:footnoteRef/>
      </w:r>
      <w:r>
        <w:t xml:space="preserve"> UNEP/OzL.Pro/ExCom/78/1/Add.1.</w:t>
      </w:r>
    </w:p>
  </w:footnote>
  <w:footnote w:id="6">
    <w:p w:rsidR="007D68E6" w:rsidRPr="00B413EB" w:rsidRDefault="007D68E6">
      <w:pPr>
        <w:pStyle w:val="FootnoteText"/>
      </w:pPr>
      <w:r>
        <w:rPr>
          <w:rStyle w:val="FootnoteReference"/>
        </w:rPr>
        <w:footnoteRef/>
      </w:r>
      <w:r>
        <w:t xml:space="preserve"> </w:t>
      </w:r>
      <w:r>
        <w:rPr>
          <w:lang w:val="en-CA"/>
        </w:rPr>
        <w:t>UNEP/OzL.Pro/ExCom/78/6.</w:t>
      </w:r>
    </w:p>
  </w:footnote>
  <w:footnote w:id="7">
    <w:p w:rsidR="007D68E6" w:rsidRPr="00583C8E" w:rsidRDefault="007D68E6">
      <w:pPr>
        <w:pStyle w:val="FootnoteText"/>
      </w:pPr>
      <w:r>
        <w:rPr>
          <w:rStyle w:val="FootnoteReference"/>
        </w:rPr>
        <w:footnoteRef/>
      </w:r>
      <w:r>
        <w:t xml:space="preserve"> D</w:t>
      </w:r>
      <w:r w:rsidRPr="00CF6EC3">
        <w:rPr>
          <w:lang w:val="en-CA"/>
        </w:rPr>
        <w:t xml:space="preserve">ecision 53/37 </w:t>
      </w:r>
      <w:r>
        <w:rPr>
          <w:lang w:val="en-CA"/>
        </w:rPr>
        <w:t xml:space="preserve">and subsequent decisions related to the HCFC phase-out are included for reference </w:t>
      </w:r>
      <w:r w:rsidRPr="00CF6EC3">
        <w:rPr>
          <w:lang w:val="en-CA"/>
        </w:rPr>
        <w:t>in Annex II</w:t>
      </w:r>
      <w:r>
        <w:rPr>
          <w:lang w:val="en-CA"/>
        </w:rPr>
        <w:t xml:space="preserve"> to the present document</w:t>
      </w:r>
      <w:r w:rsidRPr="00CF6EC3">
        <w:rPr>
          <w:lang w:val="en-CA"/>
        </w:rPr>
        <w:t>.</w:t>
      </w:r>
    </w:p>
  </w:footnote>
  <w:footnote w:id="8">
    <w:p w:rsidR="007D68E6" w:rsidRPr="00530615" w:rsidRDefault="007D68E6" w:rsidP="009D0410">
      <w:pPr>
        <w:pStyle w:val="FootnoteText"/>
      </w:pPr>
      <w:r>
        <w:rPr>
          <w:rStyle w:val="FootnoteReference"/>
        </w:rPr>
        <w:footnoteRef/>
      </w:r>
      <w:r>
        <w:t xml:space="preserve"> </w:t>
      </w:r>
      <w:proofErr w:type="gramStart"/>
      <w:r>
        <w:t>Appendix 1 of decision II/8 (Financial Mechanism).</w:t>
      </w:r>
      <w:proofErr w:type="gramEnd"/>
    </w:p>
  </w:footnote>
  <w:footnote w:id="9">
    <w:p w:rsidR="007D68E6" w:rsidRPr="00AE0F96" w:rsidRDefault="007D68E6" w:rsidP="009D0410">
      <w:pPr>
        <w:pStyle w:val="FootnoteText"/>
      </w:pPr>
      <w:r>
        <w:rPr>
          <w:rStyle w:val="FootnoteReference"/>
        </w:rPr>
        <w:footnoteRef/>
      </w:r>
      <w:r>
        <w:t xml:space="preserve"> Annex </w:t>
      </w:r>
      <w:proofErr w:type="gramStart"/>
      <w:r>
        <w:t>I</w:t>
      </w:r>
      <w:proofErr w:type="gramEnd"/>
      <w:r>
        <w:t xml:space="preserve"> of document UNEP/OzL.Pro/ExCom/55/47.</w:t>
      </w:r>
    </w:p>
  </w:footnote>
  <w:footnote w:id="10">
    <w:p w:rsidR="007D68E6" w:rsidRPr="003A7A81" w:rsidRDefault="007D68E6">
      <w:pPr>
        <w:pStyle w:val="FootnoteText"/>
      </w:pPr>
      <w:r>
        <w:rPr>
          <w:rStyle w:val="FootnoteReference"/>
        </w:rPr>
        <w:footnoteRef/>
      </w:r>
      <w:r>
        <w:t xml:space="preserve"> Examples of this are described in document UNEP/OzL.Pro/ExCom/78/8.</w:t>
      </w:r>
    </w:p>
  </w:footnote>
  <w:footnote w:id="11">
    <w:p w:rsidR="007D68E6" w:rsidRPr="005F2866" w:rsidRDefault="007D68E6" w:rsidP="00AF3303">
      <w:pPr>
        <w:pStyle w:val="FootnoteText"/>
        <w:rPr>
          <w:lang w:val="en-CA"/>
        </w:rPr>
      </w:pPr>
      <w:r>
        <w:rPr>
          <w:rStyle w:val="FootnoteReference"/>
        </w:rPr>
        <w:footnoteRef/>
      </w:r>
      <w:r>
        <w:t xml:space="preserve"> The Executive Committee also noted that if an Article 5 country selected option 2, it should be with the understanding that the Executive Committee might agree in exceptional cases to adjust the resulting baseline at the first instance a project from a country was considered, to take into account the demonstrated non</w:t>
      </w:r>
      <w:r>
        <w:noBreakHyphen/>
        <w:t>representative nature of the last year’s data for reasons such as clearly demonstrated stockpiling in the specific 12-month period, and/or national economic difficulties in the specific 12-month period (illegal imports were not taken into account as firms that import illegally or purchase illegal imports should not benefit from Fund assistance).</w:t>
      </w:r>
    </w:p>
  </w:footnote>
  <w:footnote w:id="12">
    <w:p w:rsidR="007D68E6" w:rsidRPr="00667FA5" w:rsidRDefault="007D68E6" w:rsidP="001E181C">
      <w:pPr>
        <w:pStyle w:val="FootnoteText"/>
        <w:rPr>
          <w:lang w:val="en-CA"/>
        </w:rPr>
      </w:pPr>
      <w:r>
        <w:rPr>
          <w:rStyle w:val="FootnoteReference"/>
        </w:rPr>
        <w:footnoteRef/>
      </w:r>
      <w:r>
        <w:t xml:space="preserve"> </w:t>
      </w:r>
      <w:r>
        <w:rPr>
          <w:lang w:val="en-CA"/>
        </w:rPr>
        <w:t>At the 4</w:t>
      </w:r>
      <w:r w:rsidRPr="00667FA5">
        <w:rPr>
          <w:vertAlign w:val="superscript"/>
          <w:lang w:val="en-CA"/>
        </w:rPr>
        <w:t>th</w:t>
      </w:r>
      <w:r>
        <w:rPr>
          <w:lang w:val="en-CA"/>
        </w:rPr>
        <w:t xml:space="preserve"> meeting (June 1991), the Executive Committee approved 61 projects in 29 Article 5 countries and two regional projects, at a total value of US $</w:t>
      </w:r>
      <w:r w:rsidRPr="00667FA5">
        <w:rPr>
          <w:lang w:val="en-CA"/>
        </w:rPr>
        <w:t>6,160,42</w:t>
      </w:r>
      <w:r>
        <w:rPr>
          <w:lang w:val="en-CA"/>
        </w:rPr>
        <w:t xml:space="preserve">2. The starting point </w:t>
      </w:r>
      <w:r w:rsidRPr="007C2D5E">
        <w:rPr>
          <w:lang w:val="en-CA"/>
        </w:rPr>
        <w:t>for sustained aggregate reductions</w:t>
      </w:r>
      <w:r>
        <w:rPr>
          <w:lang w:val="en-CA"/>
        </w:rPr>
        <w:t xml:space="preserve"> was agreed at the 35</w:t>
      </w:r>
      <w:r w:rsidRPr="007C2D5E">
        <w:rPr>
          <w:vertAlign w:val="superscript"/>
          <w:lang w:val="en-CA"/>
        </w:rPr>
        <w:t>th</w:t>
      </w:r>
      <w:r>
        <w:rPr>
          <w:lang w:val="en-CA"/>
        </w:rPr>
        <w:t xml:space="preserve"> meeting (December 2001).</w:t>
      </w:r>
    </w:p>
  </w:footnote>
  <w:footnote w:id="13">
    <w:p w:rsidR="007D68E6" w:rsidRPr="00484C60" w:rsidRDefault="007D68E6" w:rsidP="009E77F8">
      <w:pPr>
        <w:pStyle w:val="FootnoteText"/>
        <w:rPr>
          <w:lang w:val="en-CA"/>
        </w:rPr>
      </w:pPr>
      <w:r>
        <w:rPr>
          <w:rStyle w:val="FootnoteReference"/>
        </w:rPr>
        <w:footnoteRef/>
      </w:r>
      <w:r>
        <w:t xml:space="preserve"> </w:t>
      </w:r>
      <w:r w:rsidRPr="00484C60">
        <w:t>For example, the starting</w:t>
      </w:r>
      <w:r>
        <w:t xml:space="preserve"> point</w:t>
      </w:r>
      <w:r w:rsidRPr="00484C60">
        <w:t xml:space="preserve"> </w:t>
      </w:r>
      <w:r>
        <w:t xml:space="preserve">for aggregate reductions in </w:t>
      </w:r>
      <w:r w:rsidRPr="00484C60">
        <w:t xml:space="preserve">HCFC consumption of 131 of the 143 Article 5 countries currently receiving assistance from the Multilateral Fund is similar to their baseline for compliance; seven countries selected the starting point as either the 2008 or the 2009 HCFC consumption reported under Article 7 of the Montreal Protocol; five countries calculated their starting point taking into account national circumstances such as HCFC stockpiles; and one country </w:t>
      </w:r>
      <w:r>
        <w:t>doe</w:t>
      </w:r>
      <w:r w:rsidRPr="00484C60">
        <w:t xml:space="preserve">s not yet </w:t>
      </w:r>
      <w:r>
        <w:t xml:space="preserve">have </w:t>
      </w:r>
      <w:r w:rsidRPr="00484C60">
        <w:t>an approved HPMP.</w:t>
      </w:r>
    </w:p>
  </w:footnote>
  <w:footnote w:id="14">
    <w:p w:rsidR="007D68E6" w:rsidRPr="00831588" w:rsidRDefault="007D68E6" w:rsidP="00ED0157">
      <w:pPr>
        <w:pStyle w:val="FootnoteText"/>
        <w:rPr>
          <w:lang w:val="en-US"/>
        </w:rPr>
      </w:pPr>
      <w:r>
        <w:rPr>
          <w:rStyle w:val="FootnoteReference"/>
        </w:rPr>
        <w:footnoteRef/>
      </w:r>
      <w:r>
        <w:t xml:space="preserve"> UNEP/OzL.Pro/ExCom/78/</w:t>
      </w:r>
      <w:r w:rsidRPr="00341129">
        <w:t>4 (document on Available information on HFC consumption and production).</w:t>
      </w:r>
      <w:r>
        <w:t xml:space="preserve"> C</w:t>
      </w:r>
      <w:r w:rsidRPr="00831588">
        <w:t xml:space="preserve">onsumption of blends like R-410A, R-407C, </w:t>
      </w:r>
      <w:proofErr w:type="gramStart"/>
      <w:r w:rsidRPr="00831588">
        <w:t>R</w:t>
      </w:r>
      <w:proofErr w:type="gramEnd"/>
      <w:r w:rsidRPr="00831588">
        <w:t xml:space="preserve">-404A </w:t>
      </w:r>
      <w:r>
        <w:t>can account for</w:t>
      </w:r>
      <w:r w:rsidRPr="00831588">
        <w:t xml:space="preserve"> a significant portion of the total</w:t>
      </w:r>
      <w:r>
        <w:t xml:space="preserve"> HFC</w:t>
      </w:r>
      <w:r w:rsidRPr="00831588">
        <w:t xml:space="preserve"> consumption both in </w:t>
      </w:r>
      <w:r>
        <w:t xml:space="preserve">metric </w:t>
      </w:r>
      <w:r w:rsidRPr="00831588">
        <w:t>tonnes and CO</w:t>
      </w:r>
      <w:r w:rsidRPr="00831588">
        <w:rPr>
          <w:vertAlign w:val="subscript"/>
        </w:rPr>
        <w:t>2</w:t>
      </w:r>
      <w:r w:rsidRPr="00831588">
        <w:t xml:space="preserve"> equivalent</w:t>
      </w:r>
      <w:r>
        <w:t>.</w:t>
      </w:r>
    </w:p>
  </w:footnote>
  <w:footnote w:id="15">
    <w:p w:rsidR="007D68E6" w:rsidRPr="00F0003E" w:rsidRDefault="007D68E6" w:rsidP="00AA0CB4">
      <w:pPr>
        <w:pStyle w:val="FootnoteText"/>
      </w:pPr>
      <w:r>
        <w:rPr>
          <w:rStyle w:val="FootnoteReference"/>
        </w:rPr>
        <w:footnoteRef/>
      </w:r>
      <w:r>
        <w:t xml:space="preserve"> UNEP/OzL.Pro/ExCom/58/47.</w:t>
      </w:r>
    </w:p>
  </w:footnote>
  <w:footnote w:id="16">
    <w:p w:rsidR="007D68E6" w:rsidRPr="00AA0CB4" w:rsidRDefault="007D68E6">
      <w:pPr>
        <w:pStyle w:val="FootnoteText"/>
      </w:pPr>
      <w:r>
        <w:rPr>
          <w:rStyle w:val="FootnoteReference"/>
        </w:rPr>
        <w:footnoteRef/>
      </w:r>
      <w:r>
        <w:t xml:space="preserve"> Incremental costs comprise the ICC and IOC.</w:t>
      </w:r>
    </w:p>
  </w:footnote>
  <w:footnote w:id="17">
    <w:p w:rsidR="007D68E6" w:rsidRPr="00E458A7" w:rsidRDefault="007D68E6">
      <w:pPr>
        <w:pStyle w:val="FootnoteText"/>
      </w:pPr>
      <w:r>
        <w:rPr>
          <w:rStyle w:val="FootnoteReference"/>
        </w:rPr>
        <w:footnoteRef/>
      </w:r>
      <w:r>
        <w:t xml:space="preserve"> </w:t>
      </w:r>
      <w:proofErr w:type="gramStart"/>
      <w:r w:rsidRPr="00673B42">
        <w:t>Decision</w:t>
      </w:r>
      <w:r>
        <w:t>s</w:t>
      </w:r>
      <w:r w:rsidRPr="00673B42">
        <w:t xml:space="preserve"> 18/25 and 25/48</w:t>
      </w:r>
      <w:r>
        <w:t>.</w:t>
      </w:r>
      <w:proofErr w:type="gramEnd"/>
    </w:p>
  </w:footnote>
  <w:footnote w:id="18">
    <w:p w:rsidR="007D68E6" w:rsidRPr="00C03EE2" w:rsidRDefault="007D68E6" w:rsidP="003717E3">
      <w:pPr>
        <w:pStyle w:val="FootnoteText"/>
      </w:pPr>
      <w:r>
        <w:rPr>
          <w:rStyle w:val="FootnoteReference"/>
        </w:rPr>
        <w:footnoteRef/>
      </w:r>
      <w:r>
        <w:t xml:space="preserve"> </w:t>
      </w:r>
      <w:proofErr w:type="gramStart"/>
      <w:r>
        <w:t>In line with the decision on transnational corporations adopted at the 7</w:t>
      </w:r>
      <w:r w:rsidRPr="00C03EE2">
        <w:rPr>
          <w:vertAlign w:val="superscript"/>
        </w:rPr>
        <w:t>th</w:t>
      </w:r>
      <w:r>
        <w:rPr>
          <w:vertAlign w:val="superscript"/>
        </w:rPr>
        <w:t> </w:t>
      </w:r>
      <w:r>
        <w:t xml:space="preserve">meeting </w:t>
      </w:r>
      <w:r w:rsidRPr="00C03EE2">
        <w:t>(</w:t>
      </w:r>
      <w:r>
        <w:t xml:space="preserve">paragraph 88 of document </w:t>
      </w:r>
      <w:r w:rsidRPr="00C03EE2">
        <w:t>UNEP/OzL.Pro/ExCom/7/30).</w:t>
      </w:r>
      <w:proofErr w:type="gramEnd"/>
    </w:p>
  </w:footnote>
  <w:footnote w:id="19">
    <w:p w:rsidR="007D68E6" w:rsidRPr="007547FF" w:rsidRDefault="007D68E6">
      <w:pPr>
        <w:pStyle w:val="FootnoteText"/>
      </w:pPr>
      <w:r>
        <w:rPr>
          <w:rStyle w:val="FootnoteReference"/>
        </w:rPr>
        <w:footnoteRef/>
      </w:r>
      <w:r>
        <w:t xml:space="preserve"> </w:t>
      </w:r>
      <w:r w:rsidRPr="007547FF">
        <w:t>UNEP/OzL.Pro/ExCom/55/47</w:t>
      </w:r>
      <w:r>
        <w:t>.</w:t>
      </w:r>
    </w:p>
  </w:footnote>
  <w:footnote w:id="20">
    <w:p w:rsidR="007D68E6" w:rsidRPr="00E42E56" w:rsidRDefault="007D68E6" w:rsidP="0014237E">
      <w:pPr>
        <w:pStyle w:val="FootnoteText"/>
      </w:pPr>
      <w:r>
        <w:rPr>
          <w:rStyle w:val="FootnoteReference"/>
        </w:rPr>
        <w:footnoteRef/>
      </w:r>
      <w:r>
        <w:t xml:space="preserve"> </w:t>
      </w:r>
      <w:r w:rsidRPr="00E42E56">
        <w:t>Agencies are requested to use the technical information contained in document as a guide (decision 60/44</w:t>
      </w:r>
      <w:proofErr w:type="gramStart"/>
      <w:r w:rsidRPr="00E42E56">
        <w:t>/(</w:t>
      </w:r>
      <w:proofErr w:type="gramEnd"/>
      <w:r w:rsidRPr="00E42E56">
        <w:t>f)(i)).</w:t>
      </w:r>
    </w:p>
  </w:footnote>
  <w:footnote w:id="21">
    <w:p w:rsidR="007D68E6" w:rsidRPr="007B1C80" w:rsidRDefault="007D68E6">
      <w:pPr>
        <w:pStyle w:val="FootnoteText"/>
      </w:pPr>
      <w:r>
        <w:rPr>
          <w:rStyle w:val="FootnoteReference"/>
        </w:rPr>
        <w:footnoteRef/>
      </w:r>
      <w:r>
        <w:t xml:space="preserve"> UNEP/OzL.Pro/ExCom/76/58.</w:t>
      </w:r>
    </w:p>
  </w:footnote>
  <w:footnote w:id="22">
    <w:p w:rsidR="007D68E6" w:rsidRPr="007B1C80" w:rsidRDefault="007D68E6">
      <w:pPr>
        <w:pStyle w:val="FootnoteText"/>
      </w:pPr>
      <w:r>
        <w:rPr>
          <w:rStyle w:val="FootnoteReference"/>
        </w:rPr>
        <w:footnoteRef/>
      </w:r>
      <w:r>
        <w:t xml:space="preserve"> </w:t>
      </w:r>
      <w:r w:rsidRPr="007B1C80">
        <w:t>UNEP/OzL.Pro/ExCom/7</w:t>
      </w:r>
      <w:r>
        <w:t>7</w:t>
      </w:r>
      <w:r w:rsidRPr="007B1C80">
        <w:t>/</w:t>
      </w:r>
      <w:r>
        <w:t>69.</w:t>
      </w:r>
    </w:p>
  </w:footnote>
  <w:footnote w:id="23">
    <w:p w:rsidR="007D68E6" w:rsidRPr="00297D4A" w:rsidRDefault="007D68E6" w:rsidP="003717E3">
      <w:pPr>
        <w:pStyle w:val="FootnoteText"/>
        <w:rPr>
          <w:lang w:val="en-US"/>
        </w:rPr>
      </w:pPr>
      <w:r>
        <w:rPr>
          <w:rStyle w:val="FootnoteReference"/>
        </w:rPr>
        <w:footnoteRef/>
      </w:r>
      <w:r w:rsidRPr="00297D4A">
        <w:rPr>
          <w:lang w:val="en-US"/>
        </w:rPr>
        <w:t xml:space="preserve"> </w:t>
      </w:r>
      <w:proofErr w:type="gramStart"/>
      <w:r>
        <w:rPr>
          <w:lang w:val="en-US"/>
        </w:rPr>
        <w:t>P</w:t>
      </w:r>
      <w:r w:rsidRPr="00297D4A">
        <w:rPr>
          <w:lang w:val="en-US"/>
        </w:rPr>
        <w:t>aragraph 32 of the final report of the 16</w:t>
      </w:r>
      <w:r w:rsidRPr="00D469FB">
        <w:rPr>
          <w:vertAlign w:val="superscript"/>
          <w:lang w:val="en-US"/>
        </w:rPr>
        <w:t>th</w:t>
      </w:r>
      <w:r w:rsidRPr="00297D4A">
        <w:rPr>
          <w:lang w:val="en-US"/>
        </w:rPr>
        <w:t xml:space="preserve"> meeting, document UNEP/OzL.Pro/ExCom/16/20.</w:t>
      </w:r>
      <w:proofErr w:type="gramEnd"/>
    </w:p>
  </w:footnote>
  <w:footnote w:id="24">
    <w:p w:rsidR="007D68E6" w:rsidRPr="00BE25E1" w:rsidRDefault="007D68E6" w:rsidP="003717E3">
      <w:pPr>
        <w:pStyle w:val="FootnoteText"/>
      </w:pPr>
      <w:r>
        <w:rPr>
          <w:rStyle w:val="FootnoteReference"/>
        </w:rPr>
        <w:footnoteRef/>
      </w:r>
      <w:r>
        <w:t xml:space="preserve"> </w:t>
      </w:r>
      <w:r w:rsidRPr="00BE25E1">
        <w:t>At the 60</w:t>
      </w:r>
      <w:r w:rsidRPr="00BE25E1">
        <w:rPr>
          <w:vertAlign w:val="superscript"/>
        </w:rPr>
        <w:t>th</w:t>
      </w:r>
      <w:r>
        <w:t xml:space="preserve"> </w:t>
      </w:r>
      <w:r w:rsidRPr="00BE25E1">
        <w:t xml:space="preserve">meeting, the Government of Colombia submitted a stand-alone project for the conversion of four domestic refrigeration manufacturing enterprises using HCFCs for the production of </w:t>
      </w:r>
      <w:r>
        <w:t>PU</w:t>
      </w:r>
      <w:r w:rsidRPr="00BE25E1">
        <w:t xml:space="preserve"> rigid insulation foam. The project was approved with a cost-effectiveness of </w:t>
      </w:r>
      <w:r>
        <w:t>US $</w:t>
      </w:r>
      <w:r w:rsidRPr="00BE25E1">
        <w:t xml:space="preserve">12.02/kg, which was below the thresholds of </w:t>
      </w:r>
      <w:r>
        <w:t>US $</w:t>
      </w:r>
      <w:r w:rsidRPr="00BE25E1">
        <w:t xml:space="preserve">13.76/kg for domestic refrigeration and </w:t>
      </w:r>
      <w:r>
        <w:t>US $</w:t>
      </w:r>
      <w:r w:rsidRPr="00BE25E1">
        <w:t xml:space="preserve">15.21/kg for commercial refrigeration </w:t>
      </w:r>
      <w:r>
        <w:t>(</w:t>
      </w:r>
      <w:r w:rsidRPr="00BE25E1">
        <w:t>UNEP/OzL.Pro/ExCom/60/25</w:t>
      </w:r>
      <w:r>
        <w:t>)</w:t>
      </w:r>
      <w:r w:rsidRPr="00BE25E1">
        <w:t>. However, at the 62</w:t>
      </w:r>
      <w:r w:rsidRPr="00BE25E1">
        <w:rPr>
          <w:vertAlign w:val="superscript"/>
        </w:rPr>
        <w:t>nd</w:t>
      </w:r>
      <w:r>
        <w:t xml:space="preserve"> </w:t>
      </w:r>
      <w:r w:rsidRPr="00BE25E1">
        <w:t xml:space="preserve">meeting, based on the experience gained from the review of similar projects, the Committee established the cost-effectiveness threshold for rigid insulation refrigeration foam at </w:t>
      </w:r>
      <w:r>
        <w:t>US $</w:t>
      </w:r>
      <w:r w:rsidRPr="00BE25E1">
        <w:t>7.83/kg with a maximum of up to 25 per cent above this threshold for low</w:t>
      </w:r>
      <w:r>
        <w:t>-</w:t>
      </w:r>
      <w:r w:rsidRPr="00BE25E1">
        <w:t>GWP alternatives.</w:t>
      </w:r>
    </w:p>
  </w:footnote>
  <w:footnote w:id="25">
    <w:p w:rsidR="007D68E6" w:rsidRPr="00572888" w:rsidRDefault="007D68E6" w:rsidP="00B13243">
      <w:pPr>
        <w:pStyle w:val="FootnoteText"/>
        <w:rPr>
          <w:lang w:val="en-US"/>
        </w:rPr>
      </w:pPr>
      <w:r>
        <w:rPr>
          <w:rStyle w:val="FootnoteReference"/>
        </w:rPr>
        <w:footnoteRef/>
      </w:r>
      <w:r w:rsidRPr="00572888">
        <w:rPr>
          <w:lang w:val="en-US"/>
        </w:rPr>
        <w:t xml:space="preserve"> UNEP/OzL.Pro/ExCom/55/47.</w:t>
      </w:r>
    </w:p>
  </w:footnote>
  <w:footnote w:id="26">
    <w:p w:rsidR="007D68E6" w:rsidRPr="00015EA5" w:rsidRDefault="007D68E6">
      <w:pPr>
        <w:pStyle w:val="FootnoteText"/>
        <w:rPr>
          <w:lang w:val="en-US"/>
        </w:rPr>
      </w:pPr>
      <w:r>
        <w:rPr>
          <w:rStyle w:val="FootnoteReference"/>
        </w:rPr>
        <w:footnoteRef/>
      </w:r>
      <w:r>
        <w:t xml:space="preserve"> </w:t>
      </w:r>
      <w:proofErr w:type="gramStart"/>
      <w:r w:rsidRPr="00015EA5">
        <w:t xml:space="preserve">More </w:t>
      </w:r>
      <w:r>
        <w:t>information</w:t>
      </w:r>
      <w:r w:rsidRPr="00015EA5">
        <w:t xml:space="preserve"> available in document UNEP/OzL.Pro/ExCom/71/57.</w:t>
      </w:r>
      <w:proofErr w:type="gramEnd"/>
    </w:p>
  </w:footnote>
  <w:footnote w:id="27">
    <w:p w:rsidR="007D68E6" w:rsidRPr="00B13243" w:rsidRDefault="007D68E6">
      <w:pPr>
        <w:pStyle w:val="FootnoteText"/>
      </w:pPr>
      <w:r>
        <w:rPr>
          <w:rStyle w:val="FootnoteReference"/>
        </w:rPr>
        <w:footnoteRef/>
      </w:r>
      <w:r>
        <w:t xml:space="preserve"> </w:t>
      </w:r>
      <w:r w:rsidRPr="008F7254">
        <w:t>UNEP/OzL.Pro/ExCom/77/9</w:t>
      </w:r>
      <w:r>
        <w:t>.</w:t>
      </w:r>
    </w:p>
  </w:footnote>
  <w:footnote w:id="28">
    <w:p w:rsidR="007D68E6" w:rsidRPr="00953AB5" w:rsidRDefault="007D68E6" w:rsidP="00953AB5">
      <w:pPr>
        <w:pStyle w:val="FootnoteText"/>
      </w:pPr>
      <w:r>
        <w:rPr>
          <w:rStyle w:val="FootnoteReference"/>
        </w:rPr>
        <w:footnoteRef/>
      </w:r>
      <w:r>
        <w:t xml:space="preserve"> To consider discounting from a country’s starting point for aggregate reductions in HCFC consumption the amount or average amount of HCFC-141b contained in pre-blended polyols exported for the year or years on which the starting point had been based.</w:t>
      </w:r>
    </w:p>
  </w:footnote>
  <w:footnote w:id="29">
    <w:p w:rsidR="007D68E6" w:rsidRPr="00953AB5" w:rsidRDefault="007D68E6">
      <w:pPr>
        <w:pStyle w:val="FootnoteText"/>
      </w:pPr>
      <w:r>
        <w:rPr>
          <w:rStyle w:val="FootnoteReference"/>
        </w:rPr>
        <w:footnoteRef/>
      </w:r>
      <w:r>
        <w:t xml:space="preserve"> To encourage relevant Article 5 countries to consider establishing a national system for recording the amounts of HCFC-141b contained in pre-blended polyols imported and/or exported (where applicable) to support the ban on imports of pure HCFC-141b, as well as that contained in pre-blended polyols, to be issued once all the foam enterprises had been converted, and to facilitate monitoring of these enterprises to sustain the phase-out of HCFC</w:t>
      </w:r>
      <w:r>
        <w:noBreakHyphen/>
        <w:t>141b.</w:t>
      </w:r>
    </w:p>
  </w:footnote>
  <w:footnote w:id="30">
    <w:p w:rsidR="007D68E6" w:rsidRPr="00C94CCD" w:rsidRDefault="007D68E6">
      <w:pPr>
        <w:pStyle w:val="FootnoteText"/>
        <w:rPr>
          <w:lang w:val="en-US"/>
        </w:rPr>
      </w:pPr>
      <w:r w:rsidRPr="0094349B">
        <w:rPr>
          <w:rStyle w:val="FootnoteReference"/>
        </w:rPr>
        <w:footnoteRef/>
      </w:r>
      <w:r w:rsidRPr="0094349B">
        <w:t xml:space="preserve"> </w:t>
      </w:r>
      <w:r w:rsidRPr="0094349B">
        <w:rPr>
          <w:lang w:val="en-US"/>
        </w:rPr>
        <w:t>Decisions 59/29, 59/32, and 59/34; the Executive Committee also approved two HCFC demonstration projects at that meeting (decisions 59/30 and 59/31).</w:t>
      </w:r>
    </w:p>
  </w:footnote>
  <w:footnote w:id="31">
    <w:p w:rsidR="007D68E6" w:rsidRPr="00271358" w:rsidRDefault="007D68E6">
      <w:pPr>
        <w:pStyle w:val="FootnoteText"/>
      </w:pPr>
      <w:r>
        <w:rPr>
          <w:rStyle w:val="FootnoteReference"/>
        </w:rPr>
        <w:footnoteRef/>
      </w:r>
      <w:r>
        <w:t xml:space="preserve"> </w:t>
      </w:r>
      <w:proofErr w:type="gramStart"/>
      <w:r>
        <w:t>P</w:t>
      </w:r>
      <w:r w:rsidRPr="008F7254">
        <w:t xml:space="preserve">aragraph 167 of </w:t>
      </w:r>
      <w:r>
        <w:t xml:space="preserve">document </w:t>
      </w:r>
      <w:r w:rsidRPr="008F7254">
        <w:t>UNEP/OzL.Pro/ExCom/15/45</w:t>
      </w:r>
      <w:r>
        <w:t>.</w:t>
      </w:r>
      <w:proofErr w:type="gramEnd"/>
    </w:p>
  </w:footnote>
  <w:footnote w:id="32">
    <w:p w:rsidR="007D68E6" w:rsidRPr="00364C66" w:rsidRDefault="007D68E6" w:rsidP="00271358">
      <w:pPr>
        <w:pStyle w:val="FootnoteText"/>
        <w:rPr>
          <w:lang w:val="en-US"/>
        </w:rPr>
      </w:pPr>
      <w:r>
        <w:rPr>
          <w:rStyle w:val="FootnoteReference"/>
        </w:rPr>
        <w:footnoteRef/>
      </w:r>
      <w:r w:rsidRPr="00364C66">
        <w:rPr>
          <w:lang w:val="en-US"/>
        </w:rPr>
        <w:t xml:space="preserve"> </w:t>
      </w:r>
      <w:proofErr w:type="gramStart"/>
      <w:r>
        <w:t>P</w:t>
      </w:r>
      <w:r w:rsidRPr="00A53EC8">
        <w:t xml:space="preserve">age 4 of </w:t>
      </w:r>
      <w:r>
        <w:t xml:space="preserve">the English version of document </w:t>
      </w:r>
      <w:r w:rsidRPr="00A53EC8">
        <w:t>UNEP/OzL.Pro/ExCom/15/44</w:t>
      </w:r>
      <w:r>
        <w:t>.</w:t>
      </w:r>
      <w:proofErr w:type="gramEnd"/>
    </w:p>
  </w:footnote>
  <w:footnote w:id="33">
    <w:p w:rsidR="007D68E6" w:rsidRPr="00572137" w:rsidRDefault="007D68E6">
      <w:pPr>
        <w:pStyle w:val="FootnoteText"/>
      </w:pPr>
      <w:r>
        <w:rPr>
          <w:rStyle w:val="FootnoteReference"/>
        </w:rPr>
        <w:footnoteRef/>
      </w:r>
      <w:r>
        <w:t xml:space="preserve"> The Executive Committee decided that e</w:t>
      </w:r>
      <w:r w:rsidRPr="00572137">
        <w:t>nterprises could be grouped in a series of separate umbrella projects. The final project could then be submitted as a terminal umbrella project</w:t>
      </w:r>
      <w:r>
        <w:t xml:space="preserve"> (decision 25/50(c))</w:t>
      </w:r>
      <w:r w:rsidRPr="00572137">
        <w:t>.</w:t>
      </w:r>
    </w:p>
  </w:footnote>
  <w:footnote w:id="34">
    <w:p w:rsidR="007D68E6" w:rsidRPr="00B74FD7" w:rsidRDefault="007D68E6">
      <w:pPr>
        <w:pStyle w:val="FootnoteText"/>
      </w:pPr>
      <w:r>
        <w:rPr>
          <w:rStyle w:val="FootnoteReference"/>
        </w:rPr>
        <w:footnoteRef/>
      </w:r>
      <w:r>
        <w:t xml:space="preserve"> </w:t>
      </w:r>
      <w:r w:rsidRPr="00B74FD7">
        <w:t>At the 28</w:t>
      </w:r>
      <w:r w:rsidRPr="00B74FD7">
        <w:rPr>
          <w:vertAlign w:val="superscript"/>
        </w:rPr>
        <w:t>th</w:t>
      </w:r>
      <w:r>
        <w:t xml:space="preserve"> </w:t>
      </w:r>
      <w:r w:rsidRPr="00B74FD7">
        <w:t>meeting (July 1999), the Executive Committee approved guidelines for ODS phase-out in the commercial refrigeration end-user sector, for an initial period of 18 months. Pending review, priority should be given to projects for the conversion of cold stores in the agricultural, fisheries or other food-chain industries which are important for the economies of the countries concerned.</w:t>
      </w:r>
    </w:p>
  </w:footnote>
  <w:footnote w:id="35">
    <w:p w:rsidR="007D68E6" w:rsidRPr="001317AA" w:rsidRDefault="007D68E6" w:rsidP="00875E15">
      <w:pPr>
        <w:pStyle w:val="FootnoteText"/>
        <w:rPr>
          <w:lang w:val="en-US"/>
        </w:rPr>
      </w:pPr>
      <w:r>
        <w:rPr>
          <w:rStyle w:val="FootnoteReference"/>
        </w:rPr>
        <w:footnoteRef/>
      </w:r>
      <w:r>
        <w:t xml:space="preserve"> </w:t>
      </w:r>
      <w:proofErr w:type="gramStart"/>
      <w:r>
        <w:rPr>
          <w:lang w:val="en-US"/>
        </w:rPr>
        <w:t xml:space="preserve">Paragraph 39 of document </w:t>
      </w:r>
      <w:r w:rsidRPr="00B014BA">
        <w:rPr>
          <w:lang w:val="en-US"/>
        </w:rPr>
        <w:t>UNEP/OzL.Pro/E</w:t>
      </w:r>
      <w:r>
        <w:rPr>
          <w:lang w:val="en-US"/>
        </w:rPr>
        <w:t>xCom/62/62.</w:t>
      </w:r>
      <w:proofErr w:type="gramEnd"/>
    </w:p>
  </w:footnote>
  <w:footnote w:id="36">
    <w:p w:rsidR="007D68E6" w:rsidRPr="007E3E98" w:rsidRDefault="007D68E6">
      <w:pPr>
        <w:pStyle w:val="FootnoteText"/>
      </w:pPr>
      <w:r>
        <w:rPr>
          <w:rStyle w:val="FootnoteReference"/>
        </w:rPr>
        <w:footnoteRef/>
      </w:r>
      <w:r>
        <w:t xml:space="preserve"> </w:t>
      </w:r>
      <w:r w:rsidRPr="007E3E98">
        <w:t>UNEP/Oz</w:t>
      </w:r>
      <w:r>
        <w:t>L</w:t>
      </w:r>
      <w:r w:rsidRPr="007E3E98">
        <w:t>.Pro/ExCom/35/12</w:t>
      </w:r>
      <w:r>
        <w:t>.</w:t>
      </w:r>
    </w:p>
  </w:footnote>
  <w:footnote w:id="37">
    <w:p w:rsidR="007D68E6" w:rsidRPr="00875E15" w:rsidRDefault="007D68E6">
      <w:pPr>
        <w:pStyle w:val="FootnoteText"/>
      </w:pPr>
      <w:r>
        <w:rPr>
          <w:rStyle w:val="FootnoteReference"/>
        </w:rPr>
        <w:footnoteRef/>
      </w:r>
      <w:r>
        <w:t xml:space="preserve"> </w:t>
      </w:r>
      <w:proofErr w:type="gramStart"/>
      <w:r w:rsidRPr="00875E15">
        <w:rPr>
          <w:lang w:val="en-US"/>
        </w:rPr>
        <w:t>UNEP/OzL.Pro/ExCom/77/26 and Add.1.</w:t>
      </w:r>
      <w:proofErr w:type="gramEnd"/>
    </w:p>
  </w:footnote>
  <w:footnote w:id="38">
    <w:p w:rsidR="007D68E6" w:rsidRPr="00AC1B6D" w:rsidRDefault="007D68E6" w:rsidP="0015775E">
      <w:pPr>
        <w:pStyle w:val="FootnoteText"/>
        <w:rPr>
          <w:lang w:val="en-US"/>
        </w:rPr>
      </w:pPr>
      <w:r>
        <w:rPr>
          <w:rStyle w:val="FootnoteReference"/>
        </w:rPr>
        <w:footnoteRef/>
      </w:r>
      <w:r>
        <w:t xml:space="preserve"> </w:t>
      </w:r>
      <w:r w:rsidRPr="00AC1B6D">
        <w:t>UNEP/OzL.Pro/ExCom/76/25</w:t>
      </w:r>
      <w:r>
        <w:t>.</w:t>
      </w:r>
    </w:p>
  </w:footnote>
  <w:footnote w:id="39">
    <w:p w:rsidR="007D68E6" w:rsidRPr="00381371" w:rsidRDefault="007D68E6" w:rsidP="00673E5E">
      <w:pPr>
        <w:pStyle w:val="FootnoteText"/>
        <w:rPr>
          <w:lang w:val="en-US"/>
        </w:rPr>
      </w:pPr>
      <w:r w:rsidRPr="00495C67">
        <w:rPr>
          <w:rStyle w:val="FootnoteReference"/>
        </w:rPr>
        <w:footnoteRef/>
      </w:r>
      <w:r w:rsidRPr="00495C67">
        <w:rPr>
          <w:lang w:val="en-US"/>
        </w:rPr>
        <w:t xml:space="preserve"> </w:t>
      </w:r>
      <w:proofErr w:type="gramStart"/>
      <w:r w:rsidRPr="00495C67">
        <w:rPr>
          <w:lang w:val="en-US"/>
        </w:rPr>
        <w:t>Paragraphs 22 and 36 of document UNEP/OzL.Pro/ExCom/78/9.</w:t>
      </w:r>
      <w:proofErr w:type="gramEnd"/>
    </w:p>
  </w:footnote>
  <w:footnote w:id="40">
    <w:p w:rsidR="007D68E6" w:rsidRPr="00EF65EE" w:rsidRDefault="007D68E6">
      <w:pPr>
        <w:pStyle w:val="FootnoteText"/>
      </w:pPr>
      <w:r>
        <w:rPr>
          <w:rStyle w:val="FootnoteReference"/>
        </w:rPr>
        <w:footnoteRef/>
      </w:r>
      <w:r>
        <w:t xml:space="preserve"> </w:t>
      </w:r>
      <w:r w:rsidRPr="00EF65EE">
        <w:t xml:space="preserve">A description of </w:t>
      </w:r>
      <w:r>
        <w:t xml:space="preserve">all demonstration </w:t>
      </w:r>
      <w:r w:rsidRPr="00EF65EE">
        <w:t xml:space="preserve">projects </w:t>
      </w:r>
      <w:r>
        <w:t xml:space="preserve">so far approved by the Executive Committee </w:t>
      </w:r>
      <w:r w:rsidRPr="00EF65EE">
        <w:t xml:space="preserve">is </w:t>
      </w:r>
      <w:r>
        <w:t xml:space="preserve">contained </w:t>
      </w:r>
      <w:r w:rsidRPr="00EF65EE">
        <w:t>in document UNEP/OzL.Pro/ExCom/78/6.</w:t>
      </w:r>
    </w:p>
  </w:footnote>
  <w:footnote w:id="41">
    <w:p w:rsidR="007D68E6" w:rsidRPr="003A75C0" w:rsidRDefault="007D68E6" w:rsidP="00FE16F3">
      <w:pPr>
        <w:pStyle w:val="FootnoteText"/>
        <w:rPr>
          <w:lang w:val="en-US"/>
        </w:rPr>
      </w:pPr>
      <w:r>
        <w:rPr>
          <w:rStyle w:val="FootnoteReference"/>
        </w:rPr>
        <w:footnoteRef/>
      </w:r>
      <w:r>
        <w:t xml:space="preserve"> “Briefing Note on Intellectual Property Rights and the Montreal Protocol: past practices and current challenges,” UNEP Ozone Secretariat, April 2016. Available at </w:t>
      </w:r>
      <w:r w:rsidRPr="003A3AC2">
        <w:t>http://conf.montreal-protocol.org/meeting/oewg/oewg-37/presession/Background_documents/Briefing_note_on_IPR.pdf</w:t>
      </w:r>
    </w:p>
  </w:footnote>
  <w:footnote w:id="42">
    <w:p w:rsidR="007D68E6" w:rsidRPr="007F73DD" w:rsidRDefault="007D68E6" w:rsidP="00FE16F3">
      <w:pPr>
        <w:pStyle w:val="FootnoteText"/>
        <w:rPr>
          <w:lang w:val="en-US"/>
        </w:rPr>
      </w:pPr>
      <w:r>
        <w:rPr>
          <w:rStyle w:val="FootnoteReference"/>
        </w:rPr>
        <w:footnoteRef/>
      </w:r>
      <w:r>
        <w:t xml:space="preserve"> “Patents and the Role of the Multilateral Fund,” </w:t>
      </w:r>
      <w:proofErr w:type="spellStart"/>
      <w:r>
        <w:t>Center</w:t>
      </w:r>
      <w:proofErr w:type="spellEnd"/>
      <w:r>
        <w:t xml:space="preserve"> for Climate and Energy Solutions, October 2015. T</w:t>
      </w:r>
      <w:r w:rsidRPr="003A3AC2">
        <w:t>his study was presented at a side event at the resumed 36</w:t>
      </w:r>
      <w:r w:rsidRPr="003A75C0">
        <w:rPr>
          <w:vertAlign w:val="superscript"/>
        </w:rPr>
        <w:t>th</w:t>
      </w:r>
      <w:r>
        <w:t xml:space="preserve"> and 37</w:t>
      </w:r>
      <w:r w:rsidRPr="003A75C0">
        <w:rPr>
          <w:vertAlign w:val="superscript"/>
        </w:rPr>
        <w:t>th</w:t>
      </w:r>
      <w:r>
        <w:t xml:space="preserve"> </w:t>
      </w:r>
      <w:r w:rsidRPr="003A3AC2">
        <w:t xml:space="preserve">OEWG and is available at </w:t>
      </w:r>
      <w:r w:rsidRPr="00DF5D24">
        <w:t>http://conf.montreal-protocol.org/meeting/oewg/oewg-37/events-publications/Observer%20Publications/patents-role-multilateral-fund.pdf</w:t>
      </w:r>
      <w:r w:rsidRPr="003A3AC2">
        <w:t>.</w:t>
      </w:r>
      <w:r>
        <w:t xml:space="preserve"> “10 Myths about Intellectual Property Rights and the Montreal Protocol,”</w:t>
      </w:r>
      <w:r w:rsidRPr="00442681">
        <w:t xml:space="preserve"> </w:t>
      </w:r>
      <w:proofErr w:type="spellStart"/>
      <w:r>
        <w:t>Center</w:t>
      </w:r>
      <w:proofErr w:type="spellEnd"/>
      <w:r>
        <w:t xml:space="preserve"> for Climate and Energy Solutions, July 2016</w:t>
      </w:r>
      <w:proofErr w:type="gramStart"/>
      <w:r>
        <w:t>,.</w:t>
      </w:r>
      <w:proofErr w:type="gramEnd"/>
      <w:r>
        <w:t xml:space="preserve"> This study was presented at a side event at the 37</w:t>
      </w:r>
      <w:r w:rsidRPr="003A75C0">
        <w:rPr>
          <w:vertAlign w:val="superscript"/>
        </w:rPr>
        <w:t>th</w:t>
      </w:r>
      <w:r>
        <w:t xml:space="preserve"> OEWG and is available at </w:t>
      </w:r>
      <w:r w:rsidRPr="00DF5D24">
        <w:t>http://conf.montreal-protocol.org/meeting/oewg/oewg-37/events-publications/Observer%20Publications/ten-myths-about-intellectual-property-rights-montreal-protocol.pdf</w:t>
      </w:r>
      <w:r>
        <w:t xml:space="preserve">. “Status of Legal Challenges: Patents Related To The Use Of Hfo-1234yf In Auto Air Conditioning,” </w:t>
      </w:r>
      <w:proofErr w:type="spellStart"/>
      <w:r>
        <w:t>Center</w:t>
      </w:r>
      <w:proofErr w:type="spellEnd"/>
      <w:r>
        <w:t xml:space="preserve"> for Climate and Energy Solutions, July 2016, available at </w:t>
      </w:r>
      <w:hyperlink r:id="rId1" w:history="1">
        <w:r w:rsidRPr="00755C5A">
          <w:rPr>
            <w:rStyle w:val="Hyperlink"/>
            <w:lang w:val="en-CA"/>
          </w:rPr>
          <w:t>https://www.google.ca/url?sa=t&amp;rct=j&amp;q=&amp;esrc=s&amp;source=web&amp;cd=2&amp;cad=rja&amp;uact=8&amp;ved=0ahUKEwjxoKrTqsLSAhUT9WMKHYTOD5cQFgghMAE&amp;url=https%3A%2F%2Fwww.c2es.org%2FdocUploads%2Fstatus-of-legal-challenges-07-2016.pdf&amp;usg=AFQjCNH121RaYOXNLxdFADSANHbXqgQdWg&amp;sig2</w:t>
        </w:r>
      </w:hyperlink>
      <w:r>
        <w:t xml:space="preserve"> </w:t>
      </w:r>
      <w:r w:rsidRPr="00DF5D24">
        <w:t>=6kOYkiXX33RLcAzq0b8PEw</w:t>
      </w:r>
      <w:r>
        <w:t>.</w:t>
      </w:r>
    </w:p>
  </w:footnote>
  <w:footnote w:id="43">
    <w:p w:rsidR="007D68E6" w:rsidRPr="00845381" w:rsidRDefault="007D68E6">
      <w:pPr>
        <w:pStyle w:val="FootnoteText"/>
        <w:rPr>
          <w:lang w:val="en-US"/>
        </w:rPr>
      </w:pPr>
      <w:r>
        <w:rPr>
          <w:rStyle w:val="FootnoteReference"/>
        </w:rPr>
        <w:footnoteRef/>
      </w:r>
      <w:r w:rsidRPr="00845381">
        <w:rPr>
          <w:lang w:val="en-US"/>
        </w:rPr>
        <w:t xml:space="preserve"> UNEP/OzL.Pro/ExCom/25/54</w:t>
      </w:r>
      <w:r>
        <w:rPr>
          <w:lang w:val="en-US"/>
        </w:rPr>
        <w:t xml:space="preserve">. </w:t>
      </w:r>
      <w:r w:rsidRPr="00260398">
        <w:rPr>
          <w:lang w:val="en-US"/>
        </w:rPr>
        <w:t>The report was prepared by a recognized industry consultant to evaluate safety costs for conversion of the production of domestic refrigerators to HC technology taking into account international standards and industry norms and practice in European countries.</w:t>
      </w:r>
      <w:r>
        <w:rPr>
          <w:lang w:val="en-US"/>
        </w:rPr>
        <w:t xml:space="preserve"> It </w:t>
      </w:r>
      <w:r w:rsidRPr="004B40E7">
        <w:rPr>
          <w:lang w:val="en-US"/>
        </w:rPr>
        <w:t>addressed safety standards, enterprise baseline situation, safety principles, hazardous area classification, conversion aspects, and related safety costs.</w:t>
      </w:r>
    </w:p>
  </w:footnote>
  <w:footnote w:id="44">
    <w:p w:rsidR="007D68E6" w:rsidRPr="00F67768" w:rsidRDefault="007D68E6">
      <w:pPr>
        <w:pStyle w:val="FootnoteText"/>
      </w:pPr>
      <w:r>
        <w:rPr>
          <w:rStyle w:val="FootnoteReference"/>
        </w:rPr>
        <w:footnoteRef/>
      </w:r>
      <w:r>
        <w:t xml:space="preserve"> </w:t>
      </w:r>
      <w:r w:rsidRPr="00F67768">
        <w:t>UNEP/OzL.Pro/ExCom/78/</w:t>
      </w:r>
      <w:r>
        <w:t>9.</w:t>
      </w:r>
    </w:p>
  </w:footnote>
  <w:footnote w:id="45">
    <w:p w:rsidR="007D68E6" w:rsidRPr="009257E4" w:rsidRDefault="007D68E6" w:rsidP="00A11BFF">
      <w:pPr>
        <w:pStyle w:val="FootnoteText"/>
        <w:rPr>
          <w:sz w:val="18"/>
          <w:szCs w:val="18"/>
        </w:rPr>
      </w:pPr>
      <w:r w:rsidRPr="009257E4">
        <w:rPr>
          <w:rStyle w:val="FootnoteReference"/>
          <w:sz w:val="18"/>
          <w:szCs w:val="18"/>
        </w:rPr>
        <w:footnoteRef/>
      </w:r>
      <w:r w:rsidRPr="009257E4">
        <w:rPr>
          <w:sz w:val="18"/>
          <w:szCs w:val="18"/>
        </w:rPr>
        <w:t xml:space="preserve"> At the 77</w:t>
      </w:r>
      <w:r w:rsidRPr="009257E4">
        <w:rPr>
          <w:sz w:val="18"/>
          <w:szCs w:val="18"/>
          <w:vertAlign w:val="superscript"/>
        </w:rPr>
        <w:t>th</w:t>
      </w:r>
      <w:r w:rsidRPr="009257E4">
        <w:rPr>
          <w:sz w:val="18"/>
          <w:szCs w:val="18"/>
        </w:rPr>
        <w:t xml:space="preserve"> meeting, the Executive Committee decided to continue discussion of the eligibility of swing plants producing HCFC-22 at the next meeting of the sub-group on the production sector and consider that issue in the context of its discussion of by-product controls of HFC-23 arising from the Kigali Amendment.</w:t>
      </w:r>
    </w:p>
  </w:footnote>
  <w:footnote w:id="46">
    <w:p w:rsidR="007D68E6" w:rsidRPr="00C20447" w:rsidRDefault="007D68E6">
      <w:pPr>
        <w:pStyle w:val="FootnoteText"/>
      </w:pPr>
      <w:r>
        <w:rPr>
          <w:rStyle w:val="FootnoteReference"/>
        </w:rPr>
        <w:footnoteRef/>
      </w:r>
      <w:r>
        <w:t xml:space="preserve"> UNEP/OzL.Pro/ExCom/58/47.</w:t>
      </w:r>
    </w:p>
  </w:footnote>
  <w:footnote w:id="47">
    <w:p w:rsidR="007D68E6" w:rsidRPr="00A469EC" w:rsidRDefault="007D68E6" w:rsidP="00C93A87">
      <w:pPr>
        <w:pStyle w:val="FootnoteText"/>
        <w:rPr>
          <w:lang w:val="en-CA"/>
        </w:rPr>
      </w:pPr>
      <w:r>
        <w:rPr>
          <w:rStyle w:val="FootnoteReference"/>
        </w:rPr>
        <w:footnoteRef/>
      </w:r>
      <w:r>
        <w:t xml:space="preserve"> </w:t>
      </w:r>
      <w:r w:rsidRPr="00675B85">
        <w:rPr>
          <w:lang w:val="en-CA"/>
        </w:rPr>
        <w:t>Decision 65/40 (</w:t>
      </w:r>
      <w:r>
        <w:rPr>
          <w:lang w:val="en-CA"/>
        </w:rPr>
        <w:t>stage I of the HPMP for Jordan).</w:t>
      </w:r>
    </w:p>
  </w:footnote>
  <w:footnote w:id="48">
    <w:p w:rsidR="007D68E6" w:rsidRPr="00CF59FE" w:rsidRDefault="007D68E6" w:rsidP="00CB5285">
      <w:pPr>
        <w:pStyle w:val="FootnoteText"/>
        <w:rPr>
          <w:lang w:val="en-CA"/>
        </w:rPr>
      </w:pPr>
      <w:r>
        <w:rPr>
          <w:rStyle w:val="FootnoteReference"/>
        </w:rPr>
        <w:footnoteRef/>
      </w:r>
      <w:r>
        <w:t xml:space="preserve"> </w:t>
      </w:r>
      <w:r w:rsidRPr="00413BA6">
        <w:t>UNEP/OzL.Pro/ExCom/12/37 (decision in para 160(i): R</w:t>
      </w:r>
      <w:r w:rsidRPr="00413BA6">
        <w:rPr>
          <w:rFonts w:ascii="CG Times" w:hAnsi="CG Times" w:cs="CG Times"/>
          <w:spacing w:val="-3"/>
        </w:rPr>
        <w:t>ecommended that in selecting alternative technology in the chiller sector, it would include both direct effects (refrigerant global warming potential) and indirect effects (system energy efficiency)</w:t>
      </w:r>
      <w:r w:rsidRPr="00413BA6">
        <w:t>; decision 37/21(b)(ii): Requested the Secretariat to report to a future meeting of the Executive Committee on clarification of the nature of savings that could be envisaged as a result of increased energy efficiency and decision 68/8 requested the Secretariat to prepare annually a report on the progress of ongoing chiller projects, highlighting key progress in implementation of activities including any energy efficiency gains achieved through chiller conversions.</w:t>
      </w:r>
    </w:p>
  </w:footnote>
  <w:footnote w:id="49">
    <w:p w:rsidR="007D68E6" w:rsidRPr="00910F60" w:rsidRDefault="007D68E6">
      <w:pPr>
        <w:pStyle w:val="FootnoteText"/>
        <w:rPr>
          <w:lang w:val="en-CA"/>
        </w:rPr>
      </w:pPr>
      <w:r>
        <w:rPr>
          <w:rStyle w:val="FootnoteReference"/>
        </w:rPr>
        <w:footnoteRef/>
      </w:r>
      <w:r>
        <w:t xml:space="preserve"> </w:t>
      </w:r>
      <w:r w:rsidRPr="008F7254">
        <w:t>UNEP/OzL.Pro/ExCom/70/54</w:t>
      </w:r>
      <w:r>
        <w:t>.</w:t>
      </w:r>
    </w:p>
  </w:footnote>
  <w:footnote w:id="50">
    <w:p w:rsidR="007D68E6" w:rsidRDefault="007D68E6" w:rsidP="008572B3">
      <w:pPr>
        <w:pStyle w:val="FootnoteText"/>
      </w:pPr>
      <w:r>
        <w:rPr>
          <w:rStyle w:val="FootnoteReference"/>
        </w:rPr>
        <w:footnoteRef/>
      </w:r>
      <w:r>
        <w:t xml:space="preserve"> For consultation on any additional Multilateral Fund policies, procedures, guidelines and criteria, please refer to: </w:t>
      </w:r>
      <w:hyperlink r:id="rId2" w:history="1">
        <w:r w:rsidRPr="008572B3">
          <w:rPr>
            <w:rStyle w:val="Hyperlink"/>
            <w:lang w:val="en-CA"/>
          </w:rPr>
          <w:t>http://www.multilateralfund.org/Our%20Work/policy/default.aspx</w:t>
        </w:r>
      </w:hyperlink>
      <w:r>
        <w:t>.</w:t>
      </w:r>
    </w:p>
  </w:footnote>
  <w:footnote w:id="51">
    <w:p w:rsidR="007D68E6" w:rsidRPr="00A83A11" w:rsidRDefault="007D68E6" w:rsidP="008572B3">
      <w:pPr>
        <w:pStyle w:val="FootnoteText"/>
      </w:pPr>
      <w:r>
        <w:rPr>
          <w:rStyle w:val="FootnoteReference"/>
        </w:rPr>
        <w:footnoteRef/>
      </w:r>
      <w:r>
        <w:t xml:space="preserve"> </w:t>
      </w:r>
      <w:proofErr w:type="gramStart"/>
      <w:r>
        <w:t xml:space="preserve">Paragraph 24 of document </w:t>
      </w:r>
      <w:r w:rsidRPr="000536DC">
        <w:t>UNEP/OzL.Pro/ExCom/22/15</w:t>
      </w:r>
      <w:r>
        <w:t>.</w:t>
      </w:r>
      <w:proofErr w:type="gramEnd"/>
    </w:p>
  </w:footnote>
  <w:footnote w:id="52">
    <w:p w:rsidR="007D68E6" w:rsidRPr="00A83A11" w:rsidRDefault="007D68E6" w:rsidP="008572B3">
      <w:pPr>
        <w:pStyle w:val="FootnoteText"/>
      </w:pPr>
      <w:r>
        <w:rPr>
          <w:rStyle w:val="FootnoteReference"/>
        </w:rPr>
        <w:footnoteRef/>
      </w:r>
      <w:r>
        <w:t xml:space="preserve"> </w:t>
      </w:r>
      <w:r w:rsidRPr="000536DC">
        <w:t>UNEP/OzL.Pro/ExCom/23/64</w:t>
      </w:r>
      <w:r>
        <w:t>.</w:t>
      </w:r>
    </w:p>
  </w:footnote>
  <w:footnote w:id="53">
    <w:p w:rsidR="007D68E6" w:rsidRPr="00A83A11" w:rsidRDefault="007D68E6" w:rsidP="008572B3">
      <w:pPr>
        <w:pStyle w:val="FootnoteText"/>
      </w:pPr>
      <w:r>
        <w:rPr>
          <w:rStyle w:val="FootnoteReference"/>
        </w:rPr>
        <w:footnoteRef/>
      </w:r>
      <w:r>
        <w:t xml:space="preserve"> </w:t>
      </w:r>
      <w:proofErr w:type="gramStart"/>
      <w:r w:rsidRPr="00AA2DDB">
        <w:t>paragraphs</w:t>
      </w:r>
      <w:proofErr w:type="gramEnd"/>
      <w:r w:rsidRPr="00AA2DDB">
        <w:t xml:space="preserve"> 88 to 91</w:t>
      </w:r>
      <w:r>
        <w:t xml:space="preserve"> of document </w:t>
      </w:r>
      <w:r w:rsidRPr="00AA2DDB">
        <w:t>UNEP/OzL.Pro/ExCom/25/17</w:t>
      </w:r>
      <w:r>
        <w:t>.</w:t>
      </w:r>
    </w:p>
  </w:footnote>
  <w:footnote w:id="54">
    <w:p w:rsidR="007D68E6" w:rsidRPr="00773006" w:rsidRDefault="007D68E6" w:rsidP="008572B3">
      <w:pPr>
        <w:pStyle w:val="FootnoteText"/>
      </w:pPr>
      <w:r>
        <w:rPr>
          <w:rStyle w:val="FootnoteReference"/>
        </w:rPr>
        <w:footnoteRef/>
      </w:r>
      <w:r>
        <w:t xml:space="preserve"> </w:t>
      </w:r>
      <w:proofErr w:type="gramStart"/>
      <w:r>
        <w:t>Paragraphs 92 to 94 of document UNEP/OzL.Pro/ExCom/25/17.</w:t>
      </w:r>
      <w:proofErr w:type="gramEnd"/>
    </w:p>
  </w:footnote>
  <w:footnote w:id="55">
    <w:p w:rsidR="007D68E6" w:rsidRPr="00DD04DC" w:rsidRDefault="007D68E6" w:rsidP="00DD04DC">
      <w:pPr>
        <w:pStyle w:val="FootnoteText"/>
      </w:pPr>
      <w:r w:rsidRPr="007D443F">
        <w:rPr>
          <w:vertAlign w:val="superscript"/>
        </w:rPr>
        <w:footnoteRef/>
      </w:r>
      <w:r>
        <w:t xml:space="preserve"> A</w:t>
      </w:r>
      <w:r w:rsidRPr="005C0903">
        <w:t xml:space="preserve"> mixture of several chemicals with HCFC-141b that was blended centrally and then distributed to different sites, as compared to other cases where the blending with HCFC-141b would occur only on site.</w:t>
      </w:r>
    </w:p>
  </w:footnote>
  <w:footnote w:id="56">
    <w:p w:rsidR="00DD04DC" w:rsidRPr="00DD04DC" w:rsidRDefault="00DD04DC">
      <w:pPr>
        <w:pStyle w:val="FootnoteText"/>
        <w:rPr>
          <w:lang w:val="en-CA"/>
        </w:rPr>
      </w:pPr>
      <w:r>
        <w:rPr>
          <w:rStyle w:val="FootnoteReference"/>
        </w:rPr>
        <w:footnoteRef/>
      </w:r>
      <w:r>
        <w:t xml:space="preserve"> </w:t>
      </w:r>
      <w:r w:rsidRPr="00DD04DC">
        <w:rPr>
          <w:szCs w:val="20"/>
        </w:rPr>
        <w:t>UNEP/OzL.Pro/ExCom/61/53.</w:t>
      </w:r>
    </w:p>
  </w:footnote>
  <w:footnote w:id="57">
    <w:p w:rsidR="007D68E6" w:rsidRDefault="007D68E6" w:rsidP="008572B3">
      <w:r w:rsidRPr="00276959">
        <w:rPr>
          <w:sz w:val="20"/>
          <w:szCs w:val="20"/>
          <w:vertAlign w:val="superscript"/>
        </w:rPr>
        <w:footnoteRef/>
      </w:r>
      <w:r w:rsidRPr="00276959">
        <w:rPr>
          <w:sz w:val="20"/>
          <w:szCs w:val="20"/>
        </w:rPr>
        <w:t xml:space="preserve"> UNEP/OzL.Pro.22/9.</w:t>
      </w:r>
    </w:p>
  </w:footnote>
  <w:footnote w:id="58">
    <w:p w:rsidR="007D68E6" w:rsidRPr="00DD04DC" w:rsidRDefault="007D68E6" w:rsidP="00DD04DC">
      <w:pPr>
        <w:pStyle w:val="FootnoteText"/>
        <w:rPr>
          <w:szCs w:val="20"/>
        </w:rPr>
      </w:pPr>
      <w:r w:rsidRPr="007D443F">
        <w:rPr>
          <w:vertAlign w:val="superscript"/>
        </w:rPr>
        <w:footnoteRef/>
      </w:r>
      <w:r>
        <w:t xml:space="preserve"> </w:t>
      </w:r>
      <w:r w:rsidRPr="005A0B7B">
        <w:rPr>
          <w:szCs w:val="20"/>
        </w:rPr>
        <w:t>UNEP/OzL.Pro/ExCom/66/54.</w:t>
      </w:r>
    </w:p>
  </w:footnote>
  <w:footnote w:id="59">
    <w:p w:rsidR="00DD04DC" w:rsidRPr="00DD04DC" w:rsidRDefault="00DD04DC">
      <w:pPr>
        <w:pStyle w:val="FootnoteText"/>
        <w:rPr>
          <w:lang w:val="en-CA"/>
        </w:rPr>
      </w:pPr>
      <w:r>
        <w:rPr>
          <w:rStyle w:val="FootnoteReference"/>
        </w:rPr>
        <w:footnoteRef/>
      </w:r>
      <w:r>
        <w:t xml:space="preserve"> </w:t>
      </w:r>
      <w:r w:rsidRPr="005A0B7B">
        <w:rPr>
          <w:szCs w:val="20"/>
        </w:rPr>
        <w:t>Options for a tracking system for HCFC-141b-based pre-blended polyols exported by systems houses and used by foam enterprises in importing Article 5 countries (UNEP/OzL.Pro/ExCom/68/46).</w:t>
      </w:r>
    </w:p>
  </w:footnote>
  <w:footnote w:id="60">
    <w:p w:rsidR="007D68E6" w:rsidRPr="005F1ED4" w:rsidRDefault="007D68E6" w:rsidP="008572B3">
      <w:pPr>
        <w:pStyle w:val="FootnoteText"/>
        <w:rPr>
          <w:lang w:val="en-CA"/>
        </w:rPr>
      </w:pPr>
      <w:r>
        <w:rPr>
          <w:rStyle w:val="FootnoteReference"/>
        </w:rPr>
        <w:footnoteRef/>
      </w:r>
      <w:r>
        <w:t xml:space="preserve"> </w:t>
      </w:r>
      <w:proofErr w:type="gramStart"/>
      <w:r w:rsidRPr="005F1ED4">
        <w:t>Paragraph 8 of the “Terms of reference of the Executive Committee” as modified by the Meeting of the Parties in its decision XIX/11</w:t>
      </w:r>
      <w:r>
        <w:t>.</w:t>
      </w:r>
      <w:proofErr w:type="gramEnd"/>
    </w:p>
  </w:footnote>
  <w:footnote w:id="61">
    <w:p w:rsidR="007D68E6" w:rsidRPr="000C1DAE" w:rsidRDefault="007D68E6" w:rsidP="00122907">
      <w:pPr>
        <w:pStyle w:val="FootnoteText"/>
        <w:rPr>
          <w:lang w:val="en-US"/>
        </w:rPr>
      </w:pPr>
      <w:r>
        <w:rPr>
          <w:rStyle w:val="FootnoteReference"/>
        </w:rPr>
        <w:footnoteRef/>
      </w:r>
      <w:r>
        <w:t xml:space="preserve"> </w:t>
      </w:r>
      <w:r w:rsidRPr="000C1DAE">
        <w:t xml:space="preserve">Despite increasing the efficiency of a refrigeration cycle through better design and higher-quality components, the </w:t>
      </w:r>
      <w:r>
        <w:t xml:space="preserve">energy </w:t>
      </w:r>
      <w:r w:rsidRPr="000C1DAE">
        <w:t>consumption is inherently connected to the operation of a refrigeration system</w:t>
      </w:r>
      <w:r>
        <w:t>.</w:t>
      </w:r>
    </w:p>
  </w:footnote>
  <w:footnote w:id="62">
    <w:p w:rsidR="007D68E6" w:rsidRPr="00C00D3C" w:rsidRDefault="007D68E6" w:rsidP="00122907">
      <w:pPr>
        <w:pStyle w:val="FootnoteText"/>
        <w:rPr>
          <w:lang w:val="en-US"/>
        </w:rPr>
      </w:pPr>
      <w:r>
        <w:rPr>
          <w:rStyle w:val="FootnoteReference"/>
        </w:rPr>
        <w:footnoteRef/>
      </w:r>
      <w:r>
        <w:t xml:space="preserve"> </w:t>
      </w:r>
      <w:r>
        <w:rPr>
          <w:lang w:val="en-US"/>
        </w:rPr>
        <w:t>The preliminary results of the ODS alternatives surveys contained in document UNEP/OzL.Pro/ExCom/78/4, provides an overview of the HCFCs and HFCs currently used in the servicing sector in different Article 5 countries.</w:t>
      </w:r>
    </w:p>
  </w:footnote>
  <w:footnote w:id="63">
    <w:p w:rsidR="007D68E6" w:rsidRPr="00B730D2" w:rsidRDefault="007D68E6" w:rsidP="00122907">
      <w:pPr>
        <w:pStyle w:val="FootnoteText"/>
        <w:rPr>
          <w:lang w:val="en-US"/>
        </w:rPr>
      </w:pPr>
      <w:r>
        <w:rPr>
          <w:rStyle w:val="FootnoteReference"/>
        </w:rPr>
        <w:footnoteRef/>
      </w:r>
      <w:r>
        <w:t xml:space="preserve"> </w:t>
      </w:r>
      <w:proofErr w:type="gramStart"/>
      <w:r>
        <w:rPr>
          <w:lang w:val="en-US"/>
        </w:rPr>
        <w:t>Paragraph 23 of decision XXVIII/2.</w:t>
      </w:r>
      <w:proofErr w:type="gramEnd"/>
    </w:p>
  </w:footnote>
  <w:footnote w:id="64">
    <w:p w:rsidR="007D68E6" w:rsidRPr="003C7530" w:rsidRDefault="007D68E6" w:rsidP="00122907">
      <w:pPr>
        <w:pStyle w:val="FootnoteText"/>
        <w:rPr>
          <w:lang w:val="en-US"/>
        </w:rPr>
      </w:pPr>
      <w:r>
        <w:rPr>
          <w:rStyle w:val="FootnoteReference"/>
        </w:rPr>
        <w:footnoteRef/>
      </w:r>
      <w:r>
        <w:t xml:space="preserve"> </w:t>
      </w:r>
      <w:r>
        <w:rPr>
          <w:lang w:val="en-US"/>
        </w:rPr>
        <w:t>Global mitigation of non-CO</w:t>
      </w:r>
      <w:r w:rsidRPr="00E449FE">
        <w:rPr>
          <w:vertAlign w:val="subscript"/>
          <w:lang w:val="en-US"/>
        </w:rPr>
        <w:t>2</w:t>
      </w:r>
      <w:r>
        <w:rPr>
          <w:lang w:val="en-US"/>
        </w:rPr>
        <w:t xml:space="preserve"> greenhouse gases 2010-2013 (U.S. EPA, 2013), section IV.2.</w:t>
      </w:r>
    </w:p>
  </w:footnote>
  <w:footnote w:id="65">
    <w:p w:rsidR="007D68E6" w:rsidRPr="00F3650E" w:rsidRDefault="007D68E6" w:rsidP="00122907">
      <w:pPr>
        <w:pStyle w:val="FootnoteText"/>
        <w:rPr>
          <w:lang w:val="en-US"/>
        </w:rPr>
      </w:pPr>
      <w:r>
        <w:rPr>
          <w:rStyle w:val="FootnoteReference"/>
        </w:rPr>
        <w:footnoteRef/>
      </w:r>
      <w:r>
        <w:t xml:space="preserve"> </w:t>
      </w:r>
      <w:proofErr w:type="gramStart"/>
      <w:r>
        <w:rPr>
          <w:lang w:val="en-US"/>
        </w:rPr>
        <w:t>Analysis of equipment and practices in the reclamation industry.</w:t>
      </w:r>
      <w:proofErr w:type="gramEnd"/>
      <w:r>
        <w:rPr>
          <w:lang w:val="en-US"/>
        </w:rPr>
        <w:t xml:space="preserve"> Draft report (USEPA, 2010).</w:t>
      </w:r>
    </w:p>
  </w:footnote>
  <w:footnote w:id="66">
    <w:p w:rsidR="007D68E6" w:rsidRPr="008A6B60" w:rsidRDefault="007D68E6" w:rsidP="00122907">
      <w:pPr>
        <w:pStyle w:val="FootnoteText"/>
        <w:rPr>
          <w:lang w:val="en-US"/>
        </w:rPr>
      </w:pPr>
      <w:r>
        <w:rPr>
          <w:rStyle w:val="FootnoteReference"/>
        </w:rPr>
        <w:footnoteRef/>
      </w:r>
      <w:r>
        <w:t xml:space="preserve"> </w:t>
      </w:r>
      <w:proofErr w:type="gramStart"/>
      <w:r>
        <w:rPr>
          <w:lang w:val="en-US"/>
        </w:rPr>
        <w:t>Greenhouse gas performance analysis for commercial buildings with large air conditioning systems (ICF international 2012, pages 3 to 14).</w:t>
      </w:r>
      <w:proofErr w:type="gramEnd"/>
    </w:p>
  </w:footnote>
  <w:footnote w:id="67">
    <w:p w:rsidR="007D68E6" w:rsidRPr="00D131E3" w:rsidRDefault="007D68E6" w:rsidP="00122907">
      <w:pPr>
        <w:pStyle w:val="FootnoteText"/>
        <w:rPr>
          <w:lang w:val="en-US"/>
        </w:rPr>
      </w:pPr>
      <w:r>
        <w:rPr>
          <w:rStyle w:val="FootnoteReference"/>
        </w:rPr>
        <w:footnoteRef/>
      </w:r>
      <w:r>
        <w:t xml:space="preserve"> </w:t>
      </w:r>
      <w:r>
        <w:rPr>
          <w:lang w:val="en-US"/>
        </w:rPr>
        <w:t xml:space="preserve">Technical support document: Analysis of the economic impact and benefits of final revisions to national recycling and emission reduction </w:t>
      </w:r>
      <w:proofErr w:type="spellStart"/>
      <w:r>
        <w:rPr>
          <w:lang w:val="en-US"/>
        </w:rPr>
        <w:t>programme</w:t>
      </w:r>
      <w:proofErr w:type="spellEnd"/>
      <w:r>
        <w:rPr>
          <w:lang w:val="en-US"/>
        </w:rPr>
        <w:t xml:space="preserve"> (USEPA, 2016), sections 3.1.1.3 and Appendix D.</w:t>
      </w:r>
    </w:p>
  </w:footnote>
  <w:footnote w:id="68">
    <w:p w:rsidR="007D68E6" w:rsidRPr="008A3C84" w:rsidRDefault="007D68E6" w:rsidP="00DC7FB5">
      <w:pPr>
        <w:pStyle w:val="FootnoteText"/>
        <w:rPr>
          <w:lang w:val="en-CA"/>
        </w:rPr>
      </w:pPr>
      <w:r>
        <w:rPr>
          <w:rStyle w:val="FootnoteReference"/>
        </w:rPr>
        <w:footnoteRef/>
      </w:r>
      <w:r>
        <w:t xml:space="preserve"> </w:t>
      </w:r>
      <w:proofErr w:type="gramStart"/>
      <w:r>
        <w:rPr>
          <w:lang w:val="en-CA"/>
        </w:rPr>
        <w:t>Paragraph 22 of decision XXVIII/2.</w:t>
      </w:r>
      <w:proofErr w:type="gramEnd"/>
    </w:p>
  </w:footnote>
  <w:footnote w:id="69">
    <w:p w:rsidR="007D68E6" w:rsidRPr="008A3C84" w:rsidRDefault="007D68E6" w:rsidP="00DC7FB5">
      <w:pPr>
        <w:pStyle w:val="FootnoteText"/>
        <w:rPr>
          <w:lang w:val="en-CA"/>
        </w:rPr>
      </w:pPr>
      <w:r>
        <w:rPr>
          <w:rStyle w:val="FootnoteReference"/>
        </w:rPr>
        <w:footnoteRef/>
      </w:r>
      <w:r>
        <w:t xml:space="preserve"> </w:t>
      </w:r>
      <w:proofErr w:type="gramStart"/>
      <w:r w:rsidRPr="008A3C84">
        <w:t xml:space="preserve">Paragraph </w:t>
      </w:r>
      <w:r>
        <w:t>16</w:t>
      </w:r>
      <w:r w:rsidRPr="008A3C84">
        <w:t xml:space="preserve"> of decision XXVIII/2</w:t>
      </w:r>
      <w:r>
        <w:t>.</w:t>
      </w:r>
      <w:proofErr w:type="gramEnd"/>
    </w:p>
  </w:footnote>
  <w:footnote w:id="70">
    <w:p w:rsidR="007D68E6" w:rsidRPr="00565B90" w:rsidRDefault="007D68E6" w:rsidP="00DC7FB5">
      <w:pPr>
        <w:pStyle w:val="FootnoteText"/>
        <w:rPr>
          <w:lang w:val="en-CA"/>
        </w:rPr>
      </w:pPr>
      <w:r>
        <w:rPr>
          <w:rStyle w:val="FootnoteReference"/>
        </w:rPr>
        <w:footnoteRef/>
      </w:r>
      <w:r>
        <w:t xml:space="preserve"> </w:t>
      </w:r>
      <w:proofErr w:type="gramStart"/>
      <w:r>
        <w:rPr>
          <w:lang w:val="en-CA"/>
        </w:rPr>
        <w:t>Decision XXVIII/3.</w:t>
      </w:r>
      <w:proofErr w:type="gramEnd"/>
    </w:p>
  </w:footnote>
  <w:footnote w:id="71">
    <w:p w:rsidR="007D68E6" w:rsidRPr="00F466F4" w:rsidRDefault="007D68E6" w:rsidP="00DC7FB5">
      <w:pPr>
        <w:pStyle w:val="FootnoteText"/>
        <w:rPr>
          <w:lang w:val="en-CA"/>
        </w:rPr>
      </w:pPr>
      <w:r>
        <w:rPr>
          <w:rStyle w:val="FootnoteReference"/>
        </w:rPr>
        <w:footnoteRef/>
      </w:r>
      <w:r>
        <w:t xml:space="preserve"> </w:t>
      </w:r>
      <w:r>
        <w:rPr>
          <w:lang w:val="en-CA"/>
        </w:rPr>
        <w:t>Paragraph 11(b) of decision XIX/6.</w:t>
      </w:r>
    </w:p>
  </w:footnote>
  <w:footnote w:id="72">
    <w:p w:rsidR="007D68E6" w:rsidRPr="00B936CD" w:rsidRDefault="007D68E6" w:rsidP="00DC7FB5">
      <w:pPr>
        <w:pStyle w:val="FootnoteText"/>
      </w:pPr>
      <w:r>
        <w:rPr>
          <w:rStyle w:val="FootnoteReference"/>
        </w:rPr>
        <w:footnoteRef/>
      </w:r>
      <w:r>
        <w:t xml:space="preserve"> </w:t>
      </w:r>
      <w:r w:rsidRPr="00B936CD">
        <w:t>UNEP/OzL.Pro/ExCom/12/37</w:t>
      </w:r>
      <w:r>
        <w:t xml:space="preserve">. </w:t>
      </w:r>
      <w:r w:rsidRPr="00B936CD">
        <w:t>In preparing this report</w:t>
      </w:r>
      <w:r>
        <w:t>,</w:t>
      </w:r>
      <w:r w:rsidRPr="00B936CD">
        <w:t xml:space="preserve"> the Secretariat consulted with technology vendors, trade associations in </w:t>
      </w:r>
      <w:r>
        <w:t xml:space="preserve">non-Article </w:t>
      </w:r>
      <w:r w:rsidRPr="00B936CD">
        <w:t xml:space="preserve">countries and with industry representatives in Article 5 countries. The first draft of </w:t>
      </w:r>
      <w:r>
        <w:t xml:space="preserve">the </w:t>
      </w:r>
      <w:r w:rsidRPr="00B936CD">
        <w:t xml:space="preserve">report was circulated to some members of the Executive Committee whose countries have ongoing programmes in retrofits, and to the </w:t>
      </w:r>
      <w:r>
        <w:t>i</w:t>
      </w:r>
      <w:r w:rsidRPr="00B936CD">
        <w:t>mplementing agencies.</w:t>
      </w:r>
    </w:p>
  </w:footnote>
  <w:footnote w:id="73">
    <w:p w:rsidR="007D68E6" w:rsidRPr="00862E45" w:rsidRDefault="007D68E6" w:rsidP="00DC7FB5">
      <w:pPr>
        <w:pStyle w:val="FootnoteText"/>
        <w:rPr>
          <w:lang w:val="en-CA"/>
        </w:rPr>
      </w:pPr>
      <w:r>
        <w:rPr>
          <w:rStyle w:val="FootnoteReference"/>
        </w:rPr>
        <w:footnoteRef/>
      </w:r>
      <w:r>
        <w:t xml:space="preserve"> </w:t>
      </w:r>
      <w:r w:rsidRPr="009A6792">
        <w:t>UNEP/OzL.Pro/ExCom/58/9</w:t>
      </w:r>
      <w:r>
        <w:t>.</w:t>
      </w:r>
    </w:p>
  </w:footnote>
  <w:footnote w:id="74">
    <w:p w:rsidR="007D68E6" w:rsidRPr="005E587D" w:rsidRDefault="007D68E6" w:rsidP="00DC7FB5">
      <w:pPr>
        <w:pStyle w:val="FootnoteText"/>
      </w:pPr>
      <w:r>
        <w:rPr>
          <w:rStyle w:val="FootnoteReference"/>
        </w:rPr>
        <w:footnoteRef/>
      </w:r>
      <w:r>
        <w:t xml:space="preserve"> </w:t>
      </w:r>
      <w:proofErr w:type="gramStart"/>
      <w:r w:rsidRPr="005E587D">
        <w:t>UNEP/OzL.Pro/ExCom/68/10</w:t>
      </w:r>
      <w:r>
        <w:t xml:space="preserve"> and Add.1.</w:t>
      </w:r>
      <w:proofErr w:type="gramEnd"/>
    </w:p>
  </w:footnote>
  <w:footnote w:id="75">
    <w:p w:rsidR="007D68E6" w:rsidRPr="00862E45" w:rsidRDefault="007D68E6" w:rsidP="00DC7FB5">
      <w:pPr>
        <w:pStyle w:val="FootnoteText"/>
        <w:rPr>
          <w:lang w:val="en-CA"/>
        </w:rPr>
      </w:pPr>
      <w:r>
        <w:rPr>
          <w:rStyle w:val="FootnoteReference"/>
        </w:rPr>
        <w:footnoteRef/>
      </w:r>
      <w:r>
        <w:t xml:space="preserve"> UNEP/OzL.Pro/ExCom/77/10/Rev.1, Annex I.</w:t>
      </w:r>
    </w:p>
  </w:footnote>
  <w:footnote w:id="76">
    <w:p w:rsidR="007D68E6" w:rsidRPr="00F73CC9" w:rsidRDefault="007D68E6" w:rsidP="00DC7FB5">
      <w:pPr>
        <w:pStyle w:val="FootnoteText"/>
        <w:rPr>
          <w:lang w:val="en-CA"/>
        </w:rPr>
      </w:pPr>
      <w:r>
        <w:rPr>
          <w:rStyle w:val="FootnoteReference"/>
        </w:rPr>
        <w:footnoteRef/>
      </w:r>
      <w:r>
        <w:t xml:space="preserve"> “</w:t>
      </w:r>
      <w:r>
        <w:rPr>
          <w:lang w:val="en-CA"/>
        </w:rPr>
        <w:t xml:space="preserve">Lessons Learned from Incentive Programs for Efficient Air Conditioners: A Review”, </w:t>
      </w:r>
      <w:r w:rsidRPr="0030179A">
        <w:rPr>
          <w:lang w:val="en-CA"/>
        </w:rPr>
        <w:t>Lawrence Berkeley National Laboratory, June 2016.</w:t>
      </w:r>
      <w:r>
        <w:rPr>
          <w:lang w:val="en-CA"/>
        </w:rPr>
        <w:t xml:space="preserve"> </w:t>
      </w:r>
      <w:proofErr w:type="gramStart"/>
      <w:r w:rsidRPr="00F75324">
        <w:rPr>
          <w:lang w:val="en-CA"/>
        </w:rPr>
        <w:t>EPA Energy and Environment Guide to Action</w:t>
      </w:r>
      <w:r>
        <w:rPr>
          <w:lang w:val="en-CA"/>
        </w:rPr>
        <w:t>,</w:t>
      </w:r>
      <w:r w:rsidRPr="00F75324">
        <w:rPr>
          <w:lang w:val="en-CA"/>
        </w:rPr>
        <w:t xml:space="preserve"> U.S. EPA, 2015</w:t>
      </w:r>
      <w:r>
        <w:rPr>
          <w:lang w:val="en-CA"/>
        </w:rPr>
        <w:t>.</w:t>
      </w:r>
      <w:proofErr w:type="gramEnd"/>
    </w:p>
  </w:footnote>
  <w:footnote w:id="77">
    <w:p w:rsidR="007D68E6" w:rsidRPr="00862E45" w:rsidRDefault="007D68E6" w:rsidP="00DC7FB5">
      <w:pPr>
        <w:pStyle w:val="FootnoteText"/>
        <w:rPr>
          <w:lang w:val="en-CA"/>
        </w:rPr>
      </w:pPr>
      <w:r>
        <w:rPr>
          <w:rStyle w:val="FootnoteReference"/>
        </w:rPr>
        <w:footnoteRef/>
      </w:r>
      <w:r>
        <w:t xml:space="preserve"> </w:t>
      </w:r>
      <w:r w:rsidRPr="00A41E5A">
        <w:t xml:space="preserve">“Lessons Learned from Incentive Programs for Efficient Air Conditioners: A Review”, Lawrence Berkeley National Laboratory, June 2016. </w:t>
      </w:r>
      <w:proofErr w:type="gramStart"/>
      <w:r w:rsidRPr="00A41E5A">
        <w:t>EPA Energy and Environment Guide to Action, U.S. EPA, 2015.</w:t>
      </w:r>
      <w:proofErr w:type="gramEnd"/>
    </w:p>
  </w:footnote>
  <w:footnote w:id="78">
    <w:p w:rsidR="007D68E6" w:rsidRPr="00B2731E" w:rsidRDefault="007D68E6" w:rsidP="00DC7FB5">
      <w:pPr>
        <w:pStyle w:val="FootnoteText"/>
        <w:rPr>
          <w:lang w:val="en-CA"/>
        </w:rPr>
      </w:pPr>
      <w:r w:rsidRPr="00B2731E">
        <w:rPr>
          <w:rStyle w:val="FootnoteReference"/>
        </w:rPr>
        <w:footnoteRef/>
      </w:r>
      <w:r w:rsidRPr="00B2731E">
        <w:t xml:space="preserve"> Technical Support Document: Energy Efficiency Program for Consumer Products and Commercial and Industrial Equipment: Small, Large, and Very Large Commercial Package Air Condition</w:t>
      </w:r>
      <w:r>
        <w:t>ing and Heating Equipment, U.S. </w:t>
      </w:r>
      <w:r w:rsidRPr="00B2731E">
        <w:t>Department of Energy, 2015.</w:t>
      </w:r>
    </w:p>
  </w:footnote>
  <w:footnote w:id="79">
    <w:p w:rsidR="007D68E6" w:rsidRPr="00B2731E" w:rsidRDefault="007D68E6" w:rsidP="00DC7FB5">
      <w:pPr>
        <w:pStyle w:val="FootnoteText"/>
        <w:rPr>
          <w:lang w:val="en-CA"/>
        </w:rPr>
      </w:pPr>
      <w:r w:rsidRPr="00B2731E">
        <w:rPr>
          <w:rStyle w:val="FootnoteReference"/>
        </w:rPr>
        <w:footnoteRef/>
      </w:r>
      <w:r w:rsidRPr="00B2731E">
        <w:t xml:space="preserve"> Lessons Learned from Incentive Programs for Efficient Air Conditioners, U.S. Department of Energy, 2015.</w:t>
      </w:r>
    </w:p>
  </w:footnote>
  <w:footnote w:id="80">
    <w:p w:rsidR="007D68E6" w:rsidRPr="008A3C84" w:rsidRDefault="007D68E6" w:rsidP="00DC7FB5">
      <w:pPr>
        <w:pStyle w:val="FootnoteText"/>
        <w:rPr>
          <w:lang w:val="en-CA"/>
        </w:rPr>
      </w:pPr>
      <w:r>
        <w:rPr>
          <w:rStyle w:val="FootnoteReference"/>
        </w:rPr>
        <w:footnoteRef/>
      </w:r>
      <w:r>
        <w:t xml:space="preserve"> </w:t>
      </w:r>
      <w:proofErr w:type="gramStart"/>
      <w:r>
        <w:t>“</w:t>
      </w:r>
      <w:r w:rsidRPr="008A3C84">
        <w:t>Cost-benefit of improving energy efficiency of room air-conditioners (inverter and fixed speed) in India,</w:t>
      </w:r>
      <w:r>
        <w:t>”</w:t>
      </w:r>
      <w:r w:rsidRPr="008A3C84">
        <w:t xml:space="preserve"> Energy Analysis and Environmental Impacts Division, Lawrence Berkeley National Laboratory, June 2016.</w:t>
      </w:r>
      <w:proofErr w:type="gramEnd"/>
    </w:p>
  </w:footnote>
  <w:footnote w:id="81">
    <w:p w:rsidR="007D68E6" w:rsidRPr="000A2A98" w:rsidRDefault="007D68E6" w:rsidP="00DC7FB5">
      <w:pPr>
        <w:pStyle w:val="FootnoteText"/>
        <w:rPr>
          <w:lang w:val="en-US"/>
        </w:rPr>
      </w:pPr>
      <w:r w:rsidRPr="0026758A">
        <w:rPr>
          <w:rStyle w:val="FootnoteReference"/>
        </w:rPr>
        <w:footnoteRef/>
      </w:r>
      <w:r w:rsidRPr="0026758A">
        <w:t xml:space="preserve"> </w:t>
      </w:r>
      <w:r w:rsidRPr="0026758A">
        <w:rPr>
          <w:lang w:val="en-US"/>
        </w:rPr>
        <w:t>The actual energy efficiency of equipment could be lower than nominal energy efficiency based on how the equipment is sited, maintained, and operated.</w:t>
      </w:r>
    </w:p>
  </w:footnote>
  <w:footnote w:id="82">
    <w:p w:rsidR="007D68E6" w:rsidRPr="00FC182F" w:rsidRDefault="007D68E6" w:rsidP="00DC7FB5">
      <w:pPr>
        <w:pStyle w:val="FootnoteText"/>
        <w:rPr>
          <w:lang w:val="en-US"/>
        </w:rPr>
      </w:pPr>
      <w:r>
        <w:rPr>
          <w:rStyle w:val="FootnoteReference"/>
        </w:rPr>
        <w:footnoteRef/>
      </w:r>
      <w:r>
        <w:t xml:space="preserve"> </w:t>
      </w:r>
      <w:r>
        <w:rPr>
          <w:lang w:val="en-US"/>
        </w:rPr>
        <w:t xml:space="preserve">Available at </w:t>
      </w:r>
      <w:hyperlink r:id="rId3" w:history="1">
        <w:r w:rsidRPr="00626077">
          <w:rPr>
            <w:rStyle w:val="Hyperlink"/>
            <w:lang w:val="en-US"/>
          </w:rPr>
          <w:t>http://superefficient.org/Activities/Technical%20Analysis/~/media/Files/SEAD%20Technical%</w:t>
        </w:r>
      </w:hyperlink>
      <w:r>
        <w:rPr>
          <w:lang w:val="en-US"/>
        </w:rPr>
        <w:t xml:space="preserve"> </w:t>
      </w:r>
      <w:r w:rsidRPr="004A61FA">
        <w:rPr>
          <w:lang w:val="en-US"/>
        </w:rPr>
        <w:t>20Analysis%20Reports/SEAD%20Room%20AC%20Analysis/Final%20SEAD%20Room%20AC%20Report.pdf</w:t>
      </w:r>
    </w:p>
  </w:footnote>
  <w:footnote w:id="83">
    <w:p w:rsidR="007D68E6" w:rsidRPr="00DC7FB5" w:rsidRDefault="007D68E6" w:rsidP="00DC7FB5">
      <w:pPr>
        <w:pStyle w:val="FootnoteText"/>
        <w:rPr>
          <w:rStyle w:val="Hyperlink"/>
          <w:lang w:val="en-CA"/>
        </w:rPr>
      </w:pPr>
      <w:r w:rsidRPr="00B2731E">
        <w:rPr>
          <w:rStyle w:val="FootnoteReference"/>
        </w:rPr>
        <w:footnoteRef/>
      </w:r>
      <w:r w:rsidRPr="00B2731E">
        <w:t xml:space="preserve"> </w:t>
      </w:r>
      <w:proofErr w:type="gramStart"/>
      <w:r>
        <w:t>“</w:t>
      </w:r>
      <w:r w:rsidRPr="00B2731E">
        <w:t>Cost-Benefit of Improving the Efficiency of Room Air Conditioners in India,</w:t>
      </w:r>
      <w:r>
        <w:t>”</w:t>
      </w:r>
      <w:r w:rsidRPr="00B2731E">
        <w:t xml:space="preserve"> Lawrence Berkeley National Laboratory, 2016.</w:t>
      </w:r>
      <w:proofErr w:type="gramEnd"/>
      <w:r>
        <w:t xml:space="preserve"> Available at </w:t>
      </w:r>
      <w:hyperlink r:id="rId4" w:history="1">
        <w:r w:rsidRPr="00DC7FB5">
          <w:rPr>
            <w:rStyle w:val="Hyperlink"/>
            <w:lang w:val="en-CA"/>
          </w:rPr>
          <w:t>http://www.superefficient.org/~/media/Files/PublicationLibrary/2016/India%20AC</w:t>
        </w:r>
      </w:hyperlink>
      <w:r>
        <w:t xml:space="preserve"> </w:t>
      </w:r>
      <w:r w:rsidRPr="00DC7FB5">
        <w:rPr>
          <w:rStyle w:val="Hyperlink"/>
          <w:lang w:val="en-CA"/>
        </w:rPr>
        <w:t>%20Cost%20Benefit%20report%202016.ashx</w:t>
      </w:r>
    </w:p>
  </w:footnote>
  <w:footnote w:id="84">
    <w:p w:rsidR="007D68E6" w:rsidRPr="00B2731E" w:rsidRDefault="007D68E6" w:rsidP="00DC7FB5">
      <w:pPr>
        <w:pStyle w:val="FootnoteText"/>
        <w:rPr>
          <w:lang w:val="en-CA"/>
        </w:rPr>
      </w:pPr>
      <w:r w:rsidRPr="00B2731E">
        <w:rPr>
          <w:rStyle w:val="FootnoteReference"/>
        </w:rPr>
        <w:footnoteRef/>
      </w:r>
      <w:r w:rsidRPr="00B2731E">
        <w:t xml:space="preserve"> </w:t>
      </w:r>
      <w:proofErr w:type="gramStart"/>
      <w:r>
        <w:t>“</w:t>
      </w:r>
      <w:r w:rsidRPr="00B2731E">
        <w:t>The Future of Air Conditioning for Buildings,</w:t>
      </w:r>
      <w:r>
        <w:t>”</w:t>
      </w:r>
      <w:r w:rsidRPr="00B2731E">
        <w:t xml:space="preserve"> U.S. Department of Energy, 2016.</w:t>
      </w:r>
      <w:proofErr w:type="gramEnd"/>
      <w:r>
        <w:t xml:space="preserve"> Available at </w:t>
      </w:r>
      <w:r w:rsidRPr="004A1027">
        <w:t>https://www.energy.gov/sites/prod/files/2016/07/f33/The%20Future%20of%20AC%20Report%20-%20Full%20Report_0.pdf</w:t>
      </w:r>
    </w:p>
  </w:footnote>
  <w:footnote w:id="85">
    <w:p w:rsidR="007D68E6" w:rsidRPr="00DC7FB5" w:rsidRDefault="007D68E6" w:rsidP="00DC7FB5">
      <w:pPr>
        <w:pStyle w:val="FootnoteText"/>
        <w:rPr>
          <w:rStyle w:val="Hyperlink"/>
          <w:lang w:val="en-CA"/>
        </w:rPr>
      </w:pPr>
      <w:r w:rsidRPr="00B2731E">
        <w:rPr>
          <w:rStyle w:val="FootnoteReference"/>
        </w:rPr>
        <w:footnoteRef/>
      </w:r>
      <w:r w:rsidRPr="00B2731E">
        <w:t xml:space="preserve"> “Soft-Optimized System Test of Alternative Lower GWP Refrigerants in 1.5-Ton Mini-Split Air Conditioning Units</w:t>
      </w:r>
      <w:r>
        <w:t>,</w:t>
      </w:r>
      <w:r w:rsidRPr="00B2731E">
        <w:t>”</w:t>
      </w:r>
      <w:r>
        <w:t xml:space="preserve"> </w:t>
      </w:r>
      <w:proofErr w:type="spellStart"/>
      <w:r w:rsidRPr="00B2731E">
        <w:t>Abdelaziz</w:t>
      </w:r>
      <w:proofErr w:type="spellEnd"/>
      <w:r w:rsidRPr="00B2731E">
        <w:t xml:space="preserve">, Omar, and </w:t>
      </w:r>
      <w:proofErr w:type="spellStart"/>
      <w:r w:rsidRPr="00B2731E">
        <w:t>Som</w:t>
      </w:r>
      <w:proofErr w:type="spellEnd"/>
      <w:r w:rsidRPr="00B2731E">
        <w:t xml:space="preserve"> Shrestha. 2016.</w:t>
      </w:r>
      <w:r>
        <w:t xml:space="preserve"> Available at </w:t>
      </w:r>
      <w:r w:rsidRPr="00DC7FB5">
        <w:rPr>
          <w:rStyle w:val="Hyperlink"/>
          <w:lang w:val="en-CA"/>
        </w:rPr>
        <w:t>http://www.ahrinet.org/App_Content/ahri/files/RESEARCH/AREP_Final_Reports/AHRI_Low_GWP_AREP_Rpt_062.pdf</w:t>
      </w:r>
    </w:p>
  </w:footnote>
  <w:footnote w:id="86">
    <w:p w:rsidR="007D68E6" w:rsidRPr="00491E60" w:rsidRDefault="007D68E6" w:rsidP="00DC7FB5">
      <w:pPr>
        <w:pStyle w:val="FootnoteText"/>
        <w:rPr>
          <w:lang w:val="en-CA"/>
        </w:rPr>
      </w:pPr>
      <w:r w:rsidRPr="00B2731E">
        <w:rPr>
          <w:rStyle w:val="FootnoteReference"/>
        </w:rPr>
        <w:footnoteRef/>
      </w:r>
      <w:r w:rsidRPr="00B2731E">
        <w:t xml:space="preserve"> “A Retrospective investigation of energy efficiency standards: policies may have accelerated long term declines in appliance costs,” Environmental Research Letters, </w:t>
      </w:r>
      <w:proofErr w:type="spellStart"/>
      <w:r w:rsidRPr="00B2731E">
        <w:t>Buskirk</w:t>
      </w:r>
      <w:proofErr w:type="spellEnd"/>
      <w:r w:rsidRPr="00B2731E">
        <w:t xml:space="preserve"> et al., 2014.</w:t>
      </w:r>
      <w:r>
        <w:t xml:space="preserve"> Available at </w:t>
      </w:r>
      <w:hyperlink r:id="rId5" w:history="1">
        <w:r w:rsidRPr="00DC7FB5">
          <w:rPr>
            <w:rStyle w:val="Hyperlink"/>
            <w:lang w:val="en-CA"/>
          </w:rPr>
          <w:t>http://iopscience.iop.org/</w:t>
        </w:r>
      </w:hyperlink>
      <w:r>
        <w:t xml:space="preserve"> </w:t>
      </w:r>
      <w:r w:rsidRPr="008101EB">
        <w:t>article/10.1088/1748-9326/9/11/114010/pdf</w:t>
      </w:r>
    </w:p>
  </w:footnote>
  <w:footnote w:id="87">
    <w:p w:rsidR="007D68E6" w:rsidRPr="00B2731E" w:rsidRDefault="007D68E6" w:rsidP="00DC7FB5">
      <w:pPr>
        <w:pStyle w:val="FootnoteText"/>
        <w:rPr>
          <w:lang w:val="en-CA"/>
        </w:rPr>
      </w:pPr>
      <w:r w:rsidRPr="00B2731E">
        <w:rPr>
          <w:rStyle w:val="FootnoteReference"/>
        </w:rPr>
        <w:footnoteRef/>
      </w:r>
      <w:r w:rsidRPr="00B2731E">
        <w:t xml:space="preserve"> UNEP/OzL.Pro/ExCom/77/70.</w:t>
      </w:r>
      <w:r>
        <w:t xml:space="preserve"> </w:t>
      </w:r>
      <w:r w:rsidRPr="00B2731E">
        <w:t>It may be noted that there are several technical studies that demonstrate linkage between good practices in servicing and maintenance with energy</w:t>
      </w:r>
      <w:r>
        <w:t>-</w:t>
      </w:r>
      <w:r w:rsidRPr="00B2731E">
        <w:t>efficient operations of equipment.</w:t>
      </w:r>
    </w:p>
  </w:footnote>
  <w:footnote w:id="88">
    <w:p w:rsidR="007D68E6" w:rsidRPr="00A76E71" w:rsidRDefault="007D68E6" w:rsidP="00DC7FB5">
      <w:pPr>
        <w:pStyle w:val="FootnoteText"/>
        <w:rPr>
          <w:lang w:val="en-CA"/>
        </w:rPr>
      </w:pPr>
      <w:r w:rsidRPr="00B2731E">
        <w:rPr>
          <w:rStyle w:val="FootnoteReference"/>
        </w:rPr>
        <w:footnoteRef/>
      </w:r>
      <w:r w:rsidRPr="00B2731E">
        <w:t xml:space="preserve"> While this is not directly linked to energy efficiency, through safe adoption of low-GWP /zero GWP refrigerants, energy efficiency would be promoted.</w:t>
      </w:r>
    </w:p>
  </w:footnote>
  <w:footnote w:id="89">
    <w:p w:rsidR="007D68E6" w:rsidRPr="00210B31" w:rsidRDefault="007D68E6" w:rsidP="00DC7FB5">
      <w:pPr>
        <w:pStyle w:val="FootnoteText"/>
        <w:rPr>
          <w:lang w:val="en-CA"/>
        </w:rPr>
      </w:pPr>
      <w:r>
        <w:rPr>
          <w:rStyle w:val="FootnoteReference"/>
        </w:rPr>
        <w:footnoteRef/>
      </w:r>
      <w:r>
        <w:t xml:space="preserve"> </w:t>
      </w:r>
      <w:r w:rsidRPr="00210B31">
        <w:t>UNEP/OzL.Pro/ExCom/69/34</w:t>
      </w:r>
      <w:r>
        <w:t>.</w:t>
      </w:r>
    </w:p>
  </w:footnote>
  <w:footnote w:id="90">
    <w:p w:rsidR="007D68E6" w:rsidRPr="00FC182F" w:rsidRDefault="007D68E6" w:rsidP="00DC7FB5">
      <w:pPr>
        <w:pStyle w:val="FootnoteText"/>
      </w:pPr>
      <w:r>
        <w:rPr>
          <w:rStyle w:val="FootnoteReference"/>
        </w:rPr>
        <w:footnoteRef/>
      </w:r>
      <w:r>
        <w:t xml:space="preserve"> </w:t>
      </w:r>
      <w:r w:rsidRPr="00FC182F">
        <w:t>UNEP/OzL.Pro/ExCom/</w:t>
      </w:r>
      <w:r>
        <w:t>73</w:t>
      </w:r>
      <w:r w:rsidRPr="00FC182F">
        <w:t>/</w:t>
      </w:r>
      <w:r>
        <w:t>54.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E27C84" w:rsidRDefault="007D68E6" w:rsidP="000C004B">
    <w:pPr>
      <w:widowControl w:val="0"/>
      <w:jc w:val="left"/>
      <w:rPr>
        <w:color w:val="000000" w:themeColor="text1"/>
        <w:lang w:val="en-CA"/>
      </w:rPr>
    </w:pPr>
    <w:r w:rsidRPr="00E27C84">
      <w:rPr>
        <w:lang w:val="en-CA"/>
      </w:rPr>
      <w:fldChar w:fldCharType="begin"/>
    </w:r>
    <w:r w:rsidRPr="00E27C84">
      <w:rPr>
        <w:lang w:val="en-CA"/>
      </w:rPr>
      <w:instrText xml:space="preserve"> DOCPROPERTY "Document number"  \* MERGEFORMAT </w:instrText>
    </w:r>
    <w:r w:rsidRPr="00E27C84">
      <w:rPr>
        <w:lang w:val="en-CA"/>
      </w:rPr>
      <w:fldChar w:fldCharType="separate"/>
    </w:r>
    <w:r w:rsidR="00FB3F9B" w:rsidRPr="00FB3F9B">
      <w:rPr>
        <w:color w:val="000000" w:themeColor="text1"/>
        <w:lang w:val="en-CA"/>
      </w:rPr>
      <w:t>UNEP/OzL.Pro/ExCom/78/</w:t>
    </w:r>
    <w:r w:rsidR="00FB3F9B">
      <w:rPr>
        <w:lang w:val="en-CA"/>
      </w:rPr>
      <w:t>5</w:t>
    </w:r>
    <w:r w:rsidRPr="00E27C84">
      <w:rPr>
        <w:color w:val="000000" w:themeColor="text1"/>
        <w:lang w:val="en-CA"/>
      </w:rPr>
      <w:fldChar w:fldCharType="end"/>
    </w:r>
  </w:p>
  <w:p w:rsidR="007D68E6" w:rsidRDefault="007D68E6" w:rsidP="000C004B">
    <w:pPr>
      <w:pStyle w:val="Header"/>
      <w:jc w:val="left"/>
      <w:rPr>
        <w:lang w:val="en-CA"/>
      </w:rPr>
    </w:pPr>
  </w:p>
  <w:p w:rsidR="007D68E6" w:rsidRPr="000C004B" w:rsidRDefault="007D68E6" w:rsidP="004F2C9D">
    <w:pPr>
      <w:pStyle w:val="Header"/>
      <w:jc w:val="left"/>
      <w:rPr>
        <w:lang w:val="en-C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E27C84" w:rsidRDefault="007D68E6" w:rsidP="000C004B">
    <w:pPr>
      <w:widowControl w:val="0"/>
      <w:jc w:val="right"/>
      <w:rPr>
        <w:color w:val="000000" w:themeColor="text1"/>
        <w:lang w:val="en-CA"/>
      </w:rPr>
    </w:pPr>
    <w:r w:rsidRPr="00E27C84">
      <w:rPr>
        <w:lang w:val="en-CA"/>
      </w:rPr>
      <w:fldChar w:fldCharType="begin"/>
    </w:r>
    <w:r w:rsidRPr="00E27C84">
      <w:rPr>
        <w:lang w:val="en-CA"/>
      </w:rPr>
      <w:instrText xml:space="preserve"> DOCPROPERTY "Document number"  \* MERGEFORMAT </w:instrText>
    </w:r>
    <w:r w:rsidRPr="00E27C84">
      <w:rPr>
        <w:lang w:val="en-CA"/>
      </w:rPr>
      <w:fldChar w:fldCharType="separate"/>
    </w:r>
    <w:r w:rsidR="00FB3F9B" w:rsidRPr="00FB3F9B">
      <w:rPr>
        <w:color w:val="000000" w:themeColor="text1"/>
        <w:lang w:val="en-CA"/>
      </w:rPr>
      <w:t>UNEP/OzL.Pro/ExCom/78/</w:t>
    </w:r>
    <w:r w:rsidR="00FB3F9B">
      <w:rPr>
        <w:lang w:val="en-CA"/>
      </w:rPr>
      <w:t>5</w:t>
    </w:r>
    <w:r w:rsidRPr="00E27C84">
      <w:rPr>
        <w:color w:val="000000" w:themeColor="text1"/>
        <w:lang w:val="en-CA"/>
      </w:rPr>
      <w:fldChar w:fldCharType="end"/>
    </w:r>
  </w:p>
  <w:p w:rsidR="007D68E6" w:rsidRDefault="007D68E6" w:rsidP="000C004B">
    <w:pPr>
      <w:pStyle w:val="Header"/>
      <w:jc w:val="right"/>
      <w:rPr>
        <w:lang w:val="en-CA"/>
      </w:rPr>
    </w:pPr>
  </w:p>
  <w:p w:rsidR="007D68E6" w:rsidRDefault="007D68E6" w:rsidP="000C004B">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E27C84" w:rsidRDefault="007D68E6" w:rsidP="000C004B">
    <w:pPr>
      <w:widowControl w:val="0"/>
      <w:jc w:val="left"/>
      <w:rPr>
        <w:color w:val="000000" w:themeColor="text1"/>
        <w:lang w:val="en-CA"/>
      </w:rPr>
    </w:pPr>
    <w:r w:rsidRPr="00E27C84">
      <w:rPr>
        <w:lang w:val="en-CA"/>
      </w:rPr>
      <w:fldChar w:fldCharType="begin"/>
    </w:r>
    <w:r w:rsidRPr="00E27C84">
      <w:rPr>
        <w:lang w:val="en-CA"/>
      </w:rPr>
      <w:instrText xml:space="preserve"> DOCPROPERTY "Document number"  \* MERGEFORMAT </w:instrText>
    </w:r>
    <w:r w:rsidRPr="00E27C84">
      <w:rPr>
        <w:lang w:val="en-CA"/>
      </w:rPr>
      <w:fldChar w:fldCharType="separate"/>
    </w:r>
    <w:r w:rsidR="00FB3F9B" w:rsidRPr="00FB3F9B">
      <w:rPr>
        <w:color w:val="000000" w:themeColor="text1"/>
        <w:lang w:val="en-CA"/>
      </w:rPr>
      <w:t>UNEP/OzL.Pro/ExCom/78/</w:t>
    </w:r>
    <w:r w:rsidR="00FB3F9B">
      <w:rPr>
        <w:lang w:val="en-CA"/>
      </w:rPr>
      <w:t>5</w:t>
    </w:r>
    <w:r w:rsidRPr="00E27C84">
      <w:rPr>
        <w:color w:val="000000" w:themeColor="text1"/>
        <w:lang w:val="en-CA"/>
      </w:rPr>
      <w:fldChar w:fldCharType="end"/>
    </w:r>
  </w:p>
  <w:p w:rsidR="007D68E6" w:rsidRDefault="007D68E6" w:rsidP="000C004B">
    <w:pPr>
      <w:pStyle w:val="Header"/>
      <w:jc w:val="left"/>
      <w:rPr>
        <w:lang w:val="en-CA"/>
      </w:rPr>
    </w:pPr>
    <w:r>
      <w:rPr>
        <w:lang w:val="en-CA"/>
      </w:rPr>
      <w:t>Annex I</w:t>
    </w:r>
  </w:p>
  <w:p w:rsidR="007D68E6" w:rsidRPr="000C004B" w:rsidRDefault="007D68E6" w:rsidP="000C004B">
    <w:pPr>
      <w:pStyle w:val="Header"/>
      <w:jc w:val="right"/>
      <w:rPr>
        <w:lang w:val="en-C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E27C84" w:rsidRDefault="007D68E6" w:rsidP="00C74940">
    <w:pPr>
      <w:widowControl w:val="0"/>
      <w:jc w:val="right"/>
      <w:rPr>
        <w:color w:val="000000" w:themeColor="text1"/>
        <w:lang w:val="en-CA"/>
      </w:rPr>
    </w:pPr>
    <w:r w:rsidRPr="00E27C84">
      <w:rPr>
        <w:lang w:val="en-CA"/>
      </w:rPr>
      <w:fldChar w:fldCharType="begin"/>
    </w:r>
    <w:r w:rsidRPr="00E27C84">
      <w:rPr>
        <w:lang w:val="en-CA"/>
      </w:rPr>
      <w:instrText xml:space="preserve"> DOCPROPERTY "Document number"  \* MERGEFORMAT </w:instrText>
    </w:r>
    <w:r w:rsidRPr="00E27C84">
      <w:rPr>
        <w:lang w:val="en-CA"/>
      </w:rPr>
      <w:fldChar w:fldCharType="separate"/>
    </w:r>
    <w:r w:rsidR="00FB3F9B" w:rsidRPr="00FB3F9B">
      <w:rPr>
        <w:color w:val="000000" w:themeColor="text1"/>
        <w:lang w:val="en-CA"/>
      </w:rPr>
      <w:t>UNEP/OzL.Pro/ExCom/78/</w:t>
    </w:r>
    <w:r w:rsidR="00FB3F9B">
      <w:rPr>
        <w:lang w:val="en-CA"/>
      </w:rPr>
      <w:t>5</w:t>
    </w:r>
    <w:r w:rsidRPr="00E27C84">
      <w:rPr>
        <w:color w:val="000000" w:themeColor="text1"/>
        <w:lang w:val="en-CA"/>
      </w:rPr>
      <w:fldChar w:fldCharType="end"/>
    </w:r>
  </w:p>
  <w:p w:rsidR="007D68E6" w:rsidRDefault="007D68E6" w:rsidP="00C74940">
    <w:pPr>
      <w:pStyle w:val="Header"/>
      <w:jc w:val="right"/>
      <w:rPr>
        <w:lang w:val="en-CA"/>
      </w:rPr>
    </w:pPr>
    <w:r>
      <w:rPr>
        <w:lang w:val="en-CA"/>
      </w:rPr>
      <w:t>Annex I</w:t>
    </w:r>
  </w:p>
  <w:p w:rsidR="007D68E6" w:rsidRPr="00C74940" w:rsidRDefault="007D68E6" w:rsidP="00C74940">
    <w:pPr>
      <w:pStyle w:val="Header"/>
      <w:jc w:val="right"/>
      <w:rPr>
        <w:lang w:val="en-C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E27C84" w:rsidRDefault="007D68E6" w:rsidP="00042B18">
    <w:pPr>
      <w:widowControl w:val="0"/>
      <w:jc w:val="left"/>
      <w:rPr>
        <w:color w:val="000000" w:themeColor="text1"/>
        <w:lang w:val="en-CA"/>
      </w:rPr>
    </w:pPr>
    <w:r w:rsidRPr="00E27C84">
      <w:rPr>
        <w:lang w:val="en-CA"/>
      </w:rPr>
      <w:fldChar w:fldCharType="begin"/>
    </w:r>
    <w:r w:rsidRPr="00E27C84">
      <w:rPr>
        <w:lang w:val="en-CA"/>
      </w:rPr>
      <w:instrText xml:space="preserve"> DOCPROPERTY "Document number"  \* MERGEFORMAT </w:instrText>
    </w:r>
    <w:r w:rsidRPr="00E27C84">
      <w:rPr>
        <w:lang w:val="en-CA"/>
      </w:rPr>
      <w:fldChar w:fldCharType="separate"/>
    </w:r>
    <w:r w:rsidR="00FB3F9B" w:rsidRPr="00FB3F9B">
      <w:rPr>
        <w:color w:val="000000" w:themeColor="text1"/>
        <w:lang w:val="en-CA"/>
      </w:rPr>
      <w:t>UNEP/OzL.Pro/ExCom/78/</w:t>
    </w:r>
    <w:r w:rsidR="00FB3F9B">
      <w:rPr>
        <w:lang w:val="en-CA"/>
      </w:rPr>
      <w:t>5</w:t>
    </w:r>
    <w:r w:rsidRPr="00E27C84">
      <w:rPr>
        <w:color w:val="000000" w:themeColor="text1"/>
        <w:lang w:val="en-CA"/>
      </w:rPr>
      <w:fldChar w:fldCharType="end"/>
    </w:r>
  </w:p>
  <w:p w:rsidR="007D68E6" w:rsidRDefault="007D68E6" w:rsidP="00042B18">
    <w:pPr>
      <w:pStyle w:val="Header"/>
      <w:jc w:val="left"/>
    </w:pPr>
    <w:r>
      <w:t>Annex II</w:t>
    </w:r>
  </w:p>
  <w:p w:rsidR="007D68E6" w:rsidRDefault="007D68E6" w:rsidP="00042B18">
    <w:pPr>
      <w:pStyle w:val="Heade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E27C84" w:rsidRDefault="007D68E6" w:rsidP="00042B18">
    <w:pPr>
      <w:widowControl w:val="0"/>
      <w:jc w:val="right"/>
      <w:rPr>
        <w:color w:val="000000" w:themeColor="text1"/>
        <w:lang w:val="en-CA"/>
      </w:rPr>
    </w:pPr>
    <w:r w:rsidRPr="00E27C84">
      <w:rPr>
        <w:lang w:val="en-CA"/>
      </w:rPr>
      <w:fldChar w:fldCharType="begin"/>
    </w:r>
    <w:r w:rsidRPr="00E27C84">
      <w:rPr>
        <w:lang w:val="en-CA"/>
      </w:rPr>
      <w:instrText xml:space="preserve"> DOCPROPERTY "Document number"  \* MERGEFORMAT </w:instrText>
    </w:r>
    <w:r w:rsidRPr="00E27C84">
      <w:rPr>
        <w:lang w:val="en-CA"/>
      </w:rPr>
      <w:fldChar w:fldCharType="separate"/>
    </w:r>
    <w:r w:rsidR="00FB3F9B" w:rsidRPr="00FB3F9B">
      <w:rPr>
        <w:color w:val="000000" w:themeColor="text1"/>
        <w:lang w:val="en-CA"/>
      </w:rPr>
      <w:t>UNEP/OzL.Pro/ExCom/78/</w:t>
    </w:r>
    <w:r w:rsidR="00FB3F9B">
      <w:rPr>
        <w:lang w:val="en-CA"/>
      </w:rPr>
      <w:t>5</w:t>
    </w:r>
    <w:r w:rsidRPr="00E27C84">
      <w:rPr>
        <w:color w:val="000000" w:themeColor="text1"/>
        <w:lang w:val="en-CA"/>
      </w:rPr>
      <w:fldChar w:fldCharType="end"/>
    </w:r>
  </w:p>
  <w:p w:rsidR="007D68E6" w:rsidRDefault="007D68E6" w:rsidP="00042B18">
    <w:pPr>
      <w:pStyle w:val="Header"/>
      <w:jc w:val="right"/>
    </w:pPr>
    <w:r>
      <w:t>Annex II</w:t>
    </w:r>
  </w:p>
  <w:p w:rsidR="007D68E6" w:rsidRDefault="007D68E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E27C84" w:rsidRDefault="007D68E6" w:rsidP="00042B18">
    <w:pPr>
      <w:widowControl w:val="0"/>
      <w:jc w:val="right"/>
      <w:rPr>
        <w:color w:val="000000" w:themeColor="text1"/>
        <w:lang w:val="en-CA"/>
      </w:rPr>
    </w:pPr>
    <w:r w:rsidRPr="00E27C84">
      <w:rPr>
        <w:lang w:val="en-CA"/>
      </w:rPr>
      <w:fldChar w:fldCharType="begin"/>
    </w:r>
    <w:r w:rsidRPr="00E27C84">
      <w:rPr>
        <w:lang w:val="en-CA"/>
      </w:rPr>
      <w:instrText xml:space="preserve"> DOCPROPERTY "Document number"  \* MERGEFORMAT </w:instrText>
    </w:r>
    <w:r w:rsidRPr="00E27C84">
      <w:rPr>
        <w:lang w:val="en-CA"/>
      </w:rPr>
      <w:fldChar w:fldCharType="separate"/>
    </w:r>
    <w:r w:rsidR="00FB3F9B" w:rsidRPr="00FB3F9B">
      <w:rPr>
        <w:color w:val="000000" w:themeColor="text1"/>
        <w:lang w:val="en-CA"/>
      </w:rPr>
      <w:t>UNEP/OzL.Pro/ExCom/78/</w:t>
    </w:r>
    <w:r w:rsidR="00FB3F9B">
      <w:rPr>
        <w:lang w:val="en-CA"/>
      </w:rPr>
      <w:t>5</w:t>
    </w:r>
    <w:r w:rsidRPr="00E27C84">
      <w:rPr>
        <w:color w:val="000000" w:themeColor="text1"/>
        <w:lang w:val="en-CA"/>
      </w:rPr>
      <w:fldChar w:fldCharType="end"/>
    </w:r>
  </w:p>
  <w:p w:rsidR="007D68E6" w:rsidRDefault="007D68E6" w:rsidP="00042B18">
    <w:pPr>
      <w:pStyle w:val="Header"/>
      <w:jc w:val="right"/>
    </w:pPr>
    <w:r>
      <w:t>Annex II</w:t>
    </w:r>
  </w:p>
  <w:p w:rsidR="007D68E6" w:rsidRDefault="007D68E6">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33525D" w:rsidRDefault="00C15E5D">
    <w:fldSimple w:instr=" DOCPROPERTY &quot;Document number&quot;  \* MERGEFORMAT ">
      <w:r w:rsidR="00FB3F9B">
        <w:t>UNEP/OzL.Pro/ExCom/78/5</w:t>
      </w:r>
    </w:fldSimple>
  </w:p>
  <w:p w:rsidR="007D68E6" w:rsidRPr="0033525D" w:rsidRDefault="007D68E6">
    <w:r>
      <w:t>Annex III</w:t>
    </w:r>
  </w:p>
  <w:p w:rsidR="007D68E6" w:rsidRPr="0033525D" w:rsidRDefault="007D68E6"/>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Default="00C15E5D">
    <w:pPr>
      <w:jc w:val="right"/>
    </w:pPr>
    <w:fldSimple w:instr=" DOCPROPERTY &quot;Document number&quot;  \* MERGEFORMAT ">
      <w:r w:rsidR="00FB3F9B">
        <w:t>UNEP/OzL.Pro/ExCom/78/5</w:t>
      </w:r>
    </w:fldSimple>
  </w:p>
  <w:p w:rsidR="007D68E6" w:rsidRDefault="007D68E6">
    <w:pPr>
      <w:jc w:val="right"/>
    </w:pPr>
    <w:r>
      <w:t>Annex III</w:t>
    </w:r>
  </w:p>
  <w:p w:rsidR="007D68E6" w:rsidRPr="0033525D" w:rsidRDefault="007D68E6">
    <w:pP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E27C84" w:rsidRDefault="007D68E6" w:rsidP="00042B18">
    <w:pPr>
      <w:widowControl w:val="0"/>
      <w:jc w:val="right"/>
      <w:rPr>
        <w:color w:val="000000" w:themeColor="text1"/>
        <w:lang w:val="en-CA"/>
      </w:rPr>
    </w:pPr>
    <w:r w:rsidRPr="00E27C84">
      <w:rPr>
        <w:lang w:val="en-CA"/>
      </w:rPr>
      <w:fldChar w:fldCharType="begin"/>
    </w:r>
    <w:r w:rsidRPr="00E27C84">
      <w:rPr>
        <w:lang w:val="en-CA"/>
      </w:rPr>
      <w:instrText xml:space="preserve"> DOCPROPERTY "Document number"  \* MERGEFORMAT </w:instrText>
    </w:r>
    <w:r w:rsidRPr="00E27C84">
      <w:rPr>
        <w:lang w:val="en-CA"/>
      </w:rPr>
      <w:fldChar w:fldCharType="separate"/>
    </w:r>
    <w:r w:rsidR="00FB3F9B" w:rsidRPr="00FB3F9B">
      <w:rPr>
        <w:color w:val="000000" w:themeColor="text1"/>
        <w:lang w:val="en-CA"/>
      </w:rPr>
      <w:t>UNEP/OzL.Pro/ExCom/78/</w:t>
    </w:r>
    <w:r w:rsidR="00FB3F9B">
      <w:rPr>
        <w:lang w:val="en-CA"/>
      </w:rPr>
      <w:t>5</w:t>
    </w:r>
    <w:r w:rsidRPr="00E27C84">
      <w:rPr>
        <w:color w:val="000000" w:themeColor="text1"/>
        <w:lang w:val="en-CA"/>
      </w:rPr>
      <w:fldChar w:fldCharType="end"/>
    </w:r>
  </w:p>
  <w:p w:rsidR="007D68E6" w:rsidRDefault="007D68E6" w:rsidP="00042B18">
    <w:pPr>
      <w:pStyle w:val="Header"/>
      <w:jc w:val="right"/>
    </w:pPr>
    <w:r>
      <w:t>Annex III</w:t>
    </w:r>
  </w:p>
  <w:p w:rsidR="007D68E6" w:rsidRDefault="007D68E6" w:rsidP="00042B18">
    <w:pPr>
      <w:pStyle w:val="Header"/>
      <w:jc w:val="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33525D" w:rsidRDefault="00C15E5D">
    <w:fldSimple w:instr=" DOCPROPERTY &quot;Document number&quot;  \* MERGEFORMAT ">
      <w:r w:rsidR="00FB3F9B">
        <w:t>UNEP/OzL.Pro/ExCom/78/5</w:t>
      </w:r>
    </w:fldSimple>
  </w:p>
  <w:p w:rsidR="007D68E6" w:rsidRPr="0033525D" w:rsidRDefault="007D68E6">
    <w:r>
      <w:t>Annex IV</w:t>
    </w:r>
  </w:p>
  <w:p w:rsidR="007D68E6" w:rsidRPr="0033525D" w:rsidRDefault="007D68E6"/>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Default="00C15E5D">
    <w:pPr>
      <w:jc w:val="right"/>
    </w:pPr>
    <w:fldSimple w:instr=" DOCPROPERTY &quot;Document number&quot;  \* MERGEFORMAT ">
      <w:r w:rsidR="00FB3F9B">
        <w:t>UNEP/OzL.Pro/ExCom/78/5</w:t>
      </w:r>
    </w:fldSimple>
  </w:p>
  <w:p w:rsidR="007D68E6" w:rsidRDefault="007D68E6">
    <w:pPr>
      <w:jc w:val="right"/>
    </w:pPr>
    <w:r>
      <w:t>Annex IV</w:t>
    </w:r>
  </w:p>
  <w:p w:rsidR="007D68E6" w:rsidRPr="0033525D" w:rsidRDefault="007D68E6">
    <w:pPr>
      <w:jc w:val="righ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E27C84" w:rsidRDefault="007D68E6" w:rsidP="007D68E6">
    <w:pPr>
      <w:widowControl w:val="0"/>
      <w:jc w:val="right"/>
      <w:rPr>
        <w:color w:val="000000" w:themeColor="text1"/>
        <w:lang w:val="en-CA"/>
      </w:rPr>
    </w:pPr>
    <w:r w:rsidRPr="00E27C84">
      <w:rPr>
        <w:lang w:val="en-CA"/>
      </w:rPr>
      <w:fldChar w:fldCharType="begin"/>
    </w:r>
    <w:r w:rsidRPr="00E27C84">
      <w:rPr>
        <w:lang w:val="en-CA"/>
      </w:rPr>
      <w:instrText xml:space="preserve"> DOCPROPERTY "Document number"  \* MERGEFORMAT </w:instrText>
    </w:r>
    <w:r w:rsidRPr="00E27C84">
      <w:rPr>
        <w:lang w:val="en-CA"/>
      </w:rPr>
      <w:fldChar w:fldCharType="separate"/>
    </w:r>
    <w:r w:rsidR="00FB3F9B" w:rsidRPr="00FB3F9B">
      <w:rPr>
        <w:color w:val="000000" w:themeColor="text1"/>
        <w:lang w:val="en-CA"/>
      </w:rPr>
      <w:t>UNEP/OzL.Pro/ExCom/78/</w:t>
    </w:r>
    <w:r w:rsidR="00FB3F9B">
      <w:rPr>
        <w:lang w:val="en-CA"/>
      </w:rPr>
      <w:t>5</w:t>
    </w:r>
    <w:r w:rsidRPr="00E27C84">
      <w:rPr>
        <w:color w:val="000000" w:themeColor="text1"/>
        <w:lang w:val="en-CA"/>
      </w:rPr>
      <w:fldChar w:fldCharType="end"/>
    </w:r>
  </w:p>
  <w:p w:rsidR="007D68E6" w:rsidRDefault="007D68E6" w:rsidP="007D68E6">
    <w:pPr>
      <w:pStyle w:val="Header"/>
      <w:jc w:val="right"/>
    </w:pPr>
    <w:r>
      <w:t>Annex IV</w:t>
    </w:r>
  </w:p>
  <w:p w:rsidR="007D68E6" w:rsidRDefault="007D68E6" w:rsidP="007D68E6">
    <w:pPr>
      <w:pStyle w:val="Header"/>
      <w:jc w:val="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33525D" w:rsidRDefault="00C15E5D">
    <w:fldSimple w:instr=" DOCPROPERTY &quot;Document number&quot;  \* MERGEFORMAT ">
      <w:r w:rsidR="00FB3F9B">
        <w:t>UNEP/OzL.Pro/ExCom/78/5</w:t>
      </w:r>
    </w:fldSimple>
  </w:p>
  <w:p w:rsidR="007D68E6" w:rsidRPr="0033525D" w:rsidRDefault="007D68E6">
    <w:r>
      <w:t>Annex V</w:t>
    </w:r>
  </w:p>
  <w:p w:rsidR="007D68E6" w:rsidRPr="0033525D" w:rsidRDefault="007D68E6"/>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Pr="0033525D" w:rsidRDefault="00C15E5D">
    <w:pPr>
      <w:jc w:val="right"/>
    </w:pPr>
    <w:fldSimple w:instr=" DOCPROPERTY &quot;Document number&quot;  \* MERGEFORMAT ">
      <w:r w:rsidR="00FB3F9B">
        <w:t>UNEP/OzL.Pro/ExCom/78/5</w:t>
      </w:r>
    </w:fldSimple>
  </w:p>
  <w:p w:rsidR="007D68E6" w:rsidRPr="0033525D" w:rsidRDefault="007D68E6" w:rsidP="007D68E6">
    <w:pPr>
      <w:jc w:val="right"/>
    </w:pPr>
    <w:r>
      <w:t>Annex V</w:t>
    </w:r>
  </w:p>
  <w:p w:rsidR="007D68E6" w:rsidRPr="0033525D" w:rsidRDefault="007D68E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E6" w:rsidRDefault="007D68E6" w:rsidP="007D68E6">
    <w:pPr>
      <w:pStyle w:val="Header"/>
      <w:jc w:val="right"/>
    </w:pPr>
    <w:r w:rsidRPr="00E27C84">
      <w:rPr>
        <w:lang w:val="en-CA"/>
      </w:rPr>
      <w:fldChar w:fldCharType="begin"/>
    </w:r>
    <w:r w:rsidRPr="00E27C84">
      <w:rPr>
        <w:lang w:val="en-CA"/>
      </w:rPr>
      <w:instrText xml:space="preserve"> DOCPROPERTY "Document number"  \* MERGEFORMAT </w:instrText>
    </w:r>
    <w:r w:rsidRPr="00E27C84">
      <w:rPr>
        <w:lang w:val="en-CA"/>
      </w:rPr>
      <w:fldChar w:fldCharType="separate"/>
    </w:r>
    <w:r w:rsidR="00FB3F9B" w:rsidRPr="00FB3F9B">
      <w:rPr>
        <w:color w:val="000000" w:themeColor="text1"/>
        <w:lang w:val="en-CA"/>
      </w:rPr>
      <w:t>UNEP/OzL.Pro/ExCom/78/</w:t>
    </w:r>
    <w:r w:rsidR="00FB3F9B">
      <w:rPr>
        <w:lang w:val="en-CA"/>
      </w:rPr>
      <w:t>5</w:t>
    </w:r>
    <w:r w:rsidRPr="00E27C84">
      <w:rPr>
        <w:color w:val="000000" w:themeColor="text1"/>
        <w:lang w:val="en-CA"/>
      </w:rPr>
      <w:fldChar w:fldCharType="end"/>
    </w:r>
  </w:p>
  <w:p w:rsidR="007D68E6" w:rsidRDefault="007D68E6" w:rsidP="007D68E6">
    <w:pPr>
      <w:pStyle w:val="Header"/>
      <w:jc w:val="right"/>
    </w:pPr>
    <w:r>
      <w:t>Annex V</w:t>
    </w:r>
  </w:p>
  <w:p w:rsidR="007D68E6" w:rsidRDefault="007D68E6" w:rsidP="007D68E6">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E7E27F2"/>
    <w:lvl w:ilvl="0">
      <w:start w:val="1"/>
      <w:numFmt w:val="decimal"/>
      <w:pStyle w:val="ListNumber"/>
      <w:lvlText w:val="%1."/>
      <w:lvlJc w:val="left"/>
      <w:pPr>
        <w:tabs>
          <w:tab w:val="num" w:pos="360"/>
        </w:tabs>
        <w:ind w:left="360" w:hanging="360"/>
      </w:pPr>
    </w:lvl>
  </w:abstractNum>
  <w:abstractNum w:abstractNumId="9">
    <w:nsid w:val="FFFFFFFB"/>
    <w:multiLevelType w:val="multilevel"/>
    <w:tmpl w:val="D72AF194"/>
    <w:lvl w:ilvl="0">
      <w:start w:val="1"/>
      <w:numFmt w:val="decimal"/>
      <w:pStyle w:val="Heading1"/>
      <w:lvlText w:val="%1."/>
      <w:lvlJc w:val="left"/>
      <w:pPr>
        <w:tabs>
          <w:tab w:val="num" w:pos="0"/>
        </w:tabs>
        <w:ind w:left="0" w:firstLine="0"/>
      </w:pPr>
      <w:rPr>
        <w:rFonts w:hint="default"/>
        <w:b w:val="0"/>
        <w:i w:val="0"/>
        <w:sz w:val="20"/>
        <w:szCs w:val="20"/>
        <w:lang w:val="en-US"/>
      </w:rPr>
    </w:lvl>
    <w:lvl w:ilvl="1">
      <w:start w:val="1"/>
      <w:numFmt w:val="lowerLetter"/>
      <w:pStyle w:val="Heading2"/>
      <w:lvlText w:val="(%2)"/>
      <w:lvlJc w:val="left"/>
      <w:pPr>
        <w:tabs>
          <w:tab w:val="num" w:pos="720"/>
        </w:tabs>
        <w:ind w:left="2160" w:hanging="720"/>
      </w:pPr>
      <w:rPr>
        <w:rFonts w:hint="default"/>
        <w:lang w:val="en-GB"/>
      </w:rPr>
    </w:lvl>
    <w:lvl w:ilvl="2">
      <w:start w:val="1"/>
      <w:numFmt w:val="lowerRoman"/>
      <w:pStyle w:val="Heading3"/>
      <w:lvlText w:val="(%3)"/>
      <w:lvlJc w:val="left"/>
      <w:pPr>
        <w:tabs>
          <w:tab w:val="num" w:pos="2955"/>
        </w:tabs>
        <w:ind w:left="5115"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0">
    <w:nsid w:val="05A36E00"/>
    <w:multiLevelType w:val="hybridMultilevel"/>
    <w:tmpl w:val="AE1CF5B0"/>
    <w:lvl w:ilvl="0" w:tplc="0E5060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CF26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nsid w:val="0CF55054"/>
    <w:multiLevelType w:val="hybridMultilevel"/>
    <w:tmpl w:val="EC18D70E"/>
    <w:lvl w:ilvl="0" w:tplc="B0B6C736">
      <w:start w:val="1"/>
      <w:numFmt w:val="lowerLetter"/>
      <w:lvlText w:val="(%1)"/>
      <w:lvlJc w:val="left"/>
      <w:pPr>
        <w:tabs>
          <w:tab w:val="num" w:pos="2520"/>
        </w:tabs>
        <w:ind w:left="2520" w:hanging="1440"/>
      </w:pPr>
      <w:rPr>
        <w:rFont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nsid w:val="124B0D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15760A01"/>
    <w:multiLevelType w:val="hybridMultilevel"/>
    <w:tmpl w:val="01A45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71113A7"/>
    <w:multiLevelType w:val="multilevel"/>
    <w:tmpl w:val="48241D10"/>
    <w:numStyleLink w:val="Normallist"/>
  </w:abstractNum>
  <w:abstractNum w:abstractNumId="17">
    <w:nsid w:val="1D6D2779"/>
    <w:multiLevelType w:val="hybridMultilevel"/>
    <w:tmpl w:val="25C0A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1F871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258C2B0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28964F0A"/>
    <w:multiLevelType w:val="hybridMultilevel"/>
    <w:tmpl w:val="E5429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2F3187F"/>
    <w:multiLevelType w:val="hybridMultilevel"/>
    <w:tmpl w:val="95C89720"/>
    <w:lvl w:ilvl="0" w:tplc="11CC34A2">
      <w:start w:val="1"/>
      <w:numFmt w:val="upperRoman"/>
      <w:lvlText w:val="%1."/>
      <w:lvlJc w:val="left"/>
      <w:pPr>
        <w:ind w:left="3556" w:hanging="720"/>
      </w:pPr>
      <w:rPr>
        <w:rFonts w:hint="default"/>
        <w:lang w:val="en-G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72C252F"/>
    <w:multiLevelType w:val="hybridMultilevel"/>
    <w:tmpl w:val="2E54CE28"/>
    <w:lvl w:ilvl="0" w:tplc="5EFA2224">
      <w:start w:val="9"/>
      <w:numFmt w:val="bullet"/>
      <w:lvlText w:val="-"/>
      <w:lvlJc w:val="left"/>
      <w:pPr>
        <w:ind w:left="1800" w:hanging="360"/>
      </w:pPr>
      <w:rPr>
        <w:rFonts w:ascii="Times New Roman" w:eastAsia="Times New Roma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8">
    <w:nsid w:val="4B62460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526416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3">
    <w:nsid w:val="56DF7C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nsid w:val="5A3E5093"/>
    <w:multiLevelType w:val="hybridMultilevel"/>
    <w:tmpl w:val="9F946772"/>
    <w:lvl w:ilvl="0" w:tplc="11C2A438">
      <w:start w:val="1"/>
      <w:numFmt w:val="upperLetter"/>
      <w:lvlText w:val="%1."/>
      <w:lvlJc w:val="left"/>
      <w:pPr>
        <w:ind w:left="1288" w:hanging="360"/>
      </w:pPr>
      <w:rPr>
        <w:rFonts w:hint="default"/>
        <w:i w:val="0"/>
      </w:rPr>
    </w:lvl>
    <w:lvl w:ilvl="1" w:tplc="10090019" w:tentative="1">
      <w:start w:val="1"/>
      <w:numFmt w:val="lowerLetter"/>
      <w:lvlText w:val="%2."/>
      <w:lvlJc w:val="left"/>
      <w:pPr>
        <w:ind w:left="2008" w:hanging="360"/>
      </w:pPr>
    </w:lvl>
    <w:lvl w:ilvl="2" w:tplc="1009001B" w:tentative="1">
      <w:start w:val="1"/>
      <w:numFmt w:val="lowerRoman"/>
      <w:lvlText w:val="%3."/>
      <w:lvlJc w:val="right"/>
      <w:pPr>
        <w:ind w:left="2728" w:hanging="180"/>
      </w:pPr>
    </w:lvl>
    <w:lvl w:ilvl="3" w:tplc="1009000F" w:tentative="1">
      <w:start w:val="1"/>
      <w:numFmt w:val="decimal"/>
      <w:lvlText w:val="%4."/>
      <w:lvlJc w:val="left"/>
      <w:pPr>
        <w:ind w:left="3448" w:hanging="360"/>
      </w:pPr>
    </w:lvl>
    <w:lvl w:ilvl="4" w:tplc="10090019" w:tentative="1">
      <w:start w:val="1"/>
      <w:numFmt w:val="lowerLetter"/>
      <w:lvlText w:val="%5."/>
      <w:lvlJc w:val="left"/>
      <w:pPr>
        <w:ind w:left="4168" w:hanging="360"/>
      </w:pPr>
    </w:lvl>
    <w:lvl w:ilvl="5" w:tplc="1009001B" w:tentative="1">
      <w:start w:val="1"/>
      <w:numFmt w:val="lowerRoman"/>
      <w:lvlText w:val="%6."/>
      <w:lvlJc w:val="right"/>
      <w:pPr>
        <w:ind w:left="4888" w:hanging="180"/>
      </w:pPr>
    </w:lvl>
    <w:lvl w:ilvl="6" w:tplc="1009000F" w:tentative="1">
      <w:start w:val="1"/>
      <w:numFmt w:val="decimal"/>
      <w:lvlText w:val="%7."/>
      <w:lvlJc w:val="left"/>
      <w:pPr>
        <w:ind w:left="5608" w:hanging="360"/>
      </w:pPr>
    </w:lvl>
    <w:lvl w:ilvl="7" w:tplc="10090019" w:tentative="1">
      <w:start w:val="1"/>
      <w:numFmt w:val="lowerLetter"/>
      <w:lvlText w:val="%8."/>
      <w:lvlJc w:val="left"/>
      <w:pPr>
        <w:ind w:left="6328" w:hanging="360"/>
      </w:pPr>
    </w:lvl>
    <w:lvl w:ilvl="8" w:tplc="1009001B" w:tentative="1">
      <w:start w:val="1"/>
      <w:numFmt w:val="lowerRoman"/>
      <w:lvlText w:val="%9."/>
      <w:lvlJc w:val="right"/>
      <w:pPr>
        <w:ind w:left="7048" w:hanging="180"/>
      </w:pPr>
    </w:lvl>
  </w:abstractNum>
  <w:abstractNum w:abstractNumId="35">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nsid w:val="5F447A1E"/>
    <w:multiLevelType w:val="multilevel"/>
    <w:tmpl w:val="04CA2D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7">
    <w:nsid w:val="5FDE1DC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nsid w:val="6E5C15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nsid w:val="722A0648"/>
    <w:multiLevelType w:val="hybridMultilevel"/>
    <w:tmpl w:val="3C68E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033355"/>
    <w:multiLevelType w:val="hybridMultilevel"/>
    <w:tmpl w:val="EBA4A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A9868B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43">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9"/>
  </w:num>
  <w:num w:numId="2">
    <w:abstractNumId w:val="21"/>
  </w:num>
  <w:num w:numId="3">
    <w:abstractNumId w:val="29"/>
  </w:num>
  <w:num w:numId="4">
    <w:abstractNumId w:val="30"/>
  </w:num>
  <w:num w:numId="5">
    <w:abstractNumId w:val="43"/>
  </w:num>
  <w:num w:numId="6">
    <w:abstractNumId w:val="24"/>
  </w:num>
  <w:num w:numId="7">
    <w:abstractNumId w:val="32"/>
  </w:num>
  <w:num w:numId="8">
    <w:abstractNumId w:val="16"/>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9">
    <w:abstractNumId w:val="42"/>
  </w:num>
  <w:num w:numId="10">
    <w:abstractNumId w:val="23"/>
  </w:num>
  <w:num w:numId="11">
    <w:abstractNumId w:val="22"/>
  </w:num>
  <w:num w:numId="12">
    <w:abstractNumId w:val="25"/>
  </w:num>
  <w:num w:numId="13">
    <w:abstractNumId w:val="27"/>
  </w:num>
  <w:num w:numId="14">
    <w:abstractNumId w:val="26"/>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43"/>
    <w:lvlOverride w:ilvl="0">
      <w:startOverride w:val="1"/>
    </w:lvlOverride>
  </w:num>
  <w:num w:numId="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num>
  <w:num w:numId="29">
    <w:abstractNumId w:val="34"/>
  </w:num>
  <w:num w:numId="30">
    <w:abstractNumId w:val="24"/>
    <w:lvlOverride w:ilvl="0">
      <w:startOverride w:val="1"/>
    </w:lvlOverride>
  </w:num>
  <w:num w:numId="31">
    <w:abstractNumId w:val="15"/>
  </w:num>
  <w:num w:numId="32">
    <w:abstractNumId w:val="20"/>
  </w:num>
  <w:num w:numId="33">
    <w:abstractNumId w:val="17"/>
  </w:num>
  <w:num w:numId="34">
    <w:abstractNumId w:val="39"/>
  </w:num>
  <w:num w:numId="35">
    <w:abstractNumId w:val="40"/>
  </w:num>
  <w:num w:numId="36">
    <w:abstractNumId w:val="13"/>
  </w:num>
  <w:num w:numId="37">
    <w:abstractNumId w:val="19"/>
  </w:num>
  <w:num w:numId="38">
    <w:abstractNumId w:val="11"/>
  </w:num>
  <w:num w:numId="39">
    <w:abstractNumId w:val="18"/>
  </w:num>
  <w:num w:numId="40">
    <w:abstractNumId w:val="38"/>
  </w:num>
  <w:num w:numId="41">
    <w:abstractNumId w:val="41"/>
  </w:num>
  <w:num w:numId="42">
    <w:abstractNumId w:val="37"/>
  </w:num>
  <w:num w:numId="43">
    <w:abstractNumId w:val="33"/>
  </w:num>
  <w:num w:numId="44">
    <w:abstractNumId w:val="28"/>
  </w:num>
  <w:num w:numId="45">
    <w:abstractNumId w:val="31"/>
  </w:num>
  <w:num w:numId="46">
    <w:abstractNumId w:val="14"/>
  </w:num>
  <w:num w:numId="4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5"/>
  </w:num>
  <w:num w:numId="81">
    <w:abstractNumId w:val="12"/>
  </w:num>
  <w:num w:numId="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3"/>
    <w:lvlOverride w:ilvl="0">
      <w:startOverride w:val="1"/>
    </w:lvlOverride>
  </w:num>
  <w:num w:numId="84">
    <w:abstractNumId w:val="43"/>
  </w:num>
  <w:num w:numId="85">
    <w:abstractNumId w:val="43"/>
  </w:num>
  <w:num w:numId="86">
    <w:abstractNumId w:val="43"/>
    <w:lvlOverride w:ilvl="0">
      <w:startOverride w:val="1"/>
    </w:lvlOverride>
  </w:num>
  <w:num w:numId="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3"/>
    <w:lvlOverride w:ilvl="0">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E52"/>
    <w:rsid w:val="00000FED"/>
    <w:rsid w:val="00001CD2"/>
    <w:rsid w:val="00002107"/>
    <w:rsid w:val="00003B3C"/>
    <w:rsid w:val="0000434E"/>
    <w:rsid w:val="0000463E"/>
    <w:rsid w:val="0000547E"/>
    <w:rsid w:val="00005F90"/>
    <w:rsid w:val="00006C60"/>
    <w:rsid w:val="00006CF4"/>
    <w:rsid w:val="00010AE1"/>
    <w:rsid w:val="000111E9"/>
    <w:rsid w:val="00011DAE"/>
    <w:rsid w:val="00013019"/>
    <w:rsid w:val="000137B6"/>
    <w:rsid w:val="00013A99"/>
    <w:rsid w:val="00013A9E"/>
    <w:rsid w:val="0001406F"/>
    <w:rsid w:val="00015EA5"/>
    <w:rsid w:val="00017766"/>
    <w:rsid w:val="000179F7"/>
    <w:rsid w:val="000200E7"/>
    <w:rsid w:val="000211A9"/>
    <w:rsid w:val="00022677"/>
    <w:rsid w:val="0002357D"/>
    <w:rsid w:val="00023E18"/>
    <w:rsid w:val="00024391"/>
    <w:rsid w:val="00026042"/>
    <w:rsid w:val="00026D2B"/>
    <w:rsid w:val="00027BEB"/>
    <w:rsid w:val="00030276"/>
    <w:rsid w:val="00030BB5"/>
    <w:rsid w:val="00031260"/>
    <w:rsid w:val="00031A84"/>
    <w:rsid w:val="00031EDF"/>
    <w:rsid w:val="00032249"/>
    <w:rsid w:val="00033035"/>
    <w:rsid w:val="00033610"/>
    <w:rsid w:val="000337A1"/>
    <w:rsid w:val="0003407D"/>
    <w:rsid w:val="00034327"/>
    <w:rsid w:val="00034BC4"/>
    <w:rsid w:val="00034D69"/>
    <w:rsid w:val="0003565F"/>
    <w:rsid w:val="00036713"/>
    <w:rsid w:val="0003681A"/>
    <w:rsid w:val="000374ED"/>
    <w:rsid w:val="0003799F"/>
    <w:rsid w:val="00037C13"/>
    <w:rsid w:val="00042B18"/>
    <w:rsid w:val="000445B5"/>
    <w:rsid w:val="00044787"/>
    <w:rsid w:val="00045A56"/>
    <w:rsid w:val="00045A5C"/>
    <w:rsid w:val="00045ACC"/>
    <w:rsid w:val="000477D4"/>
    <w:rsid w:val="00050E5E"/>
    <w:rsid w:val="000511F3"/>
    <w:rsid w:val="00052BD8"/>
    <w:rsid w:val="00053213"/>
    <w:rsid w:val="000535ED"/>
    <w:rsid w:val="00053C54"/>
    <w:rsid w:val="0005437D"/>
    <w:rsid w:val="00054B29"/>
    <w:rsid w:val="0005628B"/>
    <w:rsid w:val="00056698"/>
    <w:rsid w:val="00056AA1"/>
    <w:rsid w:val="00061D40"/>
    <w:rsid w:val="00062F74"/>
    <w:rsid w:val="00070E34"/>
    <w:rsid w:val="00071CF1"/>
    <w:rsid w:val="00072DB5"/>
    <w:rsid w:val="00074799"/>
    <w:rsid w:val="00074F27"/>
    <w:rsid w:val="000759CF"/>
    <w:rsid w:val="00076CC2"/>
    <w:rsid w:val="0008056C"/>
    <w:rsid w:val="000806D8"/>
    <w:rsid w:val="00080B43"/>
    <w:rsid w:val="00080ED0"/>
    <w:rsid w:val="00081174"/>
    <w:rsid w:val="000815BF"/>
    <w:rsid w:val="00082290"/>
    <w:rsid w:val="00082683"/>
    <w:rsid w:val="000829E0"/>
    <w:rsid w:val="0008378C"/>
    <w:rsid w:val="00083CCB"/>
    <w:rsid w:val="00083D87"/>
    <w:rsid w:val="00085938"/>
    <w:rsid w:val="00085B54"/>
    <w:rsid w:val="00085B8F"/>
    <w:rsid w:val="00085E4E"/>
    <w:rsid w:val="00086560"/>
    <w:rsid w:val="00086765"/>
    <w:rsid w:val="00090481"/>
    <w:rsid w:val="00091B0C"/>
    <w:rsid w:val="0009250A"/>
    <w:rsid w:val="000926A4"/>
    <w:rsid w:val="00092C38"/>
    <w:rsid w:val="00094246"/>
    <w:rsid w:val="00094373"/>
    <w:rsid w:val="000949F8"/>
    <w:rsid w:val="00094AC7"/>
    <w:rsid w:val="00094B3B"/>
    <w:rsid w:val="000954C5"/>
    <w:rsid w:val="00097EB9"/>
    <w:rsid w:val="000A0AE7"/>
    <w:rsid w:val="000A1A68"/>
    <w:rsid w:val="000A1F91"/>
    <w:rsid w:val="000A2AD1"/>
    <w:rsid w:val="000A2E33"/>
    <w:rsid w:val="000A3AE3"/>
    <w:rsid w:val="000A3DF8"/>
    <w:rsid w:val="000A4437"/>
    <w:rsid w:val="000A4F85"/>
    <w:rsid w:val="000A61BD"/>
    <w:rsid w:val="000B113F"/>
    <w:rsid w:val="000B12E8"/>
    <w:rsid w:val="000B35E8"/>
    <w:rsid w:val="000B3F4A"/>
    <w:rsid w:val="000B7925"/>
    <w:rsid w:val="000B7D52"/>
    <w:rsid w:val="000C004B"/>
    <w:rsid w:val="000C036A"/>
    <w:rsid w:val="000C15A7"/>
    <w:rsid w:val="000C25FA"/>
    <w:rsid w:val="000C2CBB"/>
    <w:rsid w:val="000C421C"/>
    <w:rsid w:val="000C66FD"/>
    <w:rsid w:val="000C7A1E"/>
    <w:rsid w:val="000C7AE9"/>
    <w:rsid w:val="000D0614"/>
    <w:rsid w:val="000D08E4"/>
    <w:rsid w:val="000D095C"/>
    <w:rsid w:val="000D1383"/>
    <w:rsid w:val="000D151A"/>
    <w:rsid w:val="000D200A"/>
    <w:rsid w:val="000D2B10"/>
    <w:rsid w:val="000D2F5F"/>
    <w:rsid w:val="000D324B"/>
    <w:rsid w:val="000D6D19"/>
    <w:rsid w:val="000E07BC"/>
    <w:rsid w:val="000E0839"/>
    <w:rsid w:val="000E1FD4"/>
    <w:rsid w:val="000E3582"/>
    <w:rsid w:val="000E514A"/>
    <w:rsid w:val="000E581A"/>
    <w:rsid w:val="000E62DE"/>
    <w:rsid w:val="000E6459"/>
    <w:rsid w:val="000E6CBA"/>
    <w:rsid w:val="000E7E82"/>
    <w:rsid w:val="000F0E4B"/>
    <w:rsid w:val="000F1738"/>
    <w:rsid w:val="000F1CD4"/>
    <w:rsid w:val="000F207B"/>
    <w:rsid w:val="000F260F"/>
    <w:rsid w:val="000F2FB2"/>
    <w:rsid w:val="000F36FA"/>
    <w:rsid w:val="000F3A7B"/>
    <w:rsid w:val="000F4103"/>
    <w:rsid w:val="000F42CF"/>
    <w:rsid w:val="000F47FC"/>
    <w:rsid w:val="000F52BE"/>
    <w:rsid w:val="000F5C8B"/>
    <w:rsid w:val="000F70A7"/>
    <w:rsid w:val="000F7232"/>
    <w:rsid w:val="001010DB"/>
    <w:rsid w:val="00101832"/>
    <w:rsid w:val="00101992"/>
    <w:rsid w:val="001021D5"/>
    <w:rsid w:val="00102CA9"/>
    <w:rsid w:val="0010373C"/>
    <w:rsid w:val="001043A9"/>
    <w:rsid w:val="001063E9"/>
    <w:rsid w:val="00107311"/>
    <w:rsid w:val="0010770E"/>
    <w:rsid w:val="0011063B"/>
    <w:rsid w:val="001106DE"/>
    <w:rsid w:val="00110876"/>
    <w:rsid w:val="0011093E"/>
    <w:rsid w:val="00110FE8"/>
    <w:rsid w:val="00111B8C"/>
    <w:rsid w:val="00113142"/>
    <w:rsid w:val="001143E2"/>
    <w:rsid w:val="0011440A"/>
    <w:rsid w:val="00114A5A"/>
    <w:rsid w:val="00116D49"/>
    <w:rsid w:val="00117122"/>
    <w:rsid w:val="00117566"/>
    <w:rsid w:val="00117C80"/>
    <w:rsid w:val="0012078B"/>
    <w:rsid w:val="00121443"/>
    <w:rsid w:val="00122907"/>
    <w:rsid w:val="00124404"/>
    <w:rsid w:val="001250EE"/>
    <w:rsid w:val="001252DC"/>
    <w:rsid w:val="00125699"/>
    <w:rsid w:val="00125C3A"/>
    <w:rsid w:val="00125EB6"/>
    <w:rsid w:val="00126F08"/>
    <w:rsid w:val="00127246"/>
    <w:rsid w:val="001278CF"/>
    <w:rsid w:val="00127962"/>
    <w:rsid w:val="001306BF"/>
    <w:rsid w:val="001315C4"/>
    <w:rsid w:val="001318FB"/>
    <w:rsid w:val="00131D2F"/>
    <w:rsid w:val="00132896"/>
    <w:rsid w:val="001328F5"/>
    <w:rsid w:val="00133BC7"/>
    <w:rsid w:val="00134FA6"/>
    <w:rsid w:val="00135980"/>
    <w:rsid w:val="001359AA"/>
    <w:rsid w:val="00136AB4"/>
    <w:rsid w:val="00137014"/>
    <w:rsid w:val="001375CF"/>
    <w:rsid w:val="001375D9"/>
    <w:rsid w:val="0014059E"/>
    <w:rsid w:val="001405A5"/>
    <w:rsid w:val="001405BD"/>
    <w:rsid w:val="00140CE5"/>
    <w:rsid w:val="0014123C"/>
    <w:rsid w:val="0014237E"/>
    <w:rsid w:val="00144F03"/>
    <w:rsid w:val="001507A3"/>
    <w:rsid w:val="00153093"/>
    <w:rsid w:val="00154DD4"/>
    <w:rsid w:val="00155428"/>
    <w:rsid w:val="00155B46"/>
    <w:rsid w:val="00155F92"/>
    <w:rsid w:val="001567B1"/>
    <w:rsid w:val="00157514"/>
    <w:rsid w:val="0015775E"/>
    <w:rsid w:val="00157A72"/>
    <w:rsid w:val="00157DD6"/>
    <w:rsid w:val="00161ABD"/>
    <w:rsid w:val="00161F43"/>
    <w:rsid w:val="0016232C"/>
    <w:rsid w:val="001629F4"/>
    <w:rsid w:val="00162E86"/>
    <w:rsid w:val="001634C3"/>
    <w:rsid w:val="00163E3A"/>
    <w:rsid w:val="0016454A"/>
    <w:rsid w:val="00164719"/>
    <w:rsid w:val="00165189"/>
    <w:rsid w:val="00166FC4"/>
    <w:rsid w:val="001677AC"/>
    <w:rsid w:val="001679A5"/>
    <w:rsid w:val="001711A3"/>
    <w:rsid w:val="0017135B"/>
    <w:rsid w:val="001745BF"/>
    <w:rsid w:val="00177045"/>
    <w:rsid w:val="00177868"/>
    <w:rsid w:val="001804EA"/>
    <w:rsid w:val="0018421B"/>
    <w:rsid w:val="00184CFD"/>
    <w:rsid w:val="00184D4D"/>
    <w:rsid w:val="0018509E"/>
    <w:rsid w:val="0018511F"/>
    <w:rsid w:val="00186AE2"/>
    <w:rsid w:val="00186CF7"/>
    <w:rsid w:val="00186DFB"/>
    <w:rsid w:val="00186FB4"/>
    <w:rsid w:val="00187F52"/>
    <w:rsid w:val="00190160"/>
    <w:rsid w:val="00190A61"/>
    <w:rsid w:val="00191411"/>
    <w:rsid w:val="00191CA4"/>
    <w:rsid w:val="00191DB9"/>
    <w:rsid w:val="00192129"/>
    <w:rsid w:val="00193816"/>
    <w:rsid w:val="0019490C"/>
    <w:rsid w:val="001950C8"/>
    <w:rsid w:val="0019524C"/>
    <w:rsid w:val="00196876"/>
    <w:rsid w:val="00197601"/>
    <w:rsid w:val="001A097B"/>
    <w:rsid w:val="001A3342"/>
    <w:rsid w:val="001A346D"/>
    <w:rsid w:val="001A3E3D"/>
    <w:rsid w:val="001A422A"/>
    <w:rsid w:val="001A4865"/>
    <w:rsid w:val="001A4C42"/>
    <w:rsid w:val="001A4F2A"/>
    <w:rsid w:val="001A5222"/>
    <w:rsid w:val="001A5F17"/>
    <w:rsid w:val="001A681E"/>
    <w:rsid w:val="001A6E78"/>
    <w:rsid w:val="001A7049"/>
    <w:rsid w:val="001A7A4D"/>
    <w:rsid w:val="001B05F6"/>
    <w:rsid w:val="001B1E40"/>
    <w:rsid w:val="001B2A39"/>
    <w:rsid w:val="001B2AB5"/>
    <w:rsid w:val="001B2AD3"/>
    <w:rsid w:val="001B450B"/>
    <w:rsid w:val="001B460E"/>
    <w:rsid w:val="001B4CAD"/>
    <w:rsid w:val="001B54FD"/>
    <w:rsid w:val="001B5DAE"/>
    <w:rsid w:val="001B73E3"/>
    <w:rsid w:val="001C02D0"/>
    <w:rsid w:val="001C2429"/>
    <w:rsid w:val="001C26A3"/>
    <w:rsid w:val="001C3193"/>
    <w:rsid w:val="001C3DCF"/>
    <w:rsid w:val="001C6087"/>
    <w:rsid w:val="001C72D5"/>
    <w:rsid w:val="001C764E"/>
    <w:rsid w:val="001D0213"/>
    <w:rsid w:val="001D1009"/>
    <w:rsid w:val="001D12E7"/>
    <w:rsid w:val="001D291D"/>
    <w:rsid w:val="001D2C08"/>
    <w:rsid w:val="001D3B45"/>
    <w:rsid w:val="001D3EA8"/>
    <w:rsid w:val="001D4EBC"/>
    <w:rsid w:val="001D5C07"/>
    <w:rsid w:val="001D6116"/>
    <w:rsid w:val="001D6173"/>
    <w:rsid w:val="001D61ED"/>
    <w:rsid w:val="001D625C"/>
    <w:rsid w:val="001D71B3"/>
    <w:rsid w:val="001D7EEF"/>
    <w:rsid w:val="001E04BD"/>
    <w:rsid w:val="001E0605"/>
    <w:rsid w:val="001E0992"/>
    <w:rsid w:val="001E09AC"/>
    <w:rsid w:val="001E0DB8"/>
    <w:rsid w:val="001E0DB9"/>
    <w:rsid w:val="001E0F0B"/>
    <w:rsid w:val="001E1003"/>
    <w:rsid w:val="001E1052"/>
    <w:rsid w:val="001E181C"/>
    <w:rsid w:val="001E21B1"/>
    <w:rsid w:val="001E2F93"/>
    <w:rsid w:val="001E30E9"/>
    <w:rsid w:val="001E3680"/>
    <w:rsid w:val="001E3FEF"/>
    <w:rsid w:val="001E4765"/>
    <w:rsid w:val="001E61E5"/>
    <w:rsid w:val="001F031B"/>
    <w:rsid w:val="001F0FF5"/>
    <w:rsid w:val="001F1BBA"/>
    <w:rsid w:val="001F2159"/>
    <w:rsid w:val="001F2634"/>
    <w:rsid w:val="001F3977"/>
    <w:rsid w:val="001F4FFB"/>
    <w:rsid w:val="001F6079"/>
    <w:rsid w:val="001F652A"/>
    <w:rsid w:val="00200AEA"/>
    <w:rsid w:val="00201814"/>
    <w:rsid w:val="002038DF"/>
    <w:rsid w:val="0020562F"/>
    <w:rsid w:val="00205CB4"/>
    <w:rsid w:val="0020665B"/>
    <w:rsid w:val="002078A5"/>
    <w:rsid w:val="00207930"/>
    <w:rsid w:val="00210AFA"/>
    <w:rsid w:val="00210B0D"/>
    <w:rsid w:val="00210B34"/>
    <w:rsid w:val="00210E76"/>
    <w:rsid w:val="002119C9"/>
    <w:rsid w:val="002120F4"/>
    <w:rsid w:val="00212173"/>
    <w:rsid w:val="002126EB"/>
    <w:rsid w:val="00212D19"/>
    <w:rsid w:val="00212D99"/>
    <w:rsid w:val="002135AC"/>
    <w:rsid w:val="00213988"/>
    <w:rsid w:val="00214420"/>
    <w:rsid w:val="002156B4"/>
    <w:rsid w:val="00215AD2"/>
    <w:rsid w:val="00216038"/>
    <w:rsid w:val="00216D64"/>
    <w:rsid w:val="002174C5"/>
    <w:rsid w:val="002177FD"/>
    <w:rsid w:val="00220B79"/>
    <w:rsid w:val="00220EAC"/>
    <w:rsid w:val="0022105D"/>
    <w:rsid w:val="002219DE"/>
    <w:rsid w:val="002226DB"/>
    <w:rsid w:val="00222ED1"/>
    <w:rsid w:val="00224113"/>
    <w:rsid w:val="002260BE"/>
    <w:rsid w:val="00226DEA"/>
    <w:rsid w:val="00231B2D"/>
    <w:rsid w:val="00231BCA"/>
    <w:rsid w:val="00231ED6"/>
    <w:rsid w:val="00232209"/>
    <w:rsid w:val="00232CBC"/>
    <w:rsid w:val="00233A73"/>
    <w:rsid w:val="002344DF"/>
    <w:rsid w:val="00234A83"/>
    <w:rsid w:val="00235950"/>
    <w:rsid w:val="0023746A"/>
    <w:rsid w:val="00240628"/>
    <w:rsid w:val="00240640"/>
    <w:rsid w:val="0024074F"/>
    <w:rsid w:val="00240A58"/>
    <w:rsid w:val="00240C12"/>
    <w:rsid w:val="00240F3C"/>
    <w:rsid w:val="002412E1"/>
    <w:rsid w:val="00241C7D"/>
    <w:rsid w:val="00242974"/>
    <w:rsid w:val="002431DB"/>
    <w:rsid w:val="00243AD8"/>
    <w:rsid w:val="00244BDC"/>
    <w:rsid w:val="00246FE1"/>
    <w:rsid w:val="0025103B"/>
    <w:rsid w:val="0025219D"/>
    <w:rsid w:val="0025272C"/>
    <w:rsid w:val="00253033"/>
    <w:rsid w:val="00253222"/>
    <w:rsid w:val="002536B2"/>
    <w:rsid w:val="00254154"/>
    <w:rsid w:val="00256D02"/>
    <w:rsid w:val="00257892"/>
    <w:rsid w:val="00257B6C"/>
    <w:rsid w:val="00260398"/>
    <w:rsid w:val="00262847"/>
    <w:rsid w:val="002633D1"/>
    <w:rsid w:val="00263DDE"/>
    <w:rsid w:val="00267027"/>
    <w:rsid w:val="0026710A"/>
    <w:rsid w:val="0026743A"/>
    <w:rsid w:val="00267BE1"/>
    <w:rsid w:val="00267FD7"/>
    <w:rsid w:val="0027107F"/>
    <w:rsid w:val="00271358"/>
    <w:rsid w:val="00271BD4"/>
    <w:rsid w:val="00271E91"/>
    <w:rsid w:val="002731CA"/>
    <w:rsid w:val="00274388"/>
    <w:rsid w:val="002746C5"/>
    <w:rsid w:val="00274E08"/>
    <w:rsid w:val="00276077"/>
    <w:rsid w:val="00276387"/>
    <w:rsid w:val="0027658F"/>
    <w:rsid w:val="00276F96"/>
    <w:rsid w:val="00276FDC"/>
    <w:rsid w:val="00280B8F"/>
    <w:rsid w:val="0028142D"/>
    <w:rsid w:val="00281FA5"/>
    <w:rsid w:val="00282705"/>
    <w:rsid w:val="00283981"/>
    <w:rsid w:val="00283E46"/>
    <w:rsid w:val="00285D1C"/>
    <w:rsid w:val="0028644E"/>
    <w:rsid w:val="00287B05"/>
    <w:rsid w:val="00290137"/>
    <w:rsid w:val="0029190F"/>
    <w:rsid w:val="002919C3"/>
    <w:rsid w:val="0029222F"/>
    <w:rsid w:val="00292F31"/>
    <w:rsid w:val="002941D2"/>
    <w:rsid w:val="00294FA6"/>
    <w:rsid w:val="00295D64"/>
    <w:rsid w:val="002969AE"/>
    <w:rsid w:val="00296A4E"/>
    <w:rsid w:val="00297664"/>
    <w:rsid w:val="002A0DE7"/>
    <w:rsid w:val="002A1578"/>
    <w:rsid w:val="002A22AD"/>
    <w:rsid w:val="002A253C"/>
    <w:rsid w:val="002A2788"/>
    <w:rsid w:val="002A2CB6"/>
    <w:rsid w:val="002A39A7"/>
    <w:rsid w:val="002A4574"/>
    <w:rsid w:val="002A5B34"/>
    <w:rsid w:val="002A7680"/>
    <w:rsid w:val="002A7752"/>
    <w:rsid w:val="002A7D20"/>
    <w:rsid w:val="002A7D3E"/>
    <w:rsid w:val="002B1960"/>
    <w:rsid w:val="002B4231"/>
    <w:rsid w:val="002B47DB"/>
    <w:rsid w:val="002B4B7E"/>
    <w:rsid w:val="002B51A0"/>
    <w:rsid w:val="002B5897"/>
    <w:rsid w:val="002B666D"/>
    <w:rsid w:val="002B71A1"/>
    <w:rsid w:val="002B72E9"/>
    <w:rsid w:val="002B76EC"/>
    <w:rsid w:val="002B778C"/>
    <w:rsid w:val="002B796D"/>
    <w:rsid w:val="002C1942"/>
    <w:rsid w:val="002C1E06"/>
    <w:rsid w:val="002C2789"/>
    <w:rsid w:val="002C4494"/>
    <w:rsid w:val="002C500F"/>
    <w:rsid w:val="002C566B"/>
    <w:rsid w:val="002C70A3"/>
    <w:rsid w:val="002C7998"/>
    <w:rsid w:val="002D0CCC"/>
    <w:rsid w:val="002D1695"/>
    <w:rsid w:val="002D1A07"/>
    <w:rsid w:val="002D2431"/>
    <w:rsid w:val="002D2F62"/>
    <w:rsid w:val="002D2FCB"/>
    <w:rsid w:val="002D358A"/>
    <w:rsid w:val="002D3C27"/>
    <w:rsid w:val="002D497E"/>
    <w:rsid w:val="002D4C19"/>
    <w:rsid w:val="002D58A4"/>
    <w:rsid w:val="002D787B"/>
    <w:rsid w:val="002D7A4A"/>
    <w:rsid w:val="002E2A4B"/>
    <w:rsid w:val="002E32E9"/>
    <w:rsid w:val="002E5AF8"/>
    <w:rsid w:val="002E65CB"/>
    <w:rsid w:val="002E73B0"/>
    <w:rsid w:val="002E76F9"/>
    <w:rsid w:val="002F016A"/>
    <w:rsid w:val="002F0BAC"/>
    <w:rsid w:val="002F0D91"/>
    <w:rsid w:val="002F143C"/>
    <w:rsid w:val="002F1BDA"/>
    <w:rsid w:val="002F1E53"/>
    <w:rsid w:val="002F235B"/>
    <w:rsid w:val="002F25D5"/>
    <w:rsid w:val="002F25E3"/>
    <w:rsid w:val="002F2BF9"/>
    <w:rsid w:val="002F2CAA"/>
    <w:rsid w:val="002F3305"/>
    <w:rsid w:val="002F3815"/>
    <w:rsid w:val="002F3D5B"/>
    <w:rsid w:val="002F3EFF"/>
    <w:rsid w:val="002F3F4E"/>
    <w:rsid w:val="002F49A8"/>
    <w:rsid w:val="002F4C87"/>
    <w:rsid w:val="002F525C"/>
    <w:rsid w:val="002F52EC"/>
    <w:rsid w:val="002F5353"/>
    <w:rsid w:val="002F6FA0"/>
    <w:rsid w:val="002F7029"/>
    <w:rsid w:val="002F727C"/>
    <w:rsid w:val="002F7B0F"/>
    <w:rsid w:val="002F7B36"/>
    <w:rsid w:val="002F7DF3"/>
    <w:rsid w:val="002F7EBE"/>
    <w:rsid w:val="003005DC"/>
    <w:rsid w:val="0030176C"/>
    <w:rsid w:val="00301AC9"/>
    <w:rsid w:val="003024E0"/>
    <w:rsid w:val="00302B53"/>
    <w:rsid w:val="003030A8"/>
    <w:rsid w:val="00303531"/>
    <w:rsid w:val="003035EC"/>
    <w:rsid w:val="0030426D"/>
    <w:rsid w:val="00305148"/>
    <w:rsid w:val="00305542"/>
    <w:rsid w:val="00305821"/>
    <w:rsid w:val="003101D7"/>
    <w:rsid w:val="003112B4"/>
    <w:rsid w:val="00311603"/>
    <w:rsid w:val="0031336B"/>
    <w:rsid w:val="00313FD0"/>
    <w:rsid w:val="00314552"/>
    <w:rsid w:val="0031516C"/>
    <w:rsid w:val="003152F8"/>
    <w:rsid w:val="00316310"/>
    <w:rsid w:val="0031656F"/>
    <w:rsid w:val="003172D5"/>
    <w:rsid w:val="003174CA"/>
    <w:rsid w:val="00320C95"/>
    <w:rsid w:val="003215EA"/>
    <w:rsid w:val="00321E48"/>
    <w:rsid w:val="0032242C"/>
    <w:rsid w:val="0032309F"/>
    <w:rsid w:val="00323262"/>
    <w:rsid w:val="0032413E"/>
    <w:rsid w:val="003259CB"/>
    <w:rsid w:val="00325D9B"/>
    <w:rsid w:val="00327897"/>
    <w:rsid w:val="003306A9"/>
    <w:rsid w:val="003306E1"/>
    <w:rsid w:val="00330E0A"/>
    <w:rsid w:val="00330EAE"/>
    <w:rsid w:val="0033162D"/>
    <w:rsid w:val="0033199B"/>
    <w:rsid w:val="003320E4"/>
    <w:rsid w:val="0033221D"/>
    <w:rsid w:val="003329EC"/>
    <w:rsid w:val="00332A5D"/>
    <w:rsid w:val="00332BA3"/>
    <w:rsid w:val="00333745"/>
    <w:rsid w:val="0033439B"/>
    <w:rsid w:val="0033525D"/>
    <w:rsid w:val="00336643"/>
    <w:rsid w:val="00341129"/>
    <w:rsid w:val="00341255"/>
    <w:rsid w:val="003414F3"/>
    <w:rsid w:val="003436F6"/>
    <w:rsid w:val="0034441A"/>
    <w:rsid w:val="00345EBB"/>
    <w:rsid w:val="003468F8"/>
    <w:rsid w:val="003476E0"/>
    <w:rsid w:val="003479F7"/>
    <w:rsid w:val="00350836"/>
    <w:rsid w:val="003527EE"/>
    <w:rsid w:val="00355418"/>
    <w:rsid w:val="0035558C"/>
    <w:rsid w:val="0035587C"/>
    <w:rsid w:val="00355B43"/>
    <w:rsid w:val="0035613E"/>
    <w:rsid w:val="003573D1"/>
    <w:rsid w:val="0035762D"/>
    <w:rsid w:val="003577CA"/>
    <w:rsid w:val="00357AF6"/>
    <w:rsid w:val="00360438"/>
    <w:rsid w:val="003632BF"/>
    <w:rsid w:val="0036378F"/>
    <w:rsid w:val="00363AAF"/>
    <w:rsid w:val="00363EE9"/>
    <w:rsid w:val="00364018"/>
    <w:rsid w:val="00364C66"/>
    <w:rsid w:val="00365941"/>
    <w:rsid w:val="0036614D"/>
    <w:rsid w:val="00366303"/>
    <w:rsid w:val="0036662D"/>
    <w:rsid w:val="00366F21"/>
    <w:rsid w:val="0037042C"/>
    <w:rsid w:val="003717E3"/>
    <w:rsid w:val="00372000"/>
    <w:rsid w:val="00374897"/>
    <w:rsid w:val="00374D90"/>
    <w:rsid w:val="00376128"/>
    <w:rsid w:val="003761E3"/>
    <w:rsid w:val="0037742E"/>
    <w:rsid w:val="00377D46"/>
    <w:rsid w:val="00380AFA"/>
    <w:rsid w:val="00380CDB"/>
    <w:rsid w:val="00381371"/>
    <w:rsid w:val="00381A42"/>
    <w:rsid w:val="0038245A"/>
    <w:rsid w:val="00383B3F"/>
    <w:rsid w:val="00385BFE"/>
    <w:rsid w:val="00386042"/>
    <w:rsid w:val="0038660C"/>
    <w:rsid w:val="00386C14"/>
    <w:rsid w:val="0038702F"/>
    <w:rsid w:val="00390AED"/>
    <w:rsid w:val="0039205B"/>
    <w:rsid w:val="0039337A"/>
    <w:rsid w:val="0039419F"/>
    <w:rsid w:val="0039440A"/>
    <w:rsid w:val="00394A1B"/>
    <w:rsid w:val="003953EE"/>
    <w:rsid w:val="00395D22"/>
    <w:rsid w:val="003964E8"/>
    <w:rsid w:val="00396835"/>
    <w:rsid w:val="003973C8"/>
    <w:rsid w:val="00397F69"/>
    <w:rsid w:val="003A1E37"/>
    <w:rsid w:val="003A29C7"/>
    <w:rsid w:val="003A3189"/>
    <w:rsid w:val="003A3969"/>
    <w:rsid w:val="003A3C2E"/>
    <w:rsid w:val="003A44C7"/>
    <w:rsid w:val="003A51FA"/>
    <w:rsid w:val="003A54B4"/>
    <w:rsid w:val="003A584E"/>
    <w:rsid w:val="003A7A81"/>
    <w:rsid w:val="003A7F66"/>
    <w:rsid w:val="003B0F93"/>
    <w:rsid w:val="003B16F1"/>
    <w:rsid w:val="003B1F61"/>
    <w:rsid w:val="003B29C0"/>
    <w:rsid w:val="003B2CFE"/>
    <w:rsid w:val="003B333B"/>
    <w:rsid w:val="003B3E1F"/>
    <w:rsid w:val="003B3F4B"/>
    <w:rsid w:val="003B41FB"/>
    <w:rsid w:val="003B569D"/>
    <w:rsid w:val="003B5B58"/>
    <w:rsid w:val="003B5F68"/>
    <w:rsid w:val="003B6B9B"/>
    <w:rsid w:val="003B6EDD"/>
    <w:rsid w:val="003B799A"/>
    <w:rsid w:val="003B7A2A"/>
    <w:rsid w:val="003C3C0E"/>
    <w:rsid w:val="003C4B0C"/>
    <w:rsid w:val="003C4F2C"/>
    <w:rsid w:val="003C513F"/>
    <w:rsid w:val="003C52D4"/>
    <w:rsid w:val="003C53A3"/>
    <w:rsid w:val="003C6471"/>
    <w:rsid w:val="003C6B29"/>
    <w:rsid w:val="003C7530"/>
    <w:rsid w:val="003C7894"/>
    <w:rsid w:val="003D0250"/>
    <w:rsid w:val="003D0631"/>
    <w:rsid w:val="003D11D2"/>
    <w:rsid w:val="003D1A3B"/>
    <w:rsid w:val="003D2E15"/>
    <w:rsid w:val="003D3733"/>
    <w:rsid w:val="003D4CC0"/>
    <w:rsid w:val="003D4FAC"/>
    <w:rsid w:val="003D5D72"/>
    <w:rsid w:val="003D5F6F"/>
    <w:rsid w:val="003D63C0"/>
    <w:rsid w:val="003D6BC2"/>
    <w:rsid w:val="003D6CFC"/>
    <w:rsid w:val="003D7152"/>
    <w:rsid w:val="003D7D37"/>
    <w:rsid w:val="003D7DC5"/>
    <w:rsid w:val="003E1F5C"/>
    <w:rsid w:val="003E2398"/>
    <w:rsid w:val="003E24BA"/>
    <w:rsid w:val="003E2E8B"/>
    <w:rsid w:val="003E3239"/>
    <w:rsid w:val="003E38A7"/>
    <w:rsid w:val="003E4E14"/>
    <w:rsid w:val="003E71FD"/>
    <w:rsid w:val="003E7906"/>
    <w:rsid w:val="003E7F61"/>
    <w:rsid w:val="003F09CB"/>
    <w:rsid w:val="003F0B0A"/>
    <w:rsid w:val="003F0F56"/>
    <w:rsid w:val="003F11F2"/>
    <w:rsid w:val="003F1906"/>
    <w:rsid w:val="003F1944"/>
    <w:rsid w:val="003F2349"/>
    <w:rsid w:val="003F2725"/>
    <w:rsid w:val="003F2A23"/>
    <w:rsid w:val="003F2F7C"/>
    <w:rsid w:val="003F3C50"/>
    <w:rsid w:val="003F45E1"/>
    <w:rsid w:val="003F4915"/>
    <w:rsid w:val="003F65B1"/>
    <w:rsid w:val="00400B76"/>
    <w:rsid w:val="00401549"/>
    <w:rsid w:val="00401E80"/>
    <w:rsid w:val="004020AF"/>
    <w:rsid w:val="00402AB6"/>
    <w:rsid w:val="00402BD6"/>
    <w:rsid w:val="00403097"/>
    <w:rsid w:val="00403C18"/>
    <w:rsid w:val="00404F88"/>
    <w:rsid w:val="004050AB"/>
    <w:rsid w:val="00406A6A"/>
    <w:rsid w:val="00406B22"/>
    <w:rsid w:val="004078D7"/>
    <w:rsid w:val="00407B1A"/>
    <w:rsid w:val="00407C1C"/>
    <w:rsid w:val="004107F4"/>
    <w:rsid w:val="00410C78"/>
    <w:rsid w:val="004111D2"/>
    <w:rsid w:val="00411757"/>
    <w:rsid w:val="00411C55"/>
    <w:rsid w:val="00412400"/>
    <w:rsid w:val="00412607"/>
    <w:rsid w:val="00413026"/>
    <w:rsid w:val="004137F5"/>
    <w:rsid w:val="00415523"/>
    <w:rsid w:val="00415AE3"/>
    <w:rsid w:val="00415E36"/>
    <w:rsid w:val="0041726D"/>
    <w:rsid w:val="0041756F"/>
    <w:rsid w:val="00426C87"/>
    <w:rsid w:val="0043059A"/>
    <w:rsid w:val="004328A7"/>
    <w:rsid w:val="00434C74"/>
    <w:rsid w:val="004372D0"/>
    <w:rsid w:val="00437882"/>
    <w:rsid w:val="00437CEE"/>
    <w:rsid w:val="00440767"/>
    <w:rsid w:val="004454B5"/>
    <w:rsid w:val="00447428"/>
    <w:rsid w:val="00450FFA"/>
    <w:rsid w:val="00452492"/>
    <w:rsid w:val="004538DA"/>
    <w:rsid w:val="00454A13"/>
    <w:rsid w:val="0045509B"/>
    <w:rsid w:val="0045574F"/>
    <w:rsid w:val="004561C6"/>
    <w:rsid w:val="00456EB4"/>
    <w:rsid w:val="00461775"/>
    <w:rsid w:val="00464CD1"/>
    <w:rsid w:val="0046601E"/>
    <w:rsid w:val="004704D9"/>
    <w:rsid w:val="0047112B"/>
    <w:rsid w:val="004718F3"/>
    <w:rsid w:val="00471B82"/>
    <w:rsid w:val="00471BFB"/>
    <w:rsid w:val="00472E37"/>
    <w:rsid w:val="00472E45"/>
    <w:rsid w:val="00475040"/>
    <w:rsid w:val="00475572"/>
    <w:rsid w:val="0047619F"/>
    <w:rsid w:val="00476AF8"/>
    <w:rsid w:val="00477152"/>
    <w:rsid w:val="00477886"/>
    <w:rsid w:val="00480809"/>
    <w:rsid w:val="00481213"/>
    <w:rsid w:val="00481947"/>
    <w:rsid w:val="00482238"/>
    <w:rsid w:val="00483250"/>
    <w:rsid w:val="00483E59"/>
    <w:rsid w:val="00484C60"/>
    <w:rsid w:val="00485627"/>
    <w:rsid w:val="00485DF4"/>
    <w:rsid w:val="00486360"/>
    <w:rsid w:val="004864AA"/>
    <w:rsid w:val="00486B6D"/>
    <w:rsid w:val="00487BAE"/>
    <w:rsid w:val="00490DBE"/>
    <w:rsid w:val="004925A5"/>
    <w:rsid w:val="00492738"/>
    <w:rsid w:val="0049279F"/>
    <w:rsid w:val="00492E9C"/>
    <w:rsid w:val="00493033"/>
    <w:rsid w:val="00493D40"/>
    <w:rsid w:val="0049505D"/>
    <w:rsid w:val="00495B47"/>
    <w:rsid w:val="00495C66"/>
    <w:rsid w:val="00495C67"/>
    <w:rsid w:val="004967B6"/>
    <w:rsid w:val="004A078A"/>
    <w:rsid w:val="004A0F85"/>
    <w:rsid w:val="004A1162"/>
    <w:rsid w:val="004A1403"/>
    <w:rsid w:val="004A149B"/>
    <w:rsid w:val="004A1D35"/>
    <w:rsid w:val="004A3CD3"/>
    <w:rsid w:val="004A3F4C"/>
    <w:rsid w:val="004A49AF"/>
    <w:rsid w:val="004A504B"/>
    <w:rsid w:val="004A5D1B"/>
    <w:rsid w:val="004A5F22"/>
    <w:rsid w:val="004A6911"/>
    <w:rsid w:val="004A7122"/>
    <w:rsid w:val="004A7B9A"/>
    <w:rsid w:val="004A7D3E"/>
    <w:rsid w:val="004B032E"/>
    <w:rsid w:val="004B09F6"/>
    <w:rsid w:val="004B11CE"/>
    <w:rsid w:val="004B169A"/>
    <w:rsid w:val="004B1792"/>
    <w:rsid w:val="004B1A19"/>
    <w:rsid w:val="004B21B9"/>
    <w:rsid w:val="004B2351"/>
    <w:rsid w:val="004B3527"/>
    <w:rsid w:val="004B3CD4"/>
    <w:rsid w:val="004B40E7"/>
    <w:rsid w:val="004B4C0A"/>
    <w:rsid w:val="004B54E0"/>
    <w:rsid w:val="004B54E1"/>
    <w:rsid w:val="004B5643"/>
    <w:rsid w:val="004B5C48"/>
    <w:rsid w:val="004B6D71"/>
    <w:rsid w:val="004B714F"/>
    <w:rsid w:val="004B7384"/>
    <w:rsid w:val="004B7814"/>
    <w:rsid w:val="004C10F7"/>
    <w:rsid w:val="004C1851"/>
    <w:rsid w:val="004C25DB"/>
    <w:rsid w:val="004C3A23"/>
    <w:rsid w:val="004C3B73"/>
    <w:rsid w:val="004C3D67"/>
    <w:rsid w:val="004C4269"/>
    <w:rsid w:val="004C466E"/>
    <w:rsid w:val="004C59E8"/>
    <w:rsid w:val="004C62FC"/>
    <w:rsid w:val="004C64AF"/>
    <w:rsid w:val="004C6BC5"/>
    <w:rsid w:val="004C6D8C"/>
    <w:rsid w:val="004C7DEE"/>
    <w:rsid w:val="004D0A94"/>
    <w:rsid w:val="004D1E66"/>
    <w:rsid w:val="004D2B16"/>
    <w:rsid w:val="004D3886"/>
    <w:rsid w:val="004D4B21"/>
    <w:rsid w:val="004D5045"/>
    <w:rsid w:val="004D5100"/>
    <w:rsid w:val="004D6236"/>
    <w:rsid w:val="004D634F"/>
    <w:rsid w:val="004D6B73"/>
    <w:rsid w:val="004D6C76"/>
    <w:rsid w:val="004D6FE9"/>
    <w:rsid w:val="004E1E57"/>
    <w:rsid w:val="004E2F00"/>
    <w:rsid w:val="004E2FEC"/>
    <w:rsid w:val="004E3942"/>
    <w:rsid w:val="004E401E"/>
    <w:rsid w:val="004E4DBB"/>
    <w:rsid w:val="004E4E41"/>
    <w:rsid w:val="004E5109"/>
    <w:rsid w:val="004E5BBC"/>
    <w:rsid w:val="004E6A79"/>
    <w:rsid w:val="004E6BB0"/>
    <w:rsid w:val="004E7F9C"/>
    <w:rsid w:val="004F04EA"/>
    <w:rsid w:val="004F094F"/>
    <w:rsid w:val="004F099D"/>
    <w:rsid w:val="004F179E"/>
    <w:rsid w:val="004F2028"/>
    <w:rsid w:val="004F2C9D"/>
    <w:rsid w:val="004F3493"/>
    <w:rsid w:val="004F456C"/>
    <w:rsid w:val="004F60E0"/>
    <w:rsid w:val="004F6211"/>
    <w:rsid w:val="004F6A2F"/>
    <w:rsid w:val="004F7ECD"/>
    <w:rsid w:val="004F7F87"/>
    <w:rsid w:val="004F7FCE"/>
    <w:rsid w:val="00500F3C"/>
    <w:rsid w:val="005013E9"/>
    <w:rsid w:val="00501E36"/>
    <w:rsid w:val="00503066"/>
    <w:rsid w:val="0050306A"/>
    <w:rsid w:val="00504854"/>
    <w:rsid w:val="00504AD3"/>
    <w:rsid w:val="0050520A"/>
    <w:rsid w:val="005057B6"/>
    <w:rsid w:val="00506999"/>
    <w:rsid w:val="00510D8D"/>
    <w:rsid w:val="0051286A"/>
    <w:rsid w:val="00512B09"/>
    <w:rsid w:val="005131EE"/>
    <w:rsid w:val="00513743"/>
    <w:rsid w:val="0051418F"/>
    <w:rsid w:val="00514E7F"/>
    <w:rsid w:val="00514EEF"/>
    <w:rsid w:val="005154A4"/>
    <w:rsid w:val="00515F43"/>
    <w:rsid w:val="00517DEB"/>
    <w:rsid w:val="00520AE5"/>
    <w:rsid w:val="005210C3"/>
    <w:rsid w:val="00521794"/>
    <w:rsid w:val="00525470"/>
    <w:rsid w:val="00526AA3"/>
    <w:rsid w:val="00526AC5"/>
    <w:rsid w:val="00526D3D"/>
    <w:rsid w:val="00527003"/>
    <w:rsid w:val="005271F8"/>
    <w:rsid w:val="005276E7"/>
    <w:rsid w:val="00530E89"/>
    <w:rsid w:val="0053124E"/>
    <w:rsid w:val="00532C33"/>
    <w:rsid w:val="005353EE"/>
    <w:rsid w:val="005355DC"/>
    <w:rsid w:val="00536A40"/>
    <w:rsid w:val="00536D5A"/>
    <w:rsid w:val="00537CAB"/>
    <w:rsid w:val="0054076E"/>
    <w:rsid w:val="00541AA3"/>
    <w:rsid w:val="005440E3"/>
    <w:rsid w:val="0054507D"/>
    <w:rsid w:val="005450CC"/>
    <w:rsid w:val="00545222"/>
    <w:rsid w:val="0054552A"/>
    <w:rsid w:val="0054658B"/>
    <w:rsid w:val="005475B1"/>
    <w:rsid w:val="005476F8"/>
    <w:rsid w:val="00547715"/>
    <w:rsid w:val="00551F8D"/>
    <w:rsid w:val="005535B7"/>
    <w:rsid w:val="00554351"/>
    <w:rsid w:val="005547C0"/>
    <w:rsid w:val="00554C9D"/>
    <w:rsid w:val="00555C2A"/>
    <w:rsid w:val="00555D75"/>
    <w:rsid w:val="00555F12"/>
    <w:rsid w:val="00556CE5"/>
    <w:rsid w:val="005576EB"/>
    <w:rsid w:val="00557C3B"/>
    <w:rsid w:val="00557CD7"/>
    <w:rsid w:val="00557FFD"/>
    <w:rsid w:val="00560DF0"/>
    <w:rsid w:val="00560EE8"/>
    <w:rsid w:val="005616DB"/>
    <w:rsid w:val="005630F4"/>
    <w:rsid w:val="00563C3E"/>
    <w:rsid w:val="00565880"/>
    <w:rsid w:val="00566B08"/>
    <w:rsid w:val="0056759C"/>
    <w:rsid w:val="00567894"/>
    <w:rsid w:val="00570FCF"/>
    <w:rsid w:val="005712E6"/>
    <w:rsid w:val="00571E22"/>
    <w:rsid w:val="00572137"/>
    <w:rsid w:val="00572858"/>
    <w:rsid w:val="0057322A"/>
    <w:rsid w:val="005737BF"/>
    <w:rsid w:val="005756D8"/>
    <w:rsid w:val="00576D76"/>
    <w:rsid w:val="00576E16"/>
    <w:rsid w:val="00580049"/>
    <w:rsid w:val="005801A5"/>
    <w:rsid w:val="00580808"/>
    <w:rsid w:val="005813CE"/>
    <w:rsid w:val="00583249"/>
    <w:rsid w:val="00583C8E"/>
    <w:rsid w:val="00586A69"/>
    <w:rsid w:val="00586FE5"/>
    <w:rsid w:val="00587256"/>
    <w:rsid w:val="00587E55"/>
    <w:rsid w:val="00591260"/>
    <w:rsid w:val="00592907"/>
    <w:rsid w:val="00592CE9"/>
    <w:rsid w:val="005938AC"/>
    <w:rsid w:val="00594213"/>
    <w:rsid w:val="00594882"/>
    <w:rsid w:val="0059513E"/>
    <w:rsid w:val="0059733E"/>
    <w:rsid w:val="005978C9"/>
    <w:rsid w:val="005A12A4"/>
    <w:rsid w:val="005A348D"/>
    <w:rsid w:val="005A58EC"/>
    <w:rsid w:val="005A6AE7"/>
    <w:rsid w:val="005A6B7E"/>
    <w:rsid w:val="005A7009"/>
    <w:rsid w:val="005A7743"/>
    <w:rsid w:val="005B0113"/>
    <w:rsid w:val="005B0FEC"/>
    <w:rsid w:val="005B1462"/>
    <w:rsid w:val="005B418F"/>
    <w:rsid w:val="005B48FF"/>
    <w:rsid w:val="005B533D"/>
    <w:rsid w:val="005B5501"/>
    <w:rsid w:val="005B5BEA"/>
    <w:rsid w:val="005B6C6F"/>
    <w:rsid w:val="005B7005"/>
    <w:rsid w:val="005C0226"/>
    <w:rsid w:val="005C19AE"/>
    <w:rsid w:val="005C2B17"/>
    <w:rsid w:val="005C2E7F"/>
    <w:rsid w:val="005C455A"/>
    <w:rsid w:val="005C4B22"/>
    <w:rsid w:val="005C4CD8"/>
    <w:rsid w:val="005C7057"/>
    <w:rsid w:val="005C77DF"/>
    <w:rsid w:val="005D2D47"/>
    <w:rsid w:val="005D344F"/>
    <w:rsid w:val="005D3985"/>
    <w:rsid w:val="005D3C10"/>
    <w:rsid w:val="005D4316"/>
    <w:rsid w:val="005D4C4D"/>
    <w:rsid w:val="005D5103"/>
    <w:rsid w:val="005D6777"/>
    <w:rsid w:val="005E04EC"/>
    <w:rsid w:val="005E117F"/>
    <w:rsid w:val="005E1B51"/>
    <w:rsid w:val="005E1FF8"/>
    <w:rsid w:val="005E2DAE"/>
    <w:rsid w:val="005E3E45"/>
    <w:rsid w:val="005E451B"/>
    <w:rsid w:val="005E4CEF"/>
    <w:rsid w:val="005F140B"/>
    <w:rsid w:val="005F1B5C"/>
    <w:rsid w:val="005F2866"/>
    <w:rsid w:val="005F329C"/>
    <w:rsid w:val="005F46F8"/>
    <w:rsid w:val="005F6350"/>
    <w:rsid w:val="005F6388"/>
    <w:rsid w:val="005F7360"/>
    <w:rsid w:val="0060080C"/>
    <w:rsid w:val="00600AE2"/>
    <w:rsid w:val="00601609"/>
    <w:rsid w:val="00601A1A"/>
    <w:rsid w:val="00602C43"/>
    <w:rsid w:val="00604B55"/>
    <w:rsid w:val="00604C15"/>
    <w:rsid w:val="00604CBB"/>
    <w:rsid w:val="006052EB"/>
    <w:rsid w:val="006059B0"/>
    <w:rsid w:val="00606A82"/>
    <w:rsid w:val="00607BC7"/>
    <w:rsid w:val="006116D6"/>
    <w:rsid w:val="00611C09"/>
    <w:rsid w:val="00611CA0"/>
    <w:rsid w:val="00612DBB"/>
    <w:rsid w:val="00613A5F"/>
    <w:rsid w:val="00614368"/>
    <w:rsid w:val="0061521A"/>
    <w:rsid w:val="006158D5"/>
    <w:rsid w:val="00615963"/>
    <w:rsid w:val="00616C04"/>
    <w:rsid w:val="00617F84"/>
    <w:rsid w:val="0062087D"/>
    <w:rsid w:val="0062142C"/>
    <w:rsid w:val="006215F3"/>
    <w:rsid w:val="006219EE"/>
    <w:rsid w:val="006220F3"/>
    <w:rsid w:val="00622924"/>
    <w:rsid w:val="00622958"/>
    <w:rsid w:val="00623617"/>
    <w:rsid w:val="006247F3"/>
    <w:rsid w:val="00624BC9"/>
    <w:rsid w:val="00625A79"/>
    <w:rsid w:val="00625D83"/>
    <w:rsid w:val="00625FF3"/>
    <w:rsid w:val="006273BE"/>
    <w:rsid w:val="00627D2F"/>
    <w:rsid w:val="0063018F"/>
    <w:rsid w:val="00630448"/>
    <w:rsid w:val="006315B3"/>
    <w:rsid w:val="006315F3"/>
    <w:rsid w:val="006337BD"/>
    <w:rsid w:val="00634999"/>
    <w:rsid w:val="0063512E"/>
    <w:rsid w:val="006361D6"/>
    <w:rsid w:val="00637192"/>
    <w:rsid w:val="00637F43"/>
    <w:rsid w:val="006400BD"/>
    <w:rsid w:val="006415F1"/>
    <w:rsid w:val="00641A73"/>
    <w:rsid w:val="00641F60"/>
    <w:rsid w:val="00642CA2"/>
    <w:rsid w:val="00642D72"/>
    <w:rsid w:val="0064406C"/>
    <w:rsid w:val="00645358"/>
    <w:rsid w:val="0064538C"/>
    <w:rsid w:val="006460F3"/>
    <w:rsid w:val="006464D4"/>
    <w:rsid w:val="0064685E"/>
    <w:rsid w:val="00646969"/>
    <w:rsid w:val="0064733E"/>
    <w:rsid w:val="0064769F"/>
    <w:rsid w:val="00650C63"/>
    <w:rsid w:val="00651BBF"/>
    <w:rsid w:val="00652205"/>
    <w:rsid w:val="00652E2B"/>
    <w:rsid w:val="006530DA"/>
    <w:rsid w:val="00653A64"/>
    <w:rsid w:val="00655E69"/>
    <w:rsid w:val="00657337"/>
    <w:rsid w:val="0066001C"/>
    <w:rsid w:val="0066044A"/>
    <w:rsid w:val="0066065E"/>
    <w:rsid w:val="006614B4"/>
    <w:rsid w:val="00661DF0"/>
    <w:rsid w:val="006623E7"/>
    <w:rsid w:val="00662B80"/>
    <w:rsid w:val="0066488F"/>
    <w:rsid w:val="00664A19"/>
    <w:rsid w:val="006655BF"/>
    <w:rsid w:val="00666A59"/>
    <w:rsid w:val="00667244"/>
    <w:rsid w:val="00667F03"/>
    <w:rsid w:val="00667FA5"/>
    <w:rsid w:val="0067011C"/>
    <w:rsid w:val="00670DFA"/>
    <w:rsid w:val="00672854"/>
    <w:rsid w:val="00672B7F"/>
    <w:rsid w:val="0067316E"/>
    <w:rsid w:val="00673B42"/>
    <w:rsid w:val="00673BD5"/>
    <w:rsid w:val="00673E5E"/>
    <w:rsid w:val="0067430C"/>
    <w:rsid w:val="006753AE"/>
    <w:rsid w:val="006756E5"/>
    <w:rsid w:val="00675A6D"/>
    <w:rsid w:val="00675B85"/>
    <w:rsid w:val="00676E4A"/>
    <w:rsid w:val="00677D27"/>
    <w:rsid w:val="00681362"/>
    <w:rsid w:val="00681823"/>
    <w:rsid w:val="00681915"/>
    <w:rsid w:val="00682362"/>
    <w:rsid w:val="00682457"/>
    <w:rsid w:val="00682531"/>
    <w:rsid w:val="0068266A"/>
    <w:rsid w:val="00682986"/>
    <w:rsid w:val="00682E05"/>
    <w:rsid w:val="00683B25"/>
    <w:rsid w:val="006852C7"/>
    <w:rsid w:val="006862DD"/>
    <w:rsid w:val="00687598"/>
    <w:rsid w:val="00687625"/>
    <w:rsid w:val="00687631"/>
    <w:rsid w:val="006905A5"/>
    <w:rsid w:val="00690B14"/>
    <w:rsid w:val="00691214"/>
    <w:rsid w:val="00693505"/>
    <w:rsid w:val="00694038"/>
    <w:rsid w:val="0069461A"/>
    <w:rsid w:val="00695D8F"/>
    <w:rsid w:val="00697153"/>
    <w:rsid w:val="006A0014"/>
    <w:rsid w:val="006A0FE1"/>
    <w:rsid w:val="006A1A62"/>
    <w:rsid w:val="006A42EF"/>
    <w:rsid w:val="006A553E"/>
    <w:rsid w:val="006A5833"/>
    <w:rsid w:val="006A7018"/>
    <w:rsid w:val="006A73A3"/>
    <w:rsid w:val="006B1056"/>
    <w:rsid w:val="006B190C"/>
    <w:rsid w:val="006B21CC"/>
    <w:rsid w:val="006B22C4"/>
    <w:rsid w:val="006B23B3"/>
    <w:rsid w:val="006B33C5"/>
    <w:rsid w:val="006B4B05"/>
    <w:rsid w:val="006B4B8E"/>
    <w:rsid w:val="006B7430"/>
    <w:rsid w:val="006B754D"/>
    <w:rsid w:val="006C0198"/>
    <w:rsid w:val="006C1400"/>
    <w:rsid w:val="006C1727"/>
    <w:rsid w:val="006C2ED1"/>
    <w:rsid w:val="006C32FD"/>
    <w:rsid w:val="006C3404"/>
    <w:rsid w:val="006C39CE"/>
    <w:rsid w:val="006C5C43"/>
    <w:rsid w:val="006D0654"/>
    <w:rsid w:val="006D06E5"/>
    <w:rsid w:val="006D0FCC"/>
    <w:rsid w:val="006D1C0E"/>
    <w:rsid w:val="006D304F"/>
    <w:rsid w:val="006D3255"/>
    <w:rsid w:val="006D7AC6"/>
    <w:rsid w:val="006E06D0"/>
    <w:rsid w:val="006E14FD"/>
    <w:rsid w:val="006E25E4"/>
    <w:rsid w:val="006E4395"/>
    <w:rsid w:val="006E4AA7"/>
    <w:rsid w:val="006E77AA"/>
    <w:rsid w:val="006F32D6"/>
    <w:rsid w:val="006F3CDE"/>
    <w:rsid w:val="006F4CCE"/>
    <w:rsid w:val="006F79AC"/>
    <w:rsid w:val="006F79BC"/>
    <w:rsid w:val="00700803"/>
    <w:rsid w:val="00701A7A"/>
    <w:rsid w:val="00701F64"/>
    <w:rsid w:val="00702570"/>
    <w:rsid w:val="007032B7"/>
    <w:rsid w:val="00703314"/>
    <w:rsid w:val="007034C2"/>
    <w:rsid w:val="00705129"/>
    <w:rsid w:val="00705839"/>
    <w:rsid w:val="0070616B"/>
    <w:rsid w:val="00706FDA"/>
    <w:rsid w:val="007102A6"/>
    <w:rsid w:val="00711F9A"/>
    <w:rsid w:val="00712C73"/>
    <w:rsid w:val="00713810"/>
    <w:rsid w:val="00714246"/>
    <w:rsid w:val="00714B1C"/>
    <w:rsid w:val="00714C39"/>
    <w:rsid w:val="00715971"/>
    <w:rsid w:val="00715CA3"/>
    <w:rsid w:val="0071733A"/>
    <w:rsid w:val="007201A7"/>
    <w:rsid w:val="0072072C"/>
    <w:rsid w:val="0072088B"/>
    <w:rsid w:val="00721814"/>
    <w:rsid w:val="00721FC2"/>
    <w:rsid w:val="00724741"/>
    <w:rsid w:val="007255F7"/>
    <w:rsid w:val="007303A5"/>
    <w:rsid w:val="00730ADC"/>
    <w:rsid w:val="00730B3E"/>
    <w:rsid w:val="00731087"/>
    <w:rsid w:val="007318F3"/>
    <w:rsid w:val="00731CCF"/>
    <w:rsid w:val="007321B4"/>
    <w:rsid w:val="007326B3"/>
    <w:rsid w:val="007327E4"/>
    <w:rsid w:val="00732B0A"/>
    <w:rsid w:val="007336B4"/>
    <w:rsid w:val="007339E1"/>
    <w:rsid w:val="0073420B"/>
    <w:rsid w:val="007346F5"/>
    <w:rsid w:val="00734733"/>
    <w:rsid w:val="007350BF"/>
    <w:rsid w:val="00736570"/>
    <w:rsid w:val="00736590"/>
    <w:rsid w:val="0073734A"/>
    <w:rsid w:val="0073738D"/>
    <w:rsid w:val="00740955"/>
    <w:rsid w:val="007409BB"/>
    <w:rsid w:val="00741F2F"/>
    <w:rsid w:val="00742BB6"/>
    <w:rsid w:val="007457A1"/>
    <w:rsid w:val="0074760E"/>
    <w:rsid w:val="00750BD4"/>
    <w:rsid w:val="007513A8"/>
    <w:rsid w:val="00752D14"/>
    <w:rsid w:val="00752FC8"/>
    <w:rsid w:val="00753020"/>
    <w:rsid w:val="00754021"/>
    <w:rsid w:val="007540BF"/>
    <w:rsid w:val="007547FF"/>
    <w:rsid w:val="007548D3"/>
    <w:rsid w:val="0075497B"/>
    <w:rsid w:val="00754ABA"/>
    <w:rsid w:val="00754F25"/>
    <w:rsid w:val="0075595F"/>
    <w:rsid w:val="00755C5A"/>
    <w:rsid w:val="00756381"/>
    <w:rsid w:val="007572CC"/>
    <w:rsid w:val="0075780F"/>
    <w:rsid w:val="00757813"/>
    <w:rsid w:val="0076135B"/>
    <w:rsid w:val="00761E8A"/>
    <w:rsid w:val="0076237E"/>
    <w:rsid w:val="00762472"/>
    <w:rsid w:val="00763329"/>
    <w:rsid w:val="007635B9"/>
    <w:rsid w:val="00764B7C"/>
    <w:rsid w:val="007650AD"/>
    <w:rsid w:val="007657C5"/>
    <w:rsid w:val="00766CC6"/>
    <w:rsid w:val="00767E3F"/>
    <w:rsid w:val="00771E60"/>
    <w:rsid w:val="0077204B"/>
    <w:rsid w:val="007721A2"/>
    <w:rsid w:val="007729E6"/>
    <w:rsid w:val="00774DCD"/>
    <w:rsid w:val="007758EA"/>
    <w:rsid w:val="007761B8"/>
    <w:rsid w:val="00777C12"/>
    <w:rsid w:val="00783C66"/>
    <w:rsid w:val="00783E92"/>
    <w:rsid w:val="00786468"/>
    <w:rsid w:val="0079045D"/>
    <w:rsid w:val="007904F0"/>
    <w:rsid w:val="0079159C"/>
    <w:rsid w:val="00792FD6"/>
    <w:rsid w:val="007934BB"/>
    <w:rsid w:val="0079687E"/>
    <w:rsid w:val="007A0006"/>
    <w:rsid w:val="007A1546"/>
    <w:rsid w:val="007A228C"/>
    <w:rsid w:val="007A2558"/>
    <w:rsid w:val="007A368E"/>
    <w:rsid w:val="007A3A5D"/>
    <w:rsid w:val="007A3C73"/>
    <w:rsid w:val="007A3EEA"/>
    <w:rsid w:val="007A53C4"/>
    <w:rsid w:val="007A5868"/>
    <w:rsid w:val="007A62FD"/>
    <w:rsid w:val="007A7105"/>
    <w:rsid w:val="007A7768"/>
    <w:rsid w:val="007A7AC3"/>
    <w:rsid w:val="007B04CE"/>
    <w:rsid w:val="007B05FB"/>
    <w:rsid w:val="007B1C80"/>
    <w:rsid w:val="007B5EF4"/>
    <w:rsid w:val="007B6871"/>
    <w:rsid w:val="007B7A2F"/>
    <w:rsid w:val="007C02B4"/>
    <w:rsid w:val="007C06CE"/>
    <w:rsid w:val="007C07BC"/>
    <w:rsid w:val="007C1D0C"/>
    <w:rsid w:val="007C2331"/>
    <w:rsid w:val="007C2554"/>
    <w:rsid w:val="007C286A"/>
    <w:rsid w:val="007C3220"/>
    <w:rsid w:val="007C3D33"/>
    <w:rsid w:val="007C4A18"/>
    <w:rsid w:val="007C55CA"/>
    <w:rsid w:val="007C7095"/>
    <w:rsid w:val="007C78C2"/>
    <w:rsid w:val="007D043B"/>
    <w:rsid w:val="007D1624"/>
    <w:rsid w:val="007D2004"/>
    <w:rsid w:val="007D23D1"/>
    <w:rsid w:val="007D294A"/>
    <w:rsid w:val="007D37D0"/>
    <w:rsid w:val="007D47D2"/>
    <w:rsid w:val="007D4F36"/>
    <w:rsid w:val="007D539E"/>
    <w:rsid w:val="007D5543"/>
    <w:rsid w:val="007D5E1C"/>
    <w:rsid w:val="007D68E6"/>
    <w:rsid w:val="007D6EC0"/>
    <w:rsid w:val="007D7978"/>
    <w:rsid w:val="007D7E1D"/>
    <w:rsid w:val="007D7E44"/>
    <w:rsid w:val="007E15B0"/>
    <w:rsid w:val="007E1C80"/>
    <w:rsid w:val="007E3E98"/>
    <w:rsid w:val="007E7681"/>
    <w:rsid w:val="007F4C95"/>
    <w:rsid w:val="007F706E"/>
    <w:rsid w:val="007F7E0F"/>
    <w:rsid w:val="0080330E"/>
    <w:rsid w:val="00803AA0"/>
    <w:rsid w:val="00804DC2"/>
    <w:rsid w:val="00805A7B"/>
    <w:rsid w:val="00806244"/>
    <w:rsid w:val="0080647F"/>
    <w:rsid w:val="00806EB6"/>
    <w:rsid w:val="008077D4"/>
    <w:rsid w:val="0081004D"/>
    <w:rsid w:val="008104A2"/>
    <w:rsid w:val="00811057"/>
    <w:rsid w:val="00812DA3"/>
    <w:rsid w:val="00813833"/>
    <w:rsid w:val="0081439A"/>
    <w:rsid w:val="008147CC"/>
    <w:rsid w:val="0081571E"/>
    <w:rsid w:val="00815809"/>
    <w:rsid w:val="00815F75"/>
    <w:rsid w:val="00816CC2"/>
    <w:rsid w:val="00822578"/>
    <w:rsid w:val="00824745"/>
    <w:rsid w:val="00824C5B"/>
    <w:rsid w:val="00824E52"/>
    <w:rsid w:val="00826BAA"/>
    <w:rsid w:val="00826C9E"/>
    <w:rsid w:val="008279F9"/>
    <w:rsid w:val="00827EF4"/>
    <w:rsid w:val="00830A72"/>
    <w:rsid w:val="00830E87"/>
    <w:rsid w:val="00830F75"/>
    <w:rsid w:val="008317E2"/>
    <w:rsid w:val="00831986"/>
    <w:rsid w:val="00837734"/>
    <w:rsid w:val="00840333"/>
    <w:rsid w:val="00842162"/>
    <w:rsid w:val="008424EE"/>
    <w:rsid w:val="00842CEA"/>
    <w:rsid w:val="0084305A"/>
    <w:rsid w:val="0084462B"/>
    <w:rsid w:val="00845381"/>
    <w:rsid w:val="00845491"/>
    <w:rsid w:val="0084796B"/>
    <w:rsid w:val="008508B0"/>
    <w:rsid w:val="00851352"/>
    <w:rsid w:val="008517DD"/>
    <w:rsid w:val="0085437B"/>
    <w:rsid w:val="008568C3"/>
    <w:rsid w:val="008569AD"/>
    <w:rsid w:val="008572B3"/>
    <w:rsid w:val="00857F7A"/>
    <w:rsid w:val="00861A34"/>
    <w:rsid w:val="00863230"/>
    <w:rsid w:val="00863A9A"/>
    <w:rsid w:val="00865397"/>
    <w:rsid w:val="00865934"/>
    <w:rsid w:val="00867706"/>
    <w:rsid w:val="00867AF4"/>
    <w:rsid w:val="00867F17"/>
    <w:rsid w:val="00871048"/>
    <w:rsid w:val="00871394"/>
    <w:rsid w:val="008717D8"/>
    <w:rsid w:val="00871F0C"/>
    <w:rsid w:val="0087215C"/>
    <w:rsid w:val="008727F4"/>
    <w:rsid w:val="00874F8E"/>
    <w:rsid w:val="00875E15"/>
    <w:rsid w:val="00876D7B"/>
    <w:rsid w:val="00877061"/>
    <w:rsid w:val="00877515"/>
    <w:rsid w:val="00877614"/>
    <w:rsid w:val="00877858"/>
    <w:rsid w:val="00877D60"/>
    <w:rsid w:val="00880D4B"/>
    <w:rsid w:val="008816D9"/>
    <w:rsid w:val="00882FC6"/>
    <w:rsid w:val="00883CA6"/>
    <w:rsid w:val="00884059"/>
    <w:rsid w:val="0088419F"/>
    <w:rsid w:val="0088423A"/>
    <w:rsid w:val="00884406"/>
    <w:rsid w:val="00884924"/>
    <w:rsid w:val="00884FFD"/>
    <w:rsid w:val="00887368"/>
    <w:rsid w:val="008875FE"/>
    <w:rsid w:val="00887F8E"/>
    <w:rsid w:val="0089079F"/>
    <w:rsid w:val="0089132C"/>
    <w:rsid w:val="00892975"/>
    <w:rsid w:val="00892AAA"/>
    <w:rsid w:val="0089588B"/>
    <w:rsid w:val="00895D13"/>
    <w:rsid w:val="00895FE9"/>
    <w:rsid w:val="00896234"/>
    <w:rsid w:val="00896B90"/>
    <w:rsid w:val="00897260"/>
    <w:rsid w:val="008972DE"/>
    <w:rsid w:val="00897AD2"/>
    <w:rsid w:val="00897E43"/>
    <w:rsid w:val="008A0675"/>
    <w:rsid w:val="008A1931"/>
    <w:rsid w:val="008A2859"/>
    <w:rsid w:val="008A2FC8"/>
    <w:rsid w:val="008A3894"/>
    <w:rsid w:val="008A3C20"/>
    <w:rsid w:val="008A4BEC"/>
    <w:rsid w:val="008A5A32"/>
    <w:rsid w:val="008A6B60"/>
    <w:rsid w:val="008A6EA0"/>
    <w:rsid w:val="008A7AE3"/>
    <w:rsid w:val="008A7FEE"/>
    <w:rsid w:val="008B14E9"/>
    <w:rsid w:val="008B1BCA"/>
    <w:rsid w:val="008B2147"/>
    <w:rsid w:val="008B22CE"/>
    <w:rsid w:val="008B3A08"/>
    <w:rsid w:val="008B418C"/>
    <w:rsid w:val="008B61DF"/>
    <w:rsid w:val="008B7FB4"/>
    <w:rsid w:val="008C09D4"/>
    <w:rsid w:val="008C1B12"/>
    <w:rsid w:val="008C2B63"/>
    <w:rsid w:val="008C49DF"/>
    <w:rsid w:val="008C4C82"/>
    <w:rsid w:val="008C4C87"/>
    <w:rsid w:val="008C4F30"/>
    <w:rsid w:val="008C5738"/>
    <w:rsid w:val="008C5E1A"/>
    <w:rsid w:val="008C63A1"/>
    <w:rsid w:val="008C6917"/>
    <w:rsid w:val="008C7EAD"/>
    <w:rsid w:val="008D0B35"/>
    <w:rsid w:val="008D0BBD"/>
    <w:rsid w:val="008D1493"/>
    <w:rsid w:val="008D5A88"/>
    <w:rsid w:val="008D601E"/>
    <w:rsid w:val="008D610B"/>
    <w:rsid w:val="008D6152"/>
    <w:rsid w:val="008D6F59"/>
    <w:rsid w:val="008D7968"/>
    <w:rsid w:val="008E02FF"/>
    <w:rsid w:val="008E0963"/>
    <w:rsid w:val="008E313D"/>
    <w:rsid w:val="008E324B"/>
    <w:rsid w:val="008E4AD6"/>
    <w:rsid w:val="008E5F63"/>
    <w:rsid w:val="008E679B"/>
    <w:rsid w:val="008E7233"/>
    <w:rsid w:val="008F0497"/>
    <w:rsid w:val="008F0F81"/>
    <w:rsid w:val="008F11B3"/>
    <w:rsid w:val="008F263D"/>
    <w:rsid w:val="008F27BF"/>
    <w:rsid w:val="008F28A1"/>
    <w:rsid w:val="008F2DA6"/>
    <w:rsid w:val="008F2FEF"/>
    <w:rsid w:val="008F32B3"/>
    <w:rsid w:val="008F3566"/>
    <w:rsid w:val="008F531F"/>
    <w:rsid w:val="008F7254"/>
    <w:rsid w:val="008F754E"/>
    <w:rsid w:val="009001E9"/>
    <w:rsid w:val="009032A5"/>
    <w:rsid w:val="009035ED"/>
    <w:rsid w:val="00903B5B"/>
    <w:rsid w:val="00904625"/>
    <w:rsid w:val="00904E9C"/>
    <w:rsid w:val="00906294"/>
    <w:rsid w:val="009075A6"/>
    <w:rsid w:val="00910829"/>
    <w:rsid w:val="0091089A"/>
    <w:rsid w:val="00910F60"/>
    <w:rsid w:val="009115E6"/>
    <w:rsid w:val="00911A87"/>
    <w:rsid w:val="00912012"/>
    <w:rsid w:val="00912AD0"/>
    <w:rsid w:val="0091371A"/>
    <w:rsid w:val="00914858"/>
    <w:rsid w:val="00915585"/>
    <w:rsid w:val="00915994"/>
    <w:rsid w:val="0091601E"/>
    <w:rsid w:val="00916164"/>
    <w:rsid w:val="00917836"/>
    <w:rsid w:val="00920612"/>
    <w:rsid w:val="0092086D"/>
    <w:rsid w:val="00920E25"/>
    <w:rsid w:val="00923540"/>
    <w:rsid w:val="00924D80"/>
    <w:rsid w:val="009257E4"/>
    <w:rsid w:val="00925AD2"/>
    <w:rsid w:val="00925C50"/>
    <w:rsid w:val="00926767"/>
    <w:rsid w:val="00927065"/>
    <w:rsid w:val="0093096F"/>
    <w:rsid w:val="00930D82"/>
    <w:rsid w:val="00931013"/>
    <w:rsid w:val="00931330"/>
    <w:rsid w:val="009319F9"/>
    <w:rsid w:val="009322EC"/>
    <w:rsid w:val="00932A22"/>
    <w:rsid w:val="00935097"/>
    <w:rsid w:val="00935140"/>
    <w:rsid w:val="00935243"/>
    <w:rsid w:val="00935478"/>
    <w:rsid w:val="0093548A"/>
    <w:rsid w:val="00935A41"/>
    <w:rsid w:val="00936127"/>
    <w:rsid w:val="009361D5"/>
    <w:rsid w:val="00937598"/>
    <w:rsid w:val="009377B7"/>
    <w:rsid w:val="00937B4C"/>
    <w:rsid w:val="009407F5"/>
    <w:rsid w:val="00940D6A"/>
    <w:rsid w:val="00940E20"/>
    <w:rsid w:val="009412DC"/>
    <w:rsid w:val="00941CD5"/>
    <w:rsid w:val="009421B1"/>
    <w:rsid w:val="0094349B"/>
    <w:rsid w:val="00943A29"/>
    <w:rsid w:val="00943FCF"/>
    <w:rsid w:val="0094492C"/>
    <w:rsid w:val="00944AD9"/>
    <w:rsid w:val="009457E1"/>
    <w:rsid w:val="009460D3"/>
    <w:rsid w:val="00946C15"/>
    <w:rsid w:val="00953AB5"/>
    <w:rsid w:val="00954724"/>
    <w:rsid w:val="0095497D"/>
    <w:rsid w:val="0095625A"/>
    <w:rsid w:val="009570EF"/>
    <w:rsid w:val="00957B1B"/>
    <w:rsid w:val="00960640"/>
    <w:rsid w:val="00960AFF"/>
    <w:rsid w:val="0096228F"/>
    <w:rsid w:val="009628EE"/>
    <w:rsid w:val="00962A46"/>
    <w:rsid w:val="00963921"/>
    <w:rsid w:val="0096596D"/>
    <w:rsid w:val="009659F4"/>
    <w:rsid w:val="009703B3"/>
    <w:rsid w:val="0097098C"/>
    <w:rsid w:val="00970D60"/>
    <w:rsid w:val="00971901"/>
    <w:rsid w:val="0097199A"/>
    <w:rsid w:val="00971BAA"/>
    <w:rsid w:val="0097201E"/>
    <w:rsid w:val="00972C71"/>
    <w:rsid w:val="0097486D"/>
    <w:rsid w:val="00974B38"/>
    <w:rsid w:val="00974ED5"/>
    <w:rsid w:val="00977659"/>
    <w:rsid w:val="00977BE1"/>
    <w:rsid w:val="00980A4F"/>
    <w:rsid w:val="009821AD"/>
    <w:rsid w:val="009827F1"/>
    <w:rsid w:val="00982E4E"/>
    <w:rsid w:val="00983C67"/>
    <w:rsid w:val="00983E43"/>
    <w:rsid w:val="00985B7C"/>
    <w:rsid w:val="00986A5E"/>
    <w:rsid w:val="0098711D"/>
    <w:rsid w:val="00990010"/>
    <w:rsid w:val="00991539"/>
    <w:rsid w:val="0099191B"/>
    <w:rsid w:val="0099201D"/>
    <w:rsid w:val="00992836"/>
    <w:rsid w:val="00993D16"/>
    <w:rsid w:val="00994662"/>
    <w:rsid w:val="00995CF2"/>
    <w:rsid w:val="00995F9D"/>
    <w:rsid w:val="009960E5"/>
    <w:rsid w:val="00996834"/>
    <w:rsid w:val="009975CC"/>
    <w:rsid w:val="009977B9"/>
    <w:rsid w:val="009A0676"/>
    <w:rsid w:val="009A080F"/>
    <w:rsid w:val="009A0BFF"/>
    <w:rsid w:val="009A1BC2"/>
    <w:rsid w:val="009A2259"/>
    <w:rsid w:val="009A25AC"/>
    <w:rsid w:val="009A3FB3"/>
    <w:rsid w:val="009A4EA1"/>
    <w:rsid w:val="009A6083"/>
    <w:rsid w:val="009A6686"/>
    <w:rsid w:val="009A766E"/>
    <w:rsid w:val="009A7ADC"/>
    <w:rsid w:val="009B0610"/>
    <w:rsid w:val="009B25FD"/>
    <w:rsid w:val="009B26F2"/>
    <w:rsid w:val="009B276D"/>
    <w:rsid w:val="009B2B03"/>
    <w:rsid w:val="009B33CE"/>
    <w:rsid w:val="009B39AD"/>
    <w:rsid w:val="009B3CCC"/>
    <w:rsid w:val="009B4BF3"/>
    <w:rsid w:val="009B6C9C"/>
    <w:rsid w:val="009B7A1C"/>
    <w:rsid w:val="009C048D"/>
    <w:rsid w:val="009C0702"/>
    <w:rsid w:val="009C17A7"/>
    <w:rsid w:val="009C19B7"/>
    <w:rsid w:val="009C1C44"/>
    <w:rsid w:val="009C1FA7"/>
    <w:rsid w:val="009C2A50"/>
    <w:rsid w:val="009C2AB6"/>
    <w:rsid w:val="009C3BB8"/>
    <w:rsid w:val="009C42BF"/>
    <w:rsid w:val="009C445D"/>
    <w:rsid w:val="009C4A64"/>
    <w:rsid w:val="009C4FBF"/>
    <w:rsid w:val="009C6EE9"/>
    <w:rsid w:val="009C716A"/>
    <w:rsid w:val="009C7DA7"/>
    <w:rsid w:val="009D0410"/>
    <w:rsid w:val="009D171C"/>
    <w:rsid w:val="009D2D98"/>
    <w:rsid w:val="009D35C6"/>
    <w:rsid w:val="009D3875"/>
    <w:rsid w:val="009D4C15"/>
    <w:rsid w:val="009D4F88"/>
    <w:rsid w:val="009D6AD5"/>
    <w:rsid w:val="009D7C51"/>
    <w:rsid w:val="009D7D18"/>
    <w:rsid w:val="009E1500"/>
    <w:rsid w:val="009E1F8B"/>
    <w:rsid w:val="009E3CBF"/>
    <w:rsid w:val="009E4C46"/>
    <w:rsid w:val="009E5EBE"/>
    <w:rsid w:val="009E74CB"/>
    <w:rsid w:val="009E756B"/>
    <w:rsid w:val="009E77F8"/>
    <w:rsid w:val="009F029F"/>
    <w:rsid w:val="009F08CB"/>
    <w:rsid w:val="009F0901"/>
    <w:rsid w:val="009F161D"/>
    <w:rsid w:val="009F1AF7"/>
    <w:rsid w:val="009F21E2"/>
    <w:rsid w:val="009F2329"/>
    <w:rsid w:val="009F2D0E"/>
    <w:rsid w:val="009F36BF"/>
    <w:rsid w:val="009F44ED"/>
    <w:rsid w:val="009F5A54"/>
    <w:rsid w:val="009F639F"/>
    <w:rsid w:val="009F65A9"/>
    <w:rsid w:val="009F6A58"/>
    <w:rsid w:val="009F7B65"/>
    <w:rsid w:val="00A008CF"/>
    <w:rsid w:val="00A03516"/>
    <w:rsid w:val="00A0479B"/>
    <w:rsid w:val="00A04922"/>
    <w:rsid w:val="00A049F1"/>
    <w:rsid w:val="00A0546E"/>
    <w:rsid w:val="00A0614C"/>
    <w:rsid w:val="00A06BB5"/>
    <w:rsid w:val="00A06F33"/>
    <w:rsid w:val="00A110EC"/>
    <w:rsid w:val="00A111B6"/>
    <w:rsid w:val="00A1144E"/>
    <w:rsid w:val="00A11510"/>
    <w:rsid w:val="00A11BFF"/>
    <w:rsid w:val="00A11FA6"/>
    <w:rsid w:val="00A12263"/>
    <w:rsid w:val="00A126FC"/>
    <w:rsid w:val="00A12DF5"/>
    <w:rsid w:val="00A14AF0"/>
    <w:rsid w:val="00A150F2"/>
    <w:rsid w:val="00A15A93"/>
    <w:rsid w:val="00A17F4A"/>
    <w:rsid w:val="00A20557"/>
    <w:rsid w:val="00A206E8"/>
    <w:rsid w:val="00A21124"/>
    <w:rsid w:val="00A22E6D"/>
    <w:rsid w:val="00A23004"/>
    <w:rsid w:val="00A2384E"/>
    <w:rsid w:val="00A23BBD"/>
    <w:rsid w:val="00A23BE2"/>
    <w:rsid w:val="00A24408"/>
    <w:rsid w:val="00A25732"/>
    <w:rsid w:val="00A268FB"/>
    <w:rsid w:val="00A26A79"/>
    <w:rsid w:val="00A2706E"/>
    <w:rsid w:val="00A27D71"/>
    <w:rsid w:val="00A27EEB"/>
    <w:rsid w:val="00A305DE"/>
    <w:rsid w:val="00A3079F"/>
    <w:rsid w:val="00A313E3"/>
    <w:rsid w:val="00A317DA"/>
    <w:rsid w:val="00A317F0"/>
    <w:rsid w:val="00A3203C"/>
    <w:rsid w:val="00A33175"/>
    <w:rsid w:val="00A3432B"/>
    <w:rsid w:val="00A34C9D"/>
    <w:rsid w:val="00A34FB3"/>
    <w:rsid w:val="00A355C7"/>
    <w:rsid w:val="00A373F9"/>
    <w:rsid w:val="00A40556"/>
    <w:rsid w:val="00A40CF1"/>
    <w:rsid w:val="00A40E7D"/>
    <w:rsid w:val="00A4104C"/>
    <w:rsid w:val="00A411AC"/>
    <w:rsid w:val="00A415C0"/>
    <w:rsid w:val="00A4220E"/>
    <w:rsid w:val="00A4275C"/>
    <w:rsid w:val="00A42A99"/>
    <w:rsid w:val="00A43DC0"/>
    <w:rsid w:val="00A443AC"/>
    <w:rsid w:val="00A45A45"/>
    <w:rsid w:val="00A45DE3"/>
    <w:rsid w:val="00A4711E"/>
    <w:rsid w:val="00A4747D"/>
    <w:rsid w:val="00A5151A"/>
    <w:rsid w:val="00A519C4"/>
    <w:rsid w:val="00A52152"/>
    <w:rsid w:val="00A52D2C"/>
    <w:rsid w:val="00A53917"/>
    <w:rsid w:val="00A551BE"/>
    <w:rsid w:val="00A5534F"/>
    <w:rsid w:val="00A55D8A"/>
    <w:rsid w:val="00A56C34"/>
    <w:rsid w:val="00A574AF"/>
    <w:rsid w:val="00A57974"/>
    <w:rsid w:val="00A57D87"/>
    <w:rsid w:val="00A57E0A"/>
    <w:rsid w:val="00A61033"/>
    <w:rsid w:val="00A6149B"/>
    <w:rsid w:val="00A621FE"/>
    <w:rsid w:val="00A62278"/>
    <w:rsid w:val="00A6285B"/>
    <w:rsid w:val="00A6292F"/>
    <w:rsid w:val="00A62A31"/>
    <w:rsid w:val="00A62B21"/>
    <w:rsid w:val="00A63710"/>
    <w:rsid w:val="00A656C4"/>
    <w:rsid w:val="00A66253"/>
    <w:rsid w:val="00A66676"/>
    <w:rsid w:val="00A66F02"/>
    <w:rsid w:val="00A67B31"/>
    <w:rsid w:val="00A67CB0"/>
    <w:rsid w:val="00A7115B"/>
    <w:rsid w:val="00A71245"/>
    <w:rsid w:val="00A7286A"/>
    <w:rsid w:val="00A729FB"/>
    <w:rsid w:val="00A733C6"/>
    <w:rsid w:val="00A7410C"/>
    <w:rsid w:val="00A74F68"/>
    <w:rsid w:val="00A75DE5"/>
    <w:rsid w:val="00A76EF9"/>
    <w:rsid w:val="00A800CF"/>
    <w:rsid w:val="00A80733"/>
    <w:rsid w:val="00A818EE"/>
    <w:rsid w:val="00A81DC5"/>
    <w:rsid w:val="00A81E5A"/>
    <w:rsid w:val="00A823F6"/>
    <w:rsid w:val="00A829F8"/>
    <w:rsid w:val="00A84E24"/>
    <w:rsid w:val="00A87268"/>
    <w:rsid w:val="00A90185"/>
    <w:rsid w:val="00A920DC"/>
    <w:rsid w:val="00A92F58"/>
    <w:rsid w:val="00A937E3"/>
    <w:rsid w:val="00A953AD"/>
    <w:rsid w:val="00A95621"/>
    <w:rsid w:val="00A95DA1"/>
    <w:rsid w:val="00A96199"/>
    <w:rsid w:val="00A96229"/>
    <w:rsid w:val="00AA0157"/>
    <w:rsid w:val="00AA0A89"/>
    <w:rsid w:val="00AA0CB4"/>
    <w:rsid w:val="00AA13AD"/>
    <w:rsid w:val="00AA16A9"/>
    <w:rsid w:val="00AA1DE9"/>
    <w:rsid w:val="00AA2093"/>
    <w:rsid w:val="00AA2B4A"/>
    <w:rsid w:val="00AA4BA3"/>
    <w:rsid w:val="00AA5E7B"/>
    <w:rsid w:val="00AA5EB7"/>
    <w:rsid w:val="00AA6429"/>
    <w:rsid w:val="00AA6464"/>
    <w:rsid w:val="00AA7830"/>
    <w:rsid w:val="00AB1654"/>
    <w:rsid w:val="00AB19F9"/>
    <w:rsid w:val="00AB2AA9"/>
    <w:rsid w:val="00AB3C73"/>
    <w:rsid w:val="00AB6929"/>
    <w:rsid w:val="00AB7442"/>
    <w:rsid w:val="00AB747F"/>
    <w:rsid w:val="00AC01AA"/>
    <w:rsid w:val="00AC1C16"/>
    <w:rsid w:val="00AC4748"/>
    <w:rsid w:val="00AC4C53"/>
    <w:rsid w:val="00AC4F72"/>
    <w:rsid w:val="00AC6198"/>
    <w:rsid w:val="00AC6226"/>
    <w:rsid w:val="00AC68C8"/>
    <w:rsid w:val="00AC7B0C"/>
    <w:rsid w:val="00AC7D1C"/>
    <w:rsid w:val="00AD0082"/>
    <w:rsid w:val="00AD00B9"/>
    <w:rsid w:val="00AD325F"/>
    <w:rsid w:val="00AD3C25"/>
    <w:rsid w:val="00AD48E0"/>
    <w:rsid w:val="00AD4C2D"/>
    <w:rsid w:val="00AD4EAC"/>
    <w:rsid w:val="00AD5932"/>
    <w:rsid w:val="00AD5C16"/>
    <w:rsid w:val="00AD5ED7"/>
    <w:rsid w:val="00AD740D"/>
    <w:rsid w:val="00AE0F96"/>
    <w:rsid w:val="00AE1183"/>
    <w:rsid w:val="00AE1BB4"/>
    <w:rsid w:val="00AE2050"/>
    <w:rsid w:val="00AE2421"/>
    <w:rsid w:val="00AE36EC"/>
    <w:rsid w:val="00AE3E6A"/>
    <w:rsid w:val="00AE41A7"/>
    <w:rsid w:val="00AE4DC3"/>
    <w:rsid w:val="00AE5C88"/>
    <w:rsid w:val="00AF08A4"/>
    <w:rsid w:val="00AF105C"/>
    <w:rsid w:val="00AF2824"/>
    <w:rsid w:val="00AF2AA5"/>
    <w:rsid w:val="00AF3303"/>
    <w:rsid w:val="00AF40D6"/>
    <w:rsid w:val="00AF4291"/>
    <w:rsid w:val="00AF4EC6"/>
    <w:rsid w:val="00AF58BF"/>
    <w:rsid w:val="00AF5F12"/>
    <w:rsid w:val="00AF6749"/>
    <w:rsid w:val="00AF68B2"/>
    <w:rsid w:val="00AF6D51"/>
    <w:rsid w:val="00AF741A"/>
    <w:rsid w:val="00AF7623"/>
    <w:rsid w:val="00AF7792"/>
    <w:rsid w:val="00AF7D5D"/>
    <w:rsid w:val="00B015D8"/>
    <w:rsid w:val="00B01ADB"/>
    <w:rsid w:val="00B02B34"/>
    <w:rsid w:val="00B03716"/>
    <w:rsid w:val="00B03981"/>
    <w:rsid w:val="00B03CC0"/>
    <w:rsid w:val="00B04161"/>
    <w:rsid w:val="00B0489C"/>
    <w:rsid w:val="00B04D3B"/>
    <w:rsid w:val="00B056F9"/>
    <w:rsid w:val="00B05CA7"/>
    <w:rsid w:val="00B05E44"/>
    <w:rsid w:val="00B0604E"/>
    <w:rsid w:val="00B061E1"/>
    <w:rsid w:val="00B06817"/>
    <w:rsid w:val="00B06D2F"/>
    <w:rsid w:val="00B0765D"/>
    <w:rsid w:val="00B07CE5"/>
    <w:rsid w:val="00B11265"/>
    <w:rsid w:val="00B1153A"/>
    <w:rsid w:val="00B11E3D"/>
    <w:rsid w:val="00B11E84"/>
    <w:rsid w:val="00B13243"/>
    <w:rsid w:val="00B135B8"/>
    <w:rsid w:val="00B15CAA"/>
    <w:rsid w:val="00B15E4D"/>
    <w:rsid w:val="00B16F3F"/>
    <w:rsid w:val="00B17242"/>
    <w:rsid w:val="00B1798B"/>
    <w:rsid w:val="00B17E82"/>
    <w:rsid w:val="00B20FD7"/>
    <w:rsid w:val="00B231C9"/>
    <w:rsid w:val="00B24B5F"/>
    <w:rsid w:val="00B24C99"/>
    <w:rsid w:val="00B25621"/>
    <w:rsid w:val="00B25961"/>
    <w:rsid w:val="00B26644"/>
    <w:rsid w:val="00B267A2"/>
    <w:rsid w:val="00B26D4A"/>
    <w:rsid w:val="00B27249"/>
    <w:rsid w:val="00B27315"/>
    <w:rsid w:val="00B30C40"/>
    <w:rsid w:val="00B329AF"/>
    <w:rsid w:val="00B34A80"/>
    <w:rsid w:val="00B34BF2"/>
    <w:rsid w:val="00B34F5A"/>
    <w:rsid w:val="00B35172"/>
    <w:rsid w:val="00B351A0"/>
    <w:rsid w:val="00B35D5D"/>
    <w:rsid w:val="00B368DC"/>
    <w:rsid w:val="00B40BEB"/>
    <w:rsid w:val="00B41012"/>
    <w:rsid w:val="00B413EB"/>
    <w:rsid w:val="00B420C3"/>
    <w:rsid w:val="00B42993"/>
    <w:rsid w:val="00B43606"/>
    <w:rsid w:val="00B4377C"/>
    <w:rsid w:val="00B44A0A"/>
    <w:rsid w:val="00B45375"/>
    <w:rsid w:val="00B4575A"/>
    <w:rsid w:val="00B46B1D"/>
    <w:rsid w:val="00B47AB3"/>
    <w:rsid w:val="00B47C6D"/>
    <w:rsid w:val="00B502AD"/>
    <w:rsid w:val="00B536A4"/>
    <w:rsid w:val="00B53F7B"/>
    <w:rsid w:val="00B54B97"/>
    <w:rsid w:val="00B56055"/>
    <w:rsid w:val="00B575BA"/>
    <w:rsid w:val="00B57B01"/>
    <w:rsid w:val="00B57B07"/>
    <w:rsid w:val="00B57C8C"/>
    <w:rsid w:val="00B6088B"/>
    <w:rsid w:val="00B621A2"/>
    <w:rsid w:val="00B63424"/>
    <w:rsid w:val="00B6543C"/>
    <w:rsid w:val="00B6575C"/>
    <w:rsid w:val="00B6576D"/>
    <w:rsid w:val="00B65F4B"/>
    <w:rsid w:val="00B6607B"/>
    <w:rsid w:val="00B67235"/>
    <w:rsid w:val="00B6776A"/>
    <w:rsid w:val="00B70640"/>
    <w:rsid w:val="00B70961"/>
    <w:rsid w:val="00B726DF"/>
    <w:rsid w:val="00B72A68"/>
    <w:rsid w:val="00B72AB0"/>
    <w:rsid w:val="00B730D2"/>
    <w:rsid w:val="00B74A96"/>
    <w:rsid w:val="00B74FAF"/>
    <w:rsid w:val="00B74FD7"/>
    <w:rsid w:val="00B76429"/>
    <w:rsid w:val="00B77ACF"/>
    <w:rsid w:val="00B77E52"/>
    <w:rsid w:val="00B80195"/>
    <w:rsid w:val="00B803A4"/>
    <w:rsid w:val="00B80831"/>
    <w:rsid w:val="00B80E3C"/>
    <w:rsid w:val="00B81546"/>
    <w:rsid w:val="00B829CB"/>
    <w:rsid w:val="00B82DEA"/>
    <w:rsid w:val="00B85436"/>
    <w:rsid w:val="00B8575F"/>
    <w:rsid w:val="00B85A2F"/>
    <w:rsid w:val="00B8603F"/>
    <w:rsid w:val="00B8765D"/>
    <w:rsid w:val="00B87834"/>
    <w:rsid w:val="00B87A24"/>
    <w:rsid w:val="00B913BC"/>
    <w:rsid w:val="00B91B91"/>
    <w:rsid w:val="00B927BB"/>
    <w:rsid w:val="00B94C95"/>
    <w:rsid w:val="00B956D4"/>
    <w:rsid w:val="00B97446"/>
    <w:rsid w:val="00BA04D0"/>
    <w:rsid w:val="00BA08CA"/>
    <w:rsid w:val="00BA0BE0"/>
    <w:rsid w:val="00BA12CE"/>
    <w:rsid w:val="00BA3D69"/>
    <w:rsid w:val="00BA47D8"/>
    <w:rsid w:val="00BA57E0"/>
    <w:rsid w:val="00BA607D"/>
    <w:rsid w:val="00BA6361"/>
    <w:rsid w:val="00BA72D0"/>
    <w:rsid w:val="00BA7432"/>
    <w:rsid w:val="00BA7943"/>
    <w:rsid w:val="00BA7E86"/>
    <w:rsid w:val="00BB015E"/>
    <w:rsid w:val="00BB12AB"/>
    <w:rsid w:val="00BB18AB"/>
    <w:rsid w:val="00BB2774"/>
    <w:rsid w:val="00BB33F0"/>
    <w:rsid w:val="00BB3680"/>
    <w:rsid w:val="00BB390A"/>
    <w:rsid w:val="00BB3EDF"/>
    <w:rsid w:val="00BB460A"/>
    <w:rsid w:val="00BB4680"/>
    <w:rsid w:val="00BB5A03"/>
    <w:rsid w:val="00BB6399"/>
    <w:rsid w:val="00BB792E"/>
    <w:rsid w:val="00BC1AA0"/>
    <w:rsid w:val="00BC1C3A"/>
    <w:rsid w:val="00BC2107"/>
    <w:rsid w:val="00BC21D3"/>
    <w:rsid w:val="00BC2495"/>
    <w:rsid w:val="00BC2A6F"/>
    <w:rsid w:val="00BC3967"/>
    <w:rsid w:val="00BC4DF4"/>
    <w:rsid w:val="00BC6484"/>
    <w:rsid w:val="00BC7050"/>
    <w:rsid w:val="00BC7655"/>
    <w:rsid w:val="00BC7B0D"/>
    <w:rsid w:val="00BC7EB9"/>
    <w:rsid w:val="00BC7F88"/>
    <w:rsid w:val="00BD024E"/>
    <w:rsid w:val="00BD0408"/>
    <w:rsid w:val="00BD2643"/>
    <w:rsid w:val="00BD2D4A"/>
    <w:rsid w:val="00BD2E5B"/>
    <w:rsid w:val="00BD2E8C"/>
    <w:rsid w:val="00BD33C5"/>
    <w:rsid w:val="00BD3A0B"/>
    <w:rsid w:val="00BD49D5"/>
    <w:rsid w:val="00BD4BA0"/>
    <w:rsid w:val="00BD4DDC"/>
    <w:rsid w:val="00BD56B1"/>
    <w:rsid w:val="00BD5D5E"/>
    <w:rsid w:val="00BD6558"/>
    <w:rsid w:val="00BE2A63"/>
    <w:rsid w:val="00BE41BB"/>
    <w:rsid w:val="00BE47B5"/>
    <w:rsid w:val="00BE59BD"/>
    <w:rsid w:val="00BE68CA"/>
    <w:rsid w:val="00BF16DF"/>
    <w:rsid w:val="00BF1BA8"/>
    <w:rsid w:val="00BF23E3"/>
    <w:rsid w:val="00BF3214"/>
    <w:rsid w:val="00BF327A"/>
    <w:rsid w:val="00BF3685"/>
    <w:rsid w:val="00BF39D2"/>
    <w:rsid w:val="00BF3B4C"/>
    <w:rsid w:val="00BF3E8B"/>
    <w:rsid w:val="00BF44CE"/>
    <w:rsid w:val="00BF4E2A"/>
    <w:rsid w:val="00BF55C8"/>
    <w:rsid w:val="00BF6681"/>
    <w:rsid w:val="00C00E2A"/>
    <w:rsid w:val="00C011EF"/>
    <w:rsid w:val="00C01ABD"/>
    <w:rsid w:val="00C0278B"/>
    <w:rsid w:val="00C02DA5"/>
    <w:rsid w:val="00C0306F"/>
    <w:rsid w:val="00C0374D"/>
    <w:rsid w:val="00C03A26"/>
    <w:rsid w:val="00C03D5B"/>
    <w:rsid w:val="00C044A3"/>
    <w:rsid w:val="00C044FD"/>
    <w:rsid w:val="00C04DC0"/>
    <w:rsid w:val="00C0550B"/>
    <w:rsid w:val="00C05C51"/>
    <w:rsid w:val="00C06375"/>
    <w:rsid w:val="00C06A59"/>
    <w:rsid w:val="00C06D24"/>
    <w:rsid w:val="00C077CC"/>
    <w:rsid w:val="00C07C09"/>
    <w:rsid w:val="00C13CE5"/>
    <w:rsid w:val="00C13EC0"/>
    <w:rsid w:val="00C1485D"/>
    <w:rsid w:val="00C15857"/>
    <w:rsid w:val="00C15867"/>
    <w:rsid w:val="00C15E5D"/>
    <w:rsid w:val="00C15FA9"/>
    <w:rsid w:val="00C16BB2"/>
    <w:rsid w:val="00C17C15"/>
    <w:rsid w:val="00C20447"/>
    <w:rsid w:val="00C20A29"/>
    <w:rsid w:val="00C21A1D"/>
    <w:rsid w:val="00C21A67"/>
    <w:rsid w:val="00C22202"/>
    <w:rsid w:val="00C222C6"/>
    <w:rsid w:val="00C222EE"/>
    <w:rsid w:val="00C2296D"/>
    <w:rsid w:val="00C23155"/>
    <w:rsid w:val="00C2360C"/>
    <w:rsid w:val="00C23C37"/>
    <w:rsid w:val="00C2437B"/>
    <w:rsid w:val="00C249AD"/>
    <w:rsid w:val="00C25DEA"/>
    <w:rsid w:val="00C25EA3"/>
    <w:rsid w:val="00C260D9"/>
    <w:rsid w:val="00C279A0"/>
    <w:rsid w:val="00C279F9"/>
    <w:rsid w:val="00C3198D"/>
    <w:rsid w:val="00C32A9E"/>
    <w:rsid w:val="00C3362F"/>
    <w:rsid w:val="00C340C2"/>
    <w:rsid w:val="00C362AB"/>
    <w:rsid w:val="00C40662"/>
    <w:rsid w:val="00C4073A"/>
    <w:rsid w:val="00C40C41"/>
    <w:rsid w:val="00C41CBF"/>
    <w:rsid w:val="00C45885"/>
    <w:rsid w:val="00C46C1D"/>
    <w:rsid w:val="00C508D2"/>
    <w:rsid w:val="00C50F22"/>
    <w:rsid w:val="00C52346"/>
    <w:rsid w:val="00C52EFA"/>
    <w:rsid w:val="00C531A1"/>
    <w:rsid w:val="00C54404"/>
    <w:rsid w:val="00C54AD3"/>
    <w:rsid w:val="00C55166"/>
    <w:rsid w:val="00C570F8"/>
    <w:rsid w:val="00C575BD"/>
    <w:rsid w:val="00C575E2"/>
    <w:rsid w:val="00C57971"/>
    <w:rsid w:val="00C6102B"/>
    <w:rsid w:val="00C62A0B"/>
    <w:rsid w:val="00C62B94"/>
    <w:rsid w:val="00C63BA7"/>
    <w:rsid w:val="00C64374"/>
    <w:rsid w:val="00C649B7"/>
    <w:rsid w:val="00C649D1"/>
    <w:rsid w:val="00C666C4"/>
    <w:rsid w:val="00C6697C"/>
    <w:rsid w:val="00C66A26"/>
    <w:rsid w:val="00C67D0E"/>
    <w:rsid w:val="00C70772"/>
    <w:rsid w:val="00C7092B"/>
    <w:rsid w:val="00C7095E"/>
    <w:rsid w:val="00C70CA6"/>
    <w:rsid w:val="00C70D90"/>
    <w:rsid w:val="00C7118C"/>
    <w:rsid w:val="00C712DF"/>
    <w:rsid w:val="00C72B11"/>
    <w:rsid w:val="00C72D31"/>
    <w:rsid w:val="00C742AE"/>
    <w:rsid w:val="00C74940"/>
    <w:rsid w:val="00C74FD3"/>
    <w:rsid w:val="00C76032"/>
    <w:rsid w:val="00C76BA4"/>
    <w:rsid w:val="00C7772A"/>
    <w:rsid w:val="00C809A5"/>
    <w:rsid w:val="00C80BCE"/>
    <w:rsid w:val="00C81021"/>
    <w:rsid w:val="00C81705"/>
    <w:rsid w:val="00C81791"/>
    <w:rsid w:val="00C81DD1"/>
    <w:rsid w:val="00C83A48"/>
    <w:rsid w:val="00C83D6A"/>
    <w:rsid w:val="00C84153"/>
    <w:rsid w:val="00C84984"/>
    <w:rsid w:val="00C85865"/>
    <w:rsid w:val="00C85E85"/>
    <w:rsid w:val="00C8692A"/>
    <w:rsid w:val="00C8748A"/>
    <w:rsid w:val="00C87DB7"/>
    <w:rsid w:val="00C90A62"/>
    <w:rsid w:val="00C91130"/>
    <w:rsid w:val="00C92D31"/>
    <w:rsid w:val="00C933FF"/>
    <w:rsid w:val="00C93A87"/>
    <w:rsid w:val="00C94172"/>
    <w:rsid w:val="00C94654"/>
    <w:rsid w:val="00C94CCD"/>
    <w:rsid w:val="00C9503D"/>
    <w:rsid w:val="00C95370"/>
    <w:rsid w:val="00C95DEF"/>
    <w:rsid w:val="00C96069"/>
    <w:rsid w:val="00C967CA"/>
    <w:rsid w:val="00C96F60"/>
    <w:rsid w:val="00C971FF"/>
    <w:rsid w:val="00C97E38"/>
    <w:rsid w:val="00CA0CE2"/>
    <w:rsid w:val="00CA15CD"/>
    <w:rsid w:val="00CA2EAE"/>
    <w:rsid w:val="00CA4529"/>
    <w:rsid w:val="00CA48F9"/>
    <w:rsid w:val="00CA4AC1"/>
    <w:rsid w:val="00CA4DE6"/>
    <w:rsid w:val="00CA56B3"/>
    <w:rsid w:val="00CA62ED"/>
    <w:rsid w:val="00CA6670"/>
    <w:rsid w:val="00CA694E"/>
    <w:rsid w:val="00CB0316"/>
    <w:rsid w:val="00CB0B11"/>
    <w:rsid w:val="00CB2C77"/>
    <w:rsid w:val="00CB394B"/>
    <w:rsid w:val="00CB44E7"/>
    <w:rsid w:val="00CB4C41"/>
    <w:rsid w:val="00CB5155"/>
    <w:rsid w:val="00CB5285"/>
    <w:rsid w:val="00CB5354"/>
    <w:rsid w:val="00CB5C53"/>
    <w:rsid w:val="00CB5D9E"/>
    <w:rsid w:val="00CB6649"/>
    <w:rsid w:val="00CB69AB"/>
    <w:rsid w:val="00CB6F7C"/>
    <w:rsid w:val="00CB72A1"/>
    <w:rsid w:val="00CB76CC"/>
    <w:rsid w:val="00CC16EE"/>
    <w:rsid w:val="00CC27F6"/>
    <w:rsid w:val="00CC2BEA"/>
    <w:rsid w:val="00CC3074"/>
    <w:rsid w:val="00CC3696"/>
    <w:rsid w:val="00CC370E"/>
    <w:rsid w:val="00CC3BE7"/>
    <w:rsid w:val="00CC4100"/>
    <w:rsid w:val="00CC5085"/>
    <w:rsid w:val="00CC69DE"/>
    <w:rsid w:val="00CC6A14"/>
    <w:rsid w:val="00CC70A3"/>
    <w:rsid w:val="00CD0FC5"/>
    <w:rsid w:val="00CD114F"/>
    <w:rsid w:val="00CD1251"/>
    <w:rsid w:val="00CD148B"/>
    <w:rsid w:val="00CD1F64"/>
    <w:rsid w:val="00CD2576"/>
    <w:rsid w:val="00CD2A34"/>
    <w:rsid w:val="00CD2D11"/>
    <w:rsid w:val="00CD361A"/>
    <w:rsid w:val="00CD4442"/>
    <w:rsid w:val="00CD49F4"/>
    <w:rsid w:val="00CD4AF4"/>
    <w:rsid w:val="00CD53C3"/>
    <w:rsid w:val="00CD574E"/>
    <w:rsid w:val="00CD621F"/>
    <w:rsid w:val="00CD630E"/>
    <w:rsid w:val="00CD653B"/>
    <w:rsid w:val="00CE1E3C"/>
    <w:rsid w:val="00CE2205"/>
    <w:rsid w:val="00CE24E6"/>
    <w:rsid w:val="00CE2F7C"/>
    <w:rsid w:val="00CE30F8"/>
    <w:rsid w:val="00CE4250"/>
    <w:rsid w:val="00CE4C22"/>
    <w:rsid w:val="00CE6EE2"/>
    <w:rsid w:val="00CE725F"/>
    <w:rsid w:val="00CE793D"/>
    <w:rsid w:val="00CE7BB3"/>
    <w:rsid w:val="00CE7C58"/>
    <w:rsid w:val="00CF0135"/>
    <w:rsid w:val="00CF1AFA"/>
    <w:rsid w:val="00CF3B06"/>
    <w:rsid w:val="00CF41EC"/>
    <w:rsid w:val="00CF5084"/>
    <w:rsid w:val="00CF574A"/>
    <w:rsid w:val="00CF5D04"/>
    <w:rsid w:val="00CF66A0"/>
    <w:rsid w:val="00CF6EC3"/>
    <w:rsid w:val="00CF6F2B"/>
    <w:rsid w:val="00CF7F52"/>
    <w:rsid w:val="00D014F5"/>
    <w:rsid w:val="00D0167D"/>
    <w:rsid w:val="00D01B1D"/>
    <w:rsid w:val="00D01E49"/>
    <w:rsid w:val="00D04DE4"/>
    <w:rsid w:val="00D05498"/>
    <w:rsid w:val="00D05A7E"/>
    <w:rsid w:val="00D063F1"/>
    <w:rsid w:val="00D066D8"/>
    <w:rsid w:val="00D07006"/>
    <w:rsid w:val="00D07142"/>
    <w:rsid w:val="00D10895"/>
    <w:rsid w:val="00D1118B"/>
    <w:rsid w:val="00D12076"/>
    <w:rsid w:val="00D1244C"/>
    <w:rsid w:val="00D131CD"/>
    <w:rsid w:val="00D131E3"/>
    <w:rsid w:val="00D132BF"/>
    <w:rsid w:val="00D13E2F"/>
    <w:rsid w:val="00D14F22"/>
    <w:rsid w:val="00D155C0"/>
    <w:rsid w:val="00D17E32"/>
    <w:rsid w:val="00D17F7F"/>
    <w:rsid w:val="00D17FA1"/>
    <w:rsid w:val="00D206C2"/>
    <w:rsid w:val="00D212FF"/>
    <w:rsid w:val="00D21883"/>
    <w:rsid w:val="00D2242D"/>
    <w:rsid w:val="00D23348"/>
    <w:rsid w:val="00D30D72"/>
    <w:rsid w:val="00D312DF"/>
    <w:rsid w:val="00D318DA"/>
    <w:rsid w:val="00D32E6B"/>
    <w:rsid w:val="00D33D2C"/>
    <w:rsid w:val="00D34168"/>
    <w:rsid w:val="00D3433B"/>
    <w:rsid w:val="00D3486F"/>
    <w:rsid w:val="00D351C3"/>
    <w:rsid w:val="00D36DDC"/>
    <w:rsid w:val="00D37447"/>
    <w:rsid w:val="00D37690"/>
    <w:rsid w:val="00D376C2"/>
    <w:rsid w:val="00D3798F"/>
    <w:rsid w:val="00D40E7E"/>
    <w:rsid w:val="00D42305"/>
    <w:rsid w:val="00D42497"/>
    <w:rsid w:val="00D445D4"/>
    <w:rsid w:val="00D44E52"/>
    <w:rsid w:val="00D452AE"/>
    <w:rsid w:val="00D46323"/>
    <w:rsid w:val="00D46A2A"/>
    <w:rsid w:val="00D47880"/>
    <w:rsid w:val="00D509D4"/>
    <w:rsid w:val="00D531BA"/>
    <w:rsid w:val="00D54E65"/>
    <w:rsid w:val="00D55561"/>
    <w:rsid w:val="00D57918"/>
    <w:rsid w:val="00D57A75"/>
    <w:rsid w:val="00D57F9E"/>
    <w:rsid w:val="00D63765"/>
    <w:rsid w:val="00D63841"/>
    <w:rsid w:val="00D63990"/>
    <w:rsid w:val="00D6471A"/>
    <w:rsid w:val="00D64B72"/>
    <w:rsid w:val="00D65B7F"/>
    <w:rsid w:val="00D6623F"/>
    <w:rsid w:val="00D66EFD"/>
    <w:rsid w:val="00D67344"/>
    <w:rsid w:val="00D71461"/>
    <w:rsid w:val="00D7167D"/>
    <w:rsid w:val="00D72550"/>
    <w:rsid w:val="00D72ABC"/>
    <w:rsid w:val="00D735CA"/>
    <w:rsid w:val="00D735CB"/>
    <w:rsid w:val="00D73656"/>
    <w:rsid w:val="00D73DC6"/>
    <w:rsid w:val="00D74C1A"/>
    <w:rsid w:val="00D75235"/>
    <w:rsid w:val="00D754C1"/>
    <w:rsid w:val="00D75DDD"/>
    <w:rsid w:val="00D7722F"/>
    <w:rsid w:val="00D77A35"/>
    <w:rsid w:val="00D80605"/>
    <w:rsid w:val="00D80AF6"/>
    <w:rsid w:val="00D81B3E"/>
    <w:rsid w:val="00D81CBD"/>
    <w:rsid w:val="00D83378"/>
    <w:rsid w:val="00D84B9D"/>
    <w:rsid w:val="00D85C02"/>
    <w:rsid w:val="00D85C62"/>
    <w:rsid w:val="00D86735"/>
    <w:rsid w:val="00D8712E"/>
    <w:rsid w:val="00D90C70"/>
    <w:rsid w:val="00D90E49"/>
    <w:rsid w:val="00D910CC"/>
    <w:rsid w:val="00D91445"/>
    <w:rsid w:val="00D91D53"/>
    <w:rsid w:val="00D91DC6"/>
    <w:rsid w:val="00D926FE"/>
    <w:rsid w:val="00D94B67"/>
    <w:rsid w:val="00D94F3F"/>
    <w:rsid w:val="00D95DC7"/>
    <w:rsid w:val="00D9631C"/>
    <w:rsid w:val="00D96322"/>
    <w:rsid w:val="00D96B7E"/>
    <w:rsid w:val="00D96B9E"/>
    <w:rsid w:val="00D97DA9"/>
    <w:rsid w:val="00DA004C"/>
    <w:rsid w:val="00DA2791"/>
    <w:rsid w:val="00DA52D1"/>
    <w:rsid w:val="00DA5378"/>
    <w:rsid w:val="00DA5DB6"/>
    <w:rsid w:val="00DA5EA4"/>
    <w:rsid w:val="00DA62E6"/>
    <w:rsid w:val="00DA6510"/>
    <w:rsid w:val="00DA65A5"/>
    <w:rsid w:val="00DA72AC"/>
    <w:rsid w:val="00DA73B7"/>
    <w:rsid w:val="00DB03FD"/>
    <w:rsid w:val="00DB0A84"/>
    <w:rsid w:val="00DB0FF3"/>
    <w:rsid w:val="00DB1360"/>
    <w:rsid w:val="00DB15ED"/>
    <w:rsid w:val="00DB2035"/>
    <w:rsid w:val="00DB32A4"/>
    <w:rsid w:val="00DB3F72"/>
    <w:rsid w:val="00DB6207"/>
    <w:rsid w:val="00DB6666"/>
    <w:rsid w:val="00DB677E"/>
    <w:rsid w:val="00DB68DC"/>
    <w:rsid w:val="00DC01C3"/>
    <w:rsid w:val="00DC0D3E"/>
    <w:rsid w:val="00DC1F20"/>
    <w:rsid w:val="00DC20D4"/>
    <w:rsid w:val="00DC34C6"/>
    <w:rsid w:val="00DC41D6"/>
    <w:rsid w:val="00DC5584"/>
    <w:rsid w:val="00DC6925"/>
    <w:rsid w:val="00DC6A10"/>
    <w:rsid w:val="00DC70AF"/>
    <w:rsid w:val="00DC7D4E"/>
    <w:rsid w:val="00DC7FB5"/>
    <w:rsid w:val="00DC7FB8"/>
    <w:rsid w:val="00DD01A6"/>
    <w:rsid w:val="00DD0240"/>
    <w:rsid w:val="00DD04DC"/>
    <w:rsid w:val="00DD12A8"/>
    <w:rsid w:val="00DD2E24"/>
    <w:rsid w:val="00DD38D8"/>
    <w:rsid w:val="00DD3D01"/>
    <w:rsid w:val="00DD4E77"/>
    <w:rsid w:val="00DD4F6B"/>
    <w:rsid w:val="00DD53AB"/>
    <w:rsid w:val="00DD5ABC"/>
    <w:rsid w:val="00DD64DB"/>
    <w:rsid w:val="00DE0690"/>
    <w:rsid w:val="00DE1466"/>
    <w:rsid w:val="00DE152C"/>
    <w:rsid w:val="00DE16DA"/>
    <w:rsid w:val="00DE4689"/>
    <w:rsid w:val="00DE4B21"/>
    <w:rsid w:val="00DE4CBB"/>
    <w:rsid w:val="00DE57C3"/>
    <w:rsid w:val="00DE657E"/>
    <w:rsid w:val="00DE74E9"/>
    <w:rsid w:val="00DE793C"/>
    <w:rsid w:val="00DF0B8C"/>
    <w:rsid w:val="00DF1928"/>
    <w:rsid w:val="00DF1A8B"/>
    <w:rsid w:val="00DF24C1"/>
    <w:rsid w:val="00DF2C37"/>
    <w:rsid w:val="00DF38C3"/>
    <w:rsid w:val="00DF3B4A"/>
    <w:rsid w:val="00DF3D3C"/>
    <w:rsid w:val="00DF4704"/>
    <w:rsid w:val="00DF4B2E"/>
    <w:rsid w:val="00DF5040"/>
    <w:rsid w:val="00DF5D92"/>
    <w:rsid w:val="00DF706D"/>
    <w:rsid w:val="00E01A46"/>
    <w:rsid w:val="00E01AA8"/>
    <w:rsid w:val="00E01AEA"/>
    <w:rsid w:val="00E01FCD"/>
    <w:rsid w:val="00E024AA"/>
    <w:rsid w:val="00E03199"/>
    <w:rsid w:val="00E04377"/>
    <w:rsid w:val="00E07409"/>
    <w:rsid w:val="00E10BAC"/>
    <w:rsid w:val="00E12606"/>
    <w:rsid w:val="00E13B38"/>
    <w:rsid w:val="00E14613"/>
    <w:rsid w:val="00E1487E"/>
    <w:rsid w:val="00E17736"/>
    <w:rsid w:val="00E21E6A"/>
    <w:rsid w:val="00E227DD"/>
    <w:rsid w:val="00E24A38"/>
    <w:rsid w:val="00E250F1"/>
    <w:rsid w:val="00E2607B"/>
    <w:rsid w:val="00E26A00"/>
    <w:rsid w:val="00E27C84"/>
    <w:rsid w:val="00E30266"/>
    <w:rsid w:val="00E31388"/>
    <w:rsid w:val="00E31C8B"/>
    <w:rsid w:val="00E329AC"/>
    <w:rsid w:val="00E32A7E"/>
    <w:rsid w:val="00E33DC6"/>
    <w:rsid w:val="00E3550D"/>
    <w:rsid w:val="00E35743"/>
    <w:rsid w:val="00E4059B"/>
    <w:rsid w:val="00E40F6E"/>
    <w:rsid w:val="00E4165D"/>
    <w:rsid w:val="00E42E56"/>
    <w:rsid w:val="00E437D1"/>
    <w:rsid w:val="00E43C48"/>
    <w:rsid w:val="00E441E0"/>
    <w:rsid w:val="00E442D7"/>
    <w:rsid w:val="00E449FE"/>
    <w:rsid w:val="00E458A7"/>
    <w:rsid w:val="00E4651F"/>
    <w:rsid w:val="00E472E1"/>
    <w:rsid w:val="00E5057E"/>
    <w:rsid w:val="00E50B0B"/>
    <w:rsid w:val="00E52B90"/>
    <w:rsid w:val="00E52BCA"/>
    <w:rsid w:val="00E52CBB"/>
    <w:rsid w:val="00E53CAB"/>
    <w:rsid w:val="00E53FDB"/>
    <w:rsid w:val="00E544E7"/>
    <w:rsid w:val="00E54604"/>
    <w:rsid w:val="00E56EA2"/>
    <w:rsid w:val="00E60D2F"/>
    <w:rsid w:val="00E614E0"/>
    <w:rsid w:val="00E61D9D"/>
    <w:rsid w:val="00E66584"/>
    <w:rsid w:val="00E66A74"/>
    <w:rsid w:val="00E67A6B"/>
    <w:rsid w:val="00E70A9B"/>
    <w:rsid w:val="00E71153"/>
    <w:rsid w:val="00E72CBC"/>
    <w:rsid w:val="00E72F70"/>
    <w:rsid w:val="00E73013"/>
    <w:rsid w:val="00E730F2"/>
    <w:rsid w:val="00E73F7F"/>
    <w:rsid w:val="00E75003"/>
    <w:rsid w:val="00E75802"/>
    <w:rsid w:val="00E7669C"/>
    <w:rsid w:val="00E766E9"/>
    <w:rsid w:val="00E80CF6"/>
    <w:rsid w:val="00E80F49"/>
    <w:rsid w:val="00E81584"/>
    <w:rsid w:val="00E81E8B"/>
    <w:rsid w:val="00E826F3"/>
    <w:rsid w:val="00E8312D"/>
    <w:rsid w:val="00E84C53"/>
    <w:rsid w:val="00E85A2F"/>
    <w:rsid w:val="00E85EE4"/>
    <w:rsid w:val="00E865AA"/>
    <w:rsid w:val="00E86D4B"/>
    <w:rsid w:val="00E90773"/>
    <w:rsid w:val="00E91BAF"/>
    <w:rsid w:val="00E91E8E"/>
    <w:rsid w:val="00E925AA"/>
    <w:rsid w:val="00E929DF"/>
    <w:rsid w:val="00E92DA7"/>
    <w:rsid w:val="00E93EA6"/>
    <w:rsid w:val="00E9453D"/>
    <w:rsid w:val="00E94A0E"/>
    <w:rsid w:val="00E94B89"/>
    <w:rsid w:val="00E95A0F"/>
    <w:rsid w:val="00E95FA2"/>
    <w:rsid w:val="00E96E6A"/>
    <w:rsid w:val="00EA0911"/>
    <w:rsid w:val="00EA40A4"/>
    <w:rsid w:val="00EA429F"/>
    <w:rsid w:val="00EA4F9E"/>
    <w:rsid w:val="00EA5700"/>
    <w:rsid w:val="00EA63CA"/>
    <w:rsid w:val="00EA6469"/>
    <w:rsid w:val="00EA65F0"/>
    <w:rsid w:val="00EA6D3B"/>
    <w:rsid w:val="00EA723A"/>
    <w:rsid w:val="00EA7B44"/>
    <w:rsid w:val="00EA7DCC"/>
    <w:rsid w:val="00EB004A"/>
    <w:rsid w:val="00EB00AD"/>
    <w:rsid w:val="00EB0D0B"/>
    <w:rsid w:val="00EB136C"/>
    <w:rsid w:val="00EB1869"/>
    <w:rsid w:val="00EB1902"/>
    <w:rsid w:val="00EB1A37"/>
    <w:rsid w:val="00EB211B"/>
    <w:rsid w:val="00EB2EBA"/>
    <w:rsid w:val="00EB3020"/>
    <w:rsid w:val="00EB480E"/>
    <w:rsid w:val="00EB57A4"/>
    <w:rsid w:val="00EB5EC6"/>
    <w:rsid w:val="00EB61D2"/>
    <w:rsid w:val="00EB6B67"/>
    <w:rsid w:val="00EB6D1A"/>
    <w:rsid w:val="00EB74C5"/>
    <w:rsid w:val="00EB77C6"/>
    <w:rsid w:val="00EB7FC9"/>
    <w:rsid w:val="00EC127D"/>
    <w:rsid w:val="00EC1DF6"/>
    <w:rsid w:val="00EC31B8"/>
    <w:rsid w:val="00EC3BF6"/>
    <w:rsid w:val="00EC4019"/>
    <w:rsid w:val="00EC4B61"/>
    <w:rsid w:val="00EC5E11"/>
    <w:rsid w:val="00EC6D33"/>
    <w:rsid w:val="00EC796E"/>
    <w:rsid w:val="00ED0157"/>
    <w:rsid w:val="00ED098E"/>
    <w:rsid w:val="00ED1023"/>
    <w:rsid w:val="00ED27E8"/>
    <w:rsid w:val="00ED2BA0"/>
    <w:rsid w:val="00ED3605"/>
    <w:rsid w:val="00ED4E4C"/>
    <w:rsid w:val="00ED629E"/>
    <w:rsid w:val="00ED7137"/>
    <w:rsid w:val="00ED7D31"/>
    <w:rsid w:val="00EE1F96"/>
    <w:rsid w:val="00EE34E2"/>
    <w:rsid w:val="00EE3DD6"/>
    <w:rsid w:val="00EE57DD"/>
    <w:rsid w:val="00EE659A"/>
    <w:rsid w:val="00EE6695"/>
    <w:rsid w:val="00EE67F7"/>
    <w:rsid w:val="00EE7B44"/>
    <w:rsid w:val="00EF57F4"/>
    <w:rsid w:val="00EF65EE"/>
    <w:rsid w:val="00F00CB4"/>
    <w:rsid w:val="00F010AC"/>
    <w:rsid w:val="00F01996"/>
    <w:rsid w:val="00F02982"/>
    <w:rsid w:val="00F02B48"/>
    <w:rsid w:val="00F056C7"/>
    <w:rsid w:val="00F05936"/>
    <w:rsid w:val="00F0606F"/>
    <w:rsid w:val="00F10D89"/>
    <w:rsid w:val="00F111B1"/>
    <w:rsid w:val="00F11F58"/>
    <w:rsid w:val="00F13046"/>
    <w:rsid w:val="00F1367B"/>
    <w:rsid w:val="00F1407C"/>
    <w:rsid w:val="00F147A7"/>
    <w:rsid w:val="00F15453"/>
    <w:rsid w:val="00F1555B"/>
    <w:rsid w:val="00F159D3"/>
    <w:rsid w:val="00F15B73"/>
    <w:rsid w:val="00F15D60"/>
    <w:rsid w:val="00F15E8E"/>
    <w:rsid w:val="00F168AA"/>
    <w:rsid w:val="00F20B3A"/>
    <w:rsid w:val="00F21088"/>
    <w:rsid w:val="00F231FD"/>
    <w:rsid w:val="00F23F23"/>
    <w:rsid w:val="00F244FB"/>
    <w:rsid w:val="00F2523B"/>
    <w:rsid w:val="00F2554A"/>
    <w:rsid w:val="00F301C7"/>
    <w:rsid w:val="00F3046D"/>
    <w:rsid w:val="00F31D8D"/>
    <w:rsid w:val="00F327E7"/>
    <w:rsid w:val="00F32DDA"/>
    <w:rsid w:val="00F337DE"/>
    <w:rsid w:val="00F34FEA"/>
    <w:rsid w:val="00F35746"/>
    <w:rsid w:val="00F35A15"/>
    <w:rsid w:val="00F360C3"/>
    <w:rsid w:val="00F3650E"/>
    <w:rsid w:val="00F365D6"/>
    <w:rsid w:val="00F365E4"/>
    <w:rsid w:val="00F372A1"/>
    <w:rsid w:val="00F37597"/>
    <w:rsid w:val="00F400B7"/>
    <w:rsid w:val="00F40C63"/>
    <w:rsid w:val="00F42A3F"/>
    <w:rsid w:val="00F42F83"/>
    <w:rsid w:val="00F43539"/>
    <w:rsid w:val="00F447C7"/>
    <w:rsid w:val="00F45976"/>
    <w:rsid w:val="00F45EBF"/>
    <w:rsid w:val="00F47CB7"/>
    <w:rsid w:val="00F51BAE"/>
    <w:rsid w:val="00F520FE"/>
    <w:rsid w:val="00F52B1A"/>
    <w:rsid w:val="00F538F3"/>
    <w:rsid w:val="00F54ECC"/>
    <w:rsid w:val="00F55143"/>
    <w:rsid w:val="00F554A9"/>
    <w:rsid w:val="00F56A8C"/>
    <w:rsid w:val="00F61CF2"/>
    <w:rsid w:val="00F61E58"/>
    <w:rsid w:val="00F61F7E"/>
    <w:rsid w:val="00F62C8F"/>
    <w:rsid w:val="00F64BB1"/>
    <w:rsid w:val="00F64F31"/>
    <w:rsid w:val="00F66B00"/>
    <w:rsid w:val="00F67768"/>
    <w:rsid w:val="00F678AA"/>
    <w:rsid w:val="00F70EA3"/>
    <w:rsid w:val="00F7130F"/>
    <w:rsid w:val="00F716FD"/>
    <w:rsid w:val="00F720AA"/>
    <w:rsid w:val="00F72B3D"/>
    <w:rsid w:val="00F736B8"/>
    <w:rsid w:val="00F73A05"/>
    <w:rsid w:val="00F77264"/>
    <w:rsid w:val="00F80355"/>
    <w:rsid w:val="00F820B0"/>
    <w:rsid w:val="00F84170"/>
    <w:rsid w:val="00F84321"/>
    <w:rsid w:val="00F84CED"/>
    <w:rsid w:val="00F852D8"/>
    <w:rsid w:val="00F8582B"/>
    <w:rsid w:val="00F908F8"/>
    <w:rsid w:val="00F9092E"/>
    <w:rsid w:val="00F95145"/>
    <w:rsid w:val="00F96EE5"/>
    <w:rsid w:val="00F97564"/>
    <w:rsid w:val="00F979F3"/>
    <w:rsid w:val="00FA03EA"/>
    <w:rsid w:val="00FA0781"/>
    <w:rsid w:val="00FA165E"/>
    <w:rsid w:val="00FA1C76"/>
    <w:rsid w:val="00FA3837"/>
    <w:rsid w:val="00FA42EF"/>
    <w:rsid w:val="00FA5902"/>
    <w:rsid w:val="00FA5B7D"/>
    <w:rsid w:val="00FA61E3"/>
    <w:rsid w:val="00FA6BDA"/>
    <w:rsid w:val="00FA6D01"/>
    <w:rsid w:val="00FB084D"/>
    <w:rsid w:val="00FB0C81"/>
    <w:rsid w:val="00FB14C1"/>
    <w:rsid w:val="00FB32E3"/>
    <w:rsid w:val="00FB33AF"/>
    <w:rsid w:val="00FB3F9B"/>
    <w:rsid w:val="00FB444A"/>
    <w:rsid w:val="00FB50B9"/>
    <w:rsid w:val="00FB73CE"/>
    <w:rsid w:val="00FC0E58"/>
    <w:rsid w:val="00FC1014"/>
    <w:rsid w:val="00FC1A61"/>
    <w:rsid w:val="00FC1E15"/>
    <w:rsid w:val="00FC2200"/>
    <w:rsid w:val="00FC2540"/>
    <w:rsid w:val="00FC268D"/>
    <w:rsid w:val="00FC2A2D"/>
    <w:rsid w:val="00FC4152"/>
    <w:rsid w:val="00FC4306"/>
    <w:rsid w:val="00FC4790"/>
    <w:rsid w:val="00FC50C4"/>
    <w:rsid w:val="00FC5124"/>
    <w:rsid w:val="00FC624F"/>
    <w:rsid w:val="00FC6321"/>
    <w:rsid w:val="00FC7F47"/>
    <w:rsid w:val="00FD1AC6"/>
    <w:rsid w:val="00FD1CD6"/>
    <w:rsid w:val="00FD27B1"/>
    <w:rsid w:val="00FD2B71"/>
    <w:rsid w:val="00FD2F73"/>
    <w:rsid w:val="00FD38A6"/>
    <w:rsid w:val="00FD3EA7"/>
    <w:rsid w:val="00FD411E"/>
    <w:rsid w:val="00FD451E"/>
    <w:rsid w:val="00FD5640"/>
    <w:rsid w:val="00FD567E"/>
    <w:rsid w:val="00FD77E7"/>
    <w:rsid w:val="00FE0B43"/>
    <w:rsid w:val="00FE1373"/>
    <w:rsid w:val="00FE16F3"/>
    <w:rsid w:val="00FE1A87"/>
    <w:rsid w:val="00FE26E9"/>
    <w:rsid w:val="00FE2B11"/>
    <w:rsid w:val="00FE36B6"/>
    <w:rsid w:val="00FE39DB"/>
    <w:rsid w:val="00FE3D6B"/>
    <w:rsid w:val="00FF0204"/>
    <w:rsid w:val="00FF0241"/>
    <w:rsid w:val="00FF110F"/>
    <w:rsid w:val="00FF167B"/>
    <w:rsid w:val="00FF2AEB"/>
    <w:rsid w:val="00FF3AED"/>
    <w:rsid w:val="00FF4520"/>
    <w:rsid w:val="00FF5A4F"/>
    <w:rsid w:val="00FF6923"/>
    <w:rsid w:val="00FF6B77"/>
    <w:rsid w:val="00FF77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F111B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AF3303"/>
    <w:pPr>
      <w:widowControl w:val="0"/>
      <w:numPr>
        <w:ilvl w:val="1"/>
        <w:numId w:val="1"/>
      </w:numPr>
      <w:spacing w:after="240"/>
      <w:outlineLvl w:val="1"/>
    </w:pPr>
    <w:rPr>
      <w:color w:val="000000" w:themeColor="text1"/>
      <w:lang w:val="en-CA"/>
    </w:r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B4377C"/>
    <w:pPr>
      <w:numPr>
        <w:ilvl w:val="2"/>
        <w:numId w:val="1"/>
      </w:numPr>
      <w:spacing w:after="240"/>
      <w:outlineLvl w:val="2"/>
    </w:pPr>
    <w:rPr>
      <w:lang w:val="en-US"/>
    </w:rPr>
  </w:style>
  <w:style w:type="paragraph" w:styleId="Heading4">
    <w:name w:val="heading 4"/>
    <w:aliases w:val="Heading 11,para 4,Título 41,heading 4,Heading 41"/>
    <w:basedOn w:val="Normal"/>
    <w:next w:val="Heading9"/>
    <w:link w:val="Heading4Char"/>
    <w:qFormat/>
    <w:rsid w:val="00677D27"/>
    <w:pPr>
      <w:numPr>
        <w:ilvl w:val="3"/>
        <w:numId w:val="1"/>
      </w:numPr>
      <w:spacing w:after="24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F111B1"/>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AF3303"/>
    <w:rPr>
      <w:color w:val="000000" w:themeColor="text1"/>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B4377C"/>
    <w:rPr>
      <w:sz w:val="22"/>
      <w:szCs w:val="22"/>
    </w:rPr>
  </w:style>
  <w:style w:type="character" w:customStyle="1" w:styleId="0Heading0Char">
    <w:name w:val="0 Heading 0 Char"/>
    <w:link w:val="0Heading0"/>
    <w:rsid w:val="00824E52"/>
    <w:rPr>
      <w:sz w:val="22"/>
      <w:szCs w:val="22"/>
      <w:lang w:val="en-GB"/>
    </w:rPr>
  </w:style>
  <w:style w:type="character" w:styleId="FootnoteReference">
    <w:name w:val="footnote reference"/>
    <w:aliases w:val="16 Point,Superscript 6 Point,Footnote text,Footnote Text1,Footnote Text2"/>
    <w:uiPriority w:val="99"/>
    <w:rsid w:val="00824E52"/>
    <w:rPr>
      <w:vertAlign w:val="superscript"/>
    </w:rPr>
  </w:style>
  <w:style w:type="paragraph" w:styleId="FootnoteText">
    <w:name w:val="footnote text"/>
    <w:aliases w:val=" Char1, Char1 Char Char,Fußnotentextf,Char1,Char1 Char Char"/>
    <w:basedOn w:val="Normal"/>
    <w:link w:val="FootnoteTextChar"/>
    <w:uiPriority w:val="99"/>
    <w:qFormat/>
    <w:rsid w:val="00824E52"/>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824E52"/>
    <w:rPr>
      <w:snapToGrid w:val="0"/>
      <w:szCs w:val="24"/>
      <w:lang w:val="en-GB"/>
    </w:rPr>
  </w:style>
  <w:style w:type="character" w:customStyle="1" w:styleId="Heading3Char3CharCharChar">
    <w:name w:val="Heading 3 Char3 Char Char Char"/>
    <w:basedOn w:val="DefaultParagraphFont"/>
    <w:rsid w:val="00824E52"/>
    <w:rPr>
      <w:sz w:val="22"/>
      <w:szCs w:val="22"/>
      <w:lang w:val="en-GB" w:eastAsia="en-US" w:bidi="ar-SA"/>
    </w:rPr>
  </w:style>
  <w:style w:type="paragraph" w:styleId="EndnoteText">
    <w:name w:val="endnote text"/>
    <w:basedOn w:val="Normal"/>
    <w:link w:val="EndnoteTextChar"/>
    <w:uiPriority w:val="99"/>
    <w:semiHidden/>
    <w:unhideWhenUsed/>
    <w:rsid w:val="00AA5E7B"/>
    <w:rPr>
      <w:sz w:val="20"/>
      <w:szCs w:val="20"/>
    </w:rPr>
  </w:style>
  <w:style w:type="character" w:customStyle="1" w:styleId="EndnoteTextChar">
    <w:name w:val="Endnote Text Char"/>
    <w:basedOn w:val="DefaultParagraphFont"/>
    <w:link w:val="EndnoteText"/>
    <w:uiPriority w:val="99"/>
    <w:semiHidden/>
    <w:rsid w:val="00AA5E7B"/>
    <w:rPr>
      <w:lang w:val="en-GB"/>
    </w:rPr>
  </w:style>
  <w:style w:type="character" w:styleId="EndnoteReference">
    <w:name w:val="endnote reference"/>
    <w:basedOn w:val="DefaultParagraphFont"/>
    <w:uiPriority w:val="99"/>
    <w:semiHidden/>
    <w:unhideWhenUsed/>
    <w:rsid w:val="00AA5E7B"/>
    <w:rPr>
      <w:vertAlign w:val="superscript"/>
    </w:rPr>
  </w:style>
  <w:style w:type="paragraph" w:styleId="ListParagraph">
    <w:name w:val="List Paragraph"/>
    <w:basedOn w:val="Normal"/>
    <w:uiPriority w:val="34"/>
    <w:qFormat/>
    <w:rsid w:val="00184D4D"/>
    <w:pPr>
      <w:ind w:left="720"/>
      <w:contextualSpacing/>
    </w:pPr>
    <w:rPr>
      <w:lang w:val="en-US"/>
    </w:rPr>
  </w:style>
  <w:style w:type="paragraph" w:styleId="BodyTextIndent">
    <w:name w:val="Body Text Indent"/>
    <w:basedOn w:val="Normal"/>
    <w:link w:val="BodyTextIndentChar"/>
    <w:semiHidden/>
    <w:rsid w:val="00CC3BE7"/>
    <w:pPr>
      <w:spacing w:after="120"/>
      <w:ind w:left="360"/>
    </w:pPr>
    <w:rPr>
      <w:szCs w:val="20"/>
    </w:rPr>
  </w:style>
  <w:style w:type="character" w:customStyle="1" w:styleId="BodyTextIndentChar">
    <w:name w:val="Body Text Indent Char"/>
    <w:basedOn w:val="DefaultParagraphFont"/>
    <w:link w:val="BodyTextIndent"/>
    <w:semiHidden/>
    <w:rsid w:val="00CC3BE7"/>
    <w:rPr>
      <w:sz w:val="22"/>
      <w:lang w:val="en-GB"/>
    </w:rPr>
  </w:style>
  <w:style w:type="paragraph" w:styleId="ListBullet">
    <w:name w:val="List Bullet"/>
    <w:basedOn w:val="Normal"/>
    <w:autoRedefine/>
    <w:semiHidden/>
    <w:rsid w:val="004D634F"/>
    <w:pPr>
      <w:tabs>
        <w:tab w:val="num" w:pos="360"/>
      </w:tabs>
      <w:ind w:left="360" w:hanging="360"/>
    </w:pPr>
  </w:style>
  <w:style w:type="character" w:customStyle="1" w:styleId="FooterChar">
    <w:name w:val="Footer Char"/>
    <w:basedOn w:val="DefaultParagraphFont"/>
    <w:link w:val="Footer"/>
    <w:uiPriority w:val="99"/>
    <w:rsid w:val="00290137"/>
    <w:rPr>
      <w:sz w:val="22"/>
      <w:szCs w:val="22"/>
      <w:lang w:val="en-GB"/>
    </w:rPr>
  </w:style>
  <w:style w:type="character" w:customStyle="1" w:styleId="hps">
    <w:name w:val="hps"/>
    <w:basedOn w:val="DefaultParagraphFont"/>
    <w:rsid w:val="00290137"/>
  </w:style>
  <w:style w:type="character" w:customStyle="1" w:styleId="HeaderChar">
    <w:name w:val="Header Char"/>
    <w:basedOn w:val="DefaultParagraphFont"/>
    <w:link w:val="Header"/>
    <w:uiPriority w:val="99"/>
    <w:rsid w:val="008F531F"/>
    <w:rPr>
      <w:sz w:val="22"/>
      <w:szCs w:val="22"/>
      <w:lang w:val="en-GB"/>
    </w:rPr>
  </w:style>
  <w:style w:type="paragraph" w:styleId="BodyText">
    <w:name w:val="Body Text"/>
    <w:basedOn w:val="Normal"/>
    <w:link w:val="BodyTextChar"/>
    <w:uiPriority w:val="1"/>
    <w:unhideWhenUsed/>
    <w:qFormat/>
    <w:rsid w:val="0023746A"/>
    <w:pPr>
      <w:spacing w:after="120"/>
    </w:pPr>
  </w:style>
  <w:style w:type="character" w:customStyle="1" w:styleId="BodyTextChar">
    <w:name w:val="Body Text Char"/>
    <w:basedOn w:val="DefaultParagraphFont"/>
    <w:link w:val="BodyText"/>
    <w:uiPriority w:val="1"/>
    <w:rsid w:val="0023746A"/>
    <w:rPr>
      <w:sz w:val="22"/>
      <w:szCs w:val="22"/>
      <w:lang w:val="en-GB"/>
    </w:rPr>
  </w:style>
  <w:style w:type="paragraph" w:customStyle="1" w:styleId="CH1">
    <w:name w:val="CH1"/>
    <w:basedOn w:val="Normal"/>
    <w:next w:val="Normal"/>
    <w:link w:val="CH1Char"/>
    <w:rsid w:val="005D2D4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5D2D47"/>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5D2D47"/>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character" w:styleId="Hyperlink">
    <w:name w:val="Hyperlink"/>
    <w:uiPriority w:val="99"/>
    <w:rsid w:val="005D2D47"/>
    <w:rPr>
      <w:rFonts w:ascii="Times New Roman" w:hAnsi="Times New Roman"/>
      <w:color w:val="auto"/>
      <w:sz w:val="20"/>
      <w:szCs w:val="20"/>
      <w:u w:val="none"/>
      <w:lang w:val="fr-FR"/>
    </w:rPr>
  </w:style>
  <w:style w:type="numbering" w:customStyle="1" w:styleId="Normallist">
    <w:name w:val="Normal_list"/>
    <w:basedOn w:val="NoList"/>
    <w:rsid w:val="005D2D47"/>
    <w:pPr>
      <w:numPr>
        <w:numId w:val="7"/>
      </w:numPr>
    </w:pPr>
  </w:style>
  <w:style w:type="paragraph" w:customStyle="1" w:styleId="NormalNonumber">
    <w:name w:val="Normal_No_number"/>
    <w:basedOn w:val="Normal"/>
    <w:link w:val="NormalNonumberChar"/>
    <w:autoRedefine/>
    <w:rsid w:val="005D2D47"/>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5D2D47"/>
    <w:pPr>
      <w:numPr>
        <w:numId w:val="8"/>
      </w:numPr>
      <w:spacing w:after="120"/>
      <w:jc w:val="left"/>
    </w:pPr>
    <w:rPr>
      <w:sz w:val="20"/>
      <w:szCs w:val="20"/>
      <w:lang w:val="en-US"/>
    </w:rPr>
  </w:style>
  <w:style w:type="table" w:customStyle="1" w:styleId="Tabledocright">
    <w:name w:val="Table_doc_right"/>
    <w:basedOn w:val="TableNormal"/>
    <w:rsid w:val="005D2D47"/>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5D2D47"/>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5D2D47"/>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5D2D47"/>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5D2D47"/>
    <w:rPr>
      <w:b/>
      <w:sz w:val="28"/>
      <w:szCs w:val="28"/>
      <w:lang w:val="fr-FR"/>
    </w:rPr>
  </w:style>
  <w:style w:type="character" w:customStyle="1" w:styleId="NormalnumberChar">
    <w:name w:val="Normal_number Char"/>
    <w:link w:val="Normalnumber"/>
    <w:locked/>
    <w:rsid w:val="005D2D47"/>
  </w:style>
  <w:style w:type="character" w:customStyle="1" w:styleId="CH2Char">
    <w:name w:val="CH2 Char"/>
    <w:link w:val="CH2"/>
    <w:locked/>
    <w:rsid w:val="005D2D47"/>
    <w:rPr>
      <w:b/>
      <w:sz w:val="24"/>
      <w:szCs w:val="24"/>
      <w:lang w:val="fr-FR"/>
    </w:rPr>
  </w:style>
  <w:style w:type="character" w:customStyle="1" w:styleId="NormalNonumberChar">
    <w:name w:val="Normal_No_number Char"/>
    <w:link w:val="NormalNonumber"/>
    <w:locked/>
    <w:rsid w:val="005D2D47"/>
    <w:rPr>
      <w:lang w:val="en-GB"/>
    </w:rPr>
  </w:style>
  <w:style w:type="numbering" w:customStyle="1" w:styleId="List0">
    <w:name w:val="List 0"/>
    <w:basedOn w:val="NoList"/>
    <w:rsid w:val="005D2D47"/>
    <w:pPr>
      <w:numPr>
        <w:numId w:val="9"/>
      </w:numPr>
    </w:pPr>
  </w:style>
  <w:style w:type="character" w:customStyle="1" w:styleId="tgc">
    <w:name w:val="_tgc"/>
    <w:basedOn w:val="DefaultParagraphFont"/>
    <w:rsid w:val="006052EB"/>
  </w:style>
  <w:style w:type="character" w:styleId="FollowedHyperlink">
    <w:name w:val="FollowedHyperlink"/>
    <w:basedOn w:val="DefaultParagraphFont"/>
    <w:semiHidden/>
    <w:unhideWhenUsed/>
    <w:rsid w:val="002A2CB6"/>
    <w:rPr>
      <w:color w:val="800080"/>
      <w:u w:val="single"/>
    </w:rPr>
  </w:style>
  <w:style w:type="paragraph" w:customStyle="1" w:styleId="xl64">
    <w:name w:val="xl64"/>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styleId="NormalWeb">
    <w:name w:val="Normal (Web)"/>
    <w:basedOn w:val="Normal"/>
    <w:uiPriority w:val="99"/>
    <w:unhideWhenUsed/>
    <w:rsid w:val="008F263D"/>
    <w:pPr>
      <w:spacing w:after="240"/>
      <w:jc w:val="left"/>
    </w:pPr>
    <w:rPr>
      <w:sz w:val="24"/>
      <w:szCs w:val="24"/>
      <w:lang w:val="en-US"/>
    </w:rPr>
  </w:style>
  <w:style w:type="paragraph" w:customStyle="1" w:styleId="Default">
    <w:name w:val="Default"/>
    <w:rsid w:val="008F263D"/>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F263D"/>
    <w:pPr>
      <w:spacing w:line="241" w:lineRule="atLeast"/>
    </w:pPr>
    <w:rPr>
      <w:rFonts w:cstheme="minorBidi"/>
      <w:color w:val="auto"/>
    </w:rPr>
  </w:style>
  <w:style w:type="character" w:customStyle="1" w:styleId="A0">
    <w:name w:val="A0"/>
    <w:uiPriority w:val="99"/>
    <w:rsid w:val="008F263D"/>
    <w:rPr>
      <w:rFonts w:cs="Merriweather Light"/>
      <w:color w:val="4C4F50"/>
      <w:sz w:val="16"/>
      <w:szCs w:val="16"/>
    </w:rPr>
  </w:style>
  <w:style w:type="character" w:customStyle="1" w:styleId="apple-converted-space">
    <w:name w:val="apple-converted-space"/>
    <w:basedOn w:val="DefaultParagraphFont"/>
    <w:rsid w:val="008F263D"/>
  </w:style>
  <w:style w:type="character" w:customStyle="1" w:styleId="Heading5Char">
    <w:name w:val="Heading 5 Char"/>
    <w:basedOn w:val="DefaultParagraphFont"/>
    <w:link w:val="Heading5"/>
    <w:rsid w:val="008F263D"/>
    <w:rPr>
      <w:sz w:val="22"/>
      <w:szCs w:val="22"/>
      <w:lang w:val="en-GB"/>
    </w:rPr>
  </w:style>
  <w:style w:type="paragraph" w:styleId="BodyTextIndent2">
    <w:name w:val="Body Text Indent 2"/>
    <w:basedOn w:val="Normal"/>
    <w:link w:val="BodyTextIndent2Char"/>
    <w:semiHidden/>
    <w:unhideWhenUsed/>
    <w:rsid w:val="002F5353"/>
    <w:pPr>
      <w:spacing w:after="120" w:line="480" w:lineRule="auto"/>
      <w:ind w:left="360"/>
    </w:pPr>
  </w:style>
  <w:style w:type="character" w:customStyle="1" w:styleId="BodyTextIndent2Char">
    <w:name w:val="Body Text Indent 2 Char"/>
    <w:basedOn w:val="DefaultParagraphFont"/>
    <w:link w:val="BodyTextIndent2"/>
    <w:semiHidden/>
    <w:rsid w:val="002F5353"/>
    <w:rPr>
      <w:sz w:val="22"/>
      <w:szCs w:val="22"/>
      <w:lang w:val="en-GB"/>
    </w:rPr>
  </w:style>
  <w:style w:type="paragraph" w:customStyle="1" w:styleId="p7">
    <w:name w:val="p7"/>
    <w:basedOn w:val="Normal"/>
    <w:rsid w:val="002F5353"/>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2F5353"/>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A4275C"/>
    <w:pPr>
      <w:spacing w:after="240" w:line="360" w:lineRule="auto"/>
      <w:ind w:left="1440" w:hanging="720"/>
      <w:jc w:val="left"/>
    </w:pPr>
    <w:rPr>
      <w:sz w:val="24"/>
      <w:szCs w:val="24"/>
      <w:lang w:val="en-US"/>
    </w:rPr>
  </w:style>
  <w:style w:type="paragraph" w:customStyle="1" w:styleId="Normalpool">
    <w:name w:val="Normal_pool"/>
    <w:link w:val="NormalpoolChar"/>
    <w:rsid w:val="004F099D"/>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4F099D"/>
    <w:rPr>
      <w:lang w:val="fr-FR"/>
    </w:rPr>
  </w:style>
  <w:style w:type="character" w:customStyle="1" w:styleId="CH3Char">
    <w:name w:val="CH3 Char"/>
    <w:link w:val="CH3"/>
    <w:rsid w:val="00E43C48"/>
    <w:rPr>
      <w:b/>
      <w:lang w:val="fr-FR"/>
    </w:rPr>
  </w:style>
  <w:style w:type="character" w:customStyle="1" w:styleId="Normal-poolChar">
    <w:name w:val="Normal-pool Char"/>
    <w:link w:val="Normal-pool"/>
    <w:locked/>
    <w:rsid w:val="00E43C48"/>
    <w:rPr>
      <w:lang w:val="en-GB"/>
    </w:rPr>
  </w:style>
  <w:style w:type="paragraph" w:customStyle="1" w:styleId="CH4">
    <w:name w:val="CH4"/>
    <w:basedOn w:val="Normalpool"/>
    <w:next w:val="Normalnumber"/>
    <w:rsid w:val="0071733A"/>
    <w:pPr>
      <w:keepNext/>
      <w:keepLines/>
      <w:tabs>
        <w:tab w:val="right" w:pos="851"/>
      </w:tabs>
      <w:suppressAutoHyphens/>
      <w:spacing w:after="120"/>
      <w:ind w:left="1247" w:right="284" w:hanging="1247"/>
    </w:pPr>
    <w:rPr>
      <w:b/>
      <w:lang w:val="en-GB"/>
    </w:rPr>
  </w:style>
  <w:style w:type="character" w:customStyle="1" w:styleId="Hyperlink0">
    <w:name w:val="Hyperlink.0"/>
    <w:rsid w:val="0071733A"/>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1A5F17"/>
    <w:pPr>
      <w:numPr>
        <w:numId w:val="0"/>
      </w:numPr>
      <w:tabs>
        <w:tab w:val="num" w:pos="0"/>
      </w:tabs>
      <w:spacing w:after="120"/>
    </w:pPr>
    <w:rPr>
      <w:rFonts w:asciiTheme="minorHAnsi" w:hAnsiTheme="minorHAnsi"/>
      <w:bCs/>
      <w:sz w:val="24"/>
      <w:szCs w:val="24"/>
    </w:rPr>
  </w:style>
  <w:style w:type="character" w:customStyle="1" w:styleId="Heading4Char">
    <w:name w:val="Heading 4 Char"/>
    <w:aliases w:val="Heading 11 Char,para 4 Char,Título 41 Char,heading 4 Char,Heading 41 Char"/>
    <w:basedOn w:val="DefaultParagraphFont"/>
    <w:link w:val="Heading4"/>
    <w:rsid w:val="003717E3"/>
    <w:rPr>
      <w:sz w:val="22"/>
      <w:szCs w:val="22"/>
      <w:lang w:val="en-GB"/>
    </w:rPr>
  </w:style>
  <w:style w:type="character" w:customStyle="1" w:styleId="Heading6Char">
    <w:name w:val="Heading 6 Char"/>
    <w:basedOn w:val="DefaultParagraphFont"/>
    <w:link w:val="Heading6"/>
    <w:rsid w:val="003717E3"/>
    <w:rPr>
      <w:rFonts w:ascii="Arial" w:hAnsi="Arial"/>
      <w:i/>
      <w:sz w:val="22"/>
      <w:szCs w:val="22"/>
      <w:lang w:val="en-GB"/>
    </w:rPr>
  </w:style>
  <w:style w:type="character" w:customStyle="1" w:styleId="Heading7Char">
    <w:name w:val="Heading 7 Char"/>
    <w:basedOn w:val="DefaultParagraphFont"/>
    <w:link w:val="Heading7"/>
    <w:rsid w:val="003717E3"/>
    <w:rPr>
      <w:rFonts w:ascii="Arial" w:hAnsi="Arial"/>
      <w:sz w:val="22"/>
      <w:szCs w:val="22"/>
      <w:lang w:val="en-GB"/>
    </w:rPr>
  </w:style>
  <w:style w:type="character" w:customStyle="1" w:styleId="Heading8Char">
    <w:name w:val="Heading 8 Char"/>
    <w:basedOn w:val="DefaultParagraphFont"/>
    <w:link w:val="Heading8"/>
    <w:uiPriority w:val="9"/>
    <w:rsid w:val="003717E3"/>
    <w:rPr>
      <w:b/>
      <w:sz w:val="22"/>
      <w:szCs w:val="22"/>
      <w:lang w:val="en-GB"/>
    </w:rPr>
  </w:style>
  <w:style w:type="character" w:customStyle="1" w:styleId="Heading9Char">
    <w:name w:val="Heading 9 Char"/>
    <w:basedOn w:val="DefaultParagraphFont"/>
    <w:link w:val="Heading9"/>
    <w:rsid w:val="003717E3"/>
    <w:rPr>
      <w:rFonts w:ascii="Arial" w:hAnsi="Arial"/>
      <w:i/>
      <w:sz w:val="18"/>
      <w:szCs w:val="22"/>
      <w:lang w:val="en-GB"/>
    </w:rPr>
  </w:style>
  <w:style w:type="numbering" w:customStyle="1" w:styleId="1111111">
    <w:name w:val="1 / 1.1 / 1.1.11"/>
    <w:basedOn w:val="NoList"/>
    <w:next w:val="111111"/>
    <w:semiHidden/>
    <w:rsid w:val="003717E3"/>
    <w:pPr>
      <w:numPr>
        <w:numId w:val="10"/>
      </w:numPr>
    </w:pPr>
  </w:style>
  <w:style w:type="character" w:styleId="PageNumber">
    <w:name w:val="page number"/>
    <w:basedOn w:val="DefaultParagraphFont"/>
    <w:rsid w:val="003717E3"/>
    <w:rPr>
      <w:sz w:val="22"/>
      <w:szCs w:val="22"/>
    </w:rPr>
  </w:style>
  <w:style w:type="numbering" w:customStyle="1" w:styleId="1ai1">
    <w:name w:val="1 / a / i1"/>
    <w:basedOn w:val="NoList"/>
    <w:next w:val="1ai"/>
    <w:semiHidden/>
    <w:rsid w:val="003717E3"/>
    <w:pPr>
      <w:numPr>
        <w:numId w:val="11"/>
      </w:numPr>
    </w:pPr>
  </w:style>
  <w:style w:type="numbering" w:customStyle="1" w:styleId="ArticleSection1">
    <w:name w:val="Article / Section1"/>
    <w:basedOn w:val="NoList"/>
    <w:next w:val="ArticleSection"/>
    <w:semiHidden/>
    <w:rsid w:val="003717E3"/>
    <w:pPr>
      <w:numPr>
        <w:numId w:val="12"/>
      </w:numPr>
    </w:pPr>
  </w:style>
  <w:style w:type="paragraph" w:styleId="BodyText2">
    <w:name w:val="Body Text 2"/>
    <w:basedOn w:val="Normal"/>
    <w:link w:val="BodyText2Char"/>
    <w:semiHidden/>
    <w:rsid w:val="003717E3"/>
    <w:pPr>
      <w:spacing w:after="120" w:line="480" w:lineRule="auto"/>
    </w:pPr>
  </w:style>
  <w:style w:type="character" w:customStyle="1" w:styleId="BodyText2Char">
    <w:name w:val="Body Text 2 Char"/>
    <w:basedOn w:val="DefaultParagraphFont"/>
    <w:link w:val="BodyText2"/>
    <w:semiHidden/>
    <w:rsid w:val="003717E3"/>
    <w:rPr>
      <w:sz w:val="22"/>
      <w:szCs w:val="22"/>
      <w:lang w:val="en-GB"/>
    </w:rPr>
  </w:style>
  <w:style w:type="character" w:customStyle="1" w:styleId="BodyText3Char">
    <w:name w:val="Body Text 3 Char"/>
    <w:basedOn w:val="DefaultParagraphFont"/>
    <w:link w:val="BodyText3"/>
    <w:semiHidden/>
    <w:rsid w:val="003717E3"/>
    <w:rPr>
      <w:sz w:val="16"/>
      <w:szCs w:val="16"/>
      <w:lang w:val="en-GB"/>
    </w:rPr>
  </w:style>
  <w:style w:type="paragraph" w:styleId="BodyTextFirstIndent">
    <w:name w:val="Body Text First Indent"/>
    <w:basedOn w:val="BodyText"/>
    <w:link w:val="BodyTextFirstIndentChar"/>
    <w:semiHidden/>
    <w:rsid w:val="003717E3"/>
    <w:pPr>
      <w:ind w:firstLine="210"/>
    </w:pPr>
  </w:style>
  <w:style w:type="character" w:customStyle="1" w:styleId="BodyTextFirstIndentChar">
    <w:name w:val="Body Text First Indent Char"/>
    <w:basedOn w:val="BodyTextChar"/>
    <w:link w:val="BodyTextFirstIndent"/>
    <w:semiHidden/>
    <w:rsid w:val="003717E3"/>
    <w:rPr>
      <w:sz w:val="22"/>
      <w:szCs w:val="22"/>
      <w:lang w:val="en-GB"/>
    </w:rPr>
  </w:style>
  <w:style w:type="paragraph" w:styleId="BodyTextFirstIndent2">
    <w:name w:val="Body Text First Indent 2"/>
    <w:basedOn w:val="BodyTextIndent"/>
    <w:link w:val="BodyTextFirstIndent2Char"/>
    <w:semiHidden/>
    <w:rsid w:val="003717E3"/>
    <w:pPr>
      <w:ind w:firstLine="210"/>
    </w:pPr>
    <w:rPr>
      <w:szCs w:val="22"/>
    </w:rPr>
  </w:style>
  <w:style w:type="character" w:customStyle="1" w:styleId="BodyTextFirstIndent2Char">
    <w:name w:val="Body Text First Indent 2 Char"/>
    <w:basedOn w:val="BodyTextIndentChar"/>
    <w:link w:val="BodyTextFirstIndent2"/>
    <w:semiHidden/>
    <w:rsid w:val="003717E3"/>
    <w:rPr>
      <w:sz w:val="22"/>
      <w:szCs w:val="22"/>
      <w:lang w:val="en-GB"/>
    </w:rPr>
  </w:style>
  <w:style w:type="character" w:customStyle="1" w:styleId="BodyTextIndent3Char">
    <w:name w:val="Body Text Indent 3 Char"/>
    <w:basedOn w:val="DefaultParagraphFont"/>
    <w:link w:val="BodyTextIndent3"/>
    <w:semiHidden/>
    <w:rsid w:val="003717E3"/>
    <w:rPr>
      <w:sz w:val="16"/>
      <w:szCs w:val="16"/>
      <w:lang w:val="en-GB"/>
    </w:rPr>
  </w:style>
  <w:style w:type="paragraph" w:styleId="Closing">
    <w:name w:val="Closing"/>
    <w:basedOn w:val="Normal"/>
    <w:link w:val="ClosingChar"/>
    <w:semiHidden/>
    <w:rsid w:val="003717E3"/>
    <w:pPr>
      <w:ind w:left="4320"/>
    </w:pPr>
  </w:style>
  <w:style w:type="character" w:customStyle="1" w:styleId="ClosingChar">
    <w:name w:val="Closing Char"/>
    <w:basedOn w:val="DefaultParagraphFont"/>
    <w:link w:val="Closing"/>
    <w:semiHidden/>
    <w:rsid w:val="003717E3"/>
    <w:rPr>
      <w:sz w:val="22"/>
      <w:szCs w:val="22"/>
      <w:lang w:val="en-GB"/>
    </w:rPr>
  </w:style>
  <w:style w:type="paragraph" w:styleId="E-mailSignature">
    <w:name w:val="E-mail Signature"/>
    <w:basedOn w:val="Normal"/>
    <w:link w:val="E-mailSignatureChar"/>
    <w:semiHidden/>
    <w:rsid w:val="003717E3"/>
  </w:style>
  <w:style w:type="character" w:customStyle="1" w:styleId="E-mailSignatureChar">
    <w:name w:val="E-mail Signature Char"/>
    <w:basedOn w:val="DefaultParagraphFont"/>
    <w:link w:val="E-mailSignature"/>
    <w:semiHidden/>
    <w:rsid w:val="003717E3"/>
    <w:rPr>
      <w:sz w:val="22"/>
      <w:szCs w:val="22"/>
      <w:lang w:val="en-GB"/>
    </w:rPr>
  </w:style>
  <w:style w:type="character" w:styleId="Emphasis">
    <w:name w:val="Emphasis"/>
    <w:basedOn w:val="DefaultParagraphFont"/>
    <w:qFormat/>
    <w:rsid w:val="003717E3"/>
    <w:rPr>
      <w:i/>
      <w:iCs/>
    </w:rPr>
  </w:style>
  <w:style w:type="paragraph" w:styleId="EnvelopeAddress">
    <w:name w:val="envelope address"/>
    <w:basedOn w:val="Normal"/>
    <w:semiHidden/>
    <w:rsid w:val="003717E3"/>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3717E3"/>
    <w:rPr>
      <w:rFonts w:ascii="Arial" w:hAnsi="Arial" w:cs="Arial"/>
      <w:sz w:val="20"/>
    </w:rPr>
  </w:style>
  <w:style w:type="character" w:styleId="HTMLAcronym">
    <w:name w:val="HTML Acronym"/>
    <w:basedOn w:val="DefaultParagraphFont"/>
    <w:semiHidden/>
    <w:rsid w:val="003717E3"/>
  </w:style>
  <w:style w:type="paragraph" w:styleId="HTMLAddress">
    <w:name w:val="HTML Address"/>
    <w:basedOn w:val="Normal"/>
    <w:link w:val="HTMLAddressChar"/>
    <w:semiHidden/>
    <w:rsid w:val="003717E3"/>
    <w:rPr>
      <w:i/>
      <w:iCs/>
    </w:rPr>
  </w:style>
  <w:style w:type="character" w:customStyle="1" w:styleId="HTMLAddressChar">
    <w:name w:val="HTML Address Char"/>
    <w:basedOn w:val="DefaultParagraphFont"/>
    <w:link w:val="HTMLAddress"/>
    <w:semiHidden/>
    <w:rsid w:val="003717E3"/>
    <w:rPr>
      <w:i/>
      <w:iCs/>
      <w:sz w:val="22"/>
      <w:szCs w:val="22"/>
      <w:lang w:val="en-GB"/>
    </w:rPr>
  </w:style>
  <w:style w:type="character" w:styleId="HTMLCite">
    <w:name w:val="HTML Cite"/>
    <w:basedOn w:val="DefaultParagraphFont"/>
    <w:semiHidden/>
    <w:rsid w:val="003717E3"/>
    <w:rPr>
      <w:i/>
      <w:iCs/>
    </w:rPr>
  </w:style>
  <w:style w:type="character" w:styleId="HTMLCode">
    <w:name w:val="HTML Code"/>
    <w:basedOn w:val="DefaultParagraphFont"/>
    <w:semiHidden/>
    <w:rsid w:val="003717E3"/>
    <w:rPr>
      <w:rFonts w:ascii="Courier New" w:hAnsi="Courier New" w:cs="Courier New"/>
      <w:sz w:val="20"/>
      <w:szCs w:val="20"/>
    </w:rPr>
  </w:style>
  <w:style w:type="character" w:styleId="HTMLDefinition">
    <w:name w:val="HTML Definition"/>
    <w:basedOn w:val="DefaultParagraphFont"/>
    <w:semiHidden/>
    <w:rsid w:val="003717E3"/>
    <w:rPr>
      <w:i/>
      <w:iCs/>
    </w:rPr>
  </w:style>
  <w:style w:type="character" w:styleId="HTMLKeyboard">
    <w:name w:val="HTML Keyboard"/>
    <w:basedOn w:val="DefaultParagraphFont"/>
    <w:semiHidden/>
    <w:rsid w:val="003717E3"/>
    <w:rPr>
      <w:rFonts w:ascii="Courier New" w:hAnsi="Courier New" w:cs="Courier New"/>
      <w:sz w:val="20"/>
      <w:szCs w:val="20"/>
    </w:rPr>
  </w:style>
  <w:style w:type="paragraph" w:styleId="HTMLPreformatted">
    <w:name w:val="HTML Preformatted"/>
    <w:basedOn w:val="Normal"/>
    <w:link w:val="HTMLPreformattedChar"/>
    <w:semiHidden/>
    <w:rsid w:val="003717E3"/>
    <w:rPr>
      <w:rFonts w:ascii="Courier New" w:hAnsi="Courier New" w:cs="Courier New"/>
      <w:sz w:val="20"/>
    </w:rPr>
  </w:style>
  <w:style w:type="character" w:customStyle="1" w:styleId="HTMLPreformattedChar">
    <w:name w:val="HTML Preformatted Char"/>
    <w:basedOn w:val="DefaultParagraphFont"/>
    <w:link w:val="HTMLPreformatted"/>
    <w:semiHidden/>
    <w:rsid w:val="003717E3"/>
    <w:rPr>
      <w:rFonts w:ascii="Courier New" w:hAnsi="Courier New" w:cs="Courier New"/>
      <w:szCs w:val="22"/>
      <w:lang w:val="en-GB"/>
    </w:rPr>
  </w:style>
  <w:style w:type="character" w:styleId="HTMLSample">
    <w:name w:val="HTML Sample"/>
    <w:basedOn w:val="DefaultParagraphFont"/>
    <w:semiHidden/>
    <w:rsid w:val="003717E3"/>
    <w:rPr>
      <w:rFonts w:ascii="Courier New" w:hAnsi="Courier New" w:cs="Courier New"/>
    </w:rPr>
  </w:style>
  <w:style w:type="character" w:styleId="HTMLTypewriter">
    <w:name w:val="HTML Typewriter"/>
    <w:basedOn w:val="DefaultParagraphFont"/>
    <w:semiHidden/>
    <w:rsid w:val="003717E3"/>
    <w:rPr>
      <w:rFonts w:ascii="Courier New" w:hAnsi="Courier New" w:cs="Courier New"/>
      <w:sz w:val="20"/>
      <w:szCs w:val="20"/>
    </w:rPr>
  </w:style>
  <w:style w:type="character" w:styleId="HTMLVariable">
    <w:name w:val="HTML Variable"/>
    <w:basedOn w:val="DefaultParagraphFont"/>
    <w:semiHidden/>
    <w:rsid w:val="003717E3"/>
    <w:rPr>
      <w:i/>
      <w:iCs/>
    </w:rPr>
  </w:style>
  <w:style w:type="character" w:styleId="LineNumber">
    <w:name w:val="line number"/>
    <w:basedOn w:val="DefaultParagraphFont"/>
    <w:semiHidden/>
    <w:rsid w:val="003717E3"/>
  </w:style>
  <w:style w:type="paragraph" w:styleId="List">
    <w:name w:val="List"/>
    <w:basedOn w:val="Normal"/>
    <w:semiHidden/>
    <w:rsid w:val="003717E3"/>
    <w:pPr>
      <w:ind w:left="360" w:hanging="360"/>
    </w:pPr>
  </w:style>
  <w:style w:type="paragraph" w:styleId="List2">
    <w:name w:val="List 2"/>
    <w:basedOn w:val="Normal"/>
    <w:semiHidden/>
    <w:rsid w:val="003717E3"/>
    <w:pPr>
      <w:ind w:left="720" w:hanging="360"/>
    </w:pPr>
  </w:style>
  <w:style w:type="paragraph" w:styleId="List3">
    <w:name w:val="List 3"/>
    <w:basedOn w:val="Normal"/>
    <w:semiHidden/>
    <w:rsid w:val="003717E3"/>
    <w:pPr>
      <w:ind w:left="1080" w:hanging="360"/>
    </w:pPr>
  </w:style>
  <w:style w:type="paragraph" w:styleId="List4">
    <w:name w:val="List 4"/>
    <w:basedOn w:val="Normal"/>
    <w:semiHidden/>
    <w:rsid w:val="003717E3"/>
    <w:pPr>
      <w:ind w:left="1440" w:hanging="360"/>
    </w:pPr>
  </w:style>
  <w:style w:type="paragraph" w:styleId="List5">
    <w:name w:val="List 5"/>
    <w:basedOn w:val="Normal"/>
    <w:semiHidden/>
    <w:rsid w:val="003717E3"/>
    <w:pPr>
      <w:ind w:left="1800" w:hanging="360"/>
    </w:pPr>
  </w:style>
  <w:style w:type="paragraph" w:styleId="ListBullet2">
    <w:name w:val="List Bullet 2"/>
    <w:basedOn w:val="Normal"/>
    <w:autoRedefine/>
    <w:semiHidden/>
    <w:rsid w:val="003717E3"/>
    <w:pPr>
      <w:numPr>
        <w:numId w:val="15"/>
      </w:numPr>
    </w:pPr>
  </w:style>
  <w:style w:type="paragraph" w:styleId="ListBullet3">
    <w:name w:val="List Bullet 3"/>
    <w:basedOn w:val="Normal"/>
    <w:autoRedefine/>
    <w:semiHidden/>
    <w:rsid w:val="003717E3"/>
    <w:pPr>
      <w:numPr>
        <w:numId w:val="16"/>
      </w:numPr>
    </w:pPr>
  </w:style>
  <w:style w:type="paragraph" w:styleId="ListBullet4">
    <w:name w:val="List Bullet 4"/>
    <w:basedOn w:val="Normal"/>
    <w:autoRedefine/>
    <w:semiHidden/>
    <w:rsid w:val="003717E3"/>
    <w:pPr>
      <w:numPr>
        <w:numId w:val="17"/>
      </w:numPr>
    </w:pPr>
  </w:style>
  <w:style w:type="paragraph" w:styleId="ListBullet5">
    <w:name w:val="List Bullet 5"/>
    <w:basedOn w:val="Normal"/>
    <w:autoRedefine/>
    <w:semiHidden/>
    <w:rsid w:val="003717E3"/>
    <w:pPr>
      <w:numPr>
        <w:numId w:val="18"/>
      </w:numPr>
    </w:pPr>
  </w:style>
  <w:style w:type="paragraph" w:styleId="ListContinue">
    <w:name w:val="List Continue"/>
    <w:basedOn w:val="Normal"/>
    <w:semiHidden/>
    <w:rsid w:val="003717E3"/>
    <w:pPr>
      <w:spacing w:after="120"/>
      <w:ind w:left="360"/>
    </w:pPr>
  </w:style>
  <w:style w:type="paragraph" w:styleId="ListContinue2">
    <w:name w:val="List Continue 2"/>
    <w:basedOn w:val="Normal"/>
    <w:semiHidden/>
    <w:rsid w:val="003717E3"/>
    <w:pPr>
      <w:spacing w:after="120"/>
      <w:ind w:left="720"/>
    </w:pPr>
  </w:style>
  <w:style w:type="paragraph" w:styleId="ListContinue3">
    <w:name w:val="List Continue 3"/>
    <w:basedOn w:val="Normal"/>
    <w:semiHidden/>
    <w:rsid w:val="003717E3"/>
    <w:pPr>
      <w:spacing w:after="120"/>
      <w:ind w:left="1080"/>
    </w:pPr>
  </w:style>
  <w:style w:type="paragraph" w:styleId="ListContinue4">
    <w:name w:val="List Continue 4"/>
    <w:basedOn w:val="Normal"/>
    <w:semiHidden/>
    <w:rsid w:val="003717E3"/>
    <w:pPr>
      <w:spacing w:after="120"/>
      <w:ind w:left="1440"/>
    </w:pPr>
  </w:style>
  <w:style w:type="paragraph" w:styleId="ListContinue5">
    <w:name w:val="List Continue 5"/>
    <w:basedOn w:val="Normal"/>
    <w:semiHidden/>
    <w:rsid w:val="003717E3"/>
    <w:pPr>
      <w:spacing w:after="120"/>
      <w:ind w:left="1800"/>
    </w:pPr>
  </w:style>
  <w:style w:type="paragraph" w:styleId="ListNumber">
    <w:name w:val="List Number"/>
    <w:basedOn w:val="Normal"/>
    <w:semiHidden/>
    <w:rsid w:val="003717E3"/>
    <w:pPr>
      <w:numPr>
        <w:numId w:val="19"/>
      </w:numPr>
    </w:pPr>
  </w:style>
  <w:style w:type="paragraph" w:styleId="ListNumber2">
    <w:name w:val="List Number 2"/>
    <w:basedOn w:val="Normal"/>
    <w:semiHidden/>
    <w:rsid w:val="003717E3"/>
    <w:pPr>
      <w:numPr>
        <w:numId w:val="20"/>
      </w:numPr>
    </w:pPr>
  </w:style>
  <w:style w:type="paragraph" w:styleId="ListNumber3">
    <w:name w:val="List Number 3"/>
    <w:basedOn w:val="Normal"/>
    <w:semiHidden/>
    <w:rsid w:val="003717E3"/>
    <w:pPr>
      <w:numPr>
        <w:numId w:val="21"/>
      </w:numPr>
    </w:pPr>
  </w:style>
  <w:style w:type="paragraph" w:styleId="ListNumber4">
    <w:name w:val="List Number 4"/>
    <w:basedOn w:val="Normal"/>
    <w:semiHidden/>
    <w:rsid w:val="003717E3"/>
    <w:pPr>
      <w:numPr>
        <w:numId w:val="22"/>
      </w:numPr>
    </w:pPr>
  </w:style>
  <w:style w:type="paragraph" w:styleId="ListNumber5">
    <w:name w:val="List Number 5"/>
    <w:basedOn w:val="Normal"/>
    <w:semiHidden/>
    <w:rsid w:val="003717E3"/>
    <w:pPr>
      <w:numPr>
        <w:numId w:val="23"/>
      </w:numPr>
    </w:pPr>
  </w:style>
  <w:style w:type="paragraph" w:styleId="MessageHeader">
    <w:name w:val="Message Header"/>
    <w:basedOn w:val="Normal"/>
    <w:link w:val="MessageHeaderChar"/>
    <w:semiHidden/>
    <w:rsid w:val="003717E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3717E3"/>
    <w:rPr>
      <w:rFonts w:ascii="Arial" w:hAnsi="Arial" w:cs="Arial"/>
      <w:sz w:val="22"/>
      <w:szCs w:val="24"/>
      <w:shd w:val="pct20" w:color="auto" w:fill="auto"/>
      <w:lang w:val="en-GB"/>
    </w:rPr>
  </w:style>
  <w:style w:type="paragraph" w:styleId="NormalIndent">
    <w:name w:val="Normal Indent"/>
    <w:basedOn w:val="Normal"/>
    <w:semiHidden/>
    <w:rsid w:val="003717E3"/>
    <w:pPr>
      <w:ind w:left="720"/>
    </w:pPr>
  </w:style>
  <w:style w:type="paragraph" w:styleId="NoteHeading">
    <w:name w:val="Note Heading"/>
    <w:basedOn w:val="Normal"/>
    <w:next w:val="Normal"/>
    <w:link w:val="NoteHeadingChar"/>
    <w:semiHidden/>
    <w:rsid w:val="003717E3"/>
  </w:style>
  <w:style w:type="character" w:customStyle="1" w:styleId="NoteHeadingChar">
    <w:name w:val="Note Heading Char"/>
    <w:basedOn w:val="DefaultParagraphFont"/>
    <w:link w:val="NoteHeading"/>
    <w:semiHidden/>
    <w:rsid w:val="003717E3"/>
    <w:rPr>
      <w:sz w:val="22"/>
      <w:szCs w:val="22"/>
      <w:lang w:val="en-GB"/>
    </w:rPr>
  </w:style>
  <w:style w:type="character" w:customStyle="1" w:styleId="PlainTextChar">
    <w:name w:val="Plain Text Char"/>
    <w:basedOn w:val="DefaultParagraphFont"/>
    <w:link w:val="PlainText"/>
    <w:uiPriority w:val="99"/>
    <w:rsid w:val="003717E3"/>
    <w:rPr>
      <w:rFonts w:ascii="Courier New" w:hAnsi="Courier New" w:cs="Courier New"/>
      <w:szCs w:val="22"/>
      <w:lang w:val="en-GB"/>
    </w:rPr>
  </w:style>
  <w:style w:type="paragraph" w:styleId="Salutation">
    <w:name w:val="Salutation"/>
    <w:basedOn w:val="Normal"/>
    <w:next w:val="Normal"/>
    <w:link w:val="SalutationChar"/>
    <w:semiHidden/>
    <w:rsid w:val="003717E3"/>
  </w:style>
  <w:style w:type="character" w:customStyle="1" w:styleId="SalutationChar">
    <w:name w:val="Salutation Char"/>
    <w:basedOn w:val="DefaultParagraphFont"/>
    <w:link w:val="Salutation"/>
    <w:semiHidden/>
    <w:rsid w:val="003717E3"/>
    <w:rPr>
      <w:sz w:val="22"/>
      <w:szCs w:val="22"/>
      <w:lang w:val="en-GB"/>
    </w:rPr>
  </w:style>
  <w:style w:type="paragraph" w:styleId="Signature">
    <w:name w:val="Signature"/>
    <w:basedOn w:val="Normal"/>
    <w:link w:val="SignatureChar"/>
    <w:semiHidden/>
    <w:rsid w:val="003717E3"/>
    <w:pPr>
      <w:ind w:left="4320"/>
    </w:pPr>
  </w:style>
  <w:style w:type="character" w:customStyle="1" w:styleId="SignatureChar">
    <w:name w:val="Signature Char"/>
    <w:basedOn w:val="DefaultParagraphFont"/>
    <w:link w:val="Signature"/>
    <w:semiHidden/>
    <w:rsid w:val="003717E3"/>
    <w:rPr>
      <w:sz w:val="22"/>
      <w:szCs w:val="22"/>
      <w:lang w:val="en-GB"/>
    </w:rPr>
  </w:style>
  <w:style w:type="character" w:styleId="Strong">
    <w:name w:val="Strong"/>
    <w:basedOn w:val="DefaultParagraphFont"/>
    <w:qFormat/>
    <w:rsid w:val="003717E3"/>
    <w:rPr>
      <w:b/>
      <w:bCs/>
    </w:rPr>
  </w:style>
  <w:style w:type="character" w:customStyle="1" w:styleId="SubtitleChar">
    <w:name w:val="Subtitle Char"/>
    <w:basedOn w:val="DefaultParagraphFont"/>
    <w:link w:val="Subtitle"/>
    <w:rsid w:val="003717E3"/>
    <w:rPr>
      <w:rFonts w:ascii="Arial" w:hAnsi="Arial" w:cs="Arial"/>
      <w:sz w:val="22"/>
      <w:szCs w:val="22"/>
      <w:lang w:val="en-GB"/>
    </w:rPr>
  </w:style>
  <w:style w:type="character" w:customStyle="1" w:styleId="TitleChar">
    <w:name w:val="Title Char"/>
    <w:basedOn w:val="DefaultParagraphFont"/>
    <w:link w:val="Title"/>
    <w:rsid w:val="003717E3"/>
    <w:rPr>
      <w:rFonts w:ascii="Arial" w:hAnsi="Arial" w:cs="Arial"/>
      <w:b/>
      <w:bCs/>
      <w:kern w:val="28"/>
      <w:sz w:val="22"/>
      <w:szCs w:val="22"/>
      <w:lang w:val="en-GB"/>
    </w:rPr>
  </w:style>
  <w:style w:type="character" w:customStyle="1" w:styleId="DateChar">
    <w:name w:val="Date Char"/>
    <w:basedOn w:val="DefaultParagraphFont"/>
    <w:link w:val="Date"/>
    <w:rsid w:val="003717E3"/>
    <w:rPr>
      <w:sz w:val="22"/>
      <w:szCs w:val="22"/>
      <w:lang w:val="en-GB"/>
    </w:rPr>
  </w:style>
  <w:style w:type="paragraph" w:customStyle="1" w:styleId="Title2">
    <w:name w:val="Title2"/>
    <w:rsid w:val="003717E3"/>
    <w:pPr>
      <w:jc w:val="center"/>
      <w:outlineLvl w:val="0"/>
    </w:pPr>
    <w:rPr>
      <w:b/>
      <w:caps/>
      <w:sz w:val="22"/>
      <w:szCs w:val="22"/>
      <w:lang w:val="en-GB"/>
    </w:rPr>
  </w:style>
  <w:style w:type="paragraph" w:customStyle="1" w:styleId="titleChar0">
    <w:name w:val="title Char"/>
    <w:link w:val="titleCharChar"/>
    <w:rsid w:val="003717E3"/>
    <w:pPr>
      <w:jc w:val="center"/>
      <w:outlineLvl w:val="0"/>
    </w:pPr>
    <w:rPr>
      <w:b/>
      <w:caps/>
      <w:sz w:val="24"/>
      <w:szCs w:val="22"/>
      <w:lang w:val="en-GB"/>
    </w:rPr>
  </w:style>
  <w:style w:type="character" w:customStyle="1" w:styleId="titleCharChar">
    <w:name w:val="title Char Char"/>
    <w:link w:val="titleChar0"/>
    <w:rsid w:val="003717E3"/>
    <w:rPr>
      <w:b/>
      <w:caps/>
      <w:sz w:val="24"/>
      <w:szCs w:val="22"/>
      <w:lang w:val="en-GB"/>
    </w:rPr>
  </w:style>
  <w:style w:type="paragraph" w:customStyle="1" w:styleId="Footer1">
    <w:name w:val="Footer1"/>
    <w:basedOn w:val="Normal"/>
    <w:rsid w:val="003717E3"/>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3717E3"/>
    <w:pPr>
      <w:tabs>
        <w:tab w:val="clear" w:pos="4320"/>
        <w:tab w:val="clear" w:pos="8640"/>
      </w:tabs>
    </w:pPr>
    <w:rPr>
      <w:b/>
      <w:bCs/>
      <w:sz w:val="24"/>
      <w:szCs w:val="24"/>
      <w:u w:val="single"/>
    </w:rPr>
  </w:style>
  <w:style w:type="character" w:customStyle="1" w:styleId="0Heading0Char1">
    <w:name w:val="0 Heading 0 Char1"/>
    <w:rsid w:val="003717E3"/>
    <w:rPr>
      <w:sz w:val="24"/>
      <w:lang w:val="en-GB" w:eastAsia="en-US" w:bidi="ar-SA"/>
    </w:rPr>
  </w:style>
  <w:style w:type="character" w:customStyle="1" w:styleId="0Heading0Char2">
    <w:name w:val="0 Heading 0 Char2"/>
    <w:rsid w:val="003717E3"/>
    <w:rPr>
      <w:sz w:val="22"/>
      <w:szCs w:val="22"/>
      <w:lang w:val="en-GB" w:eastAsia="en-US" w:bidi="ar-SA"/>
    </w:rPr>
  </w:style>
  <w:style w:type="character" w:customStyle="1" w:styleId="Para1Char1">
    <w:name w:val="Para (1) Char1"/>
    <w:rsid w:val="003717E3"/>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3717E3"/>
    <w:rPr>
      <w:sz w:val="24"/>
      <w:lang w:val="en-GB" w:eastAsia="en-US" w:bidi="ar-SA"/>
    </w:rPr>
  </w:style>
  <w:style w:type="paragraph" w:styleId="Revision">
    <w:name w:val="Revision"/>
    <w:hidden/>
    <w:uiPriority w:val="99"/>
    <w:semiHidden/>
    <w:rsid w:val="006315F3"/>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6315F3"/>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6315F3"/>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6315F3"/>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6315F3"/>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6315F3"/>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6315F3"/>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6315F3"/>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6315F3"/>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6315F3"/>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6315F3"/>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6315F3"/>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DC7FB5"/>
    <w:pPr>
      <w:widowControl w:val="0"/>
      <w:jc w:val="left"/>
    </w:pPr>
    <w:rPr>
      <w:rFonts w:asciiTheme="minorHAnsi" w:eastAsiaTheme="minorHAnsi" w:hAnsiTheme="minorHAnsi" w:cstheme="minorBid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F111B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AF3303"/>
    <w:pPr>
      <w:widowControl w:val="0"/>
      <w:numPr>
        <w:ilvl w:val="1"/>
        <w:numId w:val="1"/>
      </w:numPr>
      <w:spacing w:after="240"/>
      <w:outlineLvl w:val="1"/>
    </w:pPr>
    <w:rPr>
      <w:color w:val="000000" w:themeColor="text1"/>
      <w:lang w:val="en-CA"/>
    </w:r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B4377C"/>
    <w:pPr>
      <w:numPr>
        <w:ilvl w:val="2"/>
        <w:numId w:val="1"/>
      </w:numPr>
      <w:spacing w:after="240"/>
      <w:outlineLvl w:val="2"/>
    </w:pPr>
    <w:rPr>
      <w:lang w:val="en-US"/>
    </w:rPr>
  </w:style>
  <w:style w:type="paragraph" w:styleId="Heading4">
    <w:name w:val="heading 4"/>
    <w:aliases w:val="Heading 11,para 4,Título 41,heading 4,Heading 41"/>
    <w:basedOn w:val="Normal"/>
    <w:next w:val="Heading9"/>
    <w:link w:val="Heading4Char"/>
    <w:qFormat/>
    <w:rsid w:val="00677D27"/>
    <w:pPr>
      <w:numPr>
        <w:ilvl w:val="3"/>
        <w:numId w:val="1"/>
      </w:numPr>
      <w:spacing w:after="24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F111B1"/>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AF3303"/>
    <w:rPr>
      <w:color w:val="000000" w:themeColor="text1"/>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B4377C"/>
    <w:rPr>
      <w:sz w:val="22"/>
      <w:szCs w:val="22"/>
    </w:rPr>
  </w:style>
  <w:style w:type="character" w:customStyle="1" w:styleId="0Heading0Char">
    <w:name w:val="0 Heading 0 Char"/>
    <w:link w:val="0Heading0"/>
    <w:rsid w:val="00824E52"/>
    <w:rPr>
      <w:sz w:val="22"/>
      <w:szCs w:val="22"/>
      <w:lang w:val="en-GB"/>
    </w:rPr>
  </w:style>
  <w:style w:type="character" w:styleId="FootnoteReference">
    <w:name w:val="footnote reference"/>
    <w:aliases w:val="16 Point,Superscript 6 Point,Footnote text,Footnote Text1,Footnote Text2"/>
    <w:uiPriority w:val="99"/>
    <w:rsid w:val="00824E52"/>
    <w:rPr>
      <w:vertAlign w:val="superscript"/>
    </w:rPr>
  </w:style>
  <w:style w:type="paragraph" w:styleId="FootnoteText">
    <w:name w:val="footnote text"/>
    <w:aliases w:val=" Char1, Char1 Char Char,Fußnotentextf,Char1,Char1 Char Char"/>
    <w:basedOn w:val="Normal"/>
    <w:link w:val="FootnoteTextChar"/>
    <w:uiPriority w:val="99"/>
    <w:qFormat/>
    <w:rsid w:val="00824E52"/>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824E52"/>
    <w:rPr>
      <w:snapToGrid w:val="0"/>
      <w:szCs w:val="24"/>
      <w:lang w:val="en-GB"/>
    </w:rPr>
  </w:style>
  <w:style w:type="character" w:customStyle="1" w:styleId="Heading3Char3CharCharChar">
    <w:name w:val="Heading 3 Char3 Char Char Char"/>
    <w:basedOn w:val="DefaultParagraphFont"/>
    <w:rsid w:val="00824E52"/>
    <w:rPr>
      <w:sz w:val="22"/>
      <w:szCs w:val="22"/>
      <w:lang w:val="en-GB" w:eastAsia="en-US" w:bidi="ar-SA"/>
    </w:rPr>
  </w:style>
  <w:style w:type="paragraph" w:styleId="EndnoteText">
    <w:name w:val="endnote text"/>
    <w:basedOn w:val="Normal"/>
    <w:link w:val="EndnoteTextChar"/>
    <w:uiPriority w:val="99"/>
    <w:semiHidden/>
    <w:unhideWhenUsed/>
    <w:rsid w:val="00AA5E7B"/>
    <w:rPr>
      <w:sz w:val="20"/>
      <w:szCs w:val="20"/>
    </w:rPr>
  </w:style>
  <w:style w:type="character" w:customStyle="1" w:styleId="EndnoteTextChar">
    <w:name w:val="Endnote Text Char"/>
    <w:basedOn w:val="DefaultParagraphFont"/>
    <w:link w:val="EndnoteText"/>
    <w:uiPriority w:val="99"/>
    <w:semiHidden/>
    <w:rsid w:val="00AA5E7B"/>
    <w:rPr>
      <w:lang w:val="en-GB"/>
    </w:rPr>
  </w:style>
  <w:style w:type="character" w:styleId="EndnoteReference">
    <w:name w:val="endnote reference"/>
    <w:basedOn w:val="DefaultParagraphFont"/>
    <w:uiPriority w:val="99"/>
    <w:semiHidden/>
    <w:unhideWhenUsed/>
    <w:rsid w:val="00AA5E7B"/>
    <w:rPr>
      <w:vertAlign w:val="superscript"/>
    </w:rPr>
  </w:style>
  <w:style w:type="paragraph" w:styleId="ListParagraph">
    <w:name w:val="List Paragraph"/>
    <w:basedOn w:val="Normal"/>
    <w:uiPriority w:val="34"/>
    <w:qFormat/>
    <w:rsid w:val="00184D4D"/>
    <w:pPr>
      <w:ind w:left="720"/>
      <w:contextualSpacing/>
    </w:pPr>
    <w:rPr>
      <w:lang w:val="en-US"/>
    </w:rPr>
  </w:style>
  <w:style w:type="paragraph" w:styleId="BodyTextIndent">
    <w:name w:val="Body Text Indent"/>
    <w:basedOn w:val="Normal"/>
    <w:link w:val="BodyTextIndentChar"/>
    <w:semiHidden/>
    <w:rsid w:val="00CC3BE7"/>
    <w:pPr>
      <w:spacing w:after="120"/>
      <w:ind w:left="360"/>
    </w:pPr>
    <w:rPr>
      <w:szCs w:val="20"/>
    </w:rPr>
  </w:style>
  <w:style w:type="character" w:customStyle="1" w:styleId="BodyTextIndentChar">
    <w:name w:val="Body Text Indent Char"/>
    <w:basedOn w:val="DefaultParagraphFont"/>
    <w:link w:val="BodyTextIndent"/>
    <w:semiHidden/>
    <w:rsid w:val="00CC3BE7"/>
    <w:rPr>
      <w:sz w:val="22"/>
      <w:lang w:val="en-GB"/>
    </w:rPr>
  </w:style>
  <w:style w:type="paragraph" w:styleId="ListBullet">
    <w:name w:val="List Bullet"/>
    <w:basedOn w:val="Normal"/>
    <w:autoRedefine/>
    <w:semiHidden/>
    <w:rsid w:val="004D634F"/>
    <w:pPr>
      <w:tabs>
        <w:tab w:val="num" w:pos="360"/>
      </w:tabs>
      <w:ind w:left="360" w:hanging="360"/>
    </w:pPr>
  </w:style>
  <w:style w:type="character" w:customStyle="1" w:styleId="FooterChar">
    <w:name w:val="Footer Char"/>
    <w:basedOn w:val="DefaultParagraphFont"/>
    <w:link w:val="Footer"/>
    <w:uiPriority w:val="99"/>
    <w:rsid w:val="00290137"/>
    <w:rPr>
      <w:sz w:val="22"/>
      <w:szCs w:val="22"/>
      <w:lang w:val="en-GB"/>
    </w:rPr>
  </w:style>
  <w:style w:type="character" w:customStyle="1" w:styleId="hps">
    <w:name w:val="hps"/>
    <w:basedOn w:val="DefaultParagraphFont"/>
    <w:rsid w:val="00290137"/>
  </w:style>
  <w:style w:type="character" w:customStyle="1" w:styleId="HeaderChar">
    <w:name w:val="Header Char"/>
    <w:basedOn w:val="DefaultParagraphFont"/>
    <w:link w:val="Header"/>
    <w:uiPriority w:val="99"/>
    <w:rsid w:val="008F531F"/>
    <w:rPr>
      <w:sz w:val="22"/>
      <w:szCs w:val="22"/>
      <w:lang w:val="en-GB"/>
    </w:rPr>
  </w:style>
  <w:style w:type="paragraph" w:styleId="BodyText">
    <w:name w:val="Body Text"/>
    <w:basedOn w:val="Normal"/>
    <w:link w:val="BodyTextChar"/>
    <w:uiPriority w:val="1"/>
    <w:unhideWhenUsed/>
    <w:qFormat/>
    <w:rsid w:val="0023746A"/>
    <w:pPr>
      <w:spacing w:after="120"/>
    </w:pPr>
  </w:style>
  <w:style w:type="character" w:customStyle="1" w:styleId="BodyTextChar">
    <w:name w:val="Body Text Char"/>
    <w:basedOn w:val="DefaultParagraphFont"/>
    <w:link w:val="BodyText"/>
    <w:uiPriority w:val="1"/>
    <w:rsid w:val="0023746A"/>
    <w:rPr>
      <w:sz w:val="22"/>
      <w:szCs w:val="22"/>
      <w:lang w:val="en-GB"/>
    </w:rPr>
  </w:style>
  <w:style w:type="paragraph" w:customStyle="1" w:styleId="CH1">
    <w:name w:val="CH1"/>
    <w:basedOn w:val="Normal"/>
    <w:next w:val="Normal"/>
    <w:link w:val="CH1Char"/>
    <w:rsid w:val="005D2D4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5D2D47"/>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5D2D47"/>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character" w:styleId="Hyperlink">
    <w:name w:val="Hyperlink"/>
    <w:uiPriority w:val="99"/>
    <w:rsid w:val="005D2D47"/>
    <w:rPr>
      <w:rFonts w:ascii="Times New Roman" w:hAnsi="Times New Roman"/>
      <w:color w:val="auto"/>
      <w:sz w:val="20"/>
      <w:szCs w:val="20"/>
      <w:u w:val="none"/>
      <w:lang w:val="fr-FR"/>
    </w:rPr>
  </w:style>
  <w:style w:type="numbering" w:customStyle="1" w:styleId="Normallist">
    <w:name w:val="Normal_list"/>
    <w:basedOn w:val="NoList"/>
    <w:rsid w:val="005D2D47"/>
    <w:pPr>
      <w:numPr>
        <w:numId w:val="7"/>
      </w:numPr>
    </w:pPr>
  </w:style>
  <w:style w:type="paragraph" w:customStyle="1" w:styleId="NormalNonumber">
    <w:name w:val="Normal_No_number"/>
    <w:basedOn w:val="Normal"/>
    <w:link w:val="NormalNonumberChar"/>
    <w:autoRedefine/>
    <w:rsid w:val="005D2D47"/>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5D2D47"/>
    <w:pPr>
      <w:numPr>
        <w:numId w:val="8"/>
      </w:numPr>
      <w:spacing w:after="120"/>
      <w:jc w:val="left"/>
    </w:pPr>
    <w:rPr>
      <w:sz w:val="20"/>
      <w:szCs w:val="20"/>
      <w:lang w:val="en-US"/>
    </w:rPr>
  </w:style>
  <w:style w:type="table" w:customStyle="1" w:styleId="Tabledocright">
    <w:name w:val="Table_doc_right"/>
    <w:basedOn w:val="TableNormal"/>
    <w:rsid w:val="005D2D47"/>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5D2D47"/>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5D2D47"/>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5D2D47"/>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5D2D47"/>
    <w:rPr>
      <w:b/>
      <w:sz w:val="28"/>
      <w:szCs w:val="28"/>
      <w:lang w:val="fr-FR"/>
    </w:rPr>
  </w:style>
  <w:style w:type="character" w:customStyle="1" w:styleId="NormalnumberChar">
    <w:name w:val="Normal_number Char"/>
    <w:link w:val="Normalnumber"/>
    <w:locked/>
    <w:rsid w:val="005D2D47"/>
  </w:style>
  <w:style w:type="character" w:customStyle="1" w:styleId="CH2Char">
    <w:name w:val="CH2 Char"/>
    <w:link w:val="CH2"/>
    <w:locked/>
    <w:rsid w:val="005D2D47"/>
    <w:rPr>
      <w:b/>
      <w:sz w:val="24"/>
      <w:szCs w:val="24"/>
      <w:lang w:val="fr-FR"/>
    </w:rPr>
  </w:style>
  <w:style w:type="character" w:customStyle="1" w:styleId="NormalNonumberChar">
    <w:name w:val="Normal_No_number Char"/>
    <w:link w:val="NormalNonumber"/>
    <w:locked/>
    <w:rsid w:val="005D2D47"/>
    <w:rPr>
      <w:lang w:val="en-GB"/>
    </w:rPr>
  </w:style>
  <w:style w:type="numbering" w:customStyle="1" w:styleId="List0">
    <w:name w:val="List 0"/>
    <w:basedOn w:val="NoList"/>
    <w:rsid w:val="005D2D47"/>
    <w:pPr>
      <w:numPr>
        <w:numId w:val="9"/>
      </w:numPr>
    </w:pPr>
  </w:style>
  <w:style w:type="character" w:customStyle="1" w:styleId="tgc">
    <w:name w:val="_tgc"/>
    <w:basedOn w:val="DefaultParagraphFont"/>
    <w:rsid w:val="006052EB"/>
  </w:style>
  <w:style w:type="character" w:styleId="FollowedHyperlink">
    <w:name w:val="FollowedHyperlink"/>
    <w:basedOn w:val="DefaultParagraphFont"/>
    <w:semiHidden/>
    <w:unhideWhenUsed/>
    <w:rsid w:val="002A2CB6"/>
    <w:rPr>
      <w:color w:val="800080"/>
      <w:u w:val="single"/>
    </w:rPr>
  </w:style>
  <w:style w:type="paragraph" w:customStyle="1" w:styleId="xl64">
    <w:name w:val="xl64"/>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styleId="NormalWeb">
    <w:name w:val="Normal (Web)"/>
    <w:basedOn w:val="Normal"/>
    <w:uiPriority w:val="99"/>
    <w:unhideWhenUsed/>
    <w:rsid w:val="008F263D"/>
    <w:pPr>
      <w:spacing w:after="240"/>
      <w:jc w:val="left"/>
    </w:pPr>
    <w:rPr>
      <w:sz w:val="24"/>
      <w:szCs w:val="24"/>
      <w:lang w:val="en-US"/>
    </w:rPr>
  </w:style>
  <w:style w:type="paragraph" w:customStyle="1" w:styleId="Default">
    <w:name w:val="Default"/>
    <w:rsid w:val="008F263D"/>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F263D"/>
    <w:pPr>
      <w:spacing w:line="241" w:lineRule="atLeast"/>
    </w:pPr>
    <w:rPr>
      <w:rFonts w:cstheme="minorBidi"/>
      <w:color w:val="auto"/>
    </w:rPr>
  </w:style>
  <w:style w:type="character" w:customStyle="1" w:styleId="A0">
    <w:name w:val="A0"/>
    <w:uiPriority w:val="99"/>
    <w:rsid w:val="008F263D"/>
    <w:rPr>
      <w:rFonts w:cs="Merriweather Light"/>
      <w:color w:val="4C4F50"/>
      <w:sz w:val="16"/>
      <w:szCs w:val="16"/>
    </w:rPr>
  </w:style>
  <w:style w:type="character" w:customStyle="1" w:styleId="apple-converted-space">
    <w:name w:val="apple-converted-space"/>
    <w:basedOn w:val="DefaultParagraphFont"/>
    <w:rsid w:val="008F263D"/>
  </w:style>
  <w:style w:type="character" w:customStyle="1" w:styleId="Heading5Char">
    <w:name w:val="Heading 5 Char"/>
    <w:basedOn w:val="DefaultParagraphFont"/>
    <w:link w:val="Heading5"/>
    <w:rsid w:val="008F263D"/>
    <w:rPr>
      <w:sz w:val="22"/>
      <w:szCs w:val="22"/>
      <w:lang w:val="en-GB"/>
    </w:rPr>
  </w:style>
  <w:style w:type="paragraph" w:styleId="BodyTextIndent2">
    <w:name w:val="Body Text Indent 2"/>
    <w:basedOn w:val="Normal"/>
    <w:link w:val="BodyTextIndent2Char"/>
    <w:semiHidden/>
    <w:unhideWhenUsed/>
    <w:rsid w:val="002F5353"/>
    <w:pPr>
      <w:spacing w:after="120" w:line="480" w:lineRule="auto"/>
      <w:ind w:left="360"/>
    </w:pPr>
  </w:style>
  <w:style w:type="character" w:customStyle="1" w:styleId="BodyTextIndent2Char">
    <w:name w:val="Body Text Indent 2 Char"/>
    <w:basedOn w:val="DefaultParagraphFont"/>
    <w:link w:val="BodyTextIndent2"/>
    <w:semiHidden/>
    <w:rsid w:val="002F5353"/>
    <w:rPr>
      <w:sz w:val="22"/>
      <w:szCs w:val="22"/>
      <w:lang w:val="en-GB"/>
    </w:rPr>
  </w:style>
  <w:style w:type="paragraph" w:customStyle="1" w:styleId="p7">
    <w:name w:val="p7"/>
    <w:basedOn w:val="Normal"/>
    <w:rsid w:val="002F5353"/>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2F5353"/>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A4275C"/>
    <w:pPr>
      <w:spacing w:after="240" w:line="360" w:lineRule="auto"/>
      <w:ind w:left="1440" w:hanging="720"/>
      <w:jc w:val="left"/>
    </w:pPr>
    <w:rPr>
      <w:sz w:val="24"/>
      <w:szCs w:val="24"/>
      <w:lang w:val="en-US"/>
    </w:rPr>
  </w:style>
  <w:style w:type="paragraph" w:customStyle="1" w:styleId="Normalpool">
    <w:name w:val="Normal_pool"/>
    <w:link w:val="NormalpoolChar"/>
    <w:rsid w:val="004F099D"/>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4F099D"/>
    <w:rPr>
      <w:lang w:val="fr-FR"/>
    </w:rPr>
  </w:style>
  <w:style w:type="character" w:customStyle="1" w:styleId="CH3Char">
    <w:name w:val="CH3 Char"/>
    <w:link w:val="CH3"/>
    <w:rsid w:val="00E43C48"/>
    <w:rPr>
      <w:b/>
      <w:lang w:val="fr-FR"/>
    </w:rPr>
  </w:style>
  <w:style w:type="character" w:customStyle="1" w:styleId="Normal-poolChar">
    <w:name w:val="Normal-pool Char"/>
    <w:link w:val="Normal-pool"/>
    <w:locked/>
    <w:rsid w:val="00E43C48"/>
    <w:rPr>
      <w:lang w:val="en-GB"/>
    </w:rPr>
  </w:style>
  <w:style w:type="paragraph" w:customStyle="1" w:styleId="CH4">
    <w:name w:val="CH4"/>
    <w:basedOn w:val="Normalpool"/>
    <w:next w:val="Normalnumber"/>
    <w:rsid w:val="0071733A"/>
    <w:pPr>
      <w:keepNext/>
      <w:keepLines/>
      <w:tabs>
        <w:tab w:val="right" w:pos="851"/>
      </w:tabs>
      <w:suppressAutoHyphens/>
      <w:spacing w:after="120"/>
      <w:ind w:left="1247" w:right="284" w:hanging="1247"/>
    </w:pPr>
    <w:rPr>
      <w:b/>
      <w:lang w:val="en-GB"/>
    </w:rPr>
  </w:style>
  <w:style w:type="character" w:customStyle="1" w:styleId="Hyperlink0">
    <w:name w:val="Hyperlink.0"/>
    <w:rsid w:val="0071733A"/>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1A5F17"/>
    <w:pPr>
      <w:numPr>
        <w:numId w:val="0"/>
      </w:numPr>
      <w:tabs>
        <w:tab w:val="num" w:pos="0"/>
      </w:tabs>
      <w:spacing w:after="120"/>
    </w:pPr>
    <w:rPr>
      <w:rFonts w:asciiTheme="minorHAnsi" w:hAnsiTheme="minorHAnsi"/>
      <w:bCs/>
      <w:sz w:val="24"/>
      <w:szCs w:val="24"/>
    </w:rPr>
  </w:style>
  <w:style w:type="character" w:customStyle="1" w:styleId="Heading4Char">
    <w:name w:val="Heading 4 Char"/>
    <w:aliases w:val="Heading 11 Char,para 4 Char,Título 41 Char,heading 4 Char,Heading 41 Char"/>
    <w:basedOn w:val="DefaultParagraphFont"/>
    <w:link w:val="Heading4"/>
    <w:rsid w:val="003717E3"/>
    <w:rPr>
      <w:sz w:val="22"/>
      <w:szCs w:val="22"/>
      <w:lang w:val="en-GB"/>
    </w:rPr>
  </w:style>
  <w:style w:type="character" w:customStyle="1" w:styleId="Heading6Char">
    <w:name w:val="Heading 6 Char"/>
    <w:basedOn w:val="DefaultParagraphFont"/>
    <w:link w:val="Heading6"/>
    <w:rsid w:val="003717E3"/>
    <w:rPr>
      <w:rFonts w:ascii="Arial" w:hAnsi="Arial"/>
      <w:i/>
      <w:sz w:val="22"/>
      <w:szCs w:val="22"/>
      <w:lang w:val="en-GB"/>
    </w:rPr>
  </w:style>
  <w:style w:type="character" w:customStyle="1" w:styleId="Heading7Char">
    <w:name w:val="Heading 7 Char"/>
    <w:basedOn w:val="DefaultParagraphFont"/>
    <w:link w:val="Heading7"/>
    <w:rsid w:val="003717E3"/>
    <w:rPr>
      <w:rFonts w:ascii="Arial" w:hAnsi="Arial"/>
      <w:sz w:val="22"/>
      <w:szCs w:val="22"/>
      <w:lang w:val="en-GB"/>
    </w:rPr>
  </w:style>
  <w:style w:type="character" w:customStyle="1" w:styleId="Heading8Char">
    <w:name w:val="Heading 8 Char"/>
    <w:basedOn w:val="DefaultParagraphFont"/>
    <w:link w:val="Heading8"/>
    <w:uiPriority w:val="9"/>
    <w:rsid w:val="003717E3"/>
    <w:rPr>
      <w:b/>
      <w:sz w:val="22"/>
      <w:szCs w:val="22"/>
      <w:lang w:val="en-GB"/>
    </w:rPr>
  </w:style>
  <w:style w:type="character" w:customStyle="1" w:styleId="Heading9Char">
    <w:name w:val="Heading 9 Char"/>
    <w:basedOn w:val="DefaultParagraphFont"/>
    <w:link w:val="Heading9"/>
    <w:rsid w:val="003717E3"/>
    <w:rPr>
      <w:rFonts w:ascii="Arial" w:hAnsi="Arial"/>
      <w:i/>
      <w:sz w:val="18"/>
      <w:szCs w:val="22"/>
      <w:lang w:val="en-GB"/>
    </w:rPr>
  </w:style>
  <w:style w:type="numbering" w:customStyle="1" w:styleId="1111111">
    <w:name w:val="1 / 1.1 / 1.1.11"/>
    <w:basedOn w:val="NoList"/>
    <w:next w:val="111111"/>
    <w:semiHidden/>
    <w:rsid w:val="003717E3"/>
    <w:pPr>
      <w:numPr>
        <w:numId w:val="10"/>
      </w:numPr>
    </w:pPr>
  </w:style>
  <w:style w:type="character" w:styleId="PageNumber">
    <w:name w:val="page number"/>
    <w:basedOn w:val="DefaultParagraphFont"/>
    <w:rsid w:val="003717E3"/>
    <w:rPr>
      <w:sz w:val="22"/>
      <w:szCs w:val="22"/>
    </w:rPr>
  </w:style>
  <w:style w:type="numbering" w:customStyle="1" w:styleId="1ai1">
    <w:name w:val="1 / a / i1"/>
    <w:basedOn w:val="NoList"/>
    <w:next w:val="1ai"/>
    <w:semiHidden/>
    <w:rsid w:val="003717E3"/>
    <w:pPr>
      <w:numPr>
        <w:numId w:val="11"/>
      </w:numPr>
    </w:pPr>
  </w:style>
  <w:style w:type="numbering" w:customStyle="1" w:styleId="ArticleSection1">
    <w:name w:val="Article / Section1"/>
    <w:basedOn w:val="NoList"/>
    <w:next w:val="ArticleSection"/>
    <w:semiHidden/>
    <w:rsid w:val="003717E3"/>
    <w:pPr>
      <w:numPr>
        <w:numId w:val="12"/>
      </w:numPr>
    </w:pPr>
  </w:style>
  <w:style w:type="paragraph" w:styleId="BodyText2">
    <w:name w:val="Body Text 2"/>
    <w:basedOn w:val="Normal"/>
    <w:link w:val="BodyText2Char"/>
    <w:semiHidden/>
    <w:rsid w:val="003717E3"/>
    <w:pPr>
      <w:spacing w:after="120" w:line="480" w:lineRule="auto"/>
    </w:pPr>
  </w:style>
  <w:style w:type="character" w:customStyle="1" w:styleId="BodyText2Char">
    <w:name w:val="Body Text 2 Char"/>
    <w:basedOn w:val="DefaultParagraphFont"/>
    <w:link w:val="BodyText2"/>
    <w:semiHidden/>
    <w:rsid w:val="003717E3"/>
    <w:rPr>
      <w:sz w:val="22"/>
      <w:szCs w:val="22"/>
      <w:lang w:val="en-GB"/>
    </w:rPr>
  </w:style>
  <w:style w:type="character" w:customStyle="1" w:styleId="BodyText3Char">
    <w:name w:val="Body Text 3 Char"/>
    <w:basedOn w:val="DefaultParagraphFont"/>
    <w:link w:val="BodyText3"/>
    <w:semiHidden/>
    <w:rsid w:val="003717E3"/>
    <w:rPr>
      <w:sz w:val="16"/>
      <w:szCs w:val="16"/>
      <w:lang w:val="en-GB"/>
    </w:rPr>
  </w:style>
  <w:style w:type="paragraph" w:styleId="BodyTextFirstIndent">
    <w:name w:val="Body Text First Indent"/>
    <w:basedOn w:val="BodyText"/>
    <w:link w:val="BodyTextFirstIndentChar"/>
    <w:semiHidden/>
    <w:rsid w:val="003717E3"/>
    <w:pPr>
      <w:ind w:firstLine="210"/>
    </w:pPr>
  </w:style>
  <w:style w:type="character" w:customStyle="1" w:styleId="BodyTextFirstIndentChar">
    <w:name w:val="Body Text First Indent Char"/>
    <w:basedOn w:val="BodyTextChar"/>
    <w:link w:val="BodyTextFirstIndent"/>
    <w:semiHidden/>
    <w:rsid w:val="003717E3"/>
    <w:rPr>
      <w:sz w:val="22"/>
      <w:szCs w:val="22"/>
      <w:lang w:val="en-GB"/>
    </w:rPr>
  </w:style>
  <w:style w:type="paragraph" w:styleId="BodyTextFirstIndent2">
    <w:name w:val="Body Text First Indent 2"/>
    <w:basedOn w:val="BodyTextIndent"/>
    <w:link w:val="BodyTextFirstIndent2Char"/>
    <w:semiHidden/>
    <w:rsid w:val="003717E3"/>
    <w:pPr>
      <w:ind w:firstLine="210"/>
    </w:pPr>
    <w:rPr>
      <w:szCs w:val="22"/>
    </w:rPr>
  </w:style>
  <w:style w:type="character" w:customStyle="1" w:styleId="BodyTextFirstIndent2Char">
    <w:name w:val="Body Text First Indent 2 Char"/>
    <w:basedOn w:val="BodyTextIndentChar"/>
    <w:link w:val="BodyTextFirstIndent2"/>
    <w:semiHidden/>
    <w:rsid w:val="003717E3"/>
    <w:rPr>
      <w:sz w:val="22"/>
      <w:szCs w:val="22"/>
      <w:lang w:val="en-GB"/>
    </w:rPr>
  </w:style>
  <w:style w:type="character" w:customStyle="1" w:styleId="BodyTextIndent3Char">
    <w:name w:val="Body Text Indent 3 Char"/>
    <w:basedOn w:val="DefaultParagraphFont"/>
    <w:link w:val="BodyTextIndent3"/>
    <w:semiHidden/>
    <w:rsid w:val="003717E3"/>
    <w:rPr>
      <w:sz w:val="16"/>
      <w:szCs w:val="16"/>
      <w:lang w:val="en-GB"/>
    </w:rPr>
  </w:style>
  <w:style w:type="paragraph" w:styleId="Closing">
    <w:name w:val="Closing"/>
    <w:basedOn w:val="Normal"/>
    <w:link w:val="ClosingChar"/>
    <w:semiHidden/>
    <w:rsid w:val="003717E3"/>
    <w:pPr>
      <w:ind w:left="4320"/>
    </w:pPr>
  </w:style>
  <w:style w:type="character" w:customStyle="1" w:styleId="ClosingChar">
    <w:name w:val="Closing Char"/>
    <w:basedOn w:val="DefaultParagraphFont"/>
    <w:link w:val="Closing"/>
    <w:semiHidden/>
    <w:rsid w:val="003717E3"/>
    <w:rPr>
      <w:sz w:val="22"/>
      <w:szCs w:val="22"/>
      <w:lang w:val="en-GB"/>
    </w:rPr>
  </w:style>
  <w:style w:type="paragraph" w:styleId="E-mailSignature">
    <w:name w:val="E-mail Signature"/>
    <w:basedOn w:val="Normal"/>
    <w:link w:val="E-mailSignatureChar"/>
    <w:semiHidden/>
    <w:rsid w:val="003717E3"/>
  </w:style>
  <w:style w:type="character" w:customStyle="1" w:styleId="E-mailSignatureChar">
    <w:name w:val="E-mail Signature Char"/>
    <w:basedOn w:val="DefaultParagraphFont"/>
    <w:link w:val="E-mailSignature"/>
    <w:semiHidden/>
    <w:rsid w:val="003717E3"/>
    <w:rPr>
      <w:sz w:val="22"/>
      <w:szCs w:val="22"/>
      <w:lang w:val="en-GB"/>
    </w:rPr>
  </w:style>
  <w:style w:type="character" w:styleId="Emphasis">
    <w:name w:val="Emphasis"/>
    <w:basedOn w:val="DefaultParagraphFont"/>
    <w:qFormat/>
    <w:rsid w:val="003717E3"/>
    <w:rPr>
      <w:i/>
      <w:iCs/>
    </w:rPr>
  </w:style>
  <w:style w:type="paragraph" w:styleId="EnvelopeAddress">
    <w:name w:val="envelope address"/>
    <w:basedOn w:val="Normal"/>
    <w:semiHidden/>
    <w:rsid w:val="003717E3"/>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3717E3"/>
    <w:rPr>
      <w:rFonts w:ascii="Arial" w:hAnsi="Arial" w:cs="Arial"/>
      <w:sz w:val="20"/>
    </w:rPr>
  </w:style>
  <w:style w:type="character" w:styleId="HTMLAcronym">
    <w:name w:val="HTML Acronym"/>
    <w:basedOn w:val="DefaultParagraphFont"/>
    <w:semiHidden/>
    <w:rsid w:val="003717E3"/>
  </w:style>
  <w:style w:type="paragraph" w:styleId="HTMLAddress">
    <w:name w:val="HTML Address"/>
    <w:basedOn w:val="Normal"/>
    <w:link w:val="HTMLAddressChar"/>
    <w:semiHidden/>
    <w:rsid w:val="003717E3"/>
    <w:rPr>
      <w:i/>
      <w:iCs/>
    </w:rPr>
  </w:style>
  <w:style w:type="character" w:customStyle="1" w:styleId="HTMLAddressChar">
    <w:name w:val="HTML Address Char"/>
    <w:basedOn w:val="DefaultParagraphFont"/>
    <w:link w:val="HTMLAddress"/>
    <w:semiHidden/>
    <w:rsid w:val="003717E3"/>
    <w:rPr>
      <w:i/>
      <w:iCs/>
      <w:sz w:val="22"/>
      <w:szCs w:val="22"/>
      <w:lang w:val="en-GB"/>
    </w:rPr>
  </w:style>
  <w:style w:type="character" w:styleId="HTMLCite">
    <w:name w:val="HTML Cite"/>
    <w:basedOn w:val="DefaultParagraphFont"/>
    <w:semiHidden/>
    <w:rsid w:val="003717E3"/>
    <w:rPr>
      <w:i/>
      <w:iCs/>
    </w:rPr>
  </w:style>
  <w:style w:type="character" w:styleId="HTMLCode">
    <w:name w:val="HTML Code"/>
    <w:basedOn w:val="DefaultParagraphFont"/>
    <w:semiHidden/>
    <w:rsid w:val="003717E3"/>
    <w:rPr>
      <w:rFonts w:ascii="Courier New" w:hAnsi="Courier New" w:cs="Courier New"/>
      <w:sz w:val="20"/>
      <w:szCs w:val="20"/>
    </w:rPr>
  </w:style>
  <w:style w:type="character" w:styleId="HTMLDefinition">
    <w:name w:val="HTML Definition"/>
    <w:basedOn w:val="DefaultParagraphFont"/>
    <w:semiHidden/>
    <w:rsid w:val="003717E3"/>
    <w:rPr>
      <w:i/>
      <w:iCs/>
    </w:rPr>
  </w:style>
  <w:style w:type="character" w:styleId="HTMLKeyboard">
    <w:name w:val="HTML Keyboard"/>
    <w:basedOn w:val="DefaultParagraphFont"/>
    <w:semiHidden/>
    <w:rsid w:val="003717E3"/>
    <w:rPr>
      <w:rFonts w:ascii="Courier New" w:hAnsi="Courier New" w:cs="Courier New"/>
      <w:sz w:val="20"/>
      <w:szCs w:val="20"/>
    </w:rPr>
  </w:style>
  <w:style w:type="paragraph" w:styleId="HTMLPreformatted">
    <w:name w:val="HTML Preformatted"/>
    <w:basedOn w:val="Normal"/>
    <w:link w:val="HTMLPreformattedChar"/>
    <w:semiHidden/>
    <w:rsid w:val="003717E3"/>
    <w:rPr>
      <w:rFonts w:ascii="Courier New" w:hAnsi="Courier New" w:cs="Courier New"/>
      <w:sz w:val="20"/>
    </w:rPr>
  </w:style>
  <w:style w:type="character" w:customStyle="1" w:styleId="HTMLPreformattedChar">
    <w:name w:val="HTML Preformatted Char"/>
    <w:basedOn w:val="DefaultParagraphFont"/>
    <w:link w:val="HTMLPreformatted"/>
    <w:semiHidden/>
    <w:rsid w:val="003717E3"/>
    <w:rPr>
      <w:rFonts w:ascii="Courier New" w:hAnsi="Courier New" w:cs="Courier New"/>
      <w:szCs w:val="22"/>
      <w:lang w:val="en-GB"/>
    </w:rPr>
  </w:style>
  <w:style w:type="character" w:styleId="HTMLSample">
    <w:name w:val="HTML Sample"/>
    <w:basedOn w:val="DefaultParagraphFont"/>
    <w:semiHidden/>
    <w:rsid w:val="003717E3"/>
    <w:rPr>
      <w:rFonts w:ascii="Courier New" w:hAnsi="Courier New" w:cs="Courier New"/>
    </w:rPr>
  </w:style>
  <w:style w:type="character" w:styleId="HTMLTypewriter">
    <w:name w:val="HTML Typewriter"/>
    <w:basedOn w:val="DefaultParagraphFont"/>
    <w:semiHidden/>
    <w:rsid w:val="003717E3"/>
    <w:rPr>
      <w:rFonts w:ascii="Courier New" w:hAnsi="Courier New" w:cs="Courier New"/>
      <w:sz w:val="20"/>
      <w:szCs w:val="20"/>
    </w:rPr>
  </w:style>
  <w:style w:type="character" w:styleId="HTMLVariable">
    <w:name w:val="HTML Variable"/>
    <w:basedOn w:val="DefaultParagraphFont"/>
    <w:semiHidden/>
    <w:rsid w:val="003717E3"/>
    <w:rPr>
      <w:i/>
      <w:iCs/>
    </w:rPr>
  </w:style>
  <w:style w:type="character" w:styleId="LineNumber">
    <w:name w:val="line number"/>
    <w:basedOn w:val="DefaultParagraphFont"/>
    <w:semiHidden/>
    <w:rsid w:val="003717E3"/>
  </w:style>
  <w:style w:type="paragraph" w:styleId="List">
    <w:name w:val="List"/>
    <w:basedOn w:val="Normal"/>
    <w:semiHidden/>
    <w:rsid w:val="003717E3"/>
    <w:pPr>
      <w:ind w:left="360" w:hanging="360"/>
    </w:pPr>
  </w:style>
  <w:style w:type="paragraph" w:styleId="List2">
    <w:name w:val="List 2"/>
    <w:basedOn w:val="Normal"/>
    <w:semiHidden/>
    <w:rsid w:val="003717E3"/>
    <w:pPr>
      <w:ind w:left="720" w:hanging="360"/>
    </w:pPr>
  </w:style>
  <w:style w:type="paragraph" w:styleId="List3">
    <w:name w:val="List 3"/>
    <w:basedOn w:val="Normal"/>
    <w:semiHidden/>
    <w:rsid w:val="003717E3"/>
    <w:pPr>
      <w:ind w:left="1080" w:hanging="360"/>
    </w:pPr>
  </w:style>
  <w:style w:type="paragraph" w:styleId="List4">
    <w:name w:val="List 4"/>
    <w:basedOn w:val="Normal"/>
    <w:semiHidden/>
    <w:rsid w:val="003717E3"/>
    <w:pPr>
      <w:ind w:left="1440" w:hanging="360"/>
    </w:pPr>
  </w:style>
  <w:style w:type="paragraph" w:styleId="List5">
    <w:name w:val="List 5"/>
    <w:basedOn w:val="Normal"/>
    <w:semiHidden/>
    <w:rsid w:val="003717E3"/>
    <w:pPr>
      <w:ind w:left="1800" w:hanging="360"/>
    </w:pPr>
  </w:style>
  <w:style w:type="paragraph" w:styleId="ListBullet2">
    <w:name w:val="List Bullet 2"/>
    <w:basedOn w:val="Normal"/>
    <w:autoRedefine/>
    <w:semiHidden/>
    <w:rsid w:val="003717E3"/>
    <w:pPr>
      <w:numPr>
        <w:numId w:val="15"/>
      </w:numPr>
    </w:pPr>
  </w:style>
  <w:style w:type="paragraph" w:styleId="ListBullet3">
    <w:name w:val="List Bullet 3"/>
    <w:basedOn w:val="Normal"/>
    <w:autoRedefine/>
    <w:semiHidden/>
    <w:rsid w:val="003717E3"/>
    <w:pPr>
      <w:numPr>
        <w:numId w:val="16"/>
      </w:numPr>
    </w:pPr>
  </w:style>
  <w:style w:type="paragraph" w:styleId="ListBullet4">
    <w:name w:val="List Bullet 4"/>
    <w:basedOn w:val="Normal"/>
    <w:autoRedefine/>
    <w:semiHidden/>
    <w:rsid w:val="003717E3"/>
    <w:pPr>
      <w:numPr>
        <w:numId w:val="17"/>
      </w:numPr>
    </w:pPr>
  </w:style>
  <w:style w:type="paragraph" w:styleId="ListBullet5">
    <w:name w:val="List Bullet 5"/>
    <w:basedOn w:val="Normal"/>
    <w:autoRedefine/>
    <w:semiHidden/>
    <w:rsid w:val="003717E3"/>
    <w:pPr>
      <w:numPr>
        <w:numId w:val="18"/>
      </w:numPr>
    </w:pPr>
  </w:style>
  <w:style w:type="paragraph" w:styleId="ListContinue">
    <w:name w:val="List Continue"/>
    <w:basedOn w:val="Normal"/>
    <w:semiHidden/>
    <w:rsid w:val="003717E3"/>
    <w:pPr>
      <w:spacing w:after="120"/>
      <w:ind w:left="360"/>
    </w:pPr>
  </w:style>
  <w:style w:type="paragraph" w:styleId="ListContinue2">
    <w:name w:val="List Continue 2"/>
    <w:basedOn w:val="Normal"/>
    <w:semiHidden/>
    <w:rsid w:val="003717E3"/>
    <w:pPr>
      <w:spacing w:after="120"/>
      <w:ind w:left="720"/>
    </w:pPr>
  </w:style>
  <w:style w:type="paragraph" w:styleId="ListContinue3">
    <w:name w:val="List Continue 3"/>
    <w:basedOn w:val="Normal"/>
    <w:semiHidden/>
    <w:rsid w:val="003717E3"/>
    <w:pPr>
      <w:spacing w:after="120"/>
      <w:ind w:left="1080"/>
    </w:pPr>
  </w:style>
  <w:style w:type="paragraph" w:styleId="ListContinue4">
    <w:name w:val="List Continue 4"/>
    <w:basedOn w:val="Normal"/>
    <w:semiHidden/>
    <w:rsid w:val="003717E3"/>
    <w:pPr>
      <w:spacing w:after="120"/>
      <w:ind w:left="1440"/>
    </w:pPr>
  </w:style>
  <w:style w:type="paragraph" w:styleId="ListContinue5">
    <w:name w:val="List Continue 5"/>
    <w:basedOn w:val="Normal"/>
    <w:semiHidden/>
    <w:rsid w:val="003717E3"/>
    <w:pPr>
      <w:spacing w:after="120"/>
      <w:ind w:left="1800"/>
    </w:pPr>
  </w:style>
  <w:style w:type="paragraph" w:styleId="ListNumber">
    <w:name w:val="List Number"/>
    <w:basedOn w:val="Normal"/>
    <w:semiHidden/>
    <w:rsid w:val="003717E3"/>
    <w:pPr>
      <w:numPr>
        <w:numId w:val="19"/>
      </w:numPr>
    </w:pPr>
  </w:style>
  <w:style w:type="paragraph" w:styleId="ListNumber2">
    <w:name w:val="List Number 2"/>
    <w:basedOn w:val="Normal"/>
    <w:semiHidden/>
    <w:rsid w:val="003717E3"/>
    <w:pPr>
      <w:numPr>
        <w:numId w:val="20"/>
      </w:numPr>
    </w:pPr>
  </w:style>
  <w:style w:type="paragraph" w:styleId="ListNumber3">
    <w:name w:val="List Number 3"/>
    <w:basedOn w:val="Normal"/>
    <w:semiHidden/>
    <w:rsid w:val="003717E3"/>
    <w:pPr>
      <w:numPr>
        <w:numId w:val="21"/>
      </w:numPr>
    </w:pPr>
  </w:style>
  <w:style w:type="paragraph" w:styleId="ListNumber4">
    <w:name w:val="List Number 4"/>
    <w:basedOn w:val="Normal"/>
    <w:semiHidden/>
    <w:rsid w:val="003717E3"/>
    <w:pPr>
      <w:numPr>
        <w:numId w:val="22"/>
      </w:numPr>
    </w:pPr>
  </w:style>
  <w:style w:type="paragraph" w:styleId="ListNumber5">
    <w:name w:val="List Number 5"/>
    <w:basedOn w:val="Normal"/>
    <w:semiHidden/>
    <w:rsid w:val="003717E3"/>
    <w:pPr>
      <w:numPr>
        <w:numId w:val="23"/>
      </w:numPr>
    </w:pPr>
  </w:style>
  <w:style w:type="paragraph" w:styleId="MessageHeader">
    <w:name w:val="Message Header"/>
    <w:basedOn w:val="Normal"/>
    <w:link w:val="MessageHeaderChar"/>
    <w:semiHidden/>
    <w:rsid w:val="003717E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3717E3"/>
    <w:rPr>
      <w:rFonts w:ascii="Arial" w:hAnsi="Arial" w:cs="Arial"/>
      <w:sz w:val="22"/>
      <w:szCs w:val="24"/>
      <w:shd w:val="pct20" w:color="auto" w:fill="auto"/>
      <w:lang w:val="en-GB"/>
    </w:rPr>
  </w:style>
  <w:style w:type="paragraph" w:styleId="NormalIndent">
    <w:name w:val="Normal Indent"/>
    <w:basedOn w:val="Normal"/>
    <w:semiHidden/>
    <w:rsid w:val="003717E3"/>
    <w:pPr>
      <w:ind w:left="720"/>
    </w:pPr>
  </w:style>
  <w:style w:type="paragraph" w:styleId="NoteHeading">
    <w:name w:val="Note Heading"/>
    <w:basedOn w:val="Normal"/>
    <w:next w:val="Normal"/>
    <w:link w:val="NoteHeadingChar"/>
    <w:semiHidden/>
    <w:rsid w:val="003717E3"/>
  </w:style>
  <w:style w:type="character" w:customStyle="1" w:styleId="NoteHeadingChar">
    <w:name w:val="Note Heading Char"/>
    <w:basedOn w:val="DefaultParagraphFont"/>
    <w:link w:val="NoteHeading"/>
    <w:semiHidden/>
    <w:rsid w:val="003717E3"/>
    <w:rPr>
      <w:sz w:val="22"/>
      <w:szCs w:val="22"/>
      <w:lang w:val="en-GB"/>
    </w:rPr>
  </w:style>
  <w:style w:type="character" w:customStyle="1" w:styleId="PlainTextChar">
    <w:name w:val="Plain Text Char"/>
    <w:basedOn w:val="DefaultParagraphFont"/>
    <w:link w:val="PlainText"/>
    <w:uiPriority w:val="99"/>
    <w:rsid w:val="003717E3"/>
    <w:rPr>
      <w:rFonts w:ascii="Courier New" w:hAnsi="Courier New" w:cs="Courier New"/>
      <w:szCs w:val="22"/>
      <w:lang w:val="en-GB"/>
    </w:rPr>
  </w:style>
  <w:style w:type="paragraph" w:styleId="Salutation">
    <w:name w:val="Salutation"/>
    <w:basedOn w:val="Normal"/>
    <w:next w:val="Normal"/>
    <w:link w:val="SalutationChar"/>
    <w:semiHidden/>
    <w:rsid w:val="003717E3"/>
  </w:style>
  <w:style w:type="character" w:customStyle="1" w:styleId="SalutationChar">
    <w:name w:val="Salutation Char"/>
    <w:basedOn w:val="DefaultParagraphFont"/>
    <w:link w:val="Salutation"/>
    <w:semiHidden/>
    <w:rsid w:val="003717E3"/>
    <w:rPr>
      <w:sz w:val="22"/>
      <w:szCs w:val="22"/>
      <w:lang w:val="en-GB"/>
    </w:rPr>
  </w:style>
  <w:style w:type="paragraph" w:styleId="Signature">
    <w:name w:val="Signature"/>
    <w:basedOn w:val="Normal"/>
    <w:link w:val="SignatureChar"/>
    <w:semiHidden/>
    <w:rsid w:val="003717E3"/>
    <w:pPr>
      <w:ind w:left="4320"/>
    </w:pPr>
  </w:style>
  <w:style w:type="character" w:customStyle="1" w:styleId="SignatureChar">
    <w:name w:val="Signature Char"/>
    <w:basedOn w:val="DefaultParagraphFont"/>
    <w:link w:val="Signature"/>
    <w:semiHidden/>
    <w:rsid w:val="003717E3"/>
    <w:rPr>
      <w:sz w:val="22"/>
      <w:szCs w:val="22"/>
      <w:lang w:val="en-GB"/>
    </w:rPr>
  </w:style>
  <w:style w:type="character" w:styleId="Strong">
    <w:name w:val="Strong"/>
    <w:basedOn w:val="DefaultParagraphFont"/>
    <w:qFormat/>
    <w:rsid w:val="003717E3"/>
    <w:rPr>
      <w:b/>
      <w:bCs/>
    </w:rPr>
  </w:style>
  <w:style w:type="character" w:customStyle="1" w:styleId="SubtitleChar">
    <w:name w:val="Subtitle Char"/>
    <w:basedOn w:val="DefaultParagraphFont"/>
    <w:link w:val="Subtitle"/>
    <w:rsid w:val="003717E3"/>
    <w:rPr>
      <w:rFonts w:ascii="Arial" w:hAnsi="Arial" w:cs="Arial"/>
      <w:sz w:val="22"/>
      <w:szCs w:val="22"/>
      <w:lang w:val="en-GB"/>
    </w:rPr>
  </w:style>
  <w:style w:type="character" w:customStyle="1" w:styleId="TitleChar">
    <w:name w:val="Title Char"/>
    <w:basedOn w:val="DefaultParagraphFont"/>
    <w:link w:val="Title"/>
    <w:rsid w:val="003717E3"/>
    <w:rPr>
      <w:rFonts w:ascii="Arial" w:hAnsi="Arial" w:cs="Arial"/>
      <w:b/>
      <w:bCs/>
      <w:kern w:val="28"/>
      <w:sz w:val="22"/>
      <w:szCs w:val="22"/>
      <w:lang w:val="en-GB"/>
    </w:rPr>
  </w:style>
  <w:style w:type="character" w:customStyle="1" w:styleId="DateChar">
    <w:name w:val="Date Char"/>
    <w:basedOn w:val="DefaultParagraphFont"/>
    <w:link w:val="Date"/>
    <w:rsid w:val="003717E3"/>
    <w:rPr>
      <w:sz w:val="22"/>
      <w:szCs w:val="22"/>
      <w:lang w:val="en-GB"/>
    </w:rPr>
  </w:style>
  <w:style w:type="paragraph" w:customStyle="1" w:styleId="Title2">
    <w:name w:val="Title2"/>
    <w:rsid w:val="003717E3"/>
    <w:pPr>
      <w:jc w:val="center"/>
      <w:outlineLvl w:val="0"/>
    </w:pPr>
    <w:rPr>
      <w:b/>
      <w:caps/>
      <w:sz w:val="22"/>
      <w:szCs w:val="22"/>
      <w:lang w:val="en-GB"/>
    </w:rPr>
  </w:style>
  <w:style w:type="paragraph" w:customStyle="1" w:styleId="titleChar0">
    <w:name w:val="title Char"/>
    <w:link w:val="titleCharChar"/>
    <w:rsid w:val="003717E3"/>
    <w:pPr>
      <w:jc w:val="center"/>
      <w:outlineLvl w:val="0"/>
    </w:pPr>
    <w:rPr>
      <w:b/>
      <w:caps/>
      <w:sz w:val="24"/>
      <w:szCs w:val="22"/>
      <w:lang w:val="en-GB"/>
    </w:rPr>
  </w:style>
  <w:style w:type="character" w:customStyle="1" w:styleId="titleCharChar">
    <w:name w:val="title Char Char"/>
    <w:link w:val="titleChar0"/>
    <w:rsid w:val="003717E3"/>
    <w:rPr>
      <w:b/>
      <w:caps/>
      <w:sz w:val="24"/>
      <w:szCs w:val="22"/>
      <w:lang w:val="en-GB"/>
    </w:rPr>
  </w:style>
  <w:style w:type="paragraph" w:customStyle="1" w:styleId="Footer1">
    <w:name w:val="Footer1"/>
    <w:basedOn w:val="Normal"/>
    <w:rsid w:val="003717E3"/>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3717E3"/>
    <w:pPr>
      <w:tabs>
        <w:tab w:val="clear" w:pos="4320"/>
        <w:tab w:val="clear" w:pos="8640"/>
      </w:tabs>
    </w:pPr>
    <w:rPr>
      <w:b/>
      <w:bCs/>
      <w:sz w:val="24"/>
      <w:szCs w:val="24"/>
      <w:u w:val="single"/>
    </w:rPr>
  </w:style>
  <w:style w:type="character" w:customStyle="1" w:styleId="0Heading0Char1">
    <w:name w:val="0 Heading 0 Char1"/>
    <w:rsid w:val="003717E3"/>
    <w:rPr>
      <w:sz w:val="24"/>
      <w:lang w:val="en-GB" w:eastAsia="en-US" w:bidi="ar-SA"/>
    </w:rPr>
  </w:style>
  <w:style w:type="character" w:customStyle="1" w:styleId="0Heading0Char2">
    <w:name w:val="0 Heading 0 Char2"/>
    <w:rsid w:val="003717E3"/>
    <w:rPr>
      <w:sz w:val="22"/>
      <w:szCs w:val="22"/>
      <w:lang w:val="en-GB" w:eastAsia="en-US" w:bidi="ar-SA"/>
    </w:rPr>
  </w:style>
  <w:style w:type="character" w:customStyle="1" w:styleId="Para1Char1">
    <w:name w:val="Para (1) Char1"/>
    <w:rsid w:val="003717E3"/>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3717E3"/>
    <w:rPr>
      <w:sz w:val="24"/>
      <w:lang w:val="en-GB" w:eastAsia="en-US" w:bidi="ar-SA"/>
    </w:rPr>
  </w:style>
  <w:style w:type="paragraph" w:styleId="Revision">
    <w:name w:val="Revision"/>
    <w:hidden/>
    <w:uiPriority w:val="99"/>
    <w:semiHidden/>
    <w:rsid w:val="006315F3"/>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6315F3"/>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6315F3"/>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6315F3"/>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6315F3"/>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6315F3"/>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6315F3"/>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6315F3"/>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6315F3"/>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6315F3"/>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6315F3"/>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6315F3"/>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DC7FB5"/>
    <w:pPr>
      <w:widowControl w:val="0"/>
      <w:jc w:val="left"/>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4678">
      <w:bodyDiv w:val="1"/>
      <w:marLeft w:val="0"/>
      <w:marRight w:val="0"/>
      <w:marTop w:val="0"/>
      <w:marBottom w:val="0"/>
      <w:divBdr>
        <w:top w:val="none" w:sz="0" w:space="0" w:color="auto"/>
        <w:left w:val="none" w:sz="0" w:space="0" w:color="auto"/>
        <w:bottom w:val="none" w:sz="0" w:space="0" w:color="auto"/>
        <w:right w:val="none" w:sz="0" w:space="0" w:color="auto"/>
      </w:divBdr>
      <w:divsChild>
        <w:div w:id="688676774">
          <w:marLeft w:val="1166"/>
          <w:marRight w:val="0"/>
          <w:marTop w:val="0"/>
          <w:marBottom w:val="120"/>
          <w:divBdr>
            <w:top w:val="none" w:sz="0" w:space="0" w:color="auto"/>
            <w:left w:val="none" w:sz="0" w:space="0" w:color="auto"/>
            <w:bottom w:val="none" w:sz="0" w:space="0" w:color="auto"/>
            <w:right w:val="none" w:sz="0" w:space="0" w:color="auto"/>
          </w:divBdr>
        </w:div>
        <w:div w:id="715349639">
          <w:marLeft w:val="1166"/>
          <w:marRight w:val="0"/>
          <w:marTop w:val="0"/>
          <w:marBottom w:val="120"/>
          <w:divBdr>
            <w:top w:val="none" w:sz="0" w:space="0" w:color="auto"/>
            <w:left w:val="none" w:sz="0" w:space="0" w:color="auto"/>
            <w:bottom w:val="none" w:sz="0" w:space="0" w:color="auto"/>
            <w:right w:val="none" w:sz="0" w:space="0" w:color="auto"/>
          </w:divBdr>
        </w:div>
        <w:div w:id="724185388">
          <w:marLeft w:val="1166"/>
          <w:marRight w:val="0"/>
          <w:marTop w:val="0"/>
          <w:marBottom w:val="120"/>
          <w:divBdr>
            <w:top w:val="none" w:sz="0" w:space="0" w:color="auto"/>
            <w:left w:val="none" w:sz="0" w:space="0" w:color="auto"/>
            <w:bottom w:val="none" w:sz="0" w:space="0" w:color="auto"/>
            <w:right w:val="none" w:sz="0" w:space="0" w:color="auto"/>
          </w:divBdr>
        </w:div>
        <w:div w:id="926959679">
          <w:marLeft w:val="446"/>
          <w:marRight w:val="0"/>
          <w:marTop w:val="0"/>
          <w:marBottom w:val="120"/>
          <w:divBdr>
            <w:top w:val="none" w:sz="0" w:space="0" w:color="auto"/>
            <w:left w:val="none" w:sz="0" w:space="0" w:color="auto"/>
            <w:bottom w:val="none" w:sz="0" w:space="0" w:color="auto"/>
            <w:right w:val="none" w:sz="0" w:space="0" w:color="auto"/>
          </w:divBdr>
        </w:div>
        <w:div w:id="1110509081">
          <w:marLeft w:val="446"/>
          <w:marRight w:val="0"/>
          <w:marTop w:val="0"/>
          <w:marBottom w:val="120"/>
          <w:divBdr>
            <w:top w:val="none" w:sz="0" w:space="0" w:color="auto"/>
            <w:left w:val="none" w:sz="0" w:space="0" w:color="auto"/>
            <w:bottom w:val="none" w:sz="0" w:space="0" w:color="auto"/>
            <w:right w:val="none" w:sz="0" w:space="0" w:color="auto"/>
          </w:divBdr>
        </w:div>
        <w:div w:id="1397244545">
          <w:marLeft w:val="1166"/>
          <w:marRight w:val="0"/>
          <w:marTop w:val="0"/>
          <w:marBottom w:val="120"/>
          <w:divBdr>
            <w:top w:val="none" w:sz="0" w:space="0" w:color="auto"/>
            <w:left w:val="none" w:sz="0" w:space="0" w:color="auto"/>
            <w:bottom w:val="none" w:sz="0" w:space="0" w:color="auto"/>
            <w:right w:val="none" w:sz="0" w:space="0" w:color="auto"/>
          </w:divBdr>
        </w:div>
        <w:div w:id="1619340219">
          <w:marLeft w:val="1166"/>
          <w:marRight w:val="0"/>
          <w:marTop w:val="0"/>
          <w:marBottom w:val="120"/>
          <w:divBdr>
            <w:top w:val="none" w:sz="0" w:space="0" w:color="auto"/>
            <w:left w:val="none" w:sz="0" w:space="0" w:color="auto"/>
            <w:bottom w:val="none" w:sz="0" w:space="0" w:color="auto"/>
            <w:right w:val="none" w:sz="0" w:space="0" w:color="auto"/>
          </w:divBdr>
        </w:div>
        <w:div w:id="2030327633">
          <w:marLeft w:val="1166"/>
          <w:marRight w:val="0"/>
          <w:marTop w:val="0"/>
          <w:marBottom w:val="120"/>
          <w:divBdr>
            <w:top w:val="none" w:sz="0" w:space="0" w:color="auto"/>
            <w:left w:val="none" w:sz="0" w:space="0" w:color="auto"/>
            <w:bottom w:val="none" w:sz="0" w:space="0" w:color="auto"/>
            <w:right w:val="none" w:sz="0" w:space="0" w:color="auto"/>
          </w:divBdr>
        </w:div>
      </w:divsChild>
    </w:div>
    <w:div w:id="104273150">
      <w:bodyDiv w:val="1"/>
      <w:marLeft w:val="0"/>
      <w:marRight w:val="0"/>
      <w:marTop w:val="0"/>
      <w:marBottom w:val="0"/>
      <w:divBdr>
        <w:top w:val="none" w:sz="0" w:space="0" w:color="auto"/>
        <w:left w:val="none" w:sz="0" w:space="0" w:color="auto"/>
        <w:bottom w:val="none" w:sz="0" w:space="0" w:color="auto"/>
        <w:right w:val="none" w:sz="0" w:space="0" w:color="auto"/>
      </w:divBdr>
    </w:div>
    <w:div w:id="152332568">
      <w:bodyDiv w:val="1"/>
      <w:marLeft w:val="0"/>
      <w:marRight w:val="0"/>
      <w:marTop w:val="0"/>
      <w:marBottom w:val="0"/>
      <w:divBdr>
        <w:top w:val="none" w:sz="0" w:space="0" w:color="auto"/>
        <w:left w:val="none" w:sz="0" w:space="0" w:color="auto"/>
        <w:bottom w:val="none" w:sz="0" w:space="0" w:color="auto"/>
        <w:right w:val="none" w:sz="0" w:space="0" w:color="auto"/>
      </w:divBdr>
    </w:div>
    <w:div w:id="158740533">
      <w:bodyDiv w:val="1"/>
      <w:marLeft w:val="0"/>
      <w:marRight w:val="0"/>
      <w:marTop w:val="0"/>
      <w:marBottom w:val="0"/>
      <w:divBdr>
        <w:top w:val="none" w:sz="0" w:space="0" w:color="auto"/>
        <w:left w:val="none" w:sz="0" w:space="0" w:color="auto"/>
        <w:bottom w:val="none" w:sz="0" w:space="0" w:color="auto"/>
        <w:right w:val="none" w:sz="0" w:space="0" w:color="auto"/>
      </w:divBdr>
    </w:div>
    <w:div w:id="407457523">
      <w:bodyDiv w:val="1"/>
      <w:marLeft w:val="0"/>
      <w:marRight w:val="0"/>
      <w:marTop w:val="0"/>
      <w:marBottom w:val="0"/>
      <w:divBdr>
        <w:top w:val="none" w:sz="0" w:space="0" w:color="auto"/>
        <w:left w:val="none" w:sz="0" w:space="0" w:color="auto"/>
        <w:bottom w:val="none" w:sz="0" w:space="0" w:color="auto"/>
        <w:right w:val="none" w:sz="0" w:space="0" w:color="auto"/>
      </w:divBdr>
    </w:div>
    <w:div w:id="616984752">
      <w:bodyDiv w:val="1"/>
      <w:marLeft w:val="0"/>
      <w:marRight w:val="0"/>
      <w:marTop w:val="0"/>
      <w:marBottom w:val="0"/>
      <w:divBdr>
        <w:top w:val="none" w:sz="0" w:space="0" w:color="auto"/>
        <w:left w:val="none" w:sz="0" w:space="0" w:color="auto"/>
        <w:bottom w:val="none" w:sz="0" w:space="0" w:color="auto"/>
        <w:right w:val="none" w:sz="0" w:space="0" w:color="auto"/>
      </w:divBdr>
      <w:divsChild>
        <w:div w:id="333386900">
          <w:marLeft w:val="1166"/>
          <w:marRight w:val="0"/>
          <w:marTop w:val="0"/>
          <w:marBottom w:val="20"/>
          <w:divBdr>
            <w:top w:val="none" w:sz="0" w:space="0" w:color="auto"/>
            <w:left w:val="none" w:sz="0" w:space="0" w:color="auto"/>
            <w:bottom w:val="none" w:sz="0" w:space="0" w:color="auto"/>
            <w:right w:val="none" w:sz="0" w:space="0" w:color="auto"/>
          </w:divBdr>
        </w:div>
        <w:div w:id="485099177">
          <w:marLeft w:val="1166"/>
          <w:marRight w:val="0"/>
          <w:marTop w:val="0"/>
          <w:marBottom w:val="20"/>
          <w:divBdr>
            <w:top w:val="none" w:sz="0" w:space="0" w:color="auto"/>
            <w:left w:val="none" w:sz="0" w:space="0" w:color="auto"/>
            <w:bottom w:val="none" w:sz="0" w:space="0" w:color="auto"/>
            <w:right w:val="none" w:sz="0" w:space="0" w:color="auto"/>
          </w:divBdr>
        </w:div>
        <w:div w:id="1007682637">
          <w:marLeft w:val="1886"/>
          <w:marRight w:val="0"/>
          <w:marTop w:val="0"/>
          <w:marBottom w:val="20"/>
          <w:divBdr>
            <w:top w:val="none" w:sz="0" w:space="0" w:color="auto"/>
            <w:left w:val="none" w:sz="0" w:space="0" w:color="auto"/>
            <w:bottom w:val="none" w:sz="0" w:space="0" w:color="auto"/>
            <w:right w:val="none" w:sz="0" w:space="0" w:color="auto"/>
          </w:divBdr>
        </w:div>
        <w:div w:id="1014919836">
          <w:marLeft w:val="446"/>
          <w:marRight w:val="0"/>
          <w:marTop w:val="0"/>
          <w:marBottom w:val="20"/>
          <w:divBdr>
            <w:top w:val="none" w:sz="0" w:space="0" w:color="auto"/>
            <w:left w:val="none" w:sz="0" w:space="0" w:color="auto"/>
            <w:bottom w:val="none" w:sz="0" w:space="0" w:color="auto"/>
            <w:right w:val="none" w:sz="0" w:space="0" w:color="auto"/>
          </w:divBdr>
        </w:div>
        <w:div w:id="1430078826">
          <w:marLeft w:val="446"/>
          <w:marRight w:val="0"/>
          <w:marTop w:val="0"/>
          <w:marBottom w:val="20"/>
          <w:divBdr>
            <w:top w:val="none" w:sz="0" w:space="0" w:color="auto"/>
            <w:left w:val="none" w:sz="0" w:space="0" w:color="auto"/>
            <w:bottom w:val="none" w:sz="0" w:space="0" w:color="auto"/>
            <w:right w:val="none" w:sz="0" w:space="0" w:color="auto"/>
          </w:divBdr>
        </w:div>
        <w:div w:id="1584602278">
          <w:marLeft w:val="1886"/>
          <w:marRight w:val="0"/>
          <w:marTop w:val="0"/>
          <w:marBottom w:val="20"/>
          <w:divBdr>
            <w:top w:val="none" w:sz="0" w:space="0" w:color="auto"/>
            <w:left w:val="none" w:sz="0" w:space="0" w:color="auto"/>
            <w:bottom w:val="none" w:sz="0" w:space="0" w:color="auto"/>
            <w:right w:val="none" w:sz="0" w:space="0" w:color="auto"/>
          </w:divBdr>
        </w:div>
        <w:div w:id="1882546057">
          <w:marLeft w:val="1166"/>
          <w:marRight w:val="0"/>
          <w:marTop w:val="0"/>
          <w:marBottom w:val="20"/>
          <w:divBdr>
            <w:top w:val="none" w:sz="0" w:space="0" w:color="auto"/>
            <w:left w:val="none" w:sz="0" w:space="0" w:color="auto"/>
            <w:bottom w:val="none" w:sz="0" w:space="0" w:color="auto"/>
            <w:right w:val="none" w:sz="0" w:space="0" w:color="auto"/>
          </w:divBdr>
        </w:div>
        <w:div w:id="1908226415">
          <w:marLeft w:val="1166"/>
          <w:marRight w:val="0"/>
          <w:marTop w:val="0"/>
          <w:marBottom w:val="20"/>
          <w:divBdr>
            <w:top w:val="none" w:sz="0" w:space="0" w:color="auto"/>
            <w:left w:val="none" w:sz="0" w:space="0" w:color="auto"/>
            <w:bottom w:val="none" w:sz="0" w:space="0" w:color="auto"/>
            <w:right w:val="none" w:sz="0" w:space="0" w:color="auto"/>
          </w:divBdr>
        </w:div>
        <w:div w:id="1928221789">
          <w:marLeft w:val="1166"/>
          <w:marRight w:val="0"/>
          <w:marTop w:val="0"/>
          <w:marBottom w:val="20"/>
          <w:divBdr>
            <w:top w:val="none" w:sz="0" w:space="0" w:color="auto"/>
            <w:left w:val="none" w:sz="0" w:space="0" w:color="auto"/>
            <w:bottom w:val="none" w:sz="0" w:space="0" w:color="auto"/>
            <w:right w:val="none" w:sz="0" w:space="0" w:color="auto"/>
          </w:divBdr>
        </w:div>
        <w:div w:id="2094426313">
          <w:marLeft w:val="1166"/>
          <w:marRight w:val="0"/>
          <w:marTop w:val="0"/>
          <w:marBottom w:val="20"/>
          <w:divBdr>
            <w:top w:val="none" w:sz="0" w:space="0" w:color="auto"/>
            <w:left w:val="none" w:sz="0" w:space="0" w:color="auto"/>
            <w:bottom w:val="none" w:sz="0" w:space="0" w:color="auto"/>
            <w:right w:val="none" w:sz="0" w:space="0" w:color="auto"/>
          </w:divBdr>
        </w:div>
      </w:divsChild>
    </w:div>
    <w:div w:id="825167450">
      <w:bodyDiv w:val="1"/>
      <w:marLeft w:val="0"/>
      <w:marRight w:val="0"/>
      <w:marTop w:val="0"/>
      <w:marBottom w:val="0"/>
      <w:divBdr>
        <w:top w:val="none" w:sz="0" w:space="0" w:color="auto"/>
        <w:left w:val="none" w:sz="0" w:space="0" w:color="auto"/>
        <w:bottom w:val="none" w:sz="0" w:space="0" w:color="auto"/>
        <w:right w:val="none" w:sz="0" w:space="0" w:color="auto"/>
      </w:divBdr>
    </w:div>
    <w:div w:id="864295195">
      <w:bodyDiv w:val="1"/>
      <w:marLeft w:val="0"/>
      <w:marRight w:val="0"/>
      <w:marTop w:val="0"/>
      <w:marBottom w:val="0"/>
      <w:divBdr>
        <w:top w:val="none" w:sz="0" w:space="0" w:color="auto"/>
        <w:left w:val="none" w:sz="0" w:space="0" w:color="auto"/>
        <w:bottom w:val="none" w:sz="0" w:space="0" w:color="auto"/>
        <w:right w:val="none" w:sz="0" w:space="0" w:color="auto"/>
      </w:divBdr>
    </w:div>
    <w:div w:id="980234635">
      <w:bodyDiv w:val="1"/>
      <w:marLeft w:val="0"/>
      <w:marRight w:val="0"/>
      <w:marTop w:val="0"/>
      <w:marBottom w:val="0"/>
      <w:divBdr>
        <w:top w:val="none" w:sz="0" w:space="0" w:color="auto"/>
        <w:left w:val="none" w:sz="0" w:space="0" w:color="auto"/>
        <w:bottom w:val="none" w:sz="0" w:space="0" w:color="auto"/>
        <w:right w:val="none" w:sz="0" w:space="0" w:color="auto"/>
      </w:divBdr>
      <w:divsChild>
        <w:div w:id="813377877">
          <w:marLeft w:val="0"/>
          <w:marRight w:val="0"/>
          <w:marTop w:val="0"/>
          <w:marBottom w:val="0"/>
          <w:divBdr>
            <w:top w:val="none" w:sz="0" w:space="0" w:color="auto"/>
            <w:left w:val="none" w:sz="0" w:space="0" w:color="auto"/>
            <w:bottom w:val="none" w:sz="0" w:space="0" w:color="auto"/>
            <w:right w:val="none" w:sz="0" w:space="0" w:color="auto"/>
          </w:divBdr>
          <w:divsChild>
            <w:div w:id="288556147">
              <w:marLeft w:val="0"/>
              <w:marRight w:val="0"/>
              <w:marTop w:val="0"/>
              <w:marBottom w:val="0"/>
              <w:divBdr>
                <w:top w:val="none" w:sz="0" w:space="0" w:color="auto"/>
                <w:left w:val="none" w:sz="0" w:space="0" w:color="auto"/>
                <w:bottom w:val="none" w:sz="0" w:space="0" w:color="auto"/>
                <w:right w:val="none" w:sz="0" w:space="0" w:color="auto"/>
              </w:divBdr>
              <w:divsChild>
                <w:div w:id="965045740">
                  <w:marLeft w:val="-225"/>
                  <w:marRight w:val="-225"/>
                  <w:marTop w:val="0"/>
                  <w:marBottom w:val="0"/>
                  <w:divBdr>
                    <w:top w:val="none" w:sz="0" w:space="0" w:color="auto"/>
                    <w:left w:val="none" w:sz="0" w:space="0" w:color="auto"/>
                    <w:bottom w:val="none" w:sz="0" w:space="0" w:color="auto"/>
                    <w:right w:val="none" w:sz="0" w:space="0" w:color="auto"/>
                  </w:divBdr>
                  <w:divsChild>
                    <w:div w:id="1514106806">
                      <w:marLeft w:val="0"/>
                      <w:marRight w:val="0"/>
                      <w:marTop w:val="0"/>
                      <w:marBottom w:val="0"/>
                      <w:divBdr>
                        <w:top w:val="none" w:sz="0" w:space="0" w:color="auto"/>
                        <w:left w:val="none" w:sz="0" w:space="0" w:color="auto"/>
                        <w:bottom w:val="none" w:sz="0" w:space="0" w:color="auto"/>
                        <w:right w:val="none" w:sz="0" w:space="0" w:color="auto"/>
                      </w:divBdr>
                      <w:divsChild>
                        <w:div w:id="309022384">
                          <w:marLeft w:val="0"/>
                          <w:marRight w:val="0"/>
                          <w:marTop w:val="0"/>
                          <w:marBottom w:val="0"/>
                          <w:divBdr>
                            <w:top w:val="none" w:sz="0" w:space="0" w:color="auto"/>
                            <w:left w:val="none" w:sz="0" w:space="0" w:color="auto"/>
                            <w:bottom w:val="none" w:sz="0" w:space="0" w:color="auto"/>
                            <w:right w:val="none" w:sz="0" w:space="0" w:color="auto"/>
                          </w:divBdr>
                          <w:divsChild>
                            <w:div w:id="192497149">
                              <w:marLeft w:val="0"/>
                              <w:marRight w:val="0"/>
                              <w:marTop w:val="0"/>
                              <w:marBottom w:val="0"/>
                              <w:divBdr>
                                <w:top w:val="none" w:sz="0" w:space="0" w:color="auto"/>
                                <w:left w:val="none" w:sz="0" w:space="0" w:color="auto"/>
                                <w:bottom w:val="none" w:sz="0" w:space="0" w:color="auto"/>
                                <w:right w:val="none" w:sz="0" w:space="0" w:color="auto"/>
                              </w:divBdr>
                              <w:divsChild>
                                <w:div w:id="1151798463">
                                  <w:marLeft w:val="0"/>
                                  <w:marRight w:val="0"/>
                                  <w:marTop w:val="0"/>
                                  <w:marBottom w:val="0"/>
                                  <w:divBdr>
                                    <w:top w:val="none" w:sz="0" w:space="0" w:color="auto"/>
                                    <w:left w:val="none" w:sz="0" w:space="0" w:color="auto"/>
                                    <w:bottom w:val="none" w:sz="0" w:space="0" w:color="auto"/>
                                    <w:right w:val="none" w:sz="0" w:space="0" w:color="auto"/>
                                  </w:divBdr>
                                  <w:divsChild>
                                    <w:div w:id="712077668">
                                      <w:marLeft w:val="0"/>
                                      <w:marRight w:val="0"/>
                                      <w:marTop w:val="0"/>
                                      <w:marBottom w:val="0"/>
                                      <w:divBdr>
                                        <w:top w:val="none" w:sz="0" w:space="0" w:color="auto"/>
                                        <w:left w:val="none" w:sz="0" w:space="0" w:color="auto"/>
                                        <w:bottom w:val="none" w:sz="0" w:space="0" w:color="auto"/>
                                        <w:right w:val="none" w:sz="0" w:space="0" w:color="auto"/>
                                      </w:divBdr>
                                    </w:div>
                                  </w:divsChild>
                                </w:div>
                                <w:div w:id="1720400811">
                                  <w:marLeft w:val="0"/>
                                  <w:marRight w:val="0"/>
                                  <w:marTop w:val="0"/>
                                  <w:marBottom w:val="0"/>
                                  <w:divBdr>
                                    <w:top w:val="none" w:sz="0" w:space="0" w:color="auto"/>
                                    <w:left w:val="none" w:sz="0" w:space="0" w:color="auto"/>
                                    <w:bottom w:val="none" w:sz="0" w:space="0" w:color="auto"/>
                                    <w:right w:val="none" w:sz="0" w:space="0" w:color="auto"/>
                                  </w:divBdr>
                                  <w:divsChild>
                                    <w:div w:id="199317423">
                                      <w:marLeft w:val="0"/>
                                      <w:marRight w:val="0"/>
                                      <w:marTop w:val="0"/>
                                      <w:marBottom w:val="0"/>
                                      <w:divBdr>
                                        <w:top w:val="none" w:sz="0" w:space="0" w:color="auto"/>
                                        <w:left w:val="none" w:sz="0" w:space="0" w:color="auto"/>
                                        <w:bottom w:val="none" w:sz="0" w:space="0" w:color="auto"/>
                                        <w:right w:val="none" w:sz="0" w:space="0" w:color="auto"/>
                                      </w:divBdr>
                                      <w:divsChild>
                                        <w:div w:id="513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355607">
      <w:bodyDiv w:val="1"/>
      <w:marLeft w:val="0"/>
      <w:marRight w:val="0"/>
      <w:marTop w:val="0"/>
      <w:marBottom w:val="0"/>
      <w:divBdr>
        <w:top w:val="none" w:sz="0" w:space="0" w:color="auto"/>
        <w:left w:val="none" w:sz="0" w:space="0" w:color="auto"/>
        <w:bottom w:val="none" w:sz="0" w:space="0" w:color="auto"/>
        <w:right w:val="none" w:sz="0" w:space="0" w:color="auto"/>
      </w:divBdr>
    </w:div>
    <w:div w:id="1306666073">
      <w:bodyDiv w:val="1"/>
      <w:marLeft w:val="0"/>
      <w:marRight w:val="0"/>
      <w:marTop w:val="0"/>
      <w:marBottom w:val="0"/>
      <w:divBdr>
        <w:top w:val="none" w:sz="0" w:space="0" w:color="auto"/>
        <w:left w:val="none" w:sz="0" w:space="0" w:color="auto"/>
        <w:bottom w:val="none" w:sz="0" w:space="0" w:color="auto"/>
        <w:right w:val="none" w:sz="0" w:space="0" w:color="auto"/>
      </w:divBdr>
    </w:div>
    <w:div w:id="1319848620">
      <w:bodyDiv w:val="1"/>
      <w:marLeft w:val="0"/>
      <w:marRight w:val="0"/>
      <w:marTop w:val="0"/>
      <w:marBottom w:val="0"/>
      <w:divBdr>
        <w:top w:val="none" w:sz="0" w:space="0" w:color="auto"/>
        <w:left w:val="none" w:sz="0" w:space="0" w:color="auto"/>
        <w:bottom w:val="none" w:sz="0" w:space="0" w:color="auto"/>
        <w:right w:val="none" w:sz="0" w:space="0" w:color="auto"/>
      </w:divBdr>
    </w:div>
    <w:div w:id="1328485705">
      <w:bodyDiv w:val="1"/>
      <w:marLeft w:val="0"/>
      <w:marRight w:val="0"/>
      <w:marTop w:val="0"/>
      <w:marBottom w:val="0"/>
      <w:divBdr>
        <w:top w:val="none" w:sz="0" w:space="0" w:color="auto"/>
        <w:left w:val="none" w:sz="0" w:space="0" w:color="auto"/>
        <w:bottom w:val="none" w:sz="0" w:space="0" w:color="auto"/>
        <w:right w:val="none" w:sz="0" w:space="0" w:color="auto"/>
      </w:divBdr>
    </w:div>
    <w:div w:id="1797865573">
      <w:bodyDiv w:val="1"/>
      <w:marLeft w:val="0"/>
      <w:marRight w:val="0"/>
      <w:marTop w:val="0"/>
      <w:marBottom w:val="0"/>
      <w:divBdr>
        <w:top w:val="none" w:sz="0" w:space="0" w:color="auto"/>
        <w:left w:val="none" w:sz="0" w:space="0" w:color="auto"/>
        <w:bottom w:val="none" w:sz="0" w:space="0" w:color="auto"/>
        <w:right w:val="none" w:sz="0" w:space="0" w:color="auto"/>
      </w:divBdr>
    </w:div>
    <w:div w:id="1855222781">
      <w:bodyDiv w:val="1"/>
      <w:marLeft w:val="0"/>
      <w:marRight w:val="0"/>
      <w:marTop w:val="0"/>
      <w:marBottom w:val="0"/>
      <w:divBdr>
        <w:top w:val="none" w:sz="0" w:space="0" w:color="auto"/>
        <w:left w:val="none" w:sz="0" w:space="0" w:color="auto"/>
        <w:bottom w:val="none" w:sz="0" w:space="0" w:color="auto"/>
        <w:right w:val="none" w:sz="0" w:space="0" w:color="auto"/>
      </w:divBdr>
      <w:divsChild>
        <w:div w:id="1840535654">
          <w:marLeft w:val="0"/>
          <w:marRight w:val="0"/>
          <w:marTop w:val="0"/>
          <w:marBottom w:val="0"/>
          <w:divBdr>
            <w:top w:val="none" w:sz="0" w:space="0" w:color="auto"/>
            <w:left w:val="none" w:sz="0" w:space="0" w:color="auto"/>
            <w:bottom w:val="none" w:sz="0" w:space="0" w:color="auto"/>
            <w:right w:val="none" w:sz="0" w:space="0" w:color="auto"/>
          </w:divBdr>
          <w:divsChild>
            <w:div w:id="1969239153">
              <w:marLeft w:val="0"/>
              <w:marRight w:val="0"/>
              <w:marTop w:val="0"/>
              <w:marBottom w:val="0"/>
              <w:divBdr>
                <w:top w:val="none" w:sz="0" w:space="0" w:color="auto"/>
                <w:left w:val="none" w:sz="0" w:space="0" w:color="auto"/>
                <w:bottom w:val="none" w:sz="0" w:space="0" w:color="auto"/>
                <w:right w:val="none" w:sz="0" w:space="0" w:color="auto"/>
              </w:divBdr>
              <w:divsChild>
                <w:div w:id="1968319584">
                  <w:marLeft w:val="0"/>
                  <w:marRight w:val="0"/>
                  <w:marTop w:val="0"/>
                  <w:marBottom w:val="0"/>
                  <w:divBdr>
                    <w:top w:val="none" w:sz="0" w:space="0" w:color="auto"/>
                    <w:left w:val="none" w:sz="0" w:space="0" w:color="auto"/>
                    <w:bottom w:val="none" w:sz="0" w:space="0" w:color="auto"/>
                    <w:right w:val="none" w:sz="0" w:space="0" w:color="auto"/>
                  </w:divBdr>
                  <w:divsChild>
                    <w:div w:id="1891186551">
                      <w:marLeft w:val="0"/>
                      <w:marRight w:val="0"/>
                      <w:marTop w:val="0"/>
                      <w:marBottom w:val="0"/>
                      <w:divBdr>
                        <w:top w:val="none" w:sz="0" w:space="0" w:color="auto"/>
                        <w:left w:val="none" w:sz="0" w:space="0" w:color="auto"/>
                        <w:bottom w:val="none" w:sz="0" w:space="0" w:color="auto"/>
                        <w:right w:val="none" w:sz="0" w:space="0" w:color="auto"/>
                      </w:divBdr>
                      <w:divsChild>
                        <w:div w:id="2119985959">
                          <w:marLeft w:val="0"/>
                          <w:marRight w:val="0"/>
                          <w:marTop w:val="0"/>
                          <w:marBottom w:val="0"/>
                          <w:divBdr>
                            <w:top w:val="none" w:sz="0" w:space="0" w:color="auto"/>
                            <w:left w:val="none" w:sz="0" w:space="0" w:color="auto"/>
                            <w:bottom w:val="none" w:sz="0" w:space="0" w:color="auto"/>
                            <w:right w:val="none" w:sz="0" w:space="0" w:color="auto"/>
                          </w:divBdr>
                          <w:divsChild>
                            <w:div w:id="1874417526">
                              <w:marLeft w:val="0"/>
                              <w:marRight w:val="0"/>
                              <w:marTop w:val="0"/>
                              <w:marBottom w:val="225"/>
                              <w:divBdr>
                                <w:top w:val="none" w:sz="0" w:space="0" w:color="auto"/>
                                <w:left w:val="none" w:sz="0" w:space="0" w:color="auto"/>
                                <w:bottom w:val="none" w:sz="0" w:space="0" w:color="auto"/>
                                <w:right w:val="none" w:sz="0" w:space="0" w:color="auto"/>
                              </w:divBdr>
                              <w:divsChild>
                                <w:div w:id="676621282">
                                  <w:marLeft w:val="-225"/>
                                  <w:marRight w:val="-225"/>
                                  <w:marTop w:val="0"/>
                                  <w:marBottom w:val="0"/>
                                  <w:divBdr>
                                    <w:top w:val="none" w:sz="0" w:space="0" w:color="auto"/>
                                    <w:left w:val="none" w:sz="0" w:space="0" w:color="auto"/>
                                    <w:bottom w:val="none" w:sz="0" w:space="0" w:color="auto"/>
                                    <w:right w:val="none" w:sz="0" w:space="0" w:color="auto"/>
                                  </w:divBdr>
                                  <w:divsChild>
                                    <w:div w:id="1711879920">
                                      <w:marLeft w:val="0"/>
                                      <w:marRight w:val="0"/>
                                      <w:marTop w:val="0"/>
                                      <w:marBottom w:val="0"/>
                                      <w:divBdr>
                                        <w:top w:val="none" w:sz="0" w:space="0" w:color="auto"/>
                                        <w:left w:val="none" w:sz="0" w:space="0" w:color="auto"/>
                                        <w:bottom w:val="none" w:sz="0" w:space="0" w:color="auto"/>
                                        <w:right w:val="none" w:sz="0" w:space="0" w:color="auto"/>
                                      </w:divBdr>
                                      <w:divsChild>
                                        <w:div w:id="575015399">
                                          <w:marLeft w:val="0"/>
                                          <w:marRight w:val="0"/>
                                          <w:marTop w:val="0"/>
                                          <w:marBottom w:val="0"/>
                                          <w:divBdr>
                                            <w:top w:val="none" w:sz="0" w:space="0" w:color="auto"/>
                                            <w:left w:val="none" w:sz="0" w:space="0" w:color="auto"/>
                                            <w:bottom w:val="none" w:sz="0" w:space="0" w:color="auto"/>
                                            <w:right w:val="none" w:sz="0" w:space="0" w:color="auto"/>
                                          </w:divBdr>
                                          <w:divsChild>
                                            <w:div w:id="968440326">
                                              <w:marLeft w:val="0"/>
                                              <w:marRight w:val="0"/>
                                              <w:marTop w:val="0"/>
                                              <w:marBottom w:val="0"/>
                                              <w:divBdr>
                                                <w:top w:val="none" w:sz="0" w:space="0" w:color="auto"/>
                                                <w:left w:val="none" w:sz="0" w:space="0" w:color="auto"/>
                                                <w:bottom w:val="none" w:sz="0" w:space="0" w:color="auto"/>
                                                <w:right w:val="none" w:sz="0" w:space="0" w:color="auto"/>
                                              </w:divBdr>
                                              <w:divsChild>
                                                <w:div w:id="1442261550">
                                                  <w:marLeft w:val="0"/>
                                                  <w:marRight w:val="0"/>
                                                  <w:marTop w:val="0"/>
                                                  <w:marBottom w:val="0"/>
                                                  <w:divBdr>
                                                    <w:top w:val="none" w:sz="0" w:space="0" w:color="auto"/>
                                                    <w:left w:val="none" w:sz="0" w:space="0" w:color="auto"/>
                                                    <w:bottom w:val="none" w:sz="0" w:space="0" w:color="auto"/>
                                                    <w:right w:val="none" w:sz="0" w:space="0" w:color="auto"/>
                                                  </w:divBdr>
                                                  <w:divsChild>
                                                    <w:div w:id="395517799">
                                                      <w:marLeft w:val="0"/>
                                                      <w:marRight w:val="0"/>
                                                      <w:marTop w:val="0"/>
                                                      <w:marBottom w:val="0"/>
                                                      <w:divBdr>
                                                        <w:top w:val="none" w:sz="0" w:space="0" w:color="auto"/>
                                                        <w:left w:val="none" w:sz="0" w:space="0" w:color="auto"/>
                                                        <w:bottom w:val="none" w:sz="0" w:space="0" w:color="auto"/>
                                                        <w:right w:val="none" w:sz="0" w:space="0" w:color="auto"/>
                                                      </w:divBdr>
                                                      <w:divsChild>
                                                        <w:div w:id="1271661308">
                                                          <w:marLeft w:val="0"/>
                                                          <w:marRight w:val="0"/>
                                                          <w:marTop w:val="0"/>
                                                          <w:marBottom w:val="0"/>
                                                          <w:divBdr>
                                                            <w:top w:val="none" w:sz="0" w:space="0" w:color="auto"/>
                                                            <w:left w:val="none" w:sz="0" w:space="0" w:color="auto"/>
                                                            <w:bottom w:val="none" w:sz="0" w:space="0" w:color="auto"/>
                                                            <w:right w:val="none" w:sz="0" w:space="0" w:color="auto"/>
                                                          </w:divBdr>
                                                          <w:divsChild>
                                                            <w:div w:id="1756434485">
                                                              <w:marLeft w:val="15"/>
                                                              <w:marRight w:val="15"/>
                                                              <w:marTop w:val="15"/>
                                                              <w:marBottom w:val="15"/>
                                                              <w:divBdr>
                                                                <w:top w:val="none" w:sz="0" w:space="0" w:color="auto"/>
                                                                <w:left w:val="none" w:sz="0" w:space="0" w:color="auto"/>
                                                                <w:bottom w:val="none" w:sz="0" w:space="0" w:color="auto"/>
                                                                <w:right w:val="none" w:sz="0" w:space="0" w:color="auto"/>
                                                              </w:divBdr>
                                                              <w:divsChild>
                                                                <w:div w:id="1764492051">
                                                                  <w:marLeft w:val="0"/>
                                                                  <w:marRight w:val="0"/>
                                                                  <w:marTop w:val="0"/>
                                                                  <w:marBottom w:val="0"/>
                                                                  <w:divBdr>
                                                                    <w:top w:val="none" w:sz="0" w:space="0" w:color="auto"/>
                                                                    <w:left w:val="none" w:sz="0" w:space="0" w:color="auto"/>
                                                                    <w:bottom w:val="none" w:sz="0" w:space="0" w:color="auto"/>
                                                                    <w:right w:val="none" w:sz="0" w:space="0" w:color="auto"/>
                                                                  </w:divBdr>
                                                                  <w:divsChild>
                                                                    <w:div w:id="1813521303">
                                                                      <w:marLeft w:val="0"/>
                                                                      <w:marRight w:val="0"/>
                                                                      <w:marTop w:val="0"/>
                                                                      <w:marBottom w:val="0"/>
                                                                      <w:divBdr>
                                                                        <w:top w:val="none" w:sz="0" w:space="0" w:color="auto"/>
                                                                        <w:left w:val="none" w:sz="0" w:space="0" w:color="auto"/>
                                                                        <w:bottom w:val="none" w:sz="0" w:space="0" w:color="auto"/>
                                                                        <w:right w:val="none" w:sz="0" w:space="0" w:color="auto"/>
                                                                      </w:divBdr>
                                                                      <w:divsChild>
                                                                        <w:div w:id="1992903301">
                                                                          <w:marLeft w:val="0"/>
                                                                          <w:marRight w:val="0"/>
                                                                          <w:marTop w:val="100"/>
                                                                          <w:marBottom w:val="300"/>
                                                                          <w:divBdr>
                                                                            <w:top w:val="none" w:sz="0" w:space="0" w:color="auto"/>
                                                                            <w:left w:val="none" w:sz="0" w:space="0" w:color="auto"/>
                                                                            <w:bottom w:val="none" w:sz="0" w:space="0" w:color="auto"/>
                                                                            <w:right w:val="none" w:sz="0" w:space="0" w:color="auto"/>
                                                                          </w:divBdr>
                                                                          <w:divsChild>
                                                                            <w:div w:id="1300458230">
                                                                              <w:marLeft w:val="0"/>
                                                                              <w:marRight w:val="0"/>
                                                                              <w:marTop w:val="0"/>
                                                                              <w:marBottom w:val="0"/>
                                                                              <w:divBdr>
                                                                                <w:top w:val="none" w:sz="0" w:space="0" w:color="auto"/>
                                                                                <w:left w:val="none" w:sz="0" w:space="0" w:color="auto"/>
                                                                                <w:bottom w:val="none" w:sz="0" w:space="0" w:color="auto"/>
                                                                                <w:right w:val="none" w:sz="0" w:space="0" w:color="auto"/>
                                                                              </w:divBdr>
                                                                              <w:divsChild>
                                                                                <w:div w:id="2127310890">
                                                                                  <w:marLeft w:val="0"/>
                                                                                  <w:marRight w:val="0"/>
                                                                                  <w:marTop w:val="0"/>
                                                                                  <w:marBottom w:val="0"/>
                                                                                  <w:divBdr>
                                                                                    <w:top w:val="single" w:sz="6" w:space="0" w:color="C6C6C6"/>
                                                                                    <w:left w:val="single" w:sz="6" w:space="0" w:color="C6C6C6"/>
                                                                                    <w:bottom w:val="single" w:sz="6" w:space="0" w:color="C6C6C6"/>
                                                                                    <w:right w:val="single" w:sz="6" w:space="0" w:color="C6C6C6"/>
                                                                                  </w:divBdr>
                                                                                  <w:divsChild>
                                                                                    <w:div w:id="32836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5141692">
      <w:bodyDiv w:val="1"/>
      <w:marLeft w:val="0"/>
      <w:marRight w:val="0"/>
      <w:marTop w:val="0"/>
      <w:marBottom w:val="0"/>
      <w:divBdr>
        <w:top w:val="none" w:sz="0" w:space="0" w:color="auto"/>
        <w:left w:val="none" w:sz="0" w:space="0" w:color="auto"/>
        <w:bottom w:val="none" w:sz="0" w:space="0" w:color="auto"/>
        <w:right w:val="none" w:sz="0" w:space="0" w:color="auto"/>
      </w:divBdr>
    </w:div>
    <w:div w:id="2106995751">
      <w:bodyDiv w:val="1"/>
      <w:marLeft w:val="0"/>
      <w:marRight w:val="0"/>
      <w:marTop w:val="0"/>
      <w:marBottom w:val="0"/>
      <w:divBdr>
        <w:top w:val="none" w:sz="0" w:space="0" w:color="auto"/>
        <w:left w:val="none" w:sz="0" w:space="0" w:color="auto"/>
        <w:bottom w:val="none" w:sz="0" w:space="0" w:color="auto"/>
        <w:right w:val="none" w:sz="0" w:space="0" w:color="auto"/>
      </w:divBdr>
      <w:divsChild>
        <w:div w:id="981957123">
          <w:marLeft w:val="0"/>
          <w:marRight w:val="0"/>
          <w:marTop w:val="0"/>
          <w:marBottom w:val="0"/>
          <w:divBdr>
            <w:top w:val="none" w:sz="0" w:space="0" w:color="auto"/>
            <w:left w:val="none" w:sz="0" w:space="0" w:color="auto"/>
            <w:bottom w:val="none" w:sz="0" w:space="0" w:color="auto"/>
            <w:right w:val="none" w:sz="0" w:space="0" w:color="auto"/>
          </w:divBdr>
          <w:divsChild>
            <w:div w:id="1103956884">
              <w:marLeft w:val="0"/>
              <w:marRight w:val="0"/>
              <w:marTop w:val="0"/>
              <w:marBottom w:val="0"/>
              <w:divBdr>
                <w:top w:val="none" w:sz="0" w:space="0" w:color="auto"/>
                <w:left w:val="none" w:sz="0" w:space="0" w:color="auto"/>
                <w:bottom w:val="none" w:sz="0" w:space="0" w:color="auto"/>
                <w:right w:val="none" w:sz="0" w:space="0" w:color="auto"/>
              </w:divBdr>
              <w:divsChild>
                <w:div w:id="1722317434">
                  <w:marLeft w:val="-225"/>
                  <w:marRight w:val="-225"/>
                  <w:marTop w:val="0"/>
                  <w:marBottom w:val="0"/>
                  <w:divBdr>
                    <w:top w:val="none" w:sz="0" w:space="0" w:color="auto"/>
                    <w:left w:val="none" w:sz="0" w:space="0" w:color="auto"/>
                    <w:bottom w:val="none" w:sz="0" w:space="0" w:color="auto"/>
                    <w:right w:val="none" w:sz="0" w:space="0" w:color="auto"/>
                  </w:divBdr>
                  <w:divsChild>
                    <w:div w:id="117990363">
                      <w:marLeft w:val="0"/>
                      <w:marRight w:val="0"/>
                      <w:marTop w:val="0"/>
                      <w:marBottom w:val="0"/>
                      <w:divBdr>
                        <w:top w:val="none" w:sz="0" w:space="0" w:color="auto"/>
                        <w:left w:val="none" w:sz="0" w:space="0" w:color="auto"/>
                        <w:bottom w:val="none" w:sz="0" w:space="0" w:color="auto"/>
                        <w:right w:val="none" w:sz="0" w:space="0" w:color="auto"/>
                      </w:divBdr>
                      <w:divsChild>
                        <w:div w:id="159077665">
                          <w:marLeft w:val="0"/>
                          <w:marRight w:val="0"/>
                          <w:marTop w:val="0"/>
                          <w:marBottom w:val="0"/>
                          <w:divBdr>
                            <w:top w:val="none" w:sz="0" w:space="0" w:color="auto"/>
                            <w:left w:val="none" w:sz="0" w:space="0" w:color="auto"/>
                            <w:bottom w:val="none" w:sz="0" w:space="0" w:color="auto"/>
                            <w:right w:val="none" w:sz="0" w:space="0" w:color="auto"/>
                          </w:divBdr>
                          <w:divsChild>
                            <w:div w:id="769205758">
                              <w:marLeft w:val="0"/>
                              <w:marRight w:val="0"/>
                              <w:marTop w:val="0"/>
                              <w:marBottom w:val="0"/>
                              <w:divBdr>
                                <w:top w:val="none" w:sz="0" w:space="0" w:color="auto"/>
                                <w:left w:val="none" w:sz="0" w:space="0" w:color="auto"/>
                                <w:bottom w:val="none" w:sz="0" w:space="0" w:color="auto"/>
                                <w:right w:val="none" w:sz="0" w:space="0" w:color="auto"/>
                              </w:divBdr>
                              <w:divsChild>
                                <w:div w:id="771896281">
                                  <w:marLeft w:val="0"/>
                                  <w:marRight w:val="0"/>
                                  <w:marTop w:val="0"/>
                                  <w:marBottom w:val="0"/>
                                  <w:divBdr>
                                    <w:top w:val="none" w:sz="0" w:space="0" w:color="auto"/>
                                    <w:left w:val="none" w:sz="0" w:space="0" w:color="auto"/>
                                    <w:bottom w:val="none" w:sz="0" w:space="0" w:color="auto"/>
                                    <w:right w:val="none" w:sz="0" w:space="0" w:color="auto"/>
                                  </w:divBdr>
                                  <w:divsChild>
                                    <w:div w:id="114522645">
                                      <w:marLeft w:val="0"/>
                                      <w:marRight w:val="0"/>
                                      <w:marTop w:val="0"/>
                                      <w:marBottom w:val="0"/>
                                      <w:divBdr>
                                        <w:top w:val="none" w:sz="0" w:space="0" w:color="auto"/>
                                        <w:left w:val="none" w:sz="0" w:space="0" w:color="auto"/>
                                        <w:bottom w:val="none" w:sz="0" w:space="0" w:color="auto"/>
                                        <w:right w:val="none" w:sz="0" w:space="0" w:color="auto"/>
                                      </w:divBdr>
                                      <w:divsChild>
                                        <w:div w:id="153029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image" Target="media/image2.png"/><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footer" Target="footer12.xm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customXml" Target="../customXml/item4.xml"/><Relationship Id="rId20" Type="http://schemas.openxmlformats.org/officeDocument/2006/relationships/footer" Target="footer4.xml"/><Relationship Id="rId41" Type="http://schemas.openxmlformats.org/officeDocument/2006/relationships/footer" Target="footer15.xml"/></Relationships>
</file>

<file path=word/_rels/footnotes.xml.rels><?xml version="1.0" encoding="UTF-8" standalone="yes"?>
<Relationships xmlns="http://schemas.openxmlformats.org/package/2006/relationships"><Relationship Id="rId3" Type="http://schemas.openxmlformats.org/officeDocument/2006/relationships/hyperlink" Target="http://superefficient.org/Activities/Technical%20Analysis/~/media/Files/SEAD%20Technical%25" TargetMode="External"/><Relationship Id="rId2" Type="http://schemas.openxmlformats.org/officeDocument/2006/relationships/hyperlink" Target="http://www.multilateralfund.org/Our%20Work/policy/default.aspx" TargetMode="External"/><Relationship Id="rId1" Type="http://schemas.openxmlformats.org/officeDocument/2006/relationships/hyperlink" Target="https://www.google.ca/url?sa=t&amp;rct=j&amp;q=&amp;esrc=s&amp;source=web&amp;cd=2&amp;cad=rja&amp;uact=8&amp;ved=0ahUKEwjxoKrTqsLSAhUT9WMKHYTOD5cQFgghMAE&amp;url=https%3A%2F%2Fwww.c2es.org%2FdocUploads%2Fstatus-of-legal-challenges-07-2016.pdf&amp;usg=AFQjCNH121RaYOXNLxdFADSANHbXqgQdWg&amp;sig2" TargetMode="External"/><Relationship Id="rId5" Type="http://schemas.openxmlformats.org/officeDocument/2006/relationships/hyperlink" Target="http://iopscience.iop.org/" TargetMode="External"/><Relationship Id="rId4" Type="http://schemas.openxmlformats.org/officeDocument/2006/relationships/hyperlink" Target="http://www.superefficient.org/~/media/Files/PublicationLibrary/2016/India%20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UNEP/OzL.Pro/ExCom/78/5</Document_x0020_Number>
    <DocumentType xmlns="64e33b30-101d-41de-b951-961aab25ea29">Pre-session</DocumentType>
  </documentManagement>
</p:properties>
</file>

<file path=customXml/itemProps1.xml><?xml version="1.0" encoding="utf-8"?>
<ds:datastoreItem xmlns:ds="http://schemas.openxmlformats.org/officeDocument/2006/customXml" ds:itemID="{5840CF0E-623E-4E4A-AE24-C9EB28938129}"/>
</file>

<file path=customXml/itemProps2.xml><?xml version="1.0" encoding="utf-8"?>
<ds:datastoreItem xmlns:ds="http://schemas.openxmlformats.org/officeDocument/2006/customXml" ds:itemID="{CB4A5CDC-8F90-45C2-94B2-42CF38575308}"/>
</file>

<file path=customXml/itemProps3.xml><?xml version="1.0" encoding="utf-8"?>
<ds:datastoreItem xmlns:ds="http://schemas.openxmlformats.org/officeDocument/2006/customXml" ds:itemID="{7BE817D9-055C-4575-9B00-B76AC7D5BED3}"/>
</file>

<file path=customXml/itemProps4.xml><?xml version="1.0" encoding="utf-8"?>
<ds:datastoreItem xmlns:ds="http://schemas.openxmlformats.org/officeDocument/2006/customXml" ds:itemID="{0F968999-4E57-486B-A981-3FF235B11B59}"/>
</file>

<file path=docProps/app.xml><?xml version="1.0" encoding="utf-8"?>
<Properties xmlns="http://schemas.openxmlformats.org/officeDocument/2006/extended-properties" xmlns:vt="http://schemas.openxmlformats.org/officeDocument/2006/docPropsVTypes">
  <Template>normal.dotm</Template>
  <TotalTime>59</TotalTime>
  <Pages>89</Pages>
  <Words>36781</Words>
  <Characters>209889</Characters>
  <Application>Microsoft Office Word</Application>
  <DocSecurity>0</DocSecurity>
  <Lines>4283</Lines>
  <Paragraphs>1215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Information relevant to the development of the cost guidelines for the phase-down of HFCs in Article 5 countries: Draft criteria for funding</vt:lpstr>
      <vt:lpstr>Information relevant to the development of the cost guidelines for the phase-down of HFCs in Article 5 countries: Draft criteria for funding</vt:lpstr>
    </vt:vector>
  </TitlesOfParts>
  <Company>Hewlett-Packard Company</Company>
  <LinksUpToDate>false</LinksUpToDate>
  <CharactersWithSpaces>245455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relevant to the development of the cost guidelines for the phase-down of HFCs in Article 5 countries: Draft criteria for funding</dc:title>
  <dc:creator>Alejandro Ramirez Pabon</dc:creator>
  <cp:lastModifiedBy>Julia Anne Dearing</cp:lastModifiedBy>
  <cp:revision>17</cp:revision>
  <cp:lastPrinted>2017-03-08T02:19:00Z</cp:lastPrinted>
  <dcterms:created xsi:type="dcterms:W3CDTF">2017-03-08T00:53:00Z</dcterms:created>
  <dcterms:modified xsi:type="dcterms:W3CDTF">2017-03-08T02:23:00Z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UNEP/OzL.Pro/ExCom/78/5</vt:lpwstr>
  </property>
  <property fmtid="{D5CDD505-2E9C-101B-9397-08002B2CF9AE}" pid="3" name="Revision date">
    <vt:lpwstr>07/03/2017</vt:lpwstr>
  </property>
  <property fmtid="{D5CDD505-2E9C-101B-9397-08002B2CF9AE}" pid="4" name="ContentTypeId">
    <vt:lpwstr>0x010100073A11D1F9B5B04884651DA4BF4C02E8</vt:lpwstr>
  </property>
</Properties>
</file>