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492"/>
        <w:gridCol w:w="4590"/>
      </w:tblGrid>
      <w:tr w:rsidR="00C15867" w:rsidRPr="00FC1C48" w14:paraId="0A1A0D62" w14:textId="77777777" w:rsidTr="002F3DBD">
        <w:trPr>
          <w:trHeight w:val="720"/>
        </w:trPr>
        <w:tc>
          <w:tcPr>
            <w:tcW w:w="5562" w:type="dxa"/>
            <w:gridSpan w:val="2"/>
            <w:tcBorders>
              <w:bottom w:val="single" w:sz="18" w:space="0" w:color="auto"/>
            </w:tcBorders>
          </w:tcPr>
          <w:p w14:paraId="35FAC1B6" w14:textId="77777777" w:rsidR="00335734" w:rsidRPr="00FC1C48" w:rsidRDefault="00335734" w:rsidP="003357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FC1C48">
              <w:rPr>
                <w:rFonts w:ascii="Univers" w:hAnsi="Univers"/>
                <w:b/>
                <w:sz w:val="28"/>
                <w:szCs w:val="28"/>
                <w:lang w:val="fr-FR"/>
              </w:rPr>
              <w:t>NATIONS</w:t>
            </w:r>
          </w:p>
          <w:p w14:paraId="46238734" w14:textId="6FE625BA" w:rsidR="00C15867" w:rsidRPr="00FC1C48" w:rsidRDefault="00335734" w:rsidP="003357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FC1C48">
              <w:rPr>
                <w:rFonts w:ascii="Univers" w:hAnsi="Univers"/>
                <w:b/>
                <w:sz w:val="28"/>
                <w:szCs w:val="28"/>
                <w:lang w:val="fr-FR"/>
              </w:rPr>
              <w:t>UNIES</w:t>
            </w:r>
          </w:p>
        </w:tc>
        <w:tc>
          <w:tcPr>
            <w:tcW w:w="4590" w:type="dxa"/>
            <w:tcBorders>
              <w:bottom w:val="single" w:sz="18" w:space="0" w:color="auto"/>
            </w:tcBorders>
          </w:tcPr>
          <w:p w14:paraId="5C06C0A9" w14:textId="77777777" w:rsidR="00C15867" w:rsidRPr="00FC1C48" w:rsidRDefault="00C15867" w:rsidP="009C59F7">
            <w:pPr>
              <w:jc w:val="right"/>
              <w:rPr>
                <w:sz w:val="52"/>
                <w:szCs w:val="52"/>
                <w:lang w:val="fr-FR"/>
              </w:rPr>
            </w:pPr>
            <w:r w:rsidRPr="00FC1C48">
              <w:rPr>
                <w:rFonts w:ascii="Univers Bold" w:hAnsi="Univers Bold"/>
                <w:b/>
                <w:sz w:val="72"/>
                <w:lang w:val="fr-FR"/>
              </w:rPr>
              <w:t>EP</w:t>
            </w:r>
          </w:p>
        </w:tc>
      </w:tr>
      <w:tr w:rsidR="00F3590B" w:rsidRPr="00FC1C48" w14:paraId="5ADB28DA" w14:textId="77777777" w:rsidTr="002F3D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248010FD" w14:textId="2823A065" w:rsidR="00F3590B" w:rsidRPr="00FC1C48" w:rsidRDefault="00F3590B" w:rsidP="00F3590B">
            <w:pPr>
              <w:spacing w:before="120"/>
              <w:rPr>
                <w:lang w:val="fr-FR"/>
              </w:rPr>
            </w:pPr>
            <w:r w:rsidRPr="00FC1C48">
              <w:rPr>
                <w:noProof/>
                <w:lang w:val="fr-FR" w:eastAsia="en-CA"/>
              </w:rPr>
              <w:drawing>
                <wp:anchor distT="0" distB="0" distL="114300" distR="114300" simplePos="0" relativeHeight="251660288" behindDoc="0" locked="0" layoutInCell="1" allowOverlap="1" wp14:anchorId="79CCFFAE" wp14:editId="4879B0DE">
                  <wp:simplePos x="0" y="0"/>
                  <wp:positionH relativeFrom="column">
                    <wp:posOffset>134197</wp:posOffset>
                  </wp:positionH>
                  <wp:positionV relativeFrom="paragraph">
                    <wp:posOffset>828675</wp:posOffset>
                  </wp:positionV>
                  <wp:extent cx="672769"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sidRPr="00FC1C48">
              <w:rPr>
                <w:noProof/>
                <w:lang w:val="fr-FR" w:eastAsia="en-CA"/>
              </w:rPr>
              <w:drawing>
                <wp:anchor distT="0" distB="0" distL="114300" distR="114300" simplePos="0" relativeHeight="251661312" behindDoc="1" locked="0" layoutInCell="0" allowOverlap="1" wp14:anchorId="7F831BD2" wp14:editId="63CF4C0F">
                  <wp:simplePos x="0" y="0"/>
                  <wp:positionH relativeFrom="column">
                    <wp:posOffset>100965</wp:posOffset>
                  </wp:positionH>
                  <wp:positionV relativeFrom="paragraph">
                    <wp:posOffset>111125</wp:posOffset>
                  </wp:positionV>
                  <wp:extent cx="703580" cy="67620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3"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492" w:type="dxa"/>
            <w:tcBorders>
              <w:top w:val="nil"/>
              <w:left w:val="nil"/>
              <w:bottom w:val="single" w:sz="36" w:space="0" w:color="auto"/>
              <w:right w:val="nil"/>
            </w:tcBorders>
          </w:tcPr>
          <w:p w14:paraId="22A5D68F" w14:textId="77777777" w:rsidR="00F3590B" w:rsidRPr="00FC1C48" w:rsidRDefault="00F3590B" w:rsidP="00F359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F24F022" w14:textId="77777777" w:rsidR="00F3590B" w:rsidRPr="00FC1C48" w:rsidRDefault="00F3590B" w:rsidP="00F359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FC1C48">
              <w:rPr>
                <w:rFonts w:ascii="Univers" w:hAnsi="Univers"/>
                <w:b/>
                <w:sz w:val="32"/>
                <w:lang w:val="fr-FR"/>
              </w:rPr>
              <w:t>Programme des</w:t>
            </w:r>
          </w:p>
          <w:p w14:paraId="1CC2E8F6" w14:textId="77777777" w:rsidR="00F3590B" w:rsidRPr="00FC1C48" w:rsidRDefault="00F3590B" w:rsidP="00F3590B">
            <w:pPr>
              <w:rPr>
                <w:rFonts w:ascii="Univers" w:hAnsi="Univers"/>
                <w:b/>
                <w:sz w:val="32"/>
                <w:lang w:val="fr-FR"/>
              </w:rPr>
            </w:pPr>
            <w:r w:rsidRPr="00FC1C48">
              <w:rPr>
                <w:rFonts w:ascii="Univers" w:hAnsi="Univers"/>
                <w:b/>
                <w:sz w:val="32"/>
                <w:lang w:val="fr-FR"/>
              </w:rPr>
              <w:t>Nations Unies pour</w:t>
            </w:r>
          </w:p>
          <w:p w14:paraId="0FBAC46B" w14:textId="14DDDF6E" w:rsidR="00F3590B" w:rsidRPr="00FC1C48" w:rsidRDefault="00F3590B" w:rsidP="00F3590B">
            <w:pPr>
              <w:rPr>
                <w:lang w:val="fr-FR"/>
              </w:rPr>
            </w:pPr>
            <w:r w:rsidRPr="00FC1C48">
              <w:rPr>
                <w:rFonts w:ascii="Univers" w:hAnsi="Univers"/>
                <w:b/>
                <w:sz w:val="32"/>
                <w:lang w:val="fr-FR"/>
              </w:rPr>
              <w:t>l</w:t>
            </w:r>
            <w:r w:rsidR="00511F20">
              <w:rPr>
                <w:rFonts w:ascii="Univers" w:hAnsi="Univers"/>
                <w:b/>
                <w:sz w:val="32"/>
                <w:lang w:val="fr-FR"/>
              </w:rPr>
              <w:t>’</w:t>
            </w:r>
            <w:r w:rsidRPr="00FC1C48">
              <w:rPr>
                <w:rFonts w:ascii="Univers" w:hAnsi="Univers"/>
                <w:b/>
                <w:sz w:val="32"/>
                <w:lang w:val="fr-FR"/>
              </w:rPr>
              <w:t>environnement</w:t>
            </w:r>
          </w:p>
        </w:tc>
        <w:tc>
          <w:tcPr>
            <w:tcW w:w="4590" w:type="dxa"/>
            <w:tcBorders>
              <w:top w:val="nil"/>
              <w:left w:val="nil"/>
              <w:bottom w:val="single" w:sz="36" w:space="0" w:color="auto"/>
              <w:right w:val="nil"/>
            </w:tcBorders>
          </w:tcPr>
          <w:p w14:paraId="4ECBF2B4" w14:textId="77777777" w:rsidR="00F3590B" w:rsidRPr="00FC1C48" w:rsidRDefault="00F3590B" w:rsidP="00F3590B">
            <w:pPr>
              <w:rPr>
                <w:lang w:val="fr-FR"/>
              </w:rPr>
            </w:pPr>
          </w:p>
          <w:p w14:paraId="0B0DF55F" w14:textId="44320A8F" w:rsidR="00F3590B" w:rsidRPr="00FC1C48" w:rsidRDefault="00F3590B" w:rsidP="00F3590B">
            <w:pPr>
              <w:rPr>
                <w:lang w:val="fr-FR"/>
              </w:rPr>
            </w:pPr>
            <w:r w:rsidRPr="00FC1C48">
              <w:rPr>
                <w:lang w:val="fr-FR"/>
              </w:rPr>
              <w:t>Distr.</w:t>
            </w:r>
          </w:p>
          <w:p w14:paraId="318AEF57" w14:textId="4648C23C" w:rsidR="00F3590B" w:rsidRPr="00FC1C48" w:rsidRDefault="006F30D6" w:rsidP="00F3590B">
            <w:pPr>
              <w:rPr>
                <w:lang w:val="fr-FR"/>
              </w:rPr>
            </w:pPr>
            <w:r w:rsidRPr="00FC1C48">
              <w:rPr>
                <w:lang w:val="fr-FR"/>
              </w:rPr>
              <w:t>GÉNÉRALE</w:t>
            </w:r>
          </w:p>
          <w:p w14:paraId="3A0CAE6E" w14:textId="77777777" w:rsidR="00F3590B" w:rsidRPr="00FC1C48" w:rsidRDefault="00F3590B" w:rsidP="00F3590B">
            <w:pPr>
              <w:rPr>
                <w:lang w:val="fr-FR"/>
              </w:rPr>
            </w:pPr>
          </w:p>
          <w:p w14:paraId="0E21B416" w14:textId="7CEE8F9F" w:rsidR="00F3590B" w:rsidRPr="00FC1C48" w:rsidRDefault="00F3590B" w:rsidP="00F3590B">
            <w:pPr>
              <w:rPr>
                <w:lang w:val="fr-FR"/>
              </w:rPr>
            </w:pPr>
            <w:r w:rsidRPr="00FC1C48">
              <w:rPr>
                <w:lang w:val="fr-FR"/>
              </w:rPr>
              <w:fldChar w:fldCharType="begin"/>
            </w:r>
            <w:r w:rsidRPr="00FC1C48">
              <w:rPr>
                <w:lang w:val="fr-FR"/>
              </w:rPr>
              <w:instrText xml:space="preserve"> DOCPROPERTY "Document number"  \* MERGEFORMAT </w:instrText>
            </w:r>
            <w:r w:rsidRPr="00FC1C48">
              <w:rPr>
                <w:lang w:val="fr-FR"/>
              </w:rPr>
              <w:fldChar w:fldCharType="separate"/>
            </w:r>
            <w:r w:rsidR="00315191">
              <w:rPr>
                <w:lang w:val="fr-FR"/>
              </w:rPr>
              <w:t>UNEP/OzL.Pro/ExCom/97/18</w:t>
            </w:r>
            <w:r w:rsidRPr="00FC1C48">
              <w:rPr>
                <w:lang w:val="fr-FR"/>
              </w:rPr>
              <w:fldChar w:fldCharType="end"/>
            </w:r>
          </w:p>
          <w:p w14:paraId="3E065622" w14:textId="635591E3" w:rsidR="00F3590B" w:rsidRPr="00FC1C48" w:rsidRDefault="00F3590B" w:rsidP="00F3590B">
            <w:pPr>
              <w:rPr>
                <w:lang w:val="fr-FR"/>
              </w:rPr>
            </w:pPr>
            <w:r w:rsidRPr="00FC1C48">
              <w:rPr>
                <w:lang w:val="fr-FR"/>
              </w:rPr>
              <w:fldChar w:fldCharType="begin"/>
            </w:r>
            <w:r w:rsidRPr="00FC1C48">
              <w:rPr>
                <w:lang w:val="fr-FR"/>
              </w:rPr>
              <w:instrText xml:space="preserve"> DOCPROPERTY "Revision date" \@ "d MMMM YYYY"  \* MERGEFORMAT </w:instrText>
            </w:r>
            <w:r w:rsidRPr="00FC1C48">
              <w:rPr>
                <w:lang w:val="fr-FR"/>
              </w:rPr>
              <w:fldChar w:fldCharType="separate"/>
            </w:r>
            <w:r w:rsidRPr="00FC1C48">
              <w:rPr>
                <w:lang w:val="fr-FR"/>
              </w:rPr>
              <w:t xml:space="preserve">19 </w:t>
            </w:r>
            <w:r w:rsidR="006F30D6" w:rsidRPr="00FC1C48">
              <w:rPr>
                <w:lang w:val="fr-FR"/>
              </w:rPr>
              <w:t>novembre</w:t>
            </w:r>
            <w:r w:rsidRPr="00FC1C48">
              <w:rPr>
                <w:lang w:val="fr-FR"/>
              </w:rPr>
              <w:t xml:space="preserve"> 2025</w:t>
            </w:r>
            <w:r w:rsidRPr="00FC1C48">
              <w:rPr>
                <w:lang w:val="fr-FR"/>
              </w:rPr>
              <w:fldChar w:fldCharType="end"/>
            </w:r>
          </w:p>
          <w:p w14:paraId="14231B4A" w14:textId="77777777" w:rsidR="00F3590B" w:rsidRPr="00FC1C48" w:rsidRDefault="00F3590B" w:rsidP="00F3590B">
            <w:pPr>
              <w:rPr>
                <w:caps/>
                <w:lang w:val="fr-FR"/>
              </w:rPr>
            </w:pPr>
          </w:p>
          <w:p w14:paraId="032DE70D" w14:textId="77777777" w:rsidR="00531B9B" w:rsidRPr="00FC1C48" w:rsidRDefault="00531B9B" w:rsidP="00531B9B">
            <w:pPr>
              <w:rPr>
                <w:lang w:val="fr-FR"/>
              </w:rPr>
            </w:pPr>
            <w:r w:rsidRPr="00FC1C48">
              <w:rPr>
                <w:lang w:val="fr-FR"/>
              </w:rPr>
              <w:t>FRANÇAIS</w:t>
            </w:r>
          </w:p>
          <w:p w14:paraId="21DA9D8F" w14:textId="541C4317" w:rsidR="00F3590B" w:rsidRPr="00FC1C48" w:rsidRDefault="00531B9B" w:rsidP="00531B9B">
            <w:pPr>
              <w:rPr>
                <w:lang w:val="fr-FR"/>
              </w:rPr>
            </w:pPr>
            <w:r w:rsidRPr="00FC1C48">
              <w:rPr>
                <w:lang w:val="fr-FR"/>
              </w:rPr>
              <w:t>ORIGINA</w:t>
            </w:r>
            <w:r w:rsidR="000F7C43">
              <w:rPr>
                <w:lang w:val="fr-FR"/>
              </w:rPr>
              <w:t>L</w:t>
            </w:r>
            <w:r w:rsidR="00D57DC3">
              <w:rPr>
                <w:lang w:val="fr-FR"/>
              </w:rPr>
              <w:t> </w:t>
            </w:r>
            <w:r w:rsidRPr="00FC1C48">
              <w:rPr>
                <w:lang w:val="fr-FR"/>
              </w:rPr>
              <w:t>: ANGLAIS</w:t>
            </w:r>
          </w:p>
        </w:tc>
      </w:tr>
    </w:tbl>
    <w:p w14:paraId="2EA117A0" w14:textId="77777777" w:rsidR="00876EF5" w:rsidRPr="00FC1C48" w:rsidRDefault="00876EF5" w:rsidP="00876EF5">
      <w:pPr>
        <w:jc w:val="left"/>
        <w:rPr>
          <w:lang w:val="fr-FR"/>
        </w:rPr>
      </w:pPr>
      <w:r w:rsidRPr="00FC1C48">
        <w:rPr>
          <w:lang w:val="fr-FR"/>
        </w:rPr>
        <w:t xml:space="preserve">COMITÉ EXÉCUTIF </w:t>
      </w:r>
    </w:p>
    <w:p w14:paraId="75141509" w14:textId="77777777" w:rsidR="00876EF5" w:rsidRPr="00FC1C48" w:rsidRDefault="00876EF5" w:rsidP="00876EF5">
      <w:pPr>
        <w:jc w:val="left"/>
        <w:rPr>
          <w:lang w:val="fr-FR"/>
        </w:rPr>
      </w:pPr>
      <w:r w:rsidRPr="00FC1C48">
        <w:rPr>
          <w:lang w:val="fr-FR"/>
        </w:rPr>
        <w:t xml:space="preserve">  DU FONDS MULTILATÉRAL AUX FINS </w:t>
      </w:r>
    </w:p>
    <w:p w14:paraId="15C41D02" w14:textId="5C602F26" w:rsidR="004D08FB" w:rsidRPr="004D08FB" w:rsidRDefault="00876EF5" w:rsidP="004D08FB">
      <w:pPr>
        <w:jc w:val="left"/>
        <w:rPr>
          <w:lang w:val="fr-FR"/>
        </w:rPr>
      </w:pPr>
      <w:r w:rsidRPr="00FC1C48">
        <w:rPr>
          <w:lang w:val="fr-FR"/>
        </w:rPr>
        <w:t xml:space="preserve">  D</w:t>
      </w:r>
      <w:r w:rsidR="00511F20">
        <w:rPr>
          <w:lang w:val="fr-FR"/>
        </w:rPr>
        <w:t>’</w:t>
      </w:r>
      <w:r w:rsidRPr="00FC1C48">
        <w:rPr>
          <w:lang w:val="fr-FR"/>
        </w:rPr>
        <w:t>APPLICATION DU PROTOCOLE DE MONTRÉAL</w:t>
      </w:r>
      <w:r w:rsidR="00C15867" w:rsidRPr="00FC1C48">
        <w:rPr>
          <w:lang w:val="fr-FR"/>
        </w:rPr>
        <w:br/>
      </w:r>
      <w:r w:rsidR="004D08FB" w:rsidRPr="004D08FB">
        <w:rPr>
          <w:lang w:val="fr-FR"/>
        </w:rPr>
        <w:t>Quatre-vingt-dix-septième réunion</w:t>
      </w:r>
    </w:p>
    <w:p w14:paraId="46B5DFB3" w14:textId="77777777" w:rsidR="004D08FB" w:rsidRDefault="004D08FB" w:rsidP="004D08FB">
      <w:pPr>
        <w:jc w:val="left"/>
        <w:rPr>
          <w:lang w:val="fr-FR"/>
        </w:rPr>
      </w:pPr>
      <w:r w:rsidRPr="004D08FB">
        <w:rPr>
          <w:lang w:val="fr-FR"/>
        </w:rPr>
        <w:t>Montréal, 1-5 décembre 2025</w:t>
      </w:r>
    </w:p>
    <w:p w14:paraId="5A0B6E41" w14:textId="4EDE190A" w:rsidR="0079781A" w:rsidRPr="00FC1C48" w:rsidRDefault="004D08FB" w:rsidP="004D08FB">
      <w:pPr>
        <w:jc w:val="left"/>
        <w:rPr>
          <w:lang w:val="fr-FR"/>
        </w:rPr>
      </w:pPr>
      <w:r>
        <w:rPr>
          <w:lang w:val="fr-FR"/>
        </w:rPr>
        <w:t xml:space="preserve">Point </w:t>
      </w:r>
      <w:r w:rsidR="00294D79" w:rsidRPr="00FC1C48">
        <w:rPr>
          <w:lang w:val="fr-FR"/>
        </w:rPr>
        <w:t>7</w:t>
      </w:r>
      <w:r>
        <w:rPr>
          <w:lang w:val="fr-FR"/>
        </w:rPr>
        <w:t> </w:t>
      </w:r>
      <w:r w:rsidR="00294D79" w:rsidRPr="00FC1C48">
        <w:rPr>
          <w:lang w:val="fr-FR"/>
        </w:rPr>
        <w:t>b)</w:t>
      </w:r>
      <w:r>
        <w:rPr>
          <w:lang w:val="fr-FR"/>
        </w:rPr>
        <w:t> </w:t>
      </w:r>
      <w:r w:rsidR="00294D79" w:rsidRPr="00FC1C48">
        <w:rPr>
          <w:lang w:val="fr-FR"/>
        </w:rPr>
        <w:t>ii)</w:t>
      </w:r>
      <w:r w:rsidR="0079781A" w:rsidRPr="00FC1C48">
        <w:rPr>
          <w:lang w:val="fr-FR"/>
        </w:rPr>
        <w:t xml:space="preserve"> </w:t>
      </w:r>
      <w:r>
        <w:rPr>
          <w:lang w:val="fr-FR"/>
        </w:rPr>
        <w:t>de l</w:t>
      </w:r>
      <w:r w:rsidR="00511F20">
        <w:rPr>
          <w:lang w:val="fr-FR"/>
        </w:rPr>
        <w:t>’</w:t>
      </w:r>
      <w:r>
        <w:rPr>
          <w:lang w:val="fr-FR"/>
        </w:rPr>
        <w:t>ordre du jour provisoire</w:t>
      </w:r>
      <w:r w:rsidR="0079781A" w:rsidRPr="00FC1C48">
        <w:rPr>
          <w:rStyle w:val="FootnoteReference"/>
          <w:lang w:val="fr-FR"/>
        </w:rPr>
        <w:footnoteReference w:id="1"/>
      </w:r>
    </w:p>
    <w:p w14:paraId="242EA379" w14:textId="40775D2E" w:rsidR="00C15867" w:rsidRPr="00FC1C48" w:rsidRDefault="00C15867" w:rsidP="00CA59FB">
      <w:pPr>
        <w:jc w:val="left"/>
        <w:rPr>
          <w:lang w:val="fr-FR"/>
        </w:rPr>
      </w:pPr>
    </w:p>
    <w:p w14:paraId="6B9FF9A5" w14:textId="77777777" w:rsidR="004E7F9C" w:rsidRPr="00FC1C48" w:rsidRDefault="004E7F9C" w:rsidP="005C670D">
      <w:pPr>
        <w:pStyle w:val="Title1"/>
        <w:jc w:val="right"/>
        <w:rPr>
          <w:b w:val="0"/>
          <w:lang w:val="fr-FR"/>
        </w:rPr>
      </w:pPr>
    </w:p>
    <w:p w14:paraId="3437BCF2" w14:textId="00075EB1" w:rsidR="008B5D03" w:rsidRPr="00FC1C48" w:rsidRDefault="008B5D03" w:rsidP="008B5D03">
      <w:pPr>
        <w:pStyle w:val="paragraph"/>
        <w:spacing w:before="0" w:beforeAutospacing="0" w:after="0" w:afterAutospacing="0"/>
        <w:jc w:val="center"/>
        <w:textAlignment w:val="baseline"/>
        <w:rPr>
          <w:rStyle w:val="normaltextrun"/>
          <w:b/>
          <w:bCs/>
          <w:sz w:val="22"/>
          <w:szCs w:val="22"/>
          <w:lang w:val="fr-FR"/>
        </w:rPr>
      </w:pPr>
      <w:r w:rsidRPr="00FC1C48">
        <w:rPr>
          <w:rStyle w:val="normaltextrun"/>
          <w:b/>
          <w:bCs/>
          <w:sz w:val="22"/>
          <w:szCs w:val="22"/>
          <w:lang w:val="fr-FR"/>
        </w:rPr>
        <w:t xml:space="preserve">RAPPORTS SUR </w:t>
      </w:r>
      <w:r w:rsidR="00E54638">
        <w:rPr>
          <w:rStyle w:val="normaltextrun"/>
          <w:b/>
          <w:bCs/>
          <w:sz w:val="22"/>
          <w:szCs w:val="22"/>
          <w:lang w:val="fr-FR"/>
        </w:rPr>
        <w:t>LES</w:t>
      </w:r>
      <w:r w:rsidRPr="00FC1C48">
        <w:rPr>
          <w:rStyle w:val="normaltextrun"/>
          <w:b/>
          <w:bCs/>
          <w:sz w:val="22"/>
          <w:szCs w:val="22"/>
          <w:lang w:val="fr-FR"/>
        </w:rPr>
        <w:t xml:space="preserve"> PROJETS COMPORTANT DES EXIGENCES </w:t>
      </w:r>
    </w:p>
    <w:p w14:paraId="595865B5" w14:textId="0B05ACA0" w:rsidR="008B5D03" w:rsidRPr="00FC1C48" w:rsidRDefault="008B5D03" w:rsidP="008B5D03">
      <w:pPr>
        <w:pStyle w:val="paragraph"/>
        <w:spacing w:before="0" w:beforeAutospacing="0" w:after="0" w:afterAutospacing="0"/>
        <w:jc w:val="center"/>
        <w:textAlignment w:val="baseline"/>
        <w:rPr>
          <w:rStyle w:val="normaltextrun"/>
          <w:b/>
          <w:bCs/>
          <w:sz w:val="22"/>
          <w:szCs w:val="22"/>
          <w:lang w:val="fr-FR"/>
        </w:rPr>
      </w:pPr>
      <w:r w:rsidRPr="00FC1C48">
        <w:rPr>
          <w:rStyle w:val="normaltextrun"/>
          <w:b/>
          <w:bCs/>
          <w:sz w:val="22"/>
          <w:szCs w:val="22"/>
          <w:lang w:val="fr-FR"/>
        </w:rPr>
        <w:t xml:space="preserve">PARTICULIÈRES DE </w:t>
      </w:r>
      <w:r w:rsidR="00502CCD">
        <w:rPr>
          <w:rStyle w:val="normaltextrun"/>
          <w:b/>
          <w:bCs/>
          <w:sz w:val="22"/>
          <w:szCs w:val="22"/>
          <w:lang w:val="fr-FR"/>
        </w:rPr>
        <w:t xml:space="preserve">NOTIFICATION </w:t>
      </w:r>
      <w:r w:rsidRPr="00FC1C48">
        <w:rPr>
          <w:rStyle w:val="normaltextrun"/>
          <w:b/>
          <w:bCs/>
          <w:sz w:val="22"/>
          <w:szCs w:val="22"/>
          <w:lang w:val="fr-FR"/>
        </w:rPr>
        <w:t xml:space="preserve">AVEC DES QUESTIONS </w:t>
      </w:r>
    </w:p>
    <w:p w14:paraId="039BEB0B" w14:textId="47281418" w:rsidR="00697003" w:rsidRPr="00FC1C48" w:rsidRDefault="008B5D03" w:rsidP="008B5D03">
      <w:pPr>
        <w:pStyle w:val="paragraph"/>
        <w:spacing w:before="0" w:beforeAutospacing="0" w:after="0" w:afterAutospacing="0"/>
        <w:jc w:val="center"/>
        <w:textAlignment w:val="baseline"/>
        <w:rPr>
          <w:sz w:val="22"/>
          <w:szCs w:val="22"/>
          <w:lang w:val="fr-FR"/>
        </w:rPr>
      </w:pPr>
      <w:r w:rsidRPr="00FC1C48">
        <w:rPr>
          <w:rStyle w:val="normaltextrun"/>
          <w:b/>
          <w:bCs/>
          <w:sz w:val="22"/>
          <w:szCs w:val="22"/>
          <w:lang w:val="fr-FR"/>
        </w:rPr>
        <w:t>EN SUSPENS À EXAMINER INDIVIDUELLEMENT</w:t>
      </w:r>
    </w:p>
    <w:p w14:paraId="0F94A631" w14:textId="77777777" w:rsidR="00697003" w:rsidRPr="00FC1C48" w:rsidRDefault="00697003" w:rsidP="00697003">
      <w:pPr>
        <w:pStyle w:val="paragraph"/>
        <w:spacing w:before="0" w:beforeAutospacing="0" w:after="0" w:afterAutospacing="0"/>
        <w:jc w:val="both"/>
        <w:textAlignment w:val="baseline"/>
        <w:rPr>
          <w:rStyle w:val="eop"/>
          <w:sz w:val="22"/>
          <w:szCs w:val="22"/>
          <w:lang w:val="fr-FR"/>
        </w:rPr>
      </w:pPr>
      <w:r w:rsidRPr="00FC1C48">
        <w:rPr>
          <w:rStyle w:val="eop"/>
          <w:sz w:val="22"/>
          <w:szCs w:val="22"/>
          <w:lang w:val="fr-FR"/>
        </w:rPr>
        <w:t> </w:t>
      </w:r>
    </w:p>
    <w:p w14:paraId="5AFAD60B" w14:textId="77777777" w:rsidR="0095321B" w:rsidRPr="00FC1C48" w:rsidRDefault="0095321B" w:rsidP="00697003">
      <w:pPr>
        <w:pStyle w:val="paragraph"/>
        <w:spacing w:before="0" w:beforeAutospacing="0" w:after="0" w:afterAutospacing="0"/>
        <w:jc w:val="both"/>
        <w:textAlignment w:val="baseline"/>
        <w:rPr>
          <w:sz w:val="22"/>
          <w:szCs w:val="22"/>
          <w:lang w:val="fr-FR"/>
        </w:rPr>
      </w:pPr>
    </w:p>
    <w:p w14:paraId="54B86B2F" w14:textId="1854B528" w:rsidR="00697003" w:rsidRPr="00FC1C48" w:rsidRDefault="00126859" w:rsidP="00697003">
      <w:pPr>
        <w:ind w:left="720" w:hanging="720"/>
        <w:rPr>
          <w:b/>
          <w:sz w:val="24"/>
          <w:szCs w:val="24"/>
          <w:lang w:val="fr-FR"/>
        </w:rPr>
      </w:pPr>
      <w:r w:rsidRPr="00FC1C48">
        <w:rPr>
          <w:b/>
          <w:sz w:val="24"/>
          <w:szCs w:val="24"/>
          <w:lang w:val="fr-FR"/>
        </w:rPr>
        <w:t>Aperçu</w:t>
      </w:r>
    </w:p>
    <w:p w14:paraId="41F4CB8E" w14:textId="77777777" w:rsidR="00697003" w:rsidRPr="00FC1C48" w:rsidRDefault="00697003" w:rsidP="00697003">
      <w:pPr>
        <w:ind w:left="720" w:hanging="720"/>
        <w:rPr>
          <w:lang w:val="fr-FR"/>
        </w:rPr>
      </w:pPr>
    </w:p>
    <w:p w14:paraId="60692548" w14:textId="1FB4C35A" w:rsidR="00DB21C1" w:rsidRPr="00FC1C48" w:rsidRDefault="00B90FD9" w:rsidP="00DB21C1">
      <w:pPr>
        <w:numPr>
          <w:ilvl w:val="0"/>
          <w:numId w:val="24"/>
        </w:numPr>
        <w:spacing w:after="240"/>
        <w:outlineLvl w:val="0"/>
        <w:rPr>
          <w:lang w:val="fr-FR"/>
        </w:rPr>
      </w:pPr>
      <w:r w:rsidRPr="00B90FD9">
        <w:rPr>
          <w:lang w:val="fr-FR"/>
        </w:rPr>
        <w:t>Le tableau</w:t>
      </w:r>
      <w:r>
        <w:rPr>
          <w:lang w:val="fr-FR"/>
        </w:rPr>
        <w:t> </w:t>
      </w:r>
      <w:r w:rsidRPr="00B90FD9">
        <w:rPr>
          <w:lang w:val="fr-FR"/>
        </w:rPr>
        <w:t>1 répertorie deux rapports assortis d</w:t>
      </w:r>
      <w:r w:rsidR="00511F20">
        <w:rPr>
          <w:lang w:val="fr-FR"/>
        </w:rPr>
        <w:t>’</w:t>
      </w:r>
      <w:r w:rsidRPr="00B90FD9">
        <w:rPr>
          <w:lang w:val="fr-FR"/>
        </w:rPr>
        <w:t>exigences spécifiques qui ont été présentés à la 97</w:t>
      </w:r>
      <w:r w:rsidRPr="00B819CD">
        <w:rPr>
          <w:vertAlign w:val="superscript"/>
          <w:lang w:val="fr-FR"/>
        </w:rPr>
        <w:t>e</w:t>
      </w:r>
      <w:r w:rsidR="00B819CD">
        <w:rPr>
          <w:lang w:val="fr-FR"/>
        </w:rPr>
        <w:t> </w:t>
      </w:r>
      <w:r w:rsidRPr="00B90FD9">
        <w:rPr>
          <w:lang w:val="fr-FR"/>
        </w:rPr>
        <w:t>réunion et qui, après examen par le Secrétariat, présentent des questions en suspens et nécessitent un examen individuel par le Comité exécutif.</w:t>
      </w:r>
    </w:p>
    <w:p w14:paraId="3CC82DDF" w14:textId="5F3D9B49" w:rsidR="00DB21C1" w:rsidRPr="00FC1C48" w:rsidRDefault="00DB21C1" w:rsidP="00DB21C1">
      <w:pPr>
        <w:rPr>
          <w:b/>
          <w:lang w:val="fr-FR"/>
        </w:rPr>
      </w:pPr>
      <w:r w:rsidRPr="00FC1C48">
        <w:rPr>
          <w:b/>
          <w:lang w:val="fr-FR"/>
        </w:rPr>
        <w:t>Table</w:t>
      </w:r>
      <w:r w:rsidR="00897906">
        <w:rPr>
          <w:b/>
          <w:lang w:val="fr-FR"/>
        </w:rPr>
        <w:t>au</w:t>
      </w:r>
      <w:r w:rsidRPr="00FC1C48">
        <w:rPr>
          <w:b/>
          <w:lang w:val="fr-FR"/>
        </w:rPr>
        <w:t xml:space="preserve"> 1. </w:t>
      </w:r>
      <w:r w:rsidR="00897906" w:rsidRPr="00897906">
        <w:rPr>
          <w:b/>
          <w:lang w:val="fr-FR"/>
        </w:rPr>
        <w:t xml:space="preserve">Rapports sur les projets comportant des exigences particulières de </w:t>
      </w:r>
      <w:r w:rsidR="00601FF8">
        <w:rPr>
          <w:b/>
          <w:lang w:val="fr-FR"/>
        </w:rPr>
        <w:t>notification</w:t>
      </w:r>
      <w:r w:rsidR="00897906" w:rsidRPr="00897906">
        <w:rPr>
          <w:b/>
          <w:lang w:val="fr-FR"/>
        </w:rPr>
        <w:t xml:space="preserve"> </w:t>
      </w:r>
      <w:r w:rsidR="00897906">
        <w:rPr>
          <w:b/>
          <w:lang w:val="fr-FR"/>
        </w:rPr>
        <w:t>avec</w:t>
      </w:r>
      <w:r w:rsidR="00897906" w:rsidRPr="00897906">
        <w:rPr>
          <w:b/>
          <w:lang w:val="fr-FR"/>
        </w:rPr>
        <w:t xml:space="preserve"> des questions en suspens</w:t>
      </w:r>
    </w:p>
    <w:tbl>
      <w:tblPr>
        <w:tblStyle w:val="TableGrid"/>
        <w:tblW w:w="9445" w:type="dxa"/>
        <w:tblLook w:val="04A0" w:firstRow="1" w:lastRow="0" w:firstColumn="1" w:lastColumn="0" w:noHBand="0" w:noVBand="1"/>
      </w:tblPr>
      <w:tblGrid>
        <w:gridCol w:w="1413"/>
        <w:gridCol w:w="3969"/>
        <w:gridCol w:w="2551"/>
        <w:gridCol w:w="1512"/>
      </w:tblGrid>
      <w:tr w:rsidR="00DB21C1" w:rsidRPr="00FC1C48" w14:paraId="7AF36E04" w14:textId="77777777" w:rsidTr="00315191">
        <w:trPr>
          <w:tblHeader/>
        </w:trPr>
        <w:tc>
          <w:tcPr>
            <w:tcW w:w="1413" w:type="dxa"/>
            <w:tcBorders>
              <w:top w:val="single" w:sz="4" w:space="0" w:color="auto"/>
              <w:left w:val="single" w:sz="4" w:space="0" w:color="auto"/>
              <w:bottom w:val="single" w:sz="4" w:space="0" w:color="auto"/>
              <w:right w:val="single" w:sz="4" w:space="0" w:color="auto"/>
            </w:tcBorders>
            <w:hideMark/>
          </w:tcPr>
          <w:p w14:paraId="6694A15F" w14:textId="24BAA509" w:rsidR="00DB21C1" w:rsidRPr="00FC1C48" w:rsidRDefault="00B523A9" w:rsidP="00DB21C1">
            <w:pPr>
              <w:jc w:val="center"/>
              <w:rPr>
                <w:b/>
                <w:sz w:val="20"/>
                <w:szCs w:val="20"/>
                <w:lang w:val="fr-FR"/>
              </w:rPr>
            </w:pPr>
            <w:r>
              <w:rPr>
                <w:b/>
                <w:sz w:val="20"/>
                <w:szCs w:val="20"/>
                <w:lang w:val="fr-FR"/>
              </w:rPr>
              <w:t>Pays</w:t>
            </w:r>
          </w:p>
        </w:tc>
        <w:tc>
          <w:tcPr>
            <w:tcW w:w="3969" w:type="dxa"/>
            <w:tcBorders>
              <w:top w:val="single" w:sz="4" w:space="0" w:color="auto"/>
              <w:left w:val="single" w:sz="4" w:space="0" w:color="auto"/>
              <w:bottom w:val="single" w:sz="4" w:space="0" w:color="auto"/>
              <w:right w:val="single" w:sz="4" w:space="0" w:color="auto"/>
            </w:tcBorders>
            <w:hideMark/>
          </w:tcPr>
          <w:p w14:paraId="6EFF9FC9" w14:textId="44334956" w:rsidR="00DB21C1" w:rsidRPr="00FC1C48" w:rsidRDefault="00B523A9" w:rsidP="00DB21C1">
            <w:pPr>
              <w:jc w:val="center"/>
              <w:rPr>
                <w:b/>
                <w:sz w:val="20"/>
                <w:szCs w:val="20"/>
                <w:lang w:val="fr-FR"/>
              </w:rPr>
            </w:pPr>
            <w:r>
              <w:rPr>
                <w:b/>
                <w:sz w:val="20"/>
                <w:szCs w:val="20"/>
                <w:lang w:val="fr-FR"/>
              </w:rPr>
              <w:t>Titre du projet</w:t>
            </w:r>
          </w:p>
        </w:tc>
        <w:tc>
          <w:tcPr>
            <w:tcW w:w="2551" w:type="dxa"/>
            <w:tcBorders>
              <w:top w:val="single" w:sz="4" w:space="0" w:color="auto"/>
              <w:left w:val="single" w:sz="4" w:space="0" w:color="auto"/>
              <w:bottom w:val="single" w:sz="4" w:space="0" w:color="auto"/>
              <w:right w:val="single" w:sz="4" w:space="0" w:color="auto"/>
            </w:tcBorders>
            <w:hideMark/>
          </w:tcPr>
          <w:p w14:paraId="5FA1DFE6" w14:textId="1565590D" w:rsidR="00DB21C1" w:rsidRPr="00FC1C48" w:rsidRDefault="00B523A9" w:rsidP="00DB21C1">
            <w:pPr>
              <w:jc w:val="center"/>
              <w:rPr>
                <w:b/>
                <w:sz w:val="20"/>
                <w:szCs w:val="20"/>
                <w:lang w:val="fr-FR"/>
              </w:rPr>
            </w:pPr>
            <w:r>
              <w:rPr>
                <w:b/>
                <w:sz w:val="20"/>
                <w:szCs w:val="20"/>
                <w:lang w:val="fr-FR"/>
              </w:rPr>
              <w:t>Question</w:t>
            </w:r>
          </w:p>
        </w:tc>
        <w:tc>
          <w:tcPr>
            <w:tcW w:w="1512" w:type="dxa"/>
            <w:tcBorders>
              <w:top w:val="single" w:sz="4" w:space="0" w:color="auto"/>
              <w:left w:val="single" w:sz="4" w:space="0" w:color="auto"/>
              <w:bottom w:val="single" w:sz="4" w:space="0" w:color="auto"/>
              <w:right w:val="single" w:sz="4" w:space="0" w:color="auto"/>
            </w:tcBorders>
            <w:hideMark/>
          </w:tcPr>
          <w:p w14:paraId="60175A63" w14:textId="4D3C2EEC" w:rsidR="00DB21C1" w:rsidRPr="00FC1C48" w:rsidRDefault="00DB21C1" w:rsidP="00DB21C1">
            <w:pPr>
              <w:jc w:val="center"/>
              <w:rPr>
                <w:b/>
                <w:sz w:val="20"/>
                <w:szCs w:val="20"/>
                <w:lang w:val="fr-FR"/>
              </w:rPr>
            </w:pPr>
            <w:r w:rsidRPr="00FC1C48">
              <w:rPr>
                <w:b/>
                <w:sz w:val="20"/>
                <w:szCs w:val="20"/>
                <w:lang w:val="fr-FR"/>
              </w:rPr>
              <w:t>Paragraph</w:t>
            </w:r>
            <w:r w:rsidR="00B523A9">
              <w:rPr>
                <w:b/>
                <w:sz w:val="20"/>
                <w:szCs w:val="20"/>
                <w:lang w:val="fr-FR"/>
              </w:rPr>
              <w:t>es</w:t>
            </w:r>
          </w:p>
        </w:tc>
      </w:tr>
      <w:tr w:rsidR="00DB21C1" w:rsidRPr="002F3DBD" w14:paraId="43A8D9DE" w14:textId="77777777" w:rsidTr="00315191">
        <w:tc>
          <w:tcPr>
            <w:tcW w:w="9445" w:type="dxa"/>
            <w:gridSpan w:val="4"/>
            <w:tcBorders>
              <w:top w:val="single" w:sz="4" w:space="0" w:color="auto"/>
              <w:left w:val="single" w:sz="4" w:space="0" w:color="auto"/>
              <w:bottom w:val="single" w:sz="4" w:space="0" w:color="auto"/>
              <w:right w:val="single" w:sz="4" w:space="0" w:color="auto"/>
            </w:tcBorders>
            <w:hideMark/>
          </w:tcPr>
          <w:p w14:paraId="67D0786D" w14:textId="2DB4A7FC" w:rsidR="00DB21C1" w:rsidRPr="00FC1C48" w:rsidRDefault="009C5EE5" w:rsidP="00DE0733">
            <w:pPr>
              <w:contextualSpacing/>
              <w:rPr>
                <w:sz w:val="20"/>
                <w:szCs w:val="20"/>
                <w:lang w:val="fr-FR"/>
              </w:rPr>
            </w:pPr>
            <w:bookmarkStart w:id="0" w:name="_Hlk214463089"/>
            <w:r w:rsidRPr="009C5EE5">
              <w:rPr>
                <w:b/>
                <w:sz w:val="20"/>
                <w:szCs w:val="20"/>
                <w:lang w:val="fr-FR"/>
              </w:rPr>
              <w:t>Rapports relatifs aux plans de gestion de l</w:t>
            </w:r>
            <w:r w:rsidR="00511F20">
              <w:rPr>
                <w:b/>
                <w:sz w:val="20"/>
                <w:szCs w:val="20"/>
                <w:lang w:val="fr-FR"/>
              </w:rPr>
              <w:t>’</w:t>
            </w:r>
            <w:r w:rsidRPr="009C5EE5">
              <w:rPr>
                <w:b/>
                <w:sz w:val="20"/>
                <w:szCs w:val="20"/>
                <w:lang w:val="fr-FR"/>
              </w:rPr>
              <w:t>élimination progressive des HCFC</w:t>
            </w:r>
          </w:p>
        </w:tc>
      </w:tr>
      <w:bookmarkEnd w:id="0"/>
      <w:tr w:rsidR="00DB21C1" w:rsidRPr="00FC1C48" w14:paraId="0C7A282F" w14:textId="77777777" w:rsidTr="00315191">
        <w:tc>
          <w:tcPr>
            <w:tcW w:w="1413" w:type="dxa"/>
            <w:tcBorders>
              <w:top w:val="single" w:sz="4" w:space="0" w:color="auto"/>
              <w:left w:val="single" w:sz="4" w:space="0" w:color="auto"/>
              <w:bottom w:val="single" w:sz="4" w:space="0" w:color="auto"/>
              <w:right w:val="single" w:sz="4" w:space="0" w:color="auto"/>
            </w:tcBorders>
          </w:tcPr>
          <w:p w14:paraId="3FBB058C" w14:textId="57D57354" w:rsidR="00DB21C1" w:rsidRPr="00FC1C48" w:rsidRDefault="009C5EE5" w:rsidP="00C40A37">
            <w:pPr>
              <w:spacing w:after="240"/>
              <w:jc w:val="left"/>
              <w:rPr>
                <w:sz w:val="20"/>
                <w:szCs w:val="20"/>
                <w:lang w:val="fr-FR"/>
              </w:rPr>
            </w:pPr>
            <w:r>
              <w:rPr>
                <w:sz w:val="20"/>
                <w:szCs w:val="20"/>
                <w:lang w:val="fr-FR"/>
              </w:rPr>
              <w:t>République islamique d</w:t>
            </w:r>
            <w:r w:rsidR="00511F20">
              <w:rPr>
                <w:sz w:val="20"/>
                <w:szCs w:val="20"/>
                <w:lang w:val="fr-FR"/>
              </w:rPr>
              <w:t>’</w:t>
            </w:r>
            <w:r>
              <w:rPr>
                <w:sz w:val="20"/>
                <w:szCs w:val="20"/>
                <w:lang w:val="fr-FR"/>
              </w:rPr>
              <w:t>Iran</w:t>
            </w:r>
          </w:p>
        </w:tc>
        <w:tc>
          <w:tcPr>
            <w:tcW w:w="3969" w:type="dxa"/>
            <w:tcBorders>
              <w:top w:val="single" w:sz="4" w:space="0" w:color="auto"/>
              <w:left w:val="single" w:sz="4" w:space="0" w:color="auto"/>
              <w:bottom w:val="single" w:sz="4" w:space="0" w:color="auto"/>
              <w:right w:val="single" w:sz="4" w:space="0" w:color="auto"/>
            </w:tcBorders>
          </w:tcPr>
          <w:p w14:paraId="50EDB2AB" w14:textId="171F8593" w:rsidR="00DB21C1" w:rsidRPr="00FC1C48" w:rsidRDefault="00713717" w:rsidP="007117F0">
            <w:pPr>
              <w:widowControl w:val="0"/>
              <w:spacing w:after="240"/>
              <w:jc w:val="left"/>
              <w:outlineLvl w:val="1"/>
              <w:rPr>
                <w:sz w:val="20"/>
                <w:szCs w:val="20"/>
                <w:lang w:val="fr-FR"/>
              </w:rPr>
            </w:pPr>
            <w:r w:rsidRPr="00713717">
              <w:rPr>
                <w:sz w:val="20"/>
                <w:szCs w:val="20"/>
                <w:lang w:val="fr-FR"/>
              </w:rPr>
              <w:t>Plan de gestion de l</w:t>
            </w:r>
            <w:r w:rsidR="00511F20">
              <w:rPr>
                <w:sz w:val="20"/>
                <w:szCs w:val="20"/>
                <w:lang w:val="fr-FR"/>
              </w:rPr>
              <w:t>’</w:t>
            </w:r>
            <w:r w:rsidRPr="00713717">
              <w:rPr>
                <w:sz w:val="20"/>
                <w:szCs w:val="20"/>
                <w:lang w:val="fr-FR"/>
              </w:rPr>
              <w:t>élimination progressive des HCFC (phase</w:t>
            </w:r>
            <w:r>
              <w:rPr>
                <w:sz w:val="20"/>
                <w:szCs w:val="20"/>
                <w:lang w:val="fr-FR"/>
              </w:rPr>
              <w:t> </w:t>
            </w:r>
            <w:r w:rsidRPr="00713717">
              <w:rPr>
                <w:sz w:val="20"/>
                <w:szCs w:val="20"/>
                <w:lang w:val="fr-FR"/>
              </w:rPr>
              <w:t>II – rapport périodique sur la mise en œuvre du programme de travail associé à la cinquième et dernière tranche)</w:t>
            </w:r>
          </w:p>
        </w:tc>
        <w:tc>
          <w:tcPr>
            <w:tcW w:w="2551" w:type="dxa"/>
            <w:tcBorders>
              <w:top w:val="single" w:sz="4" w:space="0" w:color="auto"/>
              <w:left w:val="single" w:sz="4" w:space="0" w:color="auto"/>
              <w:bottom w:val="single" w:sz="4" w:space="0" w:color="auto"/>
              <w:right w:val="single" w:sz="4" w:space="0" w:color="auto"/>
            </w:tcBorders>
          </w:tcPr>
          <w:p w14:paraId="49EC25E8" w14:textId="462A8A7B" w:rsidR="00DB21C1" w:rsidRPr="00FC1C48" w:rsidRDefault="00EC0C17" w:rsidP="007117F0">
            <w:pPr>
              <w:spacing w:after="240"/>
              <w:jc w:val="left"/>
              <w:rPr>
                <w:sz w:val="20"/>
                <w:szCs w:val="20"/>
                <w:highlight w:val="yellow"/>
                <w:lang w:val="fr-FR"/>
              </w:rPr>
            </w:pPr>
            <w:r w:rsidRPr="00EC0C17">
              <w:rPr>
                <w:sz w:val="20"/>
                <w:szCs w:val="20"/>
                <w:lang w:val="fr-FR"/>
              </w:rPr>
              <w:t>Demande de prolongation de la phase</w:t>
            </w:r>
            <w:r>
              <w:rPr>
                <w:sz w:val="20"/>
                <w:szCs w:val="20"/>
                <w:lang w:val="fr-FR"/>
              </w:rPr>
              <w:t> </w:t>
            </w:r>
            <w:r w:rsidRPr="00EC0C17">
              <w:rPr>
                <w:sz w:val="20"/>
                <w:szCs w:val="20"/>
                <w:lang w:val="fr-FR"/>
              </w:rPr>
              <w:t>II jusqu</w:t>
            </w:r>
            <w:r w:rsidR="00511F20">
              <w:rPr>
                <w:sz w:val="20"/>
                <w:szCs w:val="20"/>
                <w:lang w:val="fr-FR"/>
              </w:rPr>
              <w:t>’</w:t>
            </w:r>
            <w:r w:rsidRPr="00EC0C17">
              <w:rPr>
                <w:sz w:val="20"/>
                <w:szCs w:val="20"/>
                <w:lang w:val="fr-FR"/>
              </w:rPr>
              <w:t>au 31</w:t>
            </w:r>
            <w:r>
              <w:rPr>
                <w:sz w:val="20"/>
                <w:szCs w:val="20"/>
                <w:lang w:val="fr-FR"/>
              </w:rPr>
              <w:t> </w:t>
            </w:r>
            <w:r w:rsidRPr="00EC0C17">
              <w:rPr>
                <w:sz w:val="20"/>
                <w:szCs w:val="20"/>
                <w:lang w:val="fr-FR"/>
              </w:rPr>
              <w:t>décembre</w:t>
            </w:r>
            <w:r>
              <w:rPr>
                <w:sz w:val="20"/>
                <w:szCs w:val="20"/>
                <w:lang w:val="fr-FR"/>
              </w:rPr>
              <w:t> </w:t>
            </w:r>
            <w:r w:rsidRPr="00EC0C17">
              <w:rPr>
                <w:sz w:val="20"/>
                <w:szCs w:val="20"/>
                <w:lang w:val="fr-FR"/>
              </w:rPr>
              <w:t>2026</w:t>
            </w:r>
          </w:p>
        </w:tc>
        <w:tc>
          <w:tcPr>
            <w:tcW w:w="1512" w:type="dxa"/>
            <w:tcBorders>
              <w:top w:val="single" w:sz="4" w:space="0" w:color="auto"/>
              <w:left w:val="single" w:sz="4" w:space="0" w:color="auto"/>
              <w:bottom w:val="single" w:sz="4" w:space="0" w:color="auto"/>
              <w:right w:val="single" w:sz="4" w:space="0" w:color="auto"/>
            </w:tcBorders>
          </w:tcPr>
          <w:p w14:paraId="037722AE" w14:textId="5BD55DDF" w:rsidR="00DB21C1" w:rsidRPr="00FC1C48" w:rsidRDefault="00C42624" w:rsidP="007117F0">
            <w:pPr>
              <w:spacing w:after="240"/>
              <w:jc w:val="center"/>
              <w:rPr>
                <w:sz w:val="20"/>
                <w:szCs w:val="20"/>
                <w:lang w:val="fr-FR"/>
              </w:rPr>
            </w:pPr>
            <w:r w:rsidRPr="00FC1C48">
              <w:rPr>
                <w:sz w:val="20"/>
                <w:szCs w:val="20"/>
                <w:lang w:val="fr-FR"/>
              </w:rPr>
              <w:t>2</w:t>
            </w:r>
            <w:r w:rsidR="00D024AF" w:rsidRPr="00FC1C48">
              <w:rPr>
                <w:sz w:val="20"/>
                <w:szCs w:val="20"/>
                <w:lang w:val="fr-FR"/>
              </w:rPr>
              <w:t>-</w:t>
            </w:r>
            <w:r w:rsidR="00AE3780" w:rsidRPr="00FC1C48">
              <w:rPr>
                <w:sz w:val="20"/>
                <w:szCs w:val="20"/>
                <w:lang w:val="fr-FR"/>
              </w:rPr>
              <w:t>21</w:t>
            </w:r>
          </w:p>
        </w:tc>
      </w:tr>
      <w:tr w:rsidR="00195F4B" w:rsidRPr="00FC1C48" w14:paraId="3C6511DB" w14:textId="77777777" w:rsidTr="00315191">
        <w:trPr>
          <w:trHeight w:val="965"/>
        </w:trPr>
        <w:tc>
          <w:tcPr>
            <w:tcW w:w="1413" w:type="dxa"/>
            <w:tcBorders>
              <w:top w:val="single" w:sz="4" w:space="0" w:color="auto"/>
              <w:left w:val="single" w:sz="4" w:space="0" w:color="auto"/>
              <w:bottom w:val="single" w:sz="4" w:space="0" w:color="auto"/>
              <w:right w:val="single" w:sz="4" w:space="0" w:color="auto"/>
            </w:tcBorders>
          </w:tcPr>
          <w:p w14:paraId="5548AEDB" w14:textId="52EA2D6D" w:rsidR="00195F4B" w:rsidRPr="00FC1C48" w:rsidRDefault="00195F4B" w:rsidP="007117F0">
            <w:pPr>
              <w:spacing w:after="240"/>
              <w:rPr>
                <w:sz w:val="20"/>
                <w:szCs w:val="20"/>
                <w:lang w:val="fr-FR"/>
              </w:rPr>
            </w:pPr>
            <w:r w:rsidRPr="00FC1C48">
              <w:rPr>
                <w:sz w:val="20"/>
                <w:szCs w:val="20"/>
                <w:lang w:val="fr-FR"/>
              </w:rPr>
              <w:t>Qatar</w:t>
            </w:r>
          </w:p>
        </w:tc>
        <w:tc>
          <w:tcPr>
            <w:tcW w:w="3969" w:type="dxa"/>
            <w:tcBorders>
              <w:top w:val="single" w:sz="4" w:space="0" w:color="auto"/>
              <w:left w:val="single" w:sz="4" w:space="0" w:color="auto"/>
              <w:bottom w:val="single" w:sz="4" w:space="0" w:color="auto"/>
              <w:right w:val="single" w:sz="4" w:space="0" w:color="auto"/>
            </w:tcBorders>
          </w:tcPr>
          <w:p w14:paraId="6068F8C6" w14:textId="0DC73BC1" w:rsidR="00195F4B" w:rsidRPr="00FC1C48" w:rsidRDefault="00003139" w:rsidP="007117F0">
            <w:pPr>
              <w:widowControl w:val="0"/>
              <w:spacing w:after="240"/>
              <w:jc w:val="left"/>
              <w:outlineLvl w:val="1"/>
              <w:rPr>
                <w:sz w:val="20"/>
                <w:szCs w:val="20"/>
                <w:lang w:val="fr-FR"/>
              </w:rPr>
            </w:pPr>
            <w:r w:rsidRPr="00003139">
              <w:rPr>
                <w:sz w:val="20"/>
                <w:szCs w:val="20"/>
                <w:lang w:val="fr-FR"/>
              </w:rPr>
              <w:t>Plan de gestion de l</w:t>
            </w:r>
            <w:r w:rsidR="00511F20">
              <w:rPr>
                <w:sz w:val="20"/>
                <w:szCs w:val="20"/>
                <w:lang w:val="fr-FR"/>
              </w:rPr>
              <w:t>’</w:t>
            </w:r>
            <w:r w:rsidRPr="00003139">
              <w:rPr>
                <w:sz w:val="20"/>
                <w:szCs w:val="20"/>
                <w:lang w:val="fr-FR"/>
              </w:rPr>
              <w:t>élimination progressive des HCFC (phase</w:t>
            </w:r>
            <w:r>
              <w:rPr>
                <w:sz w:val="20"/>
                <w:szCs w:val="20"/>
                <w:lang w:val="fr-FR"/>
              </w:rPr>
              <w:t> </w:t>
            </w:r>
            <w:r w:rsidRPr="00003139">
              <w:rPr>
                <w:sz w:val="20"/>
                <w:szCs w:val="20"/>
                <w:lang w:val="fr-FR"/>
              </w:rPr>
              <w:t>II – rapport périodique sur la mise en œuvre des engagements énoncés dans la décision 88/54</w:t>
            </w:r>
            <w:r>
              <w:rPr>
                <w:sz w:val="20"/>
                <w:szCs w:val="20"/>
                <w:lang w:val="fr-FR"/>
              </w:rPr>
              <w:t> </w:t>
            </w:r>
            <w:r w:rsidRPr="00003139">
              <w:rPr>
                <w:sz w:val="20"/>
                <w:szCs w:val="20"/>
                <w:lang w:val="fr-FR"/>
              </w:rPr>
              <w:t>e)</w:t>
            </w:r>
            <w:r>
              <w:rPr>
                <w:sz w:val="20"/>
                <w:szCs w:val="20"/>
                <w:lang w:val="fr-FR"/>
              </w:rPr>
              <w:t> </w:t>
            </w:r>
            <w:r w:rsidRPr="00003139">
              <w:rPr>
                <w:sz w:val="20"/>
                <w:szCs w:val="20"/>
                <w:lang w:val="fr-FR"/>
              </w:rPr>
              <w:t>i), ii) et iii) (décision</w:t>
            </w:r>
            <w:r w:rsidR="001F26BD">
              <w:rPr>
                <w:sz w:val="20"/>
                <w:szCs w:val="20"/>
                <w:lang w:val="fr-FR"/>
              </w:rPr>
              <w:t> </w:t>
            </w:r>
            <w:r w:rsidRPr="00003139">
              <w:rPr>
                <w:sz w:val="20"/>
                <w:szCs w:val="20"/>
                <w:lang w:val="fr-FR"/>
              </w:rPr>
              <w:t>93/36))</w:t>
            </w:r>
          </w:p>
        </w:tc>
        <w:tc>
          <w:tcPr>
            <w:tcW w:w="2551" w:type="dxa"/>
            <w:tcBorders>
              <w:top w:val="single" w:sz="4" w:space="0" w:color="auto"/>
              <w:left w:val="single" w:sz="4" w:space="0" w:color="auto"/>
              <w:bottom w:val="single" w:sz="4" w:space="0" w:color="auto"/>
              <w:right w:val="single" w:sz="4" w:space="0" w:color="auto"/>
            </w:tcBorders>
          </w:tcPr>
          <w:p w14:paraId="361CAF61" w14:textId="146E01CE" w:rsidR="00195F4B" w:rsidRPr="00FC1C48" w:rsidRDefault="0033163B" w:rsidP="007117F0">
            <w:pPr>
              <w:spacing w:after="240"/>
              <w:jc w:val="left"/>
              <w:rPr>
                <w:sz w:val="20"/>
                <w:szCs w:val="20"/>
                <w:lang w:val="fr-FR"/>
              </w:rPr>
            </w:pPr>
            <w:r w:rsidRPr="0033163B">
              <w:rPr>
                <w:sz w:val="20"/>
                <w:szCs w:val="20"/>
                <w:lang w:val="fr-FR"/>
              </w:rPr>
              <w:t>Les conditions spécifiées dans la décision 88/54</w:t>
            </w:r>
            <w:r>
              <w:rPr>
                <w:sz w:val="20"/>
                <w:szCs w:val="20"/>
                <w:lang w:val="fr-FR"/>
              </w:rPr>
              <w:t> </w:t>
            </w:r>
            <w:r w:rsidRPr="0033163B">
              <w:rPr>
                <w:sz w:val="20"/>
                <w:szCs w:val="20"/>
                <w:lang w:val="fr-FR"/>
              </w:rPr>
              <w:t>e)</w:t>
            </w:r>
            <w:r>
              <w:rPr>
                <w:sz w:val="20"/>
                <w:szCs w:val="20"/>
                <w:lang w:val="fr-FR"/>
              </w:rPr>
              <w:t> </w:t>
            </w:r>
            <w:r w:rsidRPr="0033163B">
              <w:rPr>
                <w:sz w:val="20"/>
                <w:szCs w:val="20"/>
                <w:lang w:val="fr-FR"/>
              </w:rPr>
              <w:t>i), ii) et iii) n</w:t>
            </w:r>
            <w:r w:rsidR="00511F20">
              <w:rPr>
                <w:sz w:val="20"/>
                <w:szCs w:val="20"/>
                <w:lang w:val="fr-FR"/>
              </w:rPr>
              <w:t>’</w:t>
            </w:r>
            <w:r w:rsidRPr="0033163B">
              <w:rPr>
                <w:sz w:val="20"/>
                <w:szCs w:val="20"/>
                <w:lang w:val="fr-FR"/>
              </w:rPr>
              <w:t>ont pas été remplies.</w:t>
            </w:r>
          </w:p>
        </w:tc>
        <w:tc>
          <w:tcPr>
            <w:tcW w:w="1512" w:type="dxa"/>
            <w:tcBorders>
              <w:top w:val="single" w:sz="4" w:space="0" w:color="auto"/>
              <w:left w:val="single" w:sz="4" w:space="0" w:color="auto"/>
              <w:bottom w:val="single" w:sz="4" w:space="0" w:color="auto"/>
              <w:right w:val="single" w:sz="4" w:space="0" w:color="auto"/>
            </w:tcBorders>
          </w:tcPr>
          <w:p w14:paraId="0580E1DA" w14:textId="41D1FF2A" w:rsidR="00195F4B" w:rsidRPr="00FC1C48" w:rsidRDefault="00AE3780" w:rsidP="007117F0">
            <w:pPr>
              <w:spacing w:after="240"/>
              <w:jc w:val="center"/>
              <w:rPr>
                <w:sz w:val="20"/>
                <w:szCs w:val="20"/>
                <w:lang w:val="fr-FR"/>
              </w:rPr>
            </w:pPr>
            <w:r w:rsidRPr="00FC1C48">
              <w:rPr>
                <w:sz w:val="20"/>
                <w:szCs w:val="20"/>
                <w:lang w:val="fr-FR"/>
              </w:rPr>
              <w:t>22-34</w:t>
            </w:r>
          </w:p>
        </w:tc>
      </w:tr>
    </w:tbl>
    <w:p w14:paraId="2A1751AD" w14:textId="7404C717" w:rsidR="00131FE9" w:rsidRPr="00FC1C48" w:rsidRDefault="00892E81" w:rsidP="00E60C19">
      <w:pPr>
        <w:pStyle w:val="StyleHeader4Para4Left0Firstline0"/>
        <w:keepNext/>
        <w:widowControl/>
        <w:numPr>
          <w:ilvl w:val="0"/>
          <w:numId w:val="0"/>
        </w:numPr>
        <w:tabs>
          <w:tab w:val="clear" w:pos="2880"/>
          <w:tab w:val="clear" w:pos="5760"/>
          <w:tab w:val="left" w:pos="0"/>
        </w:tabs>
        <w:spacing w:before="240"/>
        <w:jc w:val="left"/>
        <w:rPr>
          <w:b/>
          <w:sz w:val="24"/>
          <w:szCs w:val="24"/>
          <w:lang w:val="fr-FR"/>
        </w:rPr>
      </w:pPr>
      <w:r w:rsidRPr="00892E81">
        <w:rPr>
          <w:b/>
          <w:sz w:val="24"/>
          <w:szCs w:val="24"/>
          <w:lang w:val="fr-FR"/>
        </w:rPr>
        <w:lastRenderedPageBreak/>
        <w:t>Rapports relatifs aux plans de gestion de l</w:t>
      </w:r>
      <w:r w:rsidR="00511F20">
        <w:rPr>
          <w:b/>
          <w:sz w:val="24"/>
          <w:szCs w:val="24"/>
          <w:lang w:val="fr-FR"/>
        </w:rPr>
        <w:t>’</w:t>
      </w:r>
      <w:r w:rsidRPr="00892E81">
        <w:rPr>
          <w:b/>
          <w:sz w:val="24"/>
          <w:szCs w:val="24"/>
          <w:lang w:val="fr-FR"/>
        </w:rPr>
        <w:t>élimination progressive des HCFC</w:t>
      </w:r>
    </w:p>
    <w:p w14:paraId="27E797FB" w14:textId="5BA662A1" w:rsidR="00C42624" w:rsidRPr="00FC1C48" w:rsidRDefault="00892E81" w:rsidP="00DE0733">
      <w:pPr>
        <w:keepNext/>
        <w:spacing w:after="240"/>
        <w:ind w:left="720"/>
        <w:rPr>
          <w:b/>
          <w:bCs/>
          <w:u w:val="single"/>
          <w:lang w:val="fr-FR"/>
        </w:rPr>
      </w:pPr>
      <w:r w:rsidRPr="00892E81">
        <w:rPr>
          <w:b/>
          <w:bCs/>
          <w:u w:val="single"/>
          <w:lang w:val="fr-FR"/>
        </w:rPr>
        <w:t>République islamique d</w:t>
      </w:r>
      <w:r w:rsidR="00511F20">
        <w:rPr>
          <w:b/>
          <w:bCs/>
          <w:u w:val="single"/>
          <w:lang w:val="fr-FR"/>
        </w:rPr>
        <w:t>’</w:t>
      </w:r>
      <w:r w:rsidRPr="00892E81">
        <w:rPr>
          <w:b/>
          <w:bCs/>
          <w:u w:val="single"/>
          <w:lang w:val="fr-FR"/>
        </w:rPr>
        <w:t>Iran</w:t>
      </w:r>
      <w:r w:rsidR="00A07FB4">
        <w:rPr>
          <w:b/>
          <w:bCs/>
          <w:u w:val="single"/>
          <w:lang w:val="fr-FR"/>
        </w:rPr>
        <w:t> </w:t>
      </w:r>
      <w:r w:rsidRPr="00892E81">
        <w:rPr>
          <w:b/>
          <w:bCs/>
          <w:u w:val="single"/>
          <w:lang w:val="fr-FR"/>
        </w:rPr>
        <w:t>: Plan de gestion de l</w:t>
      </w:r>
      <w:r w:rsidR="00511F20">
        <w:rPr>
          <w:b/>
          <w:bCs/>
          <w:u w:val="single"/>
          <w:lang w:val="fr-FR"/>
        </w:rPr>
        <w:t>’</w:t>
      </w:r>
      <w:r w:rsidRPr="00892E81">
        <w:rPr>
          <w:b/>
          <w:bCs/>
          <w:u w:val="single"/>
          <w:lang w:val="fr-FR"/>
        </w:rPr>
        <w:t>élimination progressive des HCFC (phase</w:t>
      </w:r>
      <w:r w:rsidR="009114BF">
        <w:rPr>
          <w:b/>
          <w:bCs/>
          <w:u w:val="single"/>
          <w:lang w:val="fr-FR"/>
        </w:rPr>
        <w:t> </w:t>
      </w:r>
      <w:r w:rsidRPr="00892E81">
        <w:rPr>
          <w:b/>
          <w:bCs/>
          <w:u w:val="single"/>
          <w:lang w:val="fr-FR"/>
        </w:rPr>
        <w:t>II – rapport périodique sur la mise en œuvre du programme de travail associé à la cinquième et dernière tranche)</w:t>
      </w:r>
      <w:r w:rsidRPr="00892E81">
        <w:rPr>
          <w:b/>
          <w:bCs/>
          <w:lang w:val="fr-FR"/>
        </w:rPr>
        <w:t xml:space="preserve"> (PNUD, PNUE, ONUDI et gouvernement italien)</w:t>
      </w:r>
    </w:p>
    <w:p w14:paraId="7ABE34F2" w14:textId="0FBAE7F1" w:rsidR="00C42624" w:rsidRPr="00FC1C48" w:rsidRDefault="00257A5B" w:rsidP="005C23A8">
      <w:pPr>
        <w:keepNext/>
        <w:spacing w:after="240"/>
        <w:rPr>
          <w:b/>
          <w:lang w:val="fr-FR"/>
        </w:rPr>
      </w:pPr>
      <w:r w:rsidRPr="00FC1C48">
        <w:rPr>
          <w:b/>
          <w:lang w:val="fr-FR"/>
        </w:rPr>
        <w:t>Contexte</w:t>
      </w:r>
    </w:p>
    <w:p w14:paraId="6E023407" w14:textId="5D8B31C8" w:rsidR="00C42624" w:rsidRPr="00FC1C48" w:rsidRDefault="00666A72" w:rsidP="00C42624">
      <w:pPr>
        <w:pStyle w:val="Heading1"/>
        <w:numPr>
          <w:ilvl w:val="0"/>
          <w:numId w:val="24"/>
        </w:numPr>
        <w:rPr>
          <w:lang w:val="fr-FR"/>
        </w:rPr>
      </w:pPr>
      <w:r w:rsidRPr="00666A72">
        <w:rPr>
          <w:lang w:val="fr-FR"/>
        </w:rPr>
        <w:t>À la 77</w:t>
      </w:r>
      <w:r w:rsidRPr="00666A72">
        <w:rPr>
          <w:vertAlign w:val="superscript"/>
          <w:lang w:val="fr-FR"/>
        </w:rPr>
        <w:t>e</w:t>
      </w:r>
      <w:r>
        <w:rPr>
          <w:lang w:val="fr-FR"/>
        </w:rPr>
        <w:t> </w:t>
      </w:r>
      <w:r w:rsidRPr="00666A72">
        <w:rPr>
          <w:lang w:val="fr-FR"/>
        </w:rPr>
        <w:t>réunion, le Comité exécutif a approuvé la phase</w:t>
      </w:r>
      <w:r w:rsidR="00CD4CA7">
        <w:rPr>
          <w:lang w:val="fr-FR"/>
        </w:rPr>
        <w:t> </w:t>
      </w:r>
      <w:r w:rsidRPr="00666A72">
        <w:rPr>
          <w:lang w:val="fr-FR"/>
        </w:rPr>
        <w:t>II du plan de gestion de l</w:t>
      </w:r>
      <w:r w:rsidR="00511F20">
        <w:rPr>
          <w:lang w:val="fr-FR"/>
        </w:rPr>
        <w:t>’</w:t>
      </w:r>
      <w:r w:rsidRPr="00666A72">
        <w:rPr>
          <w:lang w:val="fr-FR"/>
        </w:rPr>
        <w:t>élimination progressive des HCFC (PGEH) pour la République islamique d</w:t>
      </w:r>
      <w:r w:rsidR="00511F20">
        <w:rPr>
          <w:lang w:val="fr-FR"/>
        </w:rPr>
        <w:t>’</w:t>
      </w:r>
      <w:r w:rsidRPr="00666A72">
        <w:rPr>
          <w:lang w:val="fr-FR"/>
        </w:rPr>
        <w:t>Iran, qui vise à atténuer la consommation de HCFC de 75</w:t>
      </w:r>
      <w:r w:rsidR="00ED2BF4">
        <w:rPr>
          <w:lang w:val="fr-FR"/>
        </w:rPr>
        <w:t> </w:t>
      </w:r>
      <w:r w:rsidRPr="00666A72">
        <w:rPr>
          <w:lang w:val="fr-FR"/>
        </w:rPr>
        <w:t>% par rapport au niveau de référence de HCFC d</w:t>
      </w:r>
      <w:r w:rsidR="00511F20">
        <w:rPr>
          <w:lang w:val="fr-FR"/>
        </w:rPr>
        <w:t>’</w:t>
      </w:r>
      <w:r w:rsidRPr="00666A72">
        <w:rPr>
          <w:lang w:val="fr-FR"/>
        </w:rPr>
        <w:t>ici 2023, avec une date d</w:t>
      </w:r>
      <w:r w:rsidR="00511F20">
        <w:rPr>
          <w:lang w:val="fr-FR"/>
        </w:rPr>
        <w:t>’</w:t>
      </w:r>
      <w:r w:rsidRPr="00666A72">
        <w:rPr>
          <w:lang w:val="fr-FR"/>
        </w:rPr>
        <w:t>achèvement fixée au 31</w:t>
      </w:r>
      <w:r w:rsidR="00207241">
        <w:rPr>
          <w:lang w:val="fr-FR"/>
        </w:rPr>
        <w:t> </w:t>
      </w:r>
      <w:r w:rsidRPr="00666A72">
        <w:rPr>
          <w:lang w:val="fr-FR"/>
        </w:rPr>
        <w:t>décembre 2024, comme établi dans l</w:t>
      </w:r>
      <w:r w:rsidR="00511F20">
        <w:rPr>
          <w:lang w:val="fr-FR"/>
        </w:rPr>
        <w:t>’</w:t>
      </w:r>
      <w:r w:rsidRPr="00666A72">
        <w:rPr>
          <w:lang w:val="fr-FR"/>
        </w:rPr>
        <w:t>accord entre le gouvernement du pays et le Comité exécutif.</w:t>
      </w:r>
    </w:p>
    <w:p w14:paraId="6592E428" w14:textId="3692BE87" w:rsidR="00C42624" w:rsidRPr="00FC1C48" w:rsidRDefault="009962CC" w:rsidP="00C42624">
      <w:pPr>
        <w:pStyle w:val="Heading1"/>
        <w:numPr>
          <w:ilvl w:val="0"/>
          <w:numId w:val="24"/>
        </w:numPr>
        <w:rPr>
          <w:lang w:val="fr-FR"/>
        </w:rPr>
      </w:pPr>
      <w:r w:rsidRPr="009962CC">
        <w:rPr>
          <w:lang w:val="fr-FR"/>
        </w:rPr>
        <w:t>À la 90</w:t>
      </w:r>
      <w:r w:rsidRPr="009962CC">
        <w:rPr>
          <w:vertAlign w:val="superscript"/>
          <w:lang w:val="fr-FR"/>
        </w:rPr>
        <w:t>e</w:t>
      </w:r>
      <w:r>
        <w:rPr>
          <w:lang w:val="fr-FR"/>
        </w:rPr>
        <w:t> </w:t>
      </w:r>
      <w:r w:rsidRPr="009962CC">
        <w:rPr>
          <w:lang w:val="fr-FR"/>
        </w:rPr>
        <w:t>réunion, le Comité exécutif a approuvé, à titre exceptionnel, la prolongation de la durée de la phase</w:t>
      </w:r>
      <w:r>
        <w:rPr>
          <w:lang w:val="fr-FR"/>
        </w:rPr>
        <w:t> </w:t>
      </w:r>
      <w:r w:rsidRPr="009962CC">
        <w:rPr>
          <w:lang w:val="fr-FR"/>
        </w:rPr>
        <w:t>II du PGEH pour la République islamique d</w:t>
      </w:r>
      <w:r w:rsidR="00511F20">
        <w:rPr>
          <w:lang w:val="fr-FR"/>
        </w:rPr>
        <w:t>’</w:t>
      </w:r>
      <w:r w:rsidRPr="009962CC">
        <w:rPr>
          <w:lang w:val="fr-FR"/>
        </w:rPr>
        <w:t>Iran jusqu</w:t>
      </w:r>
      <w:r w:rsidR="00511F20">
        <w:rPr>
          <w:lang w:val="fr-FR"/>
        </w:rPr>
        <w:t>’</w:t>
      </w:r>
      <w:r w:rsidRPr="009962CC">
        <w:rPr>
          <w:lang w:val="fr-FR"/>
        </w:rPr>
        <w:t>au 31</w:t>
      </w:r>
      <w:r>
        <w:rPr>
          <w:lang w:val="fr-FR"/>
        </w:rPr>
        <w:t> </w:t>
      </w:r>
      <w:r w:rsidRPr="009962CC">
        <w:rPr>
          <w:lang w:val="fr-FR"/>
        </w:rPr>
        <w:t>décembre 2025, compte tenu des retards dans la mise en œuvre causés par la pandémie de coronavirus, étant entendu qu</w:t>
      </w:r>
      <w:r w:rsidR="00511F20">
        <w:rPr>
          <w:lang w:val="fr-FR"/>
        </w:rPr>
        <w:t>’</w:t>
      </w:r>
      <w:r w:rsidRPr="009962CC">
        <w:rPr>
          <w:lang w:val="fr-FR"/>
        </w:rPr>
        <w:t>aucune autre prolongation ne serait demandée (décision</w:t>
      </w:r>
      <w:r w:rsidR="00576F97">
        <w:rPr>
          <w:lang w:val="fr-FR"/>
        </w:rPr>
        <w:t> </w:t>
      </w:r>
      <w:r w:rsidRPr="009962CC">
        <w:rPr>
          <w:lang w:val="fr-FR"/>
        </w:rPr>
        <w:t>90/45).</w:t>
      </w:r>
    </w:p>
    <w:p w14:paraId="4F47B6DC" w14:textId="53EF37C7" w:rsidR="00C42624" w:rsidRPr="00FC1C48" w:rsidRDefault="005E0B8C" w:rsidP="00C42624">
      <w:pPr>
        <w:pStyle w:val="Heading1"/>
        <w:numPr>
          <w:ilvl w:val="0"/>
          <w:numId w:val="24"/>
        </w:numPr>
        <w:rPr>
          <w:lang w:val="fr-FR"/>
        </w:rPr>
      </w:pPr>
      <w:r w:rsidRPr="005E0B8C">
        <w:rPr>
          <w:lang w:val="fr-FR"/>
        </w:rPr>
        <w:t>À la 94</w:t>
      </w:r>
      <w:r w:rsidRPr="005E0B8C">
        <w:rPr>
          <w:vertAlign w:val="superscript"/>
          <w:lang w:val="fr-FR"/>
        </w:rPr>
        <w:t>e</w:t>
      </w:r>
      <w:r>
        <w:rPr>
          <w:lang w:val="fr-FR"/>
        </w:rPr>
        <w:t> </w:t>
      </w:r>
      <w:r w:rsidRPr="005E0B8C">
        <w:rPr>
          <w:lang w:val="fr-FR"/>
        </w:rPr>
        <w:t>réunion, le PNUD a présenté la cinquième et dernière tranche de la phase</w:t>
      </w:r>
      <w:r w:rsidR="00CF1DBB">
        <w:rPr>
          <w:lang w:val="fr-FR"/>
        </w:rPr>
        <w:t> </w:t>
      </w:r>
      <w:r w:rsidRPr="005E0B8C">
        <w:rPr>
          <w:lang w:val="fr-FR"/>
        </w:rPr>
        <w:t>II du PGEH et a confirmé que toutes les activités en cours seraient achevées d</w:t>
      </w:r>
      <w:r w:rsidR="00511F20">
        <w:rPr>
          <w:lang w:val="fr-FR"/>
        </w:rPr>
        <w:t>’</w:t>
      </w:r>
      <w:r w:rsidRPr="005E0B8C">
        <w:rPr>
          <w:lang w:val="fr-FR"/>
        </w:rPr>
        <w:t>ici décembre 2025 et qu</w:t>
      </w:r>
      <w:r w:rsidR="00511F20">
        <w:rPr>
          <w:lang w:val="fr-FR"/>
        </w:rPr>
        <w:t>’</w:t>
      </w:r>
      <w:r w:rsidRPr="005E0B8C">
        <w:rPr>
          <w:lang w:val="fr-FR"/>
        </w:rPr>
        <w:t>aucune prolongation supplémentaire de la phase</w:t>
      </w:r>
      <w:r w:rsidR="00CF1DBB">
        <w:rPr>
          <w:lang w:val="fr-FR"/>
        </w:rPr>
        <w:t> </w:t>
      </w:r>
      <w:r w:rsidRPr="005E0B8C">
        <w:rPr>
          <w:lang w:val="fr-FR"/>
        </w:rPr>
        <w:t>II du PGEH n</w:t>
      </w:r>
      <w:r w:rsidR="00511F20">
        <w:rPr>
          <w:lang w:val="fr-FR"/>
        </w:rPr>
        <w:t>’</w:t>
      </w:r>
      <w:r w:rsidRPr="005E0B8C">
        <w:rPr>
          <w:lang w:val="fr-FR"/>
        </w:rPr>
        <w:t xml:space="preserve">était nécessaire. En conséquence, le Comité exécutif a approuvé la tranche et a demandé aux agences concernées de présenter des rapports périodiques de mise en œuvre des programmes de travail associés à la dernière tranche </w:t>
      </w:r>
      <w:r w:rsidR="00FE4CEE">
        <w:rPr>
          <w:lang w:val="fr-FR"/>
        </w:rPr>
        <w:t>à</w:t>
      </w:r>
      <w:r w:rsidRPr="005E0B8C">
        <w:rPr>
          <w:lang w:val="fr-FR"/>
        </w:rPr>
        <w:t xml:space="preserve"> la 97</w:t>
      </w:r>
      <w:r w:rsidRPr="00CB5201">
        <w:rPr>
          <w:vertAlign w:val="superscript"/>
          <w:lang w:val="fr-FR"/>
        </w:rPr>
        <w:t>e</w:t>
      </w:r>
      <w:r w:rsidR="00CB5201">
        <w:rPr>
          <w:lang w:val="fr-FR"/>
        </w:rPr>
        <w:t> </w:t>
      </w:r>
      <w:r w:rsidRPr="005E0B8C">
        <w:rPr>
          <w:lang w:val="fr-FR"/>
        </w:rPr>
        <w:t>réunion, ainsi que des rapports d</w:t>
      </w:r>
      <w:r w:rsidR="00511F20">
        <w:rPr>
          <w:lang w:val="fr-FR"/>
        </w:rPr>
        <w:t>’</w:t>
      </w:r>
      <w:r w:rsidRPr="005E0B8C">
        <w:rPr>
          <w:lang w:val="fr-FR"/>
        </w:rPr>
        <w:t xml:space="preserve">achèvement de projet </w:t>
      </w:r>
      <w:r w:rsidR="0078038E">
        <w:rPr>
          <w:lang w:val="fr-FR"/>
        </w:rPr>
        <w:t>à</w:t>
      </w:r>
      <w:r w:rsidRPr="005E0B8C">
        <w:rPr>
          <w:lang w:val="fr-FR"/>
        </w:rPr>
        <w:t xml:space="preserve"> la deuxième réunion du Comité exécutif en 2026 (décision</w:t>
      </w:r>
      <w:r w:rsidR="00C873E2">
        <w:rPr>
          <w:lang w:val="fr-FR"/>
        </w:rPr>
        <w:t> </w:t>
      </w:r>
      <w:r w:rsidRPr="005E0B8C">
        <w:rPr>
          <w:lang w:val="fr-FR"/>
        </w:rPr>
        <w:t>94/36).</w:t>
      </w:r>
    </w:p>
    <w:p w14:paraId="5D6ED2D7" w14:textId="77777777" w:rsidR="00946D4F" w:rsidRPr="00FC1C48" w:rsidRDefault="00946D4F" w:rsidP="00946D4F">
      <w:pPr>
        <w:pStyle w:val="ListParagraph"/>
        <w:spacing w:before="240" w:after="240"/>
        <w:ind w:left="0"/>
        <w:rPr>
          <w:b/>
          <w:bCs/>
          <w:lang w:val="fr-FR"/>
        </w:rPr>
      </w:pPr>
      <w:r w:rsidRPr="00FC1C48">
        <w:rPr>
          <w:b/>
          <w:bCs/>
          <w:lang w:val="fr-FR"/>
        </w:rPr>
        <w:t>Rapport périodique</w:t>
      </w:r>
    </w:p>
    <w:p w14:paraId="43BFEF28" w14:textId="00DD6993" w:rsidR="00C42624" w:rsidRPr="00FC1C48" w:rsidRDefault="009E25CF" w:rsidP="00C42624">
      <w:pPr>
        <w:pStyle w:val="Heading1"/>
        <w:numPr>
          <w:ilvl w:val="0"/>
          <w:numId w:val="24"/>
        </w:numPr>
        <w:rPr>
          <w:lang w:val="fr-FR"/>
        </w:rPr>
      </w:pPr>
      <w:r w:rsidRPr="009E25CF">
        <w:rPr>
          <w:lang w:val="fr-FR"/>
        </w:rPr>
        <w:t>Lors de la 97</w:t>
      </w:r>
      <w:r w:rsidRPr="009E25CF">
        <w:rPr>
          <w:vertAlign w:val="superscript"/>
          <w:lang w:val="fr-FR"/>
        </w:rPr>
        <w:t>e</w:t>
      </w:r>
      <w:r>
        <w:rPr>
          <w:lang w:val="fr-FR"/>
        </w:rPr>
        <w:t> </w:t>
      </w:r>
      <w:r w:rsidRPr="009E25CF">
        <w:rPr>
          <w:lang w:val="fr-FR"/>
        </w:rPr>
        <w:t>réunion, le PNUD, en sa qualité d</w:t>
      </w:r>
      <w:r w:rsidR="00511F20">
        <w:rPr>
          <w:lang w:val="fr-FR"/>
        </w:rPr>
        <w:t>’</w:t>
      </w:r>
      <w:r w:rsidRPr="009E25CF">
        <w:rPr>
          <w:lang w:val="fr-FR"/>
        </w:rPr>
        <w:t>agence principale d</w:t>
      </w:r>
      <w:r w:rsidR="00511F20">
        <w:rPr>
          <w:lang w:val="fr-FR"/>
        </w:rPr>
        <w:t>’</w:t>
      </w:r>
      <w:r w:rsidRPr="009E25CF">
        <w:rPr>
          <w:lang w:val="fr-FR"/>
        </w:rPr>
        <w:t>exécution, a présenté, au nom du gouvernement de la République islamique d</w:t>
      </w:r>
      <w:r w:rsidR="00511F20">
        <w:rPr>
          <w:lang w:val="fr-FR"/>
        </w:rPr>
        <w:t>’</w:t>
      </w:r>
      <w:r w:rsidRPr="009E25CF">
        <w:rPr>
          <w:lang w:val="fr-FR"/>
        </w:rPr>
        <w:t>Iran, un rapport périodique sur la mise en œuvre des programmes de travail associés à la cinquième et dernière tranche de la phase</w:t>
      </w:r>
      <w:r>
        <w:rPr>
          <w:lang w:val="fr-FR"/>
        </w:rPr>
        <w:t> </w:t>
      </w:r>
      <w:r w:rsidRPr="009E25CF">
        <w:rPr>
          <w:lang w:val="fr-FR"/>
        </w:rPr>
        <w:t>II du PGEH, conformément à la décision</w:t>
      </w:r>
      <w:r>
        <w:rPr>
          <w:lang w:val="fr-FR"/>
        </w:rPr>
        <w:t> </w:t>
      </w:r>
      <w:r w:rsidRPr="009E25CF">
        <w:rPr>
          <w:lang w:val="fr-FR"/>
        </w:rPr>
        <w:t>94/36.</w:t>
      </w:r>
    </w:p>
    <w:p w14:paraId="3546ADD8" w14:textId="7D932ECD" w:rsidR="00C42624" w:rsidRPr="00FC1C48" w:rsidRDefault="0064542F" w:rsidP="00C42624">
      <w:pPr>
        <w:pStyle w:val="Heading1"/>
        <w:numPr>
          <w:ilvl w:val="0"/>
          <w:numId w:val="24"/>
        </w:numPr>
        <w:spacing w:before="240"/>
        <w:rPr>
          <w:lang w:val="fr-FR"/>
        </w:rPr>
      </w:pPr>
      <w:r w:rsidRPr="0064542F">
        <w:rPr>
          <w:lang w:val="fr-FR"/>
        </w:rPr>
        <w:t>La République islamique d</w:t>
      </w:r>
      <w:r w:rsidR="00511F20">
        <w:rPr>
          <w:lang w:val="fr-FR"/>
        </w:rPr>
        <w:t>’</w:t>
      </w:r>
      <w:r w:rsidRPr="0064542F">
        <w:rPr>
          <w:lang w:val="fr-FR"/>
        </w:rPr>
        <w:t>Iran a déclaré une consommation de 54,18</w:t>
      </w:r>
      <w:r>
        <w:rPr>
          <w:lang w:val="fr-FR"/>
        </w:rPr>
        <w:t> </w:t>
      </w:r>
      <w:r w:rsidRPr="0064542F">
        <w:rPr>
          <w:lang w:val="fr-FR"/>
        </w:rPr>
        <w:t>tonnes</w:t>
      </w:r>
      <w:r>
        <w:rPr>
          <w:lang w:val="fr-FR"/>
        </w:rPr>
        <w:t> </w:t>
      </w:r>
      <w:r w:rsidRPr="0064542F">
        <w:rPr>
          <w:lang w:val="fr-FR"/>
        </w:rPr>
        <w:t>PAO de HCFC en 2024, soit 86</w:t>
      </w:r>
      <w:r w:rsidR="00E4617D">
        <w:rPr>
          <w:lang w:val="fr-FR"/>
        </w:rPr>
        <w:t> </w:t>
      </w:r>
      <w:r w:rsidRPr="0064542F">
        <w:rPr>
          <w:lang w:val="fr-FR"/>
        </w:rPr>
        <w:t>% de moins que son niveau de référence de HCFC aux fins de conformité et 43</w:t>
      </w:r>
      <w:r w:rsidR="00980C22">
        <w:rPr>
          <w:lang w:val="fr-FR"/>
        </w:rPr>
        <w:t> </w:t>
      </w:r>
      <w:r w:rsidRPr="0064542F">
        <w:rPr>
          <w:lang w:val="fr-FR"/>
        </w:rPr>
        <w:t>% de moins que la consommation maximale autorisée dans le cadre de l</w:t>
      </w:r>
      <w:r w:rsidR="00511F20">
        <w:rPr>
          <w:lang w:val="fr-FR"/>
        </w:rPr>
        <w:t>’</w:t>
      </w:r>
      <w:r w:rsidRPr="0064542F">
        <w:rPr>
          <w:lang w:val="fr-FR"/>
        </w:rPr>
        <w:t>Accord pour cette même année.</w:t>
      </w:r>
    </w:p>
    <w:p w14:paraId="738808EA" w14:textId="56F67148" w:rsidR="00C42624" w:rsidRPr="00FC1C48" w:rsidRDefault="00E819C1" w:rsidP="00C42624">
      <w:pPr>
        <w:pStyle w:val="Heading1"/>
        <w:numPr>
          <w:ilvl w:val="0"/>
          <w:numId w:val="0"/>
        </w:numPr>
        <w:rPr>
          <w:u w:val="single"/>
          <w:lang w:val="fr-FR"/>
        </w:rPr>
      </w:pPr>
      <w:r w:rsidRPr="00FC1C48">
        <w:rPr>
          <w:u w:val="single"/>
          <w:lang w:val="fr-FR"/>
        </w:rPr>
        <w:t>Cadre juridique</w:t>
      </w:r>
    </w:p>
    <w:p w14:paraId="44CAE3DB" w14:textId="59A8815E" w:rsidR="00C42624" w:rsidRPr="00FC1C48" w:rsidRDefault="00B65557" w:rsidP="00C42624">
      <w:pPr>
        <w:pStyle w:val="Heading1"/>
        <w:numPr>
          <w:ilvl w:val="0"/>
          <w:numId w:val="24"/>
        </w:numPr>
        <w:rPr>
          <w:lang w:val="fr-FR"/>
        </w:rPr>
      </w:pPr>
      <w:r w:rsidRPr="00B65557">
        <w:rPr>
          <w:lang w:val="fr-FR"/>
        </w:rPr>
        <w:t>L</w:t>
      </w:r>
      <w:r w:rsidR="00511F20">
        <w:rPr>
          <w:lang w:val="fr-FR"/>
        </w:rPr>
        <w:t>’</w:t>
      </w:r>
      <w:r w:rsidRPr="00B65557">
        <w:rPr>
          <w:lang w:val="fr-FR"/>
        </w:rPr>
        <w:t>interdiction de l</w:t>
      </w:r>
      <w:r w:rsidR="00511F20">
        <w:rPr>
          <w:lang w:val="fr-FR"/>
        </w:rPr>
        <w:t>’</w:t>
      </w:r>
      <w:r w:rsidRPr="00B65557">
        <w:rPr>
          <w:lang w:val="fr-FR"/>
        </w:rPr>
        <w:t>importation et de l</w:t>
      </w:r>
      <w:r w:rsidR="00511F20">
        <w:rPr>
          <w:lang w:val="fr-FR"/>
        </w:rPr>
        <w:t>’</w:t>
      </w:r>
      <w:r w:rsidRPr="00B65557">
        <w:rPr>
          <w:lang w:val="fr-FR"/>
        </w:rPr>
        <w:t>utilisation du HCFC-141b pur ou contenu dans des polyols prémélangés est entrée en vigueur le 1</w:t>
      </w:r>
      <w:r w:rsidRPr="00B65557">
        <w:rPr>
          <w:vertAlign w:val="superscript"/>
          <w:lang w:val="fr-FR"/>
        </w:rPr>
        <w:t>er</w:t>
      </w:r>
      <w:r>
        <w:rPr>
          <w:lang w:val="fr-FR"/>
        </w:rPr>
        <w:t> </w:t>
      </w:r>
      <w:r w:rsidRPr="00B65557">
        <w:rPr>
          <w:lang w:val="fr-FR"/>
        </w:rPr>
        <w:t xml:space="preserve">juillet 2024, et </w:t>
      </w:r>
      <w:r w:rsidR="0073041F">
        <w:rPr>
          <w:lang w:val="fr-FR"/>
        </w:rPr>
        <w:t>l</w:t>
      </w:r>
      <w:r w:rsidR="00511F20">
        <w:rPr>
          <w:lang w:val="fr-FR"/>
        </w:rPr>
        <w:t>’</w:t>
      </w:r>
      <w:r w:rsidR="0073041F">
        <w:rPr>
          <w:lang w:val="fr-FR"/>
        </w:rPr>
        <w:t xml:space="preserve">entrée en vigueur de </w:t>
      </w:r>
      <w:r w:rsidRPr="00B65557">
        <w:rPr>
          <w:lang w:val="fr-FR"/>
        </w:rPr>
        <w:t>l</w:t>
      </w:r>
      <w:r w:rsidR="00511F20">
        <w:rPr>
          <w:lang w:val="fr-FR"/>
        </w:rPr>
        <w:t>’</w:t>
      </w:r>
      <w:r w:rsidRPr="00B65557">
        <w:rPr>
          <w:lang w:val="fr-FR"/>
        </w:rPr>
        <w:t>interdiction de l</w:t>
      </w:r>
      <w:r w:rsidR="00511F20">
        <w:rPr>
          <w:lang w:val="fr-FR"/>
        </w:rPr>
        <w:t>’</w:t>
      </w:r>
      <w:r w:rsidRPr="00B65557">
        <w:rPr>
          <w:lang w:val="fr-FR"/>
        </w:rPr>
        <w:t>utilisation du HCFC-22 dans la fabrication d</w:t>
      </w:r>
      <w:r w:rsidR="00511F20">
        <w:rPr>
          <w:lang w:val="fr-FR"/>
        </w:rPr>
        <w:t>’</w:t>
      </w:r>
      <w:r w:rsidRPr="00B65557">
        <w:rPr>
          <w:lang w:val="fr-FR"/>
        </w:rPr>
        <w:t>équipements de réfrigération et de climatisation (R</w:t>
      </w:r>
      <w:r w:rsidR="00260E0B">
        <w:rPr>
          <w:lang w:val="fr-FR"/>
        </w:rPr>
        <w:t>&amp;</w:t>
      </w:r>
      <w:r w:rsidRPr="00B65557">
        <w:rPr>
          <w:lang w:val="fr-FR"/>
        </w:rPr>
        <w:t>C) est prévue pour le 1</w:t>
      </w:r>
      <w:r w:rsidRPr="004275B4">
        <w:rPr>
          <w:vertAlign w:val="superscript"/>
          <w:lang w:val="fr-FR"/>
        </w:rPr>
        <w:t>er</w:t>
      </w:r>
      <w:r w:rsidR="004275B4">
        <w:rPr>
          <w:lang w:val="fr-FR"/>
        </w:rPr>
        <w:t> </w:t>
      </w:r>
      <w:r w:rsidRPr="00B65557">
        <w:rPr>
          <w:lang w:val="fr-FR"/>
        </w:rPr>
        <w:t>janvier 2026. Au total, 125</w:t>
      </w:r>
      <w:r w:rsidR="0092743F">
        <w:rPr>
          <w:lang w:val="fr-FR"/>
        </w:rPr>
        <w:t> </w:t>
      </w:r>
      <w:r w:rsidRPr="00B65557">
        <w:rPr>
          <w:lang w:val="fr-FR"/>
        </w:rPr>
        <w:t>agents des douanes ont suivi une formation sur la mise en œuvre du Protocole de Montréal, le système de licences et de quotas et la prévention des importations illégales. Un manuel de formation destiné aux agents des douanes et un guide des douanes respectueux de l</w:t>
      </w:r>
      <w:r w:rsidR="00511F20">
        <w:rPr>
          <w:lang w:val="fr-FR"/>
        </w:rPr>
        <w:t>’</w:t>
      </w:r>
      <w:r w:rsidRPr="00B65557">
        <w:rPr>
          <w:lang w:val="fr-FR"/>
        </w:rPr>
        <w:t>environnement ont été traduits, imprimés et distribués.</w:t>
      </w:r>
    </w:p>
    <w:p w14:paraId="3694234C" w14:textId="296E5BFE" w:rsidR="00C42624" w:rsidRPr="00FC1C48" w:rsidRDefault="007D6EFD" w:rsidP="00C42624">
      <w:pPr>
        <w:keepNext/>
        <w:spacing w:after="240"/>
        <w:rPr>
          <w:iCs/>
          <w:u w:val="single"/>
          <w:lang w:val="fr-FR"/>
        </w:rPr>
      </w:pPr>
      <w:r w:rsidRPr="007D6EFD">
        <w:rPr>
          <w:iCs/>
          <w:u w:val="single"/>
          <w:lang w:val="fr-FR"/>
        </w:rPr>
        <w:t>Secteur de la fabrication de mousse de polyuréthane (PNUD, ONUDI et gouvernement italien)</w:t>
      </w:r>
    </w:p>
    <w:p w14:paraId="6C1AF32C" w14:textId="0D89AA4C" w:rsidR="00C42624" w:rsidRPr="00FC1C48" w:rsidRDefault="00BE7438" w:rsidP="00C42624">
      <w:pPr>
        <w:pStyle w:val="Heading1"/>
        <w:numPr>
          <w:ilvl w:val="0"/>
          <w:numId w:val="24"/>
        </w:numPr>
        <w:rPr>
          <w:lang w:val="fr-FR"/>
        </w:rPr>
      </w:pPr>
      <w:r w:rsidRPr="00BE7438">
        <w:rPr>
          <w:lang w:val="fr-FR"/>
        </w:rPr>
        <w:t>Le tableau</w:t>
      </w:r>
      <w:r>
        <w:rPr>
          <w:lang w:val="fr-FR"/>
        </w:rPr>
        <w:t> </w:t>
      </w:r>
      <w:r w:rsidRPr="00BE7438">
        <w:rPr>
          <w:lang w:val="fr-FR"/>
        </w:rPr>
        <w:t>2 présente l</w:t>
      </w:r>
      <w:r w:rsidR="00511F20">
        <w:rPr>
          <w:lang w:val="fr-FR"/>
        </w:rPr>
        <w:t>’</w:t>
      </w:r>
      <w:r w:rsidRPr="00BE7438">
        <w:rPr>
          <w:lang w:val="fr-FR"/>
        </w:rPr>
        <w:t>état d</w:t>
      </w:r>
      <w:r w:rsidR="00511F20">
        <w:rPr>
          <w:lang w:val="fr-FR"/>
        </w:rPr>
        <w:t>’</w:t>
      </w:r>
      <w:r w:rsidRPr="00BE7438">
        <w:rPr>
          <w:lang w:val="fr-FR"/>
        </w:rPr>
        <w:t>avancement de la mise en œuvre d</w:t>
      </w:r>
      <w:r w:rsidR="00103D75">
        <w:rPr>
          <w:lang w:val="fr-FR"/>
        </w:rPr>
        <w:t>es</w:t>
      </w:r>
      <w:r w:rsidRPr="00BE7438">
        <w:rPr>
          <w:lang w:val="fr-FR"/>
        </w:rPr>
        <w:t xml:space="preserve"> projet</w:t>
      </w:r>
      <w:r w:rsidR="00103D75">
        <w:rPr>
          <w:lang w:val="fr-FR"/>
        </w:rPr>
        <w:t>s</w:t>
      </w:r>
      <w:r w:rsidRPr="00BE7438">
        <w:rPr>
          <w:lang w:val="fr-FR"/>
        </w:rPr>
        <w:t xml:space="preserve"> dans le secteur de la fabrication de mousses PU.</w:t>
      </w:r>
    </w:p>
    <w:p w14:paraId="60EFD3A5" w14:textId="213A4280" w:rsidR="00C42624" w:rsidRPr="00FC1C48" w:rsidRDefault="00C42624" w:rsidP="00DE0733">
      <w:pPr>
        <w:keepNext/>
        <w:shd w:val="clear" w:color="auto" w:fill="FFFFFF" w:themeFill="background1"/>
        <w:outlineLvl w:val="0"/>
        <w:rPr>
          <w:b/>
          <w:lang w:val="fr-FR"/>
        </w:rPr>
      </w:pPr>
      <w:r w:rsidRPr="00FC1C48">
        <w:rPr>
          <w:b/>
          <w:bCs/>
          <w:lang w:val="fr-FR"/>
        </w:rPr>
        <w:lastRenderedPageBreak/>
        <w:t>Table</w:t>
      </w:r>
      <w:r w:rsidR="00157D02">
        <w:rPr>
          <w:b/>
          <w:bCs/>
          <w:lang w:val="fr-FR"/>
        </w:rPr>
        <w:t>au </w:t>
      </w:r>
      <w:r w:rsidRPr="00FC1C48">
        <w:rPr>
          <w:b/>
          <w:bCs/>
          <w:lang w:val="fr-FR"/>
        </w:rPr>
        <w:t>2</w:t>
      </w:r>
      <w:r w:rsidRPr="00FC1C48">
        <w:rPr>
          <w:b/>
          <w:lang w:val="fr-FR"/>
        </w:rPr>
        <w:t xml:space="preserve">. </w:t>
      </w:r>
      <w:r w:rsidR="0067632C" w:rsidRPr="0067632C">
        <w:rPr>
          <w:b/>
          <w:lang w:val="fr-FR"/>
        </w:rPr>
        <w:t>État d</w:t>
      </w:r>
      <w:r w:rsidR="00511F20">
        <w:rPr>
          <w:b/>
          <w:lang w:val="fr-FR"/>
        </w:rPr>
        <w:t>’</w:t>
      </w:r>
      <w:r w:rsidR="0067632C" w:rsidRPr="0067632C">
        <w:rPr>
          <w:b/>
          <w:lang w:val="fr-FR"/>
        </w:rPr>
        <w:t>avancement de la mise en œuvre des projets dans le secteur des mousses PU</w:t>
      </w:r>
      <w:r w:rsidRPr="00FC1C48">
        <w:rPr>
          <w:b/>
          <w:lang w:val="fr-FR"/>
        </w:rPr>
        <w:t>*</w:t>
      </w:r>
    </w:p>
    <w:tbl>
      <w:tblPr>
        <w:tblStyle w:val="TableGrid"/>
        <w:tblW w:w="9380" w:type="dxa"/>
        <w:tblLook w:val="04A0" w:firstRow="1" w:lastRow="0" w:firstColumn="1" w:lastColumn="0" w:noHBand="0" w:noVBand="1"/>
      </w:tblPr>
      <w:tblGrid>
        <w:gridCol w:w="2544"/>
        <w:gridCol w:w="1159"/>
        <w:gridCol w:w="5677"/>
      </w:tblGrid>
      <w:tr w:rsidR="00C42624" w:rsidRPr="00FC1C48" w14:paraId="4B809643" w14:textId="77777777" w:rsidTr="006D44C7">
        <w:trPr>
          <w:trHeight w:val="59"/>
          <w:tblHeader/>
        </w:trPr>
        <w:tc>
          <w:tcPr>
            <w:tcW w:w="2549" w:type="dxa"/>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85" w:type="dxa"/>
              <w:bottom w:w="0" w:type="dxa"/>
              <w:right w:w="85" w:type="dxa"/>
            </w:tcMar>
            <w:vAlign w:val="center"/>
            <w:hideMark/>
          </w:tcPr>
          <w:p w14:paraId="6B975A19" w14:textId="34FC23A1" w:rsidR="00C42624" w:rsidRPr="00FC1C48" w:rsidRDefault="002F7757" w:rsidP="00DE0733">
            <w:pPr>
              <w:keepNext/>
              <w:shd w:val="clear" w:color="auto" w:fill="FFFFFF" w:themeFill="background1"/>
              <w:spacing w:before="20" w:after="20"/>
              <w:jc w:val="center"/>
              <w:rPr>
                <w:b/>
                <w:sz w:val="20"/>
                <w:szCs w:val="20"/>
                <w:lang w:val="fr-FR"/>
              </w:rPr>
            </w:pPr>
            <w:r w:rsidRPr="002F7757">
              <w:rPr>
                <w:b/>
                <w:sz w:val="20"/>
                <w:szCs w:val="20"/>
                <w:lang w:val="fr-FR"/>
              </w:rPr>
              <w:t>Technologie de remplacement choisie</w:t>
            </w:r>
          </w:p>
        </w:tc>
        <w:tc>
          <w:tcPr>
            <w:tcW w:w="1134" w:type="dxa"/>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85" w:type="dxa"/>
              <w:bottom w:w="0" w:type="dxa"/>
              <w:right w:w="85" w:type="dxa"/>
            </w:tcMar>
            <w:vAlign w:val="center"/>
            <w:hideMark/>
          </w:tcPr>
          <w:p w14:paraId="28686646" w14:textId="0BE0B240" w:rsidR="00C42624" w:rsidRPr="00FC1C48" w:rsidRDefault="002F7757" w:rsidP="00DE0733">
            <w:pPr>
              <w:keepNext/>
              <w:shd w:val="clear" w:color="auto" w:fill="FFFFFF" w:themeFill="background1"/>
              <w:spacing w:before="20" w:after="20"/>
              <w:jc w:val="center"/>
              <w:rPr>
                <w:b/>
                <w:sz w:val="20"/>
                <w:szCs w:val="20"/>
                <w:lang w:val="fr-FR"/>
              </w:rPr>
            </w:pPr>
            <w:r>
              <w:rPr>
                <w:b/>
                <w:sz w:val="20"/>
                <w:szCs w:val="20"/>
                <w:lang w:val="fr-FR"/>
              </w:rPr>
              <w:t>Agence d</w:t>
            </w:r>
            <w:r w:rsidR="00511F20">
              <w:rPr>
                <w:b/>
                <w:sz w:val="20"/>
                <w:szCs w:val="20"/>
                <w:lang w:val="fr-FR"/>
              </w:rPr>
              <w:t>’</w:t>
            </w:r>
            <w:r>
              <w:rPr>
                <w:b/>
                <w:sz w:val="20"/>
                <w:szCs w:val="20"/>
                <w:lang w:val="fr-FR"/>
              </w:rPr>
              <w:t>exécution</w:t>
            </w:r>
          </w:p>
        </w:tc>
        <w:tc>
          <w:tcPr>
            <w:tcW w:w="5697" w:type="dxa"/>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85" w:type="dxa"/>
              <w:bottom w:w="0" w:type="dxa"/>
              <w:right w:w="85" w:type="dxa"/>
            </w:tcMar>
            <w:vAlign w:val="center"/>
            <w:hideMark/>
          </w:tcPr>
          <w:p w14:paraId="48284234" w14:textId="5C4F25A9" w:rsidR="00C42624" w:rsidRPr="00FC1C48" w:rsidRDefault="002F7757" w:rsidP="00DE0733">
            <w:pPr>
              <w:keepNext/>
              <w:shd w:val="clear" w:color="auto" w:fill="FFFFFF" w:themeFill="background1"/>
              <w:spacing w:before="20" w:after="20"/>
              <w:jc w:val="center"/>
              <w:rPr>
                <w:b/>
                <w:sz w:val="20"/>
                <w:szCs w:val="20"/>
                <w:lang w:val="fr-FR"/>
              </w:rPr>
            </w:pPr>
            <w:r>
              <w:rPr>
                <w:b/>
                <w:sz w:val="20"/>
                <w:szCs w:val="20"/>
                <w:lang w:val="fr-FR"/>
              </w:rPr>
              <w:t>Progrès accomplis</w:t>
            </w:r>
          </w:p>
        </w:tc>
      </w:tr>
      <w:tr w:rsidR="00C42624" w:rsidRPr="002F3DBD" w14:paraId="7A717F0D" w14:textId="77777777" w:rsidTr="00C1059F">
        <w:tc>
          <w:tcPr>
            <w:tcW w:w="9380"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1F116C39" w14:textId="635BD6ED" w:rsidR="00C42624" w:rsidRPr="00FC1C48" w:rsidRDefault="007453AC" w:rsidP="00DE0733">
            <w:pPr>
              <w:keepNext/>
              <w:shd w:val="clear" w:color="auto" w:fill="FFFFFF" w:themeFill="background1"/>
              <w:spacing w:before="20" w:after="20"/>
              <w:jc w:val="left"/>
              <w:rPr>
                <w:i/>
                <w:sz w:val="20"/>
                <w:szCs w:val="20"/>
                <w:lang w:val="fr-FR"/>
              </w:rPr>
            </w:pPr>
            <w:r w:rsidRPr="007453AC">
              <w:rPr>
                <w:i/>
                <w:sz w:val="20"/>
                <w:szCs w:val="20"/>
                <w:lang w:val="fr-FR"/>
              </w:rPr>
              <w:t>Reconversion individuelle de cinq entreprises fabriquant des panneaux de réfrigération domestiques et discontinus et sous-projet collectif pour la reconversion de 42 petites et moyennes entreprises (PME) dans plusieurs applications</w:t>
            </w:r>
          </w:p>
        </w:tc>
      </w:tr>
      <w:tr w:rsidR="00C42624" w:rsidRPr="002F3DBD" w14:paraId="21A1F0D1" w14:textId="77777777" w:rsidTr="006D44C7">
        <w:trPr>
          <w:trHeight w:val="116"/>
        </w:trPr>
        <w:tc>
          <w:tcPr>
            <w:tcW w:w="2549"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6F240656" w14:textId="66A087CF" w:rsidR="00C42624" w:rsidRPr="00FC1C48" w:rsidRDefault="00910ED7" w:rsidP="00C1059F">
            <w:pPr>
              <w:widowControl w:val="0"/>
              <w:shd w:val="clear" w:color="auto" w:fill="FFFFFF" w:themeFill="background1"/>
              <w:spacing w:before="20" w:after="20"/>
              <w:jc w:val="left"/>
              <w:rPr>
                <w:sz w:val="20"/>
                <w:szCs w:val="20"/>
                <w:lang w:val="fr-FR"/>
              </w:rPr>
            </w:pPr>
            <w:r w:rsidRPr="00910ED7">
              <w:rPr>
                <w:sz w:val="20"/>
                <w:szCs w:val="20"/>
                <w:lang w:val="fr-FR"/>
              </w:rPr>
              <w:t>Cyclopentane, hydrocarbure (HC) prémélangé, dioxyde de carbone (CO₂)</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541411BE" w14:textId="73F1901E" w:rsidR="00C42624" w:rsidRPr="00FC1C48" w:rsidRDefault="008F56AB" w:rsidP="00C1059F">
            <w:pPr>
              <w:widowControl w:val="0"/>
              <w:shd w:val="clear" w:color="auto" w:fill="FFFFFF" w:themeFill="background1"/>
              <w:spacing w:before="20" w:after="20"/>
              <w:jc w:val="center"/>
              <w:rPr>
                <w:sz w:val="20"/>
                <w:szCs w:val="20"/>
                <w:lang w:val="fr-FR"/>
              </w:rPr>
            </w:pPr>
            <w:r>
              <w:rPr>
                <w:sz w:val="20"/>
                <w:szCs w:val="20"/>
                <w:lang w:val="fr-FR"/>
              </w:rPr>
              <w:t>ONUDI</w:t>
            </w:r>
            <w:r w:rsidR="00C42624" w:rsidRPr="00FC1C48">
              <w:rPr>
                <w:sz w:val="20"/>
                <w:szCs w:val="20"/>
                <w:lang w:val="fr-FR"/>
              </w:rPr>
              <w:t xml:space="preserve"> </w:t>
            </w:r>
            <w:r w:rsidR="00910ED7">
              <w:rPr>
                <w:sz w:val="20"/>
                <w:szCs w:val="20"/>
                <w:lang w:val="fr-FR"/>
              </w:rPr>
              <w:t>et</w:t>
            </w:r>
            <w:r w:rsidR="00C42624" w:rsidRPr="00FC1C48">
              <w:rPr>
                <w:sz w:val="20"/>
                <w:szCs w:val="20"/>
                <w:lang w:val="fr-FR"/>
              </w:rPr>
              <w:t xml:space="preserve"> Ital</w:t>
            </w:r>
            <w:r w:rsidR="00910ED7">
              <w:rPr>
                <w:sz w:val="20"/>
                <w:szCs w:val="20"/>
                <w:lang w:val="fr-FR"/>
              </w:rPr>
              <w:t>ie</w:t>
            </w:r>
          </w:p>
        </w:tc>
        <w:tc>
          <w:tcPr>
            <w:tcW w:w="569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20F993A5" w14:textId="623FE8C4" w:rsidR="00C42624" w:rsidRPr="00FC1C48" w:rsidRDefault="006D44C7" w:rsidP="00C1059F">
            <w:pPr>
              <w:widowControl w:val="0"/>
              <w:spacing w:before="20" w:after="20"/>
              <w:jc w:val="left"/>
              <w:rPr>
                <w:sz w:val="20"/>
                <w:szCs w:val="20"/>
                <w:lang w:val="fr-FR"/>
              </w:rPr>
            </w:pPr>
            <w:r w:rsidRPr="006D44C7">
              <w:rPr>
                <w:sz w:val="20"/>
                <w:szCs w:val="20"/>
                <w:lang w:val="fr-FR" w:eastAsia="zh-CN"/>
              </w:rPr>
              <w:t>Sur les 19</w:t>
            </w:r>
            <w:r w:rsidR="00FC5B2E">
              <w:rPr>
                <w:sz w:val="20"/>
                <w:szCs w:val="20"/>
                <w:lang w:val="fr-FR" w:eastAsia="zh-CN"/>
              </w:rPr>
              <w:t> </w:t>
            </w:r>
            <w:r w:rsidRPr="006D44C7">
              <w:rPr>
                <w:sz w:val="20"/>
                <w:szCs w:val="20"/>
                <w:lang w:val="fr-FR" w:eastAsia="zh-CN"/>
              </w:rPr>
              <w:t>entreprises éligibles incluses dans le projet, 18 ont reçu des équipements, 12 ont achevé l</w:t>
            </w:r>
            <w:r w:rsidR="00511F20">
              <w:rPr>
                <w:sz w:val="20"/>
                <w:szCs w:val="20"/>
                <w:lang w:val="fr-FR" w:eastAsia="zh-CN"/>
              </w:rPr>
              <w:t>’</w:t>
            </w:r>
            <w:r w:rsidRPr="006D44C7">
              <w:rPr>
                <w:sz w:val="20"/>
                <w:szCs w:val="20"/>
                <w:lang w:val="fr-FR" w:eastAsia="zh-CN"/>
              </w:rPr>
              <w:t>installation et la formation, et toutes les activités restantes figurent sur un calendrier d</w:t>
            </w:r>
            <w:r w:rsidR="00511F20">
              <w:rPr>
                <w:sz w:val="20"/>
                <w:szCs w:val="20"/>
                <w:lang w:val="fr-FR" w:eastAsia="zh-CN"/>
              </w:rPr>
              <w:t>’</w:t>
            </w:r>
            <w:r w:rsidRPr="006D44C7">
              <w:rPr>
                <w:sz w:val="20"/>
                <w:szCs w:val="20"/>
                <w:lang w:val="fr-FR" w:eastAsia="zh-CN"/>
              </w:rPr>
              <w:t>achèvement d</w:t>
            </w:r>
            <w:r w:rsidR="00511F20">
              <w:rPr>
                <w:sz w:val="20"/>
                <w:szCs w:val="20"/>
                <w:lang w:val="fr-FR" w:eastAsia="zh-CN"/>
              </w:rPr>
              <w:t>’</w:t>
            </w:r>
            <w:r w:rsidRPr="006D44C7">
              <w:rPr>
                <w:sz w:val="20"/>
                <w:szCs w:val="20"/>
                <w:lang w:val="fr-FR" w:eastAsia="zh-CN"/>
              </w:rPr>
              <w:t>ici la fin de 2026.</w:t>
            </w:r>
          </w:p>
        </w:tc>
      </w:tr>
      <w:tr w:rsidR="00C42624" w:rsidRPr="002F3DBD" w14:paraId="0CCB1873" w14:textId="77777777" w:rsidTr="00C1059F">
        <w:tc>
          <w:tcPr>
            <w:tcW w:w="9380"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5CA04D87" w14:textId="474F454D" w:rsidR="00C42624" w:rsidRPr="00FC1C48" w:rsidRDefault="006D44C7" w:rsidP="00C1059F">
            <w:pPr>
              <w:widowControl w:val="0"/>
              <w:shd w:val="clear" w:color="auto" w:fill="FFFFFF" w:themeFill="background1"/>
              <w:spacing w:before="20" w:after="20"/>
              <w:rPr>
                <w:i/>
                <w:sz w:val="20"/>
                <w:szCs w:val="20"/>
                <w:lang w:val="fr-FR"/>
              </w:rPr>
            </w:pPr>
            <w:r w:rsidRPr="006D44C7">
              <w:rPr>
                <w:i/>
                <w:sz w:val="20"/>
                <w:szCs w:val="20"/>
                <w:lang w:val="fr-FR"/>
              </w:rPr>
              <w:t>Reconversion individuelle de trois entreprises fabriquant des panneaux pour équipements de réfrigération commerciale</w:t>
            </w:r>
          </w:p>
        </w:tc>
      </w:tr>
      <w:tr w:rsidR="00C42624" w:rsidRPr="00FC1C48" w14:paraId="4887313C" w14:textId="77777777" w:rsidTr="006D44C7">
        <w:tc>
          <w:tcPr>
            <w:tcW w:w="2549"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6675B689" w14:textId="77777777" w:rsidR="00C42624" w:rsidRPr="00FC1C48" w:rsidRDefault="00C42624" w:rsidP="00C1059F">
            <w:pPr>
              <w:widowControl w:val="0"/>
              <w:shd w:val="clear" w:color="auto" w:fill="FFFFFF" w:themeFill="background1"/>
              <w:spacing w:before="20" w:after="20"/>
              <w:rPr>
                <w:sz w:val="20"/>
                <w:szCs w:val="20"/>
                <w:lang w:val="fr-FR"/>
              </w:rPr>
            </w:pPr>
            <w:r w:rsidRPr="00FC1C48">
              <w:rPr>
                <w:sz w:val="20"/>
                <w:szCs w:val="20"/>
                <w:lang w:val="fr-FR"/>
              </w:rPr>
              <w:t>Cyclopentane</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4CE89FE7" w14:textId="39ABEB91" w:rsidR="00C42624" w:rsidRPr="00FC1C48" w:rsidRDefault="008F56AB" w:rsidP="00C1059F">
            <w:pPr>
              <w:widowControl w:val="0"/>
              <w:shd w:val="clear" w:color="auto" w:fill="FFFFFF" w:themeFill="background1"/>
              <w:spacing w:before="20" w:after="20"/>
              <w:jc w:val="center"/>
              <w:rPr>
                <w:sz w:val="20"/>
                <w:szCs w:val="20"/>
                <w:lang w:val="fr-FR"/>
              </w:rPr>
            </w:pPr>
            <w:r>
              <w:rPr>
                <w:sz w:val="20"/>
                <w:szCs w:val="20"/>
                <w:lang w:val="fr-FR"/>
              </w:rPr>
              <w:t>PNUD</w:t>
            </w:r>
          </w:p>
        </w:tc>
        <w:tc>
          <w:tcPr>
            <w:tcW w:w="569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134B3D9B" w14:textId="0A81F6C9" w:rsidR="00C42624" w:rsidRPr="00FC1C48" w:rsidRDefault="006D44C7" w:rsidP="00C1059F">
            <w:pPr>
              <w:widowControl w:val="0"/>
              <w:spacing w:before="20" w:after="20"/>
              <w:jc w:val="left"/>
              <w:rPr>
                <w:sz w:val="20"/>
                <w:szCs w:val="20"/>
                <w:lang w:val="fr-FR"/>
              </w:rPr>
            </w:pPr>
            <w:r>
              <w:rPr>
                <w:sz w:val="20"/>
                <w:szCs w:val="20"/>
                <w:lang w:val="fr-FR"/>
              </w:rPr>
              <w:t>Achevée</w:t>
            </w:r>
            <w:r w:rsidR="00C42624" w:rsidRPr="00FC1C48">
              <w:rPr>
                <w:sz w:val="20"/>
                <w:szCs w:val="20"/>
                <w:lang w:val="fr-FR"/>
              </w:rPr>
              <w:t>.</w:t>
            </w:r>
          </w:p>
        </w:tc>
      </w:tr>
      <w:tr w:rsidR="00C42624" w:rsidRPr="002F3DBD" w14:paraId="7FC6D917" w14:textId="77777777" w:rsidTr="00C1059F">
        <w:tc>
          <w:tcPr>
            <w:tcW w:w="9380"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0578A10B" w14:textId="14C56A3D" w:rsidR="00C42624" w:rsidRPr="00FC1C48" w:rsidRDefault="008F56AB" w:rsidP="00C1059F">
            <w:pPr>
              <w:widowControl w:val="0"/>
              <w:shd w:val="clear" w:color="auto" w:fill="FFFFFF" w:themeFill="background1"/>
              <w:spacing w:before="20" w:after="20"/>
              <w:rPr>
                <w:i/>
                <w:sz w:val="20"/>
                <w:szCs w:val="20"/>
                <w:lang w:val="fr-FR"/>
              </w:rPr>
            </w:pPr>
            <w:r w:rsidRPr="008F56AB">
              <w:rPr>
                <w:i/>
                <w:sz w:val="20"/>
                <w:szCs w:val="20"/>
                <w:lang w:val="fr-FR"/>
              </w:rPr>
              <w:t>Reconversion groupée de 40 entreprises fabriquant des panneaux pour équipements de réfrigération commerciale</w:t>
            </w:r>
          </w:p>
        </w:tc>
      </w:tr>
      <w:tr w:rsidR="00C42624" w:rsidRPr="00FC1C48" w14:paraId="2BD7F24A" w14:textId="77777777" w:rsidTr="006D44C7">
        <w:tc>
          <w:tcPr>
            <w:tcW w:w="2549"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0A834D1B" w14:textId="77777777" w:rsidR="00C42624" w:rsidRPr="00FC1C48" w:rsidRDefault="00C42624" w:rsidP="00C1059F">
            <w:pPr>
              <w:widowControl w:val="0"/>
              <w:shd w:val="clear" w:color="auto" w:fill="FFFFFF" w:themeFill="background1"/>
              <w:spacing w:before="20" w:after="20"/>
              <w:rPr>
                <w:sz w:val="20"/>
                <w:szCs w:val="20"/>
                <w:lang w:val="fr-FR"/>
              </w:rPr>
            </w:pPr>
            <w:r w:rsidRPr="00FC1C48">
              <w:rPr>
                <w:sz w:val="20"/>
                <w:szCs w:val="20"/>
                <w:lang w:val="fr-FR"/>
              </w:rPr>
              <w:t>CO</w:t>
            </w:r>
            <w:r w:rsidRPr="00FC1C48">
              <w:rPr>
                <w:sz w:val="20"/>
                <w:szCs w:val="20"/>
                <w:vertAlign w:val="subscript"/>
                <w:lang w:val="fr-FR"/>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6A31C120" w14:textId="74EF3001" w:rsidR="00C42624" w:rsidRPr="00FC1C48" w:rsidRDefault="008F56AB" w:rsidP="00C1059F">
            <w:pPr>
              <w:widowControl w:val="0"/>
              <w:shd w:val="clear" w:color="auto" w:fill="FFFFFF" w:themeFill="background1"/>
              <w:spacing w:before="20" w:after="20"/>
              <w:jc w:val="center"/>
              <w:rPr>
                <w:sz w:val="20"/>
                <w:szCs w:val="20"/>
                <w:lang w:val="fr-FR"/>
              </w:rPr>
            </w:pPr>
            <w:r>
              <w:rPr>
                <w:sz w:val="20"/>
                <w:szCs w:val="20"/>
                <w:lang w:val="fr-FR"/>
              </w:rPr>
              <w:t>PNUD</w:t>
            </w:r>
          </w:p>
        </w:tc>
        <w:tc>
          <w:tcPr>
            <w:tcW w:w="569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11CACAEF" w14:textId="2AEB36AA" w:rsidR="00C42624" w:rsidRPr="00FC1C48" w:rsidRDefault="00294A23" w:rsidP="00C1059F">
            <w:pPr>
              <w:widowControl w:val="0"/>
              <w:spacing w:before="20" w:after="20"/>
              <w:jc w:val="left"/>
              <w:rPr>
                <w:sz w:val="20"/>
                <w:szCs w:val="20"/>
                <w:lang w:val="fr-FR"/>
              </w:rPr>
            </w:pPr>
            <w:r w:rsidRPr="00294A23">
              <w:rPr>
                <w:sz w:val="20"/>
                <w:szCs w:val="20"/>
                <w:lang w:val="fr-FR"/>
              </w:rPr>
              <w:t>Trente-cinq entreprises ont reçu des matières premières et équipements et ont achevé leur reconversion à la technologie à soufflage d</w:t>
            </w:r>
            <w:r w:rsidR="00511F20">
              <w:rPr>
                <w:sz w:val="20"/>
                <w:szCs w:val="20"/>
                <w:lang w:val="fr-FR"/>
              </w:rPr>
              <w:t>’</w:t>
            </w:r>
            <w:r w:rsidRPr="00294A23">
              <w:rPr>
                <w:sz w:val="20"/>
                <w:szCs w:val="20"/>
                <w:lang w:val="fr-FR"/>
              </w:rPr>
              <w:t>eau. Les cinq entreprises restantes attendent la livraison des matériaux.</w:t>
            </w:r>
          </w:p>
        </w:tc>
      </w:tr>
      <w:tr w:rsidR="00C42624" w:rsidRPr="002F3DBD" w14:paraId="67D466D6" w14:textId="77777777" w:rsidTr="00C1059F">
        <w:tc>
          <w:tcPr>
            <w:tcW w:w="9380" w:type="dxa"/>
            <w:gridSpan w:val="3"/>
            <w:tcBorders>
              <w:top w:val="nil"/>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1676D4F5" w14:textId="18873306" w:rsidR="00C42624" w:rsidRPr="00FC1C48" w:rsidRDefault="009C1C5B" w:rsidP="00C1059F">
            <w:pPr>
              <w:widowControl w:val="0"/>
              <w:shd w:val="clear" w:color="auto" w:fill="FFFFFF" w:themeFill="background1"/>
              <w:spacing w:before="20" w:after="20"/>
              <w:jc w:val="left"/>
              <w:rPr>
                <w:i/>
                <w:sz w:val="20"/>
                <w:szCs w:val="20"/>
                <w:lang w:val="fr-FR"/>
              </w:rPr>
            </w:pPr>
            <w:r w:rsidRPr="009C1C5B">
              <w:rPr>
                <w:i/>
                <w:color w:val="000000"/>
                <w:sz w:val="20"/>
                <w:szCs w:val="20"/>
                <w:lang w:val="fr-FR" w:eastAsia="en-CA"/>
              </w:rPr>
              <w:t>Reconversion de deux entreprises de fabrication de mousse à peau intégrale</w:t>
            </w:r>
          </w:p>
        </w:tc>
      </w:tr>
      <w:tr w:rsidR="00C42624" w:rsidRPr="002F3DBD" w14:paraId="4E002E7A" w14:textId="77777777" w:rsidTr="006D44C7">
        <w:trPr>
          <w:trHeight w:val="286"/>
        </w:trPr>
        <w:tc>
          <w:tcPr>
            <w:tcW w:w="2549" w:type="dxa"/>
            <w:tcBorders>
              <w:top w:val="nil"/>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5A7A038C" w14:textId="77777777" w:rsidR="00C42624" w:rsidRPr="00FC1C48" w:rsidRDefault="00C42624" w:rsidP="00C1059F">
            <w:pPr>
              <w:widowControl w:val="0"/>
              <w:shd w:val="clear" w:color="auto" w:fill="FFFFFF" w:themeFill="background1"/>
              <w:spacing w:before="20" w:after="20"/>
              <w:rPr>
                <w:sz w:val="20"/>
                <w:szCs w:val="20"/>
                <w:lang w:val="fr-FR"/>
              </w:rPr>
            </w:pPr>
            <w:r w:rsidRPr="00FC1C48">
              <w:rPr>
                <w:sz w:val="20"/>
                <w:szCs w:val="20"/>
                <w:lang w:val="fr-FR"/>
              </w:rPr>
              <w:t>CO</w:t>
            </w:r>
            <w:r w:rsidRPr="00FC1C48">
              <w:rPr>
                <w:sz w:val="20"/>
                <w:szCs w:val="20"/>
                <w:vertAlign w:val="subscript"/>
                <w:lang w:val="fr-FR"/>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15E6E99A" w14:textId="651CAAF8" w:rsidR="00C42624" w:rsidRPr="00FC1C48" w:rsidRDefault="008F56AB" w:rsidP="00C1059F">
            <w:pPr>
              <w:widowControl w:val="0"/>
              <w:shd w:val="clear" w:color="auto" w:fill="FFFFFF" w:themeFill="background1"/>
              <w:spacing w:before="20" w:after="20"/>
              <w:jc w:val="center"/>
              <w:rPr>
                <w:sz w:val="20"/>
                <w:szCs w:val="20"/>
                <w:lang w:val="fr-FR"/>
              </w:rPr>
            </w:pPr>
            <w:r>
              <w:rPr>
                <w:sz w:val="20"/>
                <w:szCs w:val="20"/>
                <w:lang w:val="fr-FR"/>
              </w:rPr>
              <w:t>PNUD</w:t>
            </w:r>
          </w:p>
        </w:tc>
        <w:tc>
          <w:tcPr>
            <w:tcW w:w="569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69C8752" w14:textId="2308CFD4" w:rsidR="00C42624" w:rsidRPr="00FC1C48" w:rsidRDefault="009C1C5B" w:rsidP="00C1059F">
            <w:pPr>
              <w:widowControl w:val="0"/>
              <w:spacing w:before="20" w:after="20"/>
              <w:jc w:val="left"/>
              <w:rPr>
                <w:sz w:val="20"/>
                <w:szCs w:val="20"/>
                <w:lang w:val="fr-FR"/>
              </w:rPr>
            </w:pPr>
            <w:r w:rsidRPr="009C1C5B">
              <w:rPr>
                <w:color w:val="000000"/>
                <w:sz w:val="20"/>
                <w:szCs w:val="20"/>
                <w:lang w:val="fr-FR" w:eastAsia="zh-CN"/>
              </w:rPr>
              <w:t>Une entreprise a effectué la conversion et la seconde a achevé les essais.</w:t>
            </w:r>
          </w:p>
        </w:tc>
      </w:tr>
      <w:tr w:rsidR="00C42624" w:rsidRPr="002F3DBD" w14:paraId="48F83281" w14:textId="77777777" w:rsidTr="00C1059F">
        <w:tc>
          <w:tcPr>
            <w:tcW w:w="9380" w:type="dxa"/>
            <w:gridSpan w:val="3"/>
            <w:tcBorders>
              <w:top w:val="nil"/>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7803E86A" w14:textId="4C4F07DB" w:rsidR="00C42624" w:rsidRPr="00FC1C48" w:rsidRDefault="00D50C3E" w:rsidP="00C1059F">
            <w:pPr>
              <w:widowControl w:val="0"/>
              <w:shd w:val="clear" w:color="auto" w:fill="FFFFFF" w:themeFill="background1"/>
              <w:spacing w:before="20" w:after="20"/>
              <w:rPr>
                <w:i/>
                <w:sz w:val="20"/>
                <w:szCs w:val="20"/>
                <w:lang w:val="fr-FR"/>
              </w:rPr>
            </w:pPr>
            <w:r w:rsidRPr="00D50C3E">
              <w:rPr>
                <w:i/>
                <w:sz w:val="20"/>
                <w:szCs w:val="20"/>
                <w:lang w:val="fr-FR"/>
              </w:rPr>
              <w:t>Assistance technique pour le développement de systèmes à base de cyclopentane et d</w:t>
            </w:r>
            <w:r w:rsidR="00511F20">
              <w:rPr>
                <w:i/>
                <w:sz w:val="20"/>
                <w:szCs w:val="20"/>
                <w:lang w:val="fr-FR"/>
              </w:rPr>
              <w:t>’</w:t>
            </w:r>
            <w:r w:rsidRPr="00D50C3E">
              <w:rPr>
                <w:i/>
                <w:sz w:val="20"/>
                <w:szCs w:val="20"/>
                <w:lang w:val="fr-FR"/>
              </w:rPr>
              <w:t>eau dans une société de formulation et assistance technique à 95 PME.</w:t>
            </w:r>
          </w:p>
        </w:tc>
      </w:tr>
      <w:tr w:rsidR="00C42624" w:rsidRPr="00FC1C48" w14:paraId="0287F59C" w14:textId="77777777" w:rsidTr="006D44C7">
        <w:tc>
          <w:tcPr>
            <w:tcW w:w="2549" w:type="dxa"/>
            <w:tcBorders>
              <w:top w:val="nil"/>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74B64C69" w14:textId="6AAD1C3D" w:rsidR="00C42624" w:rsidRPr="00FC1C48" w:rsidRDefault="00C42624" w:rsidP="00C1059F">
            <w:pPr>
              <w:widowControl w:val="0"/>
              <w:shd w:val="clear" w:color="auto" w:fill="FFFFFF" w:themeFill="background1"/>
              <w:spacing w:before="20" w:after="20"/>
              <w:rPr>
                <w:sz w:val="20"/>
                <w:szCs w:val="20"/>
                <w:lang w:val="fr-FR"/>
              </w:rPr>
            </w:pPr>
            <w:r w:rsidRPr="00FC1C48">
              <w:rPr>
                <w:sz w:val="20"/>
                <w:szCs w:val="20"/>
                <w:lang w:val="fr-FR"/>
              </w:rPr>
              <w:t xml:space="preserve">Cyclopentane </w:t>
            </w:r>
            <w:r w:rsidR="00D50C3E">
              <w:rPr>
                <w:sz w:val="20"/>
                <w:szCs w:val="20"/>
                <w:lang w:val="fr-FR"/>
              </w:rPr>
              <w:t>et</w:t>
            </w:r>
            <w:r w:rsidRPr="00FC1C48">
              <w:rPr>
                <w:sz w:val="20"/>
                <w:szCs w:val="20"/>
                <w:lang w:val="fr-FR"/>
              </w:rPr>
              <w:t xml:space="preserve"> CO</w:t>
            </w:r>
            <w:r w:rsidRPr="00FC1C48">
              <w:rPr>
                <w:sz w:val="20"/>
                <w:szCs w:val="20"/>
                <w:vertAlign w:val="subscript"/>
                <w:lang w:val="fr-FR"/>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109E5846" w14:textId="2C16AEEC" w:rsidR="00C42624" w:rsidRPr="00FC1C48" w:rsidRDefault="008F56AB" w:rsidP="00C1059F">
            <w:pPr>
              <w:widowControl w:val="0"/>
              <w:shd w:val="clear" w:color="auto" w:fill="FFFFFF" w:themeFill="background1"/>
              <w:spacing w:before="20" w:after="20"/>
              <w:jc w:val="center"/>
              <w:rPr>
                <w:sz w:val="20"/>
                <w:szCs w:val="20"/>
                <w:lang w:val="fr-FR"/>
              </w:rPr>
            </w:pPr>
            <w:r>
              <w:rPr>
                <w:sz w:val="20"/>
                <w:szCs w:val="20"/>
                <w:lang w:val="fr-FR"/>
              </w:rPr>
              <w:t>PNUD</w:t>
            </w:r>
          </w:p>
        </w:tc>
        <w:tc>
          <w:tcPr>
            <w:tcW w:w="569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25AD4049" w14:textId="0849E2BF" w:rsidR="00C42624" w:rsidRPr="00FC1C48" w:rsidRDefault="00D50C3E" w:rsidP="00C1059F">
            <w:pPr>
              <w:widowControl w:val="0"/>
              <w:spacing w:before="20" w:after="20"/>
              <w:jc w:val="left"/>
              <w:rPr>
                <w:sz w:val="20"/>
                <w:szCs w:val="20"/>
                <w:lang w:val="fr-FR"/>
              </w:rPr>
            </w:pPr>
            <w:r>
              <w:rPr>
                <w:sz w:val="20"/>
                <w:szCs w:val="20"/>
                <w:lang w:val="fr-FR"/>
              </w:rPr>
              <w:t>Achevée</w:t>
            </w:r>
            <w:r w:rsidR="00C42624" w:rsidRPr="00FC1C48">
              <w:rPr>
                <w:sz w:val="20"/>
                <w:szCs w:val="20"/>
                <w:lang w:val="fr-FR"/>
              </w:rPr>
              <w:t>.</w:t>
            </w:r>
          </w:p>
        </w:tc>
      </w:tr>
    </w:tbl>
    <w:p w14:paraId="34E600EB" w14:textId="48A6DE78" w:rsidR="00C42624" w:rsidRPr="00FC1C48" w:rsidRDefault="00C42624" w:rsidP="00C42624">
      <w:pPr>
        <w:spacing w:after="240"/>
        <w:rPr>
          <w:sz w:val="18"/>
          <w:szCs w:val="18"/>
          <w:lang w:val="fr-FR"/>
        </w:rPr>
      </w:pPr>
      <w:r w:rsidRPr="00FC1C48">
        <w:rPr>
          <w:sz w:val="18"/>
          <w:szCs w:val="18"/>
          <w:lang w:val="fr-FR"/>
        </w:rPr>
        <w:t xml:space="preserve">* </w:t>
      </w:r>
      <w:r w:rsidR="00C74D42" w:rsidRPr="00C74D42">
        <w:rPr>
          <w:sz w:val="18"/>
          <w:szCs w:val="18"/>
          <w:lang w:val="fr-FR"/>
        </w:rPr>
        <w:t>Nombre d</w:t>
      </w:r>
      <w:r w:rsidR="00511F20">
        <w:rPr>
          <w:sz w:val="18"/>
          <w:szCs w:val="18"/>
          <w:lang w:val="fr-FR"/>
        </w:rPr>
        <w:t>’</w:t>
      </w:r>
      <w:r w:rsidR="00C74D42" w:rsidRPr="00C74D42">
        <w:rPr>
          <w:sz w:val="18"/>
          <w:szCs w:val="18"/>
          <w:lang w:val="fr-FR"/>
        </w:rPr>
        <w:t>entreprises bénéficiant d</w:t>
      </w:r>
      <w:r w:rsidR="00511F20">
        <w:rPr>
          <w:sz w:val="18"/>
          <w:szCs w:val="18"/>
          <w:lang w:val="fr-FR"/>
        </w:rPr>
        <w:t>’</w:t>
      </w:r>
      <w:r w:rsidR="00C74D42" w:rsidRPr="00C74D42">
        <w:rPr>
          <w:sz w:val="18"/>
          <w:szCs w:val="18"/>
          <w:lang w:val="fr-FR"/>
        </w:rPr>
        <w:t>une aide, compte tenu des ajustements apportés aux paragraphes</w:t>
      </w:r>
      <w:r w:rsidR="00C74D42">
        <w:rPr>
          <w:sz w:val="18"/>
          <w:szCs w:val="18"/>
          <w:lang w:val="fr-FR"/>
        </w:rPr>
        <w:t> </w:t>
      </w:r>
      <w:r w:rsidR="00C74D42" w:rsidRPr="00C74D42">
        <w:rPr>
          <w:sz w:val="18"/>
          <w:szCs w:val="18"/>
          <w:lang w:val="fr-FR"/>
        </w:rPr>
        <w:t>a) et</w:t>
      </w:r>
      <w:r w:rsidR="00C74D42">
        <w:rPr>
          <w:sz w:val="18"/>
          <w:szCs w:val="18"/>
          <w:lang w:val="fr-FR"/>
        </w:rPr>
        <w:t> </w:t>
      </w:r>
      <w:r w:rsidR="00C74D42" w:rsidRPr="00C74D42">
        <w:rPr>
          <w:sz w:val="18"/>
          <w:szCs w:val="18"/>
          <w:lang w:val="fr-FR"/>
        </w:rPr>
        <w:t>b) de la décision</w:t>
      </w:r>
      <w:r w:rsidR="00FE1239">
        <w:rPr>
          <w:sz w:val="18"/>
          <w:szCs w:val="18"/>
          <w:lang w:val="fr-FR"/>
        </w:rPr>
        <w:t> </w:t>
      </w:r>
      <w:r w:rsidR="00C74D42" w:rsidRPr="00C74D42">
        <w:rPr>
          <w:sz w:val="18"/>
          <w:szCs w:val="18"/>
          <w:lang w:val="fr-FR"/>
        </w:rPr>
        <w:t>84/74.</w:t>
      </w:r>
    </w:p>
    <w:p w14:paraId="76BE0765" w14:textId="64865428" w:rsidR="00C42624" w:rsidRPr="00FC1C48" w:rsidRDefault="00AD5233" w:rsidP="00C42624">
      <w:pPr>
        <w:widowControl w:val="0"/>
        <w:shd w:val="clear" w:color="auto" w:fill="FFFFFF" w:themeFill="background1"/>
        <w:tabs>
          <w:tab w:val="num" w:pos="0"/>
        </w:tabs>
        <w:spacing w:before="240" w:after="240"/>
        <w:rPr>
          <w:u w:val="single"/>
          <w:lang w:val="fr-FR"/>
        </w:rPr>
      </w:pPr>
      <w:r w:rsidRPr="00AD5233">
        <w:rPr>
          <w:u w:val="single"/>
          <w:lang w:val="fr-FR"/>
        </w:rPr>
        <w:t>Secteur de la fabrication de réfrigérateurs commerciaux (48 entreprises) (PNUD)</w:t>
      </w:r>
    </w:p>
    <w:p w14:paraId="732E9E3B" w14:textId="09848E17" w:rsidR="00C42624" w:rsidRPr="00FC1C48" w:rsidRDefault="00A86CE9" w:rsidP="00C42624">
      <w:pPr>
        <w:pStyle w:val="Heading1"/>
        <w:numPr>
          <w:ilvl w:val="0"/>
          <w:numId w:val="24"/>
        </w:numPr>
        <w:rPr>
          <w:lang w:val="fr-FR"/>
        </w:rPr>
      </w:pPr>
      <w:r w:rsidRPr="00A86CE9">
        <w:rPr>
          <w:lang w:val="fr-FR"/>
        </w:rPr>
        <w:t>Trente-deux entreprises ont achevé leur reconversion au R-290 et ont commencé la production à l</w:t>
      </w:r>
      <w:r w:rsidR="00511F20">
        <w:rPr>
          <w:lang w:val="fr-FR"/>
        </w:rPr>
        <w:t>’</w:t>
      </w:r>
      <w:r w:rsidRPr="00A86CE9">
        <w:rPr>
          <w:lang w:val="fr-FR"/>
        </w:rPr>
        <w:t>échelle commerciale. Douze entreprises sont en attente de la distribution de kits d</w:t>
      </w:r>
      <w:r w:rsidR="00511F20">
        <w:rPr>
          <w:lang w:val="fr-FR"/>
        </w:rPr>
        <w:t>’</w:t>
      </w:r>
      <w:r w:rsidRPr="00A86CE9">
        <w:rPr>
          <w:lang w:val="fr-FR"/>
        </w:rPr>
        <w:t>outils de réfrigération. L</w:t>
      </w:r>
      <w:r w:rsidR="00511F20">
        <w:rPr>
          <w:lang w:val="fr-FR"/>
        </w:rPr>
        <w:t>’</w:t>
      </w:r>
      <w:r w:rsidRPr="00A86CE9">
        <w:rPr>
          <w:lang w:val="fr-FR"/>
        </w:rPr>
        <w:t>approvisionnement en kits d</w:t>
      </w:r>
      <w:r w:rsidR="00511F20">
        <w:rPr>
          <w:lang w:val="fr-FR"/>
        </w:rPr>
        <w:t>’</w:t>
      </w:r>
      <w:r w:rsidRPr="00A86CE9">
        <w:rPr>
          <w:lang w:val="fr-FR"/>
        </w:rPr>
        <w:t>outils de réfrigération pour les quatre entreprises restantes est en cours, avec une livraison prévue d</w:t>
      </w:r>
      <w:r w:rsidR="00511F20">
        <w:rPr>
          <w:lang w:val="fr-FR"/>
        </w:rPr>
        <w:t>’</w:t>
      </w:r>
      <w:r w:rsidRPr="00A86CE9">
        <w:rPr>
          <w:lang w:val="fr-FR"/>
        </w:rPr>
        <w:t>ici la fin de l</w:t>
      </w:r>
      <w:r w:rsidR="00511F20">
        <w:rPr>
          <w:lang w:val="fr-FR"/>
        </w:rPr>
        <w:t>’</w:t>
      </w:r>
      <w:r w:rsidRPr="00A86CE9">
        <w:rPr>
          <w:lang w:val="fr-FR"/>
        </w:rPr>
        <w:t>année 2025.</w:t>
      </w:r>
    </w:p>
    <w:p w14:paraId="5E79370A" w14:textId="1F297844" w:rsidR="00C42624" w:rsidRPr="00FC1C48" w:rsidRDefault="00AD5233" w:rsidP="00C42624">
      <w:pPr>
        <w:keepNext/>
        <w:spacing w:before="240" w:after="240"/>
        <w:outlineLvl w:val="0"/>
        <w:rPr>
          <w:iCs/>
          <w:u w:val="single"/>
          <w:lang w:val="fr-FR"/>
        </w:rPr>
      </w:pPr>
      <w:r w:rsidRPr="00AD5233">
        <w:rPr>
          <w:iCs/>
          <w:u w:val="single"/>
          <w:lang w:val="fr-FR"/>
        </w:rPr>
        <w:t>Secteur de l</w:t>
      </w:r>
      <w:r w:rsidR="00511F20">
        <w:rPr>
          <w:iCs/>
          <w:u w:val="single"/>
          <w:lang w:val="fr-FR"/>
        </w:rPr>
        <w:t>’</w:t>
      </w:r>
      <w:r w:rsidRPr="00AD5233">
        <w:rPr>
          <w:iCs/>
          <w:u w:val="single"/>
          <w:lang w:val="fr-FR"/>
        </w:rPr>
        <w:t>entretien des équipements de réfrigération (PNUD, PNUE et ONUDI)</w:t>
      </w:r>
    </w:p>
    <w:p w14:paraId="6B417357" w14:textId="60CCBC91" w:rsidR="00C42624" w:rsidRPr="00FC1C48" w:rsidRDefault="009C7594" w:rsidP="00C42624">
      <w:pPr>
        <w:pStyle w:val="Heading1"/>
        <w:numPr>
          <w:ilvl w:val="0"/>
          <w:numId w:val="24"/>
        </w:numPr>
        <w:rPr>
          <w:lang w:val="fr-FR"/>
        </w:rPr>
      </w:pPr>
      <w:r w:rsidRPr="009C7594">
        <w:rPr>
          <w:lang w:val="fr-FR"/>
        </w:rPr>
        <w:t>Le programme de formation technique et professionnelle (TVTO) a été mis à jour à partir de six normes de formation révisées, six modules actualisés et 13</w:t>
      </w:r>
      <w:r>
        <w:rPr>
          <w:lang w:val="fr-FR"/>
        </w:rPr>
        <w:t> </w:t>
      </w:r>
      <w:r w:rsidRPr="009C7594">
        <w:rPr>
          <w:lang w:val="fr-FR"/>
        </w:rPr>
        <w:t>supports pédagogiques nouvellement créés ou traduits. Au total, 987</w:t>
      </w:r>
      <w:r>
        <w:rPr>
          <w:lang w:val="fr-FR"/>
        </w:rPr>
        <w:t> </w:t>
      </w:r>
      <w:r w:rsidRPr="009C7594">
        <w:rPr>
          <w:lang w:val="fr-FR"/>
        </w:rPr>
        <w:t>techniciens et formateurs à travers le pays ont bénéficié d</w:t>
      </w:r>
      <w:r w:rsidR="00511F20">
        <w:rPr>
          <w:lang w:val="fr-FR"/>
        </w:rPr>
        <w:t>’</w:t>
      </w:r>
      <w:r w:rsidRPr="009C7594">
        <w:rPr>
          <w:lang w:val="fr-FR"/>
        </w:rPr>
        <w:t>une formation. Une étude sur la certification basée sur les compétences a été entreprise avec le Centre de formation et de recherche des instructeurs TVTO, et l</w:t>
      </w:r>
      <w:r w:rsidR="00511F20">
        <w:rPr>
          <w:lang w:val="fr-FR"/>
        </w:rPr>
        <w:t>’</w:t>
      </w:r>
      <w:r w:rsidRPr="009C7594">
        <w:rPr>
          <w:lang w:val="fr-FR"/>
        </w:rPr>
        <w:t>unité nationale de l</w:t>
      </w:r>
      <w:r w:rsidR="00511F20">
        <w:rPr>
          <w:lang w:val="fr-FR"/>
        </w:rPr>
        <w:t>’</w:t>
      </w:r>
      <w:r w:rsidRPr="009C7594">
        <w:rPr>
          <w:lang w:val="fr-FR"/>
        </w:rPr>
        <w:t>ozone (UNO) a organisé six réunions avec l</w:t>
      </w:r>
      <w:r w:rsidR="00511F20">
        <w:rPr>
          <w:lang w:val="fr-FR"/>
        </w:rPr>
        <w:t>’</w:t>
      </w:r>
      <w:r w:rsidRPr="009C7594">
        <w:rPr>
          <w:lang w:val="fr-FR"/>
        </w:rPr>
        <w:t>association de R&amp;C afin de recueillir des données sur les techniciens. Des manuels et des guides, dont un sur la manipulation sûre des réfrigérants inflammables, ont été traduits en farsi et distribués, et une vidéo de formation basée sur les bonnes pratiques du PNUE a été produite. Deux ateliers sur la fourniture écologique et les bâtiments respectueux de l</w:t>
      </w:r>
      <w:r w:rsidR="00511F20">
        <w:rPr>
          <w:lang w:val="fr-FR"/>
        </w:rPr>
        <w:t>’</w:t>
      </w:r>
      <w:r w:rsidRPr="009C7594">
        <w:rPr>
          <w:lang w:val="fr-FR"/>
        </w:rPr>
        <w:t>environnement ont été organisés. La norme ISO</w:t>
      </w:r>
      <w:r w:rsidR="00A446CE">
        <w:rPr>
          <w:lang w:val="fr-FR"/>
        </w:rPr>
        <w:t> </w:t>
      </w:r>
      <w:r w:rsidRPr="009C7594">
        <w:rPr>
          <w:lang w:val="fr-FR"/>
        </w:rPr>
        <w:t>5149/1-4 a été adoptée comme norme nationale, et une nouvelle norme de santé et de sécurité au travail pour les travailleurs chargés de l</w:t>
      </w:r>
      <w:r w:rsidR="00511F20">
        <w:rPr>
          <w:lang w:val="fr-FR"/>
        </w:rPr>
        <w:t>’</w:t>
      </w:r>
      <w:r w:rsidRPr="009C7594">
        <w:rPr>
          <w:lang w:val="fr-FR"/>
        </w:rPr>
        <w:t>entretien des réfrigérants inflammables a été élaborée avec l</w:t>
      </w:r>
      <w:r w:rsidR="00511F20">
        <w:rPr>
          <w:lang w:val="fr-FR"/>
        </w:rPr>
        <w:t>’</w:t>
      </w:r>
      <w:r w:rsidRPr="009C7594">
        <w:rPr>
          <w:lang w:val="fr-FR"/>
        </w:rPr>
        <w:t>Organisation iranienne de normalisation.</w:t>
      </w:r>
    </w:p>
    <w:p w14:paraId="48F2C259" w14:textId="4B8001DF" w:rsidR="00C42624" w:rsidRPr="00FC1C48" w:rsidRDefault="00AD5233" w:rsidP="00C42624">
      <w:pPr>
        <w:spacing w:after="240"/>
        <w:rPr>
          <w:u w:val="single"/>
          <w:lang w:val="fr-FR"/>
        </w:rPr>
      </w:pPr>
      <w:r w:rsidRPr="00AD5233">
        <w:rPr>
          <w:u w:val="single"/>
          <w:lang w:val="fr-FR"/>
        </w:rPr>
        <w:t>Décaissement des fonds</w:t>
      </w:r>
    </w:p>
    <w:p w14:paraId="24169FFC" w14:textId="754C3BAE" w:rsidR="00C42624" w:rsidRPr="00FC1C48" w:rsidRDefault="00DD4854" w:rsidP="00C42624">
      <w:pPr>
        <w:pStyle w:val="Heading1"/>
        <w:numPr>
          <w:ilvl w:val="0"/>
          <w:numId w:val="24"/>
        </w:numPr>
        <w:rPr>
          <w:lang w:val="fr-FR"/>
        </w:rPr>
      </w:pPr>
      <w:r w:rsidRPr="00DD4854">
        <w:rPr>
          <w:lang w:val="fr-FR"/>
        </w:rPr>
        <w:t>En date de juillet 2025, sur les 10</w:t>
      </w:r>
      <w:r>
        <w:rPr>
          <w:lang w:val="fr-FR"/>
        </w:rPr>
        <w:t> </w:t>
      </w:r>
      <w:r w:rsidRPr="00DD4854">
        <w:rPr>
          <w:lang w:val="fr-FR"/>
        </w:rPr>
        <w:t>248</w:t>
      </w:r>
      <w:r>
        <w:rPr>
          <w:lang w:val="fr-FR"/>
        </w:rPr>
        <w:t> </w:t>
      </w:r>
      <w:r w:rsidRPr="00DD4854">
        <w:rPr>
          <w:lang w:val="fr-FR"/>
        </w:rPr>
        <w:t>862</w:t>
      </w:r>
      <w:r>
        <w:rPr>
          <w:lang w:val="fr-FR"/>
        </w:rPr>
        <w:t> </w:t>
      </w:r>
      <w:r w:rsidRPr="00DD4854">
        <w:rPr>
          <w:lang w:val="fr-FR"/>
        </w:rPr>
        <w:t>$US approuvés (compte tenu des déductions, des restitutions et des transferts approuvés par les décisions 80/21</w:t>
      </w:r>
      <w:r w:rsidR="0043181E">
        <w:rPr>
          <w:lang w:val="fr-FR"/>
        </w:rPr>
        <w:t> </w:t>
      </w:r>
      <w:r w:rsidRPr="00DD4854">
        <w:rPr>
          <w:lang w:val="fr-FR"/>
        </w:rPr>
        <w:t>c), 84/74</w:t>
      </w:r>
      <w:r w:rsidR="0043181E">
        <w:rPr>
          <w:lang w:val="fr-FR"/>
        </w:rPr>
        <w:t> </w:t>
      </w:r>
      <w:r w:rsidRPr="00DD4854">
        <w:rPr>
          <w:lang w:val="fr-FR"/>
        </w:rPr>
        <w:t>a)</w:t>
      </w:r>
      <w:r w:rsidR="0043181E">
        <w:rPr>
          <w:lang w:val="fr-FR"/>
        </w:rPr>
        <w:t> </w:t>
      </w:r>
      <w:r w:rsidRPr="00DD4854">
        <w:rPr>
          <w:lang w:val="fr-FR"/>
        </w:rPr>
        <w:t>iv) et 92/3</w:t>
      </w:r>
      <w:r w:rsidR="0043181E">
        <w:rPr>
          <w:lang w:val="fr-FR"/>
        </w:rPr>
        <w:t> </w:t>
      </w:r>
      <w:r w:rsidRPr="00DD4854">
        <w:rPr>
          <w:lang w:val="fr-FR"/>
        </w:rPr>
        <w:t>b)</w:t>
      </w:r>
      <w:r w:rsidR="0043181E">
        <w:rPr>
          <w:lang w:val="fr-FR"/>
        </w:rPr>
        <w:t> </w:t>
      </w:r>
      <w:r w:rsidRPr="00DD4854">
        <w:rPr>
          <w:lang w:val="fr-FR"/>
        </w:rPr>
        <w:t>v)), 9</w:t>
      </w:r>
      <w:r w:rsidR="006D2E70">
        <w:rPr>
          <w:lang w:val="fr-FR"/>
        </w:rPr>
        <w:t> </w:t>
      </w:r>
      <w:r w:rsidRPr="00DD4854">
        <w:rPr>
          <w:lang w:val="fr-FR"/>
        </w:rPr>
        <w:t>101</w:t>
      </w:r>
      <w:r w:rsidR="006D2E70">
        <w:rPr>
          <w:lang w:val="fr-FR"/>
        </w:rPr>
        <w:t> </w:t>
      </w:r>
      <w:r w:rsidRPr="00DD4854">
        <w:rPr>
          <w:lang w:val="fr-FR"/>
        </w:rPr>
        <w:t>688</w:t>
      </w:r>
      <w:r w:rsidR="006D2E70">
        <w:rPr>
          <w:lang w:val="fr-FR"/>
        </w:rPr>
        <w:t> </w:t>
      </w:r>
      <w:r w:rsidRPr="00DD4854">
        <w:rPr>
          <w:lang w:val="fr-FR"/>
        </w:rPr>
        <w:t>$US avaient été décaissés (4</w:t>
      </w:r>
      <w:r w:rsidR="00C66C23">
        <w:rPr>
          <w:lang w:val="fr-FR"/>
        </w:rPr>
        <w:t> </w:t>
      </w:r>
      <w:r w:rsidRPr="00DD4854">
        <w:rPr>
          <w:lang w:val="fr-FR"/>
        </w:rPr>
        <w:t>903</w:t>
      </w:r>
      <w:r w:rsidR="00C66C23">
        <w:rPr>
          <w:lang w:val="fr-FR"/>
        </w:rPr>
        <w:t> </w:t>
      </w:r>
      <w:r w:rsidRPr="00DD4854">
        <w:rPr>
          <w:lang w:val="fr-FR"/>
        </w:rPr>
        <w:t>882</w:t>
      </w:r>
      <w:r w:rsidR="00C66C23">
        <w:rPr>
          <w:lang w:val="fr-FR"/>
        </w:rPr>
        <w:t> </w:t>
      </w:r>
      <w:r w:rsidRPr="00DD4854">
        <w:rPr>
          <w:lang w:val="fr-FR"/>
        </w:rPr>
        <w:t>$US pour le PNUD, 1</w:t>
      </w:r>
      <w:r w:rsidR="00C66C23">
        <w:rPr>
          <w:lang w:val="fr-FR"/>
        </w:rPr>
        <w:t> </w:t>
      </w:r>
      <w:r w:rsidRPr="00DD4854">
        <w:rPr>
          <w:lang w:val="fr-FR"/>
        </w:rPr>
        <w:t>194</w:t>
      </w:r>
      <w:r w:rsidR="00C66C23">
        <w:rPr>
          <w:lang w:val="fr-FR"/>
        </w:rPr>
        <w:t> </w:t>
      </w:r>
      <w:r w:rsidRPr="00DD4854">
        <w:rPr>
          <w:lang w:val="fr-FR"/>
        </w:rPr>
        <w:t>686</w:t>
      </w:r>
      <w:r w:rsidR="00C66C23">
        <w:rPr>
          <w:lang w:val="fr-FR"/>
        </w:rPr>
        <w:t> </w:t>
      </w:r>
      <w:r w:rsidRPr="00DD4854">
        <w:rPr>
          <w:lang w:val="fr-FR"/>
        </w:rPr>
        <w:t>$US pour l</w:t>
      </w:r>
      <w:r w:rsidR="00511F20">
        <w:rPr>
          <w:lang w:val="fr-FR"/>
        </w:rPr>
        <w:t>’</w:t>
      </w:r>
      <w:r w:rsidRPr="00DD4854">
        <w:rPr>
          <w:lang w:val="fr-FR"/>
        </w:rPr>
        <w:t>ONUDI, 452</w:t>
      </w:r>
      <w:r w:rsidR="00A7568E">
        <w:rPr>
          <w:lang w:val="fr-FR"/>
        </w:rPr>
        <w:t> </w:t>
      </w:r>
      <w:r w:rsidRPr="00DD4854">
        <w:rPr>
          <w:lang w:val="fr-FR"/>
        </w:rPr>
        <w:t>555</w:t>
      </w:r>
      <w:r w:rsidR="00A7568E">
        <w:rPr>
          <w:lang w:val="fr-FR"/>
        </w:rPr>
        <w:t> </w:t>
      </w:r>
      <w:r w:rsidRPr="00DD4854">
        <w:rPr>
          <w:lang w:val="fr-FR"/>
        </w:rPr>
        <w:t xml:space="preserve">$US pour le </w:t>
      </w:r>
      <w:r w:rsidRPr="00DD4854">
        <w:rPr>
          <w:lang w:val="fr-FR"/>
        </w:rPr>
        <w:lastRenderedPageBreak/>
        <w:t>PNUE, 1</w:t>
      </w:r>
      <w:r w:rsidR="00A7568E">
        <w:rPr>
          <w:lang w:val="fr-FR"/>
        </w:rPr>
        <w:t> </w:t>
      </w:r>
      <w:r w:rsidRPr="00DD4854">
        <w:rPr>
          <w:lang w:val="fr-FR"/>
        </w:rPr>
        <w:t>645</w:t>
      </w:r>
      <w:r w:rsidR="00A7568E">
        <w:rPr>
          <w:lang w:val="fr-FR"/>
        </w:rPr>
        <w:t> </w:t>
      </w:r>
      <w:r w:rsidRPr="00DD4854">
        <w:rPr>
          <w:lang w:val="fr-FR"/>
        </w:rPr>
        <w:t>127</w:t>
      </w:r>
      <w:r w:rsidR="00A7568E">
        <w:rPr>
          <w:lang w:val="fr-FR"/>
        </w:rPr>
        <w:t> </w:t>
      </w:r>
      <w:r w:rsidRPr="00DD4854">
        <w:rPr>
          <w:lang w:val="fr-FR"/>
        </w:rPr>
        <w:t>$US pour l</w:t>
      </w:r>
      <w:r w:rsidR="00511F20">
        <w:rPr>
          <w:lang w:val="fr-FR"/>
        </w:rPr>
        <w:t>’</w:t>
      </w:r>
      <w:r w:rsidRPr="00DD4854">
        <w:rPr>
          <w:lang w:val="fr-FR"/>
        </w:rPr>
        <w:t>Allemagne et 905</w:t>
      </w:r>
      <w:r w:rsidR="00A7568E">
        <w:rPr>
          <w:lang w:val="fr-FR"/>
        </w:rPr>
        <w:t> </w:t>
      </w:r>
      <w:r w:rsidRPr="00DD4854">
        <w:rPr>
          <w:lang w:val="fr-FR"/>
        </w:rPr>
        <w:t>438</w:t>
      </w:r>
      <w:r w:rsidR="00A7568E">
        <w:rPr>
          <w:lang w:val="fr-FR"/>
        </w:rPr>
        <w:t> </w:t>
      </w:r>
      <w:r w:rsidRPr="00DD4854">
        <w:rPr>
          <w:lang w:val="fr-FR"/>
        </w:rPr>
        <w:t>$US pour l</w:t>
      </w:r>
      <w:r w:rsidR="00511F20">
        <w:rPr>
          <w:lang w:val="fr-FR"/>
        </w:rPr>
        <w:t>’</w:t>
      </w:r>
      <w:r w:rsidRPr="00DD4854">
        <w:rPr>
          <w:lang w:val="fr-FR"/>
        </w:rPr>
        <w:t>Italie), comme indiqué dans le tableau</w:t>
      </w:r>
      <w:r w:rsidR="00A7568E">
        <w:rPr>
          <w:lang w:val="fr-FR"/>
        </w:rPr>
        <w:t> </w:t>
      </w:r>
      <w:r w:rsidRPr="00DD4854">
        <w:rPr>
          <w:lang w:val="fr-FR"/>
        </w:rPr>
        <w:t>3. Le solde de 1</w:t>
      </w:r>
      <w:r w:rsidR="00A7568E">
        <w:rPr>
          <w:lang w:val="fr-FR"/>
        </w:rPr>
        <w:t> </w:t>
      </w:r>
      <w:r w:rsidRPr="00DD4854">
        <w:rPr>
          <w:lang w:val="fr-FR"/>
        </w:rPr>
        <w:t>147</w:t>
      </w:r>
      <w:r w:rsidR="00A7568E">
        <w:rPr>
          <w:lang w:val="fr-FR"/>
        </w:rPr>
        <w:t> </w:t>
      </w:r>
      <w:r w:rsidRPr="00DD4854">
        <w:rPr>
          <w:lang w:val="fr-FR"/>
        </w:rPr>
        <w:t>174</w:t>
      </w:r>
      <w:r w:rsidR="00A7568E">
        <w:rPr>
          <w:lang w:val="fr-FR"/>
        </w:rPr>
        <w:t> </w:t>
      </w:r>
      <w:r w:rsidRPr="00DD4854">
        <w:rPr>
          <w:lang w:val="fr-FR"/>
        </w:rPr>
        <w:t>$US sera décaissé en 2026-2027.</w:t>
      </w:r>
    </w:p>
    <w:p w14:paraId="13043D3F" w14:textId="17614ECD" w:rsidR="00C42624" w:rsidRPr="00FC1C48" w:rsidRDefault="00C42624" w:rsidP="00C42624">
      <w:pPr>
        <w:keepNext/>
        <w:rPr>
          <w:b/>
          <w:lang w:val="fr-FR"/>
        </w:rPr>
      </w:pPr>
      <w:r w:rsidRPr="00FC1C48">
        <w:rPr>
          <w:b/>
          <w:bCs/>
          <w:lang w:val="fr-FR"/>
        </w:rPr>
        <w:t>Table</w:t>
      </w:r>
      <w:r w:rsidR="00E376D3" w:rsidRPr="00FC1C48">
        <w:rPr>
          <w:b/>
          <w:bCs/>
          <w:lang w:val="fr-FR"/>
        </w:rPr>
        <w:t>au</w:t>
      </w:r>
      <w:r w:rsidRPr="00FC1C48">
        <w:rPr>
          <w:b/>
          <w:bCs/>
          <w:lang w:val="fr-FR"/>
        </w:rPr>
        <w:t xml:space="preserve"> 3. </w:t>
      </w:r>
      <w:r w:rsidR="00CA3C85" w:rsidRPr="00CA3C85">
        <w:rPr>
          <w:b/>
          <w:bCs/>
          <w:lang w:val="fr-FR"/>
        </w:rPr>
        <w:t>Décaissement des fonds approuvés au titre de la phase II du PGEH pour l</w:t>
      </w:r>
      <w:r w:rsidR="00511F20">
        <w:rPr>
          <w:b/>
          <w:bCs/>
          <w:lang w:val="fr-FR"/>
        </w:rPr>
        <w:t>’</w:t>
      </w:r>
      <w:r w:rsidR="00CA3C85" w:rsidRPr="00CA3C85">
        <w:rPr>
          <w:b/>
          <w:bCs/>
          <w:lang w:val="fr-FR"/>
        </w:rPr>
        <w:t>Iran ($US)</w:t>
      </w:r>
    </w:p>
    <w:tbl>
      <w:tblPr>
        <w:tblW w:w="5001" w:type="pct"/>
        <w:tblLayout w:type="fixed"/>
        <w:tblLook w:val="04A0" w:firstRow="1" w:lastRow="0" w:firstColumn="1" w:lastColumn="0" w:noHBand="0" w:noVBand="1"/>
      </w:tblPr>
      <w:tblGrid>
        <w:gridCol w:w="1134"/>
        <w:gridCol w:w="1139"/>
        <w:gridCol w:w="1165"/>
        <w:gridCol w:w="991"/>
        <w:gridCol w:w="997"/>
        <w:gridCol w:w="1238"/>
        <w:gridCol w:w="883"/>
        <w:gridCol w:w="1193"/>
        <w:gridCol w:w="612"/>
      </w:tblGrid>
      <w:tr w:rsidR="00FC1C48" w:rsidRPr="00FC1C48" w14:paraId="584F920C" w14:textId="77777777" w:rsidTr="00FC1C48">
        <w:trPr>
          <w:trHeight w:val="436"/>
          <w:tblHeader/>
        </w:trPr>
        <w:tc>
          <w:tcPr>
            <w:tcW w:w="1215" w:type="pct"/>
            <w:gridSpan w:val="2"/>
            <w:tcBorders>
              <w:top w:val="single" w:sz="4" w:space="0" w:color="auto"/>
              <w:left w:val="single" w:sz="4" w:space="0" w:color="auto"/>
              <w:bottom w:val="single" w:sz="4" w:space="0" w:color="auto"/>
              <w:right w:val="single" w:sz="4" w:space="0" w:color="auto"/>
            </w:tcBorders>
            <w:noWrap/>
            <w:vAlign w:val="center"/>
            <w:hideMark/>
          </w:tcPr>
          <w:p w14:paraId="24AE644B" w14:textId="77777777" w:rsidR="00C42624" w:rsidRPr="00FC1C48" w:rsidRDefault="00C42624" w:rsidP="00C1059F">
            <w:pPr>
              <w:jc w:val="center"/>
              <w:rPr>
                <w:b/>
                <w:bCs/>
                <w:sz w:val="20"/>
                <w:szCs w:val="20"/>
                <w:lang w:val="fr-FR" w:eastAsia="en-CA"/>
              </w:rPr>
            </w:pPr>
            <w:r w:rsidRPr="00FC1C48">
              <w:rPr>
                <w:b/>
                <w:bCs/>
                <w:sz w:val="20"/>
                <w:szCs w:val="20"/>
                <w:lang w:val="fr-FR" w:eastAsia="en-CA"/>
              </w:rPr>
              <w:t>Tranche</w:t>
            </w:r>
          </w:p>
        </w:tc>
        <w:tc>
          <w:tcPr>
            <w:tcW w:w="623" w:type="pct"/>
            <w:tcBorders>
              <w:top w:val="single" w:sz="4" w:space="0" w:color="auto"/>
              <w:left w:val="single" w:sz="4" w:space="0" w:color="auto"/>
              <w:bottom w:val="single" w:sz="4" w:space="0" w:color="auto"/>
              <w:right w:val="single" w:sz="4" w:space="0" w:color="auto"/>
            </w:tcBorders>
            <w:noWrap/>
            <w:vAlign w:val="center"/>
            <w:hideMark/>
          </w:tcPr>
          <w:p w14:paraId="514A52E2" w14:textId="12EEB1FF" w:rsidR="00C42624" w:rsidRPr="00FC1C48" w:rsidRDefault="00E376D3" w:rsidP="00C1059F">
            <w:pPr>
              <w:jc w:val="center"/>
              <w:rPr>
                <w:b/>
                <w:bCs/>
                <w:sz w:val="20"/>
                <w:szCs w:val="20"/>
                <w:lang w:val="fr-FR" w:eastAsia="en-CA"/>
              </w:rPr>
            </w:pPr>
            <w:r w:rsidRPr="00FC1C48">
              <w:rPr>
                <w:b/>
                <w:bCs/>
                <w:sz w:val="20"/>
                <w:szCs w:val="20"/>
                <w:lang w:val="fr-FR" w:eastAsia="en-CA"/>
              </w:rPr>
              <w:t>PNUD</w:t>
            </w:r>
          </w:p>
        </w:tc>
        <w:tc>
          <w:tcPr>
            <w:tcW w:w="530" w:type="pct"/>
            <w:tcBorders>
              <w:top w:val="single" w:sz="4" w:space="0" w:color="auto"/>
              <w:left w:val="single" w:sz="4" w:space="0" w:color="auto"/>
              <w:bottom w:val="single" w:sz="4" w:space="0" w:color="auto"/>
              <w:right w:val="single" w:sz="4" w:space="0" w:color="auto"/>
            </w:tcBorders>
            <w:vAlign w:val="center"/>
            <w:hideMark/>
          </w:tcPr>
          <w:p w14:paraId="2B5A8670" w14:textId="1C1C8910" w:rsidR="00C42624" w:rsidRPr="00FC1C48" w:rsidRDefault="00E376D3" w:rsidP="00C1059F">
            <w:pPr>
              <w:jc w:val="center"/>
              <w:rPr>
                <w:b/>
                <w:bCs/>
                <w:sz w:val="20"/>
                <w:szCs w:val="20"/>
                <w:lang w:val="fr-FR" w:eastAsia="en-CA"/>
              </w:rPr>
            </w:pPr>
            <w:r w:rsidRPr="00FC1C48">
              <w:rPr>
                <w:b/>
                <w:bCs/>
                <w:sz w:val="20"/>
                <w:szCs w:val="20"/>
                <w:lang w:val="fr-FR" w:eastAsia="en-CA"/>
              </w:rPr>
              <w:t>ONUDI</w:t>
            </w:r>
          </w:p>
        </w:tc>
        <w:tc>
          <w:tcPr>
            <w:tcW w:w="533" w:type="pct"/>
            <w:tcBorders>
              <w:top w:val="single" w:sz="4" w:space="0" w:color="auto"/>
              <w:left w:val="single" w:sz="4" w:space="0" w:color="auto"/>
              <w:bottom w:val="single" w:sz="4" w:space="0" w:color="auto"/>
              <w:right w:val="single" w:sz="4" w:space="0" w:color="auto"/>
            </w:tcBorders>
            <w:vAlign w:val="center"/>
            <w:hideMark/>
          </w:tcPr>
          <w:p w14:paraId="4AE44476" w14:textId="43B08F6F" w:rsidR="00C42624" w:rsidRPr="00FC1C48" w:rsidRDefault="00E376D3" w:rsidP="00C1059F">
            <w:pPr>
              <w:jc w:val="center"/>
              <w:rPr>
                <w:b/>
                <w:bCs/>
                <w:sz w:val="20"/>
                <w:szCs w:val="20"/>
                <w:lang w:val="fr-FR" w:eastAsia="en-CA"/>
              </w:rPr>
            </w:pPr>
            <w:r w:rsidRPr="00FC1C48">
              <w:rPr>
                <w:b/>
                <w:bCs/>
                <w:sz w:val="20"/>
                <w:szCs w:val="20"/>
                <w:lang w:val="fr-FR" w:eastAsia="en-CA"/>
              </w:rPr>
              <w:t>PNUE</w:t>
            </w:r>
          </w:p>
        </w:tc>
        <w:tc>
          <w:tcPr>
            <w:tcW w:w="662" w:type="pct"/>
            <w:tcBorders>
              <w:top w:val="single" w:sz="4" w:space="0" w:color="auto"/>
              <w:left w:val="single" w:sz="4" w:space="0" w:color="auto"/>
              <w:bottom w:val="single" w:sz="4" w:space="0" w:color="auto"/>
              <w:right w:val="single" w:sz="4" w:space="0" w:color="auto"/>
            </w:tcBorders>
            <w:vAlign w:val="center"/>
            <w:hideMark/>
          </w:tcPr>
          <w:p w14:paraId="3223518A" w14:textId="2E8DF5DF" w:rsidR="00C42624" w:rsidRPr="00FC1C48" w:rsidRDefault="00E376D3" w:rsidP="00C1059F">
            <w:pPr>
              <w:jc w:val="center"/>
              <w:rPr>
                <w:b/>
                <w:bCs/>
                <w:sz w:val="20"/>
                <w:szCs w:val="20"/>
                <w:lang w:val="fr-FR" w:eastAsia="en-CA"/>
              </w:rPr>
            </w:pPr>
            <w:r w:rsidRPr="00FC1C48">
              <w:rPr>
                <w:b/>
                <w:bCs/>
                <w:sz w:val="20"/>
                <w:szCs w:val="20"/>
                <w:lang w:val="fr-FR" w:eastAsia="en-CA"/>
              </w:rPr>
              <w:t>Allemagne</w:t>
            </w:r>
          </w:p>
        </w:tc>
        <w:tc>
          <w:tcPr>
            <w:tcW w:w="472" w:type="pct"/>
            <w:tcBorders>
              <w:top w:val="single" w:sz="4" w:space="0" w:color="auto"/>
              <w:left w:val="single" w:sz="4" w:space="0" w:color="auto"/>
              <w:bottom w:val="single" w:sz="4" w:space="0" w:color="auto"/>
              <w:right w:val="single" w:sz="4" w:space="0" w:color="auto"/>
            </w:tcBorders>
            <w:vAlign w:val="center"/>
            <w:hideMark/>
          </w:tcPr>
          <w:p w14:paraId="0FFBD97A" w14:textId="3F055731" w:rsidR="00C42624" w:rsidRPr="00FC1C48" w:rsidRDefault="00C42624" w:rsidP="00C1059F">
            <w:pPr>
              <w:jc w:val="center"/>
              <w:rPr>
                <w:b/>
                <w:bCs/>
                <w:sz w:val="20"/>
                <w:szCs w:val="20"/>
                <w:lang w:val="fr-FR" w:eastAsia="en-CA"/>
              </w:rPr>
            </w:pPr>
            <w:r w:rsidRPr="00FC1C48">
              <w:rPr>
                <w:b/>
                <w:bCs/>
                <w:sz w:val="20"/>
                <w:szCs w:val="20"/>
                <w:lang w:val="fr-FR" w:eastAsia="en-CA"/>
              </w:rPr>
              <w:t>Ital</w:t>
            </w:r>
            <w:r w:rsidR="00FC1C48" w:rsidRPr="00FC1C48">
              <w:rPr>
                <w:b/>
                <w:bCs/>
                <w:sz w:val="20"/>
                <w:szCs w:val="20"/>
                <w:lang w:val="fr-FR" w:eastAsia="en-CA"/>
              </w:rPr>
              <w:t>ie</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BD2D597" w14:textId="77777777" w:rsidR="00C42624" w:rsidRPr="00FC1C48" w:rsidRDefault="00C42624" w:rsidP="00C1059F">
            <w:pPr>
              <w:jc w:val="center"/>
              <w:rPr>
                <w:b/>
                <w:bCs/>
                <w:sz w:val="20"/>
                <w:szCs w:val="20"/>
                <w:lang w:val="fr-FR" w:eastAsia="en-CA"/>
              </w:rPr>
            </w:pPr>
            <w:r w:rsidRPr="00FC1C48">
              <w:rPr>
                <w:b/>
                <w:bCs/>
                <w:sz w:val="20"/>
                <w:szCs w:val="20"/>
                <w:lang w:val="fr-FR" w:eastAsia="en-CA"/>
              </w:rPr>
              <w:t>Total</w:t>
            </w:r>
          </w:p>
        </w:tc>
        <w:tc>
          <w:tcPr>
            <w:tcW w:w="327" w:type="pct"/>
            <w:tcBorders>
              <w:top w:val="single" w:sz="4" w:space="0" w:color="auto"/>
              <w:left w:val="nil"/>
              <w:bottom w:val="single" w:sz="4" w:space="0" w:color="auto"/>
              <w:right w:val="single" w:sz="4" w:space="0" w:color="auto"/>
            </w:tcBorders>
            <w:noWrap/>
            <w:vAlign w:val="center"/>
            <w:hideMark/>
          </w:tcPr>
          <w:p w14:paraId="7258EB80" w14:textId="24FA482D" w:rsidR="00C42624" w:rsidRPr="00FC1C48" w:rsidRDefault="005B1F29" w:rsidP="008B5753">
            <w:pPr>
              <w:ind w:left="-43" w:right="-108"/>
              <w:jc w:val="center"/>
              <w:rPr>
                <w:b/>
                <w:bCs/>
                <w:sz w:val="20"/>
                <w:szCs w:val="20"/>
                <w:lang w:val="fr-FR" w:eastAsia="en-CA"/>
              </w:rPr>
            </w:pPr>
            <w:r>
              <w:rPr>
                <w:b/>
                <w:bCs/>
                <w:sz w:val="20"/>
                <w:szCs w:val="20"/>
                <w:lang w:val="fr-FR" w:eastAsia="en-CA"/>
              </w:rPr>
              <w:t>Taux</w:t>
            </w:r>
            <w:r w:rsidR="00C42624" w:rsidRPr="00FC1C48">
              <w:rPr>
                <w:b/>
                <w:bCs/>
                <w:sz w:val="20"/>
                <w:szCs w:val="20"/>
                <w:lang w:val="fr-FR" w:eastAsia="en-CA"/>
              </w:rPr>
              <w:t>.</w:t>
            </w:r>
            <w:r w:rsidR="00C42624" w:rsidRPr="00FC1C48">
              <w:rPr>
                <w:b/>
                <w:bCs/>
                <w:sz w:val="20"/>
                <w:szCs w:val="20"/>
                <w:lang w:val="fr-FR" w:eastAsia="en-CA"/>
              </w:rPr>
              <w:br/>
              <w:t>(%)</w:t>
            </w:r>
          </w:p>
        </w:tc>
      </w:tr>
      <w:tr w:rsidR="00FC1C48" w:rsidRPr="00FC1C48" w14:paraId="6D243C92" w14:textId="77777777" w:rsidTr="00FC1C48">
        <w:trPr>
          <w:trHeight w:val="300"/>
        </w:trPr>
        <w:tc>
          <w:tcPr>
            <w:tcW w:w="606" w:type="pct"/>
            <w:vMerge w:val="restart"/>
            <w:tcBorders>
              <w:top w:val="nil"/>
              <w:left w:val="single" w:sz="4" w:space="0" w:color="auto"/>
              <w:bottom w:val="single" w:sz="4" w:space="0" w:color="auto"/>
              <w:right w:val="single" w:sz="4" w:space="0" w:color="auto"/>
            </w:tcBorders>
            <w:noWrap/>
            <w:vAlign w:val="center"/>
            <w:hideMark/>
          </w:tcPr>
          <w:p w14:paraId="7FA2BCA2" w14:textId="522084A3" w:rsidR="00C42624" w:rsidRPr="00FC1C48" w:rsidRDefault="00E376D3" w:rsidP="00C1059F">
            <w:pPr>
              <w:jc w:val="left"/>
              <w:rPr>
                <w:sz w:val="20"/>
                <w:szCs w:val="20"/>
                <w:lang w:val="fr-FR" w:eastAsia="en-CA"/>
              </w:rPr>
            </w:pPr>
            <w:r w:rsidRPr="00FC1C48">
              <w:rPr>
                <w:bCs/>
                <w:sz w:val="20"/>
                <w:szCs w:val="20"/>
                <w:lang w:val="fr-FR" w:eastAsia="en-CA"/>
              </w:rPr>
              <w:t>Première</w:t>
            </w:r>
          </w:p>
        </w:tc>
        <w:tc>
          <w:tcPr>
            <w:tcW w:w="609" w:type="pct"/>
            <w:tcBorders>
              <w:top w:val="nil"/>
              <w:left w:val="nil"/>
              <w:bottom w:val="single" w:sz="4" w:space="0" w:color="auto"/>
              <w:right w:val="single" w:sz="4" w:space="0" w:color="auto"/>
            </w:tcBorders>
            <w:noWrap/>
            <w:vAlign w:val="center"/>
            <w:hideMark/>
          </w:tcPr>
          <w:p w14:paraId="212B90BC" w14:textId="1A12DD92" w:rsidR="00C42624" w:rsidRPr="00FC1C48" w:rsidRDefault="00C42624" w:rsidP="00C1059F">
            <w:pPr>
              <w:rPr>
                <w:sz w:val="20"/>
                <w:szCs w:val="20"/>
                <w:lang w:val="fr-FR" w:eastAsia="en-CA"/>
              </w:rPr>
            </w:pPr>
            <w:r w:rsidRPr="00FC1C48">
              <w:rPr>
                <w:bCs/>
                <w:sz w:val="20"/>
                <w:szCs w:val="20"/>
                <w:lang w:val="fr-FR" w:eastAsia="en-CA"/>
              </w:rPr>
              <w:t>Appro</w:t>
            </w:r>
            <w:r w:rsidR="00FC1C48">
              <w:rPr>
                <w:bCs/>
                <w:sz w:val="20"/>
                <w:szCs w:val="20"/>
                <w:lang w:val="fr-FR" w:eastAsia="en-CA"/>
              </w:rPr>
              <w:t>uvé</w:t>
            </w:r>
          </w:p>
        </w:tc>
        <w:tc>
          <w:tcPr>
            <w:tcW w:w="623" w:type="pct"/>
            <w:tcBorders>
              <w:top w:val="nil"/>
              <w:left w:val="nil"/>
              <w:bottom w:val="single" w:sz="4" w:space="0" w:color="auto"/>
              <w:right w:val="single" w:sz="4" w:space="0" w:color="auto"/>
            </w:tcBorders>
            <w:noWrap/>
            <w:vAlign w:val="center"/>
            <w:hideMark/>
          </w:tcPr>
          <w:p w14:paraId="1F5C35C5" w14:textId="79C2022C" w:rsidR="00C42624" w:rsidRPr="00FC1C48" w:rsidRDefault="00C42624" w:rsidP="00C1059F">
            <w:pPr>
              <w:jc w:val="right"/>
              <w:rPr>
                <w:sz w:val="20"/>
                <w:szCs w:val="20"/>
                <w:lang w:val="fr-FR" w:eastAsia="en-CA"/>
              </w:rPr>
            </w:pPr>
            <w:r w:rsidRPr="00FC1C48">
              <w:rPr>
                <w:sz w:val="20"/>
                <w:szCs w:val="20"/>
                <w:lang w:val="fr-FR" w:eastAsia="zh-CN"/>
              </w:rPr>
              <w:t>1</w:t>
            </w:r>
            <w:r w:rsidR="00FC1C48">
              <w:rPr>
                <w:sz w:val="20"/>
                <w:szCs w:val="20"/>
                <w:lang w:val="fr-FR" w:eastAsia="zh-CN"/>
              </w:rPr>
              <w:t> </w:t>
            </w:r>
            <w:r w:rsidRPr="00FC1C48">
              <w:rPr>
                <w:sz w:val="20"/>
                <w:szCs w:val="20"/>
                <w:lang w:val="fr-FR" w:eastAsia="zh-CN"/>
              </w:rPr>
              <w:t>298</w:t>
            </w:r>
            <w:r w:rsidR="00FC1C48">
              <w:rPr>
                <w:sz w:val="20"/>
                <w:szCs w:val="20"/>
                <w:lang w:val="fr-FR" w:eastAsia="zh-CN"/>
              </w:rPr>
              <w:t> </w:t>
            </w:r>
            <w:r w:rsidRPr="00FC1C48">
              <w:rPr>
                <w:sz w:val="20"/>
                <w:szCs w:val="20"/>
                <w:lang w:val="fr-FR" w:eastAsia="zh-CN"/>
              </w:rPr>
              <w:t>170</w:t>
            </w:r>
          </w:p>
        </w:tc>
        <w:tc>
          <w:tcPr>
            <w:tcW w:w="530" w:type="pct"/>
            <w:tcBorders>
              <w:top w:val="nil"/>
              <w:left w:val="nil"/>
              <w:bottom w:val="single" w:sz="4" w:space="0" w:color="auto"/>
              <w:right w:val="single" w:sz="4" w:space="0" w:color="auto"/>
            </w:tcBorders>
            <w:vAlign w:val="center"/>
            <w:hideMark/>
          </w:tcPr>
          <w:p w14:paraId="2F878642" w14:textId="2BE914B0" w:rsidR="00C42624" w:rsidRPr="00FC1C48" w:rsidRDefault="00C42624" w:rsidP="00C1059F">
            <w:pPr>
              <w:jc w:val="right"/>
              <w:rPr>
                <w:sz w:val="20"/>
                <w:szCs w:val="20"/>
                <w:lang w:val="fr-FR" w:eastAsia="en-CA"/>
              </w:rPr>
            </w:pPr>
            <w:r w:rsidRPr="00FC1C48">
              <w:rPr>
                <w:sz w:val="20"/>
                <w:szCs w:val="20"/>
                <w:lang w:val="fr-FR" w:eastAsia="en-CA"/>
              </w:rPr>
              <w:t>473</w:t>
            </w:r>
            <w:r w:rsidR="00FC1C48">
              <w:rPr>
                <w:sz w:val="20"/>
                <w:szCs w:val="20"/>
                <w:lang w:val="fr-FR" w:eastAsia="en-CA"/>
              </w:rPr>
              <w:t> </w:t>
            </w:r>
            <w:r w:rsidRPr="00FC1C48">
              <w:rPr>
                <w:sz w:val="20"/>
                <w:szCs w:val="20"/>
                <w:lang w:val="fr-FR" w:eastAsia="en-CA"/>
              </w:rPr>
              <w:t>567</w:t>
            </w:r>
          </w:p>
        </w:tc>
        <w:tc>
          <w:tcPr>
            <w:tcW w:w="533" w:type="pct"/>
            <w:tcBorders>
              <w:top w:val="nil"/>
              <w:left w:val="nil"/>
              <w:bottom w:val="single" w:sz="4" w:space="0" w:color="auto"/>
              <w:right w:val="single" w:sz="4" w:space="0" w:color="auto"/>
            </w:tcBorders>
            <w:vAlign w:val="center"/>
            <w:hideMark/>
          </w:tcPr>
          <w:p w14:paraId="7D365496" w14:textId="413294AB" w:rsidR="00C42624" w:rsidRPr="00FC1C48" w:rsidRDefault="00C42624" w:rsidP="00C1059F">
            <w:pPr>
              <w:ind w:left="-72"/>
              <w:jc w:val="right"/>
              <w:rPr>
                <w:sz w:val="20"/>
                <w:szCs w:val="20"/>
                <w:lang w:val="fr-FR" w:eastAsia="en-CA"/>
              </w:rPr>
            </w:pPr>
            <w:r w:rsidRPr="00FC1C48">
              <w:rPr>
                <w:sz w:val="20"/>
                <w:szCs w:val="20"/>
                <w:vertAlign w:val="superscript"/>
                <w:lang w:val="fr-FR" w:eastAsia="en-CA"/>
              </w:rPr>
              <w:t>[1]</w:t>
            </w:r>
            <w:r w:rsidRPr="00FC1C48">
              <w:rPr>
                <w:sz w:val="20"/>
                <w:szCs w:val="20"/>
                <w:lang w:val="fr-FR" w:eastAsia="en-CA"/>
              </w:rPr>
              <w:t>184</w:t>
            </w:r>
            <w:r w:rsidR="00FC1C48">
              <w:rPr>
                <w:sz w:val="20"/>
                <w:szCs w:val="20"/>
                <w:lang w:val="fr-FR" w:eastAsia="en-CA"/>
              </w:rPr>
              <w:t> </w:t>
            </w:r>
            <w:r w:rsidRPr="00FC1C48">
              <w:rPr>
                <w:sz w:val="20"/>
                <w:szCs w:val="20"/>
                <w:lang w:val="fr-FR" w:eastAsia="en-CA"/>
              </w:rPr>
              <w:t>569</w:t>
            </w:r>
          </w:p>
        </w:tc>
        <w:tc>
          <w:tcPr>
            <w:tcW w:w="662" w:type="pct"/>
            <w:tcBorders>
              <w:top w:val="nil"/>
              <w:left w:val="nil"/>
              <w:bottom w:val="single" w:sz="4" w:space="0" w:color="auto"/>
              <w:right w:val="single" w:sz="4" w:space="0" w:color="auto"/>
            </w:tcBorders>
            <w:vAlign w:val="center"/>
            <w:hideMark/>
          </w:tcPr>
          <w:p w14:paraId="2857EAB1" w14:textId="21EAFA3D" w:rsidR="00C42624" w:rsidRPr="00FC1C48" w:rsidRDefault="00C42624" w:rsidP="00C1059F">
            <w:pPr>
              <w:jc w:val="right"/>
              <w:rPr>
                <w:sz w:val="20"/>
                <w:szCs w:val="20"/>
                <w:lang w:val="fr-FR" w:eastAsia="en-CA"/>
              </w:rPr>
            </w:pPr>
            <w:r w:rsidRPr="00FC1C48">
              <w:rPr>
                <w:sz w:val="20"/>
                <w:szCs w:val="20"/>
                <w:lang w:val="fr-FR" w:eastAsia="zh-CN"/>
              </w:rPr>
              <w:t>645</w:t>
            </w:r>
            <w:r w:rsidR="00FC1C48">
              <w:rPr>
                <w:sz w:val="20"/>
                <w:szCs w:val="20"/>
                <w:lang w:val="fr-FR" w:eastAsia="zh-CN"/>
              </w:rPr>
              <w:t> </w:t>
            </w:r>
            <w:r w:rsidRPr="00FC1C48">
              <w:rPr>
                <w:sz w:val="20"/>
                <w:szCs w:val="20"/>
                <w:lang w:val="fr-FR" w:eastAsia="zh-CN"/>
              </w:rPr>
              <w:t>500</w:t>
            </w:r>
          </w:p>
        </w:tc>
        <w:tc>
          <w:tcPr>
            <w:tcW w:w="472" w:type="pct"/>
            <w:tcBorders>
              <w:top w:val="nil"/>
              <w:left w:val="nil"/>
              <w:bottom w:val="single" w:sz="4" w:space="0" w:color="auto"/>
              <w:right w:val="single" w:sz="4" w:space="0" w:color="auto"/>
            </w:tcBorders>
            <w:vAlign w:val="center"/>
            <w:hideMark/>
          </w:tcPr>
          <w:p w14:paraId="4FD346DE" w14:textId="56BD4DF5" w:rsidR="00C42624" w:rsidRPr="00FC1C48" w:rsidRDefault="00C42624" w:rsidP="00C1059F">
            <w:pPr>
              <w:jc w:val="right"/>
              <w:rPr>
                <w:sz w:val="20"/>
                <w:szCs w:val="20"/>
                <w:lang w:val="fr-FR" w:eastAsia="en-CA"/>
              </w:rPr>
            </w:pPr>
            <w:r w:rsidRPr="00FC1C48">
              <w:rPr>
                <w:sz w:val="20"/>
                <w:szCs w:val="20"/>
                <w:lang w:val="fr-FR" w:eastAsia="zh-CN"/>
              </w:rPr>
              <w:t>403</w:t>
            </w:r>
            <w:r w:rsidR="00FC1C48">
              <w:rPr>
                <w:sz w:val="20"/>
                <w:szCs w:val="20"/>
                <w:lang w:val="fr-FR" w:eastAsia="zh-CN"/>
              </w:rPr>
              <w:t> </w:t>
            </w:r>
            <w:r w:rsidRPr="00FC1C48">
              <w:rPr>
                <w:sz w:val="20"/>
                <w:szCs w:val="20"/>
                <w:lang w:val="fr-FR" w:eastAsia="zh-CN"/>
              </w:rPr>
              <w:t>203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7527FD2" w14:textId="7A5FB0E4" w:rsidR="00C42624" w:rsidRPr="00FC1C48" w:rsidRDefault="00C42624" w:rsidP="00C1059F">
            <w:pPr>
              <w:jc w:val="right"/>
              <w:rPr>
                <w:sz w:val="20"/>
                <w:szCs w:val="20"/>
                <w:lang w:val="fr-FR" w:eastAsia="en-CA"/>
              </w:rPr>
            </w:pPr>
            <w:r w:rsidRPr="00FC1C48">
              <w:rPr>
                <w:color w:val="000000"/>
                <w:sz w:val="20"/>
                <w:szCs w:val="20"/>
                <w:lang w:val="fr-FR"/>
              </w:rPr>
              <w:t>3</w:t>
            </w:r>
            <w:r w:rsidR="00FC1C48">
              <w:rPr>
                <w:color w:val="000000"/>
                <w:sz w:val="20"/>
                <w:szCs w:val="20"/>
                <w:lang w:val="fr-FR"/>
              </w:rPr>
              <w:t> </w:t>
            </w:r>
            <w:r w:rsidRPr="00FC1C48">
              <w:rPr>
                <w:color w:val="000000"/>
                <w:sz w:val="20"/>
                <w:szCs w:val="20"/>
                <w:lang w:val="fr-FR"/>
              </w:rPr>
              <w:t>005</w:t>
            </w:r>
            <w:r w:rsidR="00FC1C48">
              <w:rPr>
                <w:color w:val="000000"/>
                <w:sz w:val="20"/>
                <w:szCs w:val="20"/>
                <w:lang w:val="fr-FR"/>
              </w:rPr>
              <w:t> </w:t>
            </w:r>
            <w:r w:rsidRPr="00FC1C48">
              <w:rPr>
                <w:color w:val="000000"/>
                <w:sz w:val="20"/>
                <w:szCs w:val="20"/>
                <w:lang w:val="fr-FR"/>
              </w:rPr>
              <w:t>009</w:t>
            </w:r>
          </w:p>
        </w:tc>
        <w:tc>
          <w:tcPr>
            <w:tcW w:w="327" w:type="pct"/>
            <w:vMerge w:val="restart"/>
            <w:tcBorders>
              <w:top w:val="single" w:sz="4" w:space="0" w:color="auto"/>
              <w:left w:val="single" w:sz="4" w:space="0" w:color="auto"/>
              <w:bottom w:val="single" w:sz="4" w:space="0" w:color="auto"/>
              <w:right w:val="single" w:sz="4" w:space="0" w:color="auto"/>
            </w:tcBorders>
            <w:noWrap/>
            <w:vAlign w:val="center"/>
            <w:hideMark/>
          </w:tcPr>
          <w:p w14:paraId="32FE9EF0" w14:textId="77777777" w:rsidR="00C42624" w:rsidRPr="00FC1C48" w:rsidRDefault="00C42624" w:rsidP="00C1059F">
            <w:pPr>
              <w:jc w:val="center"/>
              <w:rPr>
                <w:sz w:val="20"/>
                <w:szCs w:val="20"/>
                <w:lang w:val="fr-FR" w:eastAsia="en-CA"/>
              </w:rPr>
            </w:pPr>
            <w:r w:rsidRPr="00FC1C48">
              <w:rPr>
                <w:sz w:val="20"/>
                <w:szCs w:val="20"/>
                <w:lang w:val="fr-FR" w:eastAsia="en-CA"/>
              </w:rPr>
              <w:t>100</w:t>
            </w:r>
          </w:p>
        </w:tc>
      </w:tr>
      <w:tr w:rsidR="00FC1C48" w:rsidRPr="00FC1C48" w14:paraId="5F460FF1" w14:textId="77777777" w:rsidTr="00FC1C48">
        <w:trPr>
          <w:trHeight w:val="300"/>
        </w:trPr>
        <w:tc>
          <w:tcPr>
            <w:tcW w:w="606" w:type="pct"/>
            <w:vMerge/>
            <w:tcBorders>
              <w:top w:val="nil"/>
              <w:left w:val="single" w:sz="4" w:space="0" w:color="auto"/>
              <w:bottom w:val="single" w:sz="4" w:space="0" w:color="auto"/>
              <w:right w:val="single" w:sz="4" w:space="0" w:color="auto"/>
            </w:tcBorders>
            <w:vAlign w:val="center"/>
            <w:hideMark/>
          </w:tcPr>
          <w:p w14:paraId="22348FA6" w14:textId="77777777" w:rsidR="00C42624" w:rsidRPr="00FC1C48" w:rsidRDefault="00C42624" w:rsidP="00C1059F">
            <w:pPr>
              <w:jc w:val="left"/>
              <w:rPr>
                <w:sz w:val="20"/>
                <w:szCs w:val="20"/>
                <w:lang w:val="fr-FR" w:eastAsia="en-CA"/>
              </w:rPr>
            </w:pPr>
          </w:p>
        </w:tc>
        <w:tc>
          <w:tcPr>
            <w:tcW w:w="609" w:type="pct"/>
            <w:tcBorders>
              <w:top w:val="nil"/>
              <w:left w:val="nil"/>
              <w:bottom w:val="single" w:sz="4" w:space="0" w:color="auto"/>
              <w:right w:val="single" w:sz="4" w:space="0" w:color="auto"/>
            </w:tcBorders>
            <w:noWrap/>
            <w:vAlign w:val="center"/>
            <w:hideMark/>
          </w:tcPr>
          <w:p w14:paraId="55778847" w14:textId="485B580F" w:rsidR="00C42624" w:rsidRPr="00FC1C48" w:rsidRDefault="00FC1C48" w:rsidP="00C1059F">
            <w:pPr>
              <w:rPr>
                <w:sz w:val="20"/>
                <w:szCs w:val="20"/>
                <w:lang w:val="fr-FR" w:eastAsia="en-CA"/>
              </w:rPr>
            </w:pPr>
            <w:r>
              <w:rPr>
                <w:bCs/>
                <w:sz w:val="20"/>
                <w:szCs w:val="20"/>
                <w:lang w:val="fr-FR" w:eastAsia="en-CA"/>
              </w:rPr>
              <w:t>Décaissé</w:t>
            </w:r>
          </w:p>
        </w:tc>
        <w:tc>
          <w:tcPr>
            <w:tcW w:w="623" w:type="pct"/>
            <w:tcBorders>
              <w:top w:val="nil"/>
              <w:left w:val="nil"/>
              <w:bottom w:val="single" w:sz="4" w:space="0" w:color="auto"/>
              <w:right w:val="single" w:sz="4" w:space="0" w:color="auto"/>
            </w:tcBorders>
            <w:noWrap/>
            <w:vAlign w:val="center"/>
            <w:hideMark/>
          </w:tcPr>
          <w:p w14:paraId="65B3F5BD" w14:textId="5355D74B" w:rsidR="00C42624" w:rsidRPr="00FC1C48" w:rsidRDefault="00C42624" w:rsidP="00C1059F">
            <w:pPr>
              <w:jc w:val="right"/>
              <w:rPr>
                <w:sz w:val="20"/>
                <w:szCs w:val="20"/>
                <w:lang w:val="fr-FR" w:eastAsia="en-CA"/>
              </w:rPr>
            </w:pPr>
            <w:r w:rsidRPr="00FC1C48">
              <w:rPr>
                <w:sz w:val="20"/>
                <w:szCs w:val="20"/>
                <w:lang w:val="fr-FR" w:eastAsia="zh-CN"/>
              </w:rPr>
              <w:t>1</w:t>
            </w:r>
            <w:r w:rsidR="00FC1C48">
              <w:rPr>
                <w:sz w:val="20"/>
                <w:szCs w:val="20"/>
                <w:lang w:val="fr-FR" w:eastAsia="zh-CN"/>
              </w:rPr>
              <w:t> </w:t>
            </w:r>
            <w:r w:rsidRPr="00FC1C48">
              <w:rPr>
                <w:sz w:val="20"/>
                <w:szCs w:val="20"/>
                <w:lang w:val="fr-FR" w:eastAsia="zh-CN"/>
              </w:rPr>
              <w:t>294</w:t>
            </w:r>
            <w:r w:rsidR="00FC1C48">
              <w:rPr>
                <w:sz w:val="20"/>
                <w:szCs w:val="20"/>
                <w:lang w:val="fr-FR" w:eastAsia="zh-CN"/>
              </w:rPr>
              <w:t> </w:t>
            </w:r>
            <w:r w:rsidRPr="00FC1C48">
              <w:rPr>
                <w:sz w:val="20"/>
                <w:szCs w:val="20"/>
                <w:lang w:val="fr-FR" w:eastAsia="zh-CN"/>
              </w:rPr>
              <w:t>326</w:t>
            </w:r>
          </w:p>
        </w:tc>
        <w:tc>
          <w:tcPr>
            <w:tcW w:w="530" w:type="pct"/>
            <w:tcBorders>
              <w:top w:val="nil"/>
              <w:left w:val="nil"/>
              <w:bottom w:val="single" w:sz="4" w:space="0" w:color="auto"/>
              <w:right w:val="single" w:sz="4" w:space="0" w:color="auto"/>
            </w:tcBorders>
            <w:vAlign w:val="center"/>
            <w:hideMark/>
          </w:tcPr>
          <w:p w14:paraId="43E74DB8" w14:textId="410A1D3F" w:rsidR="00C42624" w:rsidRPr="00FC1C48" w:rsidRDefault="00C42624" w:rsidP="00C1059F">
            <w:pPr>
              <w:jc w:val="right"/>
              <w:rPr>
                <w:sz w:val="20"/>
                <w:szCs w:val="20"/>
                <w:lang w:val="fr-FR" w:eastAsia="en-CA"/>
              </w:rPr>
            </w:pPr>
            <w:r w:rsidRPr="00FC1C48">
              <w:rPr>
                <w:sz w:val="20"/>
                <w:szCs w:val="20"/>
                <w:lang w:val="fr-FR" w:eastAsia="zh-CN"/>
              </w:rPr>
              <w:t>473</w:t>
            </w:r>
            <w:r w:rsidR="00FC1C48">
              <w:rPr>
                <w:sz w:val="20"/>
                <w:szCs w:val="20"/>
                <w:lang w:val="fr-FR" w:eastAsia="zh-CN"/>
              </w:rPr>
              <w:t> </w:t>
            </w:r>
            <w:r w:rsidRPr="00FC1C48">
              <w:rPr>
                <w:sz w:val="20"/>
                <w:szCs w:val="20"/>
                <w:lang w:val="fr-FR" w:eastAsia="zh-CN"/>
              </w:rPr>
              <w:t>567</w:t>
            </w:r>
          </w:p>
        </w:tc>
        <w:tc>
          <w:tcPr>
            <w:tcW w:w="533" w:type="pct"/>
            <w:tcBorders>
              <w:top w:val="nil"/>
              <w:left w:val="nil"/>
              <w:bottom w:val="single" w:sz="4" w:space="0" w:color="auto"/>
              <w:right w:val="single" w:sz="4" w:space="0" w:color="auto"/>
            </w:tcBorders>
            <w:vAlign w:val="center"/>
            <w:hideMark/>
          </w:tcPr>
          <w:p w14:paraId="1B9D6190" w14:textId="6B2D2889" w:rsidR="00C42624" w:rsidRPr="00FC1C48" w:rsidRDefault="00C42624" w:rsidP="00C1059F">
            <w:pPr>
              <w:ind w:left="-149"/>
              <w:jc w:val="right"/>
              <w:rPr>
                <w:sz w:val="20"/>
                <w:szCs w:val="20"/>
                <w:lang w:val="fr-FR" w:eastAsia="en-CA"/>
              </w:rPr>
            </w:pPr>
            <w:r w:rsidRPr="00FC1C48">
              <w:rPr>
                <w:sz w:val="20"/>
                <w:szCs w:val="20"/>
                <w:lang w:val="fr-FR" w:eastAsia="zh-CN"/>
              </w:rPr>
              <w:t>184</w:t>
            </w:r>
            <w:r w:rsidR="00FC1C48">
              <w:rPr>
                <w:sz w:val="20"/>
                <w:szCs w:val="20"/>
                <w:lang w:val="fr-FR" w:eastAsia="zh-CN"/>
              </w:rPr>
              <w:t> </w:t>
            </w:r>
            <w:r w:rsidRPr="00FC1C48">
              <w:rPr>
                <w:sz w:val="20"/>
                <w:szCs w:val="20"/>
                <w:lang w:val="fr-FR" w:eastAsia="zh-CN"/>
              </w:rPr>
              <w:t>569</w:t>
            </w:r>
          </w:p>
        </w:tc>
        <w:tc>
          <w:tcPr>
            <w:tcW w:w="662" w:type="pct"/>
            <w:tcBorders>
              <w:top w:val="nil"/>
              <w:left w:val="nil"/>
              <w:bottom w:val="single" w:sz="4" w:space="0" w:color="auto"/>
              <w:right w:val="single" w:sz="4" w:space="0" w:color="auto"/>
            </w:tcBorders>
            <w:vAlign w:val="center"/>
            <w:hideMark/>
          </w:tcPr>
          <w:p w14:paraId="7FB4A35B" w14:textId="42A934C2" w:rsidR="00C42624" w:rsidRPr="00FC1C48" w:rsidRDefault="00C42624" w:rsidP="00C1059F">
            <w:pPr>
              <w:jc w:val="right"/>
              <w:rPr>
                <w:sz w:val="20"/>
                <w:szCs w:val="20"/>
                <w:lang w:val="fr-FR" w:eastAsia="en-CA"/>
              </w:rPr>
            </w:pPr>
            <w:r w:rsidRPr="00FC1C48">
              <w:rPr>
                <w:sz w:val="20"/>
                <w:szCs w:val="20"/>
                <w:lang w:val="fr-FR" w:eastAsia="zh-CN"/>
              </w:rPr>
              <w:t>645</w:t>
            </w:r>
            <w:r w:rsidR="00FC1C48">
              <w:rPr>
                <w:sz w:val="20"/>
                <w:szCs w:val="20"/>
                <w:lang w:val="fr-FR" w:eastAsia="zh-CN"/>
              </w:rPr>
              <w:t> </w:t>
            </w:r>
            <w:r w:rsidRPr="00FC1C48">
              <w:rPr>
                <w:sz w:val="20"/>
                <w:szCs w:val="20"/>
                <w:lang w:val="fr-FR" w:eastAsia="zh-CN"/>
              </w:rPr>
              <w:t>500</w:t>
            </w:r>
          </w:p>
        </w:tc>
        <w:tc>
          <w:tcPr>
            <w:tcW w:w="472" w:type="pct"/>
            <w:tcBorders>
              <w:top w:val="nil"/>
              <w:left w:val="nil"/>
              <w:bottom w:val="single" w:sz="4" w:space="0" w:color="auto"/>
              <w:right w:val="single" w:sz="4" w:space="0" w:color="auto"/>
            </w:tcBorders>
            <w:vAlign w:val="center"/>
            <w:hideMark/>
          </w:tcPr>
          <w:p w14:paraId="4FEBD64A" w14:textId="42CA0BE1" w:rsidR="00C42624" w:rsidRPr="00FC1C48" w:rsidRDefault="00C42624" w:rsidP="00C1059F">
            <w:pPr>
              <w:jc w:val="right"/>
              <w:rPr>
                <w:sz w:val="20"/>
                <w:szCs w:val="20"/>
                <w:lang w:val="fr-FR" w:eastAsia="en-CA"/>
              </w:rPr>
            </w:pPr>
            <w:r w:rsidRPr="00FC1C48">
              <w:rPr>
                <w:sz w:val="20"/>
                <w:szCs w:val="20"/>
                <w:lang w:val="fr-FR" w:eastAsia="zh-CN"/>
              </w:rPr>
              <w:t>403</w:t>
            </w:r>
            <w:r w:rsidR="00FC1C48">
              <w:rPr>
                <w:sz w:val="20"/>
                <w:szCs w:val="20"/>
                <w:lang w:val="fr-FR" w:eastAsia="zh-CN"/>
              </w:rPr>
              <w:t> </w:t>
            </w:r>
            <w:r w:rsidRPr="00FC1C48">
              <w:rPr>
                <w:sz w:val="20"/>
                <w:szCs w:val="20"/>
                <w:lang w:val="fr-FR" w:eastAsia="zh-CN"/>
              </w:rPr>
              <w:t>203</w:t>
            </w:r>
          </w:p>
        </w:tc>
        <w:tc>
          <w:tcPr>
            <w:tcW w:w="638" w:type="pct"/>
            <w:tcBorders>
              <w:top w:val="nil"/>
              <w:left w:val="single" w:sz="4" w:space="0" w:color="auto"/>
              <w:bottom w:val="single" w:sz="4" w:space="0" w:color="auto"/>
              <w:right w:val="single" w:sz="4" w:space="0" w:color="auto"/>
            </w:tcBorders>
            <w:noWrap/>
            <w:vAlign w:val="center"/>
            <w:hideMark/>
          </w:tcPr>
          <w:p w14:paraId="2588B505" w14:textId="26BC92F4" w:rsidR="00C42624" w:rsidRPr="00FC1C48" w:rsidRDefault="00C42624" w:rsidP="00C1059F">
            <w:pPr>
              <w:ind w:left="-50"/>
              <w:jc w:val="right"/>
              <w:rPr>
                <w:sz w:val="20"/>
                <w:szCs w:val="20"/>
                <w:lang w:val="fr-FR" w:eastAsia="en-CA"/>
              </w:rPr>
            </w:pPr>
            <w:r w:rsidRPr="00FC1C48">
              <w:rPr>
                <w:color w:val="000000"/>
                <w:sz w:val="20"/>
                <w:szCs w:val="20"/>
                <w:lang w:val="fr-FR"/>
              </w:rPr>
              <w:t>3</w:t>
            </w:r>
            <w:r w:rsidR="00FC1C48">
              <w:rPr>
                <w:color w:val="000000"/>
                <w:sz w:val="20"/>
                <w:szCs w:val="20"/>
                <w:lang w:val="fr-FR"/>
              </w:rPr>
              <w:t> </w:t>
            </w:r>
            <w:r w:rsidRPr="00FC1C48">
              <w:rPr>
                <w:color w:val="000000"/>
                <w:sz w:val="20"/>
                <w:szCs w:val="20"/>
                <w:lang w:val="fr-FR"/>
              </w:rPr>
              <w:t>001</w:t>
            </w:r>
            <w:r w:rsidR="00FC1C48">
              <w:rPr>
                <w:color w:val="000000"/>
                <w:sz w:val="20"/>
                <w:szCs w:val="20"/>
                <w:lang w:val="fr-FR"/>
              </w:rPr>
              <w:t> </w:t>
            </w:r>
            <w:r w:rsidRPr="00FC1C48">
              <w:rPr>
                <w:color w:val="000000"/>
                <w:sz w:val="20"/>
                <w:szCs w:val="20"/>
                <w:lang w:val="fr-FR"/>
              </w:rPr>
              <w:t>165</w:t>
            </w:r>
          </w:p>
        </w:tc>
        <w:tc>
          <w:tcPr>
            <w:tcW w:w="327" w:type="pct"/>
            <w:vMerge/>
            <w:tcBorders>
              <w:top w:val="single" w:sz="4" w:space="0" w:color="auto"/>
              <w:left w:val="single" w:sz="4" w:space="0" w:color="auto"/>
              <w:bottom w:val="single" w:sz="4" w:space="0" w:color="auto"/>
              <w:right w:val="single" w:sz="4" w:space="0" w:color="auto"/>
            </w:tcBorders>
            <w:vAlign w:val="center"/>
            <w:hideMark/>
          </w:tcPr>
          <w:p w14:paraId="08953605" w14:textId="77777777" w:rsidR="00C42624" w:rsidRPr="00FC1C48" w:rsidRDefault="00C42624" w:rsidP="00C1059F">
            <w:pPr>
              <w:jc w:val="left"/>
              <w:rPr>
                <w:sz w:val="20"/>
                <w:szCs w:val="20"/>
                <w:lang w:val="fr-FR" w:eastAsia="en-CA"/>
              </w:rPr>
            </w:pPr>
          </w:p>
        </w:tc>
      </w:tr>
      <w:tr w:rsidR="00FC1C48" w:rsidRPr="00FC1C48" w14:paraId="57E6EC12" w14:textId="77777777" w:rsidTr="00FC1C48">
        <w:trPr>
          <w:trHeight w:val="300"/>
        </w:trPr>
        <w:tc>
          <w:tcPr>
            <w:tcW w:w="606" w:type="pct"/>
            <w:vMerge w:val="restart"/>
            <w:tcBorders>
              <w:top w:val="nil"/>
              <w:left w:val="single" w:sz="4" w:space="0" w:color="auto"/>
              <w:bottom w:val="single" w:sz="4" w:space="0" w:color="auto"/>
              <w:right w:val="single" w:sz="4" w:space="0" w:color="auto"/>
            </w:tcBorders>
            <w:noWrap/>
            <w:vAlign w:val="center"/>
            <w:hideMark/>
          </w:tcPr>
          <w:p w14:paraId="1DDE7E40" w14:textId="28B0FE51" w:rsidR="00FC1C48" w:rsidRPr="00FC1C48" w:rsidRDefault="00FC1C48" w:rsidP="00FC1C48">
            <w:pPr>
              <w:jc w:val="left"/>
              <w:rPr>
                <w:sz w:val="20"/>
                <w:szCs w:val="20"/>
                <w:lang w:val="fr-FR" w:eastAsia="en-CA"/>
              </w:rPr>
            </w:pPr>
            <w:r w:rsidRPr="00FC1C48">
              <w:rPr>
                <w:bCs/>
                <w:sz w:val="20"/>
                <w:szCs w:val="20"/>
                <w:lang w:val="fr-FR" w:eastAsia="en-CA"/>
              </w:rPr>
              <w:t>Deuxième</w:t>
            </w:r>
          </w:p>
        </w:tc>
        <w:tc>
          <w:tcPr>
            <w:tcW w:w="609" w:type="pct"/>
            <w:tcBorders>
              <w:top w:val="nil"/>
              <w:left w:val="nil"/>
              <w:bottom w:val="single" w:sz="4" w:space="0" w:color="auto"/>
              <w:right w:val="single" w:sz="4" w:space="0" w:color="auto"/>
            </w:tcBorders>
            <w:noWrap/>
            <w:vAlign w:val="center"/>
            <w:hideMark/>
          </w:tcPr>
          <w:p w14:paraId="7B9E0DBA" w14:textId="12454D93" w:rsidR="00FC1C48" w:rsidRPr="00FC1C48" w:rsidRDefault="00FC1C48" w:rsidP="00FC1C48">
            <w:pPr>
              <w:rPr>
                <w:sz w:val="20"/>
                <w:szCs w:val="20"/>
                <w:lang w:val="fr-FR" w:eastAsia="en-CA"/>
              </w:rPr>
            </w:pPr>
            <w:r w:rsidRPr="00FC1C48">
              <w:rPr>
                <w:bCs/>
                <w:sz w:val="20"/>
                <w:szCs w:val="20"/>
                <w:lang w:val="fr-FR" w:eastAsia="en-CA"/>
              </w:rPr>
              <w:t>Appro</w:t>
            </w:r>
            <w:r>
              <w:rPr>
                <w:bCs/>
                <w:sz w:val="20"/>
                <w:szCs w:val="20"/>
                <w:lang w:val="fr-FR" w:eastAsia="en-CA"/>
              </w:rPr>
              <w:t>uvé</w:t>
            </w:r>
          </w:p>
        </w:tc>
        <w:tc>
          <w:tcPr>
            <w:tcW w:w="623" w:type="pct"/>
            <w:tcBorders>
              <w:top w:val="nil"/>
              <w:left w:val="nil"/>
              <w:bottom w:val="single" w:sz="4" w:space="0" w:color="auto"/>
              <w:right w:val="single" w:sz="4" w:space="0" w:color="auto"/>
            </w:tcBorders>
            <w:noWrap/>
            <w:vAlign w:val="center"/>
            <w:hideMark/>
          </w:tcPr>
          <w:p w14:paraId="79818669" w14:textId="326091DB" w:rsidR="00FC1C48" w:rsidRPr="00FC1C48" w:rsidRDefault="00FC1C48" w:rsidP="00FC1C48">
            <w:pPr>
              <w:jc w:val="right"/>
              <w:rPr>
                <w:sz w:val="20"/>
                <w:szCs w:val="20"/>
                <w:lang w:val="fr-FR" w:eastAsia="en-CA"/>
              </w:rPr>
            </w:pPr>
            <w:r w:rsidRPr="00FC1C48">
              <w:rPr>
                <w:sz w:val="20"/>
                <w:szCs w:val="20"/>
                <w:lang w:val="fr-FR" w:eastAsia="zh-CN"/>
              </w:rPr>
              <w:t>1</w:t>
            </w:r>
            <w:r>
              <w:rPr>
                <w:sz w:val="20"/>
                <w:szCs w:val="20"/>
                <w:lang w:val="fr-FR" w:eastAsia="zh-CN"/>
              </w:rPr>
              <w:t> </w:t>
            </w:r>
            <w:r w:rsidRPr="00FC1C48">
              <w:rPr>
                <w:sz w:val="20"/>
                <w:szCs w:val="20"/>
                <w:lang w:val="fr-FR" w:eastAsia="zh-CN"/>
              </w:rPr>
              <w:t>593</w:t>
            </w:r>
            <w:r>
              <w:rPr>
                <w:sz w:val="20"/>
                <w:szCs w:val="20"/>
                <w:lang w:val="fr-FR" w:eastAsia="zh-CN"/>
              </w:rPr>
              <w:t> </w:t>
            </w:r>
            <w:r w:rsidRPr="00FC1C48">
              <w:rPr>
                <w:sz w:val="20"/>
                <w:szCs w:val="20"/>
                <w:lang w:val="fr-FR" w:eastAsia="zh-CN"/>
              </w:rPr>
              <w:t>980</w:t>
            </w:r>
          </w:p>
        </w:tc>
        <w:tc>
          <w:tcPr>
            <w:tcW w:w="530" w:type="pct"/>
            <w:tcBorders>
              <w:top w:val="nil"/>
              <w:left w:val="nil"/>
              <w:bottom w:val="single" w:sz="4" w:space="0" w:color="auto"/>
              <w:right w:val="single" w:sz="4" w:space="0" w:color="auto"/>
            </w:tcBorders>
            <w:vAlign w:val="center"/>
            <w:hideMark/>
          </w:tcPr>
          <w:p w14:paraId="790E756F" w14:textId="48DA5F66" w:rsidR="00FC1C48" w:rsidRPr="00FC1C48" w:rsidRDefault="00FC1C48" w:rsidP="00FC1C48">
            <w:pPr>
              <w:ind w:right="-2"/>
              <w:jc w:val="right"/>
              <w:rPr>
                <w:sz w:val="20"/>
                <w:szCs w:val="20"/>
                <w:lang w:val="fr-FR" w:eastAsia="en-CA"/>
              </w:rPr>
            </w:pPr>
            <w:r w:rsidRPr="00FC1C48">
              <w:rPr>
                <w:sz w:val="20"/>
                <w:szCs w:val="20"/>
                <w:lang w:val="fr-FR" w:eastAsia="zh-CN"/>
              </w:rPr>
              <w:t>584</w:t>
            </w:r>
            <w:r>
              <w:rPr>
                <w:sz w:val="20"/>
                <w:szCs w:val="20"/>
                <w:lang w:val="fr-FR" w:eastAsia="zh-CN"/>
              </w:rPr>
              <w:t> </w:t>
            </w:r>
            <w:r w:rsidRPr="00FC1C48">
              <w:rPr>
                <w:sz w:val="20"/>
                <w:szCs w:val="20"/>
                <w:lang w:val="fr-FR" w:eastAsia="zh-CN"/>
              </w:rPr>
              <w:t>000</w:t>
            </w:r>
          </w:p>
        </w:tc>
        <w:tc>
          <w:tcPr>
            <w:tcW w:w="533" w:type="pct"/>
            <w:tcBorders>
              <w:top w:val="nil"/>
              <w:left w:val="nil"/>
              <w:bottom w:val="single" w:sz="4" w:space="0" w:color="auto"/>
              <w:right w:val="single" w:sz="4" w:space="0" w:color="auto"/>
            </w:tcBorders>
            <w:vAlign w:val="center"/>
            <w:hideMark/>
          </w:tcPr>
          <w:p w14:paraId="3ABC16F0" w14:textId="7101F1B8" w:rsidR="00FC1C48" w:rsidRPr="00FC1C48" w:rsidRDefault="00FC1C48" w:rsidP="00FC1C48">
            <w:pPr>
              <w:ind w:left="-149"/>
              <w:jc w:val="right"/>
              <w:rPr>
                <w:sz w:val="20"/>
                <w:szCs w:val="20"/>
                <w:lang w:val="fr-FR" w:eastAsia="en-CA"/>
              </w:rPr>
            </w:pPr>
            <w:r w:rsidRPr="00FC1C48">
              <w:rPr>
                <w:sz w:val="20"/>
                <w:szCs w:val="20"/>
                <w:lang w:val="fr-FR" w:eastAsia="zh-CN"/>
              </w:rPr>
              <w:t>190</w:t>
            </w:r>
            <w:r>
              <w:rPr>
                <w:sz w:val="20"/>
                <w:szCs w:val="20"/>
                <w:lang w:val="fr-FR" w:eastAsia="zh-CN"/>
              </w:rPr>
              <w:t> </w:t>
            </w:r>
            <w:r w:rsidRPr="00FC1C48">
              <w:rPr>
                <w:sz w:val="20"/>
                <w:szCs w:val="20"/>
                <w:lang w:val="fr-FR" w:eastAsia="zh-CN"/>
              </w:rPr>
              <w:t>000</w:t>
            </w:r>
          </w:p>
        </w:tc>
        <w:tc>
          <w:tcPr>
            <w:tcW w:w="662" w:type="pct"/>
            <w:tcBorders>
              <w:top w:val="nil"/>
              <w:left w:val="nil"/>
              <w:bottom w:val="single" w:sz="4" w:space="0" w:color="auto"/>
              <w:right w:val="single" w:sz="4" w:space="0" w:color="auto"/>
            </w:tcBorders>
            <w:vAlign w:val="center"/>
            <w:hideMark/>
          </w:tcPr>
          <w:p w14:paraId="5CC8D984" w14:textId="74F4D66B" w:rsidR="00FC1C48" w:rsidRPr="00FC1C48" w:rsidRDefault="00FC1C48" w:rsidP="00FC1C48">
            <w:pPr>
              <w:jc w:val="right"/>
              <w:rPr>
                <w:sz w:val="20"/>
                <w:szCs w:val="20"/>
                <w:lang w:val="fr-FR" w:eastAsia="en-CA"/>
              </w:rPr>
            </w:pPr>
            <w:r w:rsidRPr="00FC1C48">
              <w:rPr>
                <w:sz w:val="20"/>
                <w:szCs w:val="20"/>
                <w:vertAlign w:val="superscript"/>
                <w:lang w:val="fr-FR" w:eastAsia="en-CA"/>
              </w:rPr>
              <w:t>[2]</w:t>
            </w:r>
            <w:r w:rsidRPr="00FC1C48">
              <w:rPr>
                <w:sz w:val="20"/>
                <w:szCs w:val="20"/>
                <w:lang w:val="fr-FR" w:eastAsia="en-CA"/>
              </w:rPr>
              <w:t>827</w:t>
            </w:r>
            <w:r>
              <w:rPr>
                <w:sz w:val="20"/>
                <w:szCs w:val="20"/>
                <w:lang w:val="fr-FR" w:eastAsia="en-CA"/>
              </w:rPr>
              <w:t> </w:t>
            </w:r>
            <w:r w:rsidRPr="00FC1C48">
              <w:rPr>
                <w:sz w:val="20"/>
                <w:szCs w:val="20"/>
                <w:lang w:val="fr-FR" w:eastAsia="en-CA"/>
              </w:rPr>
              <w:t>473</w:t>
            </w:r>
          </w:p>
        </w:tc>
        <w:tc>
          <w:tcPr>
            <w:tcW w:w="472" w:type="pct"/>
            <w:tcBorders>
              <w:top w:val="nil"/>
              <w:left w:val="nil"/>
              <w:bottom w:val="single" w:sz="4" w:space="0" w:color="auto"/>
              <w:right w:val="single" w:sz="4" w:space="0" w:color="auto"/>
            </w:tcBorders>
            <w:vAlign w:val="center"/>
            <w:hideMark/>
          </w:tcPr>
          <w:p w14:paraId="204D7F1D" w14:textId="00889F8E" w:rsidR="00FC1C48" w:rsidRPr="00FC1C48" w:rsidRDefault="00FC1C48" w:rsidP="00FC1C48">
            <w:pPr>
              <w:jc w:val="right"/>
              <w:rPr>
                <w:sz w:val="20"/>
                <w:szCs w:val="20"/>
                <w:lang w:val="fr-FR" w:eastAsia="en-CA"/>
              </w:rPr>
            </w:pPr>
            <w:r w:rsidRPr="00FC1C48">
              <w:rPr>
                <w:sz w:val="20"/>
                <w:szCs w:val="20"/>
                <w:lang w:val="fr-FR" w:eastAsia="zh-CN"/>
              </w:rPr>
              <w:t>504</w:t>
            </w:r>
            <w:r>
              <w:rPr>
                <w:sz w:val="20"/>
                <w:szCs w:val="20"/>
                <w:lang w:val="fr-FR" w:eastAsia="zh-CN"/>
              </w:rPr>
              <w:t> </w:t>
            </w:r>
            <w:r w:rsidRPr="00FC1C48">
              <w:rPr>
                <w:sz w:val="20"/>
                <w:szCs w:val="20"/>
                <w:lang w:val="fr-FR" w:eastAsia="zh-CN"/>
              </w:rPr>
              <w:t>004</w:t>
            </w:r>
          </w:p>
        </w:tc>
        <w:tc>
          <w:tcPr>
            <w:tcW w:w="638" w:type="pct"/>
            <w:tcBorders>
              <w:top w:val="nil"/>
              <w:left w:val="single" w:sz="4" w:space="0" w:color="auto"/>
              <w:bottom w:val="single" w:sz="4" w:space="0" w:color="auto"/>
              <w:right w:val="single" w:sz="4" w:space="0" w:color="auto"/>
            </w:tcBorders>
            <w:noWrap/>
            <w:vAlign w:val="center"/>
            <w:hideMark/>
          </w:tcPr>
          <w:p w14:paraId="58122D10" w14:textId="39D3EBBE" w:rsidR="00FC1C48" w:rsidRPr="00FC1C48" w:rsidRDefault="00FC1C48" w:rsidP="00FC1C48">
            <w:pPr>
              <w:jc w:val="right"/>
              <w:rPr>
                <w:sz w:val="20"/>
                <w:szCs w:val="20"/>
                <w:lang w:val="fr-FR" w:eastAsia="en-CA"/>
              </w:rPr>
            </w:pPr>
            <w:r w:rsidRPr="00FC1C48">
              <w:rPr>
                <w:color w:val="000000"/>
                <w:sz w:val="20"/>
                <w:szCs w:val="20"/>
                <w:lang w:val="fr-FR"/>
              </w:rPr>
              <w:t>3</w:t>
            </w:r>
            <w:r>
              <w:rPr>
                <w:color w:val="000000"/>
                <w:sz w:val="20"/>
                <w:szCs w:val="20"/>
                <w:lang w:val="fr-FR"/>
              </w:rPr>
              <w:t> </w:t>
            </w:r>
            <w:r w:rsidRPr="00FC1C48">
              <w:rPr>
                <w:color w:val="000000"/>
                <w:sz w:val="20"/>
                <w:szCs w:val="20"/>
                <w:lang w:val="fr-FR"/>
              </w:rPr>
              <w:t>699</w:t>
            </w:r>
            <w:r>
              <w:rPr>
                <w:color w:val="000000"/>
                <w:sz w:val="20"/>
                <w:szCs w:val="20"/>
                <w:lang w:val="fr-FR"/>
              </w:rPr>
              <w:t> </w:t>
            </w:r>
            <w:r w:rsidRPr="00FC1C48">
              <w:rPr>
                <w:color w:val="000000"/>
                <w:sz w:val="20"/>
                <w:szCs w:val="20"/>
                <w:lang w:val="fr-FR"/>
              </w:rPr>
              <w:t>457</w:t>
            </w:r>
          </w:p>
        </w:tc>
        <w:tc>
          <w:tcPr>
            <w:tcW w:w="327" w:type="pct"/>
            <w:vMerge w:val="restart"/>
            <w:tcBorders>
              <w:top w:val="nil"/>
              <w:left w:val="single" w:sz="4" w:space="0" w:color="auto"/>
              <w:bottom w:val="single" w:sz="4" w:space="0" w:color="auto"/>
              <w:right w:val="single" w:sz="4" w:space="0" w:color="auto"/>
            </w:tcBorders>
            <w:noWrap/>
            <w:vAlign w:val="center"/>
            <w:hideMark/>
          </w:tcPr>
          <w:p w14:paraId="4C579B20" w14:textId="77777777" w:rsidR="00FC1C48" w:rsidRPr="00FC1C48" w:rsidRDefault="00FC1C48" w:rsidP="00FC1C48">
            <w:pPr>
              <w:jc w:val="center"/>
              <w:rPr>
                <w:sz w:val="20"/>
                <w:szCs w:val="20"/>
                <w:lang w:val="fr-FR" w:eastAsia="en-CA"/>
              </w:rPr>
            </w:pPr>
            <w:r w:rsidRPr="00FC1C48">
              <w:rPr>
                <w:sz w:val="20"/>
                <w:szCs w:val="20"/>
                <w:lang w:val="fr-FR" w:eastAsia="en-CA"/>
              </w:rPr>
              <w:t>98</w:t>
            </w:r>
          </w:p>
        </w:tc>
      </w:tr>
      <w:tr w:rsidR="00FC1C48" w:rsidRPr="00FC1C48" w14:paraId="359B93F5" w14:textId="77777777" w:rsidTr="00FC1C48">
        <w:trPr>
          <w:trHeight w:val="300"/>
        </w:trPr>
        <w:tc>
          <w:tcPr>
            <w:tcW w:w="606" w:type="pct"/>
            <w:vMerge/>
            <w:tcBorders>
              <w:top w:val="nil"/>
              <w:left w:val="single" w:sz="4" w:space="0" w:color="auto"/>
              <w:bottom w:val="single" w:sz="4" w:space="0" w:color="auto"/>
              <w:right w:val="single" w:sz="4" w:space="0" w:color="auto"/>
            </w:tcBorders>
            <w:vAlign w:val="center"/>
            <w:hideMark/>
          </w:tcPr>
          <w:p w14:paraId="50FB5963" w14:textId="77777777" w:rsidR="00FC1C48" w:rsidRPr="00FC1C48" w:rsidRDefault="00FC1C48" w:rsidP="00FC1C48">
            <w:pPr>
              <w:jc w:val="left"/>
              <w:rPr>
                <w:sz w:val="20"/>
                <w:szCs w:val="20"/>
                <w:lang w:val="fr-FR" w:eastAsia="en-CA"/>
              </w:rPr>
            </w:pPr>
          </w:p>
        </w:tc>
        <w:tc>
          <w:tcPr>
            <w:tcW w:w="609" w:type="pct"/>
            <w:tcBorders>
              <w:top w:val="nil"/>
              <w:left w:val="nil"/>
              <w:bottom w:val="single" w:sz="4" w:space="0" w:color="auto"/>
              <w:right w:val="single" w:sz="4" w:space="0" w:color="auto"/>
            </w:tcBorders>
            <w:noWrap/>
            <w:vAlign w:val="center"/>
            <w:hideMark/>
          </w:tcPr>
          <w:p w14:paraId="55A1058D" w14:textId="1762059B" w:rsidR="00FC1C48" w:rsidRPr="00FC1C48" w:rsidRDefault="00FC1C48" w:rsidP="00FC1C48">
            <w:pPr>
              <w:rPr>
                <w:sz w:val="20"/>
                <w:szCs w:val="20"/>
                <w:lang w:val="fr-FR" w:eastAsia="en-CA"/>
              </w:rPr>
            </w:pPr>
            <w:r>
              <w:rPr>
                <w:bCs/>
                <w:sz w:val="20"/>
                <w:szCs w:val="20"/>
                <w:lang w:val="fr-FR" w:eastAsia="en-CA"/>
              </w:rPr>
              <w:t>Décaissé</w:t>
            </w:r>
          </w:p>
        </w:tc>
        <w:tc>
          <w:tcPr>
            <w:tcW w:w="623" w:type="pct"/>
            <w:tcBorders>
              <w:top w:val="nil"/>
              <w:left w:val="nil"/>
              <w:bottom w:val="single" w:sz="4" w:space="0" w:color="auto"/>
              <w:right w:val="single" w:sz="4" w:space="0" w:color="auto"/>
            </w:tcBorders>
            <w:noWrap/>
            <w:hideMark/>
          </w:tcPr>
          <w:p w14:paraId="1D5EE338" w14:textId="7D1A4B08" w:rsidR="00FC1C48" w:rsidRPr="00FC1C48" w:rsidRDefault="00FC1C48" w:rsidP="00FC1C48">
            <w:pPr>
              <w:jc w:val="right"/>
              <w:rPr>
                <w:sz w:val="20"/>
                <w:szCs w:val="20"/>
                <w:lang w:val="fr-FR" w:eastAsia="en-CA"/>
              </w:rPr>
            </w:pPr>
            <w:r w:rsidRPr="00FC1C48">
              <w:rPr>
                <w:sz w:val="20"/>
                <w:szCs w:val="20"/>
                <w:lang w:val="fr-FR"/>
              </w:rPr>
              <w:t>1</w:t>
            </w:r>
            <w:r>
              <w:rPr>
                <w:sz w:val="20"/>
                <w:szCs w:val="20"/>
                <w:lang w:val="fr-FR"/>
              </w:rPr>
              <w:t> </w:t>
            </w:r>
            <w:r w:rsidRPr="00FC1C48">
              <w:rPr>
                <w:sz w:val="20"/>
                <w:szCs w:val="20"/>
                <w:lang w:val="fr-FR"/>
              </w:rPr>
              <w:t>557</w:t>
            </w:r>
            <w:r>
              <w:rPr>
                <w:sz w:val="20"/>
                <w:szCs w:val="20"/>
                <w:lang w:val="fr-FR"/>
              </w:rPr>
              <w:t> </w:t>
            </w:r>
            <w:r w:rsidRPr="00FC1C48">
              <w:rPr>
                <w:sz w:val="20"/>
                <w:szCs w:val="20"/>
                <w:lang w:val="fr-FR"/>
              </w:rPr>
              <w:t xml:space="preserve">009 </w:t>
            </w:r>
          </w:p>
        </w:tc>
        <w:tc>
          <w:tcPr>
            <w:tcW w:w="530" w:type="pct"/>
            <w:tcBorders>
              <w:top w:val="nil"/>
              <w:left w:val="nil"/>
              <w:bottom w:val="single" w:sz="4" w:space="0" w:color="auto"/>
              <w:right w:val="single" w:sz="4" w:space="0" w:color="auto"/>
            </w:tcBorders>
            <w:hideMark/>
          </w:tcPr>
          <w:p w14:paraId="5C3F8B85" w14:textId="240B9FB2" w:rsidR="00FC1C48" w:rsidRPr="00FC1C48" w:rsidRDefault="00FC1C48" w:rsidP="00FC1C48">
            <w:pPr>
              <w:jc w:val="right"/>
              <w:rPr>
                <w:sz w:val="20"/>
                <w:szCs w:val="20"/>
                <w:lang w:val="fr-FR" w:eastAsia="en-CA"/>
              </w:rPr>
            </w:pPr>
            <w:r w:rsidRPr="00FC1C48">
              <w:rPr>
                <w:sz w:val="20"/>
                <w:szCs w:val="20"/>
                <w:lang w:val="fr-FR"/>
              </w:rPr>
              <w:t>584</w:t>
            </w:r>
            <w:r>
              <w:rPr>
                <w:sz w:val="20"/>
                <w:szCs w:val="20"/>
                <w:lang w:val="fr-FR"/>
              </w:rPr>
              <w:t> </w:t>
            </w:r>
            <w:r w:rsidRPr="00FC1C48">
              <w:rPr>
                <w:sz w:val="20"/>
                <w:szCs w:val="20"/>
                <w:lang w:val="fr-FR"/>
              </w:rPr>
              <w:t xml:space="preserve">000 </w:t>
            </w:r>
          </w:p>
        </w:tc>
        <w:tc>
          <w:tcPr>
            <w:tcW w:w="533" w:type="pct"/>
            <w:tcBorders>
              <w:top w:val="nil"/>
              <w:left w:val="nil"/>
              <w:bottom w:val="single" w:sz="4" w:space="0" w:color="auto"/>
              <w:right w:val="single" w:sz="4" w:space="0" w:color="auto"/>
            </w:tcBorders>
            <w:hideMark/>
          </w:tcPr>
          <w:p w14:paraId="0CD865A8" w14:textId="552E1636" w:rsidR="00FC1C48" w:rsidRPr="00FC1C48" w:rsidRDefault="00FC1C48" w:rsidP="00FC1C48">
            <w:pPr>
              <w:ind w:left="-149"/>
              <w:jc w:val="right"/>
              <w:rPr>
                <w:sz w:val="20"/>
                <w:szCs w:val="20"/>
                <w:lang w:val="fr-FR" w:eastAsia="en-CA"/>
              </w:rPr>
            </w:pPr>
            <w:r w:rsidRPr="00FC1C48">
              <w:rPr>
                <w:sz w:val="20"/>
                <w:szCs w:val="20"/>
                <w:lang w:val="fr-FR"/>
              </w:rPr>
              <w:t>150</w:t>
            </w:r>
            <w:r>
              <w:rPr>
                <w:sz w:val="20"/>
                <w:szCs w:val="20"/>
                <w:lang w:val="fr-FR"/>
              </w:rPr>
              <w:t> </w:t>
            </w:r>
            <w:r w:rsidRPr="00FC1C48">
              <w:rPr>
                <w:sz w:val="20"/>
                <w:szCs w:val="20"/>
                <w:lang w:val="fr-FR"/>
              </w:rPr>
              <w:t>396</w:t>
            </w:r>
          </w:p>
        </w:tc>
        <w:tc>
          <w:tcPr>
            <w:tcW w:w="662" w:type="pct"/>
            <w:tcBorders>
              <w:top w:val="nil"/>
              <w:left w:val="nil"/>
              <w:bottom w:val="single" w:sz="4" w:space="0" w:color="auto"/>
              <w:right w:val="single" w:sz="4" w:space="0" w:color="auto"/>
            </w:tcBorders>
            <w:hideMark/>
          </w:tcPr>
          <w:p w14:paraId="64C08691" w14:textId="61711034" w:rsidR="00FC1C48" w:rsidRPr="00FC1C48" w:rsidRDefault="00FC1C48" w:rsidP="00FC1C48">
            <w:pPr>
              <w:jc w:val="right"/>
              <w:rPr>
                <w:sz w:val="20"/>
                <w:szCs w:val="20"/>
                <w:lang w:val="fr-FR" w:eastAsia="en-CA"/>
              </w:rPr>
            </w:pPr>
            <w:r w:rsidRPr="00FC1C48">
              <w:rPr>
                <w:sz w:val="20"/>
                <w:szCs w:val="20"/>
                <w:lang w:val="fr-FR"/>
              </w:rPr>
              <w:t>827</w:t>
            </w:r>
            <w:r>
              <w:rPr>
                <w:sz w:val="20"/>
                <w:szCs w:val="20"/>
                <w:lang w:val="fr-FR"/>
              </w:rPr>
              <w:t> </w:t>
            </w:r>
            <w:r w:rsidRPr="00FC1C48">
              <w:rPr>
                <w:sz w:val="20"/>
                <w:szCs w:val="20"/>
                <w:lang w:val="fr-FR"/>
              </w:rPr>
              <w:t>473</w:t>
            </w:r>
          </w:p>
        </w:tc>
        <w:tc>
          <w:tcPr>
            <w:tcW w:w="472" w:type="pct"/>
            <w:tcBorders>
              <w:top w:val="nil"/>
              <w:left w:val="nil"/>
              <w:bottom w:val="single" w:sz="4" w:space="0" w:color="auto"/>
              <w:right w:val="single" w:sz="4" w:space="0" w:color="auto"/>
            </w:tcBorders>
            <w:hideMark/>
          </w:tcPr>
          <w:p w14:paraId="48F74CC8" w14:textId="71E87E4D" w:rsidR="00FC1C48" w:rsidRPr="00FC1C48" w:rsidRDefault="00FC1C48" w:rsidP="00FC1C48">
            <w:pPr>
              <w:jc w:val="right"/>
              <w:rPr>
                <w:sz w:val="20"/>
                <w:szCs w:val="20"/>
                <w:lang w:val="fr-FR" w:eastAsia="en-CA"/>
              </w:rPr>
            </w:pPr>
            <w:r w:rsidRPr="00FC1C48">
              <w:rPr>
                <w:sz w:val="20"/>
                <w:szCs w:val="20"/>
                <w:lang w:val="fr-FR"/>
              </w:rPr>
              <w:t>502</w:t>
            </w:r>
            <w:r>
              <w:rPr>
                <w:sz w:val="20"/>
                <w:szCs w:val="20"/>
                <w:lang w:val="fr-FR"/>
              </w:rPr>
              <w:t> </w:t>
            </w:r>
            <w:r w:rsidRPr="00FC1C48">
              <w:rPr>
                <w:sz w:val="20"/>
                <w:szCs w:val="20"/>
                <w:lang w:val="fr-FR"/>
              </w:rPr>
              <w:t>235</w:t>
            </w:r>
          </w:p>
        </w:tc>
        <w:tc>
          <w:tcPr>
            <w:tcW w:w="638" w:type="pct"/>
            <w:tcBorders>
              <w:top w:val="nil"/>
              <w:left w:val="single" w:sz="4" w:space="0" w:color="auto"/>
              <w:bottom w:val="single" w:sz="4" w:space="0" w:color="auto"/>
              <w:right w:val="single" w:sz="4" w:space="0" w:color="auto"/>
            </w:tcBorders>
            <w:noWrap/>
            <w:vAlign w:val="center"/>
            <w:hideMark/>
          </w:tcPr>
          <w:p w14:paraId="524961E8" w14:textId="3737858A" w:rsidR="00FC1C48" w:rsidRPr="00FC1C48" w:rsidRDefault="00FC1C48" w:rsidP="00FC1C48">
            <w:pPr>
              <w:jc w:val="right"/>
              <w:rPr>
                <w:sz w:val="20"/>
                <w:szCs w:val="20"/>
                <w:lang w:val="fr-FR" w:eastAsia="en-CA"/>
              </w:rPr>
            </w:pPr>
            <w:r w:rsidRPr="00FC1C48">
              <w:rPr>
                <w:color w:val="000000"/>
                <w:sz w:val="20"/>
                <w:szCs w:val="20"/>
                <w:lang w:val="fr-FR"/>
              </w:rPr>
              <w:t>3</w:t>
            </w:r>
            <w:r>
              <w:rPr>
                <w:color w:val="000000"/>
                <w:sz w:val="20"/>
                <w:szCs w:val="20"/>
                <w:lang w:val="fr-FR"/>
              </w:rPr>
              <w:t> </w:t>
            </w:r>
            <w:r w:rsidRPr="00FC1C48">
              <w:rPr>
                <w:color w:val="000000"/>
                <w:sz w:val="20"/>
                <w:szCs w:val="20"/>
                <w:lang w:val="fr-FR"/>
              </w:rPr>
              <w:t>621</w:t>
            </w:r>
            <w:r>
              <w:rPr>
                <w:color w:val="000000"/>
                <w:sz w:val="20"/>
                <w:szCs w:val="20"/>
                <w:lang w:val="fr-FR"/>
              </w:rPr>
              <w:t> </w:t>
            </w:r>
            <w:r w:rsidRPr="00FC1C48">
              <w:rPr>
                <w:color w:val="000000"/>
                <w:sz w:val="20"/>
                <w:szCs w:val="20"/>
                <w:lang w:val="fr-FR"/>
              </w:rPr>
              <w:t>113</w:t>
            </w:r>
          </w:p>
        </w:tc>
        <w:tc>
          <w:tcPr>
            <w:tcW w:w="327" w:type="pct"/>
            <w:vMerge/>
            <w:tcBorders>
              <w:top w:val="nil"/>
              <w:left w:val="single" w:sz="4" w:space="0" w:color="auto"/>
              <w:bottom w:val="single" w:sz="4" w:space="0" w:color="auto"/>
              <w:right w:val="single" w:sz="4" w:space="0" w:color="auto"/>
            </w:tcBorders>
            <w:vAlign w:val="center"/>
            <w:hideMark/>
          </w:tcPr>
          <w:p w14:paraId="643DE589" w14:textId="77777777" w:rsidR="00FC1C48" w:rsidRPr="00FC1C48" w:rsidRDefault="00FC1C48" w:rsidP="00FC1C48">
            <w:pPr>
              <w:jc w:val="left"/>
              <w:rPr>
                <w:sz w:val="20"/>
                <w:szCs w:val="20"/>
                <w:lang w:val="fr-FR" w:eastAsia="en-CA"/>
              </w:rPr>
            </w:pPr>
          </w:p>
        </w:tc>
      </w:tr>
      <w:tr w:rsidR="00FC1C48" w:rsidRPr="00FC1C48" w14:paraId="4E02433D" w14:textId="77777777" w:rsidTr="00FC1C48">
        <w:trPr>
          <w:trHeight w:val="300"/>
        </w:trPr>
        <w:tc>
          <w:tcPr>
            <w:tcW w:w="606" w:type="pct"/>
            <w:vMerge w:val="restart"/>
            <w:tcBorders>
              <w:top w:val="nil"/>
              <w:left w:val="single" w:sz="4" w:space="0" w:color="auto"/>
              <w:bottom w:val="single" w:sz="4" w:space="0" w:color="auto"/>
              <w:right w:val="single" w:sz="4" w:space="0" w:color="auto"/>
            </w:tcBorders>
            <w:noWrap/>
            <w:vAlign w:val="center"/>
            <w:hideMark/>
          </w:tcPr>
          <w:p w14:paraId="2C87FA04" w14:textId="186C36DE" w:rsidR="00FC1C48" w:rsidRPr="00FC1C48" w:rsidRDefault="00FC1C48" w:rsidP="00FC1C48">
            <w:pPr>
              <w:jc w:val="left"/>
              <w:rPr>
                <w:sz w:val="20"/>
                <w:szCs w:val="20"/>
                <w:lang w:val="fr-FR" w:eastAsia="en-CA"/>
              </w:rPr>
            </w:pPr>
            <w:r w:rsidRPr="00FC1C48">
              <w:rPr>
                <w:bCs/>
                <w:sz w:val="20"/>
                <w:szCs w:val="20"/>
                <w:lang w:val="fr-FR" w:eastAsia="en-CA"/>
              </w:rPr>
              <w:t>Troisième</w:t>
            </w:r>
          </w:p>
        </w:tc>
        <w:tc>
          <w:tcPr>
            <w:tcW w:w="609" w:type="pct"/>
            <w:tcBorders>
              <w:top w:val="nil"/>
              <w:left w:val="nil"/>
              <w:bottom w:val="single" w:sz="4" w:space="0" w:color="auto"/>
              <w:right w:val="single" w:sz="4" w:space="0" w:color="auto"/>
            </w:tcBorders>
            <w:noWrap/>
            <w:vAlign w:val="center"/>
            <w:hideMark/>
          </w:tcPr>
          <w:p w14:paraId="778F4763" w14:textId="577E5F1C" w:rsidR="00FC1C48" w:rsidRPr="00FC1C48" w:rsidRDefault="00FC1C48" w:rsidP="00FC1C48">
            <w:pPr>
              <w:rPr>
                <w:sz w:val="20"/>
                <w:szCs w:val="20"/>
                <w:lang w:val="fr-FR" w:eastAsia="en-CA"/>
              </w:rPr>
            </w:pPr>
            <w:r w:rsidRPr="00FC1C48">
              <w:rPr>
                <w:bCs/>
                <w:sz w:val="20"/>
                <w:szCs w:val="20"/>
                <w:lang w:val="fr-FR" w:eastAsia="en-CA"/>
              </w:rPr>
              <w:t>Appro</w:t>
            </w:r>
            <w:r>
              <w:rPr>
                <w:bCs/>
                <w:sz w:val="20"/>
                <w:szCs w:val="20"/>
                <w:lang w:val="fr-FR" w:eastAsia="en-CA"/>
              </w:rPr>
              <w:t>uvé</w:t>
            </w:r>
          </w:p>
        </w:tc>
        <w:tc>
          <w:tcPr>
            <w:tcW w:w="623" w:type="pct"/>
            <w:tcBorders>
              <w:top w:val="nil"/>
              <w:left w:val="nil"/>
              <w:bottom w:val="single" w:sz="4" w:space="0" w:color="auto"/>
              <w:right w:val="single" w:sz="4" w:space="0" w:color="auto"/>
            </w:tcBorders>
            <w:noWrap/>
            <w:vAlign w:val="center"/>
            <w:hideMark/>
          </w:tcPr>
          <w:p w14:paraId="4EB29C4C" w14:textId="5E4DF863" w:rsidR="00FC1C48" w:rsidRPr="00FC1C48" w:rsidRDefault="00FC1C48" w:rsidP="00FC1C48">
            <w:pPr>
              <w:jc w:val="right"/>
              <w:rPr>
                <w:sz w:val="20"/>
                <w:szCs w:val="20"/>
                <w:lang w:val="fr-FR" w:eastAsia="en-CA"/>
              </w:rPr>
            </w:pPr>
            <w:r w:rsidRPr="00FC1C48">
              <w:rPr>
                <w:sz w:val="20"/>
                <w:szCs w:val="20"/>
                <w:lang w:val="fr-FR" w:eastAsia="zh-CN"/>
              </w:rPr>
              <w:t>1</w:t>
            </w:r>
            <w:r>
              <w:rPr>
                <w:sz w:val="20"/>
                <w:szCs w:val="20"/>
                <w:lang w:val="fr-FR" w:eastAsia="zh-CN"/>
              </w:rPr>
              <w:t> </w:t>
            </w:r>
            <w:r w:rsidRPr="00FC1C48">
              <w:rPr>
                <w:sz w:val="20"/>
                <w:szCs w:val="20"/>
                <w:lang w:val="fr-FR" w:eastAsia="zh-CN"/>
              </w:rPr>
              <w:t>307</w:t>
            </w:r>
            <w:r>
              <w:rPr>
                <w:sz w:val="20"/>
                <w:szCs w:val="20"/>
                <w:lang w:val="fr-FR" w:eastAsia="zh-CN"/>
              </w:rPr>
              <w:t> </w:t>
            </w:r>
            <w:r w:rsidRPr="00FC1C48">
              <w:rPr>
                <w:sz w:val="20"/>
                <w:szCs w:val="20"/>
                <w:lang w:val="fr-FR" w:eastAsia="zh-CN"/>
              </w:rPr>
              <w:t>980</w:t>
            </w:r>
          </w:p>
        </w:tc>
        <w:tc>
          <w:tcPr>
            <w:tcW w:w="530" w:type="pct"/>
            <w:tcBorders>
              <w:top w:val="nil"/>
              <w:left w:val="nil"/>
              <w:bottom w:val="single" w:sz="4" w:space="0" w:color="auto"/>
              <w:right w:val="single" w:sz="4" w:space="0" w:color="auto"/>
            </w:tcBorders>
            <w:vAlign w:val="center"/>
            <w:hideMark/>
          </w:tcPr>
          <w:p w14:paraId="3522E8DA" w14:textId="381E867C" w:rsidR="00FC1C48" w:rsidRPr="00FC1C48" w:rsidRDefault="00FC1C48" w:rsidP="00FC1C48">
            <w:pPr>
              <w:ind w:left="-112"/>
              <w:jc w:val="right"/>
              <w:rPr>
                <w:sz w:val="20"/>
                <w:szCs w:val="20"/>
                <w:lang w:val="fr-FR" w:eastAsia="en-CA"/>
              </w:rPr>
            </w:pPr>
            <w:r w:rsidRPr="00FC1C48">
              <w:rPr>
                <w:sz w:val="20"/>
                <w:szCs w:val="20"/>
                <w:vertAlign w:val="superscript"/>
                <w:lang w:val="fr-FR"/>
              </w:rPr>
              <w:t>[3]</w:t>
            </w:r>
            <w:r w:rsidRPr="00FC1C48">
              <w:rPr>
                <w:sz w:val="20"/>
                <w:szCs w:val="20"/>
                <w:lang w:val="fr-FR" w:eastAsia="en-CA"/>
              </w:rPr>
              <w:t>148</w:t>
            </w:r>
            <w:r>
              <w:rPr>
                <w:sz w:val="20"/>
                <w:szCs w:val="20"/>
                <w:lang w:val="fr-FR" w:eastAsia="en-CA"/>
              </w:rPr>
              <w:t> </w:t>
            </w:r>
            <w:r w:rsidRPr="00FC1C48">
              <w:rPr>
                <w:sz w:val="20"/>
                <w:szCs w:val="20"/>
                <w:lang w:val="fr-FR" w:eastAsia="en-CA"/>
              </w:rPr>
              <w:t>299</w:t>
            </w:r>
          </w:p>
        </w:tc>
        <w:tc>
          <w:tcPr>
            <w:tcW w:w="533" w:type="pct"/>
            <w:tcBorders>
              <w:top w:val="nil"/>
              <w:left w:val="nil"/>
              <w:bottom w:val="single" w:sz="4" w:space="0" w:color="auto"/>
              <w:right w:val="single" w:sz="4" w:space="0" w:color="auto"/>
            </w:tcBorders>
            <w:vAlign w:val="center"/>
            <w:hideMark/>
          </w:tcPr>
          <w:p w14:paraId="174BB37D" w14:textId="328285C2" w:rsidR="00FC1C48" w:rsidRPr="00FC1C48" w:rsidRDefault="00FC1C48" w:rsidP="00FC1C48">
            <w:pPr>
              <w:ind w:left="-149"/>
              <w:jc w:val="right"/>
              <w:rPr>
                <w:sz w:val="20"/>
                <w:szCs w:val="20"/>
                <w:lang w:val="fr-FR" w:eastAsia="en-CA"/>
              </w:rPr>
            </w:pPr>
            <w:r w:rsidRPr="00FC1C48">
              <w:rPr>
                <w:sz w:val="20"/>
                <w:szCs w:val="20"/>
                <w:lang w:val="fr-FR" w:eastAsia="zh-CN"/>
              </w:rPr>
              <w:t>170</w:t>
            </w:r>
            <w:r>
              <w:rPr>
                <w:sz w:val="20"/>
                <w:szCs w:val="20"/>
                <w:lang w:val="fr-FR" w:eastAsia="zh-CN"/>
              </w:rPr>
              <w:t> </w:t>
            </w:r>
            <w:r w:rsidRPr="00FC1C48">
              <w:rPr>
                <w:sz w:val="20"/>
                <w:szCs w:val="20"/>
                <w:lang w:val="fr-FR" w:eastAsia="zh-CN"/>
              </w:rPr>
              <w:t>000</w:t>
            </w:r>
          </w:p>
        </w:tc>
        <w:tc>
          <w:tcPr>
            <w:tcW w:w="662" w:type="pct"/>
            <w:tcBorders>
              <w:top w:val="nil"/>
              <w:left w:val="nil"/>
              <w:bottom w:val="single" w:sz="4" w:space="0" w:color="auto"/>
              <w:right w:val="single" w:sz="4" w:space="0" w:color="auto"/>
            </w:tcBorders>
            <w:vAlign w:val="center"/>
            <w:hideMark/>
          </w:tcPr>
          <w:p w14:paraId="4E31700A" w14:textId="72015E5B" w:rsidR="00FC1C48" w:rsidRPr="00FC1C48" w:rsidRDefault="00FC1C48" w:rsidP="00FC1C48">
            <w:pPr>
              <w:jc w:val="right"/>
              <w:rPr>
                <w:sz w:val="20"/>
                <w:szCs w:val="20"/>
                <w:lang w:val="fr-FR" w:eastAsia="en-CA"/>
              </w:rPr>
            </w:pPr>
            <w:r w:rsidRPr="00FC1C48">
              <w:rPr>
                <w:sz w:val="20"/>
                <w:szCs w:val="20"/>
                <w:lang w:val="fr-FR" w:eastAsia="en-CA"/>
              </w:rPr>
              <w:t>139</w:t>
            </w:r>
            <w:r>
              <w:rPr>
                <w:sz w:val="20"/>
                <w:szCs w:val="20"/>
                <w:lang w:val="fr-FR" w:eastAsia="en-CA"/>
              </w:rPr>
              <w:t> </w:t>
            </w:r>
            <w:r w:rsidRPr="00FC1C48">
              <w:rPr>
                <w:sz w:val="20"/>
                <w:szCs w:val="20"/>
                <w:lang w:val="fr-FR" w:eastAsia="en-CA"/>
              </w:rPr>
              <w:t>754</w:t>
            </w:r>
          </w:p>
        </w:tc>
        <w:tc>
          <w:tcPr>
            <w:tcW w:w="472" w:type="pct"/>
            <w:tcBorders>
              <w:top w:val="nil"/>
              <w:left w:val="nil"/>
              <w:bottom w:val="single" w:sz="4" w:space="0" w:color="auto"/>
              <w:right w:val="single" w:sz="4" w:space="0" w:color="auto"/>
            </w:tcBorders>
            <w:vAlign w:val="center"/>
            <w:hideMark/>
          </w:tcPr>
          <w:p w14:paraId="59A42139" w14:textId="77777777" w:rsidR="00FC1C48" w:rsidRPr="00FC1C48" w:rsidRDefault="00FC1C48" w:rsidP="00FC1C48">
            <w:pPr>
              <w:jc w:val="right"/>
              <w:rPr>
                <w:sz w:val="20"/>
                <w:szCs w:val="20"/>
                <w:lang w:val="fr-FR" w:eastAsia="en-CA"/>
              </w:rPr>
            </w:pPr>
            <w:r w:rsidRPr="00FC1C48">
              <w:rPr>
                <w:sz w:val="20"/>
                <w:szCs w:val="20"/>
                <w:lang w:val="fr-FR" w:eastAsia="en-CA"/>
              </w:rPr>
              <w:t>0</w:t>
            </w:r>
          </w:p>
        </w:tc>
        <w:tc>
          <w:tcPr>
            <w:tcW w:w="638" w:type="pct"/>
            <w:tcBorders>
              <w:top w:val="nil"/>
              <w:left w:val="single" w:sz="4" w:space="0" w:color="auto"/>
              <w:bottom w:val="single" w:sz="4" w:space="0" w:color="auto"/>
              <w:right w:val="single" w:sz="4" w:space="0" w:color="auto"/>
            </w:tcBorders>
            <w:noWrap/>
            <w:vAlign w:val="center"/>
          </w:tcPr>
          <w:p w14:paraId="089B6FA3" w14:textId="6E0E1911" w:rsidR="00FC1C48" w:rsidRPr="00FC1C48" w:rsidRDefault="00FC1C48" w:rsidP="00FC1C48">
            <w:pPr>
              <w:jc w:val="right"/>
              <w:rPr>
                <w:sz w:val="20"/>
                <w:szCs w:val="20"/>
                <w:lang w:val="fr-FR" w:eastAsia="en-CA"/>
              </w:rPr>
            </w:pPr>
            <w:r w:rsidRPr="00FC1C48">
              <w:rPr>
                <w:sz w:val="20"/>
                <w:szCs w:val="20"/>
                <w:lang w:val="fr-FR" w:eastAsia="en-CA"/>
              </w:rPr>
              <w:t>1</w:t>
            </w:r>
            <w:r>
              <w:rPr>
                <w:sz w:val="20"/>
                <w:szCs w:val="20"/>
                <w:lang w:val="fr-FR" w:eastAsia="en-CA"/>
              </w:rPr>
              <w:t> </w:t>
            </w:r>
            <w:r w:rsidRPr="00FC1C48">
              <w:rPr>
                <w:sz w:val="20"/>
                <w:szCs w:val="20"/>
                <w:lang w:val="fr-FR" w:eastAsia="en-CA"/>
              </w:rPr>
              <w:t>766</w:t>
            </w:r>
            <w:r>
              <w:rPr>
                <w:sz w:val="20"/>
                <w:szCs w:val="20"/>
                <w:lang w:val="fr-FR" w:eastAsia="en-CA"/>
              </w:rPr>
              <w:t> </w:t>
            </w:r>
            <w:r w:rsidRPr="00FC1C48">
              <w:rPr>
                <w:sz w:val="20"/>
                <w:szCs w:val="20"/>
                <w:lang w:val="fr-FR" w:eastAsia="en-CA"/>
              </w:rPr>
              <w:t>033</w:t>
            </w:r>
          </w:p>
        </w:tc>
        <w:tc>
          <w:tcPr>
            <w:tcW w:w="327" w:type="pct"/>
            <w:vMerge w:val="restart"/>
            <w:tcBorders>
              <w:top w:val="nil"/>
              <w:left w:val="single" w:sz="4" w:space="0" w:color="auto"/>
              <w:bottom w:val="single" w:sz="4" w:space="0" w:color="auto"/>
              <w:right w:val="single" w:sz="4" w:space="0" w:color="auto"/>
            </w:tcBorders>
            <w:noWrap/>
            <w:vAlign w:val="center"/>
            <w:hideMark/>
          </w:tcPr>
          <w:p w14:paraId="4E167138" w14:textId="77777777" w:rsidR="00FC1C48" w:rsidRPr="00FC1C48" w:rsidRDefault="00FC1C48" w:rsidP="00FC1C48">
            <w:pPr>
              <w:jc w:val="center"/>
              <w:rPr>
                <w:sz w:val="20"/>
                <w:szCs w:val="20"/>
                <w:lang w:val="fr-FR" w:eastAsia="en-CA"/>
              </w:rPr>
            </w:pPr>
            <w:r w:rsidRPr="00FC1C48">
              <w:rPr>
                <w:sz w:val="20"/>
                <w:szCs w:val="20"/>
                <w:lang w:val="fr-FR" w:eastAsia="en-CA"/>
              </w:rPr>
              <w:t>96</w:t>
            </w:r>
          </w:p>
        </w:tc>
      </w:tr>
      <w:tr w:rsidR="00FC1C48" w:rsidRPr="00FC1C48" w14:paraId="5302E61C" w14:textId="77777777" w:rsidTr="00FC1C48">
        <w:trPr>
          <w:trHeight w:val="300"/>
        </w:trPr>
        <w:tc>
          <w:tcPr>
            <w:tcW w:w="606" w:type="pct"/>
            <w:vMerge/>
            <w:tcBorders>
              <w:top w:val="nil"/>
              <w:left w:val="single" w:sz="4" w:space="0" w:color="auto"/>
              <w:bottom w:val="single" w:sz="4" w:space="0" w:color="auto"/>
              <w:right w:val="single" w:sz="4" w:space="0" w:color="auto"/>
            </w:tcBorders>
            <w:vAlign w:val="center"/>
            <w:hideMark/>
          </w:tcPr>
          <w:p w14:paraId="47DA6974" w14:textId="77777777" w:rsidR="00FC1C48" w:rsidRPr="00FC1C48" w:rsidRDefault="00FC1C48" w:rsidP="00FC1C48">
            <w:pPr>
              <w:jc w:val="left"/>
              <w:rPr>
                <w:sz w:val="20"/>
                <w:szCs w:val="20"/>
                <w:lang w:val="fr-FR" w:eastAsia="en-CA"/>
              </w:rPr>
            </w:pPr>
          </w:p>
        </w:tc>
        <w:tc>
          <w:tcPr>
            <w:tcW w:w="609" w:type="pct"/>
            <w:tcBorders>
              <w:top w:val="nil"/>
              <w:left w:val="nil"/>
              <w:bottom w:val="single" w:sz="4" w:space="0" w:color="auto"/>
              <w:right w:val="single" w:sz="4" w:space="0" w:color="auto"/>
            </w:tcBorders>
            <w:noWrap/>
            <w:vAlign w:val="center"/>
            <w:hideMark/>
          </w:tcPr>
          <w:p w14:paraId="210C6F5E" w14:textId="59CC3BF5" w:rsidR="00FC1C48" w:rsidRPr="00FC1C48" w:rsidRDefault="00FC1C48" w:rsidP="00FC1C48">
            <w:pPr>
              <w:rPr>
                <w:sz w:val="20"/>
                <w:szCs w:val="20"/>
                <w:lang w:val="fr-FR" w:eastAsia="en-CA"/>
              </w:rPr>
            </w:pPr>
            <w:r>
              <w:rPr>
                <w:bCs/>
                <w:sz w:val="20"/>
                <w:szCs w:val="20"/>
                <w:lang w:val="fr-FR" w:eastAsia="en-CA"/>
              </w:rPr>
              <w:t>Décaissé</w:t>
            </w:r>
          </w:p>
        </w:tc>
        <w:tc>
          <w:tcPr>
            <w:tcW w:w="623" w:type="pct"/>
            <w:tcBorders>
              <w:top w:val="nil"/>
              <w:left w:val="nil"/>
              <w:bottom w:val="single" w:sz="4" w:space="0" w:color="auto"/>
              <w:right w:val="single" w:sz="4" w:space="0" w:color="auto"/>
            </w:tcBorders>
            <w:noWrap/>
            <w:hideMark/>
          </w:tcPr>
          <w:p w14:paraId="75193606" w14:textId="7BD93E85" w:rsidR="00FC1C48" w:rsidRPr="00FC1C48" w:rsidRDefault="00FC1C48" w:rsidP="00FC1C48">
            <w:pPr>
              <w:jc w:val="right"/>
              <w:rPr>
                <w:sz w:val="20"/>
                <w:szCs w:val="20"/>
                <w:lang w:val="fr-FR" w:eastAsia="en-CA"/>
              </w:rPr>
            </w:pPr>
            <w:r w:rsidRPr="00FC1C48">
              <w:rPr>
                <w:sz w:val="20"/>
                <w:szCs w:val="20"/>
                <w:lang w:val="fr-FR"/>
              </w:rPr>
              <w:t>1</w:t>
            </w:r>
            <w:r>
              <w:rPr>
                <w:sz w:val="20"/>
                <w:szCs w:val="20"/>
                <w:lang w:val="fr-FR"/>
              </w:rPr>
              <w:t> </w:t>
            </w:r>
            <w:r w:rsidRPr="00FC1C48">
              <w:rPr>
                <w:sz w:val="20"/>
                <w:szCs w:val="20"/>
                <w:lang w:val="fr-FR"/>
              </w:rPr>
              <w:t>307</w:t>
            </w:r>
            <w:r>
              <w:rPr>
                <w:sz w:val="20"/>
                <w:szCs w:val="20"/>
                <w:lang w:val="fr-FR"/>
              </w:rPr>
              <w:t> </w:t>
            </w:r>
            <w:r w:rsidRPr="00FC1C48">
              <w:rPr>
                <w:sz w:val="20"/>
                <w:szCs w:val="20"/>
                <w:lang w:val="fr-FR"/>
              </w:rPr>
              <w:t>980</w:t>
            </w:r>
          </w:p>
        </w:tc>
        <w:tc>
          <w:tcPr>
            <w:tcW w:w="530" w:type="pct"/>
            <w:tcBorders>
              <w:top w:val="nil"/>
              <w:left w:val="nil"/>
              <w:bottom w:val="single" w:sz="4" w:space="0" w:color="auto"/>
              <w:right w:val="single" w:sz="4" w:space="0" w:color="auto"/>
            </w:tcBorders>
            <w:hideMark/>
          </w:tcPr>
          <w:p w14:paraId="633A6BF4" w14:textId="3C136071" w:rsidR="00FC1C48" w:rsidRPr="00FC1C48" w:rsidRDefault="00FC1C48" w:rsidP="00FC1C48">
            <w:pPr>
              <w:jc w:val="right"/>
              <w:rPr>
                <w:sz w:val="20"/>
                <w:szCs w:val="20"/>
                <w:lang w:val="fr-FR" w:eastAsia="en-CA"/>
              </w:rPr>
            </w:pPr>
            <w:r w:rsidRPr="00FC1C48">
              <w:rPr>
                <w:sz w:val="20"/>
                <w:szCs w:val="20"/>
                <w:lang w:val="fr-FR" w:eastAsia="en-CA"/>
              </w:rPr>
              <w:t>137</w:t>
            </w:r>
            <w:r>
              <w:rPr>
                <w:sz w:val="20"/>
                <w:szCs w:val="20"/>
                <w:lang w:val="fr-FR" w:eastAsia="en-CA"/>
              </w:rPr>
              <w:t> </w:t>
            </w:r>
            <w:r w:rsidRPr="00FC1C48">
              <w:rPr>
                <w:sz w:val="20"/>
                <w:szCs w:val="20"/>
                <w:lang w:val="fr-FR" w:eastAsia="en-CA"/>
              </w:rPr>
              <w:t>119</w:t>
            </w:r>
          </w:p>
        </w:tc>
        <w:tc>
          <w:tcPr>
            <w:tcW w:w="533" w:type="pct"/>
            <w:tcBorders>
              <w:top w:val="nil"/>
              <w:left w:val="nil"/>
              <w:bottom w:val="single" w:sz="4" w:space="0" w:color="auto"/>
              <w:right w:val="single" w:sz="4" w:space="0" w:color="auto"/>
            </w:tcBorders>
            <w:hideMark/>
          </w:tcPr>
          <w:p w14:paraId="534C5F82" w14:textId="7AB599C3" w:rsidR="00FC1C48" w:rsidRPr="00FC1C48" w:rsidRDefault="00FC1C48" w:rsidP="00FC1C48">
            <w:pPr>
              <w:jc w:val="right"/>
              <w:rPr>
                <w:sz w:val="20"/>
                <w:szCs w:val="20"/>
                <w:lang w:val="fr-FR" w:eastAsia="en-CA"/>
              </w:rPr>
            </w:pPr>
            <w:r w:rsidRPr="00FC1C48">
              <w:rPr>
                <w:sz w:val="20"/>
                <w:szCs w:val="20"/>
                <w:lang w:val="fr-FR"/>
              </w:rPr>
              <w:t>117</w:t>
            </w:r>
            <w:r>
              <w:rPr>
                <w:sz w:val="20"/>
                <w:szCs w:val="20"/>
                <w:lang w:val="fr-FR"/>
              </w:rPr>
              <w:t> </w:t>
            </w:r>
            <w:r w:rsidRPr="00FC1C48">
              <w:rPr>
                <w:sz w:val="20"/>
                <w:szCs w:val="20"/>
                <w:lang w:val="fr-FR"/>
              </w:rPr>
              <w:t>590</w:t>
            </w:r>
          </w:p>
        </w:tc>
        <w:tc>
          <w:tcPr>
            <w:tcW w:w="662" w:type="pct"/>
            <w:tcBorders>
              <w:top w:val="nil"/>
              <w:left w:val="nil"/>
              <w:bottom w:val="single" w:sz="4" w:space="0" w:color="auto"/>
              <w:right w:val="single" w:sz="4" w:space="0" w:color="auto"/>
            </w:tcBorders>
            <w:hideMark/>
          </w:tcPr>
          <w:p w14:paraId="33F8DF56" w14:textId="4FCFA8E2" w:rsidR="00FC1C48" w:rsidRPr="00FC1C48" w:rsidRDefault="00FC1C48" w:rsidP="00FC1C48">
            <w:pPr>
              <w:jc w:val="right"/>
              <w:rPr>
                <w:sz w:val="20"/>
                <w:szCs w:val="20"/>
                <w:lang w:val="fr-FR" w:eastAsia="en-CA"/>
              </w:rPr>
            </w:pPr>
            <w:r w:rsidRPr="00FC1C48">
              <w:rPr>
                <w:sz w:val="20"/>
                <w:szCs w:val="20"/>
                <w:lang w:val="fr-FR"/>
              </w:rPr>
              <w:t>139</w:t>
            </w:r>
            <w:r>
              <w:rPr>
                <w:sz w:val="20"/>
                <w:szCs w:val="20"/>
                <w:lang w:val="fr-FR"/>
              </w:rPr>
              <w:t> </w:t>
            </w:r>
            <w:r w:rsidRPr="00FC1C48">
              <w:rPr>
                <w:sz w:val="20"/>
                <w:szCs w:val="20"/>
                <w:lang w:val="fr-FR"/>
              </w:rPr>
              <w:t>754</w:t>
            </w:r>
          </w:p>
        </w:tc>
        <w:tc>
          <w:tcPr>
            <w:tcW w:w="472" w:type="pct"/>
            <w:tcBorders>
              <w:top w:val="nil"/>
              <w:left w:val="nil"/>
              <w:bottom w:val="single" w:sz="4" w:space="0" w:color="auto"/>
              <w:right w:val="single" w:sz="4" w:space="0" w:color="auto"/>
            </w:tcBorders>
            <w:hideMark/>
          </w:tcPr>
          <w:p w14:paraId="6D9CA94D" w14:textId="77777777" w:rsidR="00FC1C48" w:rsidRPr="00FC1C48" w:rsidRDefault="00FC1C48" w:rsidP="00FC1C48">
            <w:pPr>
              <w:jc w:val="right"/>
              <w:rPr>
                <w:sz w:val="20"/>
                <w:szCs w:val="20"/>
                <w:lang w:val="fr-FR" w:eastAsia="en-CA"/>
              </w:rPr>
            </w:pPr>
            <w:r w:rsidRPr="00FC1C48">
              <w:rPr>
                <w:sz w:val="20"/>
                <w:szCs w:val="20"/>
                <w:lang w:val="fr-FR" w:eastAsia="en-CA"/>
              </w:rPr>
              <w:t>0</w:t>
            </w:r>
          </w:p>
        </w:tc>
        <w:tc>
          <w:tcPr>
            <w:tcW w:w="638" w:type="pct"/>
            <w:tcBorders>
              <w:top w:val="nil"/>
              <w:left w:val="single" w:sz="4" w:space="0" w:color="auto"/>
              <w:bottom w:val="single" w:sz="4" w:space="0" w:color="auto"/>
              <w:right w:val="single" w:sz="4" w:space="0" w:color="auto"/>
            </w:tcBorders>
            <w:noWrap/>
            <w:vAlign w:val="center"/>
          </w:tcPr>
          <w:p w14:paraId="2E17DE9E" w14:textId="11A7549A" w:rsidR="00FC1C48" w:rsidRPr="00FC1C48" w:rsidRDefault="00FC1C48" w:rsidP="00FC1C48">
            <w:pPr>
              <w:jc w:val="right"/>
              <w:rPr>
                <w:sz w:val="20"/>
                <w:szCs w:val="20"/>
                <w:lang w:val="fr-FR" w:eastAsia="en-CA"/>
              </w:rPr>
            </w:pPr>
            <w:r w:rsidRPr="00FC1C48">
              <w:rPr>
                <w:sz w:val="20"/>
                <w:szCs w:val="20"/>
                <w:lang w:val="fr-FR" w:eastAsia="en-CA"/>
              </w:rPr>
              <w:t>1</w:t>
            </w:r>
            <w:r>
              <w:rPr>
                <w:sz w:val="20"/>
                <w:szCs w:val="20"/>
                <w:lang w:val="fr-FR" w:eastAsia="en-CA"/>
              </w:rPr>
              <w:t> </w:t>
            </w:r>
            <w:r w:rsidRPr="00FC1C48">
              <w:rPr>
                <w:sz w:val="20"/>
                <w:szCs w:val="20"/>
                <w:lang w:val="fr-FR" w:eastAsia="en-CA"/>
              </w:rPr>
              <w:t>702</w:t>
            </w:r>
            <w:r>
              <w:rPr>
                <w:sz w:val="20"/>
                <w:szCs w:val="20"/>
                <w:lang w:val="fr-FR" w:eastAsia="en-CA"/>
              </w:rPr>
              <w:t> </w:t>
            </w:r>
            <w:r w:rsidRPr="00FC1C48">
              <w:rPr>
                <w:sz w:val="20"/>
                <w:szCs w:val="20"/>
                <w:lang w:val="fr-FR" w:eastAsia="en-CA"/>
              </w:rPr>
              <w:t>443</w:t>
            </w:r>
          </w:p>
        </w:tc>
        <w:tc>
          <w:tcPr>
            <w:tcW w:w="327" w:type="pct"/>
            <w:vMerge/>
            <w:tcBorders>
              <w:top w:val="nil"/>
              <w:left w:val="single" w:sz="4" w:space="0" w:color="auto"/>
              <w:bottom w:val="single" w:sz="4" w:space="0" w:color="auto"/>
              <w:right w:val="single" w:sz="4" w:space="0" w:color="auto"/>
            </w:tcBorders>
            <w:vAlign w:val="center"/>
            <w:hideMark/>
          </w:tcPr>
          <w:p w14:paraId="64C41FC0" w14:textId="77777777" w:rsidR="00FC1C48" w:rsidRPr="00FC1C48" w:rsidRDefault="00FC1C48" w:rsidP="00FC1C48">
            <w:pPr>
              <w:jc w:val="left"/>
              <w:rPr>
                <w:sz w:val="20"/>
                <w:szCs w:val="20"/>
                <w:lang w:val="fr-FR" w:eastAsia="en-CA"/>
              </w:rPr>
            </w:pPr>
          </w:p>
        </w:tc>
      </w:tr>
      <w:tr w:rsidR="00FC1C48" w:rsidRPr="00FC1C48" w14:paraId="52FCE70F" w14:textId="77777777" w:rsidTr="00FC1C48">
        <w:trPr>
          <w:trHeight w:val="300"/>
        </w:trPr>
        <w:tc>
          <w:tcPr>
            <w:tcW w:w="606" w:type="pct"/>
            <w:vMerge w:val="restart"/>
            <w:tcBorders>
              <w:top w:val="nil"/>
              <w:left w:val="single" w:sz="4" w:space="0" w:color="auto"/>
              <w:bottom w:val="single" w:sz="4" w:space="0" w:color="auto"/>
              <w:right w:val="single" w:sz="4" w:space="0" w:color="auto"/>
            </w:tcBorders>
            <w:noWrap/>
            <w:vAlign w:val="center"/>
            <w:hideMark/>
          </w:tcPr>
          <w:p w14:paraId="3142A673" w14:textId="6C41600F" w:rsidR="00FC1C48" w:rsidRPr="00FC1C48" w:rsidRDefault="00FC1C48" w:rsidP="00FC1C48">
            <w:pPr>
              <w:keepNext/>
              <w:jc w:val="left"/>
              <w:rPr>
                <w:sz w:val="20"/>
                <w:szCs w:val="20"/>
                <w:lang w:val="fr-FR" w:eastAsia="en-CA"/>
              </w:rPr>
            </w:pPr>
            <w:r w:rsidRPr="00FC1C48">
              <w:rPr>
                <w:bCs/>
                <w:sz w:val="20"/>
                <w:szCs w:val="20"/>
                <w:lang w:val="fr-FR" w:eastAsia="en-CA"/>
              </w:rPr>
              <w:t>Quatrième</w:t>
            </w:r>
          </w:p>
        </w:tc>
        <w:tc>
          <w:tcPr>
            <w:tcW w:w="609" w:type="pct"/>
            <w:tcBorders>
              <w:top w:val="nil"/>
              <w:left w:val="nil"/>
              <w:bottom w:val="single" w:sz="4" w:space="0" w:color="auto"/>
              <w:right w:val="single" w:sz="4" w:space="0" w:color="auto"/>
            </w:tcBorders>
            <w:noWrap/>
            <w:vAlign w:val="center"/>
            <w:hideMark/>
          </w:tcPr>
          <w:p w14:paraId="64F8614B" w14:textId="2276F259" w:rsidR="00FC1C48" w:rsidRPr="00FC1C48" w:rsidRDefault="00FC1C48" w:rsidP="00FC1C48">
            <w:pPr>
              <w:keepNext/>
              <w:rPr>
                <w:sz w:val="20"/>
                <w:szCs w:val="20"/>
                <w:lang w:val="fr-FR" w:eastAsia="en-CA"/>
              </w:rPr>
            </w:pPr>
            <w:r w:rsidRPr="00FC1C48">
              <w:rPr>
                <w:bCs/>
                <w:sz w:val="20"/>
                <w:szCs w:val="20"/>
                <w:lang w:val="fr-FR" w:eastAsia="en-CA"/>
              </w:rPr>
              <w:t>Appro</w:t>
            </w:r>
            <w:r>
              <w:rPr>
                <w:bCs/>
                <w:sz w:val="20"/>
                <w:szCs w:val="20"/>
                <w:lang w:val="fr-FR" w:eastAsia="en-CA"/>
              </w:rPr>
              <w:t>uvé</w:t>
            </w:r>
          </w:p>
        </w:tc>
        <w:tc>
          <w:tcPr>
            <w:tcW w:w="623" w:type="pct"/>
            <w:tcBorders>
              <w:top w:val="nil"/>
              <w:left w:val="nil"/>
              <w:bottom w:val="single" w:sz="4" w:space="0" w:color="auto"/>
              <w:right w:val="single" w:sz="4" w:space="0" w:color="auto"/>
            </w:tcBorders>
            <w:noWrap/>
            <w:vAlign w:val="center"/>
            <w:hideMark/>
          </w:tcPr>
          <w:p w14:paraId="27B95A15" w14:textId="3635488B" w:rsidR="00FC1C48" w:rsidRPr="00FC1C48" w:rsidRDefault="00FC1C48" w:rsidP="00FC1C48">
            <w:pPr>
              <w:keepNext/>
              <w:ind w:left="-155"/>
              <w:jc w:val="right"/>
              <w:rPr>
                <w:sz w:val="20"/>
                <w:szCs w:val="20"/>
                <w:lang w:val="fr-FR" w:eastAsia="en-CA"/>
              </w:rPr>
            </w:pPr>
            <w:r w:rsidRPr="00FC1C48">
              <w:rPr>
                <w:sz w:val="20"/>
                <w:szCs w:val="20"/>
                <w:vertAlign w:val="superscript"/>
                <w:lang w:val="fr-FR"/>
              </w:rPr>
              <w:t>[4]</w:t>
            </w:r>
            <w:r w:rsidRPr="00FC1C48">
              <w:rPr>
                <w:sz w:val="20"/>
                <w:szCs w:val="20"/>
                <w:lang w:val="fr-FR" w:eastAsia="en-CA"/>
              </w:rPr>
              <w:t>1</w:t>
            </w:r>
            <w:r>
              <w:rPr>
                <w:sz w:val="20"/>
                <w:szCs w:val="20"/>
                <w:lang w:val="fr-FR" w:eastAsia="en-CA"/>
              </w:rPr>
              <w:t> </w:t>
            </w:r>
            <w:r w:rsidRPr="00FC1C48">
              <w:rPr>
                <w:sz w:val="20"/>
                <w:szCs w:val="20"/>
                <w:lang w:val="fr-FR" w:eastAsia="en-CA"/>
              </w:rPr>
              <w:t>268</w:t>
            </w:r>
            <w:r>
              <w:rPr>
                <w:sz w:val="20"/>
                <w:szCs w:val="20"/>
                <w:lang w:val="fr-FR" w:eastAsia="en-CA"/>
              </w:rPr>
              <w:t> </w:t>
            </w:r>
            <w:r w:rsidRPr="00FC1C48">
              <w:rPr>
                <w:sz w:val="20"/>
                <w:szCs w:val="20"/>
                <w:lang w:val="fr-FR" w:eastAsia="en-CA"/>
              </w:rPr>
              <w:t>103</w:t>
            </w:r>
          </w:p>
        </w:tc>
        <w:tc>
          <w:tcPr>
            <w:tcW w:w="530" w:type="pct"/>
            <w:tcBorders>
              <w:top w:val="nil"/>
              <w:left w:val="nil"/>
              <w:bottom w:val="single" w:sz="4" w:space="0" w:color="auto"/>
              <w:right w:val="single" w:sz="4" w:space="0" w:color="auto"/>
            </w:tcBorders>
            <w:vAlign w:val="center"/>
            <w:hideMark/>
          </w:tcPr>
          <w:p w14:paraId="0CC19752" w14:textId="77777777" w:rsidR="00FC1C48" w:rsidRPr="00FC1C48" w:rsidRDefault="00FC1C48" w:rsidP="00FC1C48">
            <w:pPr>
              <w:keepNext/>
              <w:jc w:val="right"/>
              <w:rPr>
                <w:sz w:val="20"/>
                <w:szCs w:val="20"/>
                <w:lang w:val="fr-FR" w:eastAsia="en-CA"/>
              </w:rPr>
            </w:pPr>
            <w:r w:rsidRPr="00FC1C48">
              <w:rPr>
                <w:sz w:val="20"/>
                <w:szCs w:val="20"/>
                <w:lang w:val="fr-FR" w:eastAsia="en-CA"/>
              </w:rPr>
              <w:t>0</w:t>
            </w:r>
          </w:p>
        </w:tc>
        <w:tc>
          <w:tcPr>
            <w:tcW w:w="533" w:type="pct"/>
            <w:tcBorders>
              <w:top w:val="nil"/>
              <w:left w:val="nil"/>
              <w:bottom w:val="single" w:sz="4" w:space="0" w:color="auto"/>
              <w:right w:val="single" w:sz="4" w:space="0" w:color="auto"/>
            </w:tcBorders>
            <w:vAlign w:val="center"/>
            <w:hideMark/>
          </w:tcPr>
          <w:p w14:paraId="79D6E766" w14:textId="77777777" w:rsidR="00FC1C48" w:rsidRPr="00FC1C48" w:rsidRDefault="00FC1C48" w:rsidP="00FC1C48">
            <w:pPr>
              <w:keepNext/>
              <w:jc w:val="right"/>
              <w:rPr>
                <w:sz w:val="20"/>
                <w:szCs w:val="20"/>
                <w:lang w:val="fr-FR" w:eastAsia="en-CA"/>
              </w:rPr>
            </w:pPr>
            <w:r w:rsidRPr="00FC1C48">
              <w:rPr>
                <w:sz w:val="20"/>
                <w:szCs w:val="20"/>
                <w:lang w:val="fr-FR" w:eastAsia="en-CA"/>
              </w:rPr>
              <w:t>0</w:t>
            </w:r>
          </w:p>
        </w:tc>
        <w:tc>
          <w:tcPr>
            <w:tcW w:w="662" w:type="pct"/>
            <w:tcBorders>
              <w:top w:val="nil"/>
              <w:left w:val="nil"/>
              <w:bottom w:val="single" w:sz="4" w:space="0" w:color="auto"/>
              <w:right w:val="single" w:sz="4" w:space="0" w:color="auto"/>
            </w:tcBorders>
            <w:vAlign w:val="center"/>
            <w:hideMark/>
          </w:tcPr>
          <w:p w14:paraId="44782040" w14:textId="14F6699B" w:rsidR="00FC1C48" w:rsidRPr="00FC1C48" w:rsidRDefault="00FC1C48" w:rsidP="00FC1C48">
            <w:pPr>
              <w:keepNext/>
              <w:jc w:val="right"/>
              <w:rPr>
                <w:sz w:val="20"/>
                <w:szCs w:val="20"/>
                <w:lang w:val="fr-FR" w:eastAsia="en-CA"/>
              </w:rPr>
            </w:pPr>
            <w:r w:rsidRPr="00FC1C48">
              <w:rPr>
                <w:sz w:val="20"/>
                <w:szCs w:val="20"/>
                <w:lang w:val="fr-FR" w:eastAsia="en-CA"/>
              </w:rPr>
              <w:t>32</w:t>
            </w:r>
            <w:r>
              <w:rPr>
                <w:sz w:val="20"/>
                <w:szCs w:val="20"/>
                <w:lang w:val="fr-FR" w:eastAsia="en-CA"/>
              </w:rPr>
              <w:t> </w:t>
            </w:r>
            <w:r w:rsidRPr="00FC1C48">
              <w:rPr>
                <w:sz w:val="20"/>
                <w:szCs w:val="20"/>
                <w:lang w:val="fr-FR" w:eastAsia="en-CA"/>
              </w:rPr>
              <w:t>400</w:t>
            </w:r>
          </w:p>
        </w:tc>
        <w:tc>
          <w:tcPr>
            <w:tcW w:w="472" w:type="pct"/>
            <w:tcBorders>
              <w:top w:val="nil"/>
              <w:left w:val="nil"/>
              <w:bottom w:val="single" w:sz="4" w:space="0" w:color="auto"/>
              <w:right w:val="single" w:sz="4" w:space="0" w:color="auto"/>
            </w:tcBorders>
            <w:vAlign w:val="center"/>
            <w:hideMark/>
          </w:tcPr>
          <w:p w14:paraId="4F7A1C2E" w14:textId="77777777" w:rsidR="00FC1C48" w:rsidRPr="00FC1C48" w:rsidRDefault="00FC1C48" w:rsidP="00FC1C48">
            <w:pPr>
              <w:keepNext/>
              <w:jc w:val="right"/>
              <w:rPr>
                <w:sz w:val="20"/>
                <w:szCs w:val="20"/>
                <w:lang w:val="fr-FR" w:eastAsia="en-CA"/>
              </w:rPr>
            </w:pPr>
            <w:r w:rsidRPr="00FC1C48">
              <w:rPr>
                <w:sz w:val="20"/>
                <w:szCs w:val="20"/>
                <w:lang w:val="fr-FR" w:eastAsia="en-CA"/>
              </w:rPr>
              <w:t>0</w:t>
            </w:r>
          </w:p>
        </w:tc>
        <w:tc>
          <w:tcPr>
            <w:tcW w:w="638" w:type="pct"/>
            <w:tcBorders>
              <w:top w:val="nil"/>
              <w:left w:val="single" w:sz="4" w:space="0" w:color="auto"/>
              <w:bottom w:val="single" w:sz="4" w:space="0" w:color="auto"/>
              <w:right w:val="single" w:sz="4" w:space="0" w:color="auto"/>
            </w:tcBorders>
            <w:noWrap/>
            <w:vAlign w:val="center"/>
            <w:hideMark/>
          </w:tcPr>
          <w:p w14:paraId="1A97DDE4" w14:textId="667C5BE2" w:rsidR="00FC1C48" w:rsidRPr="00FC1C48" w:rsidRDefault="00FC1C48" w:rsidP="00FC1C48">
            <w:pPr>
              <w:keepNext/>
              <w:jc w:val="right"/>
              <w:rPr>
                <w:sz w:val="20"/>
                <w:szCs w:val="20"/>
                <w:lang w:val="fr-FR" w:eastAsia="en-CA"/>
              </w:rPr>
            </w:pPr>
            <w:r w:rsidRPr="00FC1C48">
              <w:rPr>
                <w:color w:val="000000"/>
                <w:sz w:val="20"/>
                <w:szCs w:val="20"/>
                <w:lang w:val="fr-FR"/>
              </w:rPr>
              <w:t>1</w:t>
            </w:r>
            <w:r>
              <w:rPr>
                <w:color w:val="000000"/>
                <w:sz w:val="20"/>
                <w:szCs w:val="20"/>
                <w:lang w:val="fr-FR"/>
              </w:rPr>
              <w:t> </w:t>
            </w:r>
            <w:r w:rsidRPr="00FC1C48">
              <w:rPr>
                <w:color w:val="000000"/>
                <w:sz w:val="20"/>
                <w:szCs w:val="20"/>
                <w:lang w:val="fr-FR"/>
              </w:rPr>
              <w:t>300</w:t>
            </w:r>
            <w:r>
              <w:rPr>
                <w:color w:val="000000"/>
                <w:sz w:val="20"/>
                <w:szCs w:val="20"/>
                <w:lang w:val="fr-FR"/>
              </w:rPr>
              <w:t> </w:t>
            </w:r>
            <w:r w:rsidRPr="00FC1C48">
              <w:rPr>
                <w:color w:val="000000"/>
                <w:sz w:val="20"/>
                <w:szCs w:val="20"/>
                <w:lang w:val="fr-FR"/>
              </w:rPr>
              <w:t>503</w:t>
            </w:r>
          </w:p>
        </w:tc>
        <w:tc>
          <w:tcPr>
            <w:tcW w:w="327" w:type="pct"/>
            <w:vMerge w:val="restart"/>
            <w:tcBorders>
              <w:top w:val="nil"/>
              <w:left w:val="single" w:sz="4" w:space="0" w:color="auto"/>
              <w:bottom w:val="single" w:sz="4" w:space="0" w:color="auto"/>
              <w:right w:val="single" w:sz="4" w:space="0" w:color="auto"/>
            </w:tcBorders>
            <w:noWrap/>
            <w:vAlign w:val="center"/>
            <w:hideMark/>
          </w:tcPr>
          <w:p w14:paraId="4F282AC0" w14:textId="77777777" w:rsidR="00FC1C48" w:rsidRPr="00FC1C48" w:rsidRDefault="00FC1C48" w:rsidP="00FC1C48">
            <w:pPr>
              <w:keepNext/>
              <w:jc w:val="center"/>
              <w:rPr>
                <w:sz w:val="20"/>
                <w:szCs w:val="20"/>
                <w:lang w:val="fr-FR" w:eastAsia="en-CA"/>
              </w:rPr>
            </w:pPr>
            <w:r w:rsidRPr="00FC1C48">
              <w:rPr>
                <w:sz w:val="20"/>
                <w:szCs w:val="20"/>
                <w:lang w:val="fr-FR" w:eastAsia="en-CA"/>
              </w:rPr>
              <w:t>43</w:t>
            </w:r>
          </w:p>
        </w:tc>
      </w:tr>
      <w:tr w:rsidR="00FC1C48" w:rsidRPr="00FC1C48" w14:paraId="00CA8839" w14:textId="77777777" w:rsidTr="00FC1C48">
        <w:trPr>
          <w:trHeight w:val="300"/>
        </w:trPr>
        <w:tc>
          <w:tcPr>
            <w:tcW w:w="606" w:type="pct"/>
            <w:vMerge/>
            <w:tcBorders>
              <w:top w:val="nil"/>
              <w:left w:val="single" w:sz="4" w:space="0" w:color="auto"/>
              <w:bottom w:val="single" w:sz="4" w:space="0" w:color="auto"/>
              <w:right w:val="single" w:sz="4" w:space="0" w:color="auto"/>
            </w:tcBorders>
            <w:vAlign w:val="center"/>
            <w:hideMark/>
          </w:tcPr>
          <w:p w14:paraId="4B390616" w14:textId="77777777" w:rsidR="00FC1C48" w:rsidRPr="00FC1C48" w:rsidRDefault="00FC1C48" w:rsidP="00FC1C48">
            <w:pPr>
              <w:jc w:val="left"/>
              <w:rPr>
                <w:sz w:val="20"/>
                <w:szCs w:val="20"/>
                <w:lang w:val="fr-FR" w:eastAsia="en-CA"/>
              </w:rPr>
            </w:pPr>
          </w:p>
        </w:tc>
        <w:tc>
          <w:tcPr>
            <w:tcW w:w="609" w:type="pct"/>
            <w:tcBorders>
              <w:top w:val="nil"/>
              <w:left w:val="nil"/>
              <w:bottom w:val="single" w:sz="4" w:space="0" w:color="auto"/>
              <w:right w:val="single" w:sz="4" w:space="0" w:color="auto"/>
            </w:tcBorders>
            <w:noWrap/>
            <w:vAlign w:val="center"/>
            <w:hideMark/>
          </w:tcPr>
          <w:p w14:paraId="65AB5973" w14:textId="42DF1183" w:rsidR="00FC1C48" w:rsidRPr="00FC1C48" w:rsidRDefault="00FC1C48" w:rsidP="00FC1C48">
            <w:pPr>
              <w:rPr>
                <w:sz w:val="20"/>
                <w:szCs w:val="20"/>
                <w:lang w:val="fr-FR" w:eastAsia="en-CA"/>
              </w:rPr>
            </w:pPr>
            <w:r>
              <w:rPr>
                <w:bCs/>
                <w:sz w:val="20"/>
                <w:szCs w:val="20"/>
                <w:lang w:val="fr-FR" w:eastAsia="en-CA"/>
              </w:rPr>
              <w:t>Décaissé</w:t>
            </w:r>
          </w:p>
        </w:tc>
        <w:tc>
          <w:tcPr>
            <w:tcW w:w="623" w:type="pct"/>
            <w:tcBorders>
              <w:top w:val="nil"/>
              <w:left w:val="nil"/>
              <w:bottom w:val="single" w:sz="4" w:space="0" w:color="auto"/>
              <w:right w:val="single" w:sz="4" w:space="0" w:color="auto"/>
            </w:tcBorders>
            <w:noWrap/>
            <w:vAlign w:val="center"/>
            <w:hideMark/>
          </w:tcPr>
          <w:p w14:paraId="79937A59" w14:textId="1A30AEAB" w:rsidR="00FC1C48" w:rsidRPr="00FC1C48" w:rsidRDefault="00FC1C48" w:rsidP="00FC1C48">
            <w:pPr>
              <w:jc w:val="right"/>
              <w:rPr>
                <w:sz w:val="20"/>
                <w:szCs w:val="20"/>
                <w:lang w:val="fr-FR" w:eastAsia="en-CA"/>
              </w:rPr>
            </w:pPr>
            <w:r w:rsidRPr="00FC1C48">
              <w:rPr>
                <w:sz w:val="20"/>
                <w:szCs w:val="20"/>
                <w:lang w:val="fr-FR" w:eastAsia="zh-CN"/>
              </w:rPr>
              <w:t>523</w:t>
            </w:r>
            <w:r>
              <w:rPr>
                <w:sz w:val="20"/>
                <w:szCs w:val="20"/>
                <w:lang w:val="fr-FR" w:eastAsia="zh-CN"/>
              </w:rPr>
              <w:t> </w:t>
            </w:r>
            <w:r w:rsidRPr="00FC1C48">
              <w:rPr>
                <w:sz w:val="20"/>
                <w:szCs w:val="20"/>
                <w:lang w:val="fr-FR" w:eastAsia="zh-CN"/>
              </w:rPr>
              <w:t>376</w:t>
            </w:r>
          </w:p>
        </w:tc>
        <w:tc>
          <w:tcPr>
            <w:tcW w:w="530" w:type="pct"/>
            <w:tcBorders>
              <w:top w:val="nil"/>
              <w:left w:val="nil"/>
              <w:bottom w:val="single" w:sz="4" w:space="0" w:color="auto"/>
              <w:right w:val="single" w:sz="4" w:space="0" w:color="auto"/>
            </w:tcBorders>
            <w:vAlign w:val="center"/>
            <w:hideMark/>
          </w:tcPr>
          <w:p w14:paraId="29C9A5EA" w14:textId="77777777" w:rsidR="00FC1C48" w:rsidRPr="00FC1C48" w:rsidRDefault="00FC1C48" w:rsidP="00FC1C48">
            <w:pPr>
              <w:jc w:val="right"/>
              <w:rPr>
                <w:sz w:val="20"/>
                <w:szCs w:val="20"/>
                <w:lang w:val="fr-FR" w:eastAsia="en-CA"/>
              </w:rPr>
            </w:pPr>
            <w:r w:rsidRPr="00FC1C48">
              <w:rPr>
                <w:sz w:val="20"/>
                <w:szCs w:val="20"/>
                <w:lang w:val="fr-FR" w:eastAsia="en-CA"/>
              </w:rPr>
              <w:t>0</w:t>
            </w:r>
          </w:p>
        </w:tc>
        <w:tc>
          <w:tcPr>
            <w:tcW w:w="533" w:type="pct"/>
            <w:tcBorders>
              <w:top w:val="nil"/>
              <w:left w:val="nil"/>
              <w:bottom w:val="single" w:sz="4" w:space="0" w:color="auto"/>
              <w:right w:val="single" w:sz="4" w:space="0" w:color="auto"/>
            </w:tcBorders>
            <w:vAlign w:val="center"/>
            <w:hideMark/>
          </w:tcPr>
          <w:p w14:paraId="37EEC5F8" w14:textId="77777777" w:rsidR="00FC1C48" w:rsidRPr="00FC1C48" w:rsidRDefault="00FC1C48" w:rsidP="00FC1C48">
            <w:pPr>
              <w:jc w:val="right"/>
              <w:rPr>
                <w:sz w:val="20"/>
                <w:szCs w:val="20"/>
                <w:lang w:val="fr-FR" w:eastAsia="en-CA"/>
              </w:rPr>
            </w:pPr>
            <w:r w:rsidRPr="00FC1C48">
              <w:rPr>
                <w:sz w:val="20"/>
                <w:szCs w:val="20"/>
                <w:lang w:val="fr-FR" w:eastAsia="en-CA"/>
              </w:rPr>
              <w:t>0</w:t>
            </w:r>
          </w:p>
        </w:tc>
        <w:tc>
          <w:tcPr>
            <w:tcW w:w="662" w:type="pct"/>
            <w:tcBorders>
              <w:top w:val="nil"/>
              <w:left w:val="nil"/>
              <w:bottom w:val="single" w:sz="4" w:space="0" w:color="auto"/>
              <w:right w:val="single" w:sz="4" w:space="0" w:color="auto"/>
            </w:tcBorders>
            <w:vAlign w:val="center"/>
            <w:hideMark/>
          </w:tcPr>
          <w:p w14:paraId="5E2D8B44" w14:textId="7CE22F4D" w:rsidR="00FC1C48" w:rsidRPr="00FC1C48" w:rsidRDefault="00FC1C48" w:rsidP="00FC1C48">
            <w:pPr>
              <w:jc w:val="right"/>
              <w:rPr>
                <w:sz w:val="20"/>
                <w:szCs w:val="20"/>
                <w:lang w:val="fr-FR" w:eastAsia="en-CA"/>
              </w:rPr>
            </w:pPr>
            <w:r w:rsidRPr="00FC1C48">
              <w:rPr>
                <w:sz w:val="20"/>
                <w:szCs w:val="20"/>
                <w:lang w:val="fr-FR" w:eastAsia="en-CA"/>
              </w:rPr>
              <w:t>32</w:t>
            </w:r>
            <w:r>
              <w:rPr>
                <w:sz w:val="20"/>
                <w:szCs w:val="20"/>
                <w:lang w:val="fr-FR" w:eastAsia="en-CA"/>
              </w:rPr>
              <w:t> </w:t>
            </w:r>
            <w:r w:rsidRPr="00FC1C48">
              <w:rPr>
                <w:sz w:val="20"/>
                <w:szCs w:val="20"/>
                <w:lang w:val="fr-FR" w:eastAsia="en-CA"/>
              </w:rPr>
              <w:t>400</w:t>
            </w:r>
          </w:p>
        </w:tc>
        <w:tc>
          <w:tcPr>
            <w:tcW w:w="472" w:type="pct"/>
            <w:tcBorders>
              <w:top w:val="nil"/>
              <w:left w:val="nil"/>
              <w:bottom w:val="single" w:sz="4" w:space="0" w:color="auto"/>
              <w:right w:val="single" w:sz="4" w:space="0" w:color="auto"/>
            </w:tcBorders>
            <w:vAlign w:val="center"/>
            <w:hideMark/>
          </w:tcPr>
          <w:p w14:paraId="1444972F" w14:textId="77777777" w:rsidR="00FC1C48" w:rsidRPr="00FC1C48" w:rsidRDefault="00FC1C48" w:rsidP="00FC1C48">
            <w:pPr>
              <w:jc w:val="right"/>
              <w:rPr>
                <w:sz w:val="20"/>
                <w:szCs w:val="20"/>
                <w:lang w:val="fr-FR" w:eastAsia="en-CA"/>
              </w:rPr>
            </w:pPr>
            <w:r w:rsidRPr="00FC1C48">
              <w:rPr>
                <w:sz w:val="20"/>
                <w:szCs w:val="20"/>
                <w:lang w:val="fr-FR" w:eastAsia="en-CA"/>
              </w:rPr>
              <w:t>0</w:t>
            </w:r>
          </w:p>
        </w:tc>
        <w:tc>
          <w:tcPr>
            <w:tcW w:w="638" w:type="pct"/>
            <w:tcBorders>
              <w:top w:val="nil"/>
              <w:left w:val="single" w:sz="4" w:space="0" w:color="auto"/>
              <w:bottom w:val="single" w:sz="4" w:space="0" w:color="auto"/>
              <w:right w:val="single" w:sz="4" w:space="0" w:color="auto"/>
            </w:tcBorders>
            <w:noWrap/>
            <w:vAlign w:val="center"/>
            <w:hideMark/>
          </w:tcPr>
          <w:p w14:paraId="266893A2" w14:textId="30623483" w:rsidR="00FC1C48" w:rsidRPr="00FC1C48" w:rsidRDefault="00FC1C48" w:rsidP="00FC1C48">
            <w:pPr>
              <w:jc w:val="right"/>
              <w:rPr>
                <w:sz w:val="20"/>
                <w:szCs w:val="20"/>
                <w:lang w:val="fr-FR" w:eastAsia="en-CA"/>
              </w:rPr>
            </w:pPr>
            <w:r w:rsidRPr="00FC1C48">
              <w:rPr>
                <w:color w:val="000000"/>
                <w:sz w:val="20"/>
                <w:szCs w:val="20"/>
                <w:lang w:val="fr-FR"/>
              </w:rPr>
              <w:t>555</w:t>
            </w:r>
            <w:r>
              <w:rPr>
                <w:color w:val="000000"/>
                <w:sz w:val="20"/>
                <w:szCs w:val="20"/>
                <w:lang w:val="fr-FR"/>
              </w:rPr>
              <w:t> </w:t>
            </w:r>
            <w:r w:rsidRPr="00FC1C48">
              <w:rPr>
                <w:color w:val="000000"/>
                <w:sz w:val="20"/>
                <w:szCs w:val="20"/>
                <w:lang w:val="fr-FR"/>
              </w:rPr>
              <w:t>776</w:t>
            </w:r>
          </w:p>
        </w:tc>
        <w:tc>
          <w:tcPr>
            <w:tcW w:w="327" w:type="pct"/>
            <w:vMerge/>
            <w:tcBorders>
              <w:top w:val="nil"/>
              <w:left w:val="single" w:sz="4" w:space="0" w:color="auto"/>
              <w:bottom w:val="single" w:sz="4" w:space="0" w:color="auto"/>
              <w:right w:val="single" w:sz="4" w:space="0" w:color="auto"/>
            </w:tcBorders>
            <w:vAlign w:val="center"/>
            <w:hideMark/>
          </w:tcPr>
          <w:p w14:paraId="14F4721D" w14:textId="77777777" w:rsidR="00FC1C48" w:rsidRPr="00FC1C48" w:rsidRDefault="00FC1C48" w:rsidP="00FC1C48">
            <w:pPr>
              <w:jc w:val="left"/>
              <w:rPr>
                <w:sz w:val="20"/>
                <w:szCs w:val="20"/>
                <w:lang w:val="fr-FR" w:eastAsia="en-CA"/>
              </w:rPr>
            </w:pPr>
          </w:p>
        </w:tc>
      </w:tr>
      <w:tr w:rsidR="00FC1C48" w:rsidRPr="00FC1C48" w14:paraId="71A60DB7" w14:textId="77777777" w:rsidTr="00FC1C48">
        <w:trPr>
          <w:trHeight w:val="300"/>
        </w:trPr>
        <w:tc>
          <w:tcPr>
            <w:tcW w:w="606" w:type="pct"/>
            <w:vMerge w:val="restart"/>
            <w:tcBorders>
              <w:top w:val="nil"/>
              <w:left w:val="single" w:sz="4" w:space="0" w:color="auto"/>
              <w:right w:val="single" w:sz="4" w:space="0" w:color="auto"/>
            </w:tcBorders>
            <w:vAlign w:val="center"/>
          </w:tcPr>
          <w:p w14:paraId="74D8A355" w14:textId="022FE450" w:rsidR="00FC1C48" w:rsidRPr="00FC1C48" w:rsidRDefault="00FC1C48" w:rsidP="00FC1C48">
            <w:pPr>
              <w:keepNext/>
              <w:jc w:val="left"/>
              <w:rPr>
                <w:sz w:val="20"/>
                <w:szCs w:val="20"/>
                <w:lang w:val="fr-FR" w:eastAsia="en-CA"/>
              </w:rPr>
            </w:pPr>
            <w:r w:rsidRPr="00FC1C48">
              <w:rPr>
                <w:sz w:val="20"/>
                <w:szCs w:val="20"/>
                <w:lang w:val="fr-FR" w:eastAsia="en-CA"/>
              </w:rPr>
              <w:t>Cinquième</w:t>
            </w:r>
          </w:p>
        </w:tc>
        <w:tc>
          <w:tcPr>
            <w:tcW w:w="609" w:type="pct"/>
            <w:tcBorders>
              <w:top w:val="nil"/>
              <w:left w:val="nil"/>
              <w:bottom w:val="single" w:sz="4" w:space="0" w:color="auto"/>
              <w:right w:val="single" w:sz="4" w:space="0" w:color="auto"/>
            </w:tcBorders>
            <w:noWrap/>
            <w:vAlign w:val="center"/>
          </w:tcPr>
          <w:p w14:paraId="35FEEFAA" w14:textId="37FE2168" w:rsidR="00FC1C48" w:rsidRPr="00FC1C48" w:rsidRDefault="00FC1C48" w:rsidP="00FC1C48">
            <w:pPr>
              <w:keepNext/>
              <w:rPr>
                <w:bCs/>
                <w:sz w:val="20"/>
                <w:szCs w:val="20"/>
                <w:lang w:val="fr-FR" w:eastAsia="en-CA"/>
              </w:rPr>
            </w:pPr>
            <w:r w:rsidRPr="00FC1C48">
              <w:rPr>
                <w:bCs/>
                <w:sz w:val="20"/>
                <w:szCs w:val="20"/>
                <w:lang w:val="fr-FR" w:eastAsia="en-CA"/>
              </w:rPr>
              <w:t>Appro</w:t>
            </w:r>
            <w:r>
              <w:rPr>
                <w:bCs/>
                <w:sz w:val="20"/>
                <w:szCs w:val="20"/>
                <w:lang w:val="fr-FR" w:eastAsia="en-CA"/>
              </w:rPr>
              <w:t>uvé</w:t>
            </w:r>
          </w:p>
        </w:tc>
        <w:tc>
          <w:tcPr>
            <w:tcW w:w="623" w:type="pct"/>
            <w:tcBorders>
              <w:top w:val="nil"/>
              <w:left w:val="nil"/>
              <w:bottom w:val="single" w:sz="4" w:space="0" w:color="auto"/>
              <w:right w:val="single" w:sz="4" w:space="0" w:color="auto"/>
            </w:tcBorders>
            <w:noWrap/>
          </w:tcPr>
          <w:p w14:paraId="103D0E79" w14:textId="11577463" w:rsidR="00FC1C48" w:rsidRPr="00FC1C48" w:rsidRDefault="00FC1C48" w:rsidP="00FC1C48">
            <w:pPr>
              <w:keepNext/>
              <w:jc w:val="right"/>
              <w:rPr>
                <w:sz w:val="20"/>
                <w:szCs w:val="20"/>
                <w:lang w:val="fr-FR" w:eastAsia="zh-CN"/>
              </w:rPr>
            </w:pPr>
            <w:r w:rsidRPr="00FC1C48">
              <w:rPr>
                <w:sz w:val="20"/>
                <w:szCs w:val="20"/>
                <w:lang w:val="fr-FR"/>
              </w:rPr>
              <w:t>337</w:t>
            </w:r>
            <w:r>
              <w:rPr>
                <w:sz w:val="20"/>
                <w:szCs w:val="20"/>
                <w:lang w:val="fr-FR"/>
              </w:rPr>
              <w:t> </w:t>
            </w:r>
            <w:r w:rsidRPr="00FC1C48">
              <w:rPr>
                <w:sz w:val="20"/>
                <w:szCs w:val="20"/>
                <w:lang w:val="fr-FR"/>
              </w:rPr>
              <w:t>860</w:t>
            </w:r>
          </w:p>
        </w:tc>
        <w:tc>
          <w:tcPr>
            <w:tcW w:w="530" w:type="pct"/>
            <w:tcBorders>
              <w:top w:val="nil"/>
              <w:left w:val="nil"/>
              <w:bottom w:val="single" w:sz="4" w:space="0" w:color="auto"/>
              <w:right w:val="single" w:sz="4" w:space="0" w:color="auto"/>
            </w:tcBorders>
          </w:tcPr>
          <w:p w14:paraId="1160F6E6" w14:textId="77777777" w:rsidR="00FC1C48" w:rsidRPr="00FC1C48" w:rsidRDefault="00FC1C48" w:rsidP="00FC1C48">
            <w:pPr>
              <w:keepNext/>
              <w:jc w:val="right"/>
              <w:rPr>
                <w:sz w:val="20"/>
                <w:szCs w:val="20"/>
                <w:lang w:val="fr-FR" w:eastAsia="en-CA"/>
              </w:rPr>
            </w:pPr>
            <w:r w:rsidRPr="00FC1C48">
              <w:rPr>
                <w:sz w:val="20"/>
                <w:szCs w:val="20"/>
                <w:lang w:val="fr-FR" w:eastAsia="en-CA"/>
              </w:rPr>
              <w:t>0</w:t>
            </w:r>
          </w:p>
        </w:tc>
        <w:tc>
          <w:tcPr>
            <w:tcW w:w="533" w:type="pct"/>
            <w:tcBorders>
              <w:top w:val="nil"/>
              <w:left w:val="nil"/>
              <w:bottom w:val="single" w:sz="4" w:space="0" w:color="auto"/>
              <w:right w:val="single" w:sz="4" w:space="0" w:color="auto"/>
            </w:tcBorders>
          </w:tcPr>
          <w:p w14:paraId="4FEC9F35" w14:textId="455AF2DE" w:rsidR="00FC1C48" w:rsidRPr="00FC1C48" w:rsidRDefault="00FC1C48" w:rsidP="00FC1C48">
            <w:pPr>
              <w:keepNext/>
              <w:jc w:val="right"/>
              <w:rPr>
                <w:sz w:val="20"/>
                <w:szCs w:val="20"/>
                <w:lang w:val="fr-FR" w:eastAsia="en-CA"/>
              </w:rPr>
            </w:pPr>
            <w:r w:rsidRPr="00FC1C48">
              <w:rPr>
                <w:sz w:val="20"/>
                <w:szCs w:val="20"/>
                <w:lang w:val="fr-FR"/>
              </w:rPr>
              <w:t>140</w:t>
            </w:r>
            <w:r>
              <w:rPr>
                <w:sz w:val="20"/>
                <w:szCs w:val="20"/>
                <w:lang w:val="fr-FR"/>
              </w:rPr>
              <w:t> </w:t>
            </w:r>
            <w:r w:rsidRPr="00FC1C48">
              <w:rPr>
                <w:sz w:val="20"/>
                <w:szCs w:val="20"/>
                <w:lang w:val="fr-FR"/>
              </w:rPr>
              <w:t>000</w:t>
            </w:r>
          </w:p>
        </w:tc>
        <w:tc>
          <w:tcPr>
            <w:tcW w:w="662" w:type="pct"/>
            <w:tcBorders>
              <w:top w:val="nil"/>
              <w:left w:val="nil"/>
              <w:bottom w:val="single" w:sz="4" w:space="0" w:color="auto"/>
              <w:right w:val="single" w:sz="4" w:space="0" w:color="auto"/>
            </w:tcBorders>
          </w:tcPr>
          <w:p w14:paraId="43A4A34C" w14:textId="77777777" w:rsidR="00FC1C48" w:rsidRPr="00FC1C48" w:rsidRDefault="00FC1C48" w:rsidP="00FC1C48">
            <w:pPr>
              <w:keepNext/>
              <w:jc w:val="right"/>
              <w:rPr>
                <w:sz w:val="20"/>
                <w:szCs w:val="20"/>
                <w:lang w:val="fr-FR" w:eastAsia="en-CA"/>
              </w:rPr>
            </w:pPr>
            <w:r w:rsidRPr="00FC1C48">
              <w:rPr>
                <w:sz w:val="20"/>
                <w:szCs w:val="20"/>
                <w:lang w:val="fr-FR"/>
              </w:rPr>
              <w:t>0</w:t>
            </w:r>
          </w:p>
        </w:tc>
        <w:tc>
          <w:tcPr>
            <w:tcW w:w="472" w:type="pct"/>
            <w:tcBorders>
              <w:top w:val="nil"/>
              <w:left w:val="nil"/>
              <w:bottom w:val="single" w:sz="4" w:space="0" w:color="auto"/>
              <w:right w:val="single" w:sz="4" w:space="0" w:color="auto"/>
            </w:tcBorders>
          </w:tcPr>
          <w:p w14:paraId="1E197BCB" w14:textId="77777777" w:rsidR="00FC1C48" w:rsidRPr="00FC1C48" w:rsidRDefault="00FC1C48" w:rsidP="00FC1C48">
            <w:pPr>
              <w:keepNext/>
              <w:jc w:val="right"/>
              <w:rPr>
                <w:sz w:val="20"/>
                <w:szCs w:val="20"/>
                <w:lang w:val="fr-FR" w:eastAsia="en-CA"/>
              </w:rPr>
            </w:pPr>
            <w:r w:rsidRPr="00FC1C48">
              <w:rPr>
                <w:sz w:val="20"/>
                <w:szCs w:val="20"/>
                <w:lang w:val="fr-FR" w:eastAsia="en-CA"/>
              </w:rPr>
              <w:t>0</w:t>
            </w:r>
          </w:p>
        </w:tc>
        <w:tc>
          <w:tcPr>
            <w:tcW w:w="638" w:type="pct"/>
            <w:tcBorders>
              <w:top w:val="nil"/>
              <w:left w:val="single" w:sz="4" w:space="0" w:color="auto"/>
              <w:bottom w:val="single" w:sz="4" w:space="0" w:color="auto"/>
              <w:right w:val="single" w:sz="4" w:space="0" w:color="auto"/>
            </w:tcBorders>
            <w:noWrap/>
            <w:vAlign w:val="center"/>
          </w:tcPr>
          <w:p w14:paraId="52AEE4C6" w14:textId="7C18818D" w:rsidR="00FC1C48" w:rsidRPr="00FC1C48" w:rsidRDefault="00FC1C48" w:rsidP="00FC1C48">
            <w:pPr>
              <w:keepNext/>
              <w:jc w:val="right"/>
              <w:rPr>
                <w:sz w:val="20"/>
                <w:szCs w:val="20"/>
                <w:lang w:val="fr-FR" w:eastAsia="en-CA"/>
              </w:rPr>
            </w:pPr>
            <w:r w:rsidRPr="00FC1C48">
              <w:rPr>
                <w:color w:val="000000"/>
                <w:sz w:val="20"/>
                <w:szCs w:val="20"/>
                <w:lang w:val="fr-FR"/>
              </w:rPr>
              <w:t>477</w:t>
            </w:r>
            <w:r>
              <w:rPr>
                <w:color w:val="000000"/>
                <w:sz w:val="20"/>
                <w:szCs w:val="20"/>
                <w:lang w:val="fr-FR"/>
              </w:rPr>
              <w:t> </w:t>
            </w:r>
            <w:r w:rsidRPr="00FC1C48">
              <w:rPr>
                <w:color w:val="000000"/>
                <w:sz w:val="20"/>
                <w:szCs w:val="20"/>
                <w:lang w:val="fr-FR"/>
              </w:rPr>
              <w:t>860</w:t>
            </w:r>
          </w:p>
        </w:tc>
        <w:tc>
          <w:tcPr>
            <w:tcW w:w="327" w:type="pct"/>
            <w:vMerge w:val="restart"/>
            <w:tcBorders>
              <w:top w:val="nil"/>
              <w:left w:val="single" w:sz="4" w:space="0" w:color="auto"/>
              <w:right w:val="single" w:sz="4" w:space="0" w:color="auto"/>
            </w:tcBorders>
            <w:vAlign w:val="center"/>
          </w:tcPr>
          <w:p w14:paraId="1A8B6B74" w14:textId="77777777" w:rsidR="00FC1C48" w:rsidRPr="00FC1C48" w:rsidRDefault="00FC1C48" w:rsidP="00FC1C48">
            <w:pPr>
              <w:keepNext/>
              <w:jc w:val="center"/>
              <w:rPr>
                <w:sz w:val="20"/>
                <w:szCs w:val="20"/>
                <w:lang w:val="fr-FR" w:eastAsia="en-CA"/>
              </w:rPr>
            </w:pPr>
            <w:r w:rsidRPr="00FC1C48">
              <w:rPr>
                <w:sz w:val="20"/>
                <w:szCs w:val="20"/>
                <w:lang w:val="fr-FR" w:eastAsia="en-CA"/>
              </w:rPr>
              <w:t>46</w:t>
            </w:r>
          </w:p>
        </w:tc>
      </w:tr>
      <w:tr w:rsidR="00FC1C48" w:rsidRPr="00FC1C48" w14:paraId="2286BE3D" w14:textId="77777777" w:rsidTr="00FC1C48">
        <w:trPr>
          <w:trHeight w:val="300"/>
        </w:trPr>
        <w:tc>
          <w:tcPr>
            <w:tcW w:w="606" w:type="pct"/>
            <w:vMerge/>
            <w:tcBorders>
              <w:left w:val="single" w:sz="4" w:space="0" w:color="auto"/>
              <w:bottom w:val="single" w:sz="4" w:space="0" w:color="auto"/>
              <w:right w:val="single" w:sz="4" w:space="0" w:color="auto"/>
            </w:tcBorders>
            <w:vAlign w:val="center"/>
          </w:tcPr>
          <w:p w14:paraId="0A6917C0" w14:textId="77777777" w:rsidR="00FC1C48" w:rsidRPr="00FC1C48" w:rsidRDefault="00FC1C48" w:rsidP="00FC1C48">
            <w:pPr>
              <w:keepNext/>
              <w:jc w:val="left"/>
              <w:rPr>
                <w:sz w:val="20"/>
                <w:szCs w:val="20"/>
                <w:lang w:val="fr-FR" w:eastAsia="en-CA"/>
              </w:rPr>
            </w:pPr>
          </w:p>
        </w:tc>
        <w:tc>
          <w:tcPr>
            <w:tcW w:w="609" w:type="pct"/>
            <w:tcBorders>
              <w:top w:val="nil"/>
              <w:left w:val="nil"/>
              <w:bottom w:val="single" w:sz="4" w:space="0" w:color="auto"/>
              <w:right w:val="single" w:sz="4" w:space="0" w:color="auto"/>
            </w:tcBorders>
            <w:noWrap/>
            <w:vAlign w:val="center"/>
          </w:tcPr>
          <w:p w14:paraId="7CC0D45F" w14:textId="5FE66C4C" w:rsidR="00FC1C48" w:rsidRPr="00FC1C48" w:rsidRDefault="00FC1C48" w:rsidP="00FC1C48">
            <w:pPr>
              <w:keepNext/>
              <w:rPr>
                <w:bCs/>
                <w:sz w:val="20"/>
                <w:szCs w:val="20"/>
                <w:lang w:val="fr-FR" w:eastAsia="en-CA"/>
              </w:rPr>
            </w:pPr>
            <w:r>
              <w:rPr>
                <w:bCs/>
                <w:sz w:val="20"/>
                <w:szCs w:val="20"/>
                <w:lang w:val="fr-FR" w:eastAsia="en-CA"/>
              </w:rPr>
              <w:t>Décaissé</w:t>
            </w:r>
          </w:p>
        </w:tc>
        <w:tc>
          <w:tcPr>
            <w:tcW w:w="623" w:type="pct"/>
            <w:tcBorders>
              <w:top w:val="nil"/>
              <w:left w:val="nil"/>
              <w:bottom w:val="single" w:sz="4" w:space="0" w:color="auto"/>
              <w:right w:val="single" w:sz="4" w:space="0" w:color="auto"/>
            </w:tcBorders>
            <w:noWrap/>
          </w:tcPr>
          <w:p w14:paraId="0CA0467D" w14:textId="4B8D5CA9" w:rsidR="00FC1C48" w:rsidRPr="00FC1C48" w:rsidRDefault="00FC1C48" w:rsidP="00FC1C48">
            <w:pPr>
              <w:keepNext/>
              <w:jc w:val="right"/>
              <w:rPr>
                <w:sz w:val="20"/>
                <w:szCs w:val="20"/>
                <w:lang w:val="fr-FR" w:eastAsia="zh-CN"/>
              </w:rPr>
            </w:pPr>
            <w:r w:rsidRPr="00FC1C48">
              <w:rPr>
                <w:sz w:val="20"/>
                <w:szCs w:val="20"/>
                <w:lang w:val="fr-FR"/>
              </w:rPr>
              <w:t>221</w:t>
            </w:r>
            <w:r>
              <w:rPr>
                <w:sz w:val="20"/>
                <w:szCs w:val="20"/>
                <w:lang w:val="fr-FR"/>
              </w:rPr>
              <w:t> </w:t>
            </w:r>
            <w:r w:rsidRPr="00FC1C48">
              <w:rPr>
                <w:sz w:val="20"/>
                <w:szCs w:val="20"/>
                <w:lang w:val="fr-FR"/>
              </w:rPr>
              <w:t>191</w:t>
            </w:r>
          </w:p>
        </w:tc>
        <w:tc>
          <w:tcPr>
            <w:tcW w:w="530" w:type="pct"/>
            <w:tcBorders>
              <w:top w:val="nil"/>
              <w:left w:val="nil"/>
              <w:bottom w:val="single" w:sz="4" w:space="0" w:color="auto"/>
              <w:right w:val="single" w:sz="4" w:space="0" w:color="auto"/>
            </w:tcBorders>
          </w:tcPr>
          <w:p w14:paraId="7BBCD431" w14:textId="77777777" w:rsidR="00FC1C48" w:rsidRPr="00FC1C48" w:rsidRDefault="00FC1C48" w:rsidP="00FC1C48">
            <w:pPr>
              <w:keepNext/>
              <w:jc w:val="right"/>
              <w:rPr>
                <w:sz w:val="20"/>
                <w:szCs w:val="20"/>
                <w:lang w:val="fr-FR" w:eastAsia="en-CA"/>
              </w:rPr>
            </w:pPr>
            <w:r w:rsidRPr="00FC1C48">
              <w:rPr>
                <w:sz w:val="20"/>
                <w:szCs w:val="20"/>
                <w:lang w:val="fr-FR" w:eastAsia="en-CA"/>
              </w:rPr>
              <w:t>0</w:t>
            </w:r>
          </w:p>
        </w:tc>
        <w:tc>
          <w:tcPr>
            <w:tcW w:w="533" w:type="pct"/>
            <w:tcBorders>
              <w:top w:val="nil"/>
              <w:left w:val="nil"/>
              <w:bottom w:val="single" w:sz="4" w:space="0" w:color="auto"/>
              <w:right w:val="single" w:sz="4" w:space="0" w:color="auto"/>
            </w:tcBorders>
          </w:tcPr>
          <w:p w14:paraId="16255124" w14:textId="77777777" w:rsidR="00FC1C48" w:rsidRPr="00FC1C48" w:rsidRDefault="00FC1C48" w:rsidP="00FC1C48">
            <w:pPr>
              <w:keepNext/>
              <w:jc w:val="right"/>
              <w:rPr>
                <w:sz w:val="20"/>
                <w:szCs w:val="20"/>
                <w:lang w:val="fr-FR" w:eastAsia="en-CA"/>
              </w:rPr>
            </w:pPr>
            <w:r w:rsidRPr="00FC1C48">
              <w:rPr>
                <w:sz w:val="20"/>
                <w:szCs w:val="20"/>
                <w:lang w:val="fr-FR" w:eastAsia="en-CA"/>
              </w:rPr>
              <w:t>0</w:t>
            </w:r>
          </w:p>
        </w:tc>
        <w:tc>
          <w:tcPr>
            <w:tcW w:w="662" w:type="pct"/>
            <w:tcBorders>
              <w:top w:val="nil"/>
              <w:left w:val="nil"/>
              <w:bottom w:val="single" w:sz="4" w:space="0" w:color="auto"/>
              <w:right w:val="single" w:sz="4" w:space="0" w:color="auto"/>
            </w:tcBorders>
          </w:tcPr>
          <w:p w14:paraId="30A696F0" w14:textId="77777777" w:rsidR="00FC1C48" w:rsidRPr="00FC1C48" w:rsidRDefault="00FC1C48" w:rsidP="00FC1C48">
            <w:pPr>
              <w:keepNext/>
              <w:jc w:val="right"/>
              <w:rPr>
                <w:sz w:val="20"/>
                <w:szCs w:val="20"/>
                <w:lang w:val="fr-FR" w:eastAsia="en-CA"/>
              </w:rPr>
            </w:pPr>
            <w:r w:rsidRPr="00FC1C48">
              <w:rPr>
                <w:sz w:val="20"/>
                <w:szCs w:val="20"/>
                <w:lang w:val="fr-FR" w:eastAsia="en-CA"/>
              </w:rPr>
              <w:t>0</w:t>
            </w:r>
          </w:p>
        </w:tc>
        <w:tc>
          <w:tcPr>
            <w:tcW w:w="472" w:type="pct"/>
            <w:tcBorders>
              <w:top w:val="nil"/>
              <w:left w:val="nil"/>
              <w:bottom w:val="single" w:sz="4" w:space="0" w:color="auto"/>
              <w:right w:val="single" w:sz="4" w:space="0" w:color="auto"/>
            </w:tcBorders>
          </w:tcPr>
          <w:p w14:paraId="01F94C42" w14:textId="77777777" w:rsidR="00FC1C48" w:rsidRPr="00FC1C48" w:rsidRDefault="00FC1C48" w:rsidP="00FC1C48">
            <w:pPr>
              <w:keepNext/>
              <w:jc w:val="right"/>
              <w:rPr>
                <w:sz w:val="20"/>
                <w:szCs w:val="20"/>
                <w:lang w:val="fr-FR" w:eastAsia="en-CA"/>
              </w:rPr>
            </w:pPr>
            <w:r w:rsidRPr="00FC1C48">
              <w:rPr>
                <w:sz w:val="20"/>
                <w:szCs w:val="20"/>
                <w:lang w:val="fr-FR" w:eastAsia="en-CA"/>
              </w:rPr>
              <w:t>0</w:t>
            </w:r>
          </w:p>
        </w:tc>
        <w:tc>
          <w:tcPr>
            <w:tcW w:w="638" w:type="pct"/>
            <w:tcBorders>
              <w:top w:val="nil"/>
              <w:left w:val="single" w:sz="4" w:space="0" w:color="auto"/>
              <w:bottom w:val="single" w:sz="4" w:space="0" w:color="auto"/>
              <w:right w:val="single" w:sz="4" w:space="0" w:color="auto"/>
            </w:tcBorders>
            <w:noWrap/>
            <w:vAlign w:val="center"/>
          </w:tcPr>
          <w:p w14:paraId="53EF3600" w14:textId="743B1399" w:rsidR="00FC1C48" w:rsidRPr="00FC1C48" w:rsidRDefault="00FC1C48" w:rsidP="00FC1C48">
            <w:pPr>
              <w:keepNext/>
              <w:jc w:val="right"/>
              <w:rPr>
                <w:sz w:val="20"/>
                <w:szCs w:val="20"/>
                <w:lang w:val="fr-FR" w:eastAsia="en-CA"/>
              </w:rPr>
            </w:pPr>
            <w:r w:rsidRPr="00FC1C48">
              <w:rPr>
                <w:color w:val="000000"/>
                <w:sz w:val="20"/>
                <w:szCs w:val="20"/>
                <w:lang w:val="fr-FR"/>
              </w:rPr>
              <w:t>221</w:t>
            </w:r>
            <w:r>
              <w:rPr>
                <w:color w:val="000000"/>
                <w:sz w:val="20"/>
                <w:szCs w:val="20"/>
                <w:lang w:val="fr-FR"/>
              </w:rPr>
              <w:t> </w:t>
            </w:r>
            <w:r w:rsidRPr="00FC1C48">
              <w:rPr>
                <w:color w:val="000000"/>
                <w:sz w:val="20"/>
                <w:szCs w:val="20"/>
                <w:lang w:val="fr-FR"/>
              </w:rPr>
              <w:t>191</w:t>
            </w:r>
          </w:p>
        </w:tc>
        <w:tc>
          <w:tcPr>
            <w:tcW w:w="327" w:type="pct"/>
            <w:vMerge/>
            <w:tcBorders>
              <w:left w:val="single" w:sz="4" w:space="0" w:color="auto"/>
              <w:bottom w:val="single" w:sz="4" w:space="0" w:color="auto"/>
              <w:right w:val="single" w:sz="4" w:space="0" w:color="auto"/>
            </w:tcBorders>
            <w:vAlign w:val="center"/>
          </w:tcPr>
          <w:p w14:paraId="1AF7766C" w14:textId="77777777" w:rsidR="00FC1C48" w:rsidRPr="00FC1C48" w:rsidRDefault="00FC1C48" w:rsidP="00FC1C48">
            <w:pPr>
              <w:keepNext/>
              <w:jc w:val="left"/>
              <w:rPr>
                <w:sz w:val="20"/>
                <w:szCs w:val="20"/>
                <w:lang w:val="fr-FR" w:eastAsia="en-CA"/>
              </w:rPr>
            </w:pPr>
          </w:p>
        </w:tc>
      </w:tr>
      <w:tr w:rsidR="00FC1C48" w:rsidRPr="00FC1C48" w14:paraId="67469E48" w14:textId="77777777" w:rsidTr="00FC1C48">
        <w:trPr>
          <w:trHeight w:val="300"/>
        </w:trPr>
        <w:tc>
          <w:tcPr>
            <w:tcW w:w="606" w:type="pct"/>
            <w:vMerge w:val="restart"/>
            <w:tcBorders>
              <w:top w:val="nil"/>
              <w:left w:val="single" w:sz="4" w:space="0" w:color="auto"/>
              <w:bottom w:val="single" w:sz="4" w:space="0" w:color="auto"/>
              <w:right w:val="single" w:sz="4" w:space="0" w:color="auto"/>
            </w:tcBorders>
            <w:vAlign w:val="center"/>
            <w:hideMark/>
          </w:tcPr>
          <w:p w14:paraId="263CFC0F" w14:textId="77777777" w:rsidR="00FC1C48" w:rsidRPr="00FC1C48" w:rsidRDefault="00FC1C48" w:rsidP="00FC1C48">
            <w:pPr>
              <w:keepNext/>
              <w:jc w:val="left"/>
              <w:rPr>
                <w:b/>
                <w:bCs/>
                <w:sz w:val="20"/>
                <w:szCs w:val="20"/>
                <w:lang w:val="fr-FR" w:eastAsia="en-CA"/>
              </w:rPr>
            </w:pPr>
            <w:r w:rsidRPr="00FC1C48">
              <w:rPr>
                <w:b/>
                <w:bCs/>
                <w:sz w:val="20"/>
                <w:szCs w:val="20"/>
                <w:lang w:val="fr-FR" w:eastAsia="en-CA"/>
              </w:rPr>
              <w:t>Total</w:t>
            </w:r>
          </w:p>
        </w:tc>
        <w:tc>
          <w:tcPr>
            <w:tcW w:w="609" w:type="pct"/>
            <w:tcBorders>
              <w:top w:val="nil"/>
              <w:left w:val="nil"/>
              <w:bottom w:val="single" w:sz="4" w:space="0" w:color="auto"/>
              <w:right w:val="single" w:sz="4" w:space="0" w:color="auto"/>
            </w:tcBorders>
            <w:vAlign w:val="center"/>
            <w:hideMark/>
          </w:tcPr>
          <w:p w14:paraId="0C9E9362" w14:textId="79CC9AC2" w:rsidR="00FC1C48" w:rsidRPr="00FC1C48" w:rsidRDefault="00FC1C48" w:rsidP="00FC1C48">
            <w:pPr>
              <w:keepNext/>
              <w:ind w:right="-225"/>
              <w:rPr>
                <w:b/>
                <w:sz w:val="20"/>
                <w:szCs w:val="20"/>
                <w:lang w:val="fr-FR" w:eastAsia="en-CA"/>
              </w:rPr>
            </w:pPr>
            <w:r w:rsidRPr="00FC1C48">
              <w:rPr>
                <w:b/>
                <w:sz w:val="20"/>
                <w:szCs w:val="20"/>
                <w:lang w:val="fr-FR" w:eastAsia="en-CA"/>
              </w:rPr>
              <w:t>Approuvé</w:t>
            </w:r>
          </w:p>
        </w:tc>
        <w:tc>
          <w:tcPr>
            <w:tcW w:w="623" w:type="pct"/>
            <w:tcBorders>
              <w:top w:val="single" w:sz="4" w:space="0" w:color="auto"/>
              <w:left w:val="single" w:sz="4" w:space="0" w:color="auto"/>
              <w:bottom w:val="single" w:sz="4" w:space="0" w:color="auto"/>
              <w:right w:val="single" w:sz="4" w:space="0" w:color="auto"/>
            </w:tcBorders>
            <w:vAlign w:val="center"/>
            <w:hideMark/>
          </w:tcPr>
          <w:p w14:paraId="3A88D877" w14:textId="74854D7F" w:rsidR="00FC1C48" w:rsidRPr="00FC1C48" w:rsidRDefault="00FC1C48" w:rsidP="00FC1C48">
            <w:pPr>
              <w:keepNext/>
              <w:jc w:val="right"/>
              <w:rPr>
                <w:b/>
                <w:bCs/>
                <w:sz w:val="20"/>
                <w:szCs w:val="20"/>
                <w:lang w:val="fr-FR" w:eastAsia="en-CA"/>
              </w:rPr>
            </w:pPr>
            <w:r w:rsidRPr="00FC1C48">
              <w:rPr>
                <w:b/>
                <w:bCs/>
                <w:color w:val="000000"/>
                <w:sz w:val="20"/>
                <w:szCs w:val="20"/>
                <w:lang w:val="fr-FR"/>
              </w:rPr>
              <w:t>5</w:t>
            </w:r>
            <w:r>
              <w:rPr>
                <w:b/>
                <w:bCs/>
                <w:color w:val="000000"/>
                <w:sz w:val="20"/>
                <w:szCs w:val="20"/>
                <w:lang w:val="fr-FR"/>
              </w:rPr>
              <w:t> </w:t>
            </w:r>
            <w:r w:rsidRPr="00FC1C48">
              <w:rPr>
                <w:b/>
                <w:bCs/>
                <w:color w:val="000000"/>
                <w:sz w:val="20"/>
                <w:szCs w:val="20"/>
                <w:lang w:val="fr-FR"/>
              </w:rPr>
              <w:t>806</w:t>
            </w:r>
            <w:r>
              <w:rPr>
                <w:b/>
                <w:bCs/>
                <w:color w:val="000000"/>
                <w:sz w:val="20"/>
                <w:szCs w:val="20"/>
                <w:lang w:val="fr-FR"/>
              </w:rPr>
              <w:t> </w:t>
            </w:r>
            <w:r w:rsidRPr="00FC1C48">
              <w:rPr>
                <w:b/>
                <w:bCs/>
                <w:color w:val="000000"/>
                <w:sz w:val="20"/>
                <w:szCs w:val="20"/>
                <w:lang w:val="fr-FR"/>
              </w:rPr>
              <w:t>093</w:t>
            </w:r>
          </w:p>
        </w:tc>
        <w:tc>
          <w:tcPr>
            <w:tcW w:w="530" w:type="pct"/>
            <w:tcBorders>
              <w:top w:val="single" w:sz="4" w:space="0" w:color="auto"/>
              <w:left w:val="nil"/>
              <w:bottom w:val="single" w:sz="4" w:space="0" w:color="auto"/>
              <w:right w:val="single" w:sz="4" w:space="0" w:color="auto"/>
            </w:tcBorders>
            <w:vAlign w:val="center"/>
            <w:hideMark/>
          </w:tcPr>
          <w:p w14:paraId="2EE51A1C" w14:textId="3D0C535A" w:rsidR="00FC1C48" w:rsidRPr="00FC1C48" w:rsidRDefault="00FC1C48" w:rsidP="00FC1C48">
            <w:pPr>
              <w:keepNext/>
              <w:ind w:left="-112"/>
              <w:jc w:val="right"/>
              <w:rPr>
                <w:b/>
                <w:bCs/>
                <w:sz w:val="20"/>
                <w:szCs w:val="20"/>
                <w:lang w:val="fr-FR" w:eastAsia="en-CA"/>
              </w:rPr>
            </w:pPr>
            <w:r w:rsidRPr="00FC1C48">
              <w:rPr>
                <w:b/>
                <w:bCs/>
                <w:color w:val="000000"/>
                <w:sz w:val="20"/>
                <w:szCs w:val="20"/>
                <w:lang w:val="fr-FR"/>
              </w:rPr>
              <w:t>1</w:t>
            </w:r>
            <w:r>
              <w:rPr>
                <w:b/>
                <w:bCs/>
                <w:color w:val="000000"/>
                <w:sz w:val="20"/>
                <w:szCs w:val="20"/>
                <w:lang w:val="fr-FR"/>
              </w:rPr>
              <w:t> </w:t>
            </w:r>
            <w:r w:rsidRPr="00FC1C48">
              <w:rPr>
                <w:b/>
                <w:bCs/>
                <w:color w:val="000000"/>
                <w:sz w:val="20"/>
                <w:szCs w:val="20"/>
                <w:lang w:val="fr-FR"/>
              </w:rPr>
              <w:t>205</w:t>
            </w:r>
            <w:r>
              <w:rPr>
                <w:b/>
                <w:bCs/>
                <w:color w:val="000000"/>
                <w:sz w:val="20"/>
                <w:szCs w:val="20"/>
                <w:lang w:val="fr-FR"/>
              </w:rPr>
              <w:t> </w:t>
            </w:r>
            <w:r w:rsidRPr="00FC1C48">
              <w:rPr>
                <w:b/>
                <w:bCs/>
                <w:color w:val="000000"/>
                <w:sz w:val="20"/>
                <w:szCs w:val="20"/>
                <w:lang w:val="fr-FR"/>
              </w:rPr>
              <w:t>866</w:t>
            </w:r>
          </w:p>
        </w:tc>
        <w:tc>
          <w:tcPr>
            <w:tcW w:w="533" w:type="pct"/>
            <w:tcBorders>
              <w:top w:val="single" w:sz="4" w:space="0" w:color="auto"/>
              <w:left w:val="nil"/>
              <w:bottom w:val="single" w:sz="4" w:space="0" w:color="auto"/>
              <w:right w:val="single" w:sz="4" w:space="0" w:color="auto"/>
            </w:tcBorders>
            <w:vAlign w:val="center"/>
            <w:hideMark/>
          </w:tcPr>
          <w:p w14:paraId="26276596" w14:textId="4E9942E7" w:rsidR="00FC1C48" w:rsidRPr="00FC1C48" w:rsidRDefault="00FC1C48" w:rsidP="00FC1C48">
            <w:pPr>
              <w:keepNext/>
              <w:ind w:left="-149"/>
              <w:jc w:val="right"/>
              <w:rPr>
                <w:b/>
                <w:bCs/>
                <w:sz w:val="20"/>
                <w:szCs w:val="20"/>
                <w:lang w:val="fr-FR" w:eastAsia="en-CA"/>
              </w:rPr>
            </w:pPr>
            <w:r w:rsidRPr="00FC1C48">
              <w:rPr>
                <w:b/>
                <w:bCs/>
                <w:color w:val="000000"/>
                <w:sz w:val="20"/>
                <w:szCs w:val="20"/>
                <w:lang w:val="fr-FR"/>
              </w:rPr>
              <w:t>684</w:t>
            </w:r>
            <w:r>
              <w:rPr>
                <w:b/>
                <w:bCs/>
                <w:color w:val="000000"/>
                <w:sz w:val="20"/>
                <w:szCs w:val="20"/>
                <w:lang w:val="fr-FR"/>
              </w:rPr>
              <w:t> </w:t>
            </w:r>
            <w:r w:rsidRPr="00FC1C48">
              <w:rPr>
                <w:b/>
                <w:bCs/>
                <w:color w:val="000000"/>
                <w:sz w:val="20"/>
                <w:szCs w:val="20"/>
                <w:lang w:val="fr-FR"/>
              </w:rPr>
              <w:t>569</w:t>
            </w:r>
          </w:p>
        </w:tc>
        <w:tc>
          <w:tcPr>
            <w:tcW w:w="662" w:type="pct"/>
            <w:tcBorders>
              <w:top w:val="single" w:sz="4" w:space="0" w:color="auto"/>
              <w:left w:val="nil"/>
              <w:bottom w:val="single" w:sz="4" w:space="0" w:color="auto"/>
              <w:right w:val="single" w:sz="4" w:space="0" w:color="auto"/>
            </w:tcBorders>
            <w:vAlign w:val="center"/>
            <w:hideMark/>
          </w:tcPr>
          <w:p w14:paraId="5070F4EC" w14:textId="02C92F53" w:rsidR="00FC1C48" w:rsidRPr="00FC1C48" w:rsidRDefault="00FC1C48" w:rsidP="00FC1C48">
            <w:pPr>
              <w:keepNext/>
              <w:jc w:val="right"/>
              <w:rPr>
                <w:b/>
                <w:bCs/>
                <w:sz w:val="20"/>
                <w:szCs w:val="20"/>
                <w:lang w:val="fr-FR" w:eastAsia="en-CA"/>
              </w:rPr>
            </w:pPr>
            <w:r w:rsidRPr="00FC1C48">
              <w:rPr>
                <w:b/>
                <w:bCs/>
                <w:color w:val="000000"/>
                <w:sz w:val="20"/>
                <w:szCs w:val="20"/>
                <w:lang w:val="fr-FR"/>
              </w:rPr>
              <w:t>1</w:t>
            </w:r>
            <w:r>
              <w:rPr>
                <w:b/>
                <w:bCs/>
                <w:color w:val="000000"/>
                <w:sz w:val="20"/>
                <w:szCs w:val="20"/>
                <w:lang w:val="fr-FR"/>
              </w:rPr>
              <w:t> </w:t>
            </w:r>
            <w:r w:rsidRPr="00FC1C48">
              <w:rPr>
                <w:b/>
                <w:bCs/>
                <w:color w:val="000000"/>
                <w:sz w:val="20"/>
                <w:szCs w:val="20"/>
                <w:lang w:val="fr-FR"/>
              </w:rPr>
              <w:t>645</w:t>
            </w:r>
            <w:r>
              <w:rPr>
                <w:b/>
                <w:bCs/>
                <w:color w:val="000000"/>
                <w:sz w:val="20"/>
                <w:szCs w:val="20"/>
                <w:lang w:val="fr-FR"/>
              </w:rPr>
              <w:t> </w:t>
            </w:r>
            <w:r w:rsidRPr="00FC1C48">
              <w:rPr>
                <w:b/>
                <w:bCs/>
                <w:color w:val="000000"/>
                <w:sz w:val="20"/>
                <w:szCs w:val="20"/>
                <w:lang w:val="fr-FR"/>
              </w:rPr>
              <w:t>127</w:t>
            </w:r>
          </w:p>
        </w:tc>
        <w:tc>
          <w:tcPr>
            <w:tcW w:w="472" w:type="pct"/>
            <w:tcBorders>
              <w:top w:val="single" w:sz="4" w:space="0" w:color="auto"/>
              <w:left w:val="nil"/>
              <w:bottom w:val="single" w:sz="4" w:space="0" w:color="auto"/>
              <w:right w:val="single" w:sz="4" w:space="0" w:color="auto"/>
            </w:tcBorders>
            <w:vAlign w:val="center"/>
            <w:hideMark/>
          </w:tcPr>
          <w:p w14:paraId="1870DBE0" w14:textId="76B734F2" w:rsidR="00FC1C48" w:rsidRPr="00FC1C48" w:rsidRDefault="00FC1C48" w:rsidP="00FC1C48">
            <w:pPr>
              <w:keepNext/>
              <w:ind w:left="-121" w:right="-15"/>
              <w:jc w:val="right"/>
              <w:rPr>
                <w:b/>
                <w:bCs/>
                <w:sz w:val="20"/>
                <w:szCs w:val="20"/>
                <w:lang w:val="fr-FR" w:eastAsia="en-CA"/>
              </w:rPr>
            </w:pPr>
            <w:r w:rsidRPr="00FC1C48">
              <w:rPr>
                <w:b/>
                <w:bCs/>
                <w:color w:val="000000"/>
                <w:sz w:val="20"/>
                <w:szCs w:val="20"/>
                <w:lang w:val="fr-FR"/>
              </w:rPr>
              <w:t>907</w:t>
            </w:r>
            <w:r>
              <w:rPr>
                <w:b/>
                <w:bCs/>
                <w:color w:val="000000"/>
                <w:sz w:val="20"/>
                <w:szCs w:val="20"/>
                <w:lang w:val="fr-FR"/>
              </w:rPr>
              <w:t> </w:t>
            </w:r>
            <w:r w:rsidRPr="00FC1C48">
              <w:rPr>
                <w:b/>
                <w:bCs/>
                <w:color w:val="000000"/>
                <w:sz w:val="20"/>
                <w:szCs w:val="20"/>
                <w:lang w:val="fr-FR"/>
              </w:rPr>
              <w:t>207</w:t>
            </w:r>
          </w:p>
        </w:tc>
        <w:tc>
          <w:tcPr>
            <w:tcW w:w="638" w:type="pct"/>
            <w:tcBorders>
              <w:top w:val="single" w:sz="4" w:space="0" w:color="auto"/>
              <w:left w:val="nil"/>
              <w:bottom w:val="single" w:sz="4" w:space="0" w:color="auto"/>
              <w:right w:val="single" w:sz="4" w:space="0" w:color="auto"/>
            </w:tcBorders>
            <w:noWrap/>
            <w:vAlign w:val="center"/>
            <w:hideMark/>
          </w:tcPr>
          <w:p w14:paraId="3CAFE78F" w14:textId="15159088" w:rsidR="00FC1C48" w:rsidRPr="00FC1C48" w:rsidRDefault="00FC1C48" w:rsidP="00FC1C48">
            <w:pPr>
              <w:keepNext/>
              <w:ind w:left="-175"/>
              <w:jc w:val="right"/>
              <w:rPr>
                <w:b/>
                <w:bCs/>
                <w:sz w:val="20"/>
                <w:szCs w:val="20"/>
                <w:lang w:val="fr-FR" w:eastAsia="en-CA"/>
              </w:rPr>
            </w:pPr>
            <w:r w:rsidRPr="00FC1C48">
              <w:rPr>
                <w:b/>
                <w:bCs/>
                <w:color w:val="000000"/>
                <w:sz w:val="20"/>
                <w:szCs w:val="20"/>
                <w:lang w:val="fr-FR"/>
              </w:rPr>
              <w:t>10</w:t>
            </w:r>
            <w:r>
              <w:rPr>
                <w:b/>
                <w:bCs/>
                <w:color w:val="000000"/>
                <w:sz w:val="20"/>
                <w:szCs w:val="20"/>
                <w:lang w:val="fr-FR"/>
              </w:rPr>
              <w:t> </w:t>
            </w:r>
            <w:r w:rsidRPr="00FC1C48">
              <w:rPr>
                <w:b/>
                <w:bCs/>
                <w:color w:val="000000"/>
                <w:sz w:val="20"/>
                <w:szCs w:val="20"/>
                <w:lang w:val="fr-FR"/>
              </w:rPr>
              <w:t>248</w:t>
            </w:r>
            <w:r>
              <w:rPr>
                <w:b/>
                <w:bCs/>
                <w:color w:val="000000"/>
                <w:sz w:val="20"/>
                <w:szCs w:val="20"/>
                <w:lang w:val="fr-FR"/>
              </w:rPr>
              <w:t> </w:t>
            </w:r>
            <w:r w:rsidRPr="00FC1C48">
              <w:rPr>
                <w:b/>
                <w:bCs/>
                <w:color w:val="000000"/>
                <w:sz w:val="20"/>
                <w:szCs w:val="20"/>
                <w:lang w:val="fr-FR"/>
              </w:rPr>
              <w:t>862</w:t>
            </w:r>
          </w:p>
        </w:tc>
        <w:tc>
          <w:tcPr>
            <w:tcW w:w="327" w:type="pct"/>
            <w:vMerge w:val="restart"/>
            <w:tcBorders>
              <w:top w:val="nil"/>
              <w:left w:val="single" w:sz="4" w:space="0" w:color="auto"/>
              <w:bottom w:val="single" w:sz="4" w:space="0" w:color="auto"/>
              <w:right w:val="single" w:sz="4" w:space="0" w:color="auto"/>
            </w:tcBorders>
            <w:vAlign w:val="center"/>
            <w:hideMark/>
          </w:tcPr>
          <w:p w14:paraId="435321DB" w14:textId="77777777" w:rsidR="00FC1C48" w:rsidRPr="00FC1C48" w:rsidRDefault="00FC1C48" w:rsidP="00FC1C48">
            <w:pPr>
              <w:keepNext/>
              <w:jc w:val="center"/>
              <w:rPr>
                <w:b/>
                <w:bCs/>
                <w:sz w:val="20"/>
                <w:szCs w:val="20"/>
                <w:lang w:val="fr-FR" w:eastAsia="en-CA"/>
              </w:rPr>
            </w:pPr>
            <w:r w:rsidRPr="00FC1C48">
              <w:rPr>
                <w:b/>
                <w:bCs/>
                <w:sz w:val="20"/>
                <w:szCs w:val="20"/>
                <w:lang w:val="fr-FR" w:eastAsia="en-CA"/>
              </w:rPr>
              <w:t>89</w:t>
            </w:r>
          </w:p>
        </w:tc>
      </w:tr>
      <w:tr w:rsidR="00FC1C48" w:rsidRPr="00FC1C48" w14:paraId="04F33ED9" w14:textId="77777777" w:rsidTr="00FC1C48">
        <w:trPr>
          <w:trHeight w:val="300"/>
        </w:trPr>
        <w:tc>
          <w:tcPr>
            <w:tcW w:w="606" w:type="pct"/>
            <w:vMerge/>
            <w:tcBorders>
              <w:top w:val="nil"/>
              <w:left w:val="single" w:sz="4" w:space="0" w:color="auto"/>
              <w:bottom w:val="single" w:sz="4" w:space="0" w:color="auto"/>
              <w:right w:val="single" w:sz="4" w:space="0" w:color="auto"/>
            </w:tcBorders>
            <w:vAlign w:val="center"/>
            <w:hideMark/>
          </w:tcPr>
          <w:p w14:paraId="1B331430" w14:textId="77777777" w:rsidR="00FC1C48" w:rsidRPr="00FC1C48" w:rsidRDefault="00FC1C48" w:rsidP="00FC1C48">
            <w:pPr>
              <w:keepNext/>
              <w:jc w:val="left"/>
              <w:rPr>
                <w:b/>
                <w:bCs/>
                <w:sz w:val="20"/>
                <w:szCs w:val="20"/>
                <w:lang w:val="fr-FR" w:eastAsia="en-CA"/>
              </w:rPr>
            </w:pPr>
          </w:p>
        </w:tc>
        <w:tc>
          <w:tcPr>
            <w:tcW w:w="609" w:type="pct"/>
            <w:tcBorders>
              <w:top w:val="nil"/>
              <w:left w:val="nil"/>
              <w:bottom w:val="single" w:sz="4" w:space="0" w:color="auto"/>
              <w:right w:val="single" w:sz="4" w:space="0" w:color="auto"/>
            </w:tcBorders>
            <w:vAlign w:val="center"/>
            <w:hideMark/>
          </w:tcPr>
          <w:p w14:paraId="119A3BB9" w14:textId="4AD4972A" w:rsidR="00FC1C48" w:rsidRPr="00FC1C48" w:rsidRDefault="00FC1C48" w:rsidP="00FC1C48">
            <w:pPr>
              <w:keepNext/>
              <w:ind w:right="-83"/>
              <w:rPr>
                <w:b/>
                <w:sz w:val="20"/>
                <w:szCs w:val="20"/>
                <w:lang w:val="fr-FR" w:eastAsia="en-CA"/>
              </w:rPr>
            </w:pPr>
            <w:r w:rsidRPr="00FC1C48">
              <w:rPr>
                <w:b/>
                <w:sz w:val="20"/>
                <w:szCs w:val="20"/>
                <w:lang w:val="fr-FR" w:eastAsia="en-CA"/>
              </w:rPr>
              <w:t>Décaissé</w:t>
            </w:r>
          </w:p>
        </w:tc>
        <w:tc>
          <w:tcPr>
            <w:tcW w:w="623" w:type="pct"/>
            <w:tcBorders>
              <w:top w:val="nil"/>
              <w:left w:val="single" w:sz="4" w:space="0" w:color="auto"/>
              <w:bottom w:val="single" w:sz="4" w:space="0" w:color="auto"/>
              <w:right w:val="single" w:sz="4" w:space="0" w:color="auto"/>
            </w:tcBorders>
            <w:vAlign w:val="center"/>
            <w:hideMark/>
          </w:tcPr>
          <w:p w14:paraId="64F1EA38" w14:textId="0CDB6E28" w:rsidR="00FC1C48" w:rsidRPr="00FC1C48" w:rsidRDefault="00FC1C48" w:rsidP="00FC1C48">
            <w:pPr>
              <w:keepNext/>
              <w:jc w:val="right"/>
              <w:rPr>
                <w:b/>
                <w:bCs/>
                <w:sz w:val="20"/>
                <w:szCs w:val="20"/>
                <w:lang w:val="fr-FR" w:eastAsia="en-CA"/>
              </w:rPr>
            </w:pPr>
            <w:r w:rsidRPr="00FC1C48">
              <w:rPr>
                <w:b/>
                <w:bCs/>
                <w:color w:val="000000"/>
                <w:sz w:val="20"/>
                <w:szCs w:val="20"/>
                <w:lang w:val="fr-FR"/>
              </w:rPr>
              <w:t>4</w:t>
            </w:r>
            <w:r>
              <w:rPr>
                <w:b/>
                <w:bCs/>
                <w:color w:val="000000"/>
                <w:sz w:val="20"/>
                <w:szCs w:val="20"/>
                <w:lang w:val="fr-FR"/>
              </w:rPr>
              <w:t> </w:t>
            </w:r>
            <w:r w:rsidRPr="00FC1C48">
              <w:rPr>
                <w:b/>
                <w:bCs/>
                <w:color w:val="000000"/>
                <w:sz w:val="20"/>
                <w:szCs w:val="20"/>
                <w:lang w:val="fr-FR"/>
              </w:rPr>
              <w:t>903</w:t>
            </w:r>
            <w:r>
              <w:rPr>
                <w:b/>
                <w:bCs/>
                <w:color w:val="000000"/>
                <w:sz w:val="20"/>
                <w:szCs w:val="20"/>
                <w:lang w:val="fr-FR"/>
              </w:rPr>
              <w:t> </w:t>
            </w:r>
            <w:r w:rsidRPr="00FC1C48">
              <w:rPr>
                <w:b/>
                <w:bCs/>
                <w:color w:val="000000"/>
                <w:sz w:val="20"/>
                <w:szCs w:val="20"/>
                <w:lang w:val="fr-FR"/>
              </w:rPr>
              <w:t>882</w:t>
            </w:r>
          </w:p>
        </w:tc>
        <w:tc>
          <w:tcPr>
            <w:tcW w:w="530" w:type="pct"/>
            <w:tcBorders>
              <w:top w:val="nil"/>
              <w:left w:val="nil"/>
              <w:bottom w:val="single" w:sz="4" w:space="0" w:color="auto"/>
              <w:right w:val="single" w:sz="4" w:space="0" w:color="auto"/>
            </w:tcBorders>
            <w:vAlign w:val="center"/>
            <w:hideMark/>
          </w:tcPr>
          <w:p w14:paraId="2FB34128" w14:textId="1937F81A" w:rsidR="00FC1C48" w:rsidRPr="00FC1C48" w:rsidRDefault="00FC1C48" w:rsidP="00FC1C48">
            <w:pPr>
              <w:keepNext/>
              <w:ind w:left="-135"/>
              <w:jc w:val="right"/>
              <w:rPr>
                <w:b/>
                <w:bCs/>
                <w:sz w:val="20"/>
                <w:szCs w:val="20"/>
                <w:lang w:val="fr-FR" w:eastAsia="en-CA"/>
              </w:rPr>
            </w:pPr>
            <w:r w:rsidRPr="00FC1C48">
              <w:rPr>
                <w:b/>
                <w:bCs/>
                <w:sz w:val="20"/>
                <w:szCs w:val="20"/>
                <w:lang w:val="fr-FR" w:eastAsia="en-CA"/>
              </w:rPr>
              <w:t>1</w:t>
            </w:r>
            <w:r>
              <w:rPr>
                <w:b/>
                <w:bCs/>
                <w:sz w:val="20"/>
                <w:szCs w:val="20"/>
                <w:lang w:val="fr-FR" w:eastAsia="en-CA"/>
              </w:rPr>
              <w:t> </w:t>
            </w:r>
            <w:r w:rsidRPr="00FC1C48">
              <w:rPr>
                <w:b/>
                <w:bCs/>
                <w:sz w:val="20"/>
                <w:szCs w:val="20"/>
                <w:lang w:val="fr-FR" w:eastAsia="en-CA"/>
              </w:rPr>
              <w:t>194</w:t>
            </w:r>
            <w:r>
              <w:rPr>
                <w:b/>
                <w:bCs/>
                <w:sz w:val="20"/>
                <w:szCs w:val="20"/>
                <w:lang w:val="fr-FR" w:eastAsia="en-CA"/>
              </w:rPr>
              <w:t> </w:t>
            </w:r>
            <w:r w:rsidRPr="00FC1C48">
              <w:rPr>
                <w:b/>
                <w:bCs/>
                <w:sz w:val="20"/>
                <w:szCs w:val="20"/>
                <w:lang w:val="fr-FR" w:eastAsia="en-CA"/>
              </w:rPr>
              <w:t>686</w:t>
            </w:r>
          </w:p>
        </w:tc>
        <w:tc>
          <w:tcPr>
            <w:tcW w:w="533" w:type="pct"/>
            <w:tcBorders>
              <w:top w:val="nil"/>
              <w:left w:val="nil"/>
              <w:bottom w:val="single" w:sz="4" w:space="0" w:color="auto"/>
              <w:right w:val="single" w:sz="4" w:space="0" w:color="auto"/>
            </w:tcBorders>
            <w:vAlign w:val="center"/>
            <w:hideMark/>
          </w:tcPr>
          <w:p w14:paraId="0AD77B12" w14:textId="1157B6CD" w:rsidR="00FC1C48" w:rsidRPr="00FC1C48" w:rsidRDefault="00FC1C48" w:rsidP="00FC1C48">
            <w:pPr>
              <w:keepNext/>
              <w:ind w:left="-149"/>
              <w:jc w:val="right"/>
              <w:rPr>
                <w:b/>
                <w:bCs/>
                <w:sz w:val="20"/>
                <w:szCs w:val="20"/>
                <w:lang w:val="fr-FR" w:eastAsia="en-CA"/>
              </w:rPr>
            </w:pPr>
            <w:r w:rsidRPr="00FC1C48">
              <w:rPr>
                <w:b/>
                <w:bCs/>
                <w:color w:val="000000"/>
                <w:sz w:val="20"/>
                <w:szCs w:val="20"/>
                <w:lang w:val="fr-FR"/>
              </w:rPr>
              <w:t>452</w:t>
            </w:r>
            <w:r>
              <w:rPr>
                <w:b/>
                <w:bCs/>
                <w:color w:val="000000"/>
                <w:sz w:val="20"/>
                <w:szCs w:val="20"/>
                <w:lang w:val="fr-FR"/>
              </w:rPr>
              <w:t> </w:t>
            </w:r>
            <w:r w:rsidRPr="00FC1C48">
              <w:rPr>
                <w:b/>
                <w:bCs/>
                <w:color w:val="000000"/>
                <w:sz w:val="20"/>
                <w:szCs w:val="20"/>
                <w:lang w:val="fr-FR"/>
              </w:rPr>
              <w:t>555</w:t>
            </w:r>
          </w:p>
        </w:tc>
        <w:tc>
          <w:tcPr>
            <w:tcW w:w="662" w:type="pct"/>
            <w:tcBorders>
              <w:top w:val="nil"/>
              <w:left w:val="nil"/>
              <w:bottom w:val="single" w:sz="4" w:space="0" w:color="auto"/>
              <w:right w:val="single" w:sz="4" w:space="0" w:color="auto"/>
            </w:tcBorders>
            <w:vAlign w:val="center"/>
            <w:hideMark/>
          </w:tcPr>
          <w:p w14:paraId="0799055C" w14:textId="0DD9DFDB" w:rsidR="00FC1C48" w:rsidRPr="00FC1C48" w:rsidRDefault="00FC1C48" w:rsidP="00FC1C48">
            <w:pPr>
              <w:keepNext/>
              <w:jc w:val="right"/>
              <w:rPr>
                <w:b/>
                <w:bCs/>
                <w:sz w:val="20"/>
                <w:szCs w:val="20"/>
                <w:lang w:val="fr-FR" w:eastAsia="en-CA"/>
              </w:rPr>
            </w:pPr>
            <w:r w:rsidRPr="00FC1C48">
              <w:rPr>
                <w:b/>
                <w:bCs/>
                <w:color w:val="000000"/>
                <w:sz w:val="20"/>
                <w:szCs w:val="20"/>
                <w:lang w:val="fr-FR"/>
              </w:rPr>
              <w:t>1</w:t>
            </w:r>
            <w:r>
              <w:rPr>
                <w:b/>
                <w:bCs/>
                <w:color w:val="000000"/>
                <w:sz w:val="20"/>
                <w:szCs w:val="20"/>
                <w:lang w:val="fr-FR"/>
              </w:rPr>
              <w:t> </w:t>
            </w:r>
            <w:r w:rsidRPr="00FC1C48">
              <w:rPr>
                <w:b/>
                <w:bCs/>
                <w:color w:val="000000"/>
                <w:sz w:val="20"/>
                <w:szCs w:val="20"/>
                <w:lang w:val="fr-FR"/>
              </w:rPr>
              <w:t>645</w:t>
            </w:r>
            <w:r>
              <w:rPr>
                <w:b/>
                <w:bCs/>
                <w:color w:val="000000"/>
                <w:sz w:val="20"/>
                <w:szCs w:val="20"/>
                <w:lang w:val="fr-FR"/>
              </w:rPr>
              <w:t> </w:t>
            </w:r>
            <w:r w:rsidRPr="00FC1C48">
              <w:rPr>
                <w:b/>
                <w:bCs/>
                <w:color w:val="000000"/>
                <w:sz w:val="20"/>
                <w:szCs w:val="20"/>
                <w:lang w:val="fr-FR"/>
              </w:rPr>
              <w:t>127</w:t>
            </w:r>
          </w:p>
        </w:tc>
        <w:tc>
          <w:tcPr>
            <w:tcW w:w="472" w:type="pct"/>
            <w:tcBorders>
              <w:top w:val="nil"/>
              <w:left w:val="nil"/>
              <w:bottom w:val="single" w:sz="4" w:space="0" w:color="auto"/>
              <w:right w:val="single" w:sz="4" w:space="0" w:color="auto"/>
            </w:tcBorders>
            <w:vAlign w:val="center"/>
            <w:hideMark/>
          </w:tcPr>
          <w:p w14:paraId="146F4728" w14:textId="58C33F06" w:rsidR="00FC1C48" w:rsidRPr="00FC1C48" w:rsidRDefault="00FC1C48" w:rsidP="00FC1C48">
            <w:pPr>
              <w:keepNext/>
              <w:ind w:left="-121"/>
              <w:jc w:val="right"/>
              <w:rPr>
                <w:b/>
                <w:bCs/>
                <w:sz w:val="20"/>
                <w:szCs w:val="20"/>
                <w:lang w:val="fr-FR" w:eastAsia="en-CA"/>
              </w:rPr>
            </w:pPr>
            <w:r w:rsidRPr="00FC1C48">
              <w:rPr>
                <w:b/>
                <w:bCs/>
                <w:color w:val="000000"/>
                <w:sz w:val="20"/>
                <w:szCs w:val="20"/>
                <w:lang w:val="fr-FR"/>
              </w:rPr>
              <w:t>905</w:t>
            </w:r>
            <w:r>
              <w:rPr>
                <w:b/>
                <w:bCs/>
                <w:color w:val="000000"/>
                <w:sz w:val="20"/>
                <w:szCs w:val="20"/>
                <w:lang w:val="fr-FR"/>
              </w:rPr>
              <w:t> </w:t>
            </w:r>
            <w:r w:rsidRPr="00FC1C48">
              <w:rPr>
                <w:b/>
                <w:bCs/>
                <w:color w:val="000000"/>
                <w:sz w:val="20"/>
                <w:szCs w:val="20"/>
                <w:lang w:val="fr-FR"/>
              </w:rPr>
              <w:t>438</w:t>
            </w:r>
          </w:p>
        </w:tc>
        <w:tc>
          <w:tcPr>
            <w:tcW w:w="638" w:type="pct"/>
            <w:tcBorders>
              <w:top w:val="nil"/>
              <w:left w:val="nil"/>
              <w:bottom w:val="single" w:sz="4" w:space="0" w:color="auto"/>
              <w:right w:val="single" w:sz="4" w:space="0" w:color="auto"/>
            </w:tcBorders>
            <w:noWrap/>
            <w:vAlign w:val="center"/>
            <w:hideMark/>
          </w:tcPr>
          <w:p w14:paraId="0C098DDF" w14:textId="714BC0ED" w:rsidR="00FC1C48" w:rsidRPr="00FC1C48" w:rsidRDefault="00FC1C48" w:rsidP="00FC1C48">
            <w:pPr>
              <w:keepNext/>
              <w:jc w:val="right"/>
              <w:rPr>
                <w:b/>
                <w:bCs/>
                <w:sz w:val="20"/>
                <w:szCs w:val="20"/>
                <w:lang w:val="fr-FR" w:eastAsia="en-CA"/>
              </w:rPr>
            </w:pPr>
            <w:r w:rsidRPr="00FC1C48">
              <w:rPr>
                <w:b/>
                <w:bCs/>
                <w:color w:val="000000"/>
                <w:sz w:val="20"/>
                <w:szCs w:val="20"/>
                <w:lang w:val="fr-FR"/>
              </w:rPr>
              <w:t>9</w:t>
            </w:r>
            <w:r>
              <w:rPr>
                <w:b/>
                <w:bCs/>
                <w:color w:val="000000"/>
                <w:sz w:val="20"/>
                <w:szCs w:val="20"/>
                <w:lang w:val="fr-FR"/>
              </w:rPr>
              <w:t> </w:t>
            </w:r>
            <w:r w:rsidRPr="00FC1C48">
              <w:rPr>
                <w:b/>
                <w:bCs/>
                <w:color w:val="000000"/>
                <w:sz w:val="20"/>
                <w:szCs w:val="20"/>
                <w:lang w:val="fr-FR"/>
              </w:rPr>
              <w:t>101</w:t>
            </w:r>
            <w:r>
              <w:rPr>
                <w:b/>
                <w:bCs/>
                <w:color w:val="000000"/>
                <w:sz w:val="20"/>
                <w:szCs w:val="20"/>
                <w:lang w:val="fr-FR"/>
              </w:rPr>
              <w:t> </w:t>
            </w:r>
            <w:r w:rsidRPr="00FC1C48">
              <w:rPr>
                <w:b/>
                <w:bCs/>
                <w:color w:val="000000"/>
                <w:sz w:val="20"/>
                <w:szCs w:val="20"/>
                <w:lang w:val="fr-FR"/>
              </w:rPr>
              <w:t>688</w:t>
            </w:r>
          </w:p>
        </w:tc>
        <w:tc>
          <w:tcPr>
            <w:tcW w:w="327" w:type="pct"/>
            <w:vMerge/>
            <w:tcBorders>
              <w:top w:val="nil"/>
              <w:left w:val="single" w:sz="4" w:space="0" w:color="auto"/>
              <w:bottom w:val="single" w:sz="4" w:space="0" w:color="auto"/>
              <w:right w:val="single" w:sz="4" w:space="0" w:color="auto"/>
            </w:tcBorders>
            <w:vAlign w:val="center"/>
            <w:hideMark/>
          </w:tcPr>
          <w:p w14:paraId="65944A4C" w14:textId="77777777" w:rsidR="00FC1C48" w:rsidRPr="00FC1C48" w:rsidRDefault="00FC1C48" w:rsidP="00FC1C48">
            <w:pPr>
              <w:keepNext/>
              <w:jc w:val="left"/>
              <w:rPr>
                <w:b/>
                <w:bCs/>
                <w:sz w:val="20"/>
                <w:szCs w:val="20"/>
                <w:lang w:val="fr-FR" w:eastAsia="en-CA"/>
              </w:rPr>
            </w:pPr>
          </w:p>
        </w:tc>
      </w:tr>
      <w:tr w:rsidR="00FC1C48" w:rsidRPr="00FC1C48" w14:paraId="4F6A76FF" w14:textId="77777777" w:rsidTr="00FC1C48">
        <w:trPr>
          <w:trHeight w:val="188"/>
        </w:trPr>
        <w:tc>
          <w:tcPr>
            <w:tcW w:w="606" w:type="pct"/>
            <w:vMerge/>
            <w:tcBorders>
              <w:top w:val="nil"/>
              <w:left w:val="single" w:sz="4" w:space="0" w:color="auto"/>
              <w:bottom w:val="single" w:sz="4" w:space="0" w:color="auto"/>
              <w:right w:val="single" w:sz="4" w:space="0" w:color="auto"/>
            </w:tcBorders>
            <w:vAlign w:val="center"/>
          </w:tcPr>
          <w:p w14:paraId="02BEBA44" w14:textId="77777777" w:rsidR="00C42624" w:rsidRPr="00FC1C48" w:rsidRDefault="00C42624" w:rsidP="00C1059F">
            <w:pPr>
              <w:keepNext/>
              <w:jc w:val="left"/>
              <w:rPr>
                <w:b/>
                <w:bCs/>
                <w:sz w:val="20"/>
                <w:szCs w:val="20"/>
                <w:lang w:val="fr-FR" w:eastAsia="en-CA"/>
              </w:rPr>
            </w:pPr>
          </w:p>
        </w:tc>
        <w:tc>
          <w:tcPr>
            <w:tcW w:w="609" w:type="pct"/>
            <w:tcBorders>
              <w:top w:val="single" w:sz="4" w:space="0" w:color="auto"/>
              <w:left w:val="nil"/>
              <w:bottom w:val="single" w:sz="2" w:space="0" w:color="auto"/>
              <w:right w:val="single" w:sz="4" w:space="0" w:color="auto"/>
            </w:tcBorders>
            <w:vAlign w:val="center"/>
          </w:tcPr>
          <w:p w14:paraId="69FC755A" w14:textId="6881AAD6" w:rsidR="00C42624" w:rsidRPr="00FC1C48" w:rsidRDefault="00FC1C48" w:rsidP="00C1059F">
            <w:pPr>
              <w:keepNext/>
              <w:rPr>
                <w:b/>
                <w:bCs/>
                <w:sz w:val="20"/>
                <w:szCs w:val="20"/>
                <w:lang w:val="fr-FR" w:eastAsia="en-CA"/>
              </w:rPr>
            </w:pPr>
            <w:r>
              <w:rPr>
                <w:b/>
                <w:bCs/>
                <w:sz w:val="20"/>
                <w:szCs w:val="20"/>
                <w:lang w:val="fr-FR" w:eastAsia="en-CA"/>
              </w:rPr>
              <w:t>Solde</w:t>
            </w:r>
          </w:p>
        </w:tc>
        <w:tc>
          <w:tcPr>
            <w:tcW w:w="623" w:type="pct"/>
            <w:tcBorders>
              <w:top w:val="single" w:sz="4" w:space="0" w:color="auto"/>
              <w:left w:val="single" w:sz="4" w:space="0" w:color="auto"/>
              <w:bottom w:val="single" w:sz="2" w:space="0" w:color="auto"/>
              <w:right w:val="single" w:sz="4" w:space="0" w:color="auto"/>
            </w:tcBorders>
            <w:vAlign w:val="center"/>
          </w:tcPr>
          <w:p w14:paraId="152EF5D0" w14:textId="4ED52360" w:rsidR="00C42624" w:rsidRPr="00FC1C48" w:rsidRDefault="00C42624" w:rsidP="00C1059F">
            <w:pPr>
              <w:keepNext/>
              <w:jc w:val="right"/>
              <w:rPr>
                <w:b/>
                <w:bCs/>
                <w:color w:val="000000"/>
                <w:sz w:val="20"/>
                <w:szCs w:val="20"/>
                <w:lang w:val="fr-FR"/>
              </w:rPr>
            </w:pPr>
            <w:r w:rsidRPr="00FC1C48">
              <w:rPr>
                <w:color w:val="000000"/>
                <w:sz w:val="20"/>
                <w:szCs w:val="20"/>
                <w:lang w:val="fr-FR"/>
              </w:rPr>
              <w:t>902</w:t>
            </w:r>
            <w:r w:rsidR="00FC1C48">
              <w:rPr>
                <w:color w:val="000000"/>
                <w:sz w:val="20"/>
                <w:szCs w:val="20"/>
                <w:lang w:val="fr-FR"/>
              </w:rPr>
              <w:t> </w:t>
            </w:r>
            <w:r w:rsidRPr="00FC1C48">
              <w:rPr>
                <w:color w:val="000000"/>
                <w:sz w:val="20"/>
                <w:szCs w:val="20"/>
                <w:lang w:val="fr-FR"/>
              </w:rPr>
              <w:t>211</w:t>
            </w:r>
          </w:p>
        </w:tc>
        <w:tc>
          <w:tcPr>
            <w:tcW w:w="530" w:type="pct"/>
            <w:tcBorders>
              <w:top w:val="single" w:sz="4" w:space="0" w:color="auto"/>
              <w:left w:val="nil"/>
              <w:bottom w:val="single" w:sz="2" w:space="0" w:color="auto"/>
              <w:right w:val="single" w:sz="4" w:space="0" w:color="auto"/>
            </w:tcBorders>
            <w:vAlign w:val="center"/>
          </w:tcPr>
          <w:p w14:paraId="4598D732" w14:textId="5F019B2D" w:rsidR="00C42624" w:rsidRPr="00FC1C48" w:rsidRDefault="00C42624" w:rsidP="00C1059F">
            <w:pPr>
              <w:keepNext/>
              <w:jc w:val="right"/>
              <w:rPr>
                <w:b/>
                <w:bCs/>
                <w:sz w:val="20"/>
                <w:szCs w:val="20"/>
                <w:lang w:val="fr-FR" w:eastAsia="en-CA"/>
              </w:rPr>
            </w:pPr>
            <w:r w:rsidRPr="00FC1C48">
              <w:rPr>
                <w:color w:val="000000"/>
                <w:sz w:val="20"/>
                <w:szCs w:val="20"/>
                <w:lang w:val="fr-FR"/>
              </w:rPr>
              <w:t>11</w:t>
            </w:r>
            <w:r w:rsidR="00FC1C48">
              <w:rPr>
                <w:color w:val="000000"/>
                <w:sz w:val="20"/>
                <w:szCs w:val="20"/>
                <w:lang w:val="fr-FR"/>
              </w:rPr>
              <w:t> </w:t>
            </w:r>
            <w:r w:rsidRPr="00FC1C48">
              <w:rPr>
                <w:color w:val="000000"/>
                <w:sz w:val="20"/>
                <w:szCs w:val="20"/>
                <w:lang w:val="fr-FR"/>
              </w:rPr>
              <w:t>180</w:t>
            </w:r>
          </w:p>
        </w:tc>
        <w:tc>
          <w:tcPr>
            <w:tcW w:w="533" w:type="pct"/>
            <w:tcBorders>
              <w:top w:val="single" w:sz="4" w:space="0" w:color="auto"/>
              <w:left w:val="nil"/>
              <w:bottom w:val="single" w:sz="2" w:space="0" w:color="auto"/>
              <w:right w:val="single" w:sz="4" w:space="0" w:color="auto"/>
            </w:tcBorders>
            <w:vAlign w:val="center"/>
          </w:tcPr>
          <w:p w14:paraId="13848091" w14:textId="4884D650" w:rsidR="00C42624" w:rsidRPr="00FC1C48" w:rsidRDefault="00C42624" w:rsidP="00C1059F">
            <w:pPr>
              <w:keepNext/>
              <w:ind w:left="-149"/>
              <w:jc w:val="right"/>
              <w:rPr>
                <w:b/>
                <w:bCs/>
                <w:color w:val="000000"/>
                <w:sz w:val="20"/>
                <w:szCs w:val="20"/>
                <w:lang w:val="fr-FR"/>
              </w:rPr>
            </w:pPr>
            <w:r w:rsidRPr="00FC1C48">
              <w:rPr>
                <w:color w:val="000000"/>
                <w:sz w:val="20"/>
                <w:szCs w:val="20"/>
                <w:lang w:val="fr-FR"/>
              </w:rPr>
              <w:t>232</w:t>
            </w:r>
            <w:r w:rsidR="00FC1C48">
              <w:rPr>
                <w:color w:val="000000"/>
                <w:sz w:val="20"/>
                <w:szCs w:val="20"/>
                <w:lang w:val="fr-FR"/>
              </w:rPr>
              <w:t> </w:t>
            </w:r>
            <w:r w:rsidRPr="00FC1C48">
              <w:rPr>
                <w:color w:val="000000"/>
                <w:sz w:val="20"/>
                <w:szCs w:val="20"/>
                <w:lang w:val="fr-FR"/>
              </w:rPr>
              <w:t>014</w:t>
            </w:r>
          </w:p>
        </w:tc>
        <w:tc>
          <w:tcPr>
            <w:tcW w:w="662" w:type="pct"/>
            <w:tcBorders>
              <w:top w:val="single" w:sz="4" w:space="0" w:color="auto"/>
              <w:left w:val="nil"/>
              <w:bottom w:val="single" w:sz="2" w:space="0" w:color="auto"/>
              <w:right w:val="single" w:sz="4" w:space="0" w:color="auto"/>
            </w:tcBorders>
            <w:vAlign w:val="center"/>
          </w:tcPr>
          <w:p w14:paraId="5D4507A0" w14:textId="77777777" w:rsidR="00C42624" w:rsidRPr="00FC1C48" w:rsidRDefault="00C42624" w:rsidP="00C1059F">
            <w:pPr>
              <w:keepNext/>
              <w:jc w:val="right"/>
              <w:rPr>
                <w:b/>
                <w:bCs/>
                <w:color w:val="000000"/>
                <w:sz w:val="20"/>
                <w:szCs w:val="20"/>
                <w:lang w:val="fr-FR"/>
              </w:rPr>
            </w:pPr>
            <w:r w:rsidRPr="00FC1C48">
              <w:rPr>
                <w:color w:val="000000"/>
                <w:sz w:val="20"/>
                <w:szCs w:val="20"/>
                <w:lang w:val="fr-FR"/>
              </w:rPr>
              <w:t>0</w:t>
            </w:r>
          </w:p>
        </w:tc>
        <w:tc>
          <w:tcPr>
            <w:tcW w:w="472" w:type="pct"/>
            <w:tcBorders>
              <w:top w:val="single" w:sz="4" w:space="0" w:color="auto"/>
              <w:left w:val="nil"/>
              <w:bottom w:val="single" w:sz="2" w:space="0" w:color="auto"/>
              <w:right w:val="single" w:sz="4" w:space="0" w:color="auto"/>
            </w:tcBorders>
            <w:vAlign w:val="center"/>
          </w:tcPr>
          <w:p w14:paraId="3C4273DF" w14:textId="508AE4D9" w:rsidR="00C42624" w:rsidRPr="00FC1C48" w:rsidRDefault="00C42624" w:rsidP="00C1059F">
            <w:pPr>
              <w:keepNext/>
              <w:jc w:val="right"/>
              <w:rPr>
                <w:b/>
                <w:bCs/>
                <w:color w:val="000000"/>
                <w:sz w:val="20"/>
                <w:szCs w:val="20"/>
                <w:lang w:val="fr-FR"/>
              </w:rPr>
            </w:pPr>
            <w:r w:rsidRPr="00FC1C48">
              <w:rPr>
                <w:color w:val="000000"/>
                <w:sz w:val="20"/>
                <w:szCs w:val="20"/>
                <w:lang w:val="fr-FR"/>
              </w:rPr>
              <w:t>1</w:t>
            </w:r>
            <w:r w:rsidR="00FC1C48">
              <w:rPr>
                <w:color w:val="000000"/>
                <w:sz w:val="20"/>
                <w:szCs w:val="20"/>
                <w:lang w:val="fr-FR"/>
              </w:rPr>
              <w:t> </w:t>
            </w:r>
            <w:r w:rsidRPr="00FC1C48">
              <w:rPr>
                <w:color w:val="000000"/>
                <w:sz w:val="20"/>
                <w:szCs w:val="20"/>
                <w:lang w:val="fr-FR"/>
              </w:rPr>
              <w:t>769</w:t>
            </w:r>
          </w:p>
        </w:tc>
        <w:tc>
          <w:tcPr>
            <w:tcW w:w="638" w:type="pct"/>
            <w:tcBorders>
              <w:top w:val="single" w:sz="4" w:space="0" w:color="auto"/>
              <w:left w:val="nil"/>
              <w:bottom w:val="single" w:sz="2" w:space="0" w:color="auto"/>
              <w:right w:val="single" w:sz="4" w:space="0" w:color="auto"/>
            </w:tcBorders>
            <w:noWrap/>
            <w:vAlign w:val="center"/>
          </w:tcPr>
          <w:p w14:paraId="5C63F752" w14:textId="5796FDEF" w:rsidR="00C42624" w:rsidRPr="00FC1C48" w:rsidRDefault="00C42624" w:rsidP="00C1059F">
            <w:pPr>
              <w:keepNext/>
              <w:ind w:left="-236"/>
              <w:jc w:val="right"/>
              <w:rPr>
                <w:b/>
                <w:bCs/>
                <w:color w:val="000000"/>
                <w:sz w:val="20"/>
                <w:szCs w:val="20"/>
                <w:lang w:val="fr-FR"/>
              </w:rPr>
            </w:pPr>
            <w:r w:rsidRPr="00FC1C48">
              <w:rPr>
                <w:color w:val="000000"/>
                <w:sz w:val="20"/>
                <w:szCs w:val="20"/>
                <w:lang w:val="fr-FR"/>
              </w:rPr>
              <w:t>1</w:t>
            </w:r>
            <w:r w:rsidR="00FC1C48">
              <w:rPr>
                <w:color w:val="000000"/>
                <w:sz w:val="20"/>
                <w:szCs w:val="20"/>
                <w:lang w:val="fr-FR"/>
              </w:rPr>
              <w:t> </w:t>
            </w:r>
            <w:r w:rsidRPr="00FC1C48">
              <w:rPr>
                <w:color w:val="000000"/>
                <w:sz w:val="20"/>
                <w:szCs w:val="20"/>
                <w:lang w:val="fr-FR"/>
              </w:rPr>
              <w:t>147</w:t>
            </w:r>
            <w:r w:rsidR="00FC1C48">
              <w:rPr>
                <w:color w:val="000000"/>
                <w:sz w:val="20"/>
                <w:szCs w:val="20"/>
                <w:lang w:val="fr-FR"/>
              </w:rPr>
              <w:t> </w:t>
            </w:r>
            <w:r w:rsidRPr="00FC1C48">
              <w:rPr>
                <w:color w:val="000000"/>
                <w:sz w:val="20"/>
                <w:szCs w:val="20"/>
                <w:lang w:val="fr-FR"/>
              </w:rPr>
              <w:t>174</w:t>
            </w:r>
          </w:p>
        </w:tc>
        <w:tc>
          <w:tcPr>
            <w:tcW w:w="327" w:type="pct"/>
            <w:vMerge/>
            <w:tcBorders>
              <w:top w:val="single" w:sz="4" w:space="0" w:color="auto"/>
              <w:left w:val="single" w:sz="4" w:space="0" w:color="auto"/>
              <w:bottom w:val="single" w:sz="2" w:space="0" w:color="auto"/>
              <w:right w:val="single" w:sz="4" w:space="0" w:color="auto"/>
            </w:tcBorders>
            <w:vAlign w:val="center"/>
          </w:tcPr>
          <w:p w14:paraId="0213DF4E" w14:textId="77777777" w:rsidR="00C42624" w:rsidRPr="00FC1C48" w:rsidRDefault="00C42624" w:rsidP="00C1059F">
            <w:pPr>
              <w:keepNext/>
              <w:jc w:val="left"/>
              <w:rPr>
                <w:b/>
                <w:bCs/>
                <w:sz w:val="20"/>
                <w:szCs w:val="20"/>
                <w:lang w:val="fr-FR" w:eastAsia="en-CA"/>
              </w:rPr>
            </w:pPr>
          </w:p>
        </w:tc>
      </w:tr>
    </w:tbl>
    <w:p w14:paraId="4263EF4D" w14:textId="5077D4C1" w:rsidR="00C42624" w:rsidRPr="00FC1C48" w:rsidRDefault="00C42624" w:rsidP="00C42624">
      <w:pPr>
        <w:rPr>
          <w:sz w:val="18"/>
          <w:szCs w:val="18"/>
          <w:lang w:val="fr-FR"/>
        </w:rPr>
      </w:pPr>
      <w:r w:rsidRPr="00FC1C48">
        <w:rPr>
          <w:sz w:val="18"/>
          <w:szCs w:val="18"/>
          <w:vertAlign w:val="superscript"/>
          <w:lang w:val="fr-FR"/>
        </w:rPr>
        <w:t>[1]</w:t>
      </w:r>
      <w:r w:rsidRPr="00FC1C48">
        <w:rPr>
          <w:sz w:val="18"/>
          <w:szCs w:val="18"/>
          <w:lang w:val="fr-FR"/>
        </w:rPr>
        <w:t xml:space="preserve"> </w:t>
      </w:r>
      <w:r w:rsidR="0007439C" w:rsidRPr="0007439C">
        <w:rPr>
          <w:sz w:val="18"/>
          <w:szCs w:val="18"/>
          <w:lang w:val="fr-FR"/>
        </w:rPr>
        <w:t>Y compris l</w:t>
      </w:r>
      <w:r w:rsidR="002A21B7">
        <w:rPr>
          <w:sz w:val="18"/>
          <w:szCs w:val="18"/>
          <w:lang w:val="fr-FR"/>
        </w:rPr>
        <w:t xml:space="preserve">a restitution </w:t>
      </w:r>
      <w:r w:rsidR="0007439C" w:rsidRPr="0007439C">
        <w:rPr>
          <w:sz w:val="18"/>
          <w:szCs w:val="18"/>
          <w:lang w:val="fr-FR"/>
        </w:rPr>
        <w:t>de 15</w:t>
      </w:r>
      <w:r w:rsidR="0007439C">
        <w:rPr>
          <w:sz w:val="18"/>
          <w:szCs w:val="18"/>
          <w:lang w:val="fr-FR"/>
        </w:rPr>
        <w:t> </w:t>
      </w:r>
      <w:r w:rsidR="0007439C" w:rsidRPr="0007439C">
        <w:rPr>
          <w:sz w:val="18"/>
          <w:szCs w:val="18"/>
          <w:lang w:val="fr-FR"/>
        </w:rPr>
        <w:t>431</w:t>
      </w:r>
      <w:r w:rsidR="0007439C">
        <w:rPr>
          <w:sz w:val="18"/>
          <w:szCs w:val="18"/>
          <w:lang w:val="fr-FR"/>
        </w:rPr>
        <w:t> </w:t>
      </w:r>
      <w:r w:rsidR="0007439C" w:rsidRPr="0007439C">
        <w:rPr>
          <w:sz w:val="18"/>
          <w:szCs w:val="18"/>
          <w:lang w:val="fr-FR"/>
        </w:rPr>
        <w:t>$US</w:t>
      </w:r>
      <w:r w:rsidRPr="00FC1C48">
        <w:rPr>
          <w:sz w:val="18"/>
          <w:szCs w:val="18"/>
          <w:lang w:val="fr-FR"/>
        </w:rPr>
        <w:t>.</w:t>
      </w:r>
    </w:p>
    <w:p w14:paraId="0EE04593" w14:textId="465947C8" w:rsidR="00C42624" w:rsidRPr="00FC1C48" w:rsidRDefault="00C42624" w:rsidP="00C42624">
      <w:pPr>
        <w:rPr>
          <w:sz w:val="18"/>
          <w:szCs w:val="18"/>
          <w:lang w:val="fr-FR"/>
        </w:rPr>
      </w:pPr>
      <w:r w:rsidRPr="00FC1C48">
        <w:rPr>
          <w:sz w:val="18"/>
          <w:szCs w:val="18"/>
          <w:vertAlign w:val="superscript"/>
          <w:lang w:val="fr-FR"/>
        </w:rPr>
        <w:t>[2]</w:t>
      </w:r>
      <w:r w:rsidRPr="00FC1C48">
        <w:rPr>
          <w:sz w:val="18"/>
          <w:szCs w:val="18"/>
          <w:lang w:val="fr-FR"/>
        </w:rPr>
        <w:t xml:space="preserve"> </w:t>
      </w:r>
      <w:r w:rsidR="0070709C" w:rsidRPr="0070709C">
        <w:rPr>
          <w:sz w:val="18"/>
          <w:szCs w:val="18"/>
          <w:lang w:val="fr-FR"/>
        </w:rPr>
        <w:t>Y compris une déduction de 126</w:t>
      </w:r>
      <w:r w:rsidR="0070709C">
        <w:rPr>
          <w:sz w:val="18"/>
          <w:szCs w:val="18"/>
          <w:lang w:val="fr-FR"/>
        </w:rPr>
        <w:t> </w:t>
      </w:r>
      <w:r w:rsidR="0070709C" w:rsidRPr="0070709C">
        <w:rPr>
          <w:sz w:val="18"/>
          <w:szCs w:val="18"/>
          <w:lang w:val="fr-FR"/>
        </w:rPr>
        <w:t>545</w:t>
      </w:r>
      <w:r w:rsidR="0070709C">
        <w:rPr>
          <w:sz w:val="18"/>
          <w:szCs w:val="18"/>
          <w:lang w:val="fr-FR"/>
        </w:rPr>
        <w:t> </w:t>
      </w:r>
      <w:r w:rsidR="0070709C" w:rsidRPr="0070709C">
        <w:rPr>
          <w:sz w:val="18"/>
          <w:szCs w:val="18"/>
          <w:lang w:val="fr-FR"/>
        </w:rPr>
        <w:t>$US en vertu de la décision 80/21</w:t>
      </w:r>
      <w:r w:rsidR="0070709C">
        <w:rPr>
          <w:sz w:val="18"/>
          <w:szCs w:val="18"/>
          <w:lang w:val="fr-FR"/>
        </w:rPr>
        <w:t> </w:t>
      </w:r>
      <w:r w:rsidR="0070709C" w:rsidRPr="0070709C">
        <w:rPr>
          <w:sz w:val="18"/>
          <w:szCs w:val="18"/>
          <w:lang w:val="fr-FR"/>
        </w:rPr>
        <w:t>c)</w:t>
      </w:r>
      <w:r w:rsidRPr="00FC1C48">
        <w:rPr>
          <w:sz w:val="18"/>
          <w:szCs w:val="18"/>
          <w:lang w:val="fr-FR"/>
        </w:rPr>
        <w:t>.</w:t>
      </w:r>
    </w:p>
    <w:p w14:paraId="4CD9E1C2" w14:textId="249FE52D" w:rsidR="00C42624" w:rsidRPr="00FC1C48" w:rsidRDefault="00C42624" w:rsidP="00C42624">
      <w:pPr>
        <w:rPr>
          <w:sz w:val="18"/>
          <w:szCs w:val="18"/>
          <w:lang w:val="fr-FR"/>
        </w:rPr>
      </w:pPr>
      <w:r w:rsidRPr="00FC1C48">
        <w:rPr>
          <w:sz w:val="18"/>
          <w:szCs w:val="18"/>
          <w:vertAlign w:val="superscript"/>
          <w:lang w:val="fr-FR"/>
        </w:rPr>
        <w:t>[3]</w:t>
      </w:r>
      <w:r w:rsidRPr="00FC1C48">
        <w:rPr>
          <w:sz w:val="18"/>
          <w:szCs w:val="18"/>
          <w:lang w:val="fr-FR"/>
        </w:rPr>
        <w:t xml:space="preserve"> </w:t>
      </w:r>
      <w:r w:rsidR="00B977F3" w:rsidRPr="00B977F3">
        <w:rPr>
          <w:sz w:val="18"/>
          <w:szCs w:val="18"/>
          <w:lang w:val="fr-FR"/>
        </w:rPr>
        <w:t>Y compris une déduction de 375</w:t>
      </w:r>
      <w:r w:rsidR="00B977F3">
        <w:rPr>
          <w:sz w:val="18"/>
          <w:szCs w:val="18"/>
          <w:lang w:val="fr-FR"/>
        </w:rPr>
        <w:t> </w:t>
      </w:r>
      <w:r w:rsidR="00B977F3" w:rsidRPr="00B977F3">
        <w:rPr>
          <w:sz w:val="18"/>
          <w:szCs w:val="18"/>
          <w:lang w:val="fr-FR"/>
        </w:rPr>
        <w:t>701</w:t>
      </w:r>
      <w:r w:rsidR="00B977F3">
        <w:rPr>
          <w:sz w:val="18"/>
          <w:szCs w:val="18"/>
          <w:lang w:val="fr-FR"/>
        </w:rPr>
        <w:t> </w:t>
      </w:r>
      <w:r w:rsidR="00B977F3" w:rsidRPr="00B977F3">
        <w:rPr>
          <w:sz w:val="18"/>
          <w:szCs w:val="18"/>
          <w:lang w:val="fr-FR"/>
        </w:rPr>
        <w:t>$US conformément à la décision 84/74</w:t>
      </w:r>
      <w:r w:rsidR="00B977F3">
        <w:rPr>
          <w:sz w:val="18"/>
          <w:szCs w:val="18"/>
          <w:lang w:val="fr-FR"/>
        </w:rPr>
        <w:t> </w:t>
      </w:r>
      <w:r w:rsidR="00B977F3" w:rsidRPr="00B977F3">
        <w:rPr>
          <w:sz w:val="18"/>
          <w:szCs w:val="18"/>
          <w:lang w:val="fr-FR"/>
        </w:rPr>
        <w:t>a)</w:t>
      </w:r>
      <w:r w:rsidR="00B977F3">
        <w:rPr>
          <w:sz w:val="18"/>
          <w:szCs w:val="18"/>
          <w:lang w:val="fr-FR"/>
        </w:rPr>
        <w:t> </w:t>
      </w:r>
      <w:r w:rsidR="00B977F3" w:rsidRPr="00B977F3">
        <w:rPr>
          <w:sz w:val="18"/>
          <w:szCs w:val="18"/>
          <w:lang w:val="fr-FR"/>
        </w:rPr>
        <w:t>iv).</w:t>
      </w:r>
    </w:p>
    <w:p w14:paraId="5DB6A2A5" w14:textId="4FEF37C9" w:rsidR="00C42624" w:rsidRPr="00FC1C48" w:rsidRDefault="00C42624" w:rsidP="00C42624">
      <w:pPr>
        <w:ind w:left="284" w:hanging="284"/>
        <w:rPr>
          <w:sz w:val="18"/>
          <w:szCs w:val="18"/>
          <w:lang w:val="fr-FR"/>
        </w:rPr>
      </w:pPr>
      <w:r w:rsidRPr="00FC1C48">
        <w:rPr>
          <w:sz w:val="18"/>
          <w:szCs w:val="18"/>
          <w:vertAlign w:val="superscript"/>
          <w:lang w:val="fr-FR"/>
        </w:rPr>
        <w:t>[4]</w:t>
      </w:r>
      <w:r w:rsidRPr="00FC1C48">
        <w:rPr>
          <w:sz w:val="18"/>
          <w:szCs w:val="18"/>
          <w:lang w:val="fr-FR"/>
        </w:rPr>
        <w:t xml:space="preserve"> </w:t>
      </w:r>
      <w:r w:rsidR="00C17E9E" w:rsidRPr="00C17E9E">
        <w:rPr>
          <w:sz w:val="18"/>
          <w:szCs w:val="18"/>
          <w:lang w:val="fr-FR"/>
        </w:rPr>
        <w:t>Y compris l</w:t>
      </w:r>
      <w:r w:rsidR="00511F20">
        <w:rPr>
          <w:sz w:val="18"/>
          <w:szCs w:val="18"/>
          <w:lang w:val="fr-FR"/>
        </w:rPr>
        <w:t>’</w:t>
      </w:r>
      <w:r w:rsidR="00C17E9E" w:rsidRPr="00C17E9E">
        <w:rPr>
          <w:sz w:val="18"/>
          <w:szCs w:val="18"/>
          <w:lang w:val="fr-FR"/>
        </w:rPr>
        <w:t>ajout des fonds transférés par le gouvernement allemand comme suit</w:t>
      </w:r>
      <w:r w:rsidR="00C17E9E">
        <w:rPr>
          <w:sz w:val="18"/>
          <w:szCs w:val="18"/>
          <w:lang w:val="fr-FR"/>
        </w:rPr>
        <w:t> </w:t>
      </w:r>
      <w:r w:rsidR="00C17E9E" w:rsidRPr="00C17E9E">
        <w:rPr>
          <w:sz w:val="18"/>
          <w:szCs w:val="18"/>
          <w:lang w:val="fr-FR"/>
        </w:rPr>
        <w:t>: 93</w:t>
      </w:r>
      <w:r w:rsidR="00C17E9E">
        <w:rPr>
          <w:sz w:val="18"/>
          <w:szCs w:val="18"/>
          <w:lang w:val="fr-FR"/>
        </w:rPr>
        <w:t> </w:t>
      </w:r>
      <w:r w:rsidR="00C17E9E" w:rsidRPr="00C17E9E">
        <w:rPr>
          <w:sz w:val="18"/>
          <w:szCs w:val="18"/>
          <w:lang w:val="fr-FR"/>
        </w:rPr>
        <w:t>017</w:t>
      </w:r>
      <w:r w:rsidR="00C17E9E">
        <w:rPr>
          <w:sz w:val="18"/>
          <w:szCs w:val="18"/>
          <w:lang w:val="fr-FR"/>
        </w:rPr>
        <w:t> </w:t>
      </w:r>
      <w:r w:rsidR="00C17E9E" w:rsidRPr="00C17E9E">
        <w:rPr>
          <w:sz w:val="18"/>
          <w:szCs w:val="18"/>
          <w:lang w:val="fr-FR"/>
        </w:rPr>
        <w:t>$US provenant de la deuxième tranche, 145</w:t>
      </w:r>
      <w:r w:rsidR="00C17E9E">
        <w:rPr>
          <w:sz w:val="18"/>
          <w:szCs w:val="18"/>
          <w:lang w:val="fr-FR"/>
        </w:rPr>
        <w:t> </w:t>
      </w:r>
      <w:r w:rsidR="00C17E9E" w:rsidRPr="00C17E9E">
        <w:rPr>
          <w:sz w:val="18"/>
          <w:szCs w:val="18"/>
          <w:lang w:val="fr-FR"/>
        </w:rPr>
        <w:t>255</w:t>
      </w:r>
      <w:r w:rsidR="00C17E9E">
        <w:rPr>
          <w:sz w:val="18"/>
          <w:szCs w:val="18"/>
          <w:lang w:val="fr-FR"/>
        </w:rPr>
        <w:t> </w:t>
      </w:r>
      <w:r w:rsidR="00C17E9E" w:rsidRPr="00C17E9E">
        <w:rPr>
          <w:sz w:val="18"/>
          <w:szCs w:val="18"/>
          <w:lang w:val="fr-FR"/>
        </w:rPr>
        <w:t>$US provenant de la troisième tranche et 565</w:t>
      </w:r>
      <w:r w:rsidR="00C17E9E">
        <w:rPr>
          <w:sz w:val="18"/>
          <w:szCs w:val="18"/>
          <w:lang w:val="fr-FR"/>
        </w:rPr>
        <w:t> </w:t>
      </w:r>
      <w:r w:rsidR="00C17E9E" w:rsidRPr="00C17E9E">
        <w:rPr>
          <w:sz w:val="18"/>
          <w:szCs w:val="18"/>
          <w:lang w:val="fr-FR"/>
        </w:rPr>
        <w:t>600</w:t>
      </w:r>
      <w:r w:rsidR="00C17E9E">
        <w:rPr>
          <w:sz w:val="18"/>
          <w:szCs w:val="18"/>
          <w:lang w:val="fr-FR"/>
        </w:rPr>
        <w:t> </w:t>
      </w:r>
      <w:r w:rsidR="00C17E9E" w:rsidRPr="00C17E9E">
        <w:rPr>
          <w:sz w:val="18"/>
          <w:szCs w:val="18"/>
          <w:lang w:val="fr-FR"/>
        </w:rPr>
        <w:t>$US provenant de la quatrième tranche, conformément à la décision</w:t>
      </w:r>
      <w:r w:rsidR="00C17E9E">
        <w:rPr>
          <w:sz w:val="18"/>
          <w:szCs w:val="18"/>
          <w:lang w:val="fr-FR"/>
        </w:rPr>
        <w:t> </w:t>
      </w:r>
      <w:r w:rsidR="00C17E9E" w:rsidRPr="00C17E9E">
        <w:rPr>
          <w:sz w:val="18"/>
          <w:szCs w:val="18"/>
          <w:lang w:val="fr-FR"/>
        </w:rPr>
        <w:t>92/3</w:t>
      </w:r>
      <w:r w:rsidR="00C17E9E">
        <w:rPr>
          <w:sz w:val="18"/>
          <w:szCs w:val="18"/>
          <w:lang w:val="fr-FR"/>
        </w:rPr>
        <w:t> </w:t>
      </w:r>
      <w:r w:rsidR="00C17E9E" w:rsidRPr="00C17E9E">
        <w:rPr>
          <w:sz w:val="18"/>
          <w:szCs w:val="18"/>
          <w:lang w:val="fr-FR"/>
        </w:rPr>
        <w:t>b)</w:t>
      </w:r>
      <w:r w:rsidR="00C17E9E">
        <w:rPr>
          <w:sz w:val="18"/>
          <w:szCs w:val="18"/>
          <w:lang w:val="fr-FR"/>
        </w:rPr>
        <w:t> </w:t>
      </w:r>
      <w:r w:rsidR="00C17E9E" w:rsidRPr="00C17E9E">
        <w:rPr>
          <w:sz w:val="18"/>
          <w:szCs w:val="18"/>
          <w:lang w:val="fr-FR"/>
        </w:rPr>
        <w:t>v).</w:t>
      </w:r>
    </w:p>
    <w:p w14:paraId="428A859C" w14:textId="4226AF2C" w:rsidR="00C42624" w:rsidRPr="00FC1C48" w:rsidRDefault="00F241AD" w:rsidP="00C42624">
      <w:pPr>
        <w:pStyle w:val="Heading1"/>
        <w:numPr>
          <w:ilvl w:val="0"/>
          <w:numId w:val="0"/>
        </w:numPr>
        <w:spacing w:before="240"/>
        <w:rPr>
          <w:u w:val="single"/>
          <w:lang w:val="fr-FR"/>
        </w:rPr>
      </w:pPr>
      <w:r w:rsidRPr="00F241AD">
        <w:rPr>
          <w:u w:val="single"/>
          <w:lang w:val="fr-FR"/>
        </w:rPr>
        <w:t>Demande de prolongation de la phase II du plan de gestion de l</w:t>
      </w:r>
      <w:r w:rsidR="00511F20">
        <w:rPr>
          <w:u w:val="single"/>
          <w:lang w:val="fr-FR"/>
        </w:rPr>
        <w:t>’</w:t>
      </w:r>
      <w:r w:rsidRPr="00F241AD">
        <w:rPr>
          <w:u w:val="single"/>
          <w:lang w:val="fr-FR"/>
        </w:rPr>
        <w:t>élimination des HCFC</w:t>
      </w:r>
    </w:p>
    <w:p w14:paraId="57347A34" w14:textId="6C9F15E3" w:rsidR="00C42624" w:rsidRPr="00FC1C48" w:rsidRDefault="00B93021" w:rsidP="00C42624">
      <w:pPr>
        <w:pStyle w:val="Heading1"/>
        <w:numPr>
          <w:ilvl w:val="0"/>
          <w:numId w:val="24"/>
        </w:numPr>
        <w:rPr>
          <w:lang w:val="fr-FR"/>
        </w:rPr>
      </w:pPr>
      <w:r w:rsidRPr="00B93021">
        <w:rPr>
          <w:lang w:val="fr-FR"/>
        </w:rPr>
        <w:t>Le PNUD demande, au nom du gouvernement de la République islamique d</w:t>
      </w:r>
      <w:r w:rsidR="00511F20">
        <w:rPr>
          <w:lang w:val="fr-FR"/>
        </w:rPr>
        <w:t>’</w:t>
      </w:r>
      <w:r w:rsidRPr="00B93021">
        <w:rPr>
          <w:lang w:val="fr-FR"/>
        </w:rPr>
        <w:t>Iran, une prolongation de la phase</w:t>
      </w:r>
      <w:r>
        <w:rPr>
          <w:lang w:val="fr-FR"/>
        </w:rPr>
        <w:t> </w:t>
      </w:r>
      <w:r w:rsidRPr="00B93021">
        <w:rPr>
          <w:lang w:val="fr-FR"/>
        </w:rPr>
        <w:t>II du PGEH de décembre 2025 à juin 2027, car la mise en œuvre des activités a été fortement retardée par des circonstances indépendantes de la volonté de l</w:t>
      </w:r>
      <w:r w:rsidR="00511F20">
        <w:rPr>
          <w:lang w:val="fr-FR"/>
        </w:rPr>
        <w:t>’</w:t>
      </w:r>
      <w:r w:rsidRPr="00B93021">
        <w:rPr>
          <w:lang w:val="fr-FR"/>
        </w:rPr>
        <w:t>UNO. La pandémie de la COVID-19 a entraîné des retards cumulés : la formation a été reportée en raison de confinements prolongés</w:t>
      </w:r>
      <w:r w:rsidR="000255B0">
        <w:rPr>
          <w:lang w:val="fr-FR"/>
        </w:rPr>
        <w:t> ;</w:t>
      </w:r>
      <w:r w:rsidRPr="00B93021">
        <w:rPr>
          <w:lang w:val="fr-FR"/>
        </w:rPr>
        <w:t xml:space="preserve"> les missions techniques n</w:t>
      </w:r>
      <w:r w:rsidR="00511F20">
        <w:rPr>
          <w:lang w:val="fr-FR"/>
        </w:rPr>
        <w:t>’</w:t>
      </w:r>
      <w:r w:rsidRPr="00B93021">
        <w:rPr>
          <w:lang w:val="fr-FR"/>
        </w:rPr>
        <w:t>ont pas pu avoir lieu en raison des restrictions de déplacement</w:t>
      </w:r>
      <w:r w:rsidR="000255B0">
        <w:rPr>
          <w:lang w:val="fr-FR"/>
        </w:rPr>
        <w:t> ;</w:t>
      </w:r>
      <w:r w:rsidRPr="00B93021">
        <w:rPr>
          <w:lang w:val="fr-FR"/>
        </w:rPr>
        <w:t xml:space="preserve"> et la livraison et l</w:t>
      </w:r>
      <w:r w:rsidR="00511F20">
        <w:rPr>
          <w:lang w:val="fr-FR"/>
        </w:rPr>
        <w:t>’</w:t>
      </w:r>
      <w:r w:rsidRPr="00B93021">
        <w:rPr>
          <w:lang w:val="fr-FR"/>
        </w:rPr>
        <w:t>installation des équipements n</w:t>
      </w:r>
      <w:r w:rsidR="00511F20">
        <w:rPr>
          <w:lang w:val="fr-FR"/>
        </w:rPr>
        <w:t>’</w:t>
      </w:r>
      <w:r w:rsidRPr="00B93021">
        <w:rPr>
          <w:lang w:val="fr-FR"/>
        </w:rPr>
        <w:t>ont pas pu être achevées en raison de perturbations dans la chaîne d</w:t>
      </w:r>
      <w:r w:rsidR="00511F20">
        <w:rPr>
          <w:lang w:val="fr-FR"/>
        </w:rPr>
        <w:t>’</w:t>
      </w:r>
      <w:r w:rsidRPr="00B93021">
        <w:rPr>
          <w:lang w:val="fr-FR"/>
        </w:rPr>
        <w:t>approvisionnement. Ces difficultés ont été aggravées par des sanctions internationales strictes qui ont compliqué les transactions financières, entravé l</w:t>
      </w:r>
      <w:r w:rsidR="00511F20">
        <w:rPr>
          <w:lang w:val="fr-FR"/>
        </w:rPr>
        <w:t>’</w:t>
      </w:r>
      <w:r w:rsidRPr="00B93021">
        <w:rPr>
          <w:lang w:val="fr-FR"/>
        </w:rPr>
        <w:t>achat et l</w:t>
      </w:r>
      <w:r w:rsidR="00511F20">
        <w:rPr>
          <w:lang w:val="fr-FR"/>
        </w:rPr>
        <w:t>’</w:t>
      </w:r>
      <w:r w:rsidRPr="00B93021">
        <w:rPr>
          <w:lang w:val="fr-FR"/>
        </w:rPr>
        <w:t>expédition des équipements et prolongé le processus de passation des marchés et d</w:t>
      </w:r>
      <w:r w:rsidR="00511F20">
        <w:rPr>
          <w:lang w:val="fr-FR"/>
        </w:rPr>
        <w:t>’</w:t>
      </w:r>
      <w:r w:rsidRPr="00B93021">
        <w:rPr>
          <w:lang w:val="fr-FR"/>
        </w:rPr>
        <w:t>assistance technique. La mise en œuvre au niveau national a été encore entravée par les restrictions de déplacement à l</w:t>
      </w:r>
      <w:r w:rsidR="00511F20">
        <w:rPr>
          <w:lang w:val="fr-FR"/>
        </w:rPr>
        <w:t>’</w:t>
      </w:r>
      <w:r w:rsidRPr="00B93021">
        <w:rPr>
          <w:lang w:val="fr-FR"/>
        </w:rPr>
        <w:t>intérieur du pays et par les fréquentes coupures d</w:t>
      </w:r>
      <w:r w:rsidR="00511F20">
        <w:rPr>
          <w:lang w:val="fr-FR"/>
        </w:rPr>
        <w:t>’</w:t>
      </w:r>
      <w:r w:rsidRPr="00B93021">
        <w:rPr>
          <w:lang w:val="fr-FR"/>
        </w:rPr>
        <w:t>électricité, qui ont perturbé les activités des entreprises, notamment la reconversion industrielle. En 2025, le projet a connu un ralentissement du rythme des décaissements, reflétant les contraintes externes supplémentaires plutôt qu</w:t>
      </w:r>
      <w:r w:rsidR="00511F20">
        <w:rPr>
          <w:lang w:val="fr-FR"/>
        </w:rPr>
        <w:t>’</w:t>
      </w:r>
      <w:r w:rsidRPr="00B93021">
        <w:rPr>
          <w:lang w:val="fr-FR"/>
        </w:rPr>
        <w:t>un manque d</w:t>
      </w:r>
      <w:r w:rsidR="00511F20">
        <w:rPr>
          <w:lang w:val="fr-FR"/>
        </w:rPr>
        <w:t>’</w:t>
      </w:r>
      <w:r w:rsidRPr="00B93021">
        <w:rPr>
          <w:lang w:val="fr-FR"/>
        </w:rPr>
        <w:t>engagement de la part de l</w:t>
      </w:r>
      <w:r w:rsidR="00511F20">
        <w:rPr>
          <w:lang w:val="fr-FR"/>
        </w:rPr>
        <w:t>’</w:t>
      </w:r>
      <w:r w:rsidRPr="00B93021">
        <w:rPr>
          <w:lang w:val="fr-FR"/>
        </w:rPr>
        <w:t>UNO, des agences ou des entreprises. Une prolongation est nécessaire pour garantir l</w:t>
      </w:r>
      <w:r w:rsidR="00511F20">
        <w:rPr>
          <w:lang w:val="fr-FR"/>
        </w:rPr>
        <w:t>’</w:t>
      </w:r>
      <w:r w:rsidRPr="00B93021">
        <w:rPr>
          <w:lang w:val="fr-FR"/>
        </w:rPr>
        <w:t>achèvement des activités restantes de la phase</w:t>
      </w:r>
      <w:r w:rsidR="00D83550">
        <w:rPr>
          <w:lang w:val="fr-FR"/>
        </w:rPr>
        <w:t> </w:t>
      </w:r>
      <w:r w:rsidRPr="00B93021">
        <w:rPr>
          <w:lang w:val="fr-FR"/>
        </w:rPr>
        <w:t>II et l</w:t>
      </w:r>
      <w:r w:rsidR="00511F20">
        <w:rPr>
          <w:lang w:val="fr-FR"/>
        </w:rPr>
        <w:t>’</w:t>
      </w:r>
      <w:r w:rsidRPr="00B93021">
        <w:rPr>
          <w:lang w:val="fr-FR"/>
        </w:rPr>
        <w:t>utilisation des fonds associés.</w:t>
      </w:r>
    </w:p>
    <w:p w14:paraId="1340F024" w14:textId="1B24B10E" w:rsidR="00C42624" w:rsidRPr="00FC1C48" w:rsidRDefault="00BF7A2B" w:rsidP="00C42624">
      <w:pPr>
        <w:spacing w:before="240" w:after="240"/>
        <w:rPr>
          <w:b/>
          <w:bCs/>
          <w:lang w:val="fr-FR"/>
        </w:rPr>
      </w:pPr>
      <w:r w:rsidRPr="00FC1C48">
        <w:rPr>
          <w:b/>
          <w:bCs/>
          <w:lang w:val="fr-FR"/>
        </w:rPr>
        <w:t>Remarques du s</w:t>
      </w:r>
      <w:r w:rsidR="00C42624" w:rsidRPr="00FC1C48">
        <w:rPr>
          <w:b/>
          <w:bCs/>
          <w:lang w:val="fr-FR"/>
        </w:rPr>
        <w:t>ecr</w:t>
      </w:r>
      <w:r w:rsidRPr="00FC1C48">
        <w:rPr>
          <w:b/>
          <w:bCs/>
          <w:lang w:val="fr-FR"/>
        </w:rPr>
        <w:t>é</w:t>
      </w:r>
      <w:r w:rsidR="00C42624" w:rsidRPr="00FC1C48">
        <w:rPr>
          <w:b/>
          <w:bCs/>
          <w:lang w:val="fr-FR"/>
        </w:rPr>
        <w:t>tariat</w:t>
      </w:r>
    </w:p>
    <w:p w14:paraId="3D4940FD" w14:textId="58A38C40" w:rsidR="00C42624" w:rsidRPr="00FC1C48" w:rsidRDefault="00050017" w:rsidP="00C42624">
      <w:pPr>
        <w:pStyle w:val="Heading1"/>
        <w:numPr>
          <w:ilvl w:val="0"/>
          <w:numId w:val="24"/>
        </w:numPr>
        <w:rPr>
          <w:lang w:val="fr-FR"/>
        </w:rPr>
      </w:pPr>
      <w:r w:rsidRPr="00050017">
        <w:rPr>
          <w:lang w:val="fr-FR"/>
        </w:rPr>
        <w:t>Le Secrétariat a pris note des progrès supplémentaires accomplis dans la mise en œuvre des activités malgré les difficultés décrites. Lors de l</w:t>
      </w:r>
      <w:r w:rsidR="00511F20">
        <w:rPr>
          <w:lang w:val="fr-FR"/>
        </w:rPr>
        <w:t>’</w:t>
      </w:r>
      <w:r w:rsidRPr="00050017">
        <w:rPr>
          <w:lang w:val="fr-FR"/>
        </w:rPr>
        <w:t>examen de la demande de prolongation de la phase, le Secrétariat a relevé les points suivants, pour lesquels des éclaircissements ou des informations supplémentaires ont été demandés</w:t>
      </w:r>
      <w:r>
        <w:rPr>
          <w:lang w:val="fr-FR"/>
        </w:rPr>
        <w:t> </w:t>
      </w:r>
      <w:r w:rsidR="00C42624" w:rsidRPr="00FC1C48">
        <w:rPr>
          <w:lang w:val="fr-FR"/>
        </w:rPr>
        <w:t>:</w:t>
      </w:r>
    </w:p>
    <w:p w14:paraId="3E4EEE52" w14:textId="623C3F49" w:rsidR="00C42624" w:rsidRPr="00FC1C48" w:rsidRDefault="004B4B49" w:rsidP="00A86DF2">
      <w:pPr>
        <w:pStyle w:val="Heading2"/>
        <w:numPr>
          <w:ilvl w:val="1"/>
          <w:numId w:val="24"/>
        </w:numPr>
        <w:ind w:left="1418" w:hanging="698"/>
        <w:rPr>
          <w:lang w:val="fr-FR"/>
        </w:rPr>
      </w:pPr>
      <w:r w:rsidRPr="004B4B49">
        <w:rPr>
          <w:lang w:val="fr-FR"/>
        </w:rPr>
        <w:t>La prolongation précédente de la phase</w:t>
      </w:r>
      <w:r>
        <w:rPr>
          <w:lang w:val="fr-FR"/>
        </w:rPr>
        <w:t> </w:t>
      </w:r>
      <w:r w:rsidRPr="004B4B49">
        <w:rPr>
          <w:lang w:val="fr-FR"/>
        </w:rPr>
        <w:t>II du PGEH jusqu</w:t>
      </w:r>
      <w:r w:rsidR="00511F20">
        <w:rPr>
          <w:lang w:val="fr-FR"/>
        </w:rPr>
        <w:t>’</w:t>
      </w:r>
      <w:r w:rsidRPr="004B4B49">
        <w:rPr>
          <w:lang w:val="fr-FR"/>
        </w:rPr>
        <w:t>au 31</w:t>
      </w:r>
      <w:r>
        <w:rPr>
          <w:lang w:val="fr-FR"/>
        </w:rPr>
        <w:t> </w:t>
      </w:r>
      <w:r w:rsidRPr="004B4B49">
        <w:rPr>
          <w:lang w:val="fr-FR"/>
        </w:rPr>
        <w:t xml:space="preserve">décembre 2025 a été approuvée à titre exceptionnel, compte tenu des retards dans la mise en œuvre causés par </w:t>
      </w:r>
      <w:r w:rsidRPr="004B4B49">
        <w:rPr>
          <w:lang w:val="fr-FR"/>
        </w:rPr>
        <w:lastRenderedPageBreak/>
        <w:t>la COVID-19, et étant entendu qu</w:t>
      </w:r>
      <w:r w:rsidR="00511F20">
        <w:rPr>
          <w:lang w:val="fr-FR"/>
        </w:rPr>
        <w:t>’</w:t>
      </w:r>
      <w:r w:rsidRPr="004B4B49">
        <w:rPr>
          <w:lang w:val="fr-FR"/>
        </w:rPr>
        <w:t>aucune autre prolongation ne serait demandée (décision</w:t>
      </w:r>
      <w:r w:rsidR="004F4818">
        <w:rPr>
          <w:lang w:val="fr-FR"/>
        </w:rPr>
        <w:t> </w:t>
      </w:r>
      <w:r w:rsidRPr="004B4B49">
        <w:rPr>
          <w:lang w:val="fr-FR"/>
        </w:rPr>
        <w:t>90/45). Dans son rapport, le PNUD a fait état de sanctions internationales ultérieures qui ont encore compliqué les transactions financières, l</w:t>
      </w:r>
      <w:r w:rsidR="00511F20">
        <w:rPr>
          <w:lang w:val="fr-FR"/>
        </w:rPr>
        <w:t>’</w:t>
      </w:r>
      <w:r w:rsidRPr="004B4B49">
        <w:rPr>
          <w:lang w:val="fr-FR"/>
        </w:rPr>
        <w:t>achat et l</w:t>
      </w:r>
      <w:r w:rsidR="00511F20">
        <w:rPr>
          <w:lang w:val="fr-FR"/>
        </w:rPr>
        <w:t>’</w:t>
      </w:r>
      <w:r w:rsidRPr="004B4B49">
        <w:rPr>
          <w:lang w:val="fr-FR"/>
        </w:rPr>
        <w:t>expédition d</w:t>
      </w:r>
      <w:r w:rsidR="00511F20">
        <w:rPr>
          <w:lang w:val="fr-FR"/>
        </w:rPr>
        <w:t>’</w:t>
      </w:r>
      <w:r w:rsidRPr="004B4B49">
        <w:rPr>
          <w:lang w:val="fr-FR"/>
        </w:rPr>
        <w:t>équipements et ralenti les activités</w:t>
      </w:r>
      <w:r w:rsidR="000255B0">
        <w:rPr>
          <w:lang w:val="fr-FR"/>
        </w:rPr>
        <w:t> ;</w:t>
      </w:r>
      <w:r w:rsidRPr="004B4B49">
        <w:rPr>
          <w:lang w:val="fr-FR"/>
        </w:rPr>
        <w:t xml:space="preserve"> et</w:t>
      </w:r>
    </w:p>
    <w:p w14:paraId="75199368" w14:textId="194AE963" w:rsidR="00C42624" w:rsidRPr="00FC1C48" w:rsidRDefault="00545FDB" w:rsidP="00A86DF2">
      <w:pPr>
        <w:pStyle w:val="Heading2"/>
        <w:numPr>
          <w:ilvl w:val="1"/>
          <w:numId w:val="24"/>
        </w:numPr>
        <w:ind w:left="1418" w:hanging="698"/>
        <w:rPr>
          <w:lang w:val="fr-FR"/>
        </w:rPr>
      </w:pPr>
      <w:r w:rsidRPr="00545FDB">
        <w:rPr>
          <w:lang w:val="fr-FR"/>
        </w:rPr>
        <w:t>Le solde actuel, qui s</w:t>
      </w:r>
      <w:r w:rsidR="00511F20">
        <w:rPr>
          <w:lang w:val="fr-FR"/>
        </w:rPr>
        <w:t>’</w:t>
      </w:r>
      <w:r w:rsidRPr="00545FDB">
        <w:rPr>
          <w:lang w:val="fr-FR"/>
        </w:rPr>
        <w:t>élève à 1</w:t>
      </w:r>
      <w:r>
        <w:rPr>
          <w:lang w:val="fr-FR"/>
        </w:rPr>
        <w:t> </w:t>
      </w:r>
      <w:r w:rsidRPr="00545FDB">
        <w:rPr>
          <w:lang w:val="fr-FR"/>
        </w:rPr>
        <w:t>147</w:t>
      </w:r>
      <w:r>
        <w:rPr>
          <w:lang w:val="fr-FR"/>
        </w:rPr>
        <w:t> </w:t>
      </w:r>
      <w:r w:rsidRPr="00545FDB">
        <w:rPr>
          <w:lang w:val="fr-FR"/>
        </w:rPr>
        <w:t>174</w:t>
      </w:r>
      <w:r>
        <w:rPr>
          <w:lang w:val="fr-FR"/>
        </w:rPr>
        <w:t> </w:t>
      </w:r>
      <w:r w:rsidRPr="00545FDB">
        <w:rPr>
          <w:lang w:val="fr-FR"/>
        </w:rPr>
        <w:t>$US, est supérieur au solde de février 2025, qui était de 753</w:t>
      </w:r>
      <w:r w:rsidR="00A709E7">
        <w:rPr>
          <w:lang w:val="fr-FR"/>
        </w:rPr>
        <w:t> </w:t>
      </w:r>
      <w:r w:rsidRPr="00545FDB">
        <w:rPr>
          <w:lang w:val="fr-FR"/>
        </w:rPr>
        <w:t>793</w:t>
      </w:r>
      <w:r w:rsidR="00A709E7">
        <w:rPr>
          <w:lang w:val="fr-FR"/>
        </w:rPr>
        <w:t> </w:t>
      </w:r>
      <w:r w:rsidRPr="00545FDB">
        <w:rPr>
          <w:lang w:val="fr-FR"/>
        </w:rPr>
        <w:t>$US, comme indiqué lors de l</w:t>
      </w:r>
      <w:r w:rsidR="00511F20">
        <w:rPr>
          <w:lang w:val="fr-FR"/>
        </w:rPr>
        <w:t>’</w:t>
      </w:r>
      <w:r w:rsidRPr="00545FDB">
        <w:rPr>
          <w:lang w:val="fr-FR"/>
        </w:rPr>
        <w:t>examen de la soumission de la phase</w:t>
      </w:r>
      <w:r w:rsidR="00A709E7">
        <w:rPr>
          <w:lang w:val="fr-FR"/>
        </w:rPr>
        <w:t> </w:t>
      </w:r>
      <w:r w:rsidRPr="00545FDB">
        <w:rPr>
          <w:lang w:val="fr-FR"/>
        </w:rPr>
        <w:t>III du PGEH, lorsque le Secrétariat a reçu la confirmation que toutes les activités restantes de la phase</w:t>
      </w:r>
      <w:r w:rsidR="00A709E7">
        <w:rPr>
          <w:lang w:val="fr-FR"/>
        </w:rPr>
        <w:t> </w:t>
      </w:r>
      <w:r w:rsidRPr="00545FDB">
        <w:rPr>
          <w:lang w:val="fr-FR"/>
        </w:rPr>
        <w:t>II seraient achevées au plus tard le 31</w:t>
      </w:r>
      <w:r w:rsidR="00A709E7">
        <w:rPr>
          <w:lang w:val="fr-FR"/>
        </w:rPr>
        <w:t> </w:t>
      </w:r>
      <w:r w:rsidRPr="00545FDB">
        <w:rPr>
          <w:lang w:val="fr-FR"/>
        </w:rPr>
        <w:t>décembre</w:t>
      </w:r>
      <w:r w:rsidR="00A709E7">
        <w:rPr>
          <w:lang w:val="fr-FR"/>
        </w:rPr>
        <w:t> </w:t>
      </w:r>
      <w:r w:rsidRPr="00545FDB">
        <w:rPr>
          <w:lang w:val="fr-FR"/>
        </w:rPr>
        <w:t>2025, conformément à la prolongation approuvée à la 90</w:t>
      </w:r>
      <w:r w:rsidR="001047CC" w:rsidRPr="001047CC">
        <w:rPr>
          <w:vertAlign w:val="superscript"/>
          <w:lang w:val="fr-FR"/>
        </w:rPr>
        <w:t>e</w:t>
      </w:r>
      <w:r w:rsidR="001047CC">
        <w:rPr>
          <w:lang w:val="fr-FR"/>
        </w:rPr>
        <w:t> </w:t>
      </w:r>
      <w:r w:rsidRPr="00545FDB">
        <w:rPr>
          <w:lang w:val="fr-FR"/>
        </w:rPr>
        <w:t>réunion</w:t>
      </w:r>
      <w:r w:rsidR="00C42624" w:rsidRPr="00FC1C48">
        <w:rPr>
          <w:rStyle w:val="FootnoteReference"/>
          <w:lang w:val="fr-FR"/>
        </w:rPr>
        <w:footnoteReference w:id="2"/>
      </w:r>
      <w:r w:rsidR="00B7413F">
        <w:rPr>
          <w:lang w:val="fr-FR"/>
        </w:rPr>
        <w:t>.</w:t>
      </w:r>
    </w:p>
    <w:p w14:paraId="7138F1E4" w14:textId="5DEA05DD" w:rsidR="00C42624" w:rsidRPr="00FC1C48" w:rsidRDefault="0028391C" w:rsidP="00C42624">
      <w:pPr>
        <w:pStyle w:val="Heading1"/>
        <w:numPr>
          <w:ilvl w:val="0"/>
          <w:numId w:val="24"/>
        </w:numPr>
        <w:rPr>
          <w:lang w:val="fr-FR"/>
        </w:rPr>
      </w:pPr>
      <w:r w:rsidRPr="0028391C">
        <w:rPr>
          <w:lang w:val="fr-FR"/>
        </w:rPr>
        <w:t>Le PNUD a expliqué qu</w:t>
      </w:r>
      <w:r w:rsidR="00511F20">
        <w:rPr>
          <w:lang w:val="fr-FR"/>
        </w:rPr>
        <w:t>’</w:t>
      </w:r>
      <w:r w:rsidRPr="0028391C">
        <w:rPr>
          <w:lang w:val="fr-FR"/>
        </w:rPr>
        <w:t>en 2025, plusieurs pays ont commencé à imposer des sanctions à l</w:t>
      </w:r>
      <w:r w:rsidR="00511F20">
        <w:rPr>
          <w:lang w:val="fr-FR"/>
        </w:rPr>
        <w:t>’</w:t>
      </w:r>
      <w:r w:rsidRPr="0028391C">
        <w:rPr>
          <w:lang w:val="fr-FR"/>
        </w:rPr>
        <w:t>Iran en déclenchant le mécanisme de rétablissement des sanctions des Nations Unies (ONU) après avoir conclu que la République islamique d</w:t>
      </w:r>
      <w:r w:rsidR="00511F20">
        <w:rPr>
          <w:lang w:val="fr-FR"/>
        </w:rPr>
        <w:t>’</w:t>
      </w:r>
      <w:r w:rsidRPr="0028391C">
        <w:rPr>
          <w:lang w:val="fr-FR"/>
        </w:rPr>
        <w:t>Iran ne respectait pas ses obligations au titre de l</w:t>
      </w:r>
      <w:r w:rsidR="00511F20">
        <w:rPr>
          <w:lang w:val="fr-FR"/>
        </w:rPr>
        <w:t>’</w:t>
      </w:r>
      <w:r w:rsidRPr="0028391C">
        <w:rPr>
          <w:lang w:val="fr-FR"/>
        </w:rPr>
        <w:t>accord nucléaire de 2015</w:t>
      </w:r>
      <w:r w:rsidR="00C42624" w:rsidRPr="00FC1C48">
        <w:rPr>
          <w:rStyle w:val="FootnoteReference"/>
          <w:lang w:val="fr-FR"/>
        </w:rPr>
        <w:footnoteReference w:id="3"/>
      </w:r>
      <w:r>
        <w:rPr>
          <w:lang w:val="fr-FR"/>
        </w:rPr>
        <w:t>.</w:t>
      </w:r>
      <w:r w:rsidR="00C42624" w:rsidRPr="00FC1C48">
        <w:rPr>
          <w:lang w:val="fr-FR"/>
        </w:rPr>
        <w:t xml:space="preserve"> </w:t>
      </w:r>
      <w:r w:rsidR="00583E0A" w:rsidRPr="00583E0A">
        <w:rPr>
          <w:lang w:val="fr-FR"/>
        </w:rPr>
        <w:t>Ces sanctions visent le pétrole, les exportations d</w:t>
      </w:r>
      <w:r w:rsidR="00511F20">
        <w:rPr>
          <w:lang w:val="fr-FR"/>
        </w:rPr>
        <w:t>’</w:t>
      </w:r>
      <w:r w:rsidR="00583E0A" w:rsidRPr="00583E0A">
        <w:rPr>
          <w:lang w:val="fr-FR"/>
        </w:rPr>
        <w:t>armes et les programmes commerciaux de haute technologie, certaines activités bancaires, la révocation de dérogations spécifiques accordées dans le cadre de l</w:t>
      </w:r>
      <w:r w:rsidR="00511F20">
        <w:rPr>
          <w:lang w:val="fr-FR"/>
        </w:rPr>
        <w:t>’</w:t>
      </w:r>
      <w:r w:rsidR="00583E0A" w:rsidRPr="00583E0A">
        <w:rPr>
          <w:lang w:val="fr-FR"/>
        </w:rPr>
        <w:t>accord de 2015 avec les Nations unies, le gel des avoirs et l</w:t>
      </w:r>
      <w:r w:rsidR="00511F20">
        <w:rPr>
          <w:lang w:val="fr-FR"/>
        </w:rPr>
        <w:t>’</w:t>
      </w:r>
      <w:r w:rsidR="00583E0A" w:rsidRPr="00583E0A">
        <w:rPr>
          <w:lang w:val="fr-FR"/>
        </w:rPr>
        <w:t>interdiction de voyager pour certains fonctionnaires et entités.</w:t>
      </w:r>
    </w:p>
    <w:p w14:paraId="30A4B46F" w14:textId="2CB5ED5D" w:rsidR="00C42624" w:rsidRPr="00FC1C48" w:rsidRDefault="0089211F" w:rsidP="00315191">
      <w:pPr>
        <w:pStyle w:val="Heading1"/>
        <w:numPr>
          <w:ilvl w:val="0"/>
          <w:numId w:val="24"/>
        </w:numPr>
        <w:spacing w:after="120"/>
        <w:rPr>
          <w:lang w:val="fr-FR"/>
        </w:rPr>
      </w:pPr>
      <w:r w:rsidRPr="0089211F">
        <w:rPr>
          <w:lang w:val="fr-FR"/>
        </w:rPr>
        <w:t>Les sanctions ont eu un effet d</w:t>
      </w:r>
      <w:r w:rsidR="00511F20">
        <w:rPr>
          <w:lang w:val="fr-FR"/>
        </w:rPr>
        <w:t>’</w:t>
      </w:r>
      <w:r w:rsidRPr="0089211F">
        <w:rPr>
          <w:lang w:val="fr-FR"/>
        </w:rPr>
        <w:t>entraînement important sur l</w:t>
      </w:r>
      <w:r w:rsidR="00511F20">
        <w:rPr>
          <w:lang w:val="fr-FR"/>
        </w:rPr>
        <w:t>’</w:t>
      </w:r>
      <w:r w:rsidRPr="0089211F">
        <w:rPr>
          <w:lang w:val="fr-FR"/>
        </w:rPr>
        <w:t>économie civile, provoquant une hyperinflation. En ce qui concerne le PGEH, les sanctions ont perturbé les importations et augmenté les coûts des équipements nécessaires à l</w:t>
      </w:r>
      <w:r w:rsidR="00511F20">
        <w:rPr>
          <w:lang w:val="fr-FR"/>
        </w:rPr>
        <w:t>’</w:t>
      </w:r>
      <w:r w:rsidRPr="0089211F">
        <w:rPr>
          <w:lang w:val="fr-FR"/>
        </w:rPr>
        <w:t>achèvement du projet, les fournisseurs étrangers ayant décidé d</w:t>
      </w:r>
      <w:r w:rsidR="00511F20">
        <w:rPr>
          <w:lang w:val="fr-FR"/>
        </w:rPr>
        <w:t>’</w:t>
      </w:r>
      <w:r w:rsidRPr="0089211F">
        <w:rPr>
          <w:lang w:val="fr-FR"/>
        </w:rPr>
        <w:t>éviter toute relation commerciale avec le pays par crainte de sanctions indirectes. Plus précisément, si le solde du fonds est actuellement plus élevé qu</w:t>
      </w:r>
      <w:r w:rsidR="00511F20">
        <w:rPr>
          <w:lang w:val="fr-FR"/>
        </w:rPr>
        <w:t>’</w:t>
      </w:r>
      <w:r w:rsidRPr="0089211F">
        <w:rPr>
          <w:lang w:val="fr-FR"/>
        </w:rPr>
        <w:t>en février 2025, c</w:t>
      </w:r>
      <w:r w:rsidR="00511F20">
        <w:rPr>
          <w:lang w:val="fr-FR"/>
        </w:rPr>
        <w:t>’</w:t>
      </w:r>
      <w:r w:rsidRPr="0089211F">
        <w:rPr>
          <w:lang w:val="fr-FR"/>
        </w:rPr>
        <w:t>est parce qu</w:t>
      </w:r>
      <w:r w:rsidR="00511F20">
        <w:rPr>
          <w:lang w:val="fr-FR"/>
        </w:rPr>
        <w:t>’</w:t>
      </w:r>
      <w:r w:rsidRPr="0089211F">
        <w:rPr>
          <w:lang w:val="fr-FR"/>
        </w:rPr>
        <w:t>un fournisseur de kits de reconversion pour la réfrigération commerciale destinés à 15 entreprises manufacturières a demandé au PNUD d</w:t>
      </w:r>
      <w:r w:rsidR="00511F20">
        <w:rPr>
          <w:lang w:val="fr-FR"/>
        </w:rPr>
        <w:t>’</w:t>
      </w:r>
      <w:r w:rsidRPr="0089211F">
        <w:rPr>
          <w:lang w:val="fr-FR"/>
        </w:rPr>
        <w:t>annuler une commande et de mettre fin aux obligations de fourniture convenues au début de 2025, ce qui a entraîné le remboursement de 425</w:t>
      </w:r>
      <w:r>
        <w:rPr>
          <w:lang w:val="fr-FR"/>
        </w:rPr>
        <w:t> </w:t>
      </w:r>
      <w:r w:rsidRPr="0089211F">
        <w:rPr>
          <w:lang w:val="fr-FR"/>
        </w:rPr>
        <w:t>000</w:t>
      </w:r>
      <w:r>
        <w:rPr>
          <w:lang w:val="fr-FR"/>
        </w:rPr>
        <w:t> </w:t>
      </w:r>
      <w:r w:rsidRPr="0089211F">
        <w:rPr>
          <w:lang w:val="fr-FR"/>
        </w:rPr>
        <w:t>$US au PNUD et un retard dans l</w:t>
      </w:r>
      <w:r w:rsidR="00511F20">
        <w:rPr>
          <w:lang w:val="fr-FR"/>
        </w:rPr>
        <w:t>’</w:t>
      </w:r>
      <w:r w:rsidRPr="0089211F">
        <w:rPr>
          <w:lang w:val="fr-FR"/>
        </w:rPr>
        <w:t>achèvement de ces reconversions.</w:t>
      </w:r>
    </w:p>
    <w:p w14:paraId="39AAE2DD" w14:textId="418BF5C4" w:rsidR="00C42624" w:rsidRPr="00FC1C48" w:rsidRDefault="00805C06" w:rsidP="00315191">
      <w:pPr>
        <w:pStyle w:val="Heading1"/>
        <w:numPr>
          <w:ilvl w:val="0"/>
          <w:numId w:val="24"/>
        </w:numPr>
        <w:spacing w:after="120"/>
        <w:rPr>
          <w:lang w:val="fr-FR"/>
        </w:rPr>
      </w:pPr>
      <w:r w:rsidRPr="00805C06">
        <w:rPr>
          <w:lang w:val="fr-FR"/>
        </w:rPr>
        <w:t>En outre, les conflits régionaux qui ont éclaté à la mi-juin 2025 dans plusieurs endroits ont entraîné l</w:t>
      </w:r>
      <w:r w:rsidR="00511F20">
        <w:rPr>
          <w:lang w:val="fr-FR"/>
        </w:rPr>
        <w:t>’</w:t>
      </w:r>
      <w:r w:rsidRPr="00805C06">
        <w:rPr>
          <w:lang w:val="fr-FR"/>
        </w:rPr>
        <w:t>évacuation massive d</w:t>
      </w:r>
      <w:r w:rsidR="00511F20">
        <w:rPr>
          <w:lang w:val="fr-FR"/>
        </w:rPr>
        <w:t>’</w:t>
      </w:r>
      <w:r w:rsidRPr="00805C06">
        <w:rPr>
          <w:lang w:val="fr-FR"/>
        </w:rPr>
        <w:t>environ sept millions de personnes, principalement hors de Téhéran. Le retour progressif des populations et la reprise des activités ont pris près de trois mois, après l</w:t>
      </w:r>
      <w:r w:rsidR="00511F20">
        <w:rPr>
          <w:lang w:val="fr-FR"/>
        </w:rPr>
        <w:t>’</w:t>
      </w:r>
      <w:r w:rsidRPr="00805C06">
        <w:rPr>
          <w:lang w:val="fr-FR"/>
        </w:rPr>
        <w:t>arrêt complet de la mise en œuvre du projet de juin à août 2025.</w:t>
      </w:r>
    </w:p>
    <w:p w14:paraId="6BCDF846" w14:textId="507D8DC0" w:rsidR="00C42624" w:rsidRDefault="002D768C" w:rsidP="00315191">
      <w:pPr>
        <w:pStyle w:val="Heading1"/>
        <w:numPr>
          <w:ilvl w:val="0"/>
          <w:numId w:val="24"/>
        </w:numPr>
        <w:spacing w:after="120"/>
        <w:rPr>
          <w:lang w:val="fr-FR"/>
        </w:rPr>
      </w:pPr>
      <w:r w:rsidRPr="002D768C">
        <w:rPr>
          <w:lang w:val="fr-FR"/>
        </w:rPr>
        <w:t xml:space="preserve">Compte tenu de ces difficultés, le PNUD a informé le </w:t>
      </w:r>
      <w:r>
        <w:rPr>
          <w:lang w:val="fr-FR"/>
        </w:rPr>
        <w:t>s</w:t>
      </w:r>
      <w:r w:rsidRPr="002D768C">
        <w:rPr>
          <w:lang w:val="fr-FR"/>
        </w:rPr>
        <w:t>ecrétariat que la prolongation de la phase</w:t>
      </w:r>
      <w:r w:rsidR="00502B84">
        <w:rPr>
          <w:lang w:val="fr-FR"/>
        </w:rPr>
        <w:t> </w:t>
      </w:r>
      <w:r w:rsidRPr="002D768C">
        <w:rPr>
          <w:lang w:val="fr-FR"/>
        </w:rPr>
        <w:t xml:space="preserve">II du PGEH permettrait à chaque </w:t>
      </w:r>
      <w:r>
        <w:rPr>
          <w:lang w:val="fr-FR"/>
        </w:rPr>
        <w:t>agence</w:t>
      </w:r>
      <w:r w:rsidRPr="002D768C">
        <w:rPr>
          <w:lang w:val="fr-FR"/>
        </w:rPr>
        <w:t xml:space="preserve"> d</w:t>
      </w:r>
      <w:r w:rsidR="00511F20">
        <w:rPr>
          <w:lang w:val="fr-FR"/>
        </w:rPr>
        <w:t>’</w:t>
      </w:r>
      <w:r w:rsidRPr="002D768C">
        <w:rPr>
          <w:lang w:val="fr-FR"/>
        </w:rPr>
        <w:t xml:space="preserve">achever les activités restantes </w:t>
      </w:r>
      <w:r w:rsidR="00356308">
        <w:rPr>
          <w:lang w:val="fr-FR"/>
        </w:rPr>
        <w:t>ci-dessous</w:t>
      </w:r>
      <w:r>
        <w:rPr>
          <w:lang w:val="fr-FR"/>
        </w:rPr>
        <w:t> </w:t>
      </w:r>
      <w:r w:rsidR="00C42624" w:rsidRPr="00FC1C48">
        <w:rPr>
          <w:lang w:val="fr-FR"/>
        </w:rPr>
        <w:t>:</w:t>
      </w:r>
    </w:p>
    <w:p w14:paraId="0E5C6F6D" w14:textId="77777777" w:rsidR="00E84D19" w:rsidRPr="00E84D19" w:rsidRDefault="00E84D19" w:rsidP="00E84D19">
      <w:pPr>
        <w:rPr>
          <w:lang w:val="fr-FR"/>
        </w:rPr>
      </w:pPr>
    </w:p>
    <w:p w14:paraId="57BA73EA" w14:textId="1A249E51" w:rsidR="00C42624" w:rsidRPr="00FC1C48" w:rsidRDefault="00A61A33" w:rsidP="00315191">
      <w:pPr>
        <w:pStyle w:val="Heading2"/>
        <w:numPr>
          <w:ilvl w:val="1"/>
          <w:numId w:val="24"/>
        </w:numPr>
        <w:ind w:left="1411" w:hanging="691"/>
        <w:rPr>
          <w:lang w:val="fr-FR"/>
        </w:rPr>
      </w:pPr>
      <w:r w:rsidRPr="00A61A33">
        <w:rPr>
          <w:i/>
          <w:iCs/>
          <w:lang w:val="fr-FR"/>
        </w:rPr>
        <w:t>PNUD – Mousses PU, réfrigération commerciale, entretien</w:t>
      </w:r>
      <w:r>
        <w:rPr>
          <w:i/>
          <w:iCs/>
          <w:lang w:val="fr-FR"/>
        </w:rPr>
        <w:t> </w:t>
      </w:r>
      <w:r w:rsidR="00C42624" w:rsidRPr="00FC1C48">
        <w:rPr>
          <w:i/>
          <w:iCs/>
          <w:lang w:val="fr-FR"/>
        </w:rPr>
        <w:t>:</w:t>
      </w:r>
      <w:r w:rsidR="00C42624" w:rsidRPr="00FC1C48">
        <w:rPr>
          <w:lang w:val="fr-FR"/>
        </w:rPr>
        <w:t xml:space="preserve"> </w:t>
      </w:r>
      <w:r w:rsidR="0032530C" w:rsidRPr="0032530C">
        <w:rPr>
          <w:lang w:val="fr-FR"/>
        </w:rPr>
        <w:t>Reprise du processus d</w:t>
      </w:r>
      <w:r w:rsidR="00511F20">
        <w:rPr>
          <w:lang w:val="fr-FR"/>
        </w:rPr>
        <w:t>’</w:t>
      </w:r>
      <w:r w:rsidR="0032530C" w:rsidRPr="0032530C">
        <w:rPr>
          <w:lang w:val="fr-FR"/>
        </w:rPr>
        <w:t>approvisionnement pour les kits et équipements de R&amp;C restants destinés aux entreprises de réfrigération commerciale et achèvement des reconversions</w:t>
      </w:r>
      <w:r w:rsidR="000255B0">
        <w:rPr>
          <w:lang w:val="fr-FR"/>
        </w:rPr>
        <w:t> ;</w:t>
      </w:r>
      <w:r w:rsidR="0032530C" w:rsidRPr="0032530C">
        <w:rPr>
          <w:lang w:val="fr-FR"/>
        </w:rPr>
        <w:t xml:space="preserve"> distribution aux PME des matériaux déjà achetés pour les systèmes alternatifs à base d</w:t>
      </w:r>
      <w:r w:rsidR="00511F20">
        <w:rPr>
          <w:lang w:val="fr-FR"/>
        </w:rPr>
        <w:t>’</w:t>
      </w:r>
      <w:r w:rsidR="0032530C" w:rsidRPr="0032530C">
        <w:rPr>
          <w:lang w:val="fr-FR"/>
        </w:rPr>
        <w:t>eau</w:t>
      </w:r>
      <w:r w:rsidR="000255B0">
        <w:rPr>
          <w:lang w:val="fr-FR"/>
        </w:rPr>
        <w:t> ;</w:t>
      </w:r>
      <w:r w:rsidR="0032530C" w:rsidRPr="0032530C">
        <w:rPr>
          <w:lang w:val="fr-FR"/>
        </w:rPr>
        <w:t xml:space="preserve"> achèvement de la formation de 1</w:t>
      </w:r>
      <w:r w:rsidR="00E60B83">
        <w:rPr>
          <w:lang w:val="fr-FR"/>
        </w:rPr>
        <w:t> </w:t>
      </w:r>
      <w:r w:rsidR="0032530C" w:rsidRPr="0032530C">
        <w:rPr>
          <w:lang w:val="fr-FR"/>
        </w:rPr>
        <w:t>000</w:t>
      </w:r>
      <w:r w:rsidR="00E60B83">
        <w:rPr>
          <w:lang w:val="fr-FR"/>
        </w:rPr>
        <w:t> </w:t>
      </w:r>
      <w:r w:rsidR="0032530C" w:rsidRPr="0032530C">
        <w:rPr>
          <w:lang w:val="fr-FR"/>
        </w:rPr>
        <w:t>techniciens à la manipulation des réfrigérants inflammables</w:t>
      </w:r>
      <w:r w:rsidR="000255B0">
        <w:rPr>
          <w:lang w:val="fr-FR"/>
        </w:rPr>
        <w:t> ;</w:t>
      </w:r>
      <w:r w:rsidR="0032530C" w:rsidRPr="0032530C">
        <w:rPr>
          <w:lang w:val="fr-FR"/>
        </w:rPr>
        <w:t xml:space="preserve"> achèvement de l</w:t>
      </w:r>
      <w:r w:rsidR="00511F20">
        <w:rPr>
          <w:lang w:val="fr-FR"/>
        </w:rPr>
        <w:t>’</w:t>
      </w:r>
      <w:r w:rsidR="0032530C" w:rsidRPr="0032530C">
        <w:rPr>
          <w:lang w:val="fr-FR"/>
        </w:rPr>
        <w:t>évaluation du R-290 dans les entreprises converties</w:t>
      </w:r>
      <w:r w:rsidR="000255B0">
        <w:rPr>
          <w:lang w:val="fr-FR"/>
        </w:rPr>
        <w:t> ;</w:t>
      </w:r>
      <w:r w:rsidR="0032530C" w:rsidRPr="0032530C">
        <w:rPr>
          <w:lang w:val="fr-FR"/>
        </w:rPr>
        <w:t xml:space="preserve"> adoption des normes de transport et de stockage des réfrigérants inflammables</w:t>
      </w:r>
      <w:r w:rsidR="000255B0">
        <w:rPr>
          <w:lang w:val="fr-FR"/>
        </w:rPr>
        <w:t> ;</w:t>
      </w:r>
      <w:r w:rsidR="0032530C" w:rsidRPr="0032530C">
        <w:rPr>
          <w:lang w:val="fr-FR"/>
        </w:rPr>
        <w:t xml:space="preserve"> et révision des réglementations du code du bâtiment relatives à l</w:t>
      </w:r>
      <w:r w:rsidR="00511F20">
        <w:rPr>
          <w:lang w:val="fr-FR"/>
        </w:rPr>
        <w:t>’</w:t>
      </w:r>
      <w:r w:rsidR="0032530C" w:rsidRPr="0032530C">
        <w:rPr>
          <w:lang w:val="fr-FR"/>
        </w:rPr>
        <w:t xml:space="preserve">adoption des réfrigérants inflammables (solde de </w:t>
      </w:r>
      <w:r w:rsidR="0032530C" w:rsidRPr="0032530C">
        <w:rPr>
          <w:lang w:val="fr-FR"/>
        </w:rPr>
        <w:lastRenderedPageBreak/>
        <w:t>902</w:t>
      </w:r>
      <w:r w:rsidR="0032530C">
        <w:rPr>
          <w:lang w:val="fr-FR"/>
        </w:rPr>
        <w:t> </w:t>
      </w:r>
      <w:r w:rsidR="0032530C" w:rsidRPr="0032530C">
        <w:rPr>
          <w:lang w:val="fr-FR"/>
        </w:rPr>
        <w:t>211</w:t>
      </w:r>
      <w:r w:rsidR="0032530C">
        <w:rPr>
          <w:lang w:val="fr-FR"/>
        </w:rPr>
        <w:t> </w:t>
      </w:r>
      <w:r w:rsidR="0032530C" w:rsidRPr="0032530C">
        <w:rPr>
          <w:lang w:val="fr-FR"/>
        </w:rPr>
        <w:t>$US)</w:t>
      </w:r>
      <w:r w:rsidR="00C42624" w:rsidRPr="00FC1C48">
        <w:rPr>
          <w:lang w:val="fr-FR"/>
        </w:rPr>
        <w:t>;</w:t>
      </w:r>
    </w:p>
    <w:p w14:paraId="26FDB3CC" w14:textId="164DA559" w:rsidR="00C42624" w:rsidRPr="00FC1C48" w:rsidRDefault="00A570DC" w:rsidP="00A86DF2">
      <w:pPr>
        <w:pStyle w:val="Heading2"/>
        <w:numPr>
          <w:ilvl w:val="1"/>
          <w:numId w:val="24"/>
        </w:numPr>
        <w:ind w:left="1418" w:hanging="698"/>
        <w:rPr>
          <w:lang w:val="fr-FR"/>
        </w:rPr>
      </w:pPr>
      <w:r w:rsidRPr="00A570DC">
        <w:rPr>
          <w:i/>
          <w:iCs/>
          <w:lang w:val="fr-FR"/>
        </w:rPr>
        <w:t>ONUDI – mousses PU</w:t>
      </w:r>
      <w:r>
        <w:rPr>
          <w:i/>
          <w:iCs/>
          <w:lang w:val="fr-FR"/>
        </w:rPr>
        <w:t> </w:t>
      </w:r>
      <w:r w:rsidR="00C42624" w:rsidRPr="00FC1C48">
        <w:rPr>
          <w:i/>
          <w:iCs/>
          <w:lang w:val="fr-FR"/>
        </w:rPr>
        <w:t>:</w:t>
      </w:r>
      <w:r w:rsidR="00C42624" w:rsidRPr="00FC1C48">
        <w:rPr>
          <w:lang w:val="fr-FR"/>
        </w:rPr>
        <w:t xml:space="preserve"> </w:t>
      </w:r>
      <w:r w:rsidRPr="00A570DC">
        <w:rPr>
          <w:lang w:val="fr-FR"/>
        </w:rPr>
        <w:t>Achèvement de la livraison, de l</w:t>
      </w:r>
      <w:r w:rsidR="00511F20">
        <w:rPr>
          <w:lang w:val="fr-FR"/>
        </w:rPr>
        <w:t>’</w:t>
      </w:r>
      <w:r w:rsidRPr="00A570DC">
        <w:rPr>
          <w:lang w:val="fr-FR"/>
        </w:rPr>
        <w:t>installation et de la mise en service des équipements, ainsi que des activités de formation connexes dans les six entreprises de mousses PU restantes (solde de 11</w:t>
      </w:r>
      <w:r>
        <w:rPr>
          <w:lang w:val="fr-FR"/>
        </w:rPr>
        <w:t> </w:t>
      </w:r>
      <w:r w:rsidRPr="00A570DC">
        <w:rPr>
          <w:lang w:val="fr-FR"/>
        </w:rPr>
        <w:t>180</w:t>
      </w:r>
      <w:r>
        <w:rPr>
          <w:lang w:val="fr-FR"/>
        </w:rPr>
        <w:t> </w:t>
      </w:r>
      <w:r w:rsidRPr="00A570DC">
        <w:rPr>
          <w:lang w:val="fr-FR"/>
        </w:rPr>
        <w:t>$US)</w:t>
      </w:r>
      <w:r w:rsidR="000255B0">
        <w:rPr>
          <w:lang w:val="fr-FR"/>
        </w:rPr>
        <w:t> ;</w:t>
      </w:r>
      <w:r w:rsidRPr="00A570DC">
        <w:rPr>
          <w:lang w:val="fr-FR"/>
        </w:rPr>
        <w:t xml:space="preserve"> et</w:t>
      </w:r>
    </w:p>
    <w:p w14:paraId="6DE76024" w14:textId="27FF0C7B" w:rsidR="00C42624" w:rsidRPr="00FC1C48" w:rsidRDefault="00694785" w:rsidP="00A86DF2">
      <w:pPr>
        <w:pStyle w:val="Heading2"/>
        <w:widowControl/>
        <w:numPr>
          <w:ilvl w:val="1"/>
          <w:numId w:val="24"/>
        </w:numPr>
        <w:ind w:left="1418" w:hanging="698"/>
        <w:rPr>
          <w:lang w:val="fr-FR"/>
        </w:rPr>
      </w:pPr>
      <w:r w:rsidRPr="00694785">
        <w:rPr>
          <w:i/>
          <w:iCs/>
          <w:lang w:val="fr-FR"/>
        </w:rPr>
        <w:t>PNUE – politique et entretien</w:t>
      </w:r>
      <w:r>
        <w:rPr>
          <w:i/>
          <w:iCs/>
          <w:lang w:val="fr-FR"/>
        </w:rPr>
        <w:t> </w:t>
      </w:r>
      <w:r w:rsidR="00C42624" w:rsidRPr="00FC1C48">
        <w:rPr>
          <w:i/>
          <w:iCs/>
          <w:lang w:val="fr-FR"/>
        </w:rPr>
        <w:t>:</w:t>
      </w:r>
      <w:r w:rsidR="00C42624" w:rsidRPr="00FC1C48">
        <w:rPr>
          <w:lang w:val="fr-FR"/>
        </w:rPr>
        <w:t xml:space="preserve"> </w:t>
      </w:r>
      <w:r w:rsidR="006773C0" w:rsidRPr="006773C0">
        <w:rPr>
          <w:lang w:val="fr-FR"/>
        </w:rPr>
        <w:t>Finalisation des ateliers de consultation sur les politiques et organisation de deux cours de formation à l</w:t>
      </w:r>
      <w:r w:rsidR="00511F20">
        <w:rPr>
          <w:lang w:val="fr-FR"/>
        </w:rPr>
        <w:t>’</w:t>
      </w:r>
      <w:r w:rsidR="006773C0" w:rsidRPr="006773C0">
        <w:rPr>
          <w:lang w:val="fr-FR"/>
        </w:rPr>
        <w:t>intention des agents des forces de l</w:t>
      </w:r>
      <w:r w:rsidR="00511F20">
        <w:rPr>
          <w:lang w:val="fr-FR"/>
        </w:rPr>
        <w:t>’</w:t>
      </w:r>
      <w:r w:rsidR="006773C0" w:rsidRPr="006773C0">
        <w:rPr>
          <w:lang w:val="fr-FR"/>
        </w:rPr>
        <w:t>ordre au sein des administrations locales</w:t>
      </w:r>
      <w:r w:rsidR="000255B0">
        <w:rPr>
          <w:lang w:val="fr-FR"/>
        </w:rPr>
        <w:t> ;</w:t>
      </w:r>
      <w:r w:rsidR="006773C0" w:rsidRPr="006773C0">
        <w:rPr>
          <w:lang w:val="fr-FR"/>
        </w:rPr>
        <w:t xml:space="preserve"> formation de 60</w:t>
      </w:r>
      <w:r w:rsidR="00147340">
        <w:rPr>
          <w:lang w:val="fr-FR"/>
        </w:rPr>
        <w:t> </w:t>
      </w:r>
      <w:r w:rsidR="006773C0" w:rsidRPr="006773C0">
        <w:rPr>
          <w:lang w:val="fr-FR"/>
        </w:rPr>
        <w:t>agents des douanes et des 434</w:t>
      </w:r>
      <w:r w:rsidR="00147340">
        <w:rPr>
          <w:lang w:val="fr-FR"/>
        </w:rPr>
        <w:t> </w:t>
      </w:r>
      <w:r w:rsidR="006773C0" w:rsidRPr="006773C0">
        <w:rPr>
          <w:lang w:val="fr-FR"/>
        </w:rPr>
        <w:t>techniciens restants, et certification de 200</w:t>
      </w:r>
      <w:r w:rsidR="00147340">
        <w:rPr>
          <w:lang w:val="fr-FR"/>
        </w:rPr>
        <w:t> </w:t>
      </w:r>
      <w:r w:rsidR="006773C0" w:rsidRPr="006773C0">
        <w:rPr>
          <w:lang w:val="fr-FR"/>
        </w:rPr>
        <w:t>techniciens</w:t>
      </w:r>
      <w:r w:rsidR="000255B0">
        <w:rPr>
          <w:lang w:val="fr-FR"/>
        </w:rPr>
        <w:t> ;</w:t>
      </w:r>
      <w:r w:rsidR="006773C0" w:rsidRPr="006773C0">
        <w:rPr>
          <w:lang w:val="fr-FR"/>
        </w:rPr>
        <w:t xml:space="preserve"> traduction des supports de formation et d</w:t>
      </w:r>
      <w:r w:rsidR="00511F20">
        <w:rPr>
          <w:lang w:val="fr-FR"/>
        </w:rPr>
        <w:t>’</w:t>
      </w:r>
      <w:r w:rsidR="006773C0" w:rsidRPr="006773C0">
        <w:rPr>
          <w:lang w:val="fr-FR"/>
        </w:rPr>
        <w:t>évaluation en matière de R&amp;C</w:t>
      </w:r>
      <w:r w:rsidR="000255B0">
        <w:rPr>
          <w:lang w:val="fr-FR"/>
        </w:rPr>
        <w:t> ;</w:t>
      </w:r>
      <w:r w:rsidR="006773C0" w:rsidRPr="006773C0">
        <w:rPr>
          <w:lang w:val="fr-FR"/>
        </w:rPr>
        <w:t xml:space="preserve"> achèvement des procédures opérationnelles standard pour la manipulation et le stockage des gaz inflammables par l</w:t>
      </w:r>
      <w:r w:rsidR="00511F20">
        <w:rPr>
          <w:lang w:val="fr-FR"/>
        </w:rPr>
        <w:t>’</w:t>
      </w:r>
      <w:r w:rsidR="006773C0" w:rsidRPr="006773C0">
        <w:rPr>
          <w:lang w:val="fr-FR"/>
        </w:rPr>
        <w:t>industrie et les ateliers d</w:t>
      </w:r>
      <w:r w:rsidR="00511F20">
        <w:rPr>
          <w:lang w:val="fr-FR"/>
        </w:rPr>
        <w:t>’</w:t>
      </w:r>
      <w:r w:rsidR="006773C0" w:rsidRPr="006773C0">
        <w:rPr>
          <w:lang w:val="fr-FR"/>
        </w:rPr>
        <w:t>entretien</w:t>
      </w:r>
      <w:r w:rsidR="000255B0">
        <w:rPr>
          <w:lang w:val="fr-FR"/>
        </w:rPr>
        <w:t> ;</w:t>
      </w:r>
      <w:r w:rsidR="006773C0" w:rsidRPr="006773C0">
        <w:rPr>
          <w:lang w:val="fr-FR"/>
        </w:rPr>
        <w:t xml:space="preserve"> révision des normes nationales pour le secteur de l</w:t>
      </w:r>
      <w:r w:rsidR="00511F20">
        <w:rPr>
          <w:lang w:val="fr-FR"/>
        </w:rPr>
        <w:t>’</w:t>
      </w:r>
      <w:r w:rsidR="006773C0" w:rsidRPr="006773C0">
        <w:rPr>
          <w:lang w:val="fr-FR"/>
        </w:rPr>
        <w:t>entretien des équipements de réfrigération et de climatisation</w:t>
      </w:r>
      <w:r w:rsidR="000255B0">
        <w:rPr>
          <w:lang w:val="fr-FR"/>
        </w:rPr>
        <w:t> ;</w:t>
      </w:r>
      <w:r w:rsidR="006773C0" w:rsidRPr="006773C0">
        <w:rPr>
          <w:lang w:val="fr-FR"/>
        </w:rPr>
        <w:t xml:space="preserve"> activités de développement des capacités pour l</w:t>
      </w:r>
      <w:r w:rsidR="00511F20">
        <w:rPr>
          <w:lang w:val="fr-FR"/>
        </w:rPr>
        <w:t>’</w:t>
      </w:r>
      <w:r w:rsidR="006773C0" w:rsidRPr="006773C0">
        <w:rPr>
          <w:lang w:val="fr-FR"/>
        </w:rPr>
        <w:t>association de R&amp;C et lancement d</w:t>
      </w:r>
      <w:r w:rsidR="00511F20">
        <w:rPr>
          <w:lang w:val="fr-FR"/>
        </w:rPr>
        <w:t>’</w:t>
      </w:r>
      <w:r w:rsidR="006773C0" w:rsidRPr="006773C0">
        <w:rPr>
          <w:lang w:val="fr-FR"/>
        </w:rPr>
        <w:t>un site web pour promouvoir les technologies récentes</w:t>
      </w:r>
      <w:r w:rsidR="000255B0">
        <w:rPr>
          <w:lang w:val="fr-FR"/>
        </w:rPr>
        <w:t> ;</w:t>
      </w:r>
      <w:r w:rsidR="006773C0" w:rsidRPr="006773C0">
        <w:rPr>
          <w:lang w:val="fr-FR"/>
        </w:rPr>
        <w:t xml:space="preserve"> organisation d</w:t>
      </w:r>
      <w:r w:rsidR="00511F20">
        <w:rPr>
          <w:lang w:val="fr-FR"/>
        </w:rPr>
        <w:t>’</w:t>
      </w:r>
      <w:r w:rsidR="006773C0" w:rsidRPr="006773C0">
        <w:rPr>
          <w:lang w:val="fr-FR"/>
        </w:rPr>
        <w:t>un événement final Ozone2Climate et de deux activités de vulgarisation pour promouvoir l</w:t>
      </w:r>
      <w:r w:rsidR="00511F20">
        <w:rPr>
          <w:lang w:val="fr-FR"/>
        </w:rPr>
        <w:t>’</w:t>
      </w:r>
      <w:r w:rsidR="006773C0" w:rsidRPr="006773C0">
        <w:rPr>
          <w:lang w:val="fr-FR"/>
        </w:rPr>
        <w:t>élimination des HCFC en collaboration avec l</w:t>
      </w:r>
      <w:r w:rsidR="00511F20">
        <w:rPr>
          <w:lang w:val="fr-FR"/>
        </w:rPr>
        <w:t>’</w:t>
      </w:r>
      <w:r w:rsidR="006773C0" w:rsidRPr="006773C0">
        <w:rPr>
          <w:lang w:val="fr-FR"/>
        </w:rPr>
        <w:t>association de R&amp;C</w:t>
      </w:r>
      <w:r w:rsidR="000255B0">
        <w:rPr>
          <w:lang w:val="fr-FR"/>
        </w:rPr>
        <w:t> ;</w:t>
      </w:r>
      <w:r w:rsidR="006773C0" w:rsidRPr="006773C0">
        <w:rPr>
          <w:lang w:val="fr-FR"/>
        </w:rPr>
        <w:t xml:space="preserve"> et distribution d</w:t>
      </w:r>
      <w:r w:rsidR="00511F20">
        <w:rPr>
          <w:lang w:val="fr-FR"/>
        </w:rPr>
        <w:t>’</w:t>
      </w:r>
      <w:r w:rsidR="006773C0" w:rsidRPr="006773C0">
        <w:rPr>
          <w:lang w:val="fr-FR"/>
        </w:rPr>
        <w:t>au moins deux supports d</w:t>
      </w:r>
      <w:r w:rsidR="00511F20">
        <w:rPr>
          <w:lang w:val="fr-FR"/>
        </w:rPr>
        <w:t>’</w:t>
      </w:r>
      <w:r w:rsidR="006773C0" w:rsidRPr="006773C0">
        <w:rPr>
          <w:lang w:val="fr-FR"/>
        </w:rPr>
        <w:t>information en farsi (solde de 232</w:t>
      </w:r>
      <w:r w:rsidR="00AA60EC">
        <w:rPr>
          <w:lang w:val="fr-FR"/>
        </w:rPr>
        <w:t> </w:t>
      </w:r>
      <w:r w:rsidR="006773C0" w:rsidRPr="006773C0">
        <w:rPr>
          <w:lang w:val="fr-FR"/>
        </w:rPr>
        <w:t>014</w:t>
      </w:r>
      <w:r w:rsidR="00AA60EC">
        <w:rPr>
          <w:lang w:val="fr-FR"/>
        </w:rPr>
        <w:t> </w:t>
      </w:r>
      <w:r w:rsidR="00AA60EC" w:rsidRPr="006773C0">
        <w:rPr>
          <w:lang w:val="fr-FR"/>
        </w:rPr>
        <w:t>$US</w:t>
      </w:r>
      <w:r w:rsidR="006773C0" w:rsidRPr="006773C0">
        <w:rPr>
          <w:lang w:val="fr-FR"/>
        </w:rPr>
        <w:t>).</w:t>
      </w:r>
    </w:p>
    <w:p w14:paraId="60602669" w14:textId="562A852E" w:rsidR="00C42624" w:rsidRPr="00FC1C48" w:rsidRDefault="00CD68E3" w:rsidP="00C42624">
      <w:pPr>
        <w:pStyle w:val="Heading1"/>
        <w:numPr>
          <w:ilvl w:val="0"/>
          <w:numId w:val="24"/>
        </w:numPr>
        <w:rPr>
          <w:lang w:val="fr-FR"/>
        </w:rPr>
      </w:pPr>
      <w:r w:rsidRPr="00CD68E3">
        <w:rPr>
          <w:lang w:val="fr-FR"/>
        </w:rPr>
        <w:t>Pour surmonter les limites actuelles, le PNUD travaille avec son unité centrale des services d</w:t>
      </w:r>
      <w:r w:rsidR="00511F20">
        <w:rPr>
          <w:lang w:val="fr-FR"/>
        </w:rPr>
        <w:t>’</w:t>
      </w:r>
      <w:r w:rsidRPr="00CD68E3">
        <w:rPr>
          <w:lang w:val="fr-FR"/>
        </w:rPr>
        <w:t>approvisionnement afin de permettre la conclusion de contrats directs avec des fournisseurs qualifiés ayant déjà participé à des appels d</w:t>
      </w:r>
      <w:r w:rsidR="00511F20">
        <w:rPr>
          <w:lang w:val="fr-FR"/>
        </w:rPr>
        <w:t>’</w:t>
      </w:r>
      <w:r w:rsidRPr="00CD68E3">
        <w:rPr>
          <w:lang w:val="fr-FR"/>
        </w:rPr>
        <w:t>offres. Le PNUE transférera les fonds à l</w:t>
      </w:r>
      <w:r w:rsidR="00511F20">
        <w:rPr>
          <w:lang w:val="fr-FR"/>
        </w:rPr>
        <w:t>’</w:t>
      </w:r>
      <w:r w:rsidRPr="00CD68E3">
        <w:rPr>
          <w:lang w:val="fr-FR"/>
        </w:rPr>
        <w:t>UNO par l</w:t>
      </w:r>
      <w:r w:rsidR="00511F20">
        <w:rPr>
          <w:lang w:val="fr-FR"/>
        </w:rPr>
        <w:t>’</w:t>
      </w:r>
      <w:r w:rsidRPr="00CD68E3">
        <w:rPr>
          <w:lang w:val="fr-FR"/>
        </w:rPr>
        <w:t>intermédiaire d</w:t>
      </w:r>
      <w:r w:rsidR="00511F20">
        <w:rPr>
          <w:lang w:val="fr-FR"/>
        </w:rPr>
        <w:t>’</w:t>
      </w:r>
      <w:r w:rsidRPr="00CD68E3">
        <w:rPr>
          <w:lang w:val="fr-FR"/>
        </w:rPr>
        <w:t>un partenaire gouvernemental qui a conclu des accords juridiques avec les deux parties pour fournir des services de mise en œuvre. Le gouvernement a identifié un nouveau partenaire éligible pour fournir ces services et recevoir du financement, que le PNUE doit d</w:t>
      </w:r>
      <w:r w:rsidR="00511F20">
        <w:rPr>
          <w:lang w:val="fr-FR"/>
        </w:rPr>
        <w:t>’</w:t>
      </w:r>
      <w:r w:rsidRPr="00CD68E3">
        <w:rPr>
          <w:lang w:val="fr-FR"/>
        </w:rPr>
        <w:t>abord sélectionner et auditer. Les procédures de validation des partenaires devraient être achevées d</w:t>
      </w:r>
      <w:r w:rsidR="00511F20">
        <w:rPr>
          <w:lang w:val="fr-FR"/>
        </w:rPr>
        <w:t>’</w:t>
      </w:r>
      <w:r w:rsidRPr="00CD68E3">
        <w:rPr>
          <w:lang w:val="fr-FR"/>
        </w:rPr>
        <w:t>ici la fin de 2025, après quoi le PNUE prévoit de traiter les paiements dans les meilleurs délais.</w:t>
      </w:r>
    </w:p>
    <w:p w14:paraId="63AE622F" w14:textId="307273CA" w:rsidR="00C42624" w:rsidRPr="00FC1C48" w:rsidRDefault="00472C81" w:rsidP="00C42624">
      <w:pPr>
        <w:pStyle w:val="Heading1"/>
        <w:numPr>
          <w:ilvl w:val="0"/>
          <w:numId w:val="24"/>
        </w:numPr>
        <w:rPr>
          <w:lang w:val="fr-FR"/>
        </w:rPr>
      </w:pPr>
      <w:r w:rsidRPr="00472C81">
        <w:rPr>
          <w:lang w:val="fr-FR"/>
        </w:rPr>
        <w:t>Le Secrétariat prend note que la prolongation de la phase</w:t>
      </w:r>
      <w:r>
        <w:rPr>
          <w:lang w:val="fr-FR"/>
        </w:rPr>
        <w:t> </w:t>
      </w:r>
      <w:r w:rsidRPr="00472C81">
        <w:rPr>
          <w:lang w:val="fr-FR"/>
        </w:rPr>
        <w:t>II du PGEH permettra au pays, avec l</w:t>
      </w:r>
      <w:r w:rsidR="00511F20">
        <w:rPr>
          <w:lang w:val="fr-FR"/>
        </w:rPr>
        <w:t>’</w:t>
      </w:r>
      <w:r w:rsidRPr="00472C81">
        <w:rPr>
          <w:lang w:val="fr-FR"/>
        </w:rPr>
        <w:t>appui des agences, de mener à bien les activités en cours décrites ci-dessus. En particulier dans le cas des activités liées à la réfrigération commerciale et à mousses PU, la prolongation permettra la conversion finale des entreprises restantes afin d</w:t>
      </w:r>
      <w:r w:rsidR="00511F20">
        <w:rPr>
          <w:lang w:val="fr-FR"/>
        </w:rPr>
        <w:t>’</w:t>
      </w:r>
      <w:r w:rsidRPr="00472C81">
        <w:rPr>
          <w:lang w:val="fr-FR"/>
        </w:rPr>
        <w:t>assurer une couverture complète du secteur.</w:t>
      </w:r>
    </w:p>
    <w:p w14:paraId="33F98F53" w14:textId="1A3A4E4D" w:rsidR="00C42624" w:rsidRPr="00FC1C48" w:rsidRDefault="00492769" w:rsidP="00C42624">
      <w:pPr>
        <w:pStyle w:val="Heading1"/>
        <w:numPr>
          <w:ilvl w:val="0"/>
          <w:numId w:val="24"/>
        </w:numPr>
        <w:rPr>
          <w:lang w:val="fr-FR"/>
        </w:rPr>
      </w:pPr>
      <w:r w:rsidRPr="00492769">
        <w:rPr>
          <w:lang w:val="fr-FR"/>
        </w:rPr>
        <w:t xml:space="preserve">Sur la base des informations fournies, le </w:t>
      </w:r>
      <w:r w:rsidR="001A52E8">
        <w:rPr>
          <w:lang w:val="fr-FR"/>
        </w:rPr>
        <w:t>s</w:t>
      </w:r>
      <w:r w:rsidRPr="00492769">
        <w:rPr>
          <w:lang w:val="fr-FR"/>
        </w:rPr>
        <w:t>ecrétariat estime qu</w:t>
      </w:r>
      <w:r w:rsidR="00511F20">
        <w:rPr>
          <w:lang w:val="fr-FR"/>
        </w:rPr>
        <w:t>’</w:t>
      </w:r>
      <w:r w:rsidRPr="00492769">
        <w:rPr>
          <w:lang w:val="fr-FR"/>
        </w:rPr>
        <w:t>une prolongation d</w:t>
      </w:r>
      <w:r w:rsidR="00511F20">
        <w:rPr>
          <w:lang w:val="fr-FR"/>
        </w:rPr>
        <w:t>’</w:t>
      </w:r>
      <w:r w:rsidRPr="00492769">
        <w:rPr>
          <w:lang w:val="fr-FR"/>
        </w:rPr>
        <w:t>un an, plutôt que d</w:t>
      </w:r>
      <w:r w:rsidR="00511F20">
        <w:rPr>
          <w:lang w:val="fr-FR"/>
        </w:rPr>
        <w:t>’</w:t>
      </w:r>
      <w:r w:rsidRPr="00492769">
        <w:rPr>
          <w:lang w:val="fr-FR"/>
        </w:rPr>
        <w:t>un an et demi, est suffisante pour mener à bien ces activités. Compte tenu des décisions antérieures, le Comité exécutif pourrait souhaiter prendre en considération la justification du PNUD lors</w:t>
      </w:r>
      <w:r>
        <w:rPr>
          <w:lang w:val="fr-FR"/>
        </w:rPr>
        <w:t xml:space="preserve"> d</w:t>
      </w:r>
      <w:r w:rsidR="00511F20">
        <w:rPr>
          <w:lang w:val="fr-FR"/>
        </w:rPr>
        <w:t>’</w:t>
      </w:r>
      <w:r>
        <w:rPr>
          <w:lang w:val="fr-FR"/>
        </w:rPr>
        <w:t xml:space="preserve">un futur </w:t>
      </w:r>
      <w:r w:rsidRPr="00492769">
        <w:rPr>
          <w:lang w:val="fr-FR"/>
        </w:rPr>
        <w:t>exam</w:t>
      </w:r>
      <w:r>
        <w:rPr>
          <w:lang w:val="fr-FR"/>
        </w:rPr>
        <w:t>en</w:t>
      </w:r>
      <w:r w:rsidRPr="00492769">
        <w:rPr>
          <w:lang w:val="fr-FR"/>
        </w:rPr>
        <w:t xml:space="preserve"> </w:t>
      </w:r>
      <w:r>
        <w:rPr>
          <w:lang w:val="fr-FR"/>
        </w:rPr>
        <w:t xml:space="preserve">de </w:t>
      </w:r>
      <w:r w:rsidRPr="00492769">
        <w:rPr>
          <w:lang w:val="fr-FR"/>
        </w:rPr>
        <w:t>l</w:t>
      </w:r>
      <w:r w:rsidR="00511F20">
        <w:rPr>
          <w:lang w:val="fr-FR"/>
        </w:rPr>
        <w:t>’</w:t>
      </w:r>
      <w:r w:rsidRPr="00492769">
        <w:rPr>
          <w:lang w:val="fr-FR"/>
        </w:rPr>
        <w:t>approbation de cette prolongation.</w:t>
      </w:r>
    </w:p>
    <w:p w14:paraId="07FC2C5C" w14:textId="47914F94" w:rsidR="00C42624" w:rsidRPr="00FC1C48" w:rsidRDefault="00C42624" w:rsidP="00C42624">
      <w:pPr>
        <w:pStyle w:val="Heading1"/>
        <w:numPr>
          <w:ilvl w:val="0"/>
          <w:numId w:val="0"/>
        </w:numPr>
        <w:rPr>
          <w:b/>
          <w:bCs/>
          <w:lang w:val="fr-FR"/>
        </w:rPr>
      </w:pPr>
      <w:r w:rsidRPr="00FC1C48">
        <w:rPr>
          <w:b/>
          <w:bCs/>
          <w:lang w:val="fr-FR"/>
        </w:rPr>
        <w:t>Recomm</w:t>
      </w:r>
      <w:r w:rsidR="00CE2A6E" w:rsidRPr="00FC1C48">
        <w:rPr>
          <w:b/>
          <w:bCs/>
          <w:lang w:val="fr-FR"/>
        </w:rPr>
        <w:t>a</w:t>
      </w:r>
      <w:r w:rsidRPr="00FC1C48">
        <w:rPr>
          <w:b/>
          <w:bCs/>
          <w:lang w:val="fr-FR"/>
        </w:rPr>
        <w:t>ndation</w:t>
      </w:r>
    </w:p>
    <w:p w14:paraId="703E8AA7" w14:textId="0CE291B8" w:rsidR="00C42624" w:rsidRPr="00FC1C48" w:rsidRDefault="00247A0F" w:rsidP="00C42624">
      <w:pPr>
        <w:pStyle w:val="Heading1"/>
        <w:numPr>
          <w:ilvl w:val="0"/>
          <w:numId w:val="24"/>
        </w:numPr>
        <w:rPr>
          <w:lang w:val="fr-FR"/>
        </w:rPr>
      </w:pPr>
      <w:r w:rsidRPr="00247A0F">
        <w:rPr>
          <w:lang w:val="fr-FR"/>
        </w:rPr>
        <w:t>Le Comité exécutif pourrait souhaiter</w:t>
      </w:r>
      <w:r>
        <w:rPr>
          <w:lang w:val="fr-FR"/>
        </w:rPr>
        <w:t> </w:t>
      </w:r>
      <w:r w:rsidR="00C42624" w:rsidRPr="00FC1C48">
        <w:rPr>
          <w:lang w:val="fr-FR"/>
        </w:rPr>
        <w:t>:</w:t>
      </w:r>
    </w:p>
    <w:p w14:paraId="2A5A2294" w14:textId="34C07760" w:rsidR="00C42624" w:rsidRPr="00FC1C48" w:rsidRDefault="00E23AE4" w:rsidP="00315191">
      <w:pPr>
        <w:pStyle w:val="Heading2"/>
        <w:numPr>
          <w:ilvl w:val="1"/>
          <w:numId w:val="24"/>
        </w:numPr>
        <w:ind w:left="1350" w:hanging="630"/>
        <w:rPr>
          <w:lang w:val="fr-FR"/>
        </w:rPr>
      </w:pPr>
      <w:r w:rsidRPr="00E23AE4">
        <w:rPr>
          <w:lang w:val="fr-FR"/>
        </w:rPr>
        <w:t>Prendre note du rapport périodique sur la mise en œuvre des programmes de travail associés à la cinquième et dernière tranche de la phase II du plan de gestion de l</w:t>
      </w:r>
      <w:r w:rsidR="00511F20">
        <w:rPr>
          <w:lang w:val="fr-FR"/>
        </w:rPr>
        <w:t>’</w:t>
      </w:r>
      <w:r w:rsidRPr="00E23AE4">
        <w:rPr>
          <w:lang w:val="fr-FR"/>
        </w:rPr>
        <w:t>élimination des HCFC (PGEH) pour la République islamique d</w:t>
      </w:r>
      <w:r w:rsidR="00511F20">
        <w:rPr>
          <w:lang w:val="fr-FR"/>
        </w:rPr>
        <w:t>’</w:t>
      </w:r>
      <w:r w:rsidRPr="00E23AE4">
        <w:rPr>
          <w:lang w:val="fr-FR"/>
        </w:rPr>
        <w:t>Iran, présenté par le PNUD conformément à la décision</w:t>
      </w:r>
      <w:r>
        <w:rPr>
          <w:lang w:val="fr-FR"/>
        </w:rPr>
        <w:t> </w:t>
      </w:r>
      <w:r w:rsidRPr="00E23AE4">
        <w:rPr>
          <w:lang w:val="fr-FR"/>
        </w:rPr>
        <w:t>94/36</w:t>
      </w:r>
      <w:r w:rsidR="000255B0">
        <w:rPr>
          <w:lang w:val="fr-FR"/>
        </w:rPr>
        <w:t> ;</w:t>
      </w:r>
      <w:r w:rsidRPr="00E23AE4">
        <w:rPr>
          <w:lang w:val="fr-FR"/>
        </w:rPr>
        <w:t xml:space="preserve"> et</w:t>
      </w:r>
    </w:p>
    <w:p w14:paraId="5EED4F9F" w14:textId="3804841A" w:rsidR="00F830E1" w:rsidRDefault="00072F47" w:rsidP="00315191">
      <w:pPr>
        <w:pStyle w:val="Heading2"/>
        <w:numPr>
          <w:ilvl w:val="1"/>
          <w:numId w:val="24"/>
        </w:numPr>
        <w:ind w:left="1350" w:hanging="630"/>
        <w:rPr>
          <w:lang w:val="fr-FR"/>
        </w:rPr>
      </w:pPr>
      <w:r w:rsidRPr="00072F47">
        <w:rPr>
          <w:lang w:val="fr-FR"/>
        </w:rPr>
        <w:t>Envisager d</w:t>
      </w:r>
      <w:r w:rsidR="00511F20">
        <w:rPr>
          <w:lang w:val="fr-FR"/>
        </w:rPr>
        <w:t>’</w:t>
      </w:r>
      <w:r w:rsidRPr="00072F47">
        <w:rPr>
          <w:lang w:val="fr-FR"/>
        </w:rPr>
        <w:t>approuver, à titre exceptionnel, la prolongation de la durée de la phase</w:t>
      </w:r>
      <w:r>
        <w:rPr>
          <w:lang w:val="fr-FR"/>
        </w:rPr>
        <w:t> </w:t>
      </w:r>
      <w:r w:rsidRPr="00072F47">
        <w:rPr>
          <w:lang w:val="fr-FR"/>
        </w:rPr>
        <w:t>II du PGEH pour la République islamique d</w:t>
      </w:r>
      <w:r w:rsidR="00511F20">
        <w:rPr>
          <w:lang w:val="fr-FR"/>
        </w:rPr>
        <w:t>’</w:t>
      </w:r>
      <w:r w:rsidRPr="00072F47">
        <w:rPr>
          <w:lang w:val="fr-FR"/>
        </w:rPr>
        <w:t>Iran jusqu</w:t>
      </w:r>
      <w:r w:rsidR="00511F20">
        <w:rPr>
          <w:lang w:val="fr-FR"/>
        </w:rPr>
        <w:t>’</w:t>
      </w:r>
      <w:r w:rsidRPr="00072F47">
        <w:rPr>
          <w:lang w:val="fr-FR"/>
        </w:rPr>
        <w:t>au 31</w:t>
      </w:r>
      <w:r>
        <w:rPr>
          <w:lang w:val="fr-FR"/>
        </w:rPr>
        <w:t> </w:t>
      </w:r>
      <w:r w:rsidRPr="00072F47">
        <w:rPr>
          <w:lang w:val="fr-FR"/>
        </w:rPr>
        <w:t>décembre 2026, étant entendu qu</w:t>
      </w:r>
      <w:r w:rsidR="00511F20">
        <w:rPr>
          <w:lang w:val="fr-FR"/>
        </w:rPr>
        <w:t>’</w:t>
      </w:r>
      <w:r w:rsidRPr="00072F47">
        <w:rPr>
          <w:lang w:val="fr-FR"/>
        </w:rPr>
        <w:t>aucune autre demande de prolongation ne sera faite.</w:t>
      </w:r>
    </w:p>
    <w:p w14:paraId="44549F79" w14:textId="75F0FA21" w:rsidR="00C42624" w:rsidRPr="00FC1C48" w:rsidRDefault="00F830E1" w:rsidP="00F830E1">
      <w:pPr>
        <w:jc w:val="left"/>
        <w:rPr>
          <w:lang w:val="fr-FR"/>
        </w:rPr>
      </w:pPr>
      <w:r>
        <w:rPr>
          <w:lang w:val="fr-FR"/>
        </w:rPr>
        <w:br w:type="page"/>
      </w:r>
    </w:p>
    <w:p w14:paraId="4888429F" w14:textId="373983B4" w:rsidR="00B072D3" w:rsidRPr="00FC1C48" w:rsidRDefault="00F241AD" w:rsidP="00C90672">
      <w:pPr>
        <w:pStyle w:val="StyleHeader4Para4Left0Firstline0"/>
        <w:numPr>
          <w:ilvl w:val="0"/>
          <w:numId w:val="0"/>
        </w:numPr>
        <w:tabs>
          <w:tab w:val="clear" w:pos="2880"/>
          <w:tab w:val="clear" w:pos="5760"/>
          <w:tab w:val="left" w:pos="0"/>
        </w:tabs>
        <w:ind w:left="720"/>
        <w:rPr>
          <w:b/>
          <w:sz w:val="22"/>
          <w:lang w:val="fr-FR"/>
        </w:rPr>
      </w:pPr>
      <w:r w:rsidRPr="00F241AD">
        <w:rPr>
          <w:b/>
          <w:sz w:val="22"/>
          <w:u w:val="single"/>
          <w:lang w:val="fr-FR"/>
        </w:rPr>
        <w:lastRenderedPageBreak/>
        <w:t>Qatar</w:t>
      </w:r>
      <w:r>
        <w:rPr>
          <w:b/>
          <w:sz w:val="22"/>
          <w:u w:val="single"/>
          <w:lang w:val="fr-FR"/>
        </w:rPr>
        <w:t> </w:t>
      </w:r>
      <w:r w:rsidRPr="00F241AD">
        <w:rPr>
          <w:b/>
          <w:sz w:val="22"/>
          <w:u w:val="single"/>
          <w:lang w:val="fr-FR"/>
        </w:rPr>
        <w:t>: Plan de gestion de l</w:t>
      </w:r>
      <w:r w:rsidR="00511F20">
        <w:rPr>
          <w:b/>
          <w:sz w:val="22"/>
          <w:u w:val="single"/>
          <w:lang w:val="fr-FR"/>
        </w:rPr>
        <w:t>’</w:t>
      </w:r>
      <w:r w:rsidRPr="00F241AD">
        <w:rPr>
          <w:b/>
          <w:sz w:val="22"/>
          <w:u w:val="single"/>
          <w:lang w:val="fr-FR"/>
        </w:rPr>
        <w:t>élimination progressive des HCFC (phase</w:t>
      </w:r>
      <w:r>
        <w:rPr>
          <w:b/>
          <w:sz w:val="22"/>
          <w:u w:val="single"/>
          <w:lang w:val="fr-FR"/>
        </w:rPr>
        <w:t> </w:t>
      </w:r>
      <w:r w:rsidRPr="00F241AD">
        <w:rPr>
          <w:b/>
          <w:sz w:val="22"/>
          <w:u w:val="single"/>
          <w:lang w:val="fr-FR"/>
        </w:rPr>
        <w:t>II – rapport périodique sur la mise en œuvre des engagements énoncés dans la décision</w:t>
      </w:r>
      <w:r w:rsidR="00A724C7">
        <w:rPr>
          <w:b/>
          <w:sz w:val="22"/>
          <w:u w:val="single"/>
          <w:lang w:val="fr-FR"/>
        </w:rPr>
        <w:t> </w:t>
      </w:r>
      <w:r w:rsidRPr="00F241AD">
        <w:rPr>
          <w:b/>
          <w:sz w:val="22"/>
          <w:u w:val="single"/>
          <w:lang w:val="fr-FR"/>
        </w:rPr>
        <w:t>88/54</w:t>
      </w:r>
      <w:r w:rsidR="00A724C7">
        <w:rPr>
          <w:b/>
          <w:sz w:val="22"/>
          <w:u w:val="single"/>
          <w:lang w:val="fr-FR"/>
        </w:rPr>
        <w:t> </w:t>
      </w:r>
      <w:r w:rsidRPr="00F241AD">
        <w:rPr>
          <w:b/>
          <w:sz w:val="22"/>
          <w:u w:val="single"/>
          <w:lang w:val="fr-FR"/>
        </w:rPr>
        <w:t>e)</w:t>
      </w:r>
      <w:r w:rsidR="00A724C7">
        <w:rPr>
          <w:b/>
          <w:sz w:val="22"/>
          <w:u w:val="single"/>
          <w:lang w:val="fr-FR"/>
        </w:rPr>
        <w:t> </w:t>
      </w:r>
      <w:r w:rsidRPr="00F241AD">
        <w:rPr>
          <w:b/>
          <w:sz w:val="22"/>
          <w:u w:val="single"/>
          <w:lang w:val="fr-FR"/>
        </w:rPr>
        <w:t>i), ii) et iii) (décision</w:t>
      </w:r>
      <w:r w:rsidR="00CE4E8D">
        <w:rPr>
          <w:b/>
          <w:sz w:val="22"/>
          <w:u w:val="single"/>
          <w:lang w:val="fr-FR"/>
        </w:rPr>
        <w:t> </w:t>
      </w:r>
      <w:r w:rsidRPr="00F241AD">
        <w:rPr>
          <w:b/>
          <w:sz w:val="22"/>
          <w:u w:val="single"/>
          <w:lang w:val="fr-FR"/>
        </w:rPr>
        <w:t>93/36))</w:t>
      </w:r>
      <w:r w:rsidRPr="00F241AD">
        <w:rPr>
          <w:b/>
          <w:sz w:val="22"/>
          <w:lang w:val="fr-FR"/>
        </w:rPr>
        <w:t xml:space="preserve"> (ONUDI et PNUE)</w:t>
      </w:r>
    </w:p>
    <w:p w14:paraId="11166902" w14:textId="5B282014" w:rsidR="00B03CB5" w:rsidRPr="00FC1C48" w:rsidRDefault="00CE2A6E" w:rsidP="00B03CB5">
      <w:pPr>
        <w:spacing w:after="240"/>
        <w:outlineLvl w:val="0"/>
        <w:rPr>
          <w:b/>
          <w:bCs/>
          <w:lang w:val="fr-FR"/>
        </w:rPr>
      </w:pPr>
      <w:r w:rsidRPr="00FC1C48">
        <w:rPr>
          <w:b/>
          <w:bCs/>
          <w:lang w:val="fr-FR"/>
        </w:rPr>
        <w:t>Contexte</w:t>
      </w:r>
    </w:p>
    <w:p w14:paraId="23C71B9D" w14:textId="0A1C4A72" w:rsidR="00B03CB5" w:rsidRPr="00FC1C48" w:rsidRDefault="005A074D" w:rsidP="00B03CB5">
      <w:pPr>
        <w:pStyle w:val="ListParagraph"/>
        <w:numPr>
          <w:ilvl w:val="0"/>
          <w:numId w:val="24"/>
        </w:numPr>
        <w:spacing w:after="240"/>
        <w:outlineLvl w:val="0"/>
        <w:rPr>
          <w:lang w:val="fr-FR"/>
        </w:rPr>
      </w:pPr>
      <w:r w:rsidRPr="005A074D">
        <w:rPr>
          <w:lang w:val="fr-FR"/>
        </w:rPr>
        <w:t>À sa 88</w:t>
      </w:r>
      <w:r w:rsidRPr="005A074D">
        <w:rPr>
          <w:vertAlign w:val="superscript"/>
          <w:lang w:val="fr-FR"/>
        </w:rPr>
        <w:t>e</w:t>
      </w:r>
      <w:r>
        <w:rPr>
          <w:lang w:val="fr-FR"/>
        </w:rPr>
        <w:t> </w:t>
      </w:r>
      <w:r w:rsidRPr="005A074D">
        <w:rPr>
          <w:lang w:val="fr-FR"/>
        </w:rPr>
        <w:t>réunion, le Comité exécutif a notamment décidé d</w:t>
      </w:r>
      <w:r w:rsidR="00511F20">
        <w:rPr>
          <w:lang w:val="fr-FR"/>
        </w:rPr>
        <w:t>’</w:t>
      </w:r>
      <w:r w:rsidRPr="005A074D">
        <w:rPr>
          <w:lang w:val="fr-FR"/>
        </w:rPr>
        <w:t>approuver la phase II du plan de gestion de l</w:t>
      </w:r>
      <w:r w:rsidR="00511F20">
        <w:rPr>
          <w:lang w:val="fr-FR"/>
        </w:rPr>
        <w:t>’</w:t>
      </w:r>
      <w:r w:rsidRPr="005A074D">
        <w:rPr>
          <w:lang w:val="fr-FR"/>
        </w:rPr>
        <w:t>élimination des HCFC (PGEH) pour le Qatar pour la période 2021-2026 afin d</w:t>
      </w:r>
      <w:r w:rsidR="00511F20">
        <w:rPr>
          <w:lang w:val="fr-FR"/>
        </w:rPr>
        <w:t>’</w:t>
      </w:r>
      <w:r w:rsidRPr="005A074D">
        <w:rPr>
          <w:lang w:val="fr-FR"/>
        </w:rPr>
        <w:t>atténuer la consommation de HCFC de 67,5</w:t>
      </w:r>
      <w:r w:rsidR="007039FB">
        <w:rPr>
          <w:lang w:val="fr-FR"/>
        </w:rPr>
        <w:t> </w:t>
      </w:r>
      <w:r w:rsidRPr="005A074D">
        <w:rPr>
          <w:lang w:val="fr-FR"/>
        </w:rPr>
        <w:t>% par rapport au niveau de référence du pays ; de prendre note de l</w:t>
      </w:r>
      <w:r w:rsidR="00511F20">
        <w:rPr>
          <w:lang w:val="fr-FR"/>
        </w:rPr>
        <w:t>’</w:t>
      </w:r>
      <w:r w:rsidRPr="005A074D">
        <w:rPr>
          <w:lang w:val="fr-FR"/>
        </w:rPr>
        <w:t>engagement pris par le gouvernement de mettre en œuvre, d</w:t>
      </w:r>
      <w:r w:rsidR="00511F20">
        <w:rPr>
          <w:lang w:val="fr-FR"/>
        </w:rPr>
        <w:t>’</w:t>
      </w:r>
      <w:r w:rsidRPr="005A074D">
        <w:rPr>
          <w:lang w:val="fr-FR"/>
        </w:rPr>
        <w:t xml:space="preserve">ici au 1er janvier 2023, i) une interdiction des </w:t>
      </w:r>
      <w:r w:rsidR="00504B23">
        <w:rPr>
          <w:lang w:val="fr-FR"/>
        </w:rPr>
        <w:t>bonbonnes</w:t>
      </w:r>
      <w:r w:rsidR="00504B23" w:rsidRPr="00F25F2E">
        <w:rPr>
          <w:lang w:val="fr-FR"/>
        </w:rPr>
        <w:t xml:space="preserve"> </w:t>
      </w:r>
      <w:r w:rsidRPr="005A074D">
        <w:rPr>
          <w:lang w:val="fr-FR"/>
        </w:rPr>
        <w:t>de réfrigérant jetables, ii) un système de certification obligatoire pour les techniciens de réfrigération et climatisation ( R&amp;C), iii) des bonnes pratiques d</w:t>
      </w:r>
      <w:r w:rsidR="00511F20">
        <w:rPr>
          <w:lang w:val="fr-FR"/>
        </w:rPr>
        <w:t>’</w:t>
      </w:r>
      <w:r w:rsidRPr="005A074D">
        <w:rPr>
          <w:lang w:val="fr-FR"/>
        </w:rPr>
        <w:t>entretien obligatoires pour les techniciens de R&amp;C, y compris la tenue de dossiers (par exemple, registres des HCFC et registres des équipements fonctionnant aux HCFC pour les systèmes dépassant une certaine charge) et des calendriers prédéterminés pour les contrôles de fuites par du personnel certifié pour les systèmes dont la charge dépasse une certaine limite, et iv) un système de licence électronique ; et d</w:t>
      </w:r>
      <w:r w:rsidR="00511F20">
        <w:rPr>
          <w:lang w:val="fr-FR"/>
        </w:rPr>
        <w:t>’</w:t>
      </w:r>
      <w:r w:rsidRPr="005A074D">
        <w:rPr>
          <w:lang w:val="fr-FR"/>
        </w:rPr>
        <w:t>autoriser la soumission de la deuxième tranche de la phase II du PGEH une fois que les engagements susmentionnés auront été mis en œuvre (décision</w:t>
      </w:r>
      <w:r w:rsidR="00583116">
        <w:rPr>
          <w:lang w:val="fr-FR"/>
        </w:rPr>
        <w:t> </w:t>
      </w:r>
      <w:r w:rsidRPr="005A074D">
        <w:rPr>
          <w:lang w:val="fr-FR"/>
        </w:rPr>
        <w:t>88/54)</w:t>
      </w:r>
      <w:r w:rsidR="00B03CB5" w:rsidRPr="00FC1C48">
        <w:rPr>
          <w:lang w:val="fr-FR"/>
        </w:rPr>
        <w:t>.</w:t>
      </w:r>
    </w:p>
    <w:p w14:paraId="287B1E1E" w14:textId="7CFFDD7C" w:rsidR="00B03CB5" w:rsidRPr="00FC1C48" w:rsidRDefault="004669BE" w:rsidP="00B03CB5">
      <w:pPr>
        <w:numPr>
          <w:ilvl w:val="0"/>
          <w:numId w:val="24"/>
        </w:numPr>
        <w:spacing w:after="240"/>
        <w:outlineLvl w:val="0"/>
        <w:rPr>
          <w:lang w:val="fr-FR"/>
        </w:rPr>
      </w:pPr>
      <w:r w:rsidRPr="004669BE">
        <w:rPr>
          <w:lang w:val="fr-FR"/>
        </w:rPr>
        <w:t>La deuxième tranche de la phase</w:t>
      </w:r>
      <w:r>
        <w:rPr>
          <w:lang w:val="fr-FR"/>
        </w:rPr>
        <w:t> </w:t>
      </w:r>
      <w:r w:rsidRPr="004669BE">
        <w:rPr>
          <w:lang w:val="fr-FR"/>
        </w:rPr>
        <w:t>II a été soumise à la 93</w:t>
      </w:r>
      <w:r w:rsidRPr="00913C8D">
        <w:rPr>
          <w:vertAlign w:val="superscript"/>
          <w:lang w:val="fr-FR"/>
        </w:rPr>
        <w:t>e</w:t>
      </w:r>
      <w:r w:rsidR="00913C8D">
        <w:rPr>
          <w:lang w:val="fr-FR"/>
        </w:rPr>
        <w:t> </w:t>
      </w:r>
      <w:r w:rsidRPr="004669BE">
        <w:rPr>
          <w:lang w:val="fr-FR"/>
        </w:rPr>
        <w:t>réunion, à laquelle le PNUE a présenté un rapport indiquant qu</w:t>
      </w:r>
      <w:r w:rsidR="00511F20">
        <w:rPr>
          <w:lang w:val="fr-FR"/>
        </w:rPr>
        <w:t>’</w:t>
      </w:r>
      <w:r w:rsidRPr="004669BE">
        <w:rPr>
          <w:lang w:val="fr-FR"/>
        </w:rPr>
        <w:t>une nouvelle décision ministérielle visant à interdire l</w:t>
      </w:r>
      <w:r w:rsidR="00511F20">
        <w:rPr>
          <w:lang w:val="fr-FR"/>
        </w:rPr>
        <w:t>’</w:t>
      </w:r>
      <w:r w:rsidRPr="004669BE">
        <w:rPr>
          <w:lang w:val="fr-FR"/>
        </w:rPr>
        <w:t xml:space="preserve">utilisation de </w:t>
      </w:r>
      <w:r w:rsidR="001E4B54">
        <w:rPr>
          <w:lang w:val="fr-FR"/>
        </w:rPr>
        <w:t>bonbonnes</w:t>
      </w:r>
      <w:r w:rsidR="001E4B54" w:rsidRPr="00F25F2E">
        <w:rPr>
          <w:lang w:val="fr-FR"/>
        </w:rPr>
        <w:t xml:space="preserve"> </w:t>
      </w:r>
      <w:r w:rsidRPr="004669BE">
        <w:rPr>
          <w:lang w:val="fr-FR"/>
        </w:rPr>
        <w:t>de réfrigérant jetables avait été rédigée et devrait entrer en vigueur d</w:t>
      </w:r>
      <w:r w:rsidR="00511F20">
        <w:rPr>
          <w:lang w:val="fr-FR"/>
        </w:rPr>
        <w:t>’</w:t>
      </w:r>
      <w:r w:rsidRPr="004669BE">
        <w:rPr>
          <w:lang w:val="fr-FR"/>
        </w:rPr>
        <w:t>ici juin 2024, et qu</w:t>
      </w:r>
      <w:r w:rsidR="00511F20">
        <w:rPr>
          <w:lang w:val="fr-FR"/>
        </w:rPr>
        <w:t>’</w:t>
      </w:r>
      <w:r w:rsidRPr="004669BE">
        <w:rPr>
          <w:lang w:val="fr-FR"/>
        </w:rPr>
        <w:t>une décision ministérielle avait été rédigée conformément à la révision de la réglementation unifiée du Conseil de coopération du Golfe (CCG) sur les SAO, qui devrait être finalisée d</w:t>
      </w:r>
      <w:r w:rsidR="00511F20">
        <w:rPr>
          <w:lang w:val="fr-FR"/>
        </w:rPr>
        <w:t>’</w:t>
      </w:r>
      <w:r w:rsidRPr="004669BE">
        <w:rPr>
          <w:lang w:val="fr-FR"/>
        </w:rPr>
        <w:t>ici juin 2024, et qui prévoit la mise en place d</w:t>
      </w:r>
      <w:r w:rsidR="00511F20">
        <w:rPr>
          <w:lang w:val="fr-FR"/>
        </w:rPr>
        <w:t>’</w:t>
      </w:r>
      <w:r w:rsidRPr="004669BE">
        <w:rPr>
          <w:lang w:val="fr-FR"/>
        </w:rPr>
        <w:t>un système de certification obligatoire et exécutoire ainsi que de bonnes pratiques d</w:t>
      </w:r>
      <w:r w:rsidR="00511F20">
        <w:rPr>
          <w:lang w:val="fr-FR"/>
        </w:rPr>
        <w:t>’</w:t>
      </w:r>
      <w:r w:rsidRPr="004669BE">
        <w:rPr>
          <w:lang w:val="fr-FR"/>
        </w:rPr>
        <w:t>entretien obligatoires, telles que la récupération des réfrigérants lors de l</w:t>
      </w:r>
      <w:r w:rsidR="00511F20">
        <w:rPr>
          <w:lang w:val="fr-FR"/>
        </w:rPr>
        <w:t>’</w:t>
      </w:r>
      <w:r w:rsidRPr="004669BE">
        <w:rPr>
          <w:lang w:val="fr-FR"/>
        </w:rPr>
        <w:t>entretien des équipements de réfrigération et de climatisation ainsi que celles énumérées dans la décision 88/54</w:t>
      </w:r>
      <w:r w:rsidR="0042258B">
        <w:rPr>
          <w:lang w:val="fr-FR"/>
        </w:rPr>
        <w:t> </w:t>
      </w:r>
      <w:r w:rsidRPr="004669BE">
        <w:rPr>
          <w:lang w:val="fr-FR"/>
        </w:rPr>
        <w:t>e)</w:t>
      </w:r>
      <w:r w:rsidR="0042258B">
        <w:rPr>
          <w:lang w:val="fr-FR"/>
        </w:rPr>
        <w:t> </w:t>
      </w:r>
      <w:r w:rsidRPr="004669BE">
        <w:rPr>
          <w:lang w:val="fr-FR"/>
        </w:rPr>
        <w:t>iii). Un système de licence électronique avait été mis au point pour inclure les HCFC et les HFC et était déjà opérationnel, avec des révisions en cours. En ce qui concerne les conditions spécifiques incluses dans le projet de décision ministérielle relative aux bonnes pratiques d</w:t>
      </w:r>
      <w:r w:rsidR="00511F20">
        <w:rPr>
          <w:lang w:val="fr-FR"/>
        </w:rPr>
        <w:t>’</w:t>
      </w:r>
      <w:r w:rsidRPr="004669BE">
        <w:rPr>
          <w:lang w:val="fr-FR"/>
        </w:rPr>
        <w:t>entretien obligatoires pour les techniciens de R&amp;C, telles que les équipements auxquels s</w:t>
      </w:r>
      <w:r w:rsidR="00511F20">
        <w:rPr>
          <w:lang w:val="fr-FR"/>
        </w:rPr>
        <w:t>’</w:t>
      </w:r>
      <w:r w:rsidRPr="004669BE">
        <w:rPr>
          <w:lang w:val="fr-FR"/>
        </w:rPr>
        <w:t>appliqueraient les pratiques de tenue de dossiers et les contrôles de fuites, le PNUE a précisé que le projet de décision était encore en cours de finalisation et a indiqué qu</w:t>
      </w:r>
      <w:r w:rsidR="00511F20">
        <w:rPr>
          <w:lang w:val="fr-FR"/>
        </w:rPr>
        <w:t>’</w:t>
      </w:r>
      <w:r w:rsidRPr="004669BE">
        <w:rPr>
          <w:lang w:val="fr-FR"/>
        </w:rPr>
        <w:t>il inclurait des informations détaillées sur la décision ministérielle lorsqu</w:t>
      </w:r>
      <w:r w:rsidR="00511F20">
        <w:rPr>
          <w:lang w:val="fr-FR"/>
        </w:rPr>
        <w:t>’</w:t>
      </w:r>
      <w:r w:rsidRPr="004669BE">
        <w:rPr>
          <w:lang w:val="fr-FR"/>
        </w:rPr>
        <w:t>il ferait rapport au Secrétariat du fait que les conditions de la décision 88/54</w:t>
      </w:r>
      <w:r w:rsidR="00A632C0">
        <w:rPr>
          <w:lang w:val="fr-FR"/>
        </w:rPr>
        <w:t> </w:t>
      </w:r>
      <w:r w:rsidRPr="004669BE">
        <w:rPr>
          <w:lang w:val="fr-FR"/>
        </w:rPr>
        <w:t>e) seraient remplies. En conséquence, la deuxième tranche a été approuvée, étant entendu que, entre autres, les fonds approuvés du PNUE, d</w:t>
      </w:r>
      <w:r w:rsidR="00511F20">
        <w:rPr>
          <w:lang w:val="fr-FR"/>
        </w:rPr>
        <w:t>’</w:t>
      </w:r>
      <w:r w:rsidRPr="004669BE">
        <w:rPr>
          <w:lang w:val="fr-FR"/>
        </w:rPr>
        <w:t>un montant de 144</w:t>
      </w:r>
      <w:r w:rsidR="00A632C0">
        <w:rPr>
          <w:lang w:val="fr-FR"/>
        </w:rPr>
        <w:t> </w:t>
      </w:r>
      <w:r w:rsidRPr="004669BE">
        <w:rPr>
          <w:lang w:val="fr-FR"/>
        </w:rPr>
        <w:t>500</w:t>
      </w:r>
      <w:r w:rsidR="00A632C0">
        <w:rPr>
          <w:lang w:val="fr-FR"/>
        </w:rPr>
        <w:t> </w:t>
      </w:r>
      <w:r w:rsidRPr="004669BE">
        <w:rPr>
          <w:lang w:val="fr-FR"/>
        </w:rPr>
        <w:t>$US, plus 18</w:t>
      </w:r>
      <w:r w:rsidR="00A43D1E">
        <w:rPr>
          <w:lang w:val="fr-FR"/>
        </w:rPr>
        <w:t> </w:t>
      </w:r>
      <w:r w:rsidRPr="004669BE">
        <w:rPr>
          <w:lang w:val="fr-FR"/>
        </w:rPr>
        <w:t>785</w:t>
      </w:r>
      <w:r w:rsidR="00A43D1E">
        <w:rPr>
          <w:lang w:val="fr-FR"/>
        </w:rPr>
        <w:t> </w:t>
      </w:r>
      <w:r w:rsidRPr="004669BE">
        <w:rPr>
          <w:lang w:val="fr-FR"/>
        </w:rPr>
        <w:t>$US de coûts d</w:t>
      </w:r>
      <w:r w:rsidR="00511F20">
        <w:rPr>
          <w:lang w:val="fr-FR"/>
        </w:rPr>
        <w:t>’</w:t>
      </w:r>
      <w:r w:rsidRPr="004669BE">
        <w:rPr>
          <w:lang w:val="fr-FR"/>
        </w:rPr>
        <w:t>appui d</w:t>
      </w:r>
      <w:r w:rsidR="00511F20">
        <w:rPr>
          <w:lang w:val="fr-FR"/>
        </w:rPr>
        <w:t>’</w:t>
      </w:r>
      <w:r w:rsidRPr="004669BE">
        <w:rPr>
          <w:lang w:val="fr-FR"/>
        </w:rPr>
        <w:t>agence, ne seraient transférés par le Trésorier au PNUE qu</w:t>
      </w:r>
      <w:r w:rsidR="00511F20">
        <w:rPr>
          <w:lang w:val="fr-FR"/>
        </w:rPr>
        <w:t>’</w:t>
      </w:r>
      <w:r w:rsidRPr="004669BE">
        <w:rPr>
          <w:lang w:val="fr-FR"/>
        </w:rPr>
        <w:t>après confirmation par le Secrétariat de la mise en œuvre par le pays des engagements énumérés dans la décision 88/54</w:t>
      </w:r>
      <w:r w:rsidR="00C11716">
        <w:rPr>
          <w:lang w:val="fr-FR"/>
        </w:rPr>
        <w:t> </w:t>
      </w:r>
      <w:r w:rsidRPr="004669BE">
        <w:rPr>
          <w:lang w:val="fr-FR"/>
        </w:rPr>
        <w:t>e)</w:t>
      </w:r>
      <w:r w:rsidR="00C11716">
        <w:rPr>
          <w:lang w:val="fr-FR"/>
        </w:rPr>
        <w:t> </w:t>
      </w:r>
      <w:r w:rsidRPr="004669BE">
        <w:rPr>
          <w:lang w:val="fr-FR"/>
        </w:rPr>
        <w:t>i), ii) et iii) (décision</w:t>
      </w:r>
      <w:r w:rsidR="0008523F">
        <w:rPr>
          <w:lang w:val="fr-FR"/>
        </w:rPr>
        <w:t> </w:t>
      </w:r>
      <w:r w:rsidRPr="004669BE">
        <w:rPr>
          <w:lang w:val="fr-FR"/>
        </w:rPr>
        <w:t>93/36)</w:t>
      </w:r>
      <w:r w:rsidR="00B03CB5" w:rsidRPr="00FC1C48">
        <w:rPr>
          <w:rStyle w:val="FootnoteReference"/>
          <w:lang w:val="fr-FR"/>
        </w:rPr>
        <w:footnoteReference w:id="4"/>
      </w:r>
      <w:r w:rsidR="00CC33C3">
        <w:rPr>
          <w:lang w:val="fr-FR"/>
        </w:rPr>
        <w:t>.</w:t>
      </w:r>
    </w:p>
    <w:p w14:paraId="163F34B3" w14:textId="5C3A5852" w:rsidR="00B03CB5" w:rsidRPr="00FC1C48" w:rsidRDefault="00D8326A" w:rsidP="00B03CB5">
      <w:pPr>
        <w:numPr>
          <w:ilvl w:val="0"/>
          <w:numId w:val="24"/>
        </w:numPr>
        <w:spacing w:after="240"/>
        <w:outlineLvl w:val="0"/>
        <w:rPr>
          <w:lang w:val="fr-FR"/>
        </w:rPr>
      </w:pPr>
      <w:r w:rsidRPr="00D8326A">
        <w:rPr>
          <w:lang w:val="fr-FR"/>
        </w:rPr>
        <w:t>Conformément à la décision</w:t>
      </w:r>
      <w:r>
        <w:rPr>
          <w:lang w:val="fr-FR"/>
        </w:rPr>
        <w:t> </w:t>
      </w:r>
      <w:r w:rsidRPr="00D8326A">
        <w:rPr>
          <w:lang w:val="fr-FR"/>
        </w:rPr>
        <w:t>93/36, le PNUE a présenté à la présente réunion un rapport périodique sur la mise en œuvre des engagements énumérés dans la décision</w:t>
      </w:r>
      <w:r>
        <w:rPr>
          <w:lang w:val="fr-FR"/>
        </w:rPr>
        <w:t> </w:t>
      </w:r>
      <w:r w:rsidRPr="00D8326A">
        <w:rPr>
          <w:lang w:val="fr-FR"/>
        </w:rPr>
        <w:t>88/54</w:t>
      </w:r>
      <w:r>
        <w:rPr>
          <w:lang w:val="fr-FR"/>
        </w:rPr>
        <w:t> </w:t>
      </w:r>
      <w:r w:rsidRPr="00D8326A">
        <w:rPr>
          <w:lang w:val="fr-FR"/>
        </w:rPr>
        <w:t>e)</w:t>
      </w:r>
      <w:r>
        <w:rPr>
          <w:lang w:val="fr-FR"/>
        </w:rPr>
        <w:t> </w:t>
      </w:r>
      <w:r w:rsidRPr="00D8326A">
        <w:rPr>
          <w:lang w:val="fr-FR"/>
        </w:rPr>
        <w:t>i), ii) et iii). L</w:t>
      </w:r>
      <w:r w:rsidR="00511F20">
        <w:rPr>
          <w:lang w:val="fr-FR"/>
        </w:rPr>
        <w:t>’</w:t>
      </w:r>
      <w:r w:rsidRPr="00D8326A">
        <w:rPr>
          <w:lang w:val="fr-FR"/>
        </w:rPr>
        <w:t>ONUDI, en tant qu</w:t>
      </w:r>
      <w:r w:rsidR="00511F20">
        <w:rPr>
          <w:lang w:val="fr-FR"/>
        </w:rPr>
        <w:t>’</w:t>
      </w:r>
      <w:r w:rsidRPr="00D8326A">
        <w:rPr>
          <w:lang w:val="fr-FR"/>
        </w:rPr>
        <w:t>agence principale d</w:t>
      </w:r>
      <w:r w:rsidR="00511F20">
        <w:rPr>
          <w:lang w:val="fr-FR"/>
        </w:rPr>
        <w:t>’</w:t>
      </w:r>
      <w:r w:rsidRPr="00D8326A">
        <w:rPr>
          <w:lang w:val="fr-FR"/>
        </w:rPr>
        <w:t>exécution, a également présenté à la présente réunion une proposition pour la troisième tranche de la phase</w:t>
      </w:r>
      <w:r w:rsidR="00037BDD">
        <w:rPr>
          <w:lang w:val="fr-FR"/>
        </w:rPr>
        <w:t> </w:t>
      </w:r>
      <w:r w:rsidRPr="00D8326A">
        <w:rPr>
          <w:lang w:val="fr-FR"/>
        </w:rPr>
        <w:t>II du PGEH.</w:t>
      </w:r>
    </w:p>
    <w:p w14:paraId="11D57BAA" w14:textId="0F45DFEF" w:rsidR="00B03CB5" w:rsidRPr="00FC1C48" w:rsidRDefault="007E1183" w:rsidP="00B03CB5">
      <w:pPr>
        <w:keepNext/>
        <w:spacing w:after="240"/>
        <w:outlineLvl w:val="0"/>
        <w:rPr>
          <w:b/>
          <w:bCs/>
          <w:lang w:val="fr-FR"/>
        </w:rPr>
      </w:pPr>
      <w:r w:rsidRPr="00FC1C48">
        <w:rPr>
          <w:b/>
          <w:bCs/>
          <w:lang w:val="fr-FR"/>
        </w:rPr>
        <w:t>Rapport périodique</w:t>
      </w:r>
    </w:p>
    <w:p w14:paraId="45F5EAEB" w14:textId="762FE039" w:rsidR="00B03CB5" w:rsidRPr="00FC1C48" w:rsidRDefault="006D5D21" w:rsidP="00B03CB5">
      <w:pPr>
        <w:numPr>
          <w:ilvl w:val="0"/>
          <w:numId w:val="24"/>
        </w:numPr>
        <w:spacing w:after="240"/>
        <w:outlineLvl w:val="0"/>
        <w:rPr>
          <w:lang w:val="fr-FR"/>
        </w:rPr>
      </w:pPr>
      <w:r w:rsidRPr="006D5D21">
        <w:rPr>
          <w:lang w:val="fr-FR"/>
        </w:rPr>
        <w:t>L</w:t>
      </w:r>
      <w:r w:rsidR="00511F20">
        <w:rPr>
          <w:lang w:val="fr-FR"/>
        </w:rPr>
        <w:t>’</w:t>
      </w:r>
      <w:r w:rsidRPr="006D5D21">
        <w:rPr>
          <w:lang w:val="fr-FR"/>
        </w:rPr>
        <w:t xml:space="preserve">interdiction des </w:t>
      </w:r>
      <w:r w:rsidR="001E4B54">
        <w:rPr>
          <w:lang w:val="fr-FR"/>
        </w:rPr>
        <w:t>bonbonnes</w:t>
      </w:r>
      <w:r w:rsidR="001E4B54" w:rsidRPr="00F25F2E">
        <w:rPr>
          <w:lang w:val="fr-FR"/>
        </w:rPr>
        <w:t xml:space="preserve"> </w:t>
      </w:r>
      <w:r w:rsidRPr="006D5D21">
        <w:rPr>
          <w:lang w:val="fr-FR"/>
        </w:rPr>
        <w:t>de réfrigérant jetables, la mise en œuvre du système de certification obligatoire et la mise en œuvre des bonnes pratiques d</w:t>
      </w:r>
      <w:r w:rsidR="00511F20">
        <w:rPr>
          <w:lang w:val="fr-FR"/>
        </w:rPr>
        <w:t>’</w:t>
      </w:r>
      <w:r w:rsidRPr="006D5D21">
        <w:rPr>
          <w:lang w:val="fr-FR"/>
        </w:rPr>
        <w:t>entretien obligatoires pour les techniciens de R&amp;C sont encore en cours de finalisation. Une fois les consultations entre le ministère de l</w:t>
      </w:r>
      <w:r w:rsidR="00511F20">
        <w:rPr>
          <w:lang w:val="fr-FR"/>
        </w:rPr>
        <w:t>’</w:t>
      </w:r>
      <w:r w:rsidRPr="006D5D21">
        <w:rPr>
          <w:lang w:val="fr-FR"/>
        </w:rPr>
        <w:t xml:space="preserve">Environnement et du Changement climatique (MECC) et les parties prenantes concernées sur les projets de décisions ministérielles achevées, celles-ci seront examinées par les services juridiques et administratifs du gouvernement, après quoi le MECC les approuvera. Une fois chaque décision approuvée, elle sera </w:t>
      </w:r>
      <w:r w:rsidRPr="006D5D21">
        <w:rPr>
          <w:lang w:val="fr-FR"/>
        </w:rPr>
        <w:lastRenderedPageBreak/>
        <w:t>communiquée par le Secrétariat général du Cabinet à tous les ministères concernés pour qu</w:t>
      </w:r>
      <w:r w:rsidR="00511F20">
        <w:rPr>
          <w:lang w:val="fr-FR"/>
        </w:rPr>
        <w:t>’</w:t>
      </w:r>
      <w:r w:rsidRPr="006D5D21">
        <w:rPr>
          <w:lang w:val="fr-FR"/>
        </w:rPr>
        <w:t>ils formulent leurs remarques finales. La décision sera ensuite finalisée sur la base des remarques reçues et son adoption définitive aura lieu. Toutes les conditions de la décision 88/54</w:t>
      </w:r>
      <w:r w:rsidR="00BF612A">
        <w:rPr>
          <w:lang w:val="fr-FR"/>
        </w:rPr>
        <w:t> </w:t>
      </w:r>
      <w:r w:rsidRPr="006D5D21">
        <w:rPr>
          <w:lang w:val="fr-FR"/>
        </w:rPr>
        <w:t>e) devraient être remplies d</w:t>
      </w:r>
      <w:r w:rsidR="00511F20">
        <w:rPr>
          <w:lang w:val="fr-FR"/>
        </w:rPr>
        <w:t>’</w:t>
      </w:r>
      <w:r w:rsidRPr="006D5D21">
        <w:rPr>
          <w:lang w:val="fr-FR"/>
        </w:rPr>
        <w:t>ici la fin de 2026</w:t>
      </w:r>
      <w:r w:rsidR="00B03CB5" w:rsidRPr="00FC1C48">
        <w:rPr>
          <w:rStyle w:val="FootnoteReference"/>
          <w:lang w:val="fr-FR"/>
        </w:rPr>
        <w:footnoteReference w:id="5"/>
      </w:r>
      <w:r w:rsidR="00E26BBE">
        <w:rPr>
          <w:lang w:val="fr-FR"/>
        </w:rPr>
        <w:t>.</w:t>
      </w:r>
    </w:p>
    <w:p w14:paraId="06422220" w14:textId="17857022" w:rsidR="00B03CB5" w:rsidRPr="00FC1C48" w:rsidRDefault="009D4167" w:rsidP="00B03CB5">
      <w:pPr>
        <w:tabs>
          <w:tab w:val="num" w:pos="0"/>
        </w:tabs>
        <w:spacing w:after="240"/>
        <w:outlineLvl w:val="0"/>
        <w:rPr>
          <w:u w:val="single"/>
          <w:lang w:val="fr-FR"/>
        </w:rPr>
      </w:pPr>
      <w:r w:rsidRPr="009D4167">
        <w:rPr>
          <w:u w:val="single"/>
          <w:lang w:val="fr-FR"/>
        </w:rPr>
        <w:t>Interdiction des bonbonnes de réfrigérant jetables</w:t>
      </w:r>
    </w:p>
    <w:p w14:paraId="3223D68E" w14:textId="0D78EEAD" w:rsidR="00B03CB5" w:rsidRPr="00FC1C48" w:rsidRDefault="00F25F2E" w:rsidP="00B03CB5">
      <w:pPr>
        <w:numPr>
          <w:ilvl w:val="0"/>
          <w:numId w:val="24"/>
        </w:numPr>
        <w:spacing w:after="240"/>
        <w:outlineLvl w:val="0"/>
        <w:rPr>
          <w:lang w:val="fr-FR"/>
        </w:rPr>
      </w:pPr>
      <w:r w:rsidRPr="00F25F2E">
        <w:rPr>
          <w:lang w:val="fr-FR"/>
        </w:rPr>
        <w:t>Dans la perspective de cette interdiction, plusieurs réunions de consultation ont été organisées avec les parties prenantes afin de les informer du projet et de discuter de sa mise en œuvre. Une enquête a également été menée pour évaluer l</w:t>
      </w:r>
      <w:r w:rsidR="00511F20">
        <w:rPr>
          <w:lang w:val="fr-FR"/>
        </w:rPr>
        <w:t>’</w:t>
      </w:r>
      <w:r w:rsidRPr="00F25F2E">
        <w:rPr>
          <w:lang w:val="fr-FR"/>
        </w:rPr>
        <w:t>état de préparation des entreprises à la mise en œuvre de l</w:t>
      </w:r>
      <w:r w:rsidR="00511F20">
        <w:rPr>
          <w:lang w:val="fr-FR"/>
        </w:rPr>
        <w:t>’</w:t>
      </w:r>
      <w:r w:rsidRPr="00F25F2E">
        <w:rPr>
          <w:lang w:val="fr-FR"/>
        </w:rPr>
        <w:t>interdiction. Le processus d</w:t>
      </w:r>
      <w:r w:rsidR="00511F20">
        <w:rPr>
          <w:lang w:val="fr-FR"/>
        </w:rPr>
        <w:t>’</w:t>
      </w:r>
      <w:r w:rsidRPr="00F25F2E">
        <w:rPr>
          <w:lang w:val="fr-FR"/>
        </w:rPr>
        <w:t>approbation de l</w:t>
      </w:r>
      <w:r w:rsidR="00511F20">
        <w:rPr>
          <w:lang w:val="fr-FR"/>
        </w:rPr>
        <w:t>’</w:t>
      </w:r>
      <w:r w:rsidRPr="00F25F2E">
        <w:rPr>
          <w:lang w:val="fr-FR"/>
        </w:rPr>
        <w:t>interdiction des bouteilles jetables devrait être achevé d</w:t>
      </w:r>
      <w:r w:rsidR="00511F20">
        <w:rPr>
          <w:lang w:val="fr-FR"/>
        </w:rPr>
        <w:t>’</w:t>
      </w:r>
      <w:r w:rsidRPr="00F25F2E">
        <w:rPr>
          <w:lang w:val="fr-FR"/>
        </w:rPr>
        <w:t>ici la fin de 2025, avec une mise en œuvre progressive commençant par l</w:t>
      </w:r>
      <w:r w:rsidR="00511F20">
        <w:rPr>
          <w:lang w:val="fr-FR"/>
        </w:rPr>
        <w:t>’</w:t>
      </w:r>
      <w:r w:rsidRPr="00F25F2E">
        <w:rPr>
          <w:lang w:val="fr-FR"/>
        </w:rPr>
        <w:t xml:space="preserve">interdiction des importations de nouvelles </w:t>
      </w:r>
      <w:r>
        <w:rPr>
          <w:lang w:val="fr-FR"/>
        </w:rPr>
        <w:t>bonbonnes</w:t>
      </w:r>
      <w:r w:rsidRPr="00F25F2E">
        <w:rPr>
          <w:lang w:val="fr-FR"/>
        </w:rPr>
        <w:t xml:space="preserve"> jetables, suivie de l</w:t>
      </w:r>
      <w:r w:rsidR="00511F20">
        <w:rPr>
          <w:lang w:val="fr-FR"/>
        </w:rPr>
        <w:t>’</w:t>
      </w:r>
      <w:r w:rsidRPr="00F25F2E">
        <w:rPr>
          <w:lang w:val="fr-FR"/>
        </w:rPr>
        <w:t xml:space="preserve">interdiction de la mise sur le marché des </w:t>
      </w:r>
      <w:r>
        <w:rPr>
          <w:lang w:val="fr-FR"/>
        </w:rPr>
        <w:t>bonbonnes</w:t>
      </w:r>
      <w:r w:rsidRPr="00F25F2E">
        <w:rPr>
          <w:lang w:val="fr-FR"/>
        </w:rPr>
        <w:t xml:space="preserve"> jetables.</w:t>
      </w:r>
    </w:p>
    <w:p w14:paraId="23EAD084" w14:textId="13766329" w:rsidR="00B03CB5" w:rsidRPr="00FC1C48" w:rsidRDefault="008F0F46" w:rsidP="00B03CB5">
      <w:pPr>
        <w:tabs>
          <w:tab w:val="num" w:pos="0"/>
        </w:tabs>
        <w:spacing w:after="240"/>
        <w:outlineLvl w:val="0"/>
        <w:rPr>
          <w:u w:val="single"/>
          <w:lang w:val="fr-FR"/>
        </w:rPr>
      </w:pPr>
      <w:r w:rsidRPr="008F0F46">
        <w:rPr>
          <w:u w:val="single"/>
          <w:lang w:val="fr-FR"/>
        </w:rPr>
        <w:t>Système de certification obligatoire pour les techniciens en réfrigération et</w:t>
      </w:r>
      <w:r w:rsidR="00956606">
        <w:rPr>
          <w:u w:val="single"/>
          <w:lang w:val="fr-FR"/>
        </w:rPr>
        <w:t xml:space="preserve"> en</w:t>
      </w:r>
      <w:r w:rsidRPr="008F0F46">
        <w:rPr>
          <w:u w:val="single"/>
          <w:lang w:val="fr-FR"/>
        </w:rPr>
        <w:t xml:space="preserve"> climatisation</w:t>
      </w:r>
    </w:p>
    <w:p w14:paraId="024E2402" w14:textId="0BF8ACBC" w:rsidR="00B03CB5" w:rsidRPr="00FC1C48" w:rsidRDefault="00A95A2F" w:rsidP="00B03CB5">
      <w:pPr>
        <w:numPr>
          <w:ilvl w:val="0"/>
          <w:numId w:val="24"/>
        </w:numPr>
        <w:spacing w:after="240"/>
        <w:outlineLvl w:val="0"/>
        <w:rPr>
          <w:lang w:val="fr-FR"/>
        </w:rPr>
      </w:pPr>
      <w:r w:rsidRPr="00A95A2F">
        <w:rPr>
          <w:lang w:val="fr-FR"/>
        </w:rPr>
        <w:t>L</w:t>
      </w:r>
      <w:r w:rsidR="00511F20">
        <w:rPr>
          <w:lang w:val="fr-FR"/>
        </w:rPr>
        <w:t>’</w:t>
      </w:r>
      <w:r w:rsidRPr="00A95A2F">
        <w:rPr>
          <w:lang w:val="fr-FR"/>
        </w:rPr>
        <w:t>UNO a recueilli des données sur le nombre d</w:t>
      </w:r>
      <w:r w:rsidR="00511F20">
        <w:rPr>
          <w:lang w:val="fr-FR"/>
        </w:rPr>
        <w:t>’</w:t>
      </w:r>
      <w:r w:rsidRPr="00A95A2F">
        <w:rPr>
          <w:lang w:val="fr-FR"/>
        </w:rPr>
        <w:t>ateliers d</w:t>
      </w:r>
      <w:r w:rsidR="00511F20">
        <w:rPr>
          <w:lang w:val="fr-FR"/>
        </w:rPr>
        <w:t>’</w:t>
      </w:r>
      <w:r w:rsidRPr="00A95A2F">
        <w:rPr>
          <w:lang w:val="fr-FR"/>
        </w:rPr>
        <w:t>entretien d</w:t>
      </w:r>
      <w:r w:rsidR="00511F20">
        <w:rPr>
          <w:lang w:val="fr-FR"/>
        </w:rPr>
        <w:t>’</w:t>
      </w:r>
      <w:r w:rsidR="00C023BA" w:rsidRPr="00A95A2F">
        <w:rPr>
          <w:lang w:val="fr-FR"/>
        </w:rPr>
        <w:t>équipements</w:t>
      </w:r>
      <w:r w:rsidRPr="00A95A2F">
        <w:rPr>
          <w:lang w:val="fr-FR"/>
        </w:rPr>
        <w:t xml:space="preserve"> de R&amp;C et est allé à la rencontre des centres de formation pour coordonner les procédures de formation et de certification des techniciens de R&amp;C et définir les rôles des parties prenantes. Bien que les infrastructures nécessaires à la formation et à la certification des techniciens de R&amp;C soient en place et que la formation et la certification en R&amp;C soient exigées par la réglementation unifiée du CCG sur les SAO, des discussions sur la mise en œuvre sont toujours en cours entre le MECC et le Ministère du travail, responsable de l</w:t>
      </w:r>
      <w:r w:rsidR="00511F20">
        <w:rPr>
          <w:lang w:val="fr-FR"/>
        </w:rPr>
        <w:t>’</w:t>
      </w:r>
      <w:r w:rsidRPr="00A95A2F">
        <w:rPr>
          <w:lang w:val="fr-FR"/>
        </w:rPr>
        <w:t>octroi des permis de travail, en raison de préoccupations liées au maintien du niveau d</w:t>
      </w:r>
      <w:r w:rsidR="00511F20">
        <w:rPr>
          <w:lang w:val="fr-FR"/>
        </w:rPr>
        <w:t>’</w:t>
      </w:r>
      <w:r w:rsidRPr="00A95A2F">
        <w:rPr>
          <w:lang w:val="fr-FR"/>
        </w:rPr>
        <w:t>entretien dans le secteur de la R&amp;C ; des moyens sont actuellement à l</w:t>
      </w:r>
      <w:r w:rsidR="00511F20">
        <w:rPr>
          <w:lang w:val="fr-FR"/>
        </w:rPr>
        <w:t>’</w:t>
      </w:r>
      <w:r w:rsidRPr="00A95A2F">
        <w:rPr>
          <w:lang w:val="fr-FR"/>
        </w:rPr>
        <w:t>étude pour aller de l</w:t>
      </w:r>
      <w:r w:rsidR="00511F20">
        <w:rPr>
          <w:lang w:val="fr-FR"/>
        </w:rPr>
        <w:t>’</w:t>
      </w:r>
      <w:r w:rsidRPr="00A95A2F">
        <w:rPr>
          <w:lang w:val="fr-FR"/>
        </w:rPr>
        <w:t>avant, tels que l</w:t>
      </w:r>
      <w:r w:rsidR="00511F20">
        <w:rPr>
          <w:lang w:val="fr-FR"/>
        </w:rPr>
        <w:t>’</w:t>
      </w:r>
      <w:r w:rsidRPr="00A95A2F">
        <w:rPr>
          <w:lang w:val="fr-FR"/>
        </w:rPr>
        <w:t>utilisation du système de permis de conduire pour les réfrigérants (RDL) développé par l</w:t>
      </w:r>
      <w:r w:rsidR="00511F20">
        <w:rPr>
          <w:lang w:val="fr-FR"/>
        </w:rPr>
        <w:t>’</w:t>
      </w:r>
      <w:r w:rsidRPr="00A95A2F">
        <w:rPr>
          <w:lang w:val="fr-FR"/>
        </w:rPr>
        <w:t>Air-Conditioning, Heating, and Refrigeration Institute (AHRI) et le programme OzonAction du PNUE</w:t>
      </w:r>
      <w:r w:rsidR="00B03CB5" w:rsidRPr="00FC1C48">
        <w:rPr>
          <w:rStyle w:val="FootnoteReference"/>
          <w:lang w:val="fr-FR"/>
        </w:rPr>
        <w:footnoteReference w:id="6"/>
      </w:r>
      <w:r>
        <w:rPr>
          <w:lang w:val="fr-FR"/>
        </w:rPr>
        <w:t>.</w:t>
      </w:r>
      <w:r w:rsidR="00B03CB5" w:rsidRPr="00FC1C48">
        <w:rPr>
          <w:lang w:val="fr-FR"/>
        </w:rPr>
        <w:t xml:space="preserve"> </w:t>
      </w:r>
      <w:r w:rsidR="006034AF" w:rsidRPr="006034AF">
        <w:rPr>
          <w:lang w:val="fr-FR"/>
        </w:rPr>
        <w:t>Le MECC prévoit que le système de certification sera opérationnel d</w:t>
      </w:r>
      <w:r w:rsidR="00511F20">
        <w:rPr>
          <w:lang w:val="fr-FR"/>
        </w:rPr>
        <w:t>’</w:t>
      </w:r>
      <w:r w:rsidR="006034AF" w:rsidRPr="006034AF">
        <w:rPr>
          <w:lang w:val="fr-FR"/>
        </w:rPr>
        <w:t>ici la fin de l</w:t>
      </w:r>
      <w:r w:rsidR="00511F20">
        <w:rPr>
          <w:lang w:val="fr-FR"/>
        </w:rPr>
        <w:t>’</w:t>
      </w:r>
      <w:r w:rsidR="006034AF" w:rsidRPr="006034AF">
        <w:rPr>
          <w:lang w:val="fr-FR"/>
        </w:rPr>
        <w:t>année 2026.</w:t>
      </w:r>
    </w:p>
    <w:p w14:paraId="0AC82238" w14:textId="5C1EE3AD" w:rsidR="00B03CB5" w:rsidRPr="00FC1C48" w:rsidRDefault="00BB039C" w:rsidP="00B03CB5">
      <w:pPr>
        <w:tabs>
          <w:tab w:val="num" w:pos="0"/>
        </w:tabs>
        <w:spacing w:after="240"/>
        <w:outlineLvl w:val="0"/>
        <w:rPr>
          <w:u w:val="single"/>
          <w:lang w:val="fr-FR"/>
        </w:rPr>
      </w:pPr>
      <w:r w:rsidRPr="00BB039C">
        <w:rPr>
          <w:u w:val="single"/>
          <w:lang w:val="fr-FR"/>
        </w:rPr>
        <w:t>Pratiques obligatoires en matière d</w:t>
      </w:r>
      <w:r w:rsidR="00511F20">
        <w:rPr>
          <w:u w:val="single"/>
          <w:lang w:val="fr-FR"/>
        </w:rPr>
        <w:t>’</w:t>
      </w:r>
      <w:r w:rsidRPr="00BB039C">
        <w:rPr>
          <w:u w:val="single"/>
          <w:lang w:val="fr-FR"/>
        </w:rPr>
        <w:t>entretien pour les techniciens en réfrigération et en climatisation</w:t>
      </w:r>
    </w:p>
    <w:p w14:paraId="3AD56862" w14:textId="789092CC" w:rsidR="00B03CB5" w:rsidRPr="00FC1C48" w:rsidRDefault="00B90424" w:rsidP="00B03CB5">
      <w:pPr>
        <w:numPr>
          <w:ilvl w:val="0"/>
          <w:numId w:val="24"/>
        </w:numPr>
        <w:spacing w:after="240"/>
        <w:outlineLvl w:val="0"/>
        <w:rPr>
          <w:lang w:val="fr-FR"/>
        </w:rPr>
      </w:pPr>
      <w:r w:rsidRPr="00B90424">
        <w:rPr>
          <w:lang w:val="fr-FR"/>
        </w:rPr>
        <w:t>Le MECC prévoit également que la décision relative aux bonnes pratiques d</w:t>
      </w:r>
      <w:r w:rsidR="00511F20">
        <w:rPr>
          <w:lang w:val="fr-FR"/>
        </w:rPr>
        <w:t>’</w:t>
      </w:r>
      <w:r w:rsidRPr="00B90424">
        <w:rPr>
          <w:lang w:val="fr-FR"/>
        </w:rPr>
        <w:t>entretien obligatoires pour les techniciens de R&amp;C sera adoptée et mise en œuvre d</w:t>
      </w:r>
      <w:r w:rsidR="00511F20">
        <w:rPr>
          <w:lang w:val="fr-FR"/>
        </w:rPr>
        <w:t>’</w:t>
      </w:r>
      <w:r w:rsidRPr="00B90424">
        <w:rPr>
          <w:lang w:val="fr-FR"/>
        </w:rPr>
        <w:t>ici la fin de 2026. Malgré ce retard, le pays a déjà mis en œuvre plusieurs des pratiques d</w:t>
      </w:r>
      <w:r w:rsidR="00511F20">
        <w:rPr>
          <w:lang w:val="fr-FR"/>
        </w:rPr>
        <w:t>’</w:t>
      </w:r>
      <w:r w:rsidRPr="00B90424">
        <w:rPr>
          <w:lang w:val="fr-FR"/>
        </w:rPr>
        <w:t>entretien requises dans le cadre de l</w:t>
      </w:r>
      <w:r w:rsidR="00511F20">
        <w:rPr>
          <w:lang w:val="fr-FR"/>
        </w:rPr>
        <w:t>’</w:t>
      </w:r>
      <w:r w:rsidRPr="00B90424">
        <w:rPr>
          <w:lang w:val="fr-FR"/>
        </w:rPr>
        <w:t>application de la réglementation unifiée du CCG sur les SAO. Le projet de décision couvre les HCFC, les HFC devant être traités dans le cadre de la mise en œuvre du futur plan national de mise en œuvre du plan de mise en œuvre de Kigali pour les HFC, et les détails spécifiques tels que les limites de charge de réfrigérant et d</w:t>
      </w:r>
      <w:r w:rsidR="00511F20">
        <w:rPr>
          <w:lang w:val="fr-FR"/>
        </w:rPr>
        <w:t>’</w:t>
      </w:r>
      <w:r w:rsidRPr="00B90424">
        <w:rPr>
          <w:lang w:val="fr-FR"/>
        </w:rPr>
        <w:t>autres applications sont toujours en cours de discussion avec les parties prenantes techniques et les partenaires industriels.</w:t>
      </w:r>
    </w:p>
    <w:p w14:paraId="28123E40" w14:textId="6F1857BE" w:rsidR="00B03CB5" w:rsidRPr="00FC1C48" w:rsidRDefault="00D87162" w:rsidP="00B03CB5">
      <w:pPr>
        <w:spacing w:after="240"/>
        <w:outlineLvl w:val="0"/>
        <w:rPr>
          <w:b/>
          <w:bCs/>
          <w:lang w:val="fr-FR"/>
        </w:rPr>
      </w:pPr>
      <w:r w:rsidRPr="00FC1C48">
        <w:rPr>
          <w:b/>
          <w:bCs/>
          <w:lang w:val="fr-FR"/>
        </w:rPr>
        <w:t>Remarques du s</w:t>
      </w:r>
      <w:r w:rsidR="00B03CB5" w:rsidRPr="00FC1C48">
        <w:rPr>
          <w:b/>
          <w:bCs/>
          <w:lang w:val="fr-FR"/>
        </w:rPr>
        <w:t>ecr</w:t>
      </w:r>
      <w:r w:rsidRPr="00FC1C48">
        <w:rPr>
          <w:b/>
          <w:bCs/>
          <w:lang w:val="fr-FR"/>
        </w:rPr>
        <w:t>é</w:t>
      </w:r>
      <w:r w:rsidR="00B03CB5" w:rsidRPr="00FC1C48">
        <w:rPr>
          <w:b/>
          <w:bCs/>
          <w:lang w:val="fr-FR"/>
        </w:rPr>
        <w:t>tariat</w:t>
      </w:r>
    </w:p>
    <w:p w14:paraId="5EEAF2D1" w14:textId="51D20545" w:rsidR="00B03CB5" w:rsidRPr="00FC1C48" w:rsidRDefault="00B94615" w:rsidP="00B03CB5">
      <w:pPr>
        <w:numPr>
          <w:ilvl w:val="0"/>
          <w:numId w:val="24"/>
        </w:numPr>
        <w:spacing w:after="240"/>
        <w:outlineLvl w:val="0"/>
        <w:rPr>
          <w:lang w:val="fr-FR"/>
        </w:rPr>
      </w:pPr>
      <w:r w:rsidRPr="00B94615">
        <w:rPr>
          <w:lang w:val="fr-FR"/>
        </w:rPr>
        <w:t>Le Secrétariat a pris note avec reconnaissance des informations fournies et a constaté que, bien que des progrès aient été accomplis pour aider le pays à remplir les conditions spécifiées dans la décision</w:t>
      </w:r>
      <w:r>
        <w:rPr>
          <w:lang w:val="fr-FR"/>
        </w:rPr>
        <w:t> </w:t>
      </w:r>
      <w:r w:rsidRPr="00B94615">
        <w:rPr>
          <w:lang w:val="fr-FR"/>
        </w:rPr>
        <w:t>88/54</w:t>
      </w:r>
      <w:r>
        <w:rPr>
          <w:lang w:val="fr-FR"/>
        </w:rPr>
        <w:t> </w:t>
      </w:r>
      <w:r w:rsidRPr="00B94615">
        <w:rPr>
          <w:lang w:val="fr-FR"/>
        </w:rPr>
        <w:t>e) i), ii) et iii), ces conditions n</w:t>
      </w:r>
      <w:r w:rsidR="00511F20">
        <w:rPr>
          <w:lang w:val="fr-FR"/>
        </w:rPr>
        <w:t>’</w:t>
      </w:r>
      <w:r w:rsidRPr="00B94615">
        <w:rPr>
          <w:lang w:val="fr-FR"/>
        </w:rPr>
        <w:t>étaient pas encore remplies. Le PNUE s</w:t>
      </w:r>
      <w:r w:rsidR="00511F20">
        <w:rPr>
          <w:lang w:val="fr-FR"/>
        </w:rPr>
        <w:t>’</w:t>
      </w:r>
      <w:r w:rsidRPr="00B94615">
        <w:rPr>
          <w:lang w:val="fr-FR"/>
        </w:rPr>
        <w:t>attend à ce que le pays soit en mesure de mettre en œuvre tous les engagements spécifiés dans la décision 88/54</w:t>
      </w:r>
      <w:r w:rsidR="000B65FD">
        <w:rPr>
          <w:lang w:val="fr-FR"/>
        </w:rPr>
        <w:t> </w:t>
      </w:r>
      <w:r w:rsidRPr="00B94615">
        <w:rPr>
          <w:lang w:val="fr-FR"/>
        </w:rPr>
        <w:t>e)</w:t>
      </w:r>
      <w:r w:rsidR="000B65FD">
        <w:rPr>
          <w:lang w:val="fr-FR"/>
        </w:rPr>
        <w:t> </w:t>
      </w:r>
      <w:r w:rsidRPr="00B94615">
        <w:rPr>
          <w:lang w:val="fr-FR"/>
        </w:rPr>
        <w:t>i), ii) et iii) d</w:t>
      </w:r>
      <w:r w:rsidR="00511F20">
        <w:rPr>
          <w:lang w:val="fr-FR"/>
        </w:rPr>
        <w:t>’</w:t>
      </w:r>
      <w:r w:rsidRPr="00B94615">
        <w:rPr>
          <w:lang w:val="fr-FR"/>
        </w:rPr>
        <w:t>ici la fin de 2026, ce qui signifie que le financement restant dû au PNUE, soit 144</w:t>
      </w:r>
      <w:r w:rsidR="005F2DB8">
        <w:rPr>
          <w:lang w:val="fr-FR"/>
        </w:rPr>
        <w:t> </w:t>
      </w:r>
      <w:r w:rsidRPr="00B94615">
        <w:rPr>
          <w:lang w:val="fr-FR"/>
        </w:rPr>
        <w:t>500</w:t>
      </w:r>
      <w:r w:rsidR="005F2DB8">
        <w:rPr>
          <w:lang w:val="fr-FR"/>
        </w:rPr>
        <w:t> </w:t>
      </w:r>
      <w:r w:rsidRPr="00B94615">
        <w:rPr>
          <w:lang w:val="fr-FR"/>
        </w:rPr>
        <w:t>$US plus les coûts d</w:t>
      </w:r>
      <w:r w:rsidR="00511F20">
        <w:rPr>
          <w:lang w:val="fr-FR"/>
        </w:rPr>
        <w:t>’</w:t>
      </w:r>
      <w:r w:rsidRPr="00B94615">
        <w:rPr>
          <w:lang w:val="fr-FR"/>
        </w:rPr>
        <w:t>appui d</w:t>
      </w:r>
      <w:r w:rsidR="00511F20">
        <w:rPr>
          <w:lang w:val="fr-FR"/>
        </w:rPr>
        <w:t>’</w:t>
      </w:r>
      <w:r w:rsidRPr="00B94615">
        <w:rPr>
          <w:lang w:val="fr-FR"/>
        </w:rPr>
        <w:t>agence, ne pourra être débloqué qu</w:t>
      </w:r>
      <w:r w:rsidR="00511F20">
        <w:rPr>
          <w:lang w:val="fr-FR"/>
        </w:rPr>
        <w:t>’</w:t>
      </w:r>
      <w:r w:rsidRPr="00B94615">
        <w:rPr>
          <w:lang w:val="fr-FR"/>
        </w:rPr>
        <w:t>à ce moment-là.</w:t>
      </w:r>
    </w:p>
    <w:p w14:paraId="76722665" w14:textId="30BCC786" w:rsidR="00B03CB5" w:rsidRPr="00FC1C48" w:rsidRDefault="00B43945" w:rsidP="00B03CB5">
      <w:pPr>
        <w:numPr>
          <w:ilvl w:val="0"/>
          <w:numId w:val="24"/>
        </w:numPr>
        <w:spacing w:after="240"/>
        <w:outlineLvl w:val="0"/>
        <w:rPr>
          <w:lang w:val="fr-FR"/>
        </w:rPr>
      </w:pPr>
      <w:r w:rsidRPr="00B43945">
        <w:rPr>
          <w:lang w:val="fr-FR"/>
        </w:rPr>
        <w:t>Le Secrétariat s</w:t>
      </w:r>
      <w:r w:rsidR="00511F20">
        <w:rPr>
          <w:lang w:val="fr-FR"/>
        </w:rPr>
        <w:t>’</w:t>
      </w:r>
      <w:r w:rsidRPr="00B43945">
        <w:rPr>
          <w:lang w:val="fr-FR"/>
        </w:rPr>
        <w:t>est déclaré préoccupé par ce retard et a estimé qu</w:t>
      </w:r>
      <w:r w:rsidR="00511F20">
        <w:rPr>
          <w:lang w:val="fr-FR"/>
        </w:rPr>
        <w:t>’</w:t>
      </w:r>
      <w:r w:rsidRPr="00B43945">
        <w:rPr>
          <w:lang w:val="fr-FR"/>
        </w:rPr>
        <w:t>il était important que le Qatar continue à bénéficier de l</w:t>
      </w:r>
      <w:r w:rsidR="00511F20">
        <w:rPr>
          <w:lang w:val="fr-FR"/>
        </w:rPr>
        <w:t>’</w:t>
      </w:r>
      <w:r w:rsidRPr="00B43945">
        <w:rPr>
          <w:lang w:val="fr-FR"/>
        </w:rPr>
        <w:t>aide dont il a besoin pour mettre en œuvre la phase</w:t>
      </w:r>
      <w:r w:rsidR="00DB429E">
        <w:rPr>
          <w:lang w:val="fr-FR"/>
        </w:rPr>
        <w:t> </w:t>
      </w:r>
      <w:r w:rsidRPr="00B43945">
        <w:rPr>
          <w:lang w:val="fr-FR"/>
        </w:rPr>
        <w:t xml:space="preserve">II de son PGEH. Le PNUE a </w:t>
      </w:r>
      <w:r w:rsidRPr="00B43945">
        <w:rPr>
          <w:lang w:val="fr-FR"/>
        </w:rPr>
        <w:lastRenderedPageBreak/>
        <w:t>indiqué dans son rapport avoir déjà versé 97</w:t>
      </w:r>
      <w:r w:rsidR="00E84D65">
        <w:rPr>
          <w:lang w:val="fr-FR"/>
        </w:rPr>
        <w:t> </w:t>
      </w:r>
      <w:r w:rsidRPr="00B43945">
        <w:rPr>
          <w:lang w:val="fr-FR"/>
        </w:rPr>
        <w:t>% des financements approuvés au titre de la première tranche. Le Secrétariat a donc jugé utile d</w:t>
      </w:r>
      <w:r w:rsidR="00511F20">
        <w:rPr>
          <w:lang w:val="fr-FR"/>
        </w:rPr>
        <w:t>’</w:t>
      </w:r>
      <w:r w:rsidRPr="00B43945">
        <w:rPr>
          <w:lang w:val="fr-FR"/>
        </w:rPr>
        <w:t>étudier les options qui permettraient un transfert plus rapide des financements au PNUE afin que celui-ci puisse poursuivre à aider le pays et accélérer le calendrier de mise en œuvre des engagements énoncés dans la décision 88/54</w:t>
      </w:r>
      <w:r>
        <w:rPr>
          <w:lang w:val="fr-FR"/>
        </w:rPr>
        <w:t> </w:t>
      </w:r>
      <w:r w:rsidRPr="00B43945">
        <w:rPr>
          <w:lang w:val="fr-FR"/>
        </w:rPr>
        <w:t>e)</w:t>
      </w:r>
      <w:r>
        <w:rPr>
          <w:lang w:val="fr-FR"/>
        </w:rPr>
        <w:t> </w:t>
      </w:r>
      <w:r w:rsidRPr="00B43945">
        <w:rPr>
          <w:lang w:val="fr-FR"/>
        </w:rPr>
        <w:t>i), ii) et iii). À la suite de discussions avec l</w:t>
      </w:r>
      <w:r w:rsidR="00511F20">
        <w:rPr>
          <w:lang w:val="fr-FR"/>
        </w:rPr>
        <w:t>’</w:t>
      </w:r>
      <w:r w:rsidRPr="00B43945">
        <w:rPr>
          <w:lang w:val="fr-FR"/>
        </w:rPr>
        <w:t>ONUDI et le PNUE, la marche à suivre ci-après a été convenue</w:t>
      </w:r>
      <w:r>
        <w:rPr>
          <w:lang w:val="fr-FR"/>
        </w:rPr>
        <w:t> </w:t>
      </w:r>
      <w:r w:rsidR="00B03CB5" w:rsidRPr="00FC1C48">
        <w:rPr>
          <w:lang w:val="fr-FR"/>
        </w:rPr>
        <w:t xml:space="preserve">: </w:t>
      </w:r>
    </w:p>
    <w:p w14:paraId="1437F52B" w14:textId="626480D6" w:rsidR="00B03CB5" w:rsidRPr="00FC1C48" w:rsidRDefault="00143DEE" w:rsidP="00666945">
      <w:pPr>
        <w:numPr>
          <w:ilvl w:val="1"/>
          <w:numId w:val="24"/>
        </w:numPr>
        <w:spacing w:after="240"/>
        <w:ind w:left="1418" w:hanging="698"/>
        <w:outlineLvl w:val="1"/>
        <w:rPr>
          <w:lang w:val="fr-FR"/>
        </w:rPr>
      </w:pPr>
      <w:r w:rsidRPr="00143DEE">
        <w:rPr>
          <w:lang w:val="fr-FR"/>
        </w:rPr>
        <w:t xml:space="preserve">Nonobstant le </w:t>
      </w:r>
      <w:r w:rsidR="005706E3">
        <w:rPr>
          <w:lang w:val="fr-FR"/>
        </w:rPr>
        <w:t>non-remplissement des</w:t>
      </w:r>
      <w:r w:rsidRPr="00143DEE">
        <w:rPr>
          <w:lang w:val="fr-FR"/>
        </w:rPr>
        <w:t xml:space="preserve"> conditions énoncées dans la décision 88/54</w:t>
      </w:r>
      <w:r w:rsidR="00D41C48">
        <w:rPr>
          <w:lang w:val="fr-FR"/>
        </w:rPr>
        <w:t> </w:t>
      </w:r>
      <w:r w:rsidRPr="00143DEE">
        <w:rPr>
          <w:lang w:val="fr-FR"/>
        </w:rPr>
        <w:t>e), et à titre exceptionnel, le Secrétariat demanderait au Trésorier de transférer au PNUE 72</w:t>
      </w:r>
      <w:r w:rsidR="00602750">
        <w:rPr>
          <w:lang w:val="fr-FR"/>
        </w:rPr>
        <w:t> </w:t>
      </w:r>
      <w:r w:rsidRPr="00143DEE">
        <w:rPr>
          <w:lang w:val="fr-FR"/>
        </w:rPr>
        <w:t>250</w:t>
      </w:r>
      <w:r w:rsidR="00602750">
        <w:rPr>
          <w:lang w:val="fr-FR"/>
        </w:rPr>
        <w:t> </w:t>
      </w:r>
      <w:r w:rsidRPr="00143DEE">
        <w:rPr>
          <w:lang w:val="fr-FR"/>
        </w:rPr>
        <w:t>$US, plus 9</w:t>
      </w:r>
      <w:r w:rsidR="00602750">
        <w:rPr>
          <w:lang w:val="fr-FR"/>
        </w:rPr>
        <w:t> </w:t>
      </w:r>
      <w:r w:rsidRPr="00143DEE">
        <w:rPr>
          <w:lang w:val="fr-FR"/>
        </w:rPr>
        <w:t>393</w:t>
      </w:r>
      <w:r w:rsidR="00602750">
        <w:rPr>
          <w:lang w:val="fr-FR"/>
        </w:rPr>
        <w:t> </w:t>
      </w:r>
      <w:r w:rsidRPr="00143DEE">
        <w:rPr>
          <w:lang w:val="fr-FR"/>
        </w:rPr>
        <w:t>$US de coûts d</w:t>
      </w:r>
      <w:r w:rsidR="00511F20">
        <w:rPr>
          <w:lang w:val="fr-FR"/>
        </w:rPr>
        <w:t>’</w:t>
      </w:r>
      <w:r w:rsidRPr="00143DEE">
        <w:rPr>
          <w:lang w:val="fr-FR"/>
        </w:rPr>
        <w:t>appui d</w:t>
      </w:r>
      <w:r w:rsidR="00511F20">
        <w:rPr>
          <w:lang w:val="fr-FR"/>
        </w:rPr>
        <w:t>’</w:t>
      </w:r>
      <w:r w:rsidRPr="00143DEE">
        <w:rPr>
          <w:lang w:val="fr-FR"/>
        </w:rPr>
        <w:t>agence, soit la moitié du financement approuvé pour le PNUE au titre de la deuxième tranche de la phase</w:t>
      </w:r>
      <w:r w:rsidR="001E27E4">
        <w:rPr>
          <w:lang w:val="fr-FR"/>
        </w:rPr>
        <w:t> </w:t>
      </w:r>
      <w:r w:rsidRPr="00143DEE">
        <w:rPr>
          <w:lang w:val="fr-FR"/>
        </w:rPr>
        <w:t>II du PGEH pour le Qatar détenue par le Trésorier, conformément à la décision</w:t>
      </w:r>
      <w:r w:rsidR="00E00A26">
        <w:rPr>
          <w:lang w:val="fr-FR"/>
        </w:rPr>
        <w:t> </w:t>
      </w:r>
      <w:r w:rsidRPr="00143DEE">
        <w:rPr>
          <w:lang w:val="fr-FR"/>
        </w:rPr>
        <w:t>93/36</w:t>
      </w:r>
      <w:r>
        <w:rPr>
          <w:lang w:val="fr-FR"/>
        </w:rPr>
        <w:t> </w:t>
      </w:r>
      <w:r w:rsidR="00B03CB5" w:rsidRPr="00FC1C48">
        <w:rPr>
          <w:lang w:val="fr-FR"/>
        </w:rPr>
        <w:t>;</w:t>
      </w:r>
    </w:p>
    <w:p w14:paraId="41C52B7E" w14:textId="5DC05B0A" w:rsidR="00B03CB5" w:rsidRPr="00FC1C48" w:rsidRDefault="00E41BF5" w:rsidP="00666945">
      <w:pPr>
        <w:numPr>
          <w:ilvl w:val="1"/>
          <w:numId w:val="24"/>
        </w:numPr>
        <w:spacing w:after="240"/>
        <w:ind w:left="1418" w:hanging="698"/>
        <w:outlineLvl w:val="1"/>
        <w:rPr>
          <w:lang w:val="fr-FR"/>
        </w:rPr>
      </w:pPr>
      <w:r w:rsidRPr="00E41BF5">
        <w:rPr>
          <w:lang w:val="fr-FR"/>
        </w:rPr>
        <w:t>Le PNUE présenterait à la 98</w:t>
      </w:r>
      <w:r w:rsidRPr="006A0423">
        <w:rPr>
          <w:vertAlign w:val="superscript"/>
          <w:lang w:val="fr-FR"/>
        </w:rPr>
        <w:t>e</w:t>
      </w:r>
      <w:r w:rsidR="006A0423">
        <w:rPr>
          <w:lang w:val="fr-FR"/>
        </w:rPr>
        <w:t> </w:t>
      </w:r>
      <w:r w:rsidRPr="00E41BF5">
        <w:rPr>
          <w:lang w:val="fr-FR"/>
        </w:rPr>
        <w:t>réunion un rapport détaillé indiquant les jalons précis des progrès accomplis pour satisfaire aux conditions spécifiées dans la décision 88/54</w:t>
      </w:r>
      <w:r w:rsidR="00C813BB">
        <w:rPr>
          <w:lang w:val="fr-FR"/>
        </w:rPr>
        <w:t> </w:t>
      </w:r>
      <w:r w:rsidRPr="00E41BF5">
        <w:rPr>
          <w:lang w:val="fr-FR"/>
        </w:rPr>
        <w:t>e)</w:t>
      </w:r>
      <w:r w:rsidR="005E68BE">
        <w:rPr>
          <w:lang w:val="fr-FR"/>
        </w:rPr>
        <w:t> </w:t>
      </w:r>
      <w:r w:rsidRPr="00E41BF5">
        <w:rPr>
          <w:lang w:val="fr-FR"/>
        </w:rPr>
        <w:t>i), ii) et iii), à moins que ces conditions aient été satisfaites, auquel cas la demande relative à la troisième tranche de la phase</w:t>
      </w:r>
      <w:r w:rsidR="00287A75">
        <w:rPr>
          <w:lang w:val="fr-FR"/>
        </w:rPr>
        <w:t> </w:t>
      </w:r>
      <w:r w:rsidRPr="00E41BF5">
        <w:rPr>
          <w:lang w:val="fr-FR"/>
        </w:rPr>
        <w:t>II du PGEH, qui inclurait ces détails, pourrait être présentée à la place</w:t>
      </w:r>
      <w:r>
        <w:rPr>
          <w:lang w:val="fr-FR"/>
        </w:rPr>
        <w:t> </w:t>
      </w:r>
      <w:r w:rsidR="00B03CB5" w:rsidRPr="00FC1C48">
        <w:rPr>
          <w:lang w:val="fr-FR"/>
        </w:rPr>
        <w:t xml:space="preserve">; </w:t>
      </w:r>
    </w:p>
    <w:p w14:paraId="44225571" w14:textId="4636E379" w:rsidR="00B03CB5" w:rsidRPr="00C65C29" w:rsidRDefault="00C65C29" w:rsidP="00666945">
      <w:pPr>
        <w:pStyle w:val="ListParagraph"/>
        <w:numPr>
          <w:ilvl w:val="1"/>
          <w:numId w:val="24"/>
        </w:numPr>
        <w:spacing w:after="240"/>
        <w:ind w:left="1418" w:hanging="698"/>
        <w:outlineLvl w:val="1"/>
        <w:rPr>
          <w:lang w:val="fr-FR"/>
        </w:rPr>
      </w:pPr>
      <w:r w:rsidRPr="00C65C29">
        <w:rPr>
          <w:lang w:val="fr-FR"/>
        </w:rPr>
        <w:t>Le financement restant approuvé pour le PNUE au titre de la deuxième tranche de la phase</w:t>
      </w:r>
      <w:r>
        <w:rPr>
          <w:lang w:val="fr-FR"/>
        </w:rPr>
        <w:t> </w:t>
      </w:r>
      <w:r w:rsidRPr="00C65C29">
        <w:rPr>
          <w:lang w:val="fr-FR"/>
        </w:rPr>
        <w:t>II du PGEH ne serait transféré par le trésorier au PNUE qu</w:t>
      </w:r>
      <w:r w:rsidR="00511F20">
        <w:rPr>
          <w:lang w:val="fr-FR"/>
        </w:rPr>
        <w:t>’</w:t>
      </w:r>
      <w:r w:rsidRPr="00C65C29">
        <w:rPr>
          <w:lang w:val="fr-FR"/>
        </w:rPr>
        <w:t>après confirmation par le Secrétariat de la mise en œuvre par le pays des engagements spécifiés dans la décision 88/54</w:t>
      </w:r>
      <w:r>
        <w:rPr>
          <w:lang w:val="fr-FR"/>
        </w:rPr>
        <w:t> </w:t>
      </w:r>
      <w:r w:rsidRPr="00C65C29">
        <w:rPr>
          <w:lang w:val="fr-FR"/>
        </w:rPr>
        <w:t>e)</w:t>
      </w:r>
      <w:r>
        <w:rPr>
          <w:lang w:val="fr-FR"/>
        </w:rPr>
        <w:t> </w:t>
      </w:r>
      <w:r w:rsidRPr="00C65C29">
        <w:rPr>
          <w:lang w:val="fr-FR"/>
        </w:rPr>
        <w:t>i), ii) et (iii)</w:t>
      </w:r>
      <w:r>
        <w:rPr>
          <w:lang w:val="fr-FR"/>
        </w:rPr>
        <w:t> </w:t>
      </w:r>
      <w:r w:rsidRPr="00C65C29">
        <w:rPr>
          <w:lang w:val="fr-FR"/>
        </w:rPr>
        <w:t>;</w:t>
      </w:r>
    </w:p>
    <w:p w14:paraId="7434B3A1" w14:textId="221F7517" w:rsidR="00B03CB5" w:rsidRPr="00FC1C48" w:rsidRDefault="0018132B" w:rsidP="00666945">
      <w:pPr>
        <w:numPr>
          <w:ilvl w:val="1"/>
          <w:numId w:val="24"/>
        </w:numPr>
        <w:spacing w:after="240"/>
        <w:ind w:left="1418" w:hanging="698"/>
        <w:outlineLvl w:val="1"/>
        <w:rPr>
          <w:lang w:val="fr-FR"/>
        </w:rPr>
      </w:pPr>
      <w:r w:rsidRPr="0018132B">
        <w:rPr>
          <w:lang w:val="fr-FR"/>
        </w:rPr>
        <w:t>Si la troisième tranche de la phase</w:t>
      </w:r>
      <w:r>
        <w:rPr>
          <w:lang w:val="fr-FR"/>
        </w:rPr>
        <w:t> </w:t>
      </w:r>
      <w:r w:rsidRPr="0018132B">
        <w:rPr>
          <w:lang w:val="fr-FR"/>
        </w:rPr>
        <w:t xml:space="preserve">II du PGEH </w:t>
      </w:r>
      <w:r w:rsidR="00180CC4">
        <w:rPr>
          <w:lang w:val="fr-FR"/>
        </w:rPr>
        <w:t xml:space="preserve">était </w:t>
      </w:r>
      <w:r w:rsidRPr="0018132B">
        <w:rPr>
          <w:lang w:val="fr-FR"/>
        </w:rPr>
        <w:t>soumise à la 99</w:t>
      </w:r>
      <w:r w:rsidRPr="00180CC4">
        <w:rPr>
          <w:vertAlign w:val="superscript"/>
          <w:lang w:val="fr-FR"/>
        </w:rPr>
        <w:t>e</w:t>
      </w:r>
      <w:r w:rsidR="00180CC4">
        <w:rPr>
          <w:lang w:val="fr-FR"/>
        </w:rPr>
        <w:t> </w:t>
      </w:r>
      <w:r w:rsidRPr="0018132B">
        <w:rPr>
          <w:lang w:val="fr-FR"/>
        </w:rPr>
        <w:t xml:space="preserve">réunion ou à une réunion ultérieure, le Secrétariat recommanderait de </w:t>
      </w:r>
      <w:r w:rsidR="00314F56">
        <w:rPr>
          <w:lang w:val="fr-FR"/>
        </w:rPr>
        <w:t xml:space="preserve">repousser </w:t>
      </w:r>
      <w:r w:rsidRPr="0018132B">
        <w:rPr>
          <w:lang w:val="fr-FR"/>
        </w:rPr>
        <w:t>la date d</w:t>
      </w:r>
      <w:r w:rsidR="00511F20">
        <w:rPr>
          <w:lang w:val="fr-FR"/>
        </w:rPr>
        <w:t>’</w:t>
      </w:r>
      <w:r w:rsidRPr="0018132B">
        <w:rPr>
          <w:lang w:val="fr-FR"/>
        </w:rPr>
        <w:t>achèvement de la phase</w:t>
      </w:r>
      <w:r w:rsidR="001541EB">
        <w:rPr>
          <w:lang w:val="fr-FR"/>
        </w:rPr>
        <w:t> </w:t>
      </w:r>
      <w:r w:rsidRPr="0018132B">
        <w:rPr>
          <w:lang w:val="fr-FR"/>
        </w:rPr>
        <w:t xml:space="preserve">II, </w:t>
      </w:r>
      <w:r w:rsidR="00AB5055">
        <w:rPr>
          <w:lang w:val="fr-FR"/>
        </w:rPr>
        <w:t>selon qu</w:t>
      </w:r>
      <w:r w:rsidR="00511F20">
        <w:rPr>
          <w:lang w:val="fr-FR"/>
        </w:rPr>
        <w:t>’</w:t>
      </w:r>
      <w:r w:rsidR="00AB5055">
        <w:rPr>
          <w:lang w:val="fr-FR"/>
        </w:rPr>
        <w:t>il convient</w:t>
      </w:r>
      <w:r w:rsidRPr="0018132B">
        <w:rPr>
          <w:lang w:val="fr-FR"/>
        </w:rPr>
        <w:t>, conformément à la décision</w:t>
      </w:r>
      <w:r w:rsidR="00EC0D39">
        <w:rPr>
          <w:lang w:val="fr-FR"/>
        </w:rPr>
        <w:t> </w:t>
      </w:r>
      <w:r w:rsidRPr="0018132B">
        <w:rPr>
          <w:lang w:val="fr-FR"/>
        </w:rPr>
        <w:t>82/50</w:t>
      </w:r>
      <w:r w:rsidR="00AB5055">
        <w:rPr>
          <w:lang w:val="fr-FR"/>
        </w:rPr>
        <w:t> </w:t>
      </w:r>
      <w:r w:rsidRPr="0018132B">
        <w:rPr>
          <w:lang w:val="fr-FR"/>
        </w:rPr>
        <w:t>; et</w:t>
      </w:r>
    </w:p>
    <w:p w14:paraId="24DC10B1" w14:textId="258200B5" w:rsidR="00B03CB5" w:rsidRPr="00FC1C48" w:rsidRDefault="002C5A93" w:rsidP="00666945">
      <w:pPr>
        <w:numPr>
          <w:ilvl w:val="1"/>
          <w:numId w:val="24"/>
        </w:numPr>
        <w:spacing w:after="240"/>
        <w:ind w:left="1418" w:hanging="698"/>
        <w:outlineLvl w:val="1"/>
        <w:rPr>
          <w:lang w:val="fr-FR"/>
        </w:rPr>
      </w:pPr>
      <w:r w:rsidRPr="002C5A93">
        <w:rPr>
          <w:lang w:val="fr-FR"/>
        </w:rPr>
        <w:t>La demande de phase</w:t>
      </w:r>
      <w:r w:rsidR="0022770B">
        <w:rPr>
          <w:lang w:val="fr-FR"/>
        </w:rPr>
        <w:t> </w:t>
      </w:r>
      <w:r w:rsidRPr="002C5A93">
        <w:rPr>
          <w:lang w:val="fr-FR"/>
        </w:rPr>
        <w:t>III du PGEH ne serait pas soumise tant que toutes les conditions énoncées dans la décision 88/54</w:t>
      </w:r>
      <w:r>
        <w:rPr>
          <w:lang w:val="fr-FR"/>
        </w:rPr>
        <w:t> </w:t>
      </w:r>
      <w:r w:rsidRPr="002C5A93">
        <w:rPr>
          <w:lang w:val="fr-FR"/>
        </w:rPr>
        <w:t>e) n</w:t>
      </w:r>
      <w:r w:rsidR="00511F20">
        <w:rPr>
          <w:lang w:val="fr-FR"/>
        </w:rPr>
        <w:t>’</w:t>
      </w:r>
      <w:r w:rsidRPr="002C5A93">
        <w:rPr>
          <w:lang w:val="fr-FR"/>
        </w:rPr>
        <w:t>auront pas été remplies</w:t>
      </w:r>
      <w:r w:rsidR="00B03CB5" w:rsidRPr="00FC1C48">
        <w:rPr>
          <w:lang w:val="fr-FR"/>
        </w:rPr>
        <w:t>.</w:t>
      </w:r>
    </w:p>
    <w:p w14:paraId="29790AAD" w14:textId="5FF4BCB6" w:rsidR="00B03CB5" w:rsidRPr="00FC1C48" w:rsidRDefault="00E47417" w:rsidP="00B03CB5">
      <w:pPr>
        <w:pStyle w:val="ListParagraph"/>
        <w:numPr>
          <w:ilvl w:val="0"/>
          <w:numId w:val="24"/>
        </w:numPr>
        <w:spacing w:after="240"/>
        <w:outlineLvl w:val="1"/>
        <w:rPr>
          <w:lang w:val="fr-FR"/>
        </w:rPr>
      </w:pPr>
      <w:r w:rsidRPr="00E47417">
        <w:rPr>
          <w:lang w:val="fr-FR"/>
        </w:rPr>
        <w:t>En conséquence, si le rapport détaillé présenté à la 98</w:t>
      </w:r>
      <w:r w:rsidRPr="00E47417">
        <w:rPr>
          <w:vertAlign w:val="superscript"/>
          <w:lang w:val="fr-FR"/>
        </w:rPr>
        <w:t>e</w:t>
      </w:r>
      <w:r>
        <w:rPr>
          <w:lang w:val="fr-FR"/>
        </w:rPr>
        <w:t> </w:t>
      </w:r>
      <w:r w:rsidRPr="00E47417">
        <w:rPr>
          <w:lang w:val="fr-FR"/>
        </w:rPr>
        <w:t>réunion confirme que des progrès suffisants ont été accomplis vers la réalisation des objectifs fixés, le Secrétariat pourrait alors demander au Trésorier de transférer au PNUE le solde du financement de la deuxième tranche, ce qui permettrait de présenter la troisième tranche à la 99</w:t>
      </w:r>
      <w:r w:rsidRPr="00357616">
        <w:rPr>
          <w:vertAlign w:val="superscript"/>
          <w:lang w:val="fr-FR"/>
        </w:rPr>
        <w:t>e</w:t>
      </w:r>
      <w:r w:rsidR="00357616">
        <w:rPr>
          <w:lang w:val="fr-FR"/>
        </w:rPr>
        <w:t> </w:t>
      </w:r>
      <w:r w:rsidRPr="00E47417">
        <w:rPr>
          <w:lang w:val="fr-FR"/>
        </w:rPr>
        <w:t>réunion. Toutefois, si toutes les conditions énoncées dans la décision</w:t>
      </w:r>
      <w:r w:rsidR="00B976A8">
        <w:rPr>
          <w:lang w:val="fr-FR"/>
        </w:rPr>
        <w:t> </w:t>
      </w:r>
      <w:r w:rsidRPr="00E47417">
        <w:rPr>
          <w:lang w:val="fr-FR"/>
        </w:rPr>
        <w:t>88/54</w:t>
      </w:r>
      <w:r w:rsidR="00B976A8">
        <w:rPr>
          <w:lang w:val="fr-FR"/>
        </w:rPr>
        <w:t> </w:t>
      </w:r>
      <w:r w:rsidRPr="00E47417">
        <w:rPr>
          <w:lang w:val="fr-FR"/>
        </w:rPr>
        <w:t>e) sont remplies avant la 98</w:t>
      </w:r>
      <w:r w:rsidRPr="00357616">
        <w:rPr>
          <w:vertAlign w:val="superscript"/>
          <w:lang w:val="fr-FR"/>
        </w:rPr>
        <w:t>e</w:t>
      </w:r>
      <w:r w:rsidR="00357616">
        <w:rPr>
          <w:lang w:val="fr-FR"/>
        </w:rPr>
        <w:t> </w:t>
      </w:r>
      <w:r w:rsidRPr="00E47417">
        <w:rPr>
          <w:lang w:val="fr-FR"/>
        </w:rPr>
        <w:t>réunion, l</w:t>
      </w:r>
      <w:r w:rsidR="00511F20">
        <w:rPr>
          <w:lang w:val="fr-FR"/>
        </w:rPr>
        <w:t>’</w:t>
      </w:r>
      <w:r w:rsidRPr="00E47417">
        <w:rPr>
          <w:lang w:val="fr-FR"/>
        </w:rPr>
        <w:t>ONUDI peut présenter à cette réunion, au nom de la Gouvernement, la demande relative à la troisième tranche, accompagnée d</w:t>
      </w:r>
      <w:r w:rsidR="00511F20">
        <w:rPr>
          <w:lang w:val="fr-FR"/>
        </w:rPr>
        <w:t>’</w:t>
      </w:r>
      <w:r w:rsidRPr="00E47417">
        <w:rPr>
          <w:lang w:val="fr-FR"/>
        </w:rPr>
        <w:t>informations détaillées indiquant que les conditions spécifiées dans la décision 88/54</w:t>
      </w:r>
      <w:r w:rsidR="000F504D">
        <w:rPr>
          <w:lang w:val="fr-FR"/>
        </w:rPr>
        <w:t> </w:t>
      </w:r>
      <w:r w:rsidRPr="00E47417">
        <w:rPr>
          <w:lang w:val="fr-FR"/>
        </w:rPr>
        <w:t>e) ont été pleinement remplies au moment de la soumission.</w:t>
      </w:r>
    </w:p>
    <w:p w14:paraId="239B676A" w14:textId="37D6A1BA" w:rsidR="00B03CB5" w:rsidRPr="00FC1C48" w:rsidRDefault="000429E3" w:rsidP="00B03CB5">
      <w:pPr>
        <w:numPr>
          <w:ilvl w:val="0"/>
          <w:numId w:val="24"/>
        </w:numPr>
        <w:spacing w:after="240"/>
        <w:outlineLvl w:val="0"/>
        <w:rPr>
          <w:lang w:val="fr-FR"/>
        </w:rPr>
      </w:pPr>
      <w:r w:rsidRPr="000429E3">
        <w:rPr>
          <w:lang w:val="fr-FR"/>
        </w:rPr>
        <w:t>Étant donné que les conditions énoncées dans la décision</w:t>
      </w:r>
      <w:r>
        <w:rPr>
          <w:lang w:val="fr-FR"/>
        </w:rPr>
        <w:t> </w:t>
      </w:r>
      <w:r w:rsidRPr="000429E3">
        <w:rPr>
          <w:lang w:val="fr-FR"/>
        </w:rPr>
        <w:t>93/36 n</w:t>
      </w:r>
      <w:r w:rsidR="00511F20">
        <w:rPr>
          <w:lang w:val="fr-FR"/>
        </w:rPr>
        <w:t>’</w:t>
      </w:r>
      <w:r w:rsidRPr="000429E3">
        <w:rPr>
          <w:lang w:val="fr-FR"/>
        </w:rPr>
        <w:t>étaient pas remplies, le gouvernement du Qatar a décidé de retirer la demande relative à la troisième tranche de la phase</w:t>
      </w:r>
      <w:r w:rsidR="00C47FC4">
        <w:rPr>
          <w:lang w:val="fr-FR"/>
        </w:rPr>
        <w:t> </w:t>
      </w:r>
      <w:r w:rsidRPr="000429E3">
        <w:rPr>
          <w:lang w:val="fr-FR"/>
        </w:rPr>
        <w:t>II du PGEH de la présente réunion afin que celle-ci puisse être présentée à une réunion ultérieure, conformément à la feuille de route approuvée décrite ci-dessus.</w:t>
      </w:r>
      <w:r w:rsidR="00B03CB5" w:rsidRPr="00FC1C48">
        <w:rPr>
          <w:lang w:val="fr-FR"/>
        </w:rPr>
        <w:t xml:space="preserve"> </w:t>
      </w:r>
    </w:p>
    <w:p w14:paraId="1BDB1BCF" w14:textId="4C85D898" w:rsidR="00B03CB5" w:rsidRPr="00FC1C48" w:rsidRDefault="00BB4E16" w:rsidP="00B03CB5">
      <w:pPr>
        <w:numPr>
          <w:ilvl w:val="0"/>
          <w:numId w:val="24"/>
        </w:numPr>
        <w:spacing w:after="240"/>
        <w:outlineLvl w:val="0"/>
        <w:rPr>
          <w:lang w:val="fr-FR"/>
        </w:rPr>
      </w:pPr>
      <w:r w:rsidRPr="00BB4E16">
        <w:rPr>
          <w:lang w:val="fr-FR"/>
        </w:rPr>
        <w:t>Le Secrétariat a salué les efforts déployés par le gouvernement et les agences d</w:t>
      </w:r>
      <w:r w:rsidR="00511F20">
        <w:rPr>
          <w:lang w:val="fr-FR"/>
        </w:rPr>
        <w:t>’</w:t>
      </w:r>
      <w:r w:rsidRPr="00BB4E16">
        <w:rPr>
          <w:lang w:val="fr-FR"/>
        </w:rPr>
        <w:t>exécution pour faire avancer les activités du projet, et a encouragé le PNUE et l</w:t>
      </w:r>
      <w:r w:rsidR="00511F20">
        <w:rPr>
          <w:lang w:val="fr-FR"/>
        </w:rPr>
        <w:t>’</w:t>
      </w:r>
      <w:r w:rsidRPr="00BB4E16">
        <w:rPr>
          <w:lang w:val="fr-FR"/>
        </w:rPr>
        <w:t>ONUDI à poursuivre son aide au gouvernement afin que toutes les conditions spécifiées dans la décision 88/54 e) soient remplies dès que possible, ce qui permettra au Secrétariat de demander au Trésorier de transférer tous les fonds retenus au PNUE et de soumettre la demande de troisième tranche dès que possible.</w:t>
      </w:r>
    </w:p>
    <w:p w14:paraId="37F7FFE9" w14:textId="77777777" w:rsidR="00666945" w:rsidRDefault="00666945">
      <w:pPr>
        <w:jc w:val="left"/>
        <w:rPr>
          <w:b/>
          <w:bCs/>
          <w:lang w:val="fr-FR"/>
        </w:rPr>
      </w:pPr>
      <w:r>
        <w:rPr>
          <w:b/>
          <w:bCs/>
          <w:lang w:val="fr-FR"/>
        </w:rPr>
        <w:br w:type="page"/>
      </w:r>
    </w:p>
    <w:p w14:paraId="3FC6A6EC" w14:textId="3AE68137" w:rsidR="00B03CB5" w:rsidRPr="00FC1C48" w:rsidRDefault="00B03CB5" w:rsidP="00B03CB5">
      <w:pPr>
        <w:tabs>
          <w:tab w:val="num" w:pos="0"/>
          <w:tab w:val="num" w:pos="720"/>
        </w:tabs>
        <w:spacing w:after="240"/>
        <w:outlineLvl w:val="0"/>
        <w:rPr>
          <w:b/>
          <w:bCs/>
          <w:lang w:val="fr-FR"/>
        </w:rPr>
      </w:pPr>
      <w:r w:rsidRPr="00FC1C48">
        <w:rPr>
          <w:b/>
          <w:bCs/>
          <w:lang w:val="fr-FR"/>
        </w:rPr>
        <w:lastRenderedPageBreak/>
        <w:t>Recomm</w:t>
      </w:r>
      <w:r w:rsidR="00526768" w:rsidRPr="00FC1C48">
        <w:rPr>
          <w:b/>
          <w:bCs/>
          <w:lang w:val="fr-FR"/>
        </w:rPr>
        <w:t>a</w:t>
      </w:r>
      <w:r w:rsidRPr="00FC1C48">
        <w:rPr>
          <w:b/>
          <w:bCs/>
          <w:lang w:val="fr-FR"/>
        </w:rPr>
        <w:t>ndation</w:t>
      </w:r>
    </w:p>
    <w:p w14:paraId="42FE7397" w14:textId="4BBF0040" w:rsidR="00B03CB5" w:rsidRPr="00FC1C48" w:rsidRDefault="0056697D" w:rsidP="00B03CB5">
      <w:pPr>
        <w:keepNext/>
        <w:keepLines/>
        <w:numPr>
          <w:ilvl w:val="0"/>
          <w:numId w:val="24"/>
        </w:numPr>
        <w:spacing w:before="240" w:after="240"/>
        <w:outlineLvl w:val="0"/>
        <w:rPr>
          <w:lang w:val="fr-FR"/>
        </w:rPr>
      </w:pPr>
      <w:r w:rsidRPr="0056697D">
        <w:rPr>
          <w:lang w:val="fr-FR"/>
        </w:rPr>
        <w:t>Le Comité exécutif pourrait souhaiter envisager</w:t>
      </w:r>
      <w:r>
        <w:rPr>
          <w:lang w:val="fr-FR"/>
        </w:rPr>
        <w:t> </w:t>
      </w:r>
      <w:r w:rsidR="00B03CB5" w:rsidRPr="00FC1C48">
        <w:rPr>
          <w:lang w:val="fr-FR"/>
        </w:rPr>
        <w:t>:</w:t>
      </w:r>
    </w:p>
    <w:p w14:paraId="36A5491D" w14:textId="4C391FDB" w:rsidR="00B03CB5" w:rsidRPr="00FC1C48" w:rsidRDefault="00982744" w:rsidP="00942493">
      <w:pPr>
        <w:numPr>
          <w:ilvl w:val="1"/>
          <w:numId w:val="24"/>
        </w:numPr>
        <w:spacing w:after="240"/>
        <w:ind w:left="1418" w:hanging="698"/>
        <w:outlineLvl w:val="1"/>
        <w:rPr>
          <w:lang w:val="fr-FR"/>
        </w:rPr>
      </w:pPr>
      <w:r w:rsidRPr="00982744">
        <w:rPr>
          <w:lang w:val="fr-FR"/>
        </w:rPr>
        <w:t>De prendre note du rapport périodique présenté par le PNUE au nom du Gouvernement du Qatar sur la mise en œuvre des engagements énoncés dans la décision 88/54</w:t>
      </w:r>
      <w:r>
        <w:rPr>
          <w:lang w:val="fr-FR"/>
        </w:rPr>
        <w:t> </w:t>
      </w:r>
      <w:r w:rsidRPr="00982744">
        <w:rPr>
          <w:lang w:val="fr-FR"/>
        </w:rPr>
        <w:t>e)</w:t>
      </w:r>
      <w:r>
        <w:rPr>
          <w:lang w:val="fr-FR"/>
        </w:rPr>
        <w:t> </w:t>
      </w:r>
      <w:r w:rsidRPr="00982744">
        <w:rPr>
          <w:lang w:val="fr-FR"/>
        </w:rPr>
        <w:t>i), ii) et iii) dans le cadre de la phase</w:t>
      </w:r>
      <w:r w:rsidR="00FE764C">
        <w:rPr>
          <w:lang w:val="fr-FR"/>
        </w:rPr>
        <w:t> </w:t>
      </w:r>
      <w:r w:rsidRPr="00982744">
        <w:rPr>
          <w:lang w:val="fr-FR"/>
        </w:rPr>
        <w:t>II du plan de gestion de l</w:t>
      </w:r>
      <w:r w:rsidR="00511F20">
        <w:rPr>
          <w:lang w:val="fr-FR"/>
        </w:rPr>
        <w:t>’</w:t>
      </w:r>
      <w:r w:rsidRPr="00982744">
        <w:rPr>
          <w:lang w:val="fr-FR"/>
        </w:rPr>
        <w:t>élimination progressive des HCFC pour le Qatar</w:t>
      </w:r>
      <w:r>
        <w:rPr>
          <w:lang w:val="fr-FR"/>
        </w:rPr>
        <w:t> </w:t>
      </w:r>
      <w:r w:rsidR="00B03CB5" w:rsidRPr="00FC1C48">
        <w:rPr>
          <w:lang w:val="fr-FR"/>
        </w:rPr>
        <w:t>;</w:t>
      </w:r>
    </w:p>
    <w:p w14:paraId="7DF2AE87" w14:textId="4E5050CF" w:rsidR="00B03CB5" w:rsidRPr="00FC1C48" w:rsidRDefault="00384B93" w:rsidP="00942493">
      <w:pPr>
        <w:numPr>
          <w:ilvl w:val="1"/>
          <w:numId w:val="24"/>
        </w:numPr>
        <w:spacing w:after="240"/>
        <w:ind w:left="1418" w:hanging="698"/>
        <w:outlineLvl w:val="1"/>
        <w:rPr>
          <w:lang w:val="fr-FR"/>
        </w:rPr>
      </w:pPr>
      <w:r w:rsidRPr="00384B93">
        <w:rPr>
          <w:lang w:val="fr-FR"/>
        </w:rPr>
        <w:t>Nonobstant la non-réalisation des conditions énoncées dans la décision 88/54</w:t>
      </w:r>
      <w:r>
        <w:rPr>
          <w:lang w:val="fr-FR"/>
        </w:rPr>
        <w:t> </w:t>
      </w:r>
      <w:r w:rsidRPr="00384B93">
        <w:rPr>
          <w:lang w:val="fr-FR"/>
        </w:rPr>
        <w:t>e), et à titre exceptionnel, d</w:t>
      </w:r>
      <w:r w:rsidR="00511F20">
        <w:rPr>
          <w:lang w:val="fr-FR"/>
        </w:rPr>
        <w:t>’</w:t>
      </w:r>
      <w:r w:rsidRPr="00384B93">
        <w:rPr>
          <w:lang w:val="fr-FR"/>
        </w:rPr>
        <w:t>autoriser le Secrétariat à demander au Trésorier de transférer au PNUE 72</w:t>
      </w:r>
      <w:r>
        <w:rPr>
          <w:lang w:val="fr-FR"/>
        </w:rPr>
        <w:t> </w:t>
      </w:r>
      <w:r w:rsidRPr="00384B93">
        <w:rPr>
          <w:lang w:val="fr-FR"/>
        </w:rPr>
        <w:t>250</w:t>
      </w:r>
      <w:r>
        <w:rPr>
          <w:lang w:val="fr-FR"/>
        </w:rPr>
        <w:t> </w:t>
      </w:r>
      <w:r w:rsidRPr="00384B93">
        <w:rPr>
          <w:lang w:val="fr-FR"/>
        </w:rPr>
        <w:t>$US, plus 9</w:t>
      </w:r>
      <w:r>
        <w:rPr>
          <w:lang w:val="fr-FR"/>
        </w:rPr>
        <w:t> </w:t>
      </w:r>
      <w:r w:rsidRPr="00384B93">
        <w:rPr>
          <w:lang w:val="fr-FR"/>
        </w:rPr>
        <w:t>393</w:t>
      </w:r>
      <w:r>
        <w:rPr>
          <w:lang w:val="fr-FR"/>
        </w:rPr>
        <w:t> </w:t>
      </w:r>
      <w:r w:rsidRPr="00384B93">
        <w:rPr>
          <w:lang w:val="fr-FR"/>
        </w:rPr>
        <w:t>$US de coûts d</w:t>
      </w:r>
      <w:r w:rsidR="00511F20">
        <w:rPr>
          <w:lang w:val="fr-FR"/>
        </w:rPr>
        <w:t>’</w:t>
      </w:r>
      <w:r w:rsidRPr="00384B93">
        <w:rPr>
          <w:lang w:val="fr-FR"/>
        </w:rPr>
        <w:t>appui d</w:t>
      </w:r>
      <w:r w:rsidR="00511F20">
        <w:rPr>
          <w:lang w:val="fr-FR"/>
        </w:rPr>
        <w:t>’</w:t>
      </w:r>
      <w:r w:rsidRPr="00384B93">
        <w:rPr>
          <w:lang w:val="fr-FR"/>
        </w:rPr>
        <w:t>agence, soit la moitié du financement approuvé pour le PNUE au titre de la deuxième tranche de la phase</w:t>
      </w:r>
      <w:r>
        <w:rPr>
          <w:lang w:val="fr-FR"/>
        </w:rPr>
        <w:t> </w:t>
      </w:r>
      <w:r w:rsidRPr="00384B93">
        <w:rPr>
          <w:lang w:val="fr-FR"/>
        </w:rPr>
        <w:t>II du PGEH pour le Qatar détenue par le Trésorier conformément à la décision</w:t>
      </w:r>
      <w:r w:rsidR="006E7F14">
        <w:rPr>
          <w:lang w:val="fr-FR"/>
        </w:rPr>
        <w:t> </w:t>
      </w:r>
      <w:r w:rsidRPr="00384B93">
        <w:rPr>
          <w:lang w:val="fr-FR"/>
        </w:rPr>
        <w:t>93/36</w:t>
      </w:r>
      <w:r>
        <w:rPr>
          <w:lang w:val="fr-FR"/>
        </w:rPr>
        <w:t> </w:t>
      </w:r>
      <w:r w:rsidR="00B03CB5" w:rsidRPr="00FC1C48">
        <w:rPr>
          <w:lang w:val="fr-FR"/>
        </w:rPr>
        <w:t>;</w:t>
      </w:r>
    </w:p>
    <w:p w14:paraId="621E7ECE" w14:textId="32AF0EC3" w:rsidR="00B03CB5" w:rsidRPr="00FC1C48" w:rsidRDefault="00246455" w:rsidP="00942493">
      <w:pPr>
        <w:numPr>
          <w:ilvl w:val="1"/>
          <w:numId w:val="24"/>
        </w:numPr>
        <w:spacing w:after="240"/>
        <w:ind w:left="1418" w:hanging="698"/>
        <w:outlineLvl w:val="1"/>
        <w:rPr>
          <w:lang w:val="fr-FR"/>
        </w:rPr>
      </w:pPr>
      <w:r w:rsidRPr="00246455">
        <w:rPr>
          <w:lang w:val="fr-FR"/>
        </w:rPr>
        <w:t>De prier le PNUE de présenter à la 98</w:t>
      </w:r>
      <w:r w:rsidRPr="00246455">
        <w:rPr>
          <w:vertAlign w:val="superscript"/>
          <w:lang w:val="fr-FR"/>
        </w:rPr>
        <w:t>e</w:t>
      </w:r>
      <w:r>
        <w:rPr>
          <w:lang w:val="fr-FR"/>
        </w:rPr>
        <w:t> </w:t>
      </w:r>
      <w:r w:rsidRPr="00246455">
        <w:rPr>
          <w:lang w:val="fr-FR"/>
        </w:rPr>
        <w:t>réunion, ou avant celle-ci, un rapport détaillé assorti de jalons précis sur les progrès accomplis en vue de satisfaire aux conditions énoncées dans la décision 88/54</w:t>
      </w:r>
      <w:r>
        <w:rPr>
          <w:lang w:val="fr-FR"/>
        </w:rPr>
        <w:t> </w:t>
      </w:r>
      <w:r w:rsidRPr="00246455">
        <w:rPr>
          <w:lang w:val="fr-FR"/>
        </w:rPr>
        <w:t>e)</w:t>
      </w:r>
      <w:r>
        <w:rPr>
          <w:lang w:val="fr-FR"/>
        </w:rPr>
        <w:t> </w:t>
      </w:r>
      <w:r w:rsidRPr="00246455">
        <w:rPr>
          <w:lang w:val="fr-FR"/>
        </w:rPr>
        <w:t>i), ii) et iii)</w:t>
      </w:r>
      <w:r w:rsidR="003B7EC9">
        <w:rPr>
          <w:lang w:val="fr-FR"/>
        </w:rPr>
        <w:t> </w:t>
      </w:r>
      <w:r w:rsidR="00B03CB5" w:rsidRPr="00FC1C48">
        <w:rPr>
          <w:lang w:val="fr-FR"/>
        </w:rPr>
        <w:t xml:space="preserve">; </w:t>
      </w:r>
    </w:p>
    <w:p w14:paraId="46F39827" w14:textId="0EE0EC5E" w:rsidR="00B03CB5" w:rsidRPr="00FC1C48" w:rsidRDefault="00E02606" w:rsidP="00942493">
      <w:pPr>
        <w:numPr>
          <w:ilvl w:val="1"/>
          <w:numId w:val="24"/>
        </w:numPr>
        <w:spacing w:after="240"/>
        <w:ind w:left="1418" w:hanging="698"/>
        <w:outlineLvl w:val="1"/>
        <w:rPr>
          <w:lang w:val="fr-FR"/>
        </w:rPr>
      </w:pPr>
      <w:r w:rsidRPr="00E02606">
        <w:rPr>
          <w:lang w:val="fr-FR"/>
        </w:rPr>
        <w:t>De prendre note que le financement restant approuvé pour le PNUE au titre de la deuxième tranche de la phase</w:t>
      </w:r>
      <w:r>
        <w:rPr>
          <w:lang w:val="fr-FR"/>
        </w:rPr>
        <w:t> </w:t>
      </w:r>
      <w:r w:rsidRPr="00E02606">
        <w:rPr>
          <w:lang w:val="fr-FR"/>
        </w:rPr>
        <w:t>II du PGEH ne serait transféré par le Trésorier au PNUE qu</w:t>
      </w:r>
      <w:r w:rsidR="00511F20">
        <w:rPr>
          <w:lang w:val="fr-FR"/>
        </w:rPr>
        <w:t>’</w:t>
      </w:r>
      <w:r w:rsidRPr="00E02606">
        <w:rPr>
          <w:lang w:val="fr-FR"/>
        </w:rPr>
        <w:t>après confirmation par le Secrétariat de la mise en œuvre par le pays des engagements énoncés dans la décision 88/54</w:t>
      </w:r>
      <w:r>
        <w:rPr>
          <w:lang w:val="fr-FR"/>
        </w:rPr>
        <w:t> </w:t>
      </w:r>
      <w:r w:rsidRPr="00E02606">
        <w:rPr>
          <w:lang w:val="fr-FR"/>
        </w:rPr>
        <w:t>e)</w:t>
      </w:r>
      <w:r>
        <w:rPr>
          <w:lang w:val="fr-FR"/>
        </w:rPr>
        <w:t> </w:t>
      </w:r>
      <w:r w:rsidRPr="00E02606">
        <w:rPr>
          <w:lang w:val="fr-FR"/>
        </w:rPr>
        <w:t>i), ii) et iii), après quoi l</w:t>
      </w:r>
      <w:r w:rsidR="00511F20">
        <w:rPr>
          <w:lang w:val="fr-FR"/>
        </w:rPr>
        <w:t>’</w:t>
      </w:r>
      <w:r w:rsidRPr="00E02606">
        <w:rPr>
          <w:lang w:val="fr-FR"/>
        </w:rPr>
        <w:t>ONUDI pourrait présenter la demande pour la troisième tranche de la phase</w:t>
      </w:r>
      <w:r>
        <w:rPr>
          <w:lang w:val="fr-FR"/>
        </w:rPr>
        <w:t> </w:t>
      </w:r>
      <w:r w:rsidRPr="00E02606">
        <w:rPr>
          <w:lang w:val="fr-FR"/>
        </w:rPr>
        <w:t>II</w:t>
      </w:r>
      <w:r>
        <w:rPr>
          <w:lang w:val="fr-FR"/>
        </w:rPr>
        <w:t> </w:t>
      </w:r>
      <w:r w:rsidR="00B03CB5" w:rsidRPr="00FC1C48">
        <w:rPr>
          <w:lang w:val="fr-FR"/>
        </w:rPr>
        <w:t>;</w:t>
      </w:r>
    </w:p>
    <w:p w14:paraId="0A20D88D" w14:textId="2C7E5072" w:rsidR="00B03CB5" w:rsidRPr="00FC1C48" w:rsidRDefault="0008712C" w:rsidP="00942493">
      <w:pPr>
        <w:numPr>
          <w:ilvl w:val="1"/>
          <w:numId w:val="24"/>
        </w:numPr>
        <w:spacing w:after="240"/>
        <w:ind w:left="1418" w:hanging="698"/>
        <w:outlineLvl w:val="1"/>
        <w:rPr>
          <w:lang w:val="fr-FR"/>
        </w:rPr>
      </w:pPr>
      <w:r w:rsidRPr="0008712C">
        <w:rPr>
          <w:lang w:val="fr-FR"/>
        </w:rPr>
        <w:t>Si la troisième tranche de la phase</w:t>
      </w:r>
      <w:r>
        <w:rPr>
          <w:lang w:val="fr-FR"/>
        </w:rPr>
        <w:t> </w:t>
      </w:r>
      <w:r w:rsidRPr="0008712C">
        <w:rPr>
          <w:lang w:val="fr-FR"/>
        </w:rPr>
        <w:t>II du PGEH est présentée à la 99</w:t>
      </w:r>
      <w:r w:rsidRPr="0008712C">
        <w:rPr>
          <w:vertAlign w:val="superscript"/>
          <w:lang w:val="fr-FR"/>
        </w:rPr>
        <w:t>e</w:t>
      </w:r>
      <w:r>
        <w:rPr>
          <w:lang w:val="fr-FR"/>
        </w:rPr>
        <w:t> </w:t>
      </w:r>
      <w:r w:rsidRPr="0008712C">
        <w:rPr>
          <w:lang w:val="fr-FR"/>
        </w:rPr>
        <w:t xml:space="preserve">réunion ou ultérieurement, de permettre au </w:t>
      </w:r>
      <w:r>
        <w:rPr>
          <w:lang w:val="fr-FR"/>
        </w:rPr>
        <w:t>s</w:t>
      </w:r>
      <w:r w:rsidRPr="0008712C">
        <w:rPr>
          <w:lang w:val="fr-FR"/>
        </w:rPr>
        <w:t>ecrétariat de recommander de reporter la date d</w:t>
      </w:r>
      <w:r w:rsidR="00511F20">
        <w:rPr>
          <w:lang w:val="fr-FR"/>
        </w:rPr>
        <w:t>’</w:t>
      </w:r>
      <w:r w:rsidRPr="0008712C">
        <w:rPr>
          <w:lang w:val="fr-FR"/>
        </w:rPr>
        <w:t>achèvement de la phase</w:t>
      </w:r>
      <w:r>
        <w:rPr>
          <w:lang w:val="fr-FR"/>
        </w:rPr>
        <w:t> </w:t>
      </w:r>
      <w:r w:rsidRPr="0008712C">
        <w:rPr>
          <w:lang w:val="fr-FR"/>
        </w:rPr>
        <w:t>II, selon qu</w:t>
      </w:r>
      <w:r w:rsidR="00511F20">
        <w:rPr>
          <w:lang w:val="fr-FR"/>
        </w:rPr>
        <w:t>’</w:t>
      </w:r>
      <w:r w:rsidRPr="0008712C">
        <w:rPr>
          <w:lang w:val="fr-FR"/>
        </w:rPr>
        <w:t>il convient, conformément à la décision</w:t>
      </w:r>
      <w:r w:rsidR="00442FA0">
        <w:rPr>
          <w:lang w:val="fr-FR"/>
        </w:rPr>
        <w:t> </w:t>
      </w:r>
      <w:r w:rsidRPr="0008712C">
        <w:rPr>
          <w:lang w:val="fr-FR"/>
        </w:rPr>
        <w:t>82/50</w:t>
      </w:r>
      <w:r w:rsidR="006D235E">
        <w:rPr>
          <w:lang w:val="fr-FR"/>
        </w:rPr>
        <w:t> </w:t>
      </w:r>
      <w:r w:rsidRPr="0008712C">
        <w:rPr>
          <w:lang w:val="fr-FR"/>
        </w:rPr>
        <w:t>; et</w:t>
      </w:r>
    </w:p>
    <w:p w14:paraId="29205E88" w14:textId="4BDFBA87" w:rsidR="00B03CB5" w:rsidRPr="00FC1C48" w:rsidRDefault="005765E9" w:rsidP="00942493">
      <w:pPr>
        <w:numPr>
          <w:ilvl w:val="1"/>
          <w:numId w:val="24"/>
        </w:numPr>
        <w:spacing w:after="240"/>
        <w:ind w:left="1418" w:hanging="698"/>
        <w:outlineLvl w:val="1"/>
        <w:rPr>
          <w:lang w:val="fr-FR"/>
        </w:rPr>
      </w:pPr>
      <w:r w:rsidRPr="005765E9">
        <w:rPr>
          <w:lang w:val="fr-FR"/>
        </w:rPr>
        <w:t>De prendre note en outre que la demande relative à la phase</w:t>
      </w:r>
      <w:r>
        <w:rPr>
          <w:lang w:val="fr-FR"/>
        </w:rPr>
        <w:t> </w:t>
      </w:r>
      <w:r w:rsidRPr="005765E9">
        <w:rPr>
          <w:lang w:val="fr-FR"/>
        </w:rPr>
        <w:t>III du PGEH ne serait pas présentée tant que tous les engagements prévus dans la décision 88/54</w:t>
      </w:r>
      <w:r>
        <w:rPr>
          <w:lang w:val="fr-FR"/>
        </w:rPr>
        <w:t> </w:t>
      </w:r>
      <w:r w:rsidRPr="005765E9">
        <w:rPr>
          <w:lang w:val="fr-FR"/>
        </w:rPr>
        <w:t xml:space="preserve">e) </w:t>
      </w:r>
      <w:r w:rsidR="00EB1484">
        <w:rPr>
          <w:lang w:val="fr-FR"/>
        </w:rPr>
        <w:t xml:space="preserve">n’auront </w:t>
      </w:r>
      <w:r w:rsidRPr="005765E9">
        <w:rPr>
          <w:lang w:val="fr-FR"/>
        </w:rPr>
        <w:t>pas été mis en œuvre.</w:t>
      </w:r>
    </w:p>
    <w:p w14:paraId="273428F8" w14:textId="77777777" w:rsidR="00E85409" w:rsidRPr="00FC1C48" w:rsidRDefault="00E85409" w:rsidP="004E7F9C">
      <w:pPr>
        <w:rPr>
          <w:lang w:val="fr-FR"/>
        </w:rPr>
      </w:pPr>
    </w:p>
    <w:p w14:paraId="17147DA0" w14:textId="77777777" w:rsidR="00E85409" w:rsidRPr="00FC1C48" w:rsidRDefault="00E85409" w:rsidP="004E7F9C">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F3DBD" w14:paraId="5F7FCED8" w14:textId="77777777" w:rsidTr="00FB077C">
        <w:tc>
          <w:tcPr>
            <w:tcW w:w="1915" w:type="dxa"/>
          </w:tcPr>
          <w:p w14:paraId="08241A33" w14:textId="77777777" w:rsidR="00E85409" w:rsidRPr="00FC1C48" w:rsidRDefault="00E85409" w:rsidP="00FB077C">
            <w:pPr>
              <w:rPr>
                <w:lang w:val="fr-FR"/>
              </w:rPr>
            </w:pPr>
          </w:p>
        </w:tc>
        <w:tc>
          <w:tcPr>
            <w:tcW w:w="1915" w:type="dxa"/>
          </w:tcPr>
          <w:p w14:paraId="6C0DDD68" w14:textId="77777777" w:rsidR="00E85409" w:rsidRPr="00FC1C48" w:rsidRDefault="00E85409" w:rsidP="00FB077C">
            <w:pPr>
              <w:rPr>
                <w:lang w:val="fr-FR"/>
              </w:rPr>
            </w:pPr>
          </w:p>
        </w:tc>
        <w:tc>
          <w:tcPr>
            <w:tcW w:w="1915" w:type="dxa"/>
            <w:tcBorders>
              <w:bottom w:val="single" w:sz="4" w:space="0" w:color="auto"/>
            </w:tcBorders>
          </w:tcPr>
          <w:p w14:paraId="6AF3D88A" w14:textId="77777777" w:rsidR="00E85409" w:rsidRPr="00FC1C48" w:rsidRDefault="00E85409" w:rsidP="00FB077C">
            <w:pPr>
              <w:rPr>
                <w:lang w:val="fr-FR"/>
              </w:rPr>
            </w:pPr>
          </w:p>
        </w:tc>
        <w:tc>
          <w:tcPr>
            <w:tcW w:w="1915" w:type="dxa"/>
          </w:tcPr>
          <w:p w14:paraId="27C7066B" w14:textId="77777777" w:rsidR="00E85409" w:rsidRPr="00FC1C48" w:rsidRDefault="00E85409" w:rsidP="00FB077C">
            <w:pPr>
              <w:rPr>
                <w:lang w:val="fr-FR"/>
              </w:rPr>
            </w:pPr>
          </w:p>
        </w:tc>
        <w:tc>
          <w:tcPr>
            <w:tcW w:w="1916" w:type="dxa"/>
          </w:tcPr>
          <w:p w14:paraId="194DFA16" w14:textId="77777777" w:rsidR="00E85409" w:rsidRPr="00FC1C48" w:rsidRDefault="00E85409" w:rsidP="00FB077C">
            <w:pPr>
              <w:rPr>
                <w:lang w:val="fr-FR"/>
              </w:rPr>
            </w:pPr>
          </w:p>
        </w:tc>
      </w:tr>
    </w:tbl>
    <w:p w14:paraId="452F1ECB" w14:textId="77777777" w:rsidR="00E85409" w:rsidRPr="00FC1C48" w:rsidRDefault="00E85409" w:rsidP="004E7F9C">
      <w:pPr>
        <w:rPr>
          <w:lang w:val="fr-FR"/>
        </w:rPr>
      </w:pPr>
    </w:p>
    <w:sectPr w:rsidR="00E85409" w:rsidRPr="00FC1C48" w:rsidSect="00CB1DBA">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5EE5B" w14:textId="77777777" w:rsidR="00777627" w:rsidRDefault="00777627" w:rsidP="004A504B">
      <w:r>
        <w:separator/>
      </w:r>
    </w:p>
  </w:endnote>
  <w:endnote w:type="continuationSeparator" w:id="0">
    <w:p w14:paraId="1AAE840B" w14:textId="77777777" w:rsidR="00777627" w:rsidRDefault="0077762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BFDD7" w14:textId="6EA3C9D1" w:rsidR="00A951A0" w:rsidRPr="00103AB1" w:rsidRDefault="00A951A0" w:rsidP="00A951A0">
    <w:pPr>
      <w:pBdr>
        <w:top w:val="single" w:sz="4" w:space="1" w:color="auto"/>
        <w:left w:val="single" w:sz="4" w:space="4" w:color="auto"/>
        <w:bottom w:val="single" w:sz="4" w:space="1" w:color="auto"/>
        <w:right w:val="single" w:sz="4" w:space="4" w:color="auto"/>
      </w:pBdr>
      <w:jc w:val="center"/>
      <w:rPr>
        <w:sz w:val="18"/>
        <w:szCs w:val="18"/>
        <w:lang w:val="fr-FR"/>
      </w:rPr>
    </w:pPr>
    <w:r w:rsidRPr="008E621D">
      <w:rPr>
        <w:rFonts w:cs="MS Serif"/>
        <w:sz w:val="18"/>
        <w:szCs w:val="18"/>
        <w:lang w:val="fr-FR"/>
      </w:rPr>
      <w:t>Les documents de présession du Comité exécutif du Fonds multilatéral aux fins d</w:t>
    </w:r>
    <w:r w:rsidR="00511F20">
      <w:rPr>
        <w:rFonts w:cs="MS Serif"/>
        <w:sz w:val="18"/>
        <w:szCs w:val="18"/>
        <w:lang w:val="fr-FR"/>
      </w:rPr>
      <w:t>’</w:t>
    </w:r>
    <w:r w:rsidRPr="008E621D">
      <w:rPr>
        <w:rFonts w:cs="MS Serif"/>
        <w:sz w:val="18"/>
        <w:szCs w:val="18"/>
        <w:lang w:val="fr-FR"/>
      </w:rPr>
      <w:t>application du Protocole de Montréal sont présentés sous réserve des décisions pouvant être prises par le Comité exécutif après leur publication.</w:t>
    </w:r>
  </w:p>
  <w:p w14:paraId="0FF4C129" w14:textId="176F6E91" w:rsidR="004E7F9C" w:rsidRPr="00315191" w:rsidRDefault="004E7F9C" w:rsidP="00A951A0">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07775" w14:textId="77777777" w:rsidR="00777627" w:rsidRDefault="00777627" w:rsidP="004A504B">
      <w:r>
        <w:separator/>
      </w:r>
    </w:p>
  </w:footnote>
  <w:footnote w:type="continuationSeparator" w:id="0">
    <w:p w14:paraId="29FB47AF" w14:textId="77777777" w:rsidR="00777627" w:rsidRDefault="00777627" w:rsidP="004A504B">
      <w:r>
        <w:continuationSeparator/>
      </w:r>
    </w:p>
  </w:footnote>
  <w:footnote w:id="1">
    <w:p w14:paraId="03919EEA" w14:textId="28C09373" w:rsidR="0079781A" w:rsidRPr="0028391C" w:rsidRDefault="0079781A" w:rsidP="0079781A">
      <w:pPr>
        <w:pStyle w:val="FootnoteText"/>
        <w:rPr>
          <w:lang w:val="fr-FR"/>
        </w:rPr>
      </w:pPr>
      <w:r w:rsidRPr="0028391C">
        <w:rPr>
          <w:rStyle w:val="FootnoteReference"/>
          <w:lang w:val="fr-FR"/>
        </w:rPr>
        <w:footnoteRef/>
      </w:r>
      <w:r w:rsidRPr="0028391C">
        <w:rPr>
          <w:lang w:val="fr-FR"/>
        </w:rPr>
        <w:t xml:space="preserve"> UNEP/OzL.Pro/ExCom/9</w:t>
      </w:r>
      <w:r w:rsidR="008E4905" w:rsidRPr="0028391C">
        <w:rPr>
          <w:lang w:val="fr-FR"/>
        </w:rPr>
        <w:t>7</w:t>
      </w:r>
      <w:r w:rsidRPr="0028391C">
        <w:rPr>
          <w:lang w:val="fr-FR"/>
        </w:rPr>
        <w:t>/1</w:t>
      </w:r>
    </w:p>
  </w:footnote>
  <w:footnote w:id="2">
    <w:p w14:paraId="51146805" w14:textId="2549C818" w:rsidR="00C42624" w:rsidRPr="0028391C" w:rsidRDefault="00C42624" w:rsidP="00D14376">
      <w:pPr>
        <w:pStyle w:val="FootnoteText"/>
        <w:rPr>
          <w:lang w:val="fr-FR"/>
        </w:rPr>
      </w:pPr>
      <w:r w:rsidRPr="0028391C">
        <w:rPr>
          <w:rStyle w:val="FootnoteReference"/>
          <w:lang w:val="fr-FR"/>
        </w:rPr>
        <w:footnoteRef/>
      </w:r>
      <w:r w:rsidRPr="0028391C">
        <w:rPr>
          <w:lang w:val="fr-FR"/>
        </w:rPr>
        <w:t xml:space="preserve"> </w:t>
      </w:r>
      <w:r w:rsidR="00D14376" w:rsidRPr="0028391C">
        <w:rPr>
          <w:lang w:val="fr-FR"/>
        </w:rPr>
        <w:t>Paragraphes</w:t>
      </w:r>
      <w:r w:rsidR="00511F20">
        <w:rPr>
          <w:lang w:val="fr-FR"/>
        </w:rPr>
        <w:t> </w:t>
      </w:r>
      <w:r w:rsidR="00D14376" w:rsidRPr="0028391C">
        <w:rPr>
          <w:lang w:val="fr-FR"/>
        </w:rPr>
        <w:t>3 et 8 du document </w:t>
      </w:r>
      <w:r w:rsidRPr="0028391C">
        <w:rPr>
          <w:lang w:val="fr-FR"/>
        </w:rPr>
        <w:t>UNEP/OzL.Pro/ExCom/96/43</w:t>
      </w:r>
    </w:p>
  </w:footnote>
  <w:footnote w:id="3">
    <w:p w14:paraId="16E758D1" w14:textId="634DC690" w:rsidR="00C42624" w:rsidRPr="0028391C" w:rsidRDefault="00C42624" w:rsidP="00C42624">
      <w:pPr>
        <w:pStyle w:val="FootnoteText"/>
        <w:rPr>
          <w:lang w:val="fr-FR"/>
        </w:rPr>
      </w:pPr>
      <w:r w:rsidRPr="0028391C">
        <w:rPr>
          <w:rStyle w:val="FootnoteReference"/>
          <w:lang w:val="fr-FR"/>
        </w:rPr>
        <w:footnoteRef/>
      </w:r>
      <w:r w:rsidRPr="0028391C">
        <w:rPr>
          <w:lang w:val="fr-FR"/>
        </w:rPr>
        <w:t xml:space="preserve"> </w:t>
      </w:r>
      <w:r w:rsidR="007B302A" w:rsidRPr="007B302A">
        <w:rPr>
          <w:lang w:val="fr-FR"/>
        </w:rPr>
        <w:t>Le mécanisme de rétablissement des sanctions est une disposition de la résolution 2231 du Conseil de sécurité des Nations unies, laquelle a entériné le Plan d</w:t>
      </w:r>
      <w:r w:rsidR="00511F20">
        <w:rPr>
          <w:lang w:val="fr-FR"/>
        </w:rPr>
        <w:t>’</w:t>
      </w:r>
      <w:r w:rsidR="007B302A" w:rsidRPr="007B302A">
        <w:rPr>
          <w:lang w:val="fr-FR"/>
        </w:rPr>
        <w:t>action global conjoint (JCPOA), un accord international conclu en juillet</w:t>
      </w:r>
      <w:r w:rsidR="00181EBC">
        <w:rPr>
          <w:lang w:val="fr-FR"/>
        </w:rPr>
        <w:t> </w:t>
      </w:r>
      <w:r w:rsidR="007B302A" w:rsidRPr="007B302A">
        <w:rPr>
          <w:lang w:val="fr-FR"/>
        </w:rPr>
        <w:t>2015 entre la République islamique d</w:t>
      </w:r>
      <w:r w:rsidR="00511F20">
        <w:rPr>
          <w:lang w:val="fr-FR"/>
        </w:rPr>
        <w:t>’</w:t>
      </w:r>
      <w:r w:rsidR="007B302A" w:rsidRPr="007B302A">
        <w:rPr>
          <w:lang w:val="fr-FR"/>
        </w:rPr>
        <w:t>Iran et les pays du P5+1 (États-Unis, Royaume-Uni, France, Russie, Chine, plus l</w:t>
      </w:r>
      <w:r w:rsidR="00511F20">
        <w:rPr>
          <w:lang w:val="fr-FR"/>
        </w:rPr>
        <w:t>’</w:t>
      </w:r>
      <w:r w:rsidR="007B302A" w:rsidRPr="007B302A">
        <w:rPr>
          <w:lang w:val="fr-FR"/>
        </w:rPr>
        <w:t>Allemagne), ainsi que l</w:t>
      </w:r>
      <w:r w:rsidR="00511F20">
        <w:rPr>
          <w:lang w:val="fr-FR"/>
        </w:rPr>
        <w:t>’</w:t>
      </w:r>
      <w:r w:rsidR="007B302A" w:rsidRPr="007B302A">
        <w:rPr>
          <w:lang w:val="fr-FR"/>
        </w:rPr>
        <w:t>Union européenne, dans le but de limiter le programme nucléaire de la République islamique d</w:t>
      </w:r>
      <w:r w:rsidR="00511F20">
        <w:rPr>
          <w:lang w:val="fr-FR"/>
        </w:rPr>
        <w:t>’</w:t>
      </w:r>
      <w:r w:rsidR="007B302A" w:rsidRPr="007B302A">
        <w:rPr>
          <w:lang w:val="fr-FR"/>
        </w:rPr>
        <w:t>Iran afin de garantir que ce dernier reste pacifique et d</w:t>
      </w:r>
      <w:r w:rsidR="00511F20">
        <w:rPr>
          <w:lang w:val="fr-FR"/>
        </w:rPr>
        <w:t>’</w:t>
      </w:r>
      <w:r w:rsidR="007B302A" w:rsidRPr="007B302A">
        <w:rPr>
          <w:lang w:val="fr-FR"/>
        </w:rPr>
        <w:t>empêcher le développement d</w:t>
      </w:r>
      <w:r w:rsidR="00511F20">
        <w:rPr>
          <w:lang w:val="fr-FR"/>
        </w:rPr>
        <w:t>’</w:t>
      </w:r>
      <w:r w:rsidR="007B302A" w:rsidRPr="007B302A">
        <w:rPr>
          <w:lang w:val="fr-FR"/>
        </w:rPr>
        <w:t>armes nucléaires. L</w:t>
      </w:r>
      <w:r w:rsidR="00511F20">
        <w:rPr>
          <w:lang w:val="fr-FR"/>
        </w:rPr>
        <w:t>’</w:t>
      </w:r>
      <w:r w:rsidR="007B302A" w:rsidRPr="007B302A">
        <w:rPr>
          <w:lang w:val="fr-FR"/>
        </w:rPr>
        <w:t>accord permet à l</w:t>
      </w:r>
      <w:r w:rsidR="00511F20">
        <w:rPr>
          <w:lang w:val="fr-FR"/>
        </w:rPr>
        <w:t>’</w:t>
      </w:r>
      <w:r w:rsidR="007B302A" w:rsidRPr="007B302A">
        <w:rPr>
          <w:lang w:val="fr-FR"/>
        </w:rPr>
        <w:t>une des parties initiales à l</w:t>
      </w:r>
      <w:r w:rsidR="00511F20">
        <w:rPr>
          <w:lang w:val="fr-FR"/>
        </w:rPr>
        <w:t>’</w:t>
      </w:r>
      <w:r w:rsidR="007B302A" w:rsidRPr="007B302A">
        <w:rPr>
          <w:lang w:val="fr-FR"/>
        </w:rPr>
        <w:t>accord (les pays du P5+1) de réimposer toutes les sanctions précédentes de l</w:t>
      </w:r>
      <w:r w:rsidR="00511F20">
        <w:rPr>
          <w:lang w:val="fr-FR"/>
        </w:rPr>
        <w:t>’</w:t>
      </w:r>
      <w:r w:rsidR="007B302A" w:rsidRPr="007B302A">
        <w:rPr>
          <w:lang w:val="fr-FR"/>
        </w:rPr>
        <w:t>ONU si le pays est jugé en «</w:t>
      </w:r>
      <w:r w:rsidR="007B302A">
        <w:rPr>
          <w:lang w:val="fr-FR"/>
        </w:rPr>
        <w:t> </w:t>
      </w:r>
      <w:r w:rsidR="007B302A" w:rsidRPr="007B302A">
        <w:rPr>
          <w:lang w:val="fr-FR"/>
        </w:rPr>
        <w:t>manquement grave</w:t>
      </w:r>
      <w:r w:rsidR="007B302A">
        <w:rPr>
          <w:lang w:val="fr-FR"/>
        </w:rPr>
        <w:t> </w:t>
      </w:r>
      <w:r w:rsidR="007B302A" w:rsidRPr="007B302A">
        <w:rPr>
          <w:lang w:val="fr-FR"/>
        </w:rPr>
        <w:t>» à ses obligations.</w:t>
      </w:r>
    </w:p>
  </w:footnote>
  <w:footnote w:id="4">
    <w:p w14:paraId="59D761EB" w14:textId="0CDF5427" w:rsidR="00B03CB5" w:rsidRPr="0028391C" w:rsidRDefault="00B03CB5" w:rsidP="00B03CB5">
      <w:pPr>
        <w:pStyle w:val="FootnoteText"/>
        <w:rPr>
          <w:lang w:val="fr-FR"/>
        </w:rPr>
      </w:pPr>
      <w:r w:rsidRPr="0028391C">
        <w:rPr>
          <w:rStyle w:val="FootnoteReference"/>
          <w:lang w:val="fr-FR"/>
        </w:rPr>
        <w:footnoteRef/>
      </w:r>
      <w:r w:rsidRPr="0028391C">
        <w:rPr>
          <w:lang w:val="fr-FR"/>
        </w:rPr>
        <w:t xml:space="preserve"> Annex</w:t>
      </w:r>
      <w:r w:rsidR="00CC33C3">
        <w:rPr>
          <w:lang w:val="fr-FR"/>
        </w:rPr>
        <w:t>e </w:t>
      </w:r>
      <w:r w:rsidRPr="0028391C">
        <w:rPr>
          <w:lang w:val="fr-FR"/>
        </w:rPr>
        <w:t xml:space="preserve">XIV </w:t>
      </w:r>
      <w:r w:rsidR="00CC33C3">
        <w:rPr>
          <w:lang w:val="fr-FR"/>
        </w:rPr>
        <w:t>du</w:t>
      </w:r>
      <w:r w:rsidRPr="0028391C">
        <w:rPr>
          <w:lang w:val="fr-FR"/>
        </w:rPr>
        <w:t xml:space="preserve"> document</w:t>
      </w:r>
      <w:r w:rsidR="00CC33C3">
        <w:rPr>
          <w:lang w:val="fr-FR"/>
        </w:rPr>
        <w:t> </w:t>
      </w:r>
      <w:r w:rsidRPr="0028391C">
        <w:rPr>
          <w:lang w:val="fr-FR"/>
        </w:rPr>
        <w:t>UNEP/OzL.Pro/ExCom/93/105.</w:t>
      </w:r>
    </w:p>
  </w:footnote>
  <w:footnote w:id="5">
    <w:p w14:paraId="36D45E65" w14:textId="4793D418" w:rsidR="00B03CB5" w:rsidRPr="0028391C" w:rsidRDefault="00B03CB5" w:rsidP="00B03CB5">
      <w:pPr>
        <w:pStyle w:val="FootnoteText"/>
        <w:rPr>
          <w:lang w:val="fr-FR"/>
        </w:rPr>
      </w:pPr>
      <w:r w:rsidRPr="0028391C">
        <w:rPr>
          <w:rStyle w:val="FootnoteReference"/>
          <w:lang w:val="fr-FR"/>
        </w:rPr>
        <w:footnoteRef/>
      </w:r>
      <w:r w:rsidRPr="0028391C">
        <w:rPr>
          <w:lang w:val="fr-FR"/>
        </w:rPr>
        <w:t xml:space="preserve"> </w:t>
      </w:r>
      <w:r w:rsidR="00DD2E9A" w:rsidRPr="00DD2E9A">
        <w:rPr>
          <w:lang w:val="fr-FR"/>
        </w:rPr>
        <w:t>Un système de délivrance électronique des licences, tel que requis par la décision 88/54</w:t>
      </w:r>
      <w:r w:rsidR="00DD2E9A">
        <w:rPr>
          <w:lang w:val="fr-FR"/>
        </w:rPr>
        <w:t> </w:t>
      </w:r>
      <w:r w:rsidR="00DD2E9A" w:rsidRPr="00DD2E9A">
        <w:rPr>
          <w:lang w:val="fr-FR"/>
        </w:rPr>
        <w:t>e</w:t>
      </w:r>
      <w:r w:rsidR="00DD2E9A">
        <w:rPr>
          <w:lang w:val="fr-FR"/>
        </w:rPr>
        <w:t> </w:t>
      </w:r>
      <w:r w:rsidR="00DD2E9A" w:rsidRPr="00DD2E9A">
        <w:rPr>
          <w:lang w:val="fr-FR"/>
        </w:rPr>
        <w:t>iv), est déjà en place.</w:t>
      </w:r>
    </w:p>
  </w:footnote>
  <w:footnote w:id="6">
    <w:p w14:paraId="0C36235C" w14:textId="77777777" w:rsidR="00B03CB5" w:rsidRPr="0028391C" w:rsidRDefault="00B03CB5" w:rsidP="00B03CB5">
      <w:pPr>
        <w:pStyle w:val="FootnoteText"/>
        <w:rPr>
          <w:lang w:val="fr-FR"/>
        </w:rPr>
      </w:pPr>
      <w:r w:rsidRPr="0028391C">
        <w:rPr>
          <w:rStyle w:val="FootnoteReference"/>
          <w:lang w:val="fr-FR"/>
        </w:rPr>
        <w:footnoteRef/>
      </w:r>
      <w:r w:rsidRPr="0028391C">
        <w:rPr>
          <w:lang w:val="fr-FR"/>
        </w:rPr>
        <w:t xml:space="preserve"> </w:t>
      </w:r>
      <w:hyperlink r:id="rId1" w:history="1">
        <w:r w:rsidRPr="0028391C">
          <w:rPr>
            <w:rStyle w:val="Hyperlink"/>
            <w:lang w:val="fr-FR"/>
          </w:rPr>
          <w:t>https://rdlprogram.org/</w:t>
        </w:r>
      </w:hyperlink>
      <w:r w:rsidRPr="0028391C">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417866E7" w:rsidR="00DC6A10" w:rsidRPr="0033525D" w:rsidRDefault="00661140">
    <w:fldSimple w:instr=" DOCPROPERTY &quot;Document number&quot;  \* MERGEFORMAT ">
      <w:r w:rsidR="00315191">
        <w:t>UNEP/OzL.Pro/ExCom/97/18</w:t>
      </w:r>
    </w:fldSimple>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404F2E8F" w:rsidR="00DC6A10" w:rsidRPr="0033525D" w:rsidRDefault="00661140">
    <w:pPr>
      <w:jc w:val="right"/>
    </w:pPr>
    <w:fldSimple w:instr=" DOCPROPERTY &quot;Document number&quot;  \* MERGEFORMAT ">
      <w:r w:rsidR="00315191">
        <w:t>UNEP/OzL.Pro/ExCom/97/18</w:t>
      </w:r>
    </w:fldSimple>
  </w:p>
  <w:p w14:paraId="206883EF" w14:textId="77777777" w:rsidR="00DC6A10" w:rsidRPr="0033525D" w:rsidRDefault="00DC6A10"/>
  <w:p w14:paraId="649A1F7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BACEA2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E1A5A47"/>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4AF4CF8"/>
    <w:multiLevelType w:val="hybridMultilevel"/>
    <w:tmpl w:val="18609E1A"/>
    <w:lvl w:ilvl="0" w:tplc="4A38CEDA">
      <w:start w:val="1"/>
      <w:numFmt w:val="upperLetter"/>
      <w:lvlText w:val="%1."/>
      <w:lvlJc w:val="left"/>
      <w:pPr>
        <w:ind w:left="246" w:hanging="360"/>
      </w:pPr>
      <w:rPr>
        <w:rFonts w:hint="default"/>
        <w:b/>
      </w:rPr>
    </w:lvl>
    <w:lvl w:ilvl="1" w:tplc="08090019" w:tentative="1">
      <w:start w:val="1"/>
      <w:numFmt w:val="lowerLetter"/>
      <w:lvlText w:val="%2."/>
      <w:lvlJc w:val="left"/>
      <w:pPr>
        <w:ind w:left="966" w:hanging="360"/>
      </w:pPr>
    </w:lvl>
    <w:lvl w:ilvl="2" w:tplc="0809001B" w:tentative="1">
      <w:start w:val="1"/>
      <w:numFmt w:val="lowerRoman"/>
      <w:lvlText w:val="%3."/>
      <w:lvlJc w:val="right"/>
      <w:pPr>
        <w:ind w:left="1686" w:hanging="180"/>
      </w:pPr>
    </w:lvl>
    <w:lvl w:ilvl="3" w:tplc="0809000F" w:tentative="1">
      <w:start w:val="1"/>
      <w:numFmt w:val="decimal"/>
      <w:lvlText w:val="%4."/>
      <w:lvlJc w:val="left"/>
      <w:pPr>
        <w:ind w:left="2406" w:hanging="360"/>
      </w:pPr>
    </w:lvl>
    <w:lvl w:ilvl="4" w:tplc="08090019" w:tentative="1">
      <w:start w:val="1"/>
      <w:numFmt w:val="lowerLetter"/>
      <w:lvlText w:val="%5."/>
      <w:lvlJc w:val="left"/>
      <w:pPr>
        <w:ind w:left="3126" w:hanging="360"/>
      </w:pPr>
    </w:lvl>
    <w:lvl w:ilvl="5" w:tplc="0809001B" w:tentative="1">
      <w:start w:val="1"/>
      <w:numFmt w:val="lowerRoman"/>
      <w:lvlText w:val="%6."/>
      <w:lvlJc w:val="right"/>
      <w:pPr>
        <w:ind w:left="3846" w:hanging="180"/>
      </w:pPr>
    </w:lvl>
    <w:lvl w:ilvl="6" w:tplc="0809000F" w:tentative="1">
      <w:start w:val="1"/>
      <w:numFmt w:val="decimal"/>
      <w:lvlText w:val="%7."/>
      <w:lvlJc w:val="left"/>
      <w:pPr>
        <w:ind w:left="4566" w:hanging="360"/>
      </w:pPr>
    </w:lvl>
    <w:lvl w:ilvl="7" w:tplc="08090019" w:tentative="1">
      <w:start w:val="1"/>
      <w:numFmt w:val="lowerLetter"/>
      <w:lvlText w:val="%8."/>
      <w:lvlJc w:val="left"/>
      <w:pPr>
        <w:ind w:left="5286" w:hanging="360"/>
      </w:pPr>
    </w:lvl>
    <w:lvl w:ilvl="8" w:tplc="0809001B" w:tentative="1">
      <w:start w:val="1"/>
      <w:numFmt w:val="lowerRoman"/>
      <w:lvlText w:val="%9."/>
      <w:lvlJc w:val="right"/>
      <w:pPr>
        <w:ind w:left="6006" w:hanging="180"/>
      </w:pPr>
    </w:lvl>
  </w:abstractNum>
  <w:abstractNum w:abstractNumId="17" w15:restartNumberingAfterBreak="0">
    <w:nsid w:val="69FD538C"/>
    <w:multiLevelType w:val="hybridMultilevel"/>
    <w:tmpl w:val="719ABECE"/>
    <w:lvl w:ilvl="0" w:tplc="3E467D40">
      <w:start w:val="1"/>
      <w:numFmt w:val="upp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27D6840"/>
    <w:multiLevelType w:val="multilevel"/>
    <w:tmpl w:val="52EA6600"/>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3141EAA"/>
    <w:multiLevelType w:val="multilevel"/>
    <w:tmpl w:val="DC74F98C"/>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20"/>
  </w:num>
  <w:num w:numId="20" w16cid:durableId="444007775">
    <w:abstractNumId w:val="13"/>
  </w:num>
  <w:num w:numId="21" w16cid:durableId="2137481371">
    <w:abstractNumId w:val="13"/>
    <w:lvlOverride w:ilvl="0">
      <w:startOverride w:val="1"/>
    </w:lvlOverride>
  </w:num>
  <w:num w:numId="22" w16cid:durableId="1017774931">
    <w:abstractNumId w:val="12"/>
  </w:num>
  <w:num w:numId="23" w16cid:durableId="342047548">
    <w:abstractNumId w:val="16"/>
  </w:num>
  <w:num w:numId="24" w16cid:durableId="695500159">
    <w:abstractNumId w:val="19"/>
  </w:num>
  <w:num w:numId="25" w16cid:durableId="1195272039">
    <w:abstractNumId w:val="17"/>
  </w:num>
  <w:num w:numId="26" w16cid:durableId="69920844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3139"/>
    <w:rsid w:val="0000434E"/>
    <w:rsid w:val="000211A9"/>
    <w:rsid w:val="00021238"/>
    <w:rsid w:val="00022071"/>
    <w:rsid w:val="00022B68"/>
    <w:rsid w:val="000255B0"/>
    <w:rsid w:val="00031260"/>
    <w:rsid w:val="0003681A"/>
    <w:rsid w:val="000372B7"/>
    <w:rsid w:val="00037BDD"/>
    <w:rsid w:val="000429E3"/>
    <w:rsid w:val="00050017"/>
    <w:rsid w:val="00050F6E"/>
    <w:rsid w:val="00057E3B"/>
    <w:rsid w:val="00061EC2"/>
    <w:rsid w:val="000628C1"/>
    <w:rsid w:val="00064B69"/>
    <w:rsid w:val="00066CE8"/>
    <w:rsid w:val="00072F47"/>
    <w:rsid w:val="0007439C"/>
    <w:rsid w:val="00080ED0"/>
    <w:rsid w:val="0008523F"/>
    <w:rsid w:val="00085B8F"/>
    <w:rsid w:val="0008712C"/>
    <w:rsid w:val="00090481"/>
    <w:rsid w:val="000A3826"/>
    <w:rsid w:val="000A6C26"/>
    <w:rsid w:val="000B36C8"/>
    <w:rsid w:val="000B65FD"/>
    <w:rsid w:val="000D52A4"/>
    <w:rsid w:val="000D7468"/>
    <w:rsid w:val="000E07BC"/>
    <w:rsid w:val="000E2E21"/>
    <w:rsid w:val="000E5A19"/>
    <w:rsid w:val="000F1CD4"/>
    <w:rsid w:val="000F4103"/>
    <w:rsid w:val="000F504D"/>
    <w:rsid w:val="000F70A7"/>
    <w:rsid w:val="000F7C43"/>
    <w:rsid w:val="00103D75"/>
    <w:rsid w:val="001047CC"/>
    <w:rsid w:val="00107A3F"/>
    <w:rsid w:val="00113CCA"/>
    <w:rsid w:val="00122F25"/>
    <w:rsid w:val="00126859"/>
    <w:rsid w:val="00131FE9"/>
    <w:rsid w:val="00135980"/>
    <w:rsid w:val="0013786F"/>
    <w:rsid w:val="00143DEE"/>
    <w:rsid w:val="00146A35"/>
    <w:rsid w:val="00146B32"/>
    <w:rsid w:val="00147340"/>
    <w:rsid w:val="001541EB"/>
    <w:rsid w:val="00157D02"/>
    <w:rsid w:val="00161821"/>
    <w:rsid w:val="00164719"/>
    <w:rsid w:val="00166A3F"/>
    <w:rsid w:val="00166FC1"/>
    <w:rsid w:val="00166FC4"/>
    <w:rsid w:val="001677AC"/>
    <w:rsid w:val="00176B46"/>
    <w:rsid w:val="001804EA"/>
    <w:rsid w:val="00180CC4"/>
    <w:rsid w:val="0018132B"/>
    <w:rsid w:val="00181EBC"/>
    <w:rsid w:val="00186784"/>
    <w:rsid w:val="00190A61"/>
    <w:rsid w:val="00195F4B"/>
    <w:rsid w:val="00197179"/>
    <w:rsid w:val="001A2215"/>
    <w:rsid w:val="001A2CB4"/>
    <w:rsid w:val="001A3342"/>
    <w:rsid w:val="001A3E3D"/>
    <w:rsid w:val="001A52E8"/>
    <w:rsid w:val="001A7049"/>
    <w:rsid w:val="001B1E40"/>
    <w:rsid w:val="001C764E"/>
    <w:rsid w:val="001E1052"/>
    <w:rsid w:val="001E21B1"/>
    <w:rsid w:val="001E27E4"/>
    <w:rsid w:val="001E2A63"/>
    <w:rsid w:val="001E2F93"/>
    <w:rsid w:val="001E4554"/>
    <w:rsid w:val="001E4B54"/>
    <w:rsid w:val="001E61E5"/>
    <w:rsid w:val="001F2159"/>
    <w:rsid w:val="001F26BD"/>
    <w:rsid w:val="001F53FD"/>
    <w:rsid w:val="0020123C"/>
    <w:rsid w:val="002024B6"/>
    <w:rsid w:val="00206ADB"/>
    <w:rsid w:val="00207241"/>
    <w:rsid w:val="00210B8B"/>
    <w:rsid w:val="00214863"/>
    <w:rsid w:val="002156B4"/>
    <w:rsid w:val="00224FCD"/>
    <w:rsid w:val="0022770B"/>
    <w:rsid w:val="00243AC6"/>
    <w:rsid w:val="00246455"/>
    <w:rsid w:val="00247A0F"/>
    <w:rsid w:val="00253222"/>
    <w:rsid w:val="00257A5B"/>
    <w:rsid w:val="00260E0B"/>
    <w:rsid w:val="00261C13"/>
    <w:rsid w:val="00262847"/>
    <w:rsid w:val="00281BB2"/>
    <w:rsid w:val="0028391C"/>
    <w:rsid w:val="002849E0"/>
    <w:rsid w:val="00287A75"/>
    <w:rsid w:val="00294A23"/>
    <w:rsid w:val="00294D79"/>
    <w:rsid w:val="002A03C3"/>
    <w:rsid w:val="002A21B7"/>
    <w:rsid w:val="002A4A1B"/>
    <w:rsid w:val="002B254E"/>
    <w:rsid w:val="002B4CE8"/>
    <w:rsid w:val="002B72E9"/>
    <w:rsid w:val="002C32FC"/>
    <w:rsid w:val="002C5A93"/>
    <w:rsid w:val="002C7998"/>
    <w:rsid w:val="002D7683"/>
    <w:rsid w:val="002D768C"/>
    <w:rsid w:val="002E01C7"/>
    <w:rsid w:val="002E764C"/>
    <w:rsid w:val="002F1E53"/>
    <w:rsid w:val="002F2CAA"/>
    <w:rsid w:val="002F3DBD"/>
    <w:rsid w:val="002F7757"/>
    <w:rsid w:val="0030052C"/>
    <w:rsid w:val="00311E25"/>
    <w:rsid w:val="00314F56"/>
    <w:rsid w:val="00315191"/>
    <w:rsid w:val="0032530C"/>
    <w:rsid w:val="003306E1"/>
    <w:rsid w:val="0033163B"/>
    <w:rsid w:val="003320E4"/>
    <w:rsid w:val="0033525D"/>
    <w:rsid w:val="00335734"/>
    <w:rsid w:val="003414F3"/>
    <w:rsid w:val="00341B04"/>
    <w:rsid w:val="003509C4"/>
    <w:rsid w:val="0035613E"/>
    <w:rsid w:val="00356308"/>
    <w:rsid w:val="00357616"/>
    <w:rsid w:val="00363EE9"/>
    <w:rsid w:val="0037061B"/>
    <w:rsid w:val="00371252"/>
    <w:rsid w:val="00376128"/>
    <w:rsid w:val="0037742E"/>
    <w:rsid w:val="00377D56"/>
    <w:rsid w:val="0038245A"/>
    <w:rsid w:val="003840E6"/>
    <w:rsid w:val="00384B93"/>
    <w:rsid w:val="00385CFC"/>
    <w:rsid w:val="0039337A"/>
    <w:rsid w:val="0039764E"/>
    <w:rsid w:val="003A3189"/>
    <w:rsid w:val="003A3CA7"/>
    <w:rsid w:val="003B33BD"/>
    <w:rsid w:val="003B569D"/>
    <w:rsid w:val="003B7EC9"/>
    <w:rsid w:val="003C2AFA"/>
    <w:rsid w:val="003C3C0E"/>
    <w:rsid w:val="003D42A6"/>
    <w:rsid w:val="003D4F21"/>
    <w:rsid w:val="003D4FAC"/>
    <w:rsid w:val="003E1885"/>
    <w:rsid w:val="003E1BFE"/>
    <w:rsid w:val="003E7906"/>
    <w:rsid w:val="003F000F"/>
    <w:rsid w:val="003F3C50"/>
    <w:rsid w:val="00406202"/>
    <w:rsid w:val="00406A6A"/>
    <w:rsid w:val="00406B22"/>
    <w:rsid w:val="00407147"/>
    <w:rsid w:val="004078FA"/>
    <w:rsid w:val="0042258B"/>
    <w:rsid w:val="004275B4"/>
    <w:rsid w:val="0043181E"/>
    <w:rsid w:val="00431E08"/>
    <w:rsid w:val="004328A7"/>
    <w:rsid w:val="00434C74"/>
    <w:rsid w:val="00442FA0"/>
    <w:rsid w:val="00445DA4"/>
    <w:rsid w:val="00456EB4"/>
    <w:rsid w:val="00457827"/>
    <w:rsid w:val="004669BE"/>
    <w:rsid w:val="004718F3"/>
    <w:rsid w:val="00472C81"/>
    <w:rsid w:val="00475040"/>
    <w:rsid w:val="00490C06"/>
    <w:rsid w:val="00492769"/>
    <w:rsid w:val="00493D40"/>
    <w:rsid w:val="00493EE3"/>
    <w:rsid w:val="004967B6"/>
    <w:rsid w:val="004A504B"/>
    <w:rsid w:val="004A6911"/>
    <w:rsid w:val="004B3652"/>
    <w:rsid w:val="004B4B49"/>
    <w:rsid w:val="004B54E0"/>
    <w:rsid w:val="004B7384"/>
    <w:rsid w:val="004C23B9"/>
    <w:rsid w:val="004C4269"/>
    <w:rsid w:val="004D08FB"/>
    <w:rsid w:val="004D6236"/>
    <w:rsid w:val="004D7F90"/>
    <w:rsid w:val="004E4DBB"/>
    <w:rsid w:val="004E4E41"/>
    <w:rsid w:val="004E73DB"/>
    <w:rsid w:val="004E7F9C"/>
    <w:rsid w:val="004F3493"/>
    <w:rsid w:val="004F4818"/>
    <w:rsid w:val="004F5143"/>
    <w:rsid w:val="00502B84"/>
    <w:rsid w:val="00502CCD"/>
    <w:rsid w:val="00504B23"/>
    <w:rsid w:val="00511F20"/>
    <w:rsid w:val="00512B09"/>
    <w:rsid w:val="005220ED"/>
    <w:rsid w:val="00526768"/>
    <w:rsid w:val="00531B9B"/>
    <w:rsid w:val="00533796"/>
    <w:rsid w:val="00537343"/>
    <w:rsid w:val="00545FDB"/>
    <w:rsid w:val="005516F3"/>
    <w:rsid w:val="00553DDE"/>
    <w:rsid w:val="00555D75"/>
    <w:rsid w:val="00560DF0"/>
    <w:rsid w:val="0056697D"/>
    <w:rsid w:val="0056759C"/>
    <w:rsid w:val="005706E3"/>
    <w:rsid w:val="005765E9"/>
    <w:rsid w:val="00576F97"/>
    <w:rsid w:val="00583116"/>
    <w:rsid w:val="00583E0A"/>
    <w:rsid w:val="0059513E"/>
    <w:rsid w:val="005A074D"/>
    <w:rsid w:val="005A6AA4"/>
    <w:rsid w:val="005A6D9F"/>
    <w:rsid w:val="005B1F29"/>
    <w:rsid w:val="005B48FF"/>
    <w:rsid w:val="005C1E32"/>
    <w:rsid w:val="005C23A8"/>
    <w:rsid w:val="005C670D"/>
    <w:rsid w:val="005D363F"/>
    <w:rsid w:val="005D7088"/>
    <w:rsid w:val="005E04BF"/>
    <w:rsid w:val="005E0B8C"/>
    <w:rsid w:val="005E68BE"/>
    <w:rsid w:val="005F2DB8"/>
    <w:rsid w:val="00601FF8"/>
    <w:rsid w:val="00602750"/>
    <w:rsid w:val="006034AF"/>
    <w:rsid w:val="00604C15"/>
    <w:rsid w:val="006158D5"/>
    <w:rsid w:val="00625D83"/>
    <w:rsid w:val="00644E5D"/>
    <w:rsid w:val="0064542F"/>
    <w:rsid w:val="00651984"/>
    <w:rsid w:val="00661140"/>
    <w:rsid w:val="006623E7"/>
    <w:rsid w:val="00662B80"/>
    <w:rsid w:val="00666945"/>
    <w:rsid w:val="00666A72"/>
    <w:rsid w:val="0066768F"/>
    <w:rsid w:val="00670F6C"/>
    <w:rsid w:val="0067135A"/>
    <w:rsid w:val="006730F4"/>
    <w:rsid w:val="0067632C"/>
    <w:rsid w:val="00676E58"/>
    <w:rsid w:val="006773C0"/>
    <w:rsid w:val="00677A2B"/>
    <w:rsid w:val="006822CB"/>
    <w:rsid w:val="006852C7"/>
    <w:rsid w:val="006852CE"/>
    <w:rsid w:val="00692D14"/>
    <w:rsid w:val="00694785"/>
    <w:rsid w:val="00697003"/>
    <w:rsid w:val="006A0423"/>
    <w:rsid w:val="006A43F4"/>
    <w:rsid w:val="006A7A3B"/>
    <w:rsid w:val="006B65C7"/>
    <w:rsid w:val="006C1727"/>
    <w:rsid w:val="006C1C1C"/>
    <w:rsid w:val="006C32FD"/>
    <w:rsid w:val="006C39CE"/>
    <w:rsid w:val="006D02CE"/>
    <w:rsid w:val="006D0FCC"/>
    <w:rsid w:val="006D21F5"/>
    <w:rsid w:val="006D235E"/>
    <w:rsid w:val="006D2E70"/>
    <w:rsid w:val="006D3089"/>
    <w:rsid w:val="006D44C7"/>
    <w:rsid w:val="006D5D21"/>
    <w:rsid w:val="006E0993"/>
    <w:rsid w:val="006E126D"/>
    <w:rsid w:val="006E1FC3"/>
    <w:rsid w:val="006E7F14"/>
    <w:rsid w:val="006F30D6"/>
    <w:rsid w:val="007039FB"/>
    <w:rsid w:val="00704CE9"/>
    <w:rsid w:val="0070616B"/>
    <w:rsid w:val="00706295"/>
    <w:rsid w:val="00706FDA"/>
    <w:rsid w:val="0070709C"/>
    <w:rsid w:val="007117F0"/>
    <w:rsid w:val="00711F9A"/>
    <w:rsid w:val="00713717"/>
    <w:rsid w:val="00713810"/>
    <w:rsid w:val="007303A5"/>
    <w:rsid w:val="0073041F"/>
    <w:rsid w:val="00730B3E"/>
    <w:rsid w:val="0073420B"/>
    <w:rsid w:val="00736367"/>
    <w:rsid w:val="007453AC"/>
    <w:rsid w:val="0074760E"/>
    <w:rsid w:val="007548C4"/>
    <w:rsid w:val="00754ABA"/>
    <w:rsid w:val="007624A2"/>
    <w:rsid w:val="00777627"/>
    <w:rsid w:val="0078038E"/>
    <w:rsid w:val="00782B0D"/>
    <w:rsid w:val="0079781A"/>
    <w:rsid w:val="007A1546"/>
    <w:rsid w:val="007A228C"/>
    <w:rsid w:val="007A368E"/>
    <w:rsid w:val="007A42EC"/>
    <w:rsid w:val="007A5868"/>
    <w:rsid w:val="007B04CE"/>
    <w:rsid w:val="007B1CC7"/>
    <w:rsid w:val="007B2497"/>
    <w:rsid w:val="007B302A"/>
    <w:rsid w:val="007B6871"/>
    <w:rsid w:val="007B7A2F"/>
    <w:rsid w:val="007C0D4E"/>
    <w:rsid w:val="007C2B69"/>
    <w:rsid w:val="007C32EE"/>
    <w:rsid w:val="007C33B4"/>
    <w:rsid w:val="007C3D33"/>
    <w:rsid w:val="007D294A"/>
    <w:rsid w:val="007D47D2"/>
    <w:rsid w:val="007D6EC0"/>
    <w:rsid w:val="007D6EFD"/>
    <w:rsid w:val="007D7E1D"/>
    <w:rsid w:val="007E1183"/>
    <w:rsid w:val="007E503C"/>
    <w:rsid w:val="0080345C"/>
    <w:rsid w:val="00805C06"/>
    <w:rsid w:val="0082522F"/>
    <w:rsid w:val="00831979"/>
    <w:rsid w:val="00851352"/>
    <w:rsid w:val="00857077"/>
    <w:rsid w:val="008613DA"/>
    <w:rsid w:val="00863230"/>
    <w:rsid w:val="00865BD0"/>
    <w:rsid w:val="008717D8"/>
    <w:rsid w:val="0087215C"/>
    <w:rsid w:val="00875D25"/>
    <w:rsid w:val="00876EF5"/>
    <w:rsid w:val="00880E35"/>
    <w:rsid w:val="008875FE"/>
    <w:rsid w:val="00887F8E"/>
    <w:rsid w:val="0089211F"/>
    <w:rsid w:val="00892E81"/>
    <w:rsid w:val="00896234"/>
    <w:rsid w:val="00897906"/>
    <w:rsid w:val="00897E43"/>
    <w:rsid w:val="008A574A"/>
    <w:rsid w:val="008B5753"/>
    <w:rsid w:val="008B5D03"/>
    <w:rsid w:val="008C222B"/>
    <w:rsid w:val="008C5738"/>
    <w:rsid w:val="008C7EAD"/>
    <w:rsid w:val="008D0CFE"/>
    <w:rsid w:val="008D6152"/>
    <w:rsid w:val="008E4905"/>
    <w:rsid w:val="008E7BA9"/>
    <w:rsid w:val="008F0F46"/>
    <w:rsid w:val="008F0F81"/>
    <w:rsid w:val="008F27BF"/>
    <w:rsid w:val="008F2E64"/>
    <w:rsid w:val="008F56AB"/>
    <w:rsid w:val="0091064D"/>
    <w:rsid w:val="00910ED7"/>
    <w:rsid w:val="009114BF"/>
    <w:rsid w:val="00913C8D"/>
    <w:rsid w:val="009142EC"/>
    <w:rsid w:val="009145E4"/>
    <w:rsid w:val="009154C3"/>
    <w:rsid w:val="00923540"/>
    <w:rsid w:val="00926767"/>
    <w:rsid w:val="0092743F"/>
    <w:rsid w:val="009361D5"/>
    <w:rsid w:val="00942493"/>
    <w:rsid w:val="009428A4"/>
    <w:rsid w:val="00946D4F"/>
    <w:rsid w:val="0095321B"/>
    <w:rsid w:val="00956606"/>
    <w:rsid w:val="009659F4"/>
    <w:rsid w:val="00970D60"/>
    <w:rsid w:val="00980C22"/>
    <w:rsid w:val="00982744"/>
    <w:rsid w:val="00984A5F"/>
    <w:rsid w:val="009874D0"/>
    <w:rsid w:val="0099390E"/>
    <w:rsid w:val="009960E5"/>
    <w:rsid w:val="009962CC"/>
    <w:rsid w:val="009A7ADC"/>
    <w:rsid w:val="009B0D30"/>
    <w:rsid w:val="009C19B7"/>
    <w:rsid w:val="009C1C5B"/>
    <w:rsid w:val="009C5ABB"/>
    <w:rsid w:val="009C5EE5"/>
    <w:rsid w:val="009C7594"/>
    <w:rsid w:val="009D4167"/>
    <w:rsid w:val="009D6A66"/>
    <w:rsid w:val="009D7C51"/>
    <w:rsid w:val="009E196C"/>
    <w:rsid w:val="009E25CF"/>
    <w:rsid w:val="009E2EB0"/>
    <w:rsid w:val="009E602D"/>
    <w:rsid w:val="009E6A0A"/>
    <w:rsid w:val="009F36BF"/>
    <w:rsid w:val="009F5D50"/>
    <w:rsid w:val="00A07FB4"/>
    <w:rsid w:val="00A111B6"/>
    <w:rsid w:val="00A149D5"/>
    <w:rsid w:val="00A26D27"/>
    <w:rsid w:val="00A376EE"/>
    <w:rsid w:val="00A42A99"/>
    <w:rsid w:val="00A43D1E"/>
    <w:rsid w:val="00A446CE"/>
    <w:rsid w:val="00A5151A"/>
    <w:rsid w:val="00A570DC"/>
    <w:rsid w:val="00A57E0A"/>
    <w:rsid w:val="00A61A33"/>
    <w:rsid w:val="00A632C0"/>
    <w:rsid w:val="00A709E7"/>
    <w:rsid w:val="00A724C7"/>
    <w:rsid w:val="00A7568E"/>
    <w:rsid w:val="00A77919"/>
    <w:rsid w:val="00A823F6"/>
    <w:rsid w:val="00A86CE9"/>
    <w:rsid w:val="00A86DF2"/>
    <w:rsid w:val="00A8719E"/>
    <w:rsid w:val="00A93A43"/>
    <w:rsid w:val="00A951A0"/>
    <w:rsid w:val="00A95A2F"/>
    <w:rsid w:val="00AA0A89"/>
    <w:rsid w:val="00AA4E12"/>
    <w:rsid w:val="00AA5368"/>
    <w:rsid w:val="00AA60EC"/>
    <w:rsid w:val="00AA6429"/>
    <w:rsid w:val="00AB5055"/>
    <w:rsid w:val="00AC01AA"/>
    <w:rsid w:val="00AC3EE9"/>
    <w:rsid w:val="00AC4F72"/>
    <w:rsid w:val="00AC5041"/>
    <w:rsid w:val="00AC7980"/>
    <w:rsid w:val="00AD5233"/>
    <w:rsid w:val="00AE3780"/>
    <w:rsid w:val="00AE482E"/>
    <w:rsid w:val="00AF1B39"/>
    <w:rsid w:val="00AF741A"/>
    <w:rsid w:val="00B01ADB"/>
    <w:rsid w:val="00B03CB5"/>
    <w:rsid w:val="00B04161"/>
    <w:rsid w:val="00B056F9"/>
    <w:rsid w:val="00B072D3"/>
    <w:rsid w:val="00B11E3D"/>
    <w:rsid w:val="00B14D2C"/>
    <w:rsid w:val="00B17E82"/>
    <w:rsid w:val="00B35FCB"/>
    <w:rsid w:val="00B407A0"/>
    <w:rsid w:val="00B43945"/>
    <w:rsid w:val="00B4575A"/>
    <w:rsid w:val="00B51D38"/>
    <w:rsid w:val="00B523A9"/>
    <w:rsid w:val="00B575BA"/>
    <w:rsid w:val="00B65557"/>
    <w:rsid w:val="00B71608"/>
    <w:rsid w:val="00B7413F"/>
    <w:rsid w:val="00B76429"/>
    <w:rsid w:val="00B819CD"/>
    <w:rsid w:val="00B86471"/>
    <w:rsid w:val="00B90424"/>
    <w:rsid w:val="00B90FD9"/>
    <w:rsid w:val="00B93021"/>
    <w:rsid w:val="00B94615"/>
    <w:rsid w:val="00B956D4"/>
    <w:rsid w:val="00B97446"/>
    <w:rsid w:val="00B976A8"/>
    <w:rsid w:val="00B977F3"/>
    <w:rsid w:val="00BA0BE6"/>
    <w:rsid w:val="00BA1610"/>
    <w:rsid w:val="00BA7432"/>
    <w:rsid w:val="00BB039C"/>
    <w:rsid w:val="00BB2764"/>
    <w:rsid w:val="00BB3C80"/>
    <w:rsid w:val="00BB4E16"/>
    <w:rsid w:val="00BC1AA0"/>
    <w:rsid w:val="00BC2495"/>
    <w:rsid w:val="00BC314A"/>
    <w:rsid w:val="00BC7EB9"/>
    <w:rsid w:val="00BD2643"/>
    <w:rsid w:val="00BD56B1"/>
    <w:rsid w:val="00BD6558"/>
    <w:rsid w:val="00BE7438"/>
    <w:rsid w:val="00BE79F2"/>
    <w:rsid w:val="00BF2AD7"/>
    <w:rsid w:val="00BF2F76"/>
    <w:rsid w:val="00BF3022"/>
    <w:rsid w:val="00BF3214"/>
    <w:rsid w:val="00BF5573"/>
    <w:rsid w:val="00BF612A"/>
    <w:rsid w:val="00BF7A2B"/>
    <w:rsid w:val="00C023BA"/>
    <w:rsid w:val="00C11716"/>
    <w:rsid w:val="00C15867"/>
    <w:rsid w:val="00C17E9E"/>
    <w:rsid w:val="00C22398"/>
    <w:rsid w:val="00C2296D"/>
    <w:rsid w:val="00C23155"/>
    <w:rsid w:val="00C247A5"/>
    <w:rsid w:val="00C40A37"/>
    <w:rsid w:val="00C40C41"/>
    <w:rsid w:val="00C42624"/>
    <w:rsid w:val="00C45885"/>
    <w:rsid w:val="00C47FC4"/>
    <w:rsid w:val="00C50F22"/>
    <w:rsid w:val="00C57971"/>
    <w:rsid w:val="00C65BD7"/>
    <w:rsid w:val="00C65C29"/>
    <w:rsid w:val="00C66C23"/>
    <w:rsid w:val="00C74D42"/>
    <w:rsid w:val="00C76BA4"/>
    <w:rsid w:val="00C813BB"/>
    <w:rsid w:val="00C83A48"/>
    <w:rsid w:val="00C85865"/>
    <w:rsid w:val="00C85E85"/>
    <w:rsid w:val="00C873E2"/>
    <w:rsid w:val="00C90672"/>
    <w:rsid w:val="00C910E2"/>
    <w:rsid w:val="00C926C8"/>
    <w:rsid w:val="00CA2EAE"/>
    <w:rsid w:val="00CA3C85"/>
    <w:rsid w:val="00CA4AC1"/>
    <w:rsid w:val="00CA59FB"/>
    <w:rsid w:val="00CA5EE0"/>
    <w:rsid w:val="00CB0316"/>
    <w:rsid w:val="00CB0B11"/>
    <w:rsid w:val="00CB1DBA"/>
    <w:rsid w:val="00CB426A"/>
    <w:rsid w:val="00CB5201"/>
    <w:rsid w:val="00CB5354"/>
    <w:rsid w:val="00CC33C3"/>
    <w:rsid w:val="00CC3C9E"/>
    <w:rsid w:val="00CC6A14"/>
    <w:rsid w:val="00CC70A3"/>
    <w:rsid w:val="00CC7D32"/>
    <w:rsid w:val="00CD4442"/>
    <w:rsid w:val="00CD4CA7"/>
    <w:rsid w:val="00CD53C3"/>
    <w:rsid w:val="00CD574E"/>
    <w:rsid w:val="00CD68E3"/>
    <w:rsid w:val="00CE2A6E"/>
    <w:rsid w:val="00CE4C22"/>
    <w:rsid w:val="00CE4E8D"/>
    <w:rsid w:val="00CE76E5"/>
    <w:rsid w:val="00CF1D2B"/>
    <w:rsid w:val="00CF1DBB"/>
    <w:rsid w:val="00CF3479"/>
    <w:rsid w:val="00CF41EC"/>
    <w:rsid w:val="00CF5AC8"/>
    <w:rsid w:val="00CF5D04"/>
    <w:rsid w:val="00D024AF"/>
    <w:rsid w:val="00D04DE4"/>
    <w:rsid w:val="00D063F1"/>
    <w:rsid w:val="00D11735"/>
    <w:rsid w:val="00D14376"/>
    <w:rsid w:val="00D14F22"/>
    <w:rsid w:val="00D26D68"/>
    <w:rsid w:val="00D26EF2"/>
    <w:rsid w:val="00D316F6"/>
    <w:rsid w:val="00D41C48"/>
    <w:rsid w:val="00D4741C"/>
    <w:rsid w:val="00D50C3E"/>
    <w:rsid w:val="00D57918"/>
    <w:rsid w:val="00D57DC3"/>
    <w:rsid w:val="00D73DC6"/>
    <w:rsid w:val="00D74C1A"/>
    <w:rsid w:val="00D754C1"/>
    <w:rsid w:val="00D77393"/>
    <w:rsid w:val="00D77A35"/>
    <w:rsid w:val="00D81B3E"/>
    <w:rsid w:val="00D8326A"/>
    <w:rsid w:val="00D83550"/>
    <w:rsid w:val="00D87162"/>
    <w:rsid w:val="00D873D8"/>
    <w:rsid w:val="00D90C70"/>
    <w:rsid w:val="00D90E49"/>
    <w:rsid w:val="00D96ADE"/>
    <w:rsid w:val="00DA0CE2"/>
    <w:rsid w:val="00DA2387"/>
    <w:rsid w:val="00DB1C70"/>
    <w:rsid w:val="00DB21C1"/>
    <w:rsid w:val="00DB429E"/>
    <w:rsid w:val="00DC6A10"/>
    <w:rsid w:val="00DD2E9A"/>
    <w:rsid w:val="00DD4854"/>
    <w:rsid w:val="00DE0733"/>
    <w:rsid w:val="00DE657E"/>
    <w:rsid w:val="00DF4704"/>
    <w:rsid w:val="00E00A26"/>
    <w:rsid w:val="00E024AA"/>
    <w:rsid w:val="00E02606"/>
    <w:rsid w:val="00E03349"/>
    <w:rsid w:val="00E108CA"/>
    <w:rsid w:val="00E130BB"/>
    <w:rsid w:val="00E15C77"/>
    <w:rsid w:val="00E1693E"/>
    <w:rsid w:val="00E23AE4"/>
    <w:rsid w:val="00E250F1"/>
    <w:rsid w:val="00E26BBE"/>
    <w:rsid w:val="00E3550D"/>
    <w:rsid w:val="00E376D3"/>
    <w:rsid w:val="00E41BF5"/>
    <w:rsid w:val="00E4617D"/>
    <w:rsid w:val="00E47417"/>
    <w:rsid w:val="00E52838"/>
    <w:rsid w:val="00E54638"/>
    <w:rsid w:val="00E60017"/>
    <w:rsid w:val="00E60B83"/>
    <w:rsid w:val="00E60C19"/>
    <w:rsid w:val="00E614E0"/>
    <w:rsid w:val="00E643DF"/>
    <w:rsid w:val="00E73F7F"/>
    <w:rsid w:val="00E753E8"/>
    <w:rsid w:val="00E819C1"/>
    <w:rsid w:val="00E84D19"/>
    <w:rsid w:val="00E84D65"/>
    <w:rsid w:val="00E85409"/>
    <w:rsid w:val="00E9339B"/>
    <w:rsid w:val="00EA429F"/>
    <w:rsid w:val="00EA4F9E"/>
    <w:rsid w:val="00EA63CA"/>
    <w:rsid w:val="00EA6D3B"/>
    <w:rsid w:val="00EB00AD"/>
    <w:rsid w:val="00EB136C"/>
    <w:rsid w:val="00EB1484"/>
    <w:rsid w:val="00EB19FB"/>
    <w:rsid w:val="00EB480E"/>
    <w:rsid w:val="00EB5EC6"/>
    <w:rsid w:val="00EB7FC9"/>
    <w:rsid w:val="00EC0C17"/>
    <w:rsid w:val="00EC0D39"/>
    <w:rsid w:val="00ED27E8"/>
    <w:rsid w:val="00ED2BF4"/>
    <w:rsid w:val="00ED7137"/>
    <w:rsid w:val="00EE2FA2"/>
    <w:rsid w:val="00EF06EA"/>
    <w:rsid w:val="00EF65D0"/>
    <w:rsid w:val="00F07604"/>
    <w:rsid w:val="00F10452"/>
    <w:rsid w:val="00F21088"/>
    <w:rsid w:val="00F236F4"/>
    <w:rsid w:val="00F241AD"/>
    <w:rsid w:val="00F25F2E"/>
    <w:rsid w:val="00F326BF"/>
    <w:rsid w:val="00F327E7"/>
    <w:rsid w:val="00F34D0E"/>
    <w:rsid w:val="00F35746"/>
    <w:rsid w:val="00F3590B"/>
    <w:rsid w:val="00F40678"/>
    <w:rsid w:val="00F447C7"/>
    <w:rsid w:val="00F459B4"/>
    <w:rsid w:val="00F5211B"/>
    <w:rsid w:val="00F554A9"/>
    <w:rsid w:val="00F716FD"/>
    <w:rsid w:val="00F80355"/>
    <w:rsid w:val="00F830E1"/>
    <w:rsid w:val="00F87C43"/>
    <w:rsid w:val="00F87C7D"/>
    <w:rsid w:val="00FA5722"/>
    <w:rsid w:val="00FB0C81"/>
    <w:rsid w:val="00FC1C48"/>
    <w:rsid w:val="00FC2200"/>
    <w:rsid w:val="00FC2540"/>
    <w:rsid w:val="00FC5B2E"/>
    <w:rsid w:val="00FE1239"/>
    <w:rsid w:val="00FE4CEE"/>
    <w:rsid w:val="00FE764C"/>
    <w:rsid w:val="00FE7DA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748ADFAD-54B9-45A8-8B59-4D68DA265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2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2"/>
      </w:numPr>
      <w:spacing w:after="240"/>
      <w:outlineLvl w:val="1"/>
    </w:pPr>
  </w:style>
  <w:style w:type="paragraph" w:styleId="Heading3">
    <w:name w:val="heading 3"/>
    <w:aliases w:val="Char"/>
    <w:basedOn w:val="Normal"/>
    <w:next w:val="Normal"/>
    <w:qFormat/>
    <w:rsid w:val="0033525D"/>
    <w:pPr>
      <w:widowControl w:val="0"/>
      <w:numPr>
        <w:ilvl w:val="2"/>
        <w:numId w:val="22"/>
      </w:numPr>
      <w:spacing w:after="240"/>
      <w:outlineLvl w:val="2"/>
    </w:pPr>
  </w:style>
  <w:style w:type="paragraph" w:styleId="Heading4">
    <w:name w:val="heading 4"/>
    <w:aliases w:val="Heading 11"/>
    <w:basedOn w:val="Normal"/>
    <w:next w:val="Heading9"/>
    <w:semiHidden/>
    <w:rsid w:val="007B6871"/>
    <w:pPr>
      <w:keepNext/>
      <w:numPr>
        <w:ilvl w:val="3"/>
        <w:numId w:val="22"/>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2"/>
      </w:numPr>
      <w:spacing w:before="240" w:after="60"/>
      <w:outlineLvl w:val="5"/>
    </w:pPr>
    <w:rPr>
      <w:rFonts w:ascii="Arial" w:hAnsi="Arial"/>
      <w:i/>
    </w:rPr>
  </w:style>
  <w:style w:type="paragraph" w:styleId="Heading7">
    <w:name w:val="heading 7"/>
    <w:basedOn w:val="Normal"/>
    <w:next w:val="Normal"/>
    <w:qFormat/>
    <w:rsid w:val="00A5151A"/>
    <w:pPr>
      <w:numPr>
        <w:ilvl w:val="6"/>
        <w:numId w:val="2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paragraph">
    <w:name w:val="paragraph"/>
    <w:basedOn w:val="Normal"/>
    <w:rsid w:val="00697003"/>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697003"/>
  </w:style>
  <w:style w:type="character" w:customStyle="1" w:styleId="eop">
    <w:name w:val="eop"/>
    <w:basedOn w:val="DefaultParagraphFont"/>
    <w:rsid w:val="00697003"/>
  </w:style>
  <w:style w:type="paragraph" w:styleId="ListParagraph">
    <w:name w:val="List Paragraph"/>
    <w:basedOn w:val="Normal"/>
    <w:uiPriority w:val="34"/>
    <w:qFormat/>
    <w:rsid w:val="00B03CB5"/>
    <w:pPr>
      <w:ind w:left="720"/>
      <w:contextualSpacing/>
    </w:pPr>
    <w:rPr>
      <w:lang w:val="en-GB"/>
    </w:rPr>
  </w:style>
  <w:style w:type="character" w:styleId="Hyperlink">
    <w:name w:val="Hyperlink"/>
    <w:basedOn w:val="DefaultParagraphFont"/>
    <w:uiPriority w:val="99"/>
    <w:unhideWhenUsed/>
    <w:rsid w:val="00B03CB5"/>
    <w:rPr>
      <w:color w:val="0000FF" w:themeColor="hyperlink"/>
      <w:u w:val="single"/>
    </w:rPr>
  </w:style>
  <w:style w:type="paragraph" w:styleId="Revision">
    <w:name w:val="Revision"/>
    <w:hidden/>
    <w:uiPriority w:val="99"/>
    <w:semiHidden/>
    <w:rsid w:val="00D316F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rdlprogra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296E6E2-9D98-4C27-B4A0-C80E33EE1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7</TotalTime>
  <Pages>10</Pages>
  <Words>4848</Words>
  <Characters>27636</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Rapports sur les projets comportant des exigences particulières de notification avec des questions en suspens à examiner individuellement</vt:lpstr>
    </vt:vector>
  </TitlesOfParts>
  <Company>UNMFS</Company>
  <LinksUpToDate>false</LinksUpToDate>
  <CharactersWithSpaces>32420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sur les projets comportant des exigences particulières de notification avec des questions en suspens à examiner individuellement</dc:title>
  <dc:creator>RSR / LD</dc:creator>
  <cp:lastModifiedBy>Angela Xue He Yan</cp:lastModifiedBy>
  <cp:revision>5</cp:revision>
  <cp:lastPrinted>2001-05-26T16:40:00Z</cp:lastPrinted>
  <dcterms:created xsi:type="dcterms:W3CDTF">2025-11-24T18:16:00Z</dcterms:created>
  <dcterms:modified xsi:type="dcterms:W3CDTF">2025-11-24T17:34:00Z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UNEP/OzL.Pro/ExCom/97/18</vt:lpwstr>
  </property>
  <property fmtid="{D5CDD505-2E9C-101B-9397-08002B2CF9AE}" pid="3" name="Revision date">
    <vt:lpwstr>11/19/2025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Rapports sur les projets comportant des exigences particulières de notification avec des questions en suspens à examiner individuellement</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