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22" w:type="dxa"/>
        <w:tblInd w:w="-432" w:type="dxa"/>
        <w:tblLayout w:type="fixed"/>
        <w:tblLook w:val="0000" w:firstRow="0" w:lastRow="0" w:firstColumn="0" w:lastColumn="0" w:noHBand="0" w:noVBand="0"/>
      </w:tblPr>
      <w:tblGrid>
        <w:gridCol w:w="2070"/>
        <w:gridCol w:w="3762"/>
        <w:gridCol w:w="4590"/>
      </w:tblGrid>
      <w:tr w:rsidR="00C15867" w:rsidRPr="000A1B74" w14:paraId="69332B02" w14:textId="77777777" w:rsidTr="00735C03">
        <w:trPr>
          <w:trHeight w:val="720"/>
        </w:trPr>
        <w:tc>
          <w:tcPr>
            <w:tcW w:w="5832" w:type="dxa"/>
            <w:gridSpan w:val="2"/>
            <w:tcBorders>
              <w:bottom w:val="single" w:sz="18" w:space="0" w:color="auto"/>
            </w:tcBorders>
          </w:tcPr>
          <w:p w14:paraId="18487E2C" w14:textId="77777777" w:rsidR="00C15867" w:rsidRPr="000A1B74" w:rsidRDefault="00C15867" w:rsidP="005B0D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A1B74">
              <w:rPr>
                <w:rFonts w:ascii="Univers" w:hAnsi="Univers"/>
                <w:b/>
                <w:sz w:val="28"/>
                <w:szCs w:val="28"/>
              </w:rPr>
              <w:t>NACIONES</w:t>
            </w:r>
            <w:r w:rsidRPr="000A1B74">
              <w:rPr>
                <w:rFonts w:ascii="Univers" w:hAnsi="Univers"/>
                <w:b/>
                <w:sz w:val="28"/>
                <w:szCs w:val="28"/>
              </w:rPr>
              <w:br/>
              <w:t>UNIDAS</w:t>
            </w:r>
          </w:p>
        </w:tc>
        <w:tc>
          <w:tcPr>
            <w:tcW w:w="4590" w:type="dxa"/>
            <w:tcBorders>
              <w:bottom w:val="single" w:sz="18" w:space="0" w:color="auto"/>
            </w:tcBorders>
          </w:tcPr>
          <w:p w14:paraId="301D2578" w14:textId="77777777" w:rsidR="00C15867" w:rsidRPr="000A1B74" w:rsidRDefault="00C15867" w:rsidP="005B0D83">
            <w:pPr>
              <w:jc w:val="right"/>
              <w:rPr>
                <w:sz w:val="52"/>
                <w:szCs w:val="52"/>
              </w:rPr>
            </w:pPr>
            <w:r w:rsidRPr="000A1B74">
              <w:rPr>
                <w:rFonts w:ascii="Univers Bold" w:hAnsi="Univers Bold"/>
                <w:b/>
                <w:sz w:val="72"/>
              </w:rPr>
              <w:t>EP</w:t>
            </w:r>
          </w:p>
        </w:tc>
      </w:tr>
      <w:tr w:rsidR="00C15867" w:rsidRPr="000A1B74" w14:paraId="4A171589" w14:textId="77777777" w:rsidTr="00735C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B05D154" w14:textId="77777777" w:rsidR="00C15867" w:rsidRPr="000A1B74" w:rsidRDefault="00E52838" w:rsidP="005B0D83">
            <w:pPr>
              <w:spacing w:before="120"/>
            </w:pPr>
            <w:r w:rsidRPr="000A1B74">
              <w:rPr>
                <w:noProof/>
                <w:lang w:val="en-US"/>
              </w:rPr>
              <mc:AlternateContent>
                <mc:Choice Requires="wpg">
                  <w:drawing>
                    <wp:anchor distT="0" distB="0" distL="114300" distR="114300" simplePos="0" relativeHeight="251660288" behindDoc="0" locked="0" layoutInCell="1" allowOverlap="1" wp14:anchorId="41A0EA81" wp14:editId="5551393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FEB47B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762" w:type="dxa"/>
            <w:tcBorders>
              <w:top w:val="nil"/>
              <w:left w:val="nil"/>
              <w:bottom w:val="single" w:sz="36" w:space="0" w:color="auto"/>
              <w:right w:val="nil"/>
            </w:tcBorders>
          </w:tcPr>
          <w:p w14:paraId="0EE16041" w14:textId="77777777" w:rsidR="00735C03" w:rsidRPr="000A1B74" w:rsidRDefault="00735C03" w:rsidP="005B0D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593C690B" w14:textId="64AE5435" w:rsidR="00C15867" w:rsidRPr="000A1B74" w:rsidRDefault="00C15867" w:rsidP="005B0D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A1B74">
              <w:rPr>
                <w:rFonts w:ascii="Univers" w:hAnsi="Univers"/>
                <w:b/>
                <w:sz w:val="32"/>
              </w:rPr>
              <w:t>Programa de las</w:t>
            </w:r>
          </w:p>
          <w:p w14:paraId="7D96A9A1" w14:textId="77777777" w:rsidR="00C15867" w:rsidRPr="000A1B74" w:rsidRDefault="00C15867" w:rsidP="005B0D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A1B74">
              <w:rPr>
                <w:rFonts w:ascii="Univers" w:hAnsi="Univers"/>
                <w:b/>
                <w:sz w:val="32"/>
              </w:rPr>
              <w:t>Naciones Unidas</w:t>
            </w:r>
          </w:p>
          <w:p w14:paraId="17F66F24" w14:textId="77777777" w:rsidR="00C15867" w:rsidRPr="000A1B74" w:rsidRDefault="00C15867" w:rsidP="005B0D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A1B74">
              <w:rPr>
                <w:rFonts w:ascii="Univers" w:hAnsi="Univers"/>
                <w:b/>
                <w:sz w:val="32"/>
              </w:rPr>
              <w:t>para el Medio Ambiente</w:t>
            </w:r>
          </w:p>
          <w:p w14:paraId="6412700C" w14:textId="77777777" w:rsidR="00C15867" w:rsidRPr="000A1B74" w:rsidRDefault="00C15867" w:rsidP="005B0D83">
            <w:pPr>
              <w:spacing w:before="720"/>
              <w:ind w:left="158"/>
            </w:pPr>
          </w:p>
        </w:tc>
        <w:tc>
          <w:tcPr>
            <w:tcW w:w="4590" w:type="dxa"/>
            <w:tcBorders>
              <w:top w:val="nil"/>
              <w:left w:val="nil"/>
              <w:bottom w:val="single" w:sz="36" w:space="0" w:color="auto"/>
              <w:right w:val="nil"/>
            </w:tcBorders>
          </w:tcPr>
          <w:p w14:paraId="6D17905D" w14:textId="77777777" w:rsidR="00735C03" w:rsidRPr="000A1B74" w:rsidRDefault="00735C03" w:rsidP="005B0D83"/>
          <w:p w14:paraId="32617080" w14:textId="7C1FDABD" w:rsidR="00C15867" w:rsidRPr="000A1B74" w:rsidRDefault="00C15867" w:rsidP="005B0D83">
            <w:r w:rsidRPr="000A1B74">
              <w:t>Distr.</w:t>
            </w:r>
          </w:p>
          <w:p w14:paraId="5F25A6CE" w14:textId="77777777" w:rsidR="00923540" w:rsidRPr="000A1B74" w:rsidRDefault="00923540" w:rsidP="00923540">
            <w:r w:rsidRPr="000A1B74">
              <w:t>GENERAL</w:t>
            </w:r>
          </w:p>
          <w:p w14:paraId="427D118A" w14:textId="77777777" w:rsidR="00C15867" w:rsidRPr="000A1B74" w:rsidRDefault="00C15867" w:rsidP="005B0D83"/>
          <w:p w14:paraId="78EE99D6" w14:textId="75783380" w:rsidR="000C1071" w:rsidRPr="000C1071" w:rsidRDefault="000C1071" w:rsidP="000C1071">
            <w:pPr>
              <w:rPr>
                <w:lang w:val="en-US"/>
              </w:rPr>
            </w:pPr>
            <w:r>
              <w:fldChar w:fldCharType="begin"/>
            </w:r>
            <w:r w:rsidRPr="000C1071">
              <w:rPr>
                <w:lang w:val="en-US"/>
              </w:rPr>
              <w:instrText xml:space="preserve"> DOCPROPERTY "Document number"  \* MERGEFORMAT </w:instrText>
            </w:r>
            <w:r>
              <w:fldChar w:fldCharType="separate"/>
            </w:r>
            <w:r w:rsidRPr="000C1071">
              <w:rPr>
                <w:lang w:val="en-US"/>
              </w:rPr>
              <w:t>UNEP/OzL.Pro/ExCom/86/2/Add.1</w:t>
            </w:r>
            <w:r>
              <w:fldChar w:fldCharType="end"/>
            </w:r>
          </w:p>
          <w:p w14:paraId="7490A5AB" w14:textId="434C45F1" w:rsidR="000C1071" w:rsidRPr="00FF3CF1" w:rsidRDefault="000C1071" w:rsidP="000C1071">
            <w:pPr>
              <w:rPr>
                <w:lang w:val="fr-FR"/>
              </w:rPr>
            </w:pPr>
            <w:r>
              <w:fldChar w:fldCharType="begin"/>
            </w:r>
            <w:r w:rsidRPr="00FF3CF1">
              <w:rPr>
                <w:lang w:val="fr-FR"/>
              </w:rPr>
              <w:instrText xml:space="preserve"> DOCPROPERTY "Revision date" \@ "d MMMM YYYY"  \* MERGEFORMAT </w:instrText>
            </w:r>
            <w:r>
              <w:fldChar w:fldCharType="separate"/>
            </w:r>
            <w:r>
              <w:rPr>
                <w:lang w:val="fr-FR"/>
              </w:rPr>
              <w:t xml:space="preserve">4 </w:t>
            </w:r>
            <w:r>
              <w:rPr>
                <w:lang w:val="fr-FR"/>
              </w:rPr>
              <w:t xml:space="preserve">de </w:t>
            </w:r>
            <w:r>
              <w:rPr>
                <w:lang w:val="fr-FR"/>
              </w:rPr>
              <w:t>mar</w:t>
            </w:r>
            <w:r>
              <w:rPr>
                <w:lang w:val="fr-FR"/>
              </w:rPr>
              <w:t>zo de</w:t>
            </w:r>
            <w:r>
              <w:rPr>
                <w:lang w:val="fr-FR"/>
              </w:rPr>
              <w:t xml:space="preserve"> 2021</w:t>
            </w:r>
            <w:r>
              <w:fldChar w:fldCharType="end"/>
            </w:r>
          </w:p>
          <w:p w14:paraId="5B505970" w14:textId="77777777" w:rsidR="00C15867" w:rsidRPr="000A1B74" w:rsidRDefault="00C15867" w:rsidP="005B0D83">
            <w:pPr>
              <w:rPr>
                <w:caps/>
              </w:rPr>
            </w:pPr>
          </w:p>
          <w:p w14:paraId="3DFD0E8F" w14:textId="77777777" w:rsidR="00371AF9" w:rsidRPr="000A1B74" w:rsidRDefault="00371AF9" w:rsidP="00371AF9">
            <w:pPr>
              <w:rPr>
                <w:lang w:val="es-MX"/>
              </w:rPr>
            </w:pPr>
            <w:r w:rsidRPr="000A1B74">
              <w:rPr>
                <w:lang w:val="es-MX"/>
              </w:rPr>
              <w:t xml:space="preserve">ESPAÑOL </w:t>
            </w:r>
          </w:p>
          <w:p w14:paraId="3484149A" w14:textId="30245745" w:rsidR="00C15867" w:rsidRPr="000A1B74" w:rsidRDefault="00371AF9" w:rsidP="00371AF9">
            <w:r w:rsidRPr="000A1B74">
              <w:t xml:space="preserve">ORIGINAL: </w:t>
            </w:r>
            <w:r w:rsidRPr="000A1B74">
              <w:rPr>
                <w:lang w:val="es-MX"/>
              </w:rPr>
              <w:t>INGLÉS</w:t>
            </w:r>
          </w:p>
        </w:tc>
      </w:tr>
    </w:tbl>
    <w:p w14:paraId="72A20E72" w14:textId="77777777" w:rsidR="00704CE9" w:rsidRPr="000A1B74" w:rsidRDefault="00C15867" w:rsidP="00704CE9">
      <w:pPr>
        <w:jc w:val="left"/>
      </w:pPr>
      <w:r w:rsidRPr="000A1B74">
        <w:t>COMITÉ EJECUTIVO DEL FONDO MULTILATERAL</w:t>
      </w:r>
      <w:r w:rsidRPr="000A1B74">
        <w:br/>
        <w:t xml:space="preserve">  PARA LA APLICACIÓN DEL</w:t>
      </w:r>
      <w:r w:rsidRPr="000A1B74">
        <w:br/>
        <w:t xml:space="preserve">  PROTOCOLO DE MONTREAL</w:t>
      </w:r>
      <w:r w:rsidRPr="000A1B74">
        <w:br/>
        <w:t>Octogésima sexta Reunión</w:t>
      </w:r>
    </w:p>
    <w:p w14:paraId="4E1117E9" w14:textId="77777777" w:rsidR="00704CE9" w:rsidRPr="000A1B74" w:rsidRDefault="00704CE9" w:rsidP="00704CE9">
      <w:pPr>
        <w:jc w:val="left"/>
      </w:pPr>
      <w:r w:rsidRPr="000A1B74">
        <w:t>Montreal, 2-6 de noviembre de 2020</w:t>
      </w:r>
    </w:p>
    <w:p w14:paraId="00CF2016" w14:textId="77777777" w:rsidR="005220ED" w:rsidRPr="000A1B74" w:rsidRDefault="005220ED" w:rsidP="005220ED">
      <w:pPr>
        <w:jc w:val="left"/>
      </w:pPr>
      <w:r w:rsidRPr="000A1B74">
        <w:t>Pospuesta: 8-12 de marzo de 2021</w:t>
      </w:r>
      <w:r w:rsidR="006E126D" w:rsidRPr="000A1B74">
        <w:rPr>
          <w:rStyle w:val="FootnoteReference"/>
          <w:lang w:val="en-CA"/>
        </w:rPr>
        <w:footnoteReference w:id="1"/>
      </w:r>
    </w:p>
    <w:p w14:paraId="08684626" w14:textId="77777777" w:rsidR="002E1F26" w:rsidRPr="000A1B74" w:rsidRDefault="002E1F26" w:rsidP="00704CE9">
      <w:pPr>
        <w:jc w:val="left"/>
      </w:pPr>
    </w:p>
    <w:p w14:paraId="2357DDFF" w14:textId="01419D85" w:rsidR="00C15867" w:rsidRPr="000A1B74" w:rsidRDefault="00735C03" w:rsidP="00324881">
      <w:pPr>
        <w:jc w:val="center"/>
        <w:rPr>
          <w:b/>
        </w:rPr>
      </w:pPr>
      <w:r w:rsidRPr="000A1B74">
        <w:rPr>
          <w:b/>
        </w:rPr>
        <w:t>Addendum</w:t>
      </w:r>
    </w:p>
    <w:p w14:paraId="7CEC5055" w14:textId="77777777" w:rsidR="00324881" w:rsidRPr="000A1B74" w:rsidRDefault="00324881" w:rsidP="00324881">
      <w:pPr>
        <w:jc w:val="center"/>
        <w:rPr>
          <w:b/>
          <w:lang w:val="es-AR"/>
        </w:rPr>
      </w:pPr>
    </w:p>
    <w:p w14:paraId="10D2BEC6" w14:textId="3E1F7305" w:rsidR="004E7F9C" w:rsidRPr="000A1B74" w:rsidRDefault="0099178C" w:rsidP="004E7F9C">
      <w:pPr>
        <w:pStyle w:val="Title1"/>
      </w:pPr>
      <w:r w:rsidRPr="000A1B74">
        <w:t>actividades de la secretaría</w:t>
      </w:r>
    </w:p>
    <w:p w14:paraId="578C5B42" w14:textId="77777777" w:rsidR="00735C03" w:rsidRPr="000A1B74" w:rsidRDefault="00735C03" w:rsidP="004E7F9C">
      <w:pPr>
        <w:pStyle w:val="Title1"/>
      </w:pPr>
    </w:p>
    <w:p w14:paraId="7FED6900" w14:textId="77777777" w:rsidR="008C5738" w:rsidRPr="000A1B74" w:rsidRDefault="008C5738" w:rsidP="0099178C">
      <w:pPr>
        <w:pStyle w:val="StyleHeader4Para4Left0Firstline0"/>
        <w:numPr>
          <w:ilvl w:val="0"/>
          <w:numId w:val="0"/>
        </w:numPr>
        <w:spacing w:after="0"/>
        <w:jc w:val="left"/>
        <w:rPr>
          <w:b/>
          <w:sz w:val="22"/>
        </w:rPr>
      </w:pPr>
    </w:p>
    <w:p w14:paraId="51E2123F" w14:textId="77777777" w:rsidR="0099178C" w:rsidRPr="000A1B74" w:rsidRDefault="0099178C" w:rsidP="0099178C">
      <w:pPr>
        <w:pStyle w:val="Heading1"/>
      </w:pPr>
      <w:r w:rsidRPr="000A1B74">
        <w:t>Esta adenda se publica para proporcionar información en las áreas en las que la Secretaría ha realizado actividades desde la conclusión del proceso de aprobación entre sesiones (PAES) establecido para la 86ª reunión del Comité Ejecutivo (IAP-86)</w:t>
      </w:r>
      <w:r w:rsidR="00991EB7" w:rsidRPr="000A1B74">
        <w:rPr>
          <w:rStyle w:val="FootnoteReference"/>
        </w:rPr>
        <w:footnoteReference w:id="2"/>
      </w:r>
      <w:r w:rsidRPr="000A1B74">
        <w:t>.</w:t>
      </w:r>
    </w:p>
    <w:p w14:paraId="68E2CE6E" w14:textId="77777777" w:rsidR="00414ADE" w:rsidRPr="000A1B74" w:rsidRDefault="00414ADE" w:rsidP="00414ADE">
      <w:pPr>
        <w:spacing w:after="240"/>
        <w:rPr>
          <w:b/>
          <w:color w:val="000000" w:themeColor="text1"/>
        </w:rPr>
      </w:pPr>
      <w:r w:rsidRPr="000A1B74">
        <w:rPr>
          <w:b/>
          <w:color w:val="000000" w:themeColor="text1"/>
        </w:rPr>
        <w:t>Notificación de los resultados del PAES-86</w:t>
      </w:r>
    </w:p>
    <w:p w14:paraId="6016401B" w14:textId="5120A7E0" w:rsidR="00414ADE" w:rsidRPr="000A1B74" w:rsidRDefault="004E54FF" w:rsidP="004E54FF">
      <w:pPr>
        <w:pStyle w:val="Heading1"/>
      </w:pPr>
      <w:r w:rsidRPr="000A1B74">
        <w:t>El informe sobre el proceso de aprobación entre sesiones para la 86ª reunión</w:t>
      </w:r>
      <w:r w:rsidR="00A6091B" w:rsidRPr="000A1B74">
        <w:rPr>
          <w:rStyle w:val="FootnoteReference"/>
        </w:rPr>
        <w:footnoteReference w:id="3"/>
      </w:r>
      <w:r w:rsidRPr="000A1B74">
        <w:t xml:space="preserve"> se transmitió a todos los miembros del Comité Ejecutivo, a los organismos de ejecución y a la Secretaría del Ozono y se colocó en la zona restringida del sitio web del Fondo Multilateral. Los resultados del PAES-86 relacionados con los informes sobre la marcha de las actividades de los organismos bilaterales y de ejecución, los proyectos con requisitos específicos de presentación de informes, los retrasos en la presentación de tramos y la aprobación y ampliación de proyectos se comunicaron a 110 países del Artículo 5 y a los organismos bilaterales y de ejecución pertinentes. </w:t>
      </w:r>
    </w:p>
    <w:p w14:paraId="50A62619" w14:textId="77777777" w:rsidR="00F505AD" w:rsidRPr="000A1B74" w:rsidRDefault="00143926" w:rsidP="00F505AD">
      <w:pPr>
        <w:widowControl w:val="0"/>
        <w:spacing w:after="240"/>
        <w:outlineLvl w:val="0"/>
        <w:rPr>
          <w:b/>
          <w:color w:val="000000" w:themeColor="text1"/>
        </w:rPr>
      </w:pPr>
      <w:r w:rsidRPr="000A1B74">
        <w:rPr>
          <w:b/>
          <w:color w:val="000000" w:themeColor="text1"/>
        </w:rPr>
        <w:t>Preparación de las reuniones del Comité Ejecutivo en 2021</w:t>
      </w:r>
    </w:p>
    <w:p w14:paraId="11106234" w14:textId="77777777" w:rsidR="0011589B" w:rsidRPr="000A1B74" w:rsidRDefault="00A22ECA" w:rsidP="00335925">
      <w:pPr>
        <w:pStyle w:val="Heading1"/>
      </w:pPr>
      <w:r w:rsidRPr="000A1B74">
        <w:lastRenderedPageBreak/>
        <w:t xml:space="preserve">En respuesta a la decisión XXXII/9 sobre los miembros del Fondo Multilateral para 2021, el director envió una carta a cada miembro, dándole la bienvenida al Comité Ejecutivo y solicitando el nombre y los datos de contacto del punto focal oficial en sus gobiernos para cualquier asunto relacionado con el Fondo Multilateral o el Comité Ejecutivo. </w:t>
      </w:r>
    </w:p>
    <w:p w14:paraId="3C94258E" w14:textId="77777777" w:rsidR="0043160A" w:rsidRPr="000A1B74" w:rsidRDefault="006F0FE2" w:rsidP="005B0D83">
      <w:pPr>
        <w:pStyle w:val="Heading1"/>
      </w:pPr>
      <w:r w:rsidRPr="000A1B74">
        <w:t>La Secretaría sigue supervisando la evolución de la situación de la pandemia de COVID-19 en todo el mundo. El 5 de febrero de 2021 se informó a los miembros del Comité Ejecutivo del aplazamiento de las reuniones 85ª y 86ª pospuestas debido a los cambios en la situación epidemiológica imperante en Quebec y a las diversas medidas aplicadas, a las limitaciones para los viajeros a Canadá y a la inaccesibilidad a la sede de la reunión en el edificio de la Organización de la Aviación Civil Internacional, excepto para el personal crítico. También se informó a los miembros del Comité de los elementos clave de un plan de contingencia revisado, entre los que se encuentran:</w:t>
      </w:r>
    </w:p>
    <w:p w14:paraId="1A718910" w14:textId="77777777" w:rsidR="009644F2" w:rsidRPr="000A1B74" w:rsidRDefault="0043160A" w:rsidP="0043160A">
      <w:pPr>
        <w:pStyle w:val="Heading2"/>
      </w:pPr>
      <w:r w:rsidRPr="000A1B74">
        <w:t xml:space="preserve">Ampliar el PAES-86 (denominado IAP-86ext), para considerar varios de los puntos del orden del día de la 86ª reunión que no se concluyeron o no se consideraron en el PAES-86, señalando que el retraso en el examen de muchos de ellos podría tener un impacto importante en el funcionamiento del Fondo Multilateral; </w:t>
      </w:r>
    </w:p>
    <w:p w14:paraId="10A3E170" w14:textId="77777777" w:rsidR="009644F2" w:rsidRPr="000A1B74" w:rsidRDefault="009644F2" w:rsidP="0043160A">
      <w:pPr>
        <w:pStyle w:val="Heading2"/>
      </w:pPr>
      <w:r w:rsidRPr="000A1B74">
        <w:t xml:space="preserve">Establecer el Subgrupo sobre el Sector de la Producción para 2021 (formado por cuatro países miembros del Artículo 5 y cuatro países miembros ajenos al Artículo 5), para abordar las cuestiones pendientes del orden del día de la reunión del Subgrupo que se celebrará paralelamente a la 86ª reunión; </w:t>
      </w:r>
    </w:p>
    <w:p w14:paraId="7A0C491F" w14:textId="77777777" w:rsidR="009644F2" w:rsidRPr="000A1B74" w:rsidRDefault="009644F2" w:rsidP="0043160A">
      <w:pPr>
        <w:pStyle w:val="Heading2"/>
      </w:pPr>
      <w:r w:rsidRPr="000A1B74">
        <w:t xml:space="preserve">Aplazar cualquier punto pendiente del orden del día de la 86ª reunión a la 87ª reunión; y </w:t>
      </w:r>
    </w:p>
    <w:p w14:paraId="445E1662" w14:textId="77777777" w:rsidR="00391FE5" w:rsidRPr="000A1B74" w:rsidRDefault="009644F2" w:rsidP="0043160A">
      <w:pPr>
        <w:pStyle w:val="Heading2"/>
      </w:pPr>
      <w:r w:rsidRPr="000A1B74">
        <w:rPr>
          <w:color w:val="000000"/>
        </w:rPr>
        <w:t>Celebrar consecutivamente las reuniones 85, 86 y 87 en Montreal, Canadá, del 28 de junio al 2 de julio de 2021.</w:t>
      </w:r>
      <w:r w:rsidRPr="000A1B74">
        <w:t xml:space="preserve"> </w:t>
      </w:r>
    </w:p>
    <w:p w14:paraId="688D8BA2" w14:textId="77777777" w:rsidR="00AF6A93" w:rsidRPr="000A1B74" w:rsidRDefault="00D13287" w:rsidP="0043160A">
      <w:pPr>
        <w:pStyle w:val="Heading1"/>
      </w:pPr>
      <w:r w:rsidRPr="000A1B74">
        <w:t xml:space="preserve">En consecuencia, el director informó al presidente y al vicepresidente del Comité Ejecutivo del proyecto de plan de contingencia revisado, incluido el procedimiento para llevar a cabo las reuniones 85 y 86 aplazadas. Tras el acuerdo del presidente, el 15 de febrero de 2021, el director envió el proyecto de plan de contingencia revisado a los miembros del Comité para que lo examinaran y formularan observaciones. En el momento de redactar este documento, la Secretaría está ultimando el plan de contingencia revisado sobre la base de los comentarios recibidos y adoptando las disposiciones provisionales para las distintas modalidades de reunión en consecuencia. </w:t>
      </w:r>
    </w:p>
    <w:p w14:paraId="1932C47C" w14:textId="77777777" w:rsidR="00C00490" w:rsidRPr="000A1B74" w:rsidRDefault="00C00490" w:rsidP="00C00490">
      <w:pPr>
        <w:pStyle w:val="Heading1"/>
      </w:pPr>
      <w:r w:rsidRPr="000A1B74">
        <w:t>La Secretaría siguió preparando y publicando en el sitio web del Fondo Multilateral los documentos restantes de la 86ª reunión en árabe, chino, español, francés e inglés.</w:t>
      </w:r>
    </w:p>
    <w:p w14:paraId="4BA87B79" w14:textId="77777777" w:rsidR="00F505AD" w:rsidRPr="000A1B74" w:rsidRDefault="00F505AD" w:rsidP="00F505AD">
      <w:pPr>
        <w:pStyle w:val="StyleHeader4Para4Left0Firstline0"/>
        <w:numPr>
          <w:ilvl w:val="0"/>
          <w:numId w:val="0"/>
        </w:numPr>
        <w:rPr>
          <w:b/>
          <w:color w:val="000000" w:themeColor="text1"/>
          <w:sz w:val="22"/>
        </w:rPr>
      </w:pPr>
      <w:r w:rsidRPr="000A1B74">
        <w:rPr>
          <w:b/>
          <w:color w:val="000000" w:themeColor="text1"/>
          <w:sz w:val="22"/>
        </w:rPr>
        <w:t>Asistencia a reuniones y misiones realizadas</w:t>
      </w:r>
    </w:p>
    <w:p w14:paraId="1995B42A" w14:textId="77777777" w:rsidR="00F505AD" w:rsidRPr="000A1B74" w:rsidRDefault="00F505AD" w:rsidP="00F505AD">
      <w:pPr>
        <w:pStyle w:val="Heading1"/>
      </w:pPr>
      <w:r w:rsidRPr="000A1B74">
        <w:t>Debido al brote de COVID-19, no se llevó a cabo ninguna misión. Sin embargo, la Secretaría participó en varias reuniones virtuales que se resumen a continuación.</w:t>
      </w:r>
    </w:p>
    <w:p w14:paraId="1F2D759E" w14:textId="77777777" w:rsidR="00E06817" w:rsidRPr="000A1B74" w:rsidRDefault="00337C8E" w:rsidP="00CB4086">
      <w:pPr>
        <w:keepNext/>
        <w:rPr>
          <w:i/>
        </w:rPr>
      </w:pPr>
      <w:r w:rsidRPr="000A1B74">
        <w:rPr>
          <w:i/>
        </w:rPr>
        <w:t>Virtual, 16-27 de noviembre de 2020</w:t>
      </w:r>
    </w:p>
    <w:p w14:paraId="2E05F761" w14:textId="77777777" w:rsidR="00337C8E" w:rsidRPr="000A1B74" w:rsidRDefault="00337C8E" w:rsidP="00F505AD"/>
    <w:p w14:paraId="35F01AEE" w14:textId="77777777" w:rsidR="005B0D83" w:rsidRPr="000A1B74" w:rsidRDefault="00E06817" w:rsidP="007A3F80">
      <w:pPr>
        <w:pStyle w:val="Heading1"/>
      </w:pPr>
      <w:r w:rsidRPr="000A1B74">
        <w:t>El director, junto con algunos oficiales superiores de gestión de programas y el oficial superior de gestión y administración de fondos, asistieron a la duodécima reunión combinada de la Conferencia de las Partes de la Convención de Viena (parte I) y a la trigésima segunda reunión de las Partes. La Secretaría también asistió a la 65ª reunión del Comité de Aplicación, donde se hizo una presentación, y el director asistió a la reunión de la Mesa de la Reunión de las Partes. El personal de la Secretaría participó en los grupos de contacto pertinentes y asistió a varios actos paralelos.</w:t>
      </w:r>
    </w:p>
    <w:p w14:paraId="5745FC5E" w14:textId="77777777" w:rsidR="004A6B33" w:rsidRPr="000A1B74" w:rsidRDefault="004A6B33" w:rsidP="005B0D83">
      <w:pPr>
        <w:keepNext/>
        <w:rPr>
          <w:i/>
        </w:rPr>
      </w:pPr>
      <w:r w:rsidRPr="000A1B74">
        <w:rPr>
          <w:i/>
        </w:rPr>
        <w:lastRenderedPageBreak/>
        <w:t>Virtual, 22 de febrero de 2021</w:t>
      </w:r>
    </w:p>
    <w:p w14:paraId="32EF8F2C" w14:textId="77777777" w:rsidR="004A6B33" w:rsidRPr="000A1B74" w:rsidRDefault="004A6B33" w:rsidP="005B0D83">
      <w:pPr>
        <w:keepNext/>
        <w:rPr>
          <w:i/>
        </w:rPr>
      </w:pPr>
    </w:p>
    <w:p w14:paraId="2B54497A" w14:textId="77777777" w:rsidR="004A6B33" w:rsidRPr="000A1B74" w:rsidRDefault="004A6B33" w:rsidP="004A6B33">
      <w:pPr>
        <w:pStyle w:val="Heading1"/>
        <w:rPr>
          <w:rFonts w:eastAsia="Calibri"/>
        </w:rPr>
      </w:pPr>
      <w:r w:rsidRPr="000A1B74">
        <w:t>Un oficial superior de programas asistió a un seminario web organizado por la red regional de América Latina y el Caribe e hizo una presentación sobre la comunicación de datos de los programas nacionales, basada en el nuevo formato que incluye datos sobre los HFC.</w:t>
      </w:r>
    </w:p>
    <w:p w14:paraId="5B939387" w14:textId="77777777" w:rsidR="005B0D83" w:rsidRPr="000A1B74" w:rsidRDefault="005B0D83" w:rsidP="005B0D83">
      <w:pPr>
        <w:keepNext/>
        <w:rPr>
          <w:i/>
        </w:rPr>
      </w:pPr>
      <w:r w:rsidRPr="000A1B74">
        <w:rPr>
          <w:i/>
        </w:rPr>
        <w:t>Virtual, 23 de febrero de 2021</w:t>
      </w:r>
    </w:p>
    <w:p w14:paraId="478F8373" w14:textId="77777777" w:rsidR="005B0D83" w:rsidRPr="000A1B74" w:rsidRDefault="005B0D83" w:rsidP="005B0D83"/>
    <w:p w14:paraId="67B2B1B6" w14:textId="77777777" w:rsidR="00F86ACE" w:rsidRPr="000A1B74" w:rsidRDefault="005B0D83" w:rsidP="005B0D83">
      <w:pPr>
        <w:pStyle w:val="Heading1"/>
        <w:rPr>
          <w:rFonts w:eastAsia="Calibri"/>
        </w:rPr>
      </w:pPr>
      <w:r w:rsidRPr="000A1B74">
        <w:t>El director y un oficial superior de gestión de programas asistieron a la reunión temática de la red conjunta de Asia Meridional y Asia Sudoriental sobre las estrategias nacionales de coordinación de la eliminación de los HCFC y la reducción de los HFC. La Secretaría hizo una presentación sobre el análisis de las implicaciones de la ejecución paralela o integrada de las actividades de eliminación de HCFC y de reducción de HFC (UNEP/OzL.Pro/ExCom/84/65).</w:t>
      </w:r>
    </w:p>
    <w:p w14:paraId="4D587247" w14:textId="77777777" w:rsidR="00F505AD" w:rsidRPr="000A1B74" w:rsidRDefault="00F505AD" w:rsidP="00F505AD">
      <w:pPr>
        <w:pStyle w:val="Heading1"/>
        <w:keepNext/>
        <w:numPr>
          <w:ilvl w:val="0"/>
          <w:numId w:val="0"/>
        </w:numPr>
        <w:rPr>
          <w:b/>
          <w:color w:val="000000" w:themeColor="text1"/>
        </w:rPr>
      </w:pPr>
      <w:r w:rsidRPr="000A1B74">
        <w:rPr>
          <w:b/>
          <w:color w:val="000000" w:themeColor="text1"/>
        </w:rPr>
        <w:t>Contrataciones y nombramientos</w:t>
      </w:r>
    </w:p>
    <w:p w14:paraId="5524DB7E" w14:textId="77777777" w:rsidR="00E22A21" w:rsidRPr="000A1B74" w:rsidRDefault="00E22A21" w:rsidP="00E22A21">
      <w:pPr>
        <w:pStyle w:val="Heading1"/>
        <w:rPr>
          <w:color w:val="000000" w:themeColor="text1"/>
        </w:rPr>
      </w:pPr>
      <w:r w:rsidRPr="000A1B74">
        <w:rPr>
          <w:color w:val="000000" w:themeColor="text1"/>
        </w:rPr>
        <w:t>El proceso de selección para el puesto de director adjunto (D-1) ha finalizado, con la selección de la Sra. Rossana Del Carmen Silva-Repetto por el director ejecutivo del PNUMA a partir de abril de 2021.</w:t>
      </w:r>
    </w:p>
    <w:p w14:paraId="0205587A" w14:textId="77777777" w:rsidR="00E22A21" w:rsidRPr="000A1B74" w:rsidRDefault="000E59CD" w:rsidP="00495C89">
      <w:pPr>
        <w:pStyle w:val="Heading1"/>
      </w:pPr>
      <w:r w:rsidRPr="000A1B74">
        <w:t xml:space="preserve">A raíz de la decisión 84/6 de ascender de P-2 a P-3 los puestos de oficial adjunto de bases de datos (BL 1116), de G-4 a G-5 el de auxiliar de equipo (BL 1309) y de G-6 a G-7 el de auxiliar de finanzas y presupuesto (BL 1312), se constituyeron los comités de selección y el proceso de selección concluyó con el ascenso de la Sra. Ngoc Thuy Duong a P-3, de la Sra. Grace Nyoike a G-7 y del Sr. Edmundo Cuéllar a G-5. El comité de selección para el oficial superior de supervisión y evaluación completó su trabajo y está preparando la presentación de su recomendación al director ejecutivo del PNUMA para su selección final, pendiente de revisión por el Órgano Central de Revisión. </w:t>
      </w:r>
    </w:p>
    <w:p w14:paraId="222002C9" w14:textId="77777777" w:rsidR="000E59CD" w:rsidRPr="000A1B74" w:rsidRDefault="000E59CD" w:rsidP="000E59CD">
      <w:pPr>
        <w:rPr>
          <w:u w:val="single"/>
        </w:rPr>
      </w:pPr>
      <w:r w:rsidRPr="000A1B74">
        <w:rPr>
          <w:u w:val="single"/>
        </w:rPr>
        <w:t xml:space="preserve">Contratación del director </w:t>
      </w:r>
    </w:p>
    <w:p w14:paraId="411790EB" w14:textId="77777777" w:rsidR="000E59CD" w:rsidRPr="000A1B74" w:rsidRDefault="000E59CD" w:rsidP="000E59CD">
      <w:pPr>
        <w:rPr>
          <w:u w:val="single"/>
        </w:rPr>
      </w:pPr>
    </w:p>
    <w:p w14:paraId="401F652E" w14:textId="77777777" w:rsidR="008D48A5" w:rsidRPr="000A1B74" w:rsidRDefault="000E59CD" w:rsidP="004C00DC">
      <w:pPr>
        <w:pStyle w:val="Heading1"/>
      </w:pPr>
      <w:r w:rsidRPr="000A1B74">
        <w:t>En el PAES-86, el Comité Ejecutivo tomó nota, entre otras cosas, de que la cuestión de la contratación del director de la Secretaría del Fondo Multilateral se añadiría al orden del día de la 86ª reunión, y pidió a la Secretaría que, en consonancia con las decisiones 67/37 y 68/46, actualizara la documentación relativa al proceso de contratación para el puesto de director de la Secretaría del Fondo Multilateral y la sometiera a la consideración del Comité Ejecutivo en su 87ª reunión; y que tomara las medidas necesarias para que el Comité Ejecutivo lleve a cabo su procedimiento habitual de contratación en relación con el puesto de director de la Secretaría del Fondo Multilateral</w:t>
      </w:r>
      <w:r w:rsidR="004C00DC" w:rsidRPr="000A1B74">
        <w:rPr>
          <w:rStyle w:val="FootnoteReference"/>
        </w:rPr>
        <w:footnoteReference w:id="4"/>
      </w:r>
      <w:r w:rsidRPr="000A1B74">
        <w:t>.</w:t>
      </w:r>
    </w:p>
    <w:p w14:paraId="0F797F70" w14:textId="77777777" w:rsidR="00673590" w:rsidRPr="000A1B74" w:rsidRDefault="002912C1" w:rsidP="00E22A21">
      <w:pPr>
        <w:pStyle w:val="Heading1"/>
        <w:rPr>
          <w:color w:val="000000" w:themeColor="text1"/>
        </w:rPr>
      </w:pPr>
      <w:r w:rsidRPr="000A1B74">
        <w:rPr>
          <w:color w:val="000000" w:themeColor="text1"/>
        </w:rPr>
        <w:t xml:space="preserve">En consecuencia, el director informó a la oficina del director ejecutivo del PNUMA de la decisión mencionada e inició consultas con su oficina sobre la participación del PNUMA en el proceso de selección del puesto con vistas a iniciar el proceso para una selección oportuna del cuarto director cuando se jubile en enero de 2022. </w:t>
      </w:r>
    </w:p>
    <w:p w14:paraId="431AAA7A" w14:textId="77777777" w:rsidR="00313797" w:rsidRPr="000A1B74" w:rsidRDefault="00673590" w:rsidP="00313797">
      <w:pPr>
        <w:pStyle w:val="Heading1"/>
      </w:pPr>
      <w:r w:rsidRPr="000A1B74">
        <w:rPr>
          <w:color w:val="000000" w:themeColor="text1"/>
        </w:rPr>
        <w:t>Conforme a lo solicitado por el Comité Ejecutivo, la Secretaría examinó la documentación pertinente y señaló que las disposiciones adoptadas por la Secretaría para que el Comité Ejecutivo reprodujera su procedimiento habitual de contratación para contratar al tercer director y el anuncio de vacante revisado</w:t>
      </w:r>
      <w:r w:rsidR="00AA43C8" w:rsidRPr="000A1B74">
        <w:rPr>
          <w:rStyle w:val="FootnoteReference"/>
          <w:color w:val="000000" w:themeColor="text1"/>
        </w:rPr>
        <w:footnoteReference w:id="5"/>
      </w:r>
      <w:r w:rsidRPr="000A1B74">
        <w:rPr>
          <w:color w:val="000000" w:themeColor="text1"/>
        </w:rPr>
        <w:t>, que se debatieron y acordaron de forma sustantiva en las reuniones 68ª y 69ª, y sobre las que se celebraron consultas con el director ejecutivo del PNUMA para garantizar que el proceso de selección se ajustara al sistema de contratación de Inspira, siguen siendo en gran medida pertinentes y pueden aprovecharse para la contratación del cuarto director.</w:t>
      </w:r>
      <w:r w:rsidRPr="000A1B74">
        <w:t xml:space="preserve"> Para facilitar el examen de la cuestión, el anexo I del presente documento contiene un extracto del documento UNEP/OzL.Pro/ExCom/68/51 </w:t>
      </w:r>
      <w:r w:rsidRPr="000A1B74">
        <w:lastRenderedPageBreak/>
        <w:t>(párrafos 24 a 32) en el que se explican las modalidades del proceso de contratación, señalando que los criterios de evaluación mencionados en el párrafo 28 se han actualizado desde entonces en Inspira</w:t>
      </w:r>
      <w:r w:rsidR="008D6295" w:rsidRPr="000A1B74">
        <w:rPr>
          <w:rStyle w:val="FootnoteReference"/>
        </w:rPr>
        <w:footnoteReference w:id="6"/>
      </w:r>
      <w:r w:rsidRPr="000A1B74">
        <w:t xml:space="preserve">; la decisión 68/46 que sirve de referencia para las acciones necesarias para el proceso, incluyendo la aprobación y la publicación del anuncio de vacante, el establecimiento y el nombramiento de un comité de selección que examinaría todas las solicitudes, entrevistaría a los principales candidatos y haría una recomendación; la ayuda del PNUMA a lo largo del proceso; y el anuncio de vacante aprobado en la 69ª reunión (decisión 69/26(b)). </w:t>
      </w:r>
    </w:p>
    <w:p w14:paraId="710AEC66" w14:textId="77777777" w:rsidR="00495C89" w:rsidRPr="000A1B74" w:rsidRDefault="00E2532C" w:rsidP="00E22A21">
      <w:pPr>
        <w:pStyle w:val="Heading1"/>
        <w:rPr>
          <w:color w:val="000000" w:themeColor="text1"/>
        </w:rPr>
      </w:pPr>
      <w:r w:rsidRPr="000A1B74">
        <w:rPr>
          <w:color w:val="000000" w:themeColor="text1"/>
        </w:rPr>
        <w:t>Para iniciar el proceso de contratación, el Comité Ejecutivo puede considerar:</w:t>
      </w:r>
    </w:p>
    <w:p w14:paraId="4B1BFC57" w14:textId="77777777" w:rsidR="00AE3C49" w:rsidRPr="000A1B74" w:rsidRDefault="00AE3C49" w:rsidP="00AE3C49">
      <w:pPr>
        <w:pStyle w:val="Heading2"/>
      </w:pPr>
      <w:r w:rsidRPr="000A1B74">
        <w:t>Tomar nota con beneplácito de la participación de un representante del director ejecutivo del PNUMA en el proceso de selección del cuarto director;</w:t>
      </w:r>
    </w:p>
    <w:p w14:paraId="0BAC760B" w14:textId="77777777" w:rsidR="00AE3C49" w:rsidRPr="000A1B74" w:rsidRDefault="00AE3C49" w:rsidP="00AE3C49">
      <w:pPr>
        <w:pStyle w:val="Heading2"/>
      </w:pPr>
      <w:r w:rsidRPr="000A1B74">
        <w:t>Solicitar a la Secretaría que organice una reunión virtual entre un representante del director ejecutivo del PNUMA y el Comité Ejecutivo para el proceso de selección del cuarto director, con el fin de:</w:t>
      </w:r>
    </w:p>
    <w:p w14:paraId="72392EB4" w14:textId="77777777" w:rsidR="007646BB" w:rsidRPr="000A1B74" w:rsidRDefault="007646BB" w:rsidP="007646BB">
      <w:pPr>
        <w:pStyle w:val="Heading3"/>
      </w:pPr>
      <w:r w:rsidRPr="000A1B74">
        <w:t>Revisar, si es necesario, y aprobar el anuncio de vacante para el puesto de cuarto director sobre la base del anuncio adjunto en el anexo I del documento UNEP/OzL.Pro/ExCom/86/2/Add.1;</w:t>
      </w:r>
    </w:p>
    <w:p w14:paraId="16C19DC3" w14:textId="77777777" w:rsidR="00A32128" w:rsidRPr="000A1B74" w:rsidRDefault="007646BB" w:rsidP="007646BB">
      <w:pPr>
        <w:pStyle w:val="Heading3"/>
      </w:pPr>
      <w:r w:rsidRPr="000A1B74">
        <w:t>Solicitar al PNUMA que, una vez aprobado por el Comité Ejecutivo, publique en Inspira el anuncio de vacante al que se hace referencia en el subpárrafo (b)(i) anterior y facilite el proceso de selección;</w:t>
      </w:r>
    </w:p>
    <w:p w14:paraId="1CCE0ABF" w14:textId="77777777" w:rsidR="00A32128" w:rsidRPr="000A1B74" w:rsidRDefault="00872F31" w:rsidP="007646BB">
      <w:pPr>
        <w:pStyle w:val="Heading3"/>
      </w:pPr>
      <w:r w:rsidRPr="000A1B74">
        <w:t>Establecer un comité de selección formado por: tres representantes de los países del Artículo 5, tres representantes de los países ajenos al Artículo 5 y dos representantes del PNUMA, que examinaría todas las solicitudes, entrevistaría a los principales candidatos y haría una recomendación, entendiendo que:</w:t>
      </w:r>
    </w:p>
    <w:p w14:paraId="277F111D" w14:textId="77777777" w:rsidR="00A32128" w:rsidRPr="000A1B74" w:rsidRDefault="00A32128" w:rsidP="001A05BD">
      <w:pPr>
        <w:pStyle w:val="Header4"/>
      </w:pPr>
      <w:r w:rsidRPr="000A1B74">
        <w:t>La Secretaría trabajará con los miembros del Comité Ejecutivo entre sesiones para identificar a los tres representantes de los países del Artículo 5 y a los tres representantes de los países ajenos al Artículo 5, incluido el presidente del Comité Ejecutivo, que formarán parte del comité de selección;</w:t>
      </w:r>
    </w:p>
    <w:p w14:paraId="50C04333" w14:textId="77777777" w:rsidR="00A32128" w:rsidRPr="000A1B74" w:rsidRDefault="00A32128" w:rsidP="001A05BD">
      <w:pPr>
        <w:pStyle w:val="Header4"/>
      </w:pPr>
      <w:r w:rsidRPr="000A1B74">
        <w:t>El Comité Ejecutivo decidirá la composición del comité de selección en su 87ª reunión;</w:t>
      </w:r>
    </w:p>
    <w:p w14:paraId="7ADEE82C" w14:textId="77777777" w:rsidR="00A32128" w:rsidRPr="000A1B74" w:rsidRDefault="00A32128" w:rsidP="001A05BD">
      <w:pPr>
        <w:pStyle w:val="Header4"/>
      </w:pPr>
      <w:r w:rsidRPr="000A1B74">
        <w:t>El comité de selección estaría copresidido por un representante del PNUMA y el presidente del Comité Ejecutivo en 2021 en su calidad de primer oficial dependiente del puesto de director;</w:t>
      </w:r>
    </w:p>
    <w:p w14:paraId="547DC85C" w14:textId="77777777" w:rsidR="00A32128" w:rsidRPr="000A1B74" w:rsidRDefault="00A32128" w:rsidP="001A05BD">
      <w:pPr>
        <w:pStyle w:val="Header4"/>
      </w:pPr>
      <w:r w:rsidRPr="000A1B74">
        <w:t>El PNUMA ayudaría al comité de selección durante todo el proceso de selección de los candidatos y proporcionaría una sesión informativa sobre el uso del método de entrevista establecido en las Naciones Unidas; y</w:t>
      </w:r>
    </w:p>
    <w:p w14:paraId="787C4C4F" w14:textId="77777777" w:rsidR="00E22A21" w:rsidRPr="000A1B74" w:rsidRDefault="002912C1" w:rsidP="00495C89">
      <w:pPr>
        <w:pStyle w:val="Heading2"/>
      </w:pPr>
      <w:r w:rsidRPr="000A1B74">
        <w:t xml:space="preserve">Pedir a la Secretaría que informe sobre los progresos realizados en el proceso de contratación en la 87ª reunión. </w:t>
      </w:r>
    </w:p>
    <w:p w14:paraId="53885933" w14:textId="77777777" w:rsidR="00E22A21" w:rsidRPr="000A1B74" w:rsidRDefault="00E22A21" w:rsidP="00C669C6">
      <w:pPr>
        <w:pStyle w:val="Heading1"/>
        <w:keepNext/>
        <w:numPr>
          <w:ilvl w:val="0"/>
          <w:numId w:val="0"/>
        </w:numPr>
        <w:rPr>
          <w:b/>
          <w:color w:val="000000" w:themeColor="text1"/>
        </w:rPr>
      </w:pPr>
      <w:r w:rsidRPr="000A1B74">
        <w:rPr>
          <w:b/>
          <w:color w:val="000000" w:themeColor="text1"/>
        </w:rPr>
        <w:lastRenderedPageBreak/>
        <w:t>Perfeccionamiento y capacitación del personal</w:t>
      </w:r>
    </w:p>
    <w:p w14:paraId="30D2E5F3" w14:textId="77777777" w:rsidR="00F505AD" w:rsidRPr="000A1B74" w:rsidRDefault="00E22A21" w:rsidP="00E22A21">
      <w:pPr>
        <w:pStyle w:val="Heading1"/>
        <w:rPr>
          <w:color w:val="000000" w:themeColor="text1"/>
        </w:rPr>
      </w:pPr>
      <w:r w:rsidRPr="000A1B74">
        <w:rPr>
          <w:color w:val="000000" w:themeColor="text1"/>
        </w:rPr>
        <w:t>El oficial superior de gestión de fondos y el oficial administrativo asistieron a un programa de mejora de la resiliencia; dos funcionarios administrativos siguieron el Diploma del Instituto Colegiado de Adquisiciones y Suministros (CIPS) (que está en curso); y un funcionario superior siguió una formación sobre transición profesional y simulaciones de entrevistas, todo ello organizado por las Naciones Unidas.</w:t>
      </w:r>
    </w:p>
    <w:p w14:paraId="25CC6EC0" w14:textId="77777777" w:rsidR="00F505AD" w:rsidRPr="000A1B74" w:rsidRDefault="00337C8E" w:rsidP="00F505AD">
      <w:pPr>
        <w:pStyle w:val="Heading1"/>
      </w:pPr>
      <w:r w:rsidRPr="000A1B74">
        <w:t>Dos oficiales superiores de gestión de programas asistieron a los seminarios web, como se indica en el cuadro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5"/>
        <w:gridCol w:w="4675"/>
      </w:tblGrid>
      <w:tr w:rsidR="00834D82" w:rsidRPr="000A1B74" w14:paraId="260E53F4" w14:textId="77777777" w:rsidTr="00D94C54">
        <w:trPr>
          <w:tblHeader/>
        </w:trPr>
        <w:tc>
          <w:tcPr>
            <w:tcW w:w="2500" w:type="pct"/>
            <w:tcMar>
              <w:top w:w="0" w:type="dxa"/>
              <w:left w:w="108" w:type="dxa"/>
              <w:bottom w:w="0" w:type="dxa"/>
              <w:right w:w="108" w:type="dxa"/>
            </w:tcMar>
            <w:hideMark/>
          </w:tcPr>
          <w:p w14:paraId="2EC17C90" w14:textId="77777777" w:rsidR="00834D82" w:rsidRPr="000A1B74" w:rsidRDefault="00834D82" w:rsidP="00151004">
            <w:pPr>
              <w:keepNext/>
              <w:jc w:val="center"/>
              <w:rPr>
                <w:rFonts w:eastAsia="Calibri"/>
                <w:b/>
                <w:bCs/>
                <w:sz w:val="20"/>
                <w:szCs w:val="20"/>
              </w:rPr>
            </w:pPr>
            <w:r w:rsidRPr="000A1B74">
              <w:rPr>
                <w:b/>
                <w:bCs/>
                <w:sz w:val="20"/>
                <w:szCs w:val="20"/>
              </w:rPr>
              <w:t>Título</w:t>
            </w:r>
          </w:p>
        </w:tc>
        <w:tc>
          <w:tcPr>
            <w:tcW w:w="2500" w:type="pct"/>
            <w:tcMar>
              <w:top w:w="0" w:type="dxa"/>
              <w:left w:w="108" w:type="dxa"/>
              <w:bottom w:w="0" w:type="dxa"/>
              <w:right w:w="108" w:type="dxa"/>
            </w:tcMar>
            <w:hideMark/>
          </w:tcPr>
          <w:p w14:paraId="4FD47EB9" w14:textId="77777777" w:rsidR="00834D82" w:rsidRPr="000A1B74" w:rsidRDefault="00834D82" w:rsidP="00151004">
            <w:pPr>
              <w:keepNext/>
              <w:jc w:val="center"/>
              <w:rPr>
                <w:rFonts w:eastAsia="Calibri"/>
                <w:b/>
                <w:bCs/>
                <w:sz w:val="20"/>
                <w:szCs w:val="20"/>
              </w:rPr>
            </w:pPr>
            <w:r w:rsidRPr="000A1B74">
              <w:rPr>
                <w:b/>
                <w:bCs/>
                <w:sz w:val="20"/>
                <w:szCs w:val="20"/>
              </w:rPr>
              <w:t>Organizador</w:t>
            </w:r>
          </w:p>
        </w:tc>
      </w:tr>
      <w:tr w:rsidR="00834D82" w:rsidRPr="000A1B74" w14:paraId="5EA50B0B" w14:textId="77777777" w:rsidTr="00151004">
        <w:tc>
          <w:tcPr>
            <w:tcW w:w="2500" w:type="pct"/>
            <w:tcMar>
              <w:top w:w="0" w:type="dxa"/>
              <w:left w:w="108" w:type="dxa"/>
              <w:bottom w:w="0" w:type="dxa"/>
              <w:right w:w="108" w:type="dxa"/>
            </w:tcMar>
            <w:hideMark/>
          </w:tcPr>
          <w:p w14:paraId="0EB77BD4" w14:textId="77777777" w:rsidR="00834D82" w:rsidRPr="000A1B74" w:rsidRDefault="00834D82" w:rsidP="00151004">
            <w:pPr>
              <w:keepNext/>
              <w:jc w:val="left"/>
              <w:rPr>
                <w:rFonts w:eastAsia="Calibri"/>
                <w:sz w:val="20"/>
                <w:szCs w:val="20"/>
              </w:rPr>
            </w:pPr>
            <w:r w:rsidRPr="000A1B74">
              <w:rPr>
                <w:sz w:val="20"/>
                <w:szCs w:val="20"/>
              </w:rPr>
              <w:t>Afrontar el reto de un mundo en fase de calentamiento:  financiación del enfriamiento neto cero</w:t>
            </w:r>
          </w:p>
        </w:tc>
        <w:tc>
          <w:tcPr>
            <w:tcW w:w="2500" w:type="pct"/>
            <w:tcMar>
              <w:top w:w="0" w:type="dxa"/>
              <w:left w:w="108" w:type="dxa"/>
              <w:bottom w:w="0" w:type="dxa"/>
              <w:right w:w="108" w:type="dxa"/>
            </w:tcMar>
            <w:hideMark/>
          </w:tcPr>
          <w:p w14:paraId="301632BB" w14:textId="77777777" w:rsidR="00834D82" w:rsidRPr="000A1B74" w:rsidRDefault="00834D82" w:rsidP="000F645A">
            <w:pPr>
              <w:keepNext/>
              <w:jc w:val="left"/>
              <w:rPr>
                <w:rFonts w:eastAsia="Calibri"/>
                <w:sz w:val="20"/>
                <w:szCs w:val="20"/>
              </w:rPr>
            </w:pPr>
            <w:r w:rsidRPr="000A1B74">
              <w:rPr>
                <w:sz w:val="20"/>
                <w:szCs w:val="20"/>
              </w:rPr>
              <w:t>Cool Coalition/PNUMA</w:t>
            </w:r>
          </w:p>
        </w:tc>
      </w:tr>
      <w:tr w:rsidR="00834D82" w:rsidRPr="000A1B74" w14:paraId="2D4C7011" w14:textId="77777777" w:rsidTr="00151004">
        <w:tc>
          <w:tcPr>
            <w:tcW w:w="2500" w:type="pct"/>
            <w:tcMar>
              <w:top w:w="0" w:type="dxa"/>
              <w:left w:w="108" w:type="dxa"/>
              <w:bottom w:w="0" w:type="dxa"/>
              <w:right w:w="108" w:type="dxa"/>
            </w:tcMar>
            <w:hideMark/>
          </w:tcPr>
          <w:p w14:paraId="7CA5A066" w14:textId="77777777" w:rsidR="00834D82" w:rsidRPr="000A1B74" w:rsidRDefault="00834D82" w:rsidP="00834D82">
            <w:pPr>
              <w:jc w:val="left"/>
              <w:rPr>
                <w:rFonts w:eastAsia="Calibri"/>
                <w:sz w:val="20"/>
                <w:szCs w:val="20"/>
              </w:rPr>
            </w:pPr>
            <w:r w:rsidRPr="000A1B74">
              <w:rPr>
                <w:sz w:val="20"/>
                <w:szCs w:val="20"/>
              </w:rPr>
              <w:t>Comportamiento del refrigerante A2L en un incendio de estructuras</w:t>
            </w:r>
          </w:p>
        </w:tc>
        <w:tc>
          <w:tcPr>
            <w:tcW w:w="2500" w:type="pct"/>
            <w:tcMar>
              <w:top w:w="0" w:type="dxa"/>
              <w:left w:w="108" w:type="dxa"/>
              <w:bottom w:w="0" w:type="dxa"/>
              <w:right w:w="108" w:type="dxa"/>
            </w:tcMar>
            <w:hideMark/>
          </w:tcPr>
          <w:p w14:paraId="79076F79" w14:textId="77777777" w:rsidR="00834D82" w:rsidRPr="000A1B74" w:rsidRDefault="00834D82" w:rsidP="00834D82">
            <w:pPr>
              <w:jc w:val="left"/>
              <w:rPr>
                <w:rFonts w:eastAsia="Calibri"/>
                <w:sz w:val="20"/>
                <w:szCs w:val="20"/>
              </w:rPr>
            </w:pPr>
            <w:r w:rsidRPr="000A1B74">
              <w:rPr>
                <w:sz w:val="20"/>
                <w:szCs w:val="20"/>
              </w:rPr>
              <w:t>Instituto de Aire Acondicionado, Calefacción y Refrigeración (AHRI)</w:t>
            </w:r>
          </w:p>
        </w:tc>
      </w:tr>
      <w:tr w:rsidR="00834D82" w:rsidRPr="000A1B74" w14:paraId="7EFFA980" w14:textId="77777777" w:rsidTr="00151004">
        <w:tc>
          <w:tcPr>
            <w:tcW w:w="2500" w:type="pct"/>
            <w:tcMar>
              <w:top w:w="0" w:type="dxa"/>
              <w:left w:w="108" w:type="dxa"/>
              <w:bottom w:w="0" w:type="dxa"/>
              <w:right w:w="108" w:type="dxa"/>
            </w:tcMar>
            <w:hideMark/>
          </w:tcPr>
          <w:p w14:paraId="6874006F" w14:textId="77777777" w:rsidR="00834D82" w:rsidRPr="000A1B74" w:rsidRDefault="00834D82" w:rsidP="00834D82">
            <w:pPr>
              <w:jc w:val="left"/>
              <w:rPr>
                <w:rFonts w:eastAsia="Calibri"/>
                <w:sz w:val="20"/>
                <w:szCs w:val="20"/>
              </w:rPr>
            </w:pPr>
            <w:r w:rsidRPr="000A1B74">
              <w:rPr>
                <w:sz w:val="20"/>
                <w:szCs w:val="20"/>
              </w:rPr>
              <w:t>Integrar la refrigeración sostenible en las políticas de recuperación para un futuro más verde</w:t>
            </w:r>
          </w:p>
        </w:tc>
        <w:tc>
          <w:tcPr>
            <w:tcW w:w="2500" w:type="pct"/>
            <w:tcMar>
              <w:top w:w="0" w:type="dxa"/>
              <w:left w:w="108" w:type="dxa"/>
              <w:bottom w:w="0" w:type="dxa"/>
              <w:right w:w="108" w:type="dxa"/>
            </w:tcMar>
            <w:hideMark/>
          </w:tcPr>
          <w:p w14:paraId="45418E5F" w14:textId="77777777" w:rsidR="00834D82" w:rsidRPr="000A1B74" w:rsidRDefault="00834D82" w:rsidP="00834D82">
            <w:pPr>
              <w:jc w:val="left"/>
              <w:rPr>
                <w:rFonts w:eastAsia="Calibri"/>
                <w:sz w:val="20"/>
                <w:szCs w:val="20"/>
              </w:rPr>
            </w:pPr>
            <w:r w:rsidRPr="000A1B74">
              <w:rPr>
                <w:sz w:val="20"/>
                <w:szCs w:val="20"/>
              </w:rPr>
              <w:t>Cool Coalition</w:t>
            </w:r>
          </w:p>
        </w:tc>
      </w:tr>
      <w:tr w:rsidR="000F645A" w:rsidRPr="000C1071" w14:paraId="58AC01A7" w14:textId="77777777" w:rsidTr="00151004">
        <w:tc>
          <w:tcPr>
            <w:tcW w:w="2500" w:type="pct"/>
            <w:tcMar>
              <w:top w:w="0" w:type="dxa"/>
              <w:left w:w="108" w:type="dxa"/>
              <w:bottom w:w="0" w:type="dxa"/>
              <w:right w:w="108" w:type="dxa"/>
            </w:tcMar>
          </w:tcPr>
          <w:p w14:paraId="31168F48" w14:textId="77777777" w:rsidR="000F645A" w:rsidRPr="000A1B74" w:rsidRDefault="000F645A" w:rsidP="00834D82">
            <w:pPr>
              <w:jc w:val="left"/>
              <w:rPr>
                <w:rFonts w:eastAsia="Calibri"/>
                <w:sz w:val="20"/>
                <w:szCs w:val="20"/>
              </w:rPr>
            </w:pPr>
            <w:r w:rsidRPr="000A1B74">
              <w:rPr>
                <w:sz w:val="20"/>
                <w:szCs w:val="20"/>
              </w:rPr>
              <w:t>No transmitir la refrigeración pasiva</w:t>
            </w:r>
          </w:p>
        </w:tc>
        <w:tc>
          <w:tcPr>
            <w:tcW w:w="2500" w:type="pct"/>
            <w:tcMar>
              <w:top w:w="0" w:type="dxa"/>
              <w:left w:w="108" w:type="dxa"/>
              <w:bottom w:w="0" w:type="dxa"/>
              <w:right w:w="108" w:type="dxa"/>
            </w:tcMar>
          </w:tcPr>
          <w:p w14:paraId="498399B1" w14:textId="77777777" w:rsidR="000F645A" w:rsidRPr="000A1B74" w:rsidRDefault="000F645A" w:rsidP="00834D82">
            <w:pPr>
              <w:jc w:val="left"/>
              <w:rPr>
                <w:rFonts w:eastAsia="Calibri"/>
                <w:sz w:val="20"/>
                <w:szCs w:val="20"/>
                <w:lang w:val="en-CA"/>
              </w:rPr>
            </w:pPr>
            <w:r w:rsidRPr="000A1B74">
              <w:rPr>
                <w:sz w:val="20"/>
                <w:szCs w:val="20"/>
                <w:lang w:val="en-CA"/>
              </w:rPr>
              <w:t>Cool Coalition, Kigali Cooling Efficiency Program, Sustainable Energy for All y CEA Consulting</w:t>
            </w:r>
          </w:p>
        </w:tc>
      </w:tr>
    </w:tbl>
    <w:p w14:paraId="59C84227" w14:textId="77777777" w:rsidR="00F505AD" w:rsidRPr="000A1B74" w:rsidRDefault="00F505AD" w:rsidP="00F505AD">
      <w:pPr>
        <w:rPr>
          <w:lang w:val="en-CA"/>
        </w:rPr>
      </w:pPr>
    </w:p>
    <w:p w14:paraId="729EADE1" w14:textId="77777777" w:rsidR="00F505AD" w:rsidRPr="000A1B74" w:rsidRDefault="00F505AD" w:rsidP="00F505AD">
      <w:pPr>
        <w:pStyle w:val="Heading1"/>
        <w:keepNext/>
        <w:numPr>
          <w:ilvl w:val="0"/>
          <w:numId w:val="0"/>
        </w:numPr>
        <w:rPr>
          <w:b/>
          <w:color w:val="000000" w:themeColor="text1"/>
        </w:rPr>
      </w:pPr>
      <w:r w:rsidRPr="000A1B74">
        <w:rPr>
          <w:b/>
          <w:color w:val="000000" w:themeColor="text1"/>
        </w:rPr>
        <w:t>Cooperación con acuerdos ambientales multilaterales y otras organizaciones</w:t>
      </w:r>
    </w:p>
    <w:p w14:paraId="4C81772A" w14:textId="77777777" w:rsidR="00F505AD" w:rsidRPr="000A1B74" w:rsidRDefault="00F505AD" w:rsidP="00F505AD">
      <w:pPr>
        <w:pStyle w:val="Heading1"/>
        <w:tabs>
          <w:tab w:val="clear" w:pos="0"/>
        </w:tabs>
        <w:rPr>
          <w:color w:val="000000" w:themeColor="text1"/>
        </w:rPr>
      </w:pPr>
      <w:r w:rsidRPr="000A1B74">
        <w:rPr>
          <w:color w:val="000000" w:themeColor="text1"/>
        </w:rPr>
        <w:t>De conformidad con la decisión 79/1(b), la Secretaría ha incluido en el anexo II del presente documento un panorama general completo de la situación de todas las discusiones con acuerdos ambientales multilaterales y otras organizaciones pertinentes.</w:t>
      </w:r>
    </w:p>
    <w:p w14:paraId="1DC56BCA" w14:textId="77777777" w:rsidR="00F505AD" w:rsidRPr="000A1B74" w:rsidRDefault="00F505AD" w:rsidP="00F505AD">
      <w:pPr>
        <w:rPr>
          <w:u w:val="single"/>
        </w:rPr>
      </w:pPr>
      <w:r w:rsidRPr="000A1B74">
        <w:rPr>
          <w:u w:val="single"/>
        </w:rPr>
        <w:t>Acuerdos ambientales multilaterales</w:t>
      </w:r>
    </w:p>
    <w:p w14:paraId="39C4DC94" w14:textId="77777777" w:rsidR="00F505AD" w:rsidRPr="000A1B74" w:rsidRDefault="00F505AD" w:rsidP="00F505AD">
      <w:pPr>
        <w:rPr>
          <w:u w:val="single"/>
        </w:rPr>
      </w:pPr>
    </w:p>
    <w:p w14:paraId="504EFC72" w14:textId="77777777" w:rsidR="00F505AD" w:rsidRPr="000A1B74" w:rsidRDefault="00F505AD" w:rsidP="00F505AD">
      <w:pPr>
        <w:rPr>
          <w:rStyle w:val="normalchar"/>
          <w:i/>
          <w:color w:val="000000" w:themeColor="text1"/>
        </w:rPr>
      </w:pPr>
      <w:r w:rsidRPr="000A1B74">
        <w:rPr>
          <w:rStyle w:val="normalchar"/>
          <w:i/>
          <w:color w:val="000000" w:themeColor="text1"/>
        </w:rPr>
        <w:t xml:space="preserve">Protocolo de Montreal </w:t>
      </w:r>
    </w:p>
    <w:p w14:paraId="013783B9" w14:textId="77777777" w:rsidR="00F505AD" w:rsidRPr="000A1B74" w:rsidRDefault="00F505AD" w:rsidP="00F505AD">
      <w:pPr>
        <w:rPr>
          <w:rStyle w:val="normalchar"/>
          <w:color w:val="000000" w:themeColor="text1"/>
        </w:rPr>
      </w:pPr>
    </w:p>
    <w:p w14:paraId="49C50FAC" w14:textId="77777777" w:rsidR="00F505AD" w:rsidRPr="000A1B74" w:rsidRDefault="00F505AD" w:rsidP="00F505AD">
      <w:pPr>
        <w:pStyle w:val="Heading1"/>
        <w:tabs>
          <w:tab w:val="clear" w:pos="0"/>
        </w:tabs>
      </w:pPr>
      <w:r w:rsidRPr="000A1B74">
        <w:t>A petición del grupo de trabajo del Grupo de Evaluación Tecnológica y Económica (TEAP), la Secretaría siguió proporcionando respuestas al grupo de trabajo sobre cuestiones relacionadas con la reposición del Fondo Multilateral para el trienio 2021-2023.</w:t>
      </w:r>
    </w:p>
    <w:p w14:paraId="27F70D8F" w14:textId="77777777" w:rsidR="00F505AD" w:rsidRPr="000A1B74" w:rsidRDefault="00F505AD" w:rsidP="00F505AD">
      <w:pPr>
        <w:keepNext/>
        <w:rPr>
          <w:u w:val="single"/>
        </w:rPr>
      </w:pPr>
      <w:r w:rsidRPr="000A1B74">
        <w:rPr>
          <w:u w:val="single"/>
        </w:rPr>
        <w:t>Organizaciones de las Naciones Unidas</w:t>
      </w:r>
    </w:p>
    <w:p w14:paraId="4BCFDE3F" w14:textId="77777777" w:rsidR="00F505AD" w:rsidRPr="000A1B74" w:rsidRDefault="00F505AD" w:rsidP="00F505AD">
      <w:pPr>
        <w:keepNext/>
      </w:pPr>
    </w:p>
    <w:p w14:paraId="008DF2AE" w14:textId="77777777" w:rsidR="005E5327" w:rsidRPr="000A1B74" w:rsidRDefault="005E5327" w:rsidP="005E5327">
      <w:pPr>
        <w:pStyle w:val="StyleHeader4Para4Left0Firstline0"/>
        <w:numPr>
          <w:ilvl w:val="0"/>
          <w:numId w:val="0"/>
        </w:numPr>
        <w:rPr>
          <w:i/>
          <w:sz w:val="22"/>
        </w:rPr>
      </w:pPr>
      <w:r w:rsidRPr="000A1B74">
        <w:rPr>
          <w:i/>
          <w:sz w:val="22"/>
        </w:rPr>
        <w:t>Oficina de Servicios de Supervisión Interna (OSSI)</w:t>
      </w:r>
    </w:p>
    <w:p w14:paraId="60A39DE1" w14:textId="77777777" w:rsidR="005E5327" w:rsidRPr="000A1B74" w:rsidRDefault="005E5327" w:rsidP="005E5327">
      <w:pPr>
        <w:pStyle w:val="Heading1"/>
      </w:pPr>
      <w:r w:rsidRPr="000A1B74">
        <w:t>La OSSI está llevando a cabo una auditoría de la Secretaría, cuyo objetivo es evaluar la eficiencia y la eficacia de la prestación de servicios de la Secretaría al Fondo Multilateral. La auditoría abarcará el periodo comprendido entre el 1 de enero de 2018 y el 31 de diciembre de 2020. La Secretaría comunicará al Comité Ejecutivo los resultados de la auditoría de la OSSI, una vez concluida.</w:t>
      </w:r>
    </w:p>
    <w:p w14:paraId="7FECA211" w14:textId="77777777" w:rsidR="00EE3274" w:rsidRPr="000A1B74" w:rsidRDefault="00EE3274" w:rsidP="00F505AD">
      <w:pPr>
        <w:keepNext/>
        <w:rPr>
          <w:i/>
        </w:rPr>
      </w:pPr>
      <w:r w:rsidRPr="000A1B74">
        <w:rPr>
          <w:i/>
        </w:rPr>
        <w:t>Coalición Clima y Aire Limpio para Reducir los Contaminantes del Clima de Corta Vida (CCAC)</w:t>
      </w:r>
    </w:p>
    <w:p w14:paraId="34126FF8" w14:textId="77777777" w:rsidR="00EE3274" w:rsidRPr="000A1B74" w:rsidRDefault="00EE3274" w:rsidP="00F505AD">
      <w:pPr>
        <w:keepNext/>
        <w:rPr>
          <w:i/>
        </w:rPr>
      </w:pPr>
    </w:p>
    <w:p w14:paraId="425E586E" w14:textId="77777777" w:rsidR="00EE3274" w:rsidRPr="000A1B74" w:rsidRDefault="00EE3274" w:rsidP="00EE3274">
      <w:pPr>
        <w:pStyle w:val="Heading1"/>
      </w:pPr>
      <w:r w:rsidRPr="000A1B74">
        <w:t>El director y algunos oficiales superiores de gestión de programas participaron en el debate de la corriente de trabajo de Kigali, en el que el director también hizo una presentación sobre la visión general del apoyo del Fondo Multilateral a la aplicación de la Enmienda de Kigali.</w:t>
      </w:r>
    </w:p>
    <w:p w14:paraId="7C6BA9E0" w14:textId="77777777" w:rsidR="00371AF9" w:rsidRPr="000A1B74" w:rsidRDefault="00371AF9">
      <w:pPr>
        <w:jc w:val="left"/>
        <w:rPr>
          <w:color w:val="000000" w:themeColor="text1"/>
          <w:u w:val="single"/>
        </w:rPr>
      </w:pPr>
      <w:r w:rsidRPr="000A1B74">
        <w:rPr>
          <w:color w:val="000000" w:themeColor="text1"/>
          <w:u w:val="single"/>
        </w:rPr>
        <w:br w:type="page"/>
      </w:r>
    </w:p>
    <w:p w14:paraId="38735DE9" w14:textId="63778D11" w:rsidR="00F505AD" w:rsidRPr="000A1B74" w:rsidRDefault="00F505AD" w:rsidP="00F505AD">
      <w:pPr>
        <w:pStyle w:val="Heading1"/>
        <w:keepNext/>
        <w:numPr>
          <w:ilvl w:val="0"/>
          <w:numId w:val="0"/>
        </w:numPr>
        <w:rPr>
          <w:color w:val="000000" w:themeColor="text1"/>
          <w:u w:val="single"/>
        </w:rPr>
      </w:pPr>
      <w:r w:rsidRPr="000A1B74">
        <w:rPr>
          <w:color w:val="000000" w:themeColor="text1"/>
          <w:u w:val="single"/>
        </w:rPr>
        <w:lastRenderedPageBreak/>
        <w:t>Otras organizaciones</w:t>
      </w:r>
    </w:p>
    <w:p w14:paraId="3CE68757" w14:textId="77777777" w:rsidR="00F505AD" w:rsidRPr="000A1B74" w:rsidRDefault="00F505AD" w:rsidP="00F505AD">
      <w:pPr>
        <w:rPr>
          <w:i/>
        </w:rPr>
      </w:pPr>
      <w:r w:rsidRPr="000A1B74">
        <w:rPr>
          <w:i/>
        </w:rPr>
        <w:t xml:space="preserve">Gobierno de Francia </w:t>
      </w:r>
    </w:p>
    <w:p w14:paraId="72E2EA52" w14:textId="77777777" w:rsidR="00F505AD" w:rsidRPr="000A1B74" w:rsidRDefault="00F505AD" w:rsidP="00F505AD">
      <w:pPr>
        <w:rPr>
          <w:i/>
        </w:rPr>
      </w:pPr>
    </w:p>
    <w:p w14:paraId="06444434" w14:textId="77777777" w:rsidR="00F505AD" w:rsidRPr="000A1B74" w:rsidRDefault="007F36B0" w:rsidP="00DA7BC0">
      <w:pPr>
        <w:pStyle w:val="Heading1"/>
      </w:pPr>
      <w:r w:rsidRPr="000A1B74">
        <w:t xml:space="preserve">El director continuó proporcionando información y respuestas a las preguntas relacionadas con la evaluación retrospectiva sobre la contribución francesa al Fondo Multilateral, para dar una visión general del Fondo y de los diferentes actores participantes. </w:t>
      </w:r>
    </w:p>
    <w:p w14:paraId="03F92E79" w14:textId="77777777" w:rsidR="00F505AD" w:rsidRPr="000A1B74" w:rsidRDefault="00074A75" w:rsidP="00F505AD">
      <w:pPr>
        <w:pStyle w:val="Heading1"/>
        <w:keepNext/>
        <w:numPr>
          <w:ilvl w:val="0"/>
          <w:numId w:val="0"/>
        </w:numPr>
        <w:rPr>
          <w:i/>
        </w:rPr>
      </w:pPr>
      <w:r w:rsidRPr="000A1B74">
        <w:rPr>
          <w:i/>
        </w:rPr>
        <w:t xml:space="preserve">Red para la Evaluación del Desempeño de las Organizaciones Multilaterales (MOPAN) </w:t>
      </w:r>
    </w:p>
    <w:p w14:paraId="0978988D" w14:textId="77777777" w:rsidR="00F505AD" w:rsidRPr="000A1B74" w:rsidRDefault="00DA7BC0" w:rsidP="005D08D8">
      <w:pPr>
        <w:pStyle w:val="Heading1"/>
      </w:pPr>
      <w:r w:rsidRPr="000A1B74">
        <w:t xml:space="preserve">La Secretaría ha recibido la evaluación del Fondo Multilateral para la Aplicación del Protocolo de Montreal en su versión final y el resumen de la evaluación, que se adjuntan a este documento. Tras la recepción del informe de evaluación, está prevista una discusión bilateral entre las dos Secretarías sobre la evaluación del Fondo Multilateral, la metodología utilizada y la posible flexibilidad para adaptarla al tipo de organización que se evalúe en el futuro. </w:t>
      </w:r>
    </w:p>
    <w:p w14:paraId="7280FC5C" w14:textId="77777777" w:rsidR="007D78C0" w:rsidRPr="000A1B74" w:rsidRDefault="00B13E50" w:rsidP="007D78C0">
      <w:pPr>
        <w:pStyle w:val="Heading1"/>
      </w:pPr>
      <w:r w:rsidRPr="000A1B74">
        <w:t xml:space="preserve">El borrador del plan de contingencia revisado enviado a los miembros del Comité Ejecutivo sugería que el informe de evaluación de la MOPAN podría presentarse a través de una reunión virtual, en la que la Secretaría de la MOPAN haría una presentación del informe a los miembros y a los representantes de los organismos bilaterales y de ejecución. Basándose en los comentarios recibidos de los miembros, la Secretaría incluirá una reunión virtual sobre la evaluación de la MOPAN. </w:t>
      </w:r>
    </w:p>
    <w:p w14:paraId="595E5CE4" w14:textId="77777777" w:rsidR="00B13E50" w:rsidRPr="000A1B74" w:rsidRDefault="007D78C0" w:rsidP="007D78C0">
      <w:pPr>
        <w:pStyle w:val="Heading1"/>
        <w:numPr>
          <w:ilvl w:val="0"/>
          <w:numId w:val="0"/>
        </w:numPr>
      </w:pPr>
      <w:r w:rsidRPr="000A1B74">
        <w:t xml:space="preserve"> </w:t>
      </w:r>
    </w:p>
    <w:p w14:paraId="141E8041" w14:textId="77777777" w:rsidR="00D01424" w:rsidRPr="000A1B74" w:rsidRDefault="00D01424" w:rsidP="004E7F9C">
      <w:pPr>
        <w:sectPr w:rsidR="00D01424" w:rsidRPr="000A1B74"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14:paraId="6C76A94E" w14:textId="77777777" w:rsidR="002D75B7" w:rsidRPr="000A1B74" w:rsidRDefault="002D75B7" w:rsidP="002D75B7">
      <w:pPr>
        <w:pStyle w:val="StyleHeader4Para4Left0Firstline0"/>
        <w:widowControl/>
        <w:numPr>
          <w:ilvl w:val="0"/>
          <w:numId w:val="0"/>
        </w:numPr>
        <w:tabs>
          <w:tab w:val="clear" w:pos="2880"/>
          <w:tab w:val="clear" w:pos="5760"/>
          <w:tab w:val="left" w:pos="3549"/>
        </w:tabs>
        <w:jc w:val="center"/>
        <w:rPr>
          <w:b/>
          <w:color w:val="000000" w:themeColor="text1"/>
        </w:rPr>
      </w:pPr>
      <w:r w:rsidRPr="000A1B74">
        <w:rPr>
          <w:b/>
        </w:rPr>
        <w:lastRenderedPageBreak/>
        <w:t>Anexo II</w:t>
      </w:r>
    </w:p>
    <w:p w14:paraId="1F4A15FD" w14:textId="77777777" w:rsidR="002D75B7" w:rsidRPr="000A1B74" w:rsidRDefault="002D75B7" w:rsidP="002D75B7">
      <w:pPr>
        <w:spacing w:after="240"/>
        <w:jc w:val="center"/>
        <w:rPr>
          <w:b/>
        </w:rPr>
      </w:pPr>
      <w:r w:rsidRPr="000A1B74">
        <w:rPr>
          <w:b/>
        </w:rPr>
        <w:t>ASESORAMIENTO Y/O INFORMACIÓN PROPORCIONADOS POR LA SECRETARÍA DEL FONDO MULTILATERAL A ÓRGANOS QUE NO INTEGRAN EL PROTOCOLO DE MONTREAL</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5"/>
        <w:gridCol w:w="1170"/>
      </w:tblGrid>
      <w:tr w:rsidR="002D75B7" w:rsidRPr="000A1B74" w14:paraId="0E41C268" w14:textId="77777777" w:rsidTr="00DE6AD0">
        <w:trPr>
          <w:cantSplit/>
          <w:tblHeader/>
        </w:trPr>
        <w:tc>
          <w:tcPr>
            <w:tcW w:w="8185" w:type="dxa"/>
            <w:shd w:val="clear" w:color="auto" w:fill="auto"/>
            <w:vAlign w:val="center"/>
            <w:hideMark/>
          </w:tcPr>
          <w:p w14:paraId="783A601A" w14:textId="77777777" w:rsidR="002D75B7" w:rsidRPr="000A1B74" w:rsidRDefault="002D75B7" w:rsidP="00DE6AD0">
            <w:pPr>
              <w:spacing w:before="60" w:after="60"/>
              <w:jc w:val="left"/>
              <w:rPr>
                <w:b/>
                <w:bCs/>
                <w:color w:val="000000" w:themeColor="text1"/>
                <w:sz w:val="20"/>
                <w:szCs w:val="20"/>
              </w:rPr>
            </w:pPr>
            <w:r w:rsidRPr="000A1B74">
              <w:rPr>
                <w:b/>
                <w:color w:val="000000" w:themeColor="text1"/>
                <w:sz w:val="20"/>
              </w:rPr>
              <w:t>Asesoramiento de la Secretaría/deliberaciones mantenidas/interacción</w:t>
            </w:r>
          </w:p>
        </w:tc>
        <w:tc>
          <w:tcPr>
            <w:tcW w:w="1170" w:type="dxa"/>
            <w:shd w:val="clear" w:color="auto" w:fill="auto"/>
            <w:tcMar>
              <w:left w:w="115" w:type="dxa"/>
              <w:right w:w="173" w:type="dxa"/>
            </w:tcMar>
            <w:vAlign w:val="center"/>
            <w:hideMark/>
          </w:tcPr>
          <w:p w14:paraId="7285B370" w14:textId="77777777" w:rsidR="002D75B7" w:rsidRPr="000A1B74" w:rsidRDefault="002D75B7" w:rsidP="00DE6AD0">
            <w:pPr>
              <w:spacing w:before="60" w:after="60"/>
              <w:jc w:val="left"/>
              <w:rPr>
                <w:b/>
                <w:bCs/>
                <w:color w:val="000000" w:themeColor="text1"/>
                <w:sz w:val="20"/>
                <w:szCs w:val="20"/>
              </w:rPr>
            </w:pPr>
            <w:r w:rsidRPr="000A1B74">
              <w:rPr>
                <w:b/>
                <w:color w:val="000000" w:themeColor="text1"/>
                <w:sz w:val="20"/>
              </w:rPr>
              <w:t xml:space="preserve">Reunión </w:t>
            </w:r>
          </w:p>
        </w:tc>
      </w:tr>
      <w:tr w:rsidR="002D75B7" w:rsidRPr="000A1B74" w14:paraId="23988671" w14:textId="77777777" w:rsidTr="00DE6AD0">
        <w:trPr>
          <w:cantSplit/>
        </w:trPr>
        <w:tc>
          <w:tcPr>
            <w:tcW w:w="9355" w:type="dxa"/>
            <w:gridSpan w:val="2"/>
            <w:shd w:val="clear" w:color="auto" w:fill="auto"/>
            <w:tcMar>
              <w:left w:w="115" w:type="dxa"/>
              <w:right w:w="173" w:type="dxa"/>
            </w:tcMar>
            <w:vAlign w:val="center"/>
          </w:tcPr>
          <w:p w14:paraId="0BCBC6DB" w14:textId="77777777" w:rsidR="002D75B7" w:rsidRPr="000A1B74" w:rsidRDefault="002D75B7" w:rsidP="00DE6AD0">
            <w:pPr>
              <w:spacing w:before="60" w:after="60"/>
              <w:jc w:val="left"/>
              <w:rPr>
                <w:b/>
                <w:color w:val="000000" w:themeColor="text1"/>
                <w:sz w:val="20"/>
                <w:szCs w:val="20"/>
              </w:rPr>
            </w:pPr>
            <w:r w:rsidRPr="000A1B74">
              <w:rPr>
                <w:b/>
                <w:color w:val="000000" w:themeColor="text1"/>
                <w:sz w:val="20"/>
              </w:rPr>
              <w:t>Fondo de Adaptación</w:t>
            </w:r>
          </w:p>
        </w:tc>
      </w:tr>
      <w:tr w:rsidR="002D75B7" w:rsidRPr="000A1B74" w14:paraId="34A6A74B" w14:textId="77777777" w:rsidTr="00DE6AD0">
        <w:trPr>
          <w:cantSplit/>
        </w:trPr>
        <w:tc>
          <w:tcPr>
            <w:tcW w:w="8185" w:type="dxa"/>
            <w:shd w:val="clear" w:color="auto" w:fill="auto"/>
            <w:vAlign w:val="center"/>
            <w:hideMark/>
          </w:tcPr>
          <w:p w14:paraId="2D6A7073"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 xml:space="preserve">Explicación de las políticas del Fondo Multilateral sobre los intereses devengados. La información proporcionada por la Secretaría se encuentra en el documento AFB/EFC.18/10 de la 18ª reunión del Comité de Ética y Finanzas, disponible en https://www.adaptation-fund.org/wp-content/uploads/2016/03/AFB-EFC-18.10-Investment-income-doc.pdf. </w:t>
            </w:r>
          </w:p>
        </w:tc>
        <w:tc>
          <w:tcPr>
            <w:tcW w:w="1170" w:type="dxa"/>
            <w:shd w:val="clear" w:color="auto" w:fill="auto"/>
            <w:tcMar>
              <w:left w:w="115" w:type="dxa"/>
              <w:right w:w="173" w:type="dxa"/>
            </w:tcMar>
            <w:vAlign w:val="center"/>
            <w:hideMark/>
          </w:tcPr>
          <w:p w14:paraId="6768A59F"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76</w:t>
            </w:r>
          </w:p>
        </w:tc>
      </w:tr>
      <w:tr w:rsidR="002D75B7" w:rsidRPr="000C1071" w14:paraId="7E8CC11A" w14:textId="77777777" w:rsidTr="00DE6AD0">
        <w:trPr>
          <w:cantSplit/>
        </w:trPr>
        <w:tc>
          <w:tcPr>
            <w:tcW w:w="9355" w:type="dxa"/>
            <w:gridSpan w:val="2"/>
            <w:shd w:val="clear" w:color="auto" w:fill="auto"/>
            <w:tcMar>
              <w:left w:w="115" w:type="dxa"/>
              <w:right w:w="173" w:type="dxa"/>
            </w:tcMar>
            <w:vAlign w:val="center"/>
          </w:tcPr>
          <w:p w14:paraId="786CBC9D" w14:textId="77777777" w:rsidR="002D75B7" w:rsidRPr="000A1B74" w:rsidRDefault="002D75B7" w:rsidP="00DE6AD0">
            <w:pPr>
              <w:spacing w:before="60" w:after="60"/>
              <w:jc w:val="left"/>
              <w:rPr>
                <w:b/>
                <w:color w:val="000000" w:themeColor="text1"/>
                <w:sz w:val="20"/>
                <w:szCs w:val="20"/>
                <w:lang w:val="en-US"/>
              </w:rPr>
            </w:pPr>
            <w:r w:rsidRPr="000A1B74">
              <w:rPr>
                <w:b/>
                <w:color w:val="000000" w:themeColor="text1"/>
                <w:sz w:val="20"/>
                <w:lang w:val="en-US"/>
              </w:rPr>
              <w:t>Arab Forum for Environment and Development</w:t>
            </w:r>
          </w:p>
        </w:tc>
      </w:tr>
      <w:tr w:rsidR="002D75B7" w:rsidRPr="000A1B74" w14:paraId="1B617C90" w14:textId="77777777" w:rsidTr="00DE6AD0">
        <w:trPr>
          <w:cantSplit/>
        </w:trPr>
        <w:tc>
          <w:tcPr>
            <w:tcW w:w="8185" w:type="dxa"/>
            <w:shd w:val="clear" w:color="auto" w:fill="auto"/>
            <w:vAlign w:val="center"/>
          </w:tcPr>
          <w:p w14:paraId="78D8FC33" w14:textId="77777777" w:rsidR="002D75B7" w:rsidRPr="000A1B74" w:rsidRDefault="002D75B7" w:rsidP="00DE6AD0">
            <w:pPr>
              <w:spacing w:before="60" w:after="60"/>
              <w:jc w:val="left"/>
              <w:rPr>
                <w:color w:val="000000" w:themeColor="text1"/>
                <w:sz w:val="20"/>
                <w:szCs w:val="20"/>
              </w:rPr>
            </w:pPr>
            <w:r w:rsidRPr="000A1B74">
              <w:rPr>
                <w:sz w:val="20"/>
              </w:rPr>
              <w:t xml:space="preserve">Un artículo sobre la experiencia del Fondo Multilateral en la región árabe para la memoria anual de 2018 del Arab Forum for Environment and Development. </w:t>
            </w:r>
          </w:p>
        </w:tc>
        <w:tc>
          <w:tcPr>
            <w:tcW w:w="1170" w:type="dxa"/>
            <w:shd w:val="clear" w:color="auto" w:fill="auto"/>
            <w:tcMar>
              <w:left w:w="115" w:type="dxa"/>
              <w:right w:w="173" w:type="dxa"/>
            </w:tcMar>
            <w:vAlign w:val="center"/>
          </w:tcPr>
          <w:p w14:paraId="3750372D"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81</w:t>
            </w:r>
          </w:p>
        </w:tc>
      </w:tr>
      <w:tr w:rsidR="002D75B7" w:rsidRPr="000C1071" w14:paraId="08DAA296" w14:textId="77777777" w:rsidTr="00DE6AD0">
        <w:trPr>
          <w:cantSplit/>
        </w:trPr>
        <w:tc>
          <w:tcPr>
            <w:tcW w:w="9355" w:type="dxa"/>
            <w:gridSpan w:val="2"/>
            <w:shd w:val="clear" w:color="auto" w:fill="auto"/>
            <w:tcMar>
              <w:left w:w="115" w:type="dxa"/>
              <w:right w:w="173" w:type="dxa"/>
            </w:tcMar>
            <w:vAlign w:val="center"/>
          </w:tcPr>
          <w:p w14:paraId="05F4512B" w14:textId="77777777" w:rsidR="002D75B7" w:rsidRPr="000A1B74" w:rsidRDefault="002D75B7" w:rsidP="00DE6AD0">
            <w:pPr>
              <w:spacing w:before="60" w:after="60"/>
              <w:jc w:val="left"/>
              <w:rPr>
                <w:b/>
                <w:color w:val="000000" w:themeColor="text1"/>
                <w:sz w:val="20"/>
                <w:szCs w:val="20"/>
                <w:lang w:val="en-US"/>
              </w:rPr>
            </w:pPr>
            <w:r w:rsidRPr="000A1B74">
              <w:rPr>
                <w:b/>
                <w:color w:val="000000" w:themeColor="text1"/>
                <w:sz w:val="20"/>
                <w:lang w:val="en-US"/>
              </w:rPr>
              <w:t>Center for Climate and Energy Solutions (anteriormente, Pew Center on Climate Change)</w:t>
            </w:r>
          </w:p>
        </w:tc>
      </w:tr>
      <w:tr w:rsidR="002D75B7" w:rsidRPr="000A1B74" w14:paraId="30C58AB3" w14:textId="77777777" w:rsidTr="00DE6AD0">
        <w:trPr>
          <w:cantSplit/>
        </w:trPr>
        <w:tc>
          <w:tcPr>
            <w:tcW w:w="8185" w:type="dxa"/>
            <w:shd w:val="clear" w:color="auto" w:fill="auto"/>
            <w:vAlign w:val="center"/>
            <w:hideMark/>
          </w:tcPr>
          <w:p w14:paraId="469BFE4D"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Documentos UNEP/OzL.Pro/ExCom/37/59, UNEP/OzL.Pro/ExCom/38/54 y Add.1; texto de las decisiones 37/62 y 38/63; Directrices para la financiación de tecnología que no es de dominio público (Anexo XIV UNEP/OzL.Pro/ExCom/38/70/rev.1); observaciones sobre aranceles de licencias y regalías para la transferencia de tecnología para diferentes tipos de proyectos (dióxido de carbono líquido, inhaladores de dosis medidas, mullido de tabaco, HFC-32 para el sector de refrigeración, CO</w:t>
            </w:r>
            <w:r w:rsidRPr="000A1B74">
              <w:rPr>
                <w:color w:val="000000" w:themeColor="text1"/>
                <w:sz w:val="20"/>
                <w:vertAlign w:val="subscript"/>
              </w:rPr>
              <w:t>2</w:t>
            </w:r>
            <w:r w:rsidRPr="000A1B74">
              <w:rPr>
                <w:color w:val="000000" w:themeColor="text1"/>
                <w:sz w:val="20"/>
              </w:rPr>
              <w:t xml:space="preserve"> supercrítico y sector de producción de HCFC).</w:t>
            </w:r>
          </w:p>
        </w:tc>
        <w:tc>
          <w:tcPr>
            <w:tcW w:w="1170" w:type="dxa"/>
            <w:shd w:val="clear" w:color="auto" w:fill="auto"/>
            <w:tcMar>
              <w:left w:w="115" w:type="dxa"/>
              <w:right w:w="173" w:type="dxa"/>
            </w:tcMar>
            <w:vAlign w:val="center"/>
            <w:hideMark/>
          </w:tcPr>
          <w:p w14:paraId="6977B772"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 xml:space="preserve">75 </w:t>
            </w:r>
          </w:p>
        </w:tc>
      </w:tr>
      <w:tr w:rsidR="002D75B7" w:rsidRPr="000A1B74" w14:paraId="70DF1190" w14:textId="77777777" w:rsidTr="00DE6AD0">
        <w:trPr>
          <w:cantSplit/>
        </w:trPr>
        <w:tc>
          <w:tcPr>
            <w:tcW w:w="9355" w:type="dxa"/>
            <w:gridSpan w:val="2"/>
            <w:shd w:val="clear" w:color="auto" w:fill="auto"/>
            <w:tcMar>
              <w:left w:w="115" w:type="dxa"/>
              <w:right w:w="173" w:type="dxa"/>
            </w:tcMar>
            <w:vAlign w:val="center"/>
          </w:tcPr>
          <w:p w14:paraId="2566B94A" w14:textId="77777777" w:rsidR="002D75B7" w:rsidRPr="000A1B74" w:rsidRDefault="002D75B7" w:rsidP="00DE6AD0">
            <w:pPr>
              <w:spacing w:before="60" w:after="60"/>
              <w:jc w:val="left"/>
              <w:rPr>
                <w:color w:val="000000" w:themeColor="text1"/>
                <w:sz w:val="20"/>
                <w:szCs w:val="20"/>
              </w:rPr>
            </w:pPr>
            <w:r w:rsidRPr="000A1B74">
              <w:rPr>
                <w:b/>
                <w:color w:val="000000" w:themeColor="text1"/>
                <w:sz w:val="20"/>
              </w:rPr>
              <w:t>Coalición Clima y Aire Limpio para Reducir los Contaminantes del Clima de Corta Vida (CCAC)</w:t>
            </w:r>
          </w:p>
        </w:tc>
      </w:tr>
      <w:tr w:rsidR="002D75B7" w:rsidRPr="000A1B74" w14:paraId="2C4F198B" w14:textId="77777777" w:rsidTr="00DE6AD0">
        <w:trPr>
          <w:cantSplit/>
        </w:trPr>
        <w:tc>
          <w:tcPr>
            <w:tcW w:w="8185" w:type="dxa"/>
            <w:shd w:val="clear" w:color="auto" w:fill="auto"/>
            <w:vAlign w:val="center"/>
          </w:tcPr>
          <w:p w14:paraId="38B1BEAB" w14:textId="77777777" w:rsidR="002D75B7" w:rsidRPr="000A1B74" w:rsidRDefault="002D75B7" w:rsidP="00DE6AD0">
            <w:pPr>
              <w:spacing w:before="60" w:after="60"/>
              <w:jc w:val="left"/>
              <w:rPr>
                <w:color w:val="000000" w:themeColor="text1"/>
                <w:sz w:val="20"/>
              </w:rPr>
            </w:pPr>
            <w:r w:rsidRPr="000A1B74">
              <w:rPr>
                <w:b/>
                <w:color w:val="000000" w:themeColor="text1"/>
                <w:sz w:val="20"/>
                <w:szCs w:val="20"/>
              </w:rPr>
              <w:t>Presentación sobre la visión general del apoyo del Fondo Multilateral a la aplicación de la Enmienda de Kigali en el contexto del debate sobre la corriente de trabajo de Kigali.</w:t>
            </w:r>
          </w:p>
        </w:tc>
        <w:tc>
          <w:tcPr>
            <w:tcW w:w="1170" w:type="dxa"/>
            <w:shd w:val="clear" w:color="auto" w:fill="auto"/>
            <w:tcMar>
              <w:left w:w="115" w:type="dxa"/>
              <w:right w:w="173" w:type="dxa"/>
            </w:tcMar>
            <w:vAlign w:val="center"/>
          </w:tcPr>
          <w:p w14:paraId="15EC7B9E" w14:textId="77777777" w:rsidR="002D75B7" w:rsidRPr="000A1B74" w:rsidRDefault="002D75B7" w:rsidP="00DE6AD0">
            <w:pPr>
              <w:spacing w:before="60" w:after="60"/>
              <w:jc w:val="right"/>
              <w:rPr>
                <w:color w:val="000000" w:themeColor="text1"/>
                <w:sz w:val="20"/>
              </w:rPr>
            </w:pPr>
            <w:r w:rsidRPr="000A1B74">
              <w:rPr>
                <w:b/>
                <w:color w:val="000000" w:themeColor="text1"/>
                <w:sz w:val="20"/>
                <w:szCs w:val="20"/>
              </w:rPr>
              <w:t>86</w:t>
            </w:r>
          </w:p>
        </w:tc>
      </w:tr>
      <w:tr w:rsidR="002D75B7" w:rsidRPr="000A1B74" w14:paraId="3733F548" w14:textId="77777777" w:rsidTr="00DE6AD0">
        <w:trPr>
          <w:cantSplit/>
        </w:trPr>
        <w:tc>
          <w:tcPr>
            <w:tcW w:w="8185" w:type="dxa"/>
            <w:shd w:val="clear" w:color="auto" w:fill="auto"/>
            <w:vAlign w:val="center"/>
          </w:tcPr>
          <w:p w14:paraId="7193A55C"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Se mantuvieron consultas oficiosas con la Secretaría de la CCAC acerca de una nueva iniciativa sobre refrigeración eficiente que había sido aprobada provisionalmente por el grupo de trabajo de la CCAC a fin de ayudar a fomentar el liderazgo de alto nivel y facilitar la colaboración entre los interesados directos, con miras a promover una mayor eficiencia energética en el sector de refrigeración a medida que los países llevan a cabo la reducción de los refrigerantes con HFC en el marco del Protocolo de Montreal.</w:t>
            </w:r>
          </w:p>
        </w:tc>
        <w:tc>
          <w:tcPr>
            <w:tcW w:w="1170" w:type="dxa"/>
            <w:shd w:val="clear" w:color="auto" w:fill="auto"/>
            <w:tcMar>
              <w:left w:w="115" w:type="dxa"/>
              <w:right w:w="173" w:type="dxa"/>
            </w:tcMar>
            <w:vAlign w:val="center"/>
          </w:tcPr>
          <w:p w14:paraId="483BBFA5"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83</w:t>
            </w:r>
          </w:p>
        </w:tc>
      </w:tr>
      <w:tr w:rsidR="002D75B7" w:rsidRPr="000A1B74" w14:paraId="07DF0974" w14:textId="77777777" w:rsidTr="00DE6AD0">
        <w:trPr>
          <w:cantSplit/>
        </w:trPr>
        <w:tc>
          <w:tcPr>
            <w:tcW w:w="8185" w:type="dxa"/>
            <w:shd w:val="clear" w:color="auto" w:fill="auto"/>
            <w:vAlign w:val="center"/>
            <w:hideMark/>
          </w:tcPr>
          <w:p w14:paraId="5F55AAEA"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Reseña de los proyectos de demostración de HCFC aprobados y opciones para varios proyectos adicionales con el fin de demostrar tecnologías alternativas a los HCFC, inocuas para el clima y de alto rendimiento energético (UNEP/OzL.Pro/ExCom/72/40). Reunión informativa sobre estudios de alternativas a las SAO financiados por el Fondo Multilateral; posibles oportunidades para la CCAC en los países con economías en transición; lecciones aprendidas del Fondo Multilateral que podrían aplicarse al proceso de examen técnico y el ciclo de financiación de los proyectos de la CCAC.</w:t>
            </w:r>
          </w:p>
        </w:tc>
        <w:tc>
          <w:tcPr>
            <w:tcW w:w="1170" w:type="dxa"/>
            <w:shd w:val="clear" w:color="auto" w:fill="auto"/>
            <w:tcMar>
              <w:left w:w="115" w:type="dxa"/>
              <w:right w:w="173" w:type="dxa"/>
            </w:tcMar>
            <w:vAlign w:val="center"/>
            <w:hideMark/>
          </w:tcPr>
          <w:p w14:paraId="748AB217"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 xml:space="preserve">75 </w:t>
            </w:r>
          </w:p>
        </w:tc>
      </w:tr>
      <w:tr w:rsidR="002D75B7" w:rsidRPr="000A1B74" w14:paraId="40B19EB0" w14:textId="77777777" w:rsidTr="00DE6AD0">
        <w:trPr>
          <w:cantSplit/>
        </w:trPr>
        <w:tc>
          <w:tcPr>
            <w:tcW w:w="8185" w:type="dxa"/>
            <w:shd w:val="clear" w:color="auto" w:fill="auto"/>
            <w:vAlign w:val="center"/>
            <w:hideMark/>
          </w:tcPr>
          <w:p w14:paraId="127A6C9A"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Documento 72/40, Reseña de los proyectos de demostración de HCFC aprobados y opciones para varios proyectos adicionales con el fin de demostrar tecnologías alternativas a los HCFC, inocuas para el clima y de alto rendimiento energético (decisión 71/51 a)), que resume los resultados de los proyectos de demostración del Fondo Multilateral aprobados hasta ahora.</w:t>
            </w:r>
          </w:p>
        </w:tc>
        <w:tc>
          <w:tcPr>
            <w:tcW w:w="1170" w:type="dxa"/>
            <w:shd w:val="clear" w:color="auto" w:fill="auto"/>
            <w:tcMar>
              <w:left w:w="115" w:type="dxa"/>
              <w:right w:w="173" w:type="dxa"/>
            </w:tcMar>
            <w:vAlign w:val="center"/>
            <w:hideMark/>
          </w:tcPr>
          <w:p w14:paraId="7DA51207"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74</w:t>
            </w:r>
          </w:p>
        </w:tc>
      </w:tr>
      <w:tr w:rsidR="002D75B7" w:rsidRPr="000A1B74" w14:paraId="1A3AA41F" w14:textId="77777777" w:rsidTr="00DE6AD0">
        <w:trPr>
          <w:cantSplit/>
        </w:trPr>
        <w:tc>
          <w:tcPr>
            <w:tcW w:w="9355" w:type="dxa"/>
            <w:gridSpan w:val="2"/>
            <w:shd w:val="clear" w:color="auto" w:fill="auto"/>
            <w:tcMar>
              <w:left w:w="115" w:type="dxa"/>
              <w:right w:w="173" w:type="dxa"/>
            </w:tcMar>
            <w:vAlign w:val="center"/>
          </w:tcPr>
          <w:p w14:paraId="7921A16C" w14:textId="77777777" w:rsidR="002D75B7" w:rsidRPr="000A1B74" w:rsidRDefault="002D75B7" w:rsidP="00DE6AD0">
            <w:pPr>
              <w:spacing w:before="60" w:after="60"/>
              <w:jc w:val="left"/>
              <w:rPr>
                <w:b/>
                <w:color w:val="000000" w:themeColor="text1"/>
                <w:sz w:val="20"/>
                <w:szCs w:val="20"/>
              </w:rPr>
            </w:pPr>
            <w:r w:rsidRPr="000A1B74">
              <w:rPr>
                <w:b/>
                <w:color w:val="000000" w:themeColor="text1"/>
                <w:sz w:val="20"/>
              </w:rPr>
              <w:t>Centro y Red de Tecnología del Clima</w:t>
            </w:r>
          </w:p>
        </w:tc>
      </w:tr>
      <w:tr w:rsidR="002D75B7" w:rsidRPr="000A1B74" w14:paraId="22435348" w14:textId="77777777" w:rsidTr="00DE6AD0">
        <w:trPr>
          <w:cantSplit/>
        </w:trPr>
        <w:tc>
          <w:tcPr>
            <w:tcW w:w="8185" w:type="dxa"/>
            <w:shd w:val="clear" w:color="auto" w:fill="auto"/>
            <w:vAlign w:val="center"/>
            <w:hideMark/>
          </w:tcPr>
          <w:p w14:paraId="56B704B7"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Presentación sobre creación de capacidad en el contexto del Fondo Multilateral como material de referencia para la VI Reunión del Consejo Consultivo. Información general sobre el Fondo Multilateral y documentos de antecedentes.</w:t>
            </w:r>
          </w:p>
        </w:tc>
        <w:tc>
          <w:tcPr>
            <w:tcW w:w="1170" w:type="dxa"/>
            <w:shd w:val="clear" w:color="auto" w:fill="auto"/>
            <w:tcMar>
              <w:left w:w="115" w:type="dxa"/>
              <w:right w:w="173" w:type="dxa"/>
            </w:tcMar>
            <w:vAlign w:val="center"/>
          </w:tcPr>
          <w:p w14:paraId="463CB6F3"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75</w:t>
            </w:r>
          </w:p>
        </w:tc>
      </w:tr>
      <w:tr w:rsidR="002D75B7" w:rsidRPr="000A1B74" w14:paraId="7C18D613" w14:textId="77777777" w:rsidTr="00DE6AD0">
        <w:trPr>
          <w:cantSplit/>
        </w:trPr>
        <w:tc>
          <w:tcPr>
            <w:tcW w:w="9355" w:type="dxa"/>
            <w:gridSpan w:val="2"/>
            <w:shd w:val="clear" w:color="auto" w:fill="auto"/>
            <w:tcMar>
              <w:left w:w="115" w:type="dxa"/>
              <w:right w:w="173" w:type="dxa"/>
            </w:tcMar>
            <w:vAlign w:val="center"/>
          </w:tcPr>
          <w:p w14:paraId="0BDEC42E" w14:textId="77777777" w:rsidR="002D75B7" w:rsidRPr="000A1B74" w:rsidRDefault="002D75B7" w:rsidP="00DE6AD0">
            <w:pPr>
              <w:keepNext/>
              <w:spacing w:before="60" w:after="60"/>
              <w:jc w:val="left"/>
              <w:rPr>
                <w:color w:val="000000" w:themeColor="text1"/>
                <w:sz w:val="20"/>
                <w:szCs w:val="20"/>
              </w:rPr>
            </w:pPr>
            <w:r w:rsidRPr="000A1B74">
              <w:rPr>
                <w:b/>
                <w:color w:val="000000" w:themeColor="text1"/>
                <w:sz w:val="20"/>
              </w:rPr>
              <w:lastRenderedPageBreak/>
              <w:t>Unión Europea/Parlamento Europeo</w:t>
            </w:r>
          </w:p>
        </w:tc>
      </w:tr>
      <w:tr w:rsidR="002D75B7" w:rsidRPr="000A1B74" w14:paraId="611DD30B" w14:textId="77777777" w:rsidTr="00DE6AD0">
        <w:trPr>
          <w:cantSplit/>
        </w:trPr>
        <w:tc>
          <w:tcPr>
            <w:tcW w:w="8185" w:type="dxa"/>
            <w:shd w:val="clear" w:color="auto" w:fill="auto"/>
            <w:vAlign w:val="center"/>
            <w:hideMark/>
          </w:tcPr>
          <w:p w14:paraId="5FD98E09"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Durante la 25ª Reunión de las Partes, el Parlamento Europeo solicitó al director mantener deliberaciones bilaterales para tratar cuestiones relativas al Fondo Multilateral, tales como los recursos necesarios para la reposición del Fondo Multilateral y propuestas para contribuciones adicionales destinadas a financiar beneficios climáticos. Por consiguiente, el director ofreció a los dos representantes del Parlamento Europeo una exposición breve en la que explicó el funcionamiento del Fondo Multilateral.</w:t>
            </w:r>
          </w:p>
        </w:tc>
        <w:tc>
          <w:tcPr>
            <w:tcW w:w="1170" w:type="dxa"/>
            <w:shd w:val="clear" w:color="auto" w:fill="auto"/>
            <w:tcMar>
              <w:left w:w="115" w:type="dxa"/>
              <w:right w:w="173" w:type="dxa"/>
            </w:tcMar>
            <w:vAlign w:val="center"/>
            <w:hideMark/>
          </w:tcPr>
          <w:p w14:paraId="382AE848"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71</w:t>
            </w:r>
          </w:p>
        </w:tc>
      </w:tr>
      <w:tr w:rsidR="002D75B7" w:rsidRPr="000A1B74" w14:paraId="4A375D7F" w14:textId="77777777" w:rsidTr="00DE6AD0">
        <w:trPr>
          <w:cantSplit/>
        </w:trPr>
        <w:tc>
          <w:tcPr>
            <w:tcW w:w="9355" w:type="dxa"/>
            <w:gridSpan w:val="2"/>
            <w:shd w:val="clear" w:color="auto" w:fill="auto"/>
            <w:tcMar>
              <w:left w:w="115" w:type="dxa"/>
              <w:right w:w="173" w:type="dxa"/>
            </w:tcMar>
            <w:vAlign w:val="center"/>
          </w:tcPr>
          <w:p w14:paraId="50363260" w14:textId="77777777" w:rsidR="002D75B7" w:rsidRPr="000A1B74" w:rsidRDefault="002D75B7" w:rsidP="00DE6AD0">
            <w:pPr>
              <w:keepNext/>
              <w:spacing w:before="60" w:after="60"/>
              <w:jc w:val="left"/>
              <w:rPr>
                <w:color w:val="000000" w:themeColor="text1"/>
                <w:sz w:val="20"/>
                <w:szCs w:val="20"/>
              </w:rPr>
            </w:pPr>
            <w:r w:rsidRPr="000A1B74">
              <w:rPr>
                <w:b/>
                <w:color w:val="000000" w:themeColor="text1"/>
                <w:sz w:val="20"/>
              </w:rPr>
              <w:t>Ministerio de Cooperación y Desarrollo Económicos de Alemania</w:t>
            </w:r>
          </w:p>
        </w:tc>
      </w:tr>
      <w:tr w:rsidR="002D75B7" w:rsidRPr="000A1B74" w14:paraId="38ABAC3C" w14:textId="77777777" w:rsidTr="00DE6AD0">
        <w:trPr>
          <w:cantSplit/>
        </w:trPr>
        <w:tc>
          <w:tcPr>
            <w:tcW w:w="8185" w:type="dxa"/>
            <w:shd w:val="clear" w:color="auto" w:fill="auto"/>
            <w:vAlign w:val="center"/>
            <w:hideMark/>
          </w:tcPr>
          <w:p w14:paraId="490ABC0F"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Información sobre los logros del Fondo Multilateral y un resumen de los proyectos aprobados y ejecutados por Alemania como organismo bilateral.</w:t>
            </w:r>
          </w:p>
        </w:tc>
        <w:tc>
          <w:tcPr>
            <w:tcW w:w="1170" w:type="dxa"/>
            <w:shd w:val="clear" w:color="auto" w:fill="auto"/>
            <w:tcMar>
              <w:left w:w="115" w:type="dxa"/>
              <w:right w:w="173" w:type="dxa"/>
            </w:tcMar>
            <w:vAlign w:val="center"/>
            <w:hideMark/>
          </w:tcPr>
          <w:p w14:paraId="3BDD6D02"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77</w:t>
            </w:r>
          </w:p>
        </w:tc>
      </w:tr>
      <w:tr w:rsidR="002D75B7" w:rsidRPr="000A1B74" w14:paraId="40544AEE" w14:textId="77777777" w:rsidTr="00DE6AD0">
        <w:trPr>
          <w:cantSplit/>
        </w:trPr>
        <w:tc>
          <w:tcPr>
            <w:tcW w:w="9355" w:type="dxa"/>
            <w:gridSpan w:val="2"/>
            <w:shd w:val="clear" w:color="auto" w:fill="auto"/>
            <w:tcMar>
              <w:left w:w="115" w:type="dxa"/>
              <w:right w:w="173" w:type="dxa"/>
            </w:tcMar>
            <w:vAlign w:val="center"/>
          </w:tcPr>
          <w:p w14:paraId="2CFB50B7" w14:textId="77777777" w:rsidR="002D75B7" w:rsidRPr="000A1B74" w:rsidRDefault="002D75B7" w:rsidP="00DE6AD0">
            <w:pPr>
              <w:spacing w:before="60" w:after="60"/>
              <w:jc w:val="left"/>
              <w:rPr>
                <w:b/>
                <w:color w:val="000000" w:themeColor="text1"/>
                <w:sz w:val="20"/>
                <w:szCs w:val="20"/>
              </w:rPr>
            </w:pPr>
            <w:r w:rsidRPr="000A1B74">
              <w:rPr>
                <w:b/>
                <w:color w:val="000000" w:themeColor="text1"/>
                <w:sz w:val="20"/>
              </w:rPr>
              <w:t>Fondo para el Medio Ambiente Mundial (FMAM)</w:t>
            </w:r>
          </w:p>
        </w:tc>
      </w:tr>
      <w:tr w:rsidR="002D75B7" w:rsidRPr="000A1B74" w14:paraId="03895C76" w14:textId="77777777" w:rsidTr="00DE6AD0">
        <w:trPr>
          <w:cantSplit/>
        </w:trPr>
        <w:tc>
          <w:tcPr>
            <w:tcW w:w="8185" w:type="dxa"/>
            <w:shd w:val="clear" w:color="auto" w:fill="auto"/>
            <w:vAlign w:val="center"/>
          </w:tcPr>
          <w:p w14:paraId="7CCB6D1D" w14:textId="77777777" w:rsidR="002D75B7" w:rsidRPr="000A1B74" w:rsidRDefault="002D75B7" w:rsidP="00DE6AD0">
            <w:pPr>
              <w:spacing w:before="60" w:after="60"/>
              <w:jc w:val="left"/>
              <w:rPr>
                <w:b/>
                <w:color w:val="000000" w:themeColor="text1"/>
                <w:sz w:val="20"/>
                <w:szCs w:val="20"/>
              </w:rPr>
            </w:pPr>
            <w:r w:rsidRPr="000A1B74">
              <w:rPr>
                <w:b/>
                <w:color w:val="000000" w:themeColor="text1"/>
                <w:sz w:val="20"/>
              </w:rPr>
              <w:t>La Secretaría participó en el taller sobre el logro de múltiples beneficios ambientales mundiales por medio de la gestión racional de los productos químicos y los desechos, organizado por el Grupo Asesor Científico y Tecnológico, y durante los debates se le solicitó que proporcionara vínculos, especialmente respecto del agotamiento del ozono.</w:t>
            </w:r>
          </w:p>
        </w:tc>
        <w:tc>
          <w:tcPr>
            <w:tcW w:w="1170" w:type="dxa"/>
            <w:shd w:val="clear" w:color="auto" w:fill="auto"/>
            <w:tcMar>
              <w:left w:w="115" w:type="dxa"/>
              <w:right w:w="173" w:type="dxa"/>
            </w:tcMar>
            <w:vAlign w:val="center"/>
          </w:tcPr>
          <w:p w14:paraId="2325FDE1" w14:textId="77777777" w:rsidR="002D75B7" w:rsidRPr="000A1B74" w:rsidRDefault="002D75B7" w:rsidP="00DE6AD0">
            <w:pPr>
              <w:spacing w:before="60" w:after="60"/>
              <w:jc w:val="right"/>
              <w:rPr>
                <w:b/>
                <w:color w:val="000000" w:themeColor="text1"/>
                <w:sz w:val="20"/>
                <w:szCs w:val="20"/>
              </w:rPr>
            </w:pPr>
            <w:r w:rsidRPr="000A1B74">
              <w:rPr>
                <w:b/>
                <w:color w:val="000000" w:themeColor="text1"/>
                <w:sz w:val="20"/>
              </w:rPr>
              <w:t>86</w:t>
            </w:r>
          </w:p>
        </w:tc>
      </w:tr>
      <w:tr w:rsidR="002D75B7" w:rsidRPr="000A1B74" w14:paraId="19C64EFB" w14:textId="77777777" w:rsidTr="00DE6AD0">
        <w:trPr>
          <w:cantSplit/>
        </w:trPr>
        <w:tc>
          <w:tcPr>
            <w:tcW w:w="8185" w:type="dxa"/>
            <w:shd w:val="clear" w:color="auto" w:fill="auto"/>
            <w:vAlign w:val="center"/>
          </w:tcPr>
          <w:p w14:paraId="47ACC56D" w14:textId="77777777" w:rsidR="002D75B7" w:rsidRPr="000A1B74" w:rsidRDefault="002D75B7" w:rsidP="00DE6AD0">
            <w:pPr>
              <w:spacing w:before="60" w:after="60"/>
              <w:jc w:val="left"/>
              <w:rPr>
                <w:b/>
                <w:color w:val="000000" w:themeColor="text1"/>
                <w:sz w:val="20"/>
                <w:szCs w:val="20"/>
              </w:rPr>
            </w:pPr>
            <w:r w:rsidRPr="000A1B74">
              <w:rPr>
                <w:b/>
                <w:color w:val="000000" w:themeColor="text1"/>
                <w:sz w:val="20"/>
              </w:rPr>
              <w:t>Comentarios sobre las intervenciones relacionadas con las actividades de apoyo, el fortalecimiento institucional y el apoyo para la ratificación de la Enmienda de Kigali en los países de economía en transición y examen de un plan para Tayikistán.</w:t>
            </w:r>
          </w:p>
        </w:tc>
        <w:tc>
          <w:tcPr>
            <w:tcW w:w="1170" w:type="dxa"/>
            <w:shd w:val="clear" w:color="auto" w:fill="auto"/>
            <w:tcMar>
              <w:left w:w="115" w:type="dxa"/>
              <w:right w:w="173" w:type="dxa"/>
            </w:tcMar>
            <w:vAlign w:val="center"/>
          </w:tcPr>
          <w:p w14:paraId="4A1EC708" w14:textId="77777777" w:rsidR="002D75B7" w:rsidRPr="000A1B74" w:rsidRDefault="002D75B7" w:rsidP="00DE6AD0">
            <w:pPr>
              <w:spacing w:before="60" w:after="60"/>
              <w:jc w:val="right"/>
              <w:rPr>
                <w:b/>
                <w:color w:val="000000" w:themeColor="text1"/>
                <w:sz w:val="20"/>
                <w:szCs w:val="20"/>
              </w:rPr>
            </w:pPr>
            <w:r w:rsidRPr="000A1B74">
              <w:rPr>
                <w:b/>
                <w:color w:val="000000" w:themeColor="text1"/>
                <w:sz w:val="20"/>
              </w:rPr>
              <w:t>86</w:t>
            </w:r>
          </w:p>
        </w:tc>
      </w:tr>
      <w:tr w:rsidR="002D75B7" w:rsidRPr="000A1B74" w14:paraId="1026829C" w14:textId="77777777" w:rsidTr="00DE6AD0">
        <w:trPr>
          <w:cantSplit/>
        </w:trPr>
        <w:tc>
          <w:tcPr>
            <w:tcW w:w="8185" w:type="dxa"/>
            <w:shd w:val="clear" w:color="auto" w:fill="auto"/>
            <w:vAlign w:val="center"/>
          </w:tcPr>
          <w:p w14:paraId="67D0BB30" w14:textId="77777777" w:rsidR="002D75B7" w:rsidRPr="000A1B74" w:rsidRDefault="002D75B7" w:rsidP="00DE6AD0">
            <w:pPr>
              <w:spacing w:before="60" w:after="60"/>
              <w:jc w:val="left"/>
              <w:rPr>
                <w:sz w:val="20"/>
                <w:szCs w:val="20"/>
              </w:rPr>
            </w:pPr>
            <w:r w:rsidRPr="000A1B74">
              <w:rPr>
                <w:sz w:val="20"/>
              </w:rPr>
              <w:t>Debates en línea oficiosos entre la Secretaría y personal del FMAM acerca de posibilidades de mayor colaboración en asuntos relacionados con la eficiencia energética.</w:t>
            </w:r>
          </w:p>
        </w:tc>
        <w:tc>
          <w:tcPr>
            <w:tcW w:w="1170" w:type="dxa"/>
            <w:shd w:val="clear" w:color="auto" w:fill="auto"/>
            <w:tcMar>
              <w:left w:w="115" w:type="dxa"/>
              <w:right w:w="173" w:type="dxa"/>
            </w:tcMar>
            <w:vAlign w:val="center"/>
          </w:tcPr>
          <w:p w14:paraId="4DAA0FA1"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85</w:t>
            </w:r>
          </w:p>
        </w:tc>
      </w:tr>
      <w:tr w:rsidR="002D75B7" w:rsidRPr="000A1B74" w14:paraId="613BF7D3" w14:textId="77777777" w:rsidTr="00DE6AD0">
        <w:trPr>
          <w:cantSplit/>
        </w:trPr>
        <w:tc>
          <w:tcPr>
            <w:tcW w:w="8185" w:type="dxa"/>
            <w:shd w:val="clear" w:color="auto" w:fill="auto"/>
            <w:vAlign w:val="center"/>
          </w:tcPr>
          <w:p w14:paraId="306D5C76"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Examen de un proyecto: Eficiencia energética para acondicionadores de aire para la India.</w:t>
            </w:r>
          </w:p>
        </w:tc>
        <w:tc>
          <w:tcPr>
            <w:tcW w:w="1170" w:type="dxa"/>
            <w:shd w:val="clear" w:color="auto" w:fill="auto"/>
            <w:tcMar>
              <w:left w:w="115" w:type="dxa"/>
              <w:right w:w="173" w:type="dxa"/>
            </w:tcMar>
            <w:vAlign w:val="center"/>
          </w:tcPr>
          <w:p w14:paraId="6E80E0C6"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84</w:t>
            </w:r>
          </w:p>
        </w:tc>
      </w:tr>
      <w:tr w:rsidR="002D75B7" w:rsidRPr="000A1B74" w14:paraId="40112151" w14:textId="77777777" w:rsidTr="00DE6AD0">
        <w:trPr>
          <w:cantSplit/>
        </w:trPr>
        <w:tc>
          <w:tcPr>
            <w:tcW w:w="8185" w:type="dxa"/>
            <w:shd w:val="clear" w:color="auto" w:fill="auto"/>
            <w:vAlign w:val="center"/>
          </w:tcPr>
          <w:p w14:paraId="549F4912"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Examen de un proyecto: Aceleración de la adopción del confort térmico sostenible: transición hacia ciudades con eficiencia energética y resiliencia ante el clima en la India.</w:t>
            </w:r>
          </w:p>
        </w:tc>
        <w:tc>
          <w:tcPr>
            <w:tcW w:w="1170" w:type="dxa"/>
            <w:shd w:val="clear" w:color="auto" w:fill="auto"/>
            <w:tcMar>
              <w:left w:w="115" w:type="dxa"/>
              <w:right w:w="173" w:type="dxa"/>
            </w:tcMar>
            <w:vAlign w:val="center"/>
          </w:tcPr>
          <w:p w14:paraId="7DC31532"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82</w:t>
            </w:r>
          </w:p>
        </w:tc>
      </w:tr>
      <w:tr w:rsidR="002D75B7" w:rsidRPr="000A1B74" w14:paraId="7D84D798" w14:textId="77777777" w:rsidTr="00DE6AD0">
        <w:trPr>
          <w:cantSplit/>
        </w:trPr>
        <w:tc>
          <w:tcPr>
            <w:tcW w:w="8185" w:type="dxa"/>
            <w:shd w:val="clear" w:color="auto" w:fill="auto"/>
            <w:vAlign w:val="center"/>
            <w:hideMark/>
          </w:tcPr>
          <w:p w14:paraId="6C37E788"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Examen de cuatro proyectos: Terminación de la eliminación del consumo de HCFC con apoyo de tecnologías de bajo PCA en Belarús, Proyecto del FMAM ID 6046; Eliminación del consumo de HCFC con apoyo de tecnologías energéticamente eficientes, de PCA bajo y cero SAO en Kazajstán, Proyecto del FMAM ID 6090; Eliminación completa de los HCFC en Tayikistán con apoyo de tecnologías energéticamente eficientes, de PCA bajo y cero SAO, Proyecto del FMAM ID 6030; Eliminación completa de los HCFC en Uzbekistán con apoyo de tecnologías energéticamente eficientes, de PCA bajo y sin SAO, Proyecto del FMAM ID 6003.</w:t>
            </w:r>
          </w:p>
        </w:tc>
        <w:tc>
          <w:tcPr>
            <w:tcW w:w="1170" w:type="dxa"/>
            <w:shd w:val="clear" w:color="auto" w:fill="auto"/>
            <w:tcMar>
              <w:left w:w="115" w:type="dxa"/>
              <w:right w:w="173" w:type="dxa"/>
            </w:tcMar>
            <w:vAlign w:val="center"/>
            <w:hideMark/>
          </w:tcPr>
          <w:p w14:paraId="37BA34B5"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80</w:t>
            </w:r>
          </w:p>
        </w:tc>
      </w:tr>
      <w:tr w:rsidR="002D75B7" w:rsidRPr="000A1B74" w14:paraId="5358FF2A" w14:textId="77777777" w:rsidTr="00DE6AD0">
        <w:trPr>
          <w:cantSplit/>
        </w:trPr>
        <w:tc>
          <w:tcPr>
            <w:tcW w:w="8185" w:type="dxa"/>
            <w:shd w:val="clear" w:color="auto" w:fill="auto"/>
            <w:vAlign w:val="center"/>
            <w:hideMark/>
          </w:tcPr>
          <w:p w14:paraId="6C4FEC3C"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Examen del proyecto sobre la introducción de alternativas a las SAO en la agricultura y el sector de usos posteriores a la cosecha en Kazajstán (Proyecto del FMAM ID 9184).</w:t>
            </w:r>
          </w:p>
        </w:tc>
        <w:tc>
          <w:tcPr>
            <w:tcW w:w="1170" w:type="dxa"/>
            <w:shd w:val="clear" w:color="auto" w:fill="auto"/>
            <w:tcMar>
              <w:left w:w="115" w:type="dxa"/>
              <w:right w:w="173" w:type="dxa"/>
            </w:tcMar>
            <w:vAlign w:val="center"/>
          </w:tcPr>
          <w:p w14:paraId="5126AA1D"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76</w:t>
            </w:r>
          </w:p>
        </w:tc>
      </w:tr>
      <w:tr w:rsidR="002D75B7" w:rsidRPr="000A1B74" w14:paraId="6CBF9635" w14:textId="77777777" w:rsidTr="00DE6AD0">
        <w:trPr>
          <w:cantSplit/>
        </w:trPr>
        <w:tc>
          <w:tcPr>
            <w:tcW w:w="8185" w:type="dxa"/>
            <w:shd w:val="clear" w:color="auto" w:fill="auto"/>
            <w:vAlign w:val="center"/>
            <w:hideMark/>
          </w:tcPr>
          <w:p w14:paraId="1841C5ED"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Observaciones sobre la propuesta para un proyecto sobre metilbromuro para Kazajstán (financiación del FMAM);</w:t>
            </w:r>
          </w:p>
          <w:p w14:paraId="2E52DC81"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Se presentaron ideas sobre el uso de fondos en el marco del FMAM-6 para la eliminación de las SAO en los países con economías en transición que no operan al amparo del artículo 5. Información sobre las deliberaciones que se mantuvieron en las reuniones recientes del Protocolo en relación con propuestas para una enmienda al Protocolo.</w:t>
            </w:r>
          </w:p>
        </w:tc>
        <w:tc>
          <w:tcPr>
            <w:tcW w:w="1170" w:type="dxa"/>
            <w:shd w:val="clear" w:color="auto" w:fill="auto"/>
            <w:tcMar>
              <w:left w:w="115" w:type="dxa"/>
              <w:right w:w="173" w:type="dxa"/>
            </w:tcMar>
            <w:vAlign w:val="center"/>
          </w:tcPr>
          <w:p w14:paraId="3BE21EAD"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75</w:t>
            </w:r>
          </w:p>
        </w:tc>
      </w:tr>
      <w:tr w:rsidR="002D75B7" w:rsidRPr="000A1B74" w14:paraId="6C7CDDF2" w14:textId="77777777" w:rsidTr="00DE6AD0">
        <w:trPr>
          <w:cantSplit/>
        </w:trPr>
        <w:tc>
          <w:tcPr>
            <w:tcW w:w="8185" w:type="dxa"/>
            <w:shd w:val="clear" w:color="auto" w:fill="auto"/>
            <w:vAlign w:val="center"/>
            <w:hideMark/>
          </w:tcPr>
          <w:p w14:paraId="0CF25469"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Examen de un proyecto (Introducción de alternativas a las SAO en la agricultura y el sector de usos posteriores a la cosecha en Kazajstán) a la luz de las políticas y directrices del Fondo Multilateral.</w:t>
            </w:r>
          </w:p>
        </w:tc>
        <w:tc>
          <w:tcPr>
            <w:tcW w:w="1170" w:type="dxa"/>
            <w:shd w:val="clear" w:color="auto" w:fill="auto"/>
            <w:tcMar>
              <w:left w:w="115" w:type="dxa"/>
              <w:right w:w="173" w:type="dxa"/>
            </w:tcMar>
            <w:vAlign w:val="center"/>
          </w:tcPr>
          <w:p w14:paraId="479CFC03"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72</w:t>
            </w:r>
          </w:p>
        </w:tc>
      </w:tr>
      <w:tr w:rsidR="002D75B7" w:rsidRPr="000A1B74" w14:paraId="4F3D45B4" w14:textId="77777777" w:rsidTr="00DE6AD0">
        <w:trPr>
          <w:cantSplit/>
        </w:trPr>
        <w:tc>
          <w:tcPr>
            <w:tcW w:w="8185" w:type="dxa"/>
            <w:shd w:val="clear" w:color="auto" w:fill="auto"/>
            <w:vAlign w:val="center"/>
            <w:hideMark/>
          </w:tcPr>
          <w:p w14:paraId="0D5B8B79"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lastRenderedPageBreak/>
              <w:t>La Secretaría recibió una invitación para asistir a la 45ª Reunión del Consejo del FMAM, que se celebraría del 5 al 7 de noviembre de 2013. En una nueva carta de invitación al nuevo director, la directora ejecutiva y presidenta del Fondo para el Medio Ambiente Mundial acogió con satisfacción la renovada cooperación para prestar asistencia a las Partes con miras a que cumplan sus obligaciones con arreglo al Protocolo de Montreal y la renovación de los lazos históricos. En su respuesta, el director informó a la directora ejecutiva y presidenta que los preparativos para la 71ª reunión no permitirían a la Secretaría del Fondo asistir a la reunión del Consejo, pero señaló que aguardaba con interés la oportunidad de reunirse con ella con vistas a fortalecer la relación con la Secretaría del FMAM.</w:t>
            </w:r>
          </w:p>
        </w:tc>
        <w:tc>
          <w:tcPr>
            <w:tcW w:w="1170" w:type="dxa"/>
            <w:shd w:val="clear" w:color="auto" w:fill="auto"/>
            <w:tcMar>
              <w:left w:w="115" w:type="dxa"/>
              <w:right w:w="173" w:type="dxa"/>
            </w:tcMar>
            <w:vAlign w:val="center"/>
          </w:tcPr>
          <w:p w14:paraId="0C024C7E"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71</w:t>
            </w:r>
          </w:p>
        </w:tc>
      </w:tr>
      <w:tr w:rsidR="002D75B7" w:rsidRPr="000A1B74" w14:paraId="4CFAB95B" w14:textId="77777777" w:rsidTr="00DE6AD0">
        <w:trPr>
          <w:cantSplit/>
        </w:trPr>
        <w:tc>
          <w:tcPr>
            <w:tcW w:w="8185" w:type="dxa"/>
            <w:shd w:val="clear" w:color="auto" w:fill="auto"/>
            <w:vAlign w:val="center"/>
            <w:hideMark/>
          </w:tcPr>
          <w:p w14:paraId="7CA7F29D"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La Secretaría participó en una reunión del Grupo Asesor Técnico del FMAM sobre productos químicos y desechos para presentar sus opiniones sobre un proyecto de estrategia para el área focal de los productos químicos y los desechos que orientará el sexto período de reposición de recursos del FMAM (FMAM-6). El proyecto de estrategia incluía las actividades del FMAM relacionadas con el Protocolo de Montreal.</w:t>
            </w:r>
          </w:p>
        </w:tc>
        <w:tc>
          <w:tcPr>
            <w:tcW w:w="1170" w:type="dxa"/>
            <w:shd w:val="clear" w:color="auto" w:fill="auto"/>
            <w:tcMar>
              <w:left w:w="115" w:type="dxa"/>
              <w:right w:w="173" w:type="dxa"/>
            </w:tcMar>
            <w:vAlign w:val="center"/>
          </w:tcPr>
          <w:p w14:paraId="52136446"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69</w:t>
            </w:r>
          </w:p>
        </w:tc>
      </w:tr>
      <w:tr w:rsidR="002D75B7" w:rsidRPr="000A1B74" w14:paraId="7ECA6210" w14:textId="77777777" w:rsidTr="00DE6AD0">
        <w:trPr>
          <w:cantSplit/>
        </w:trPr>
        <w:tc>
          <w:tcPr>
            <w:tcW w:w="8185" w:type="dxa"/>
            <w:shd w:val="clear" w:color="auto" w:fill="auto"/>
            <w:vAlign w:val="center"/>
            <w:hideMark/>
          </w:tcPr>
          <w:p w14:paraId="49A5AF6D"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 xml:space="preserve">Desde la 67ª reunión, se ha mantenido un intercambio de correspondencia con la directora ejecutiva y presidenta del FMAM sobre cuestiones relacionadas con la cooperación entre ambos mecanismos de financiación. Se ha considerado además una publicación conjunta del Fondo Multilateral y el FMAM sobre la aplicación del Protocolo de Montreal en los últimos 25 años. </w:t>
            </w:r>
          </w:p>
        </w:tc>
        <w:tc>
          <w:tcPr>
            <w:tcW w:w="1170" w:type="dxa"/>
            <w:shd w:val="clear" w:color="auto" w:fill="auto"/>
            <w:tcMar>
              <w:left w:w="115" w:type="dxa"/>
              <w:right w:w="173" w:type="dxa"/>
            </w:tcMar>
            <w:vAlign w:val="center"/>
          </w:tcPr>
          <w:p w14:paraId="7447BA7E"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68</w:t>
            </w:r>
          </w:p>
        </w:tc>
      </w:tr>
      <w:tr w:rsidR="002D75B7" w:rsidRPr="000A1B74" w14:paraId="5032525E" w14:textId="77777777" w:rsidTr="00DE6AD0">
        <w:trPr>
          <w:cantSplit/>
        </w:trPr>
        <w:tc>
          <w:tcPr>
            <w:tcW w:w="9355" w:type="dxa"/>
            <w:gridSpan w:val="2"/>
            <w:shd w:val="clear" w:color="auto" w:fill="auto"/>
            <w:tcMar>
              <w:left w:w="115" w:type="dxa"/>
              <w:right w:w="173" w:type="dxa"/>
            </w:tcMar>
            <w:vAlign w:val="center"/>
          </w:tcPr>
          <w:p w14:paraId="35210E67" w14:textId="77777777" w:rsidR="002D75B7" w:rsidRPr="000A1B74" w:rsidRDefault="002D75B7" w:rsidP="00DE6AD0">
            <w:pPr>
              <w:keepNext/>
              <w:spacing w:before="60" w:after="60"/>
              <w:jc w:val="left"/>
              <w:rPr>
                <w:color w:val="000000" w:themeColor="text1"/>
                <w:sz w:val="20"/>
                <w:szCs w:val="20"/>
              </w:rPr>
            </w:pPr>
            <w:r w:rsidRPr="000A1B74">
              <w:rPr>
                <w:b/>
                <w:color w:val="000000" w:themeColor="text1"/>
                <w:sz w:val="20"/>
              </w:rPr>
              <w:t>Gobierno de Francia</w:t>
            </w:r>
          </w:p>
        </w:tc>
      </w:tr>
      <w:tr w:rsidR="002D75B7" w:rsidRPr="000A1B74" w14:paraId="25B4C504" w14:textId="77777777" w:rsidTr="00DE6AD0">
        <w:trPr>
          <w:cantSplit/>
        </w:trPr>
        <w:tc>
          <w:tcPr>
            <w:tcW w:w="8185" w:type="dxa"/>
            <w:shd w:val="clear" w:color="auto" w:fill="auto"/>
            <w:vAlign w:val="center"/>
            <w:hideMark/>
          </w:tcPr>
          <w:p w14:paraId="358ECEE5" w14:textId="77777777" w:rsidR="002D75B7" w:rsidRPr="000A1B74" w:rsidRDefault="002D75B7" w:rsidP="00DE6AD0">
            <w:pPr>
              <w:spacing w:before="60" w:after="60"/>
              <w:jc w:val="left"/>
              <w:rPr>
                <w:b/>
                <w:color w:val="000000" w:themeColor="text1"/>
                <w:sz w:val="20"/>
                <w:szCs w:val="20"/>
              </w:rPr>
            </w:pPr>
            <w:r w:rsidRPr="000A1B74">
              <w:rPr>
                <w:bCs/>
                <w:color w:val="000000" w:themeColor="text1"/>
                <w:sz w:val="20"/>
              </w:rPr>
              <w:t>El director participó en una entrevista sobre una propuesta de evaluación retrospectiva de la contribución de Francia a la Secretaría del Fondo</w:t>
            </w:r>
            <w:r w:rsidRPr="000A1B74">
              <w:rPr>
                <w:b/>
                <w:color w:val="000000" w:themeColor="text1"/>
                <w:sz w:val="20"/>
              </w:rPr>
              <w:t xml:space="preserve"> </w:t>
            </w:r>
            <w:r w:rsidRPr="000A1B74">
              <w:rPr>
                <w:b/>
                <w:color w:val="000000" w:themeColor="text1"/>
                <w:sz w:val="20"/>
                <w:szCs w:val="20"/>
              </w:rPr>
              <w:t>y respondió a las preguntas de seguimiento para dar una visión general del Fondo y de los diferentes actores implicados</w:t>
            </w:r>
          </w:p>
        </w:tc>
        <w:tc>
          <w:tcPr>
            <w:tcW w:w="1170" w:type="dxa"/>
            <w:shd w:val="clear" w:color="auto" w:fill="auto"/>
            <w:tcMar>
              <w:left w:w="115" w:type="dxa"/>
              <w:right w:w="173" w:type="dxa"/>
            </w:tcMar>
            <w:vAlign w:val="center"/>
            <w:hideMark/>
          </w:tcPr>
          <w:p w14:paraId="42A3EC80" w14:textId="77777777" w:rsidR="002D75B7" w:rsidRPr="000A1B74" w:rsidRDefault="002D75B7" w:rsidP="00DE6AD0">
            <w:pPr>
              <w:spacing w:before="60" w:after="60"/>
              <w:jc w:val="right"/>
              <w:rPr>
                <w:b/>
                <w:color w:val="000000" w:themeColor="text1"/>
                <w:sz w:val="20"/>
                <w:szCs w:val="20"/>
              </w:rPr>
            </w:pPr>
            <w:r w:rsidRPr="000A1B74">
              <w:rPr>
                <w:b/>
                <w:color w:val="000000" w:themeColor="text1"/>
                <w:sz w:val="20"/>
              </w:rPr>
              <w:t>86</w:t>
            </w:r>
          </w:p>
        </w:tc>
      </w:tr>
      <w:tr w:rsidR="002D75B7" w:rsidRPr="000A1B74" w14:paraId="517CDB20" w14:textId="77777777" w:rsidTr="00DE6AD0">
        <w:trPr>
          <w:cantSplit/>
        </w:trPr>
        <w:tc>
          <w:tcPr>
            <w:tcW w:w="8185" w:type="dxa"/>
            <w:shd w:val="clear" w:color="auto" w:fill="auto"/>
            <w:vAlign w:val="center"/>
            <w:hideMark/>
          </w:tcPr>
          <w:p w14:paraId="22F6EE1E"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Visita de cortesía al Ministerio de Economía y Finanzas de Francia. Entre otros temas, se trataron la cooperación bilateral del Gobierno de Francia y la reposición del Fondo Multilateral para el trienio 2021-2023.</w:t>
            </w:r>
          </w:p>
        </w:tc>
        <w:tc>
          <w:tcPr>
            <w:tcW w:w="1170" w:type="dxa"/>
            <w:shd w:val="clear" w:color="auto" w:fill="auto"/>
            <w:tcMar>
              <w:left w:w="115" w:type="dxa"/>
              <w:right w:w="173" w:type="dxa"/>
            </w:tcMar>
            <w:vAlign w:val="center"/>
            <w:hideMark/>
          </w:tcPr>
          <w:p w14:paraId="7619A932"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83</w:t>
            </w:r>
          </w:p>
        </w:tc>
      </w:tr>
      <w:tr w:rsidR="002D75B7" w:rsidRPr="000A1B74" w14:paraId="51351006" w14:textId="77777777" w:rsidTr="00DE6AD0">
        <w:trPr>
          <w:cantSplit/>
        </w:trPr>
        <w:tc>
          <w:tcPr>
            <w:tcW w:w="8185" w:type="dxa"/>
            <w:shd w:val="clear" w:color="auto" w:fill="auto"/>
            <w:vAlign w:val="center"/>
            <w:hideMark/>
          </w:tcPr>
          <w:p w14:paraId="3DEF2D1F"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Información sobre modalidades para las contribuciones adicionales al Fondo Multilateral.</w:t>
            </w:r>
          </w:p>
        </w:tc>
        <w:tc>
          <w:tcPr>
            <w:tcW w:w="1170" w:type="dxa"/>
            <w:shd w:val="clear" w:color="auto" w:fill="auto"/>
            <w:tcMar>
              <w:left w:w="115" w:type="dxa"/>
              <w:right w:w="173" w:type="dxa"/>
            </w:tcMar>
            <w:vAlign w:val="center"/>
            <w:hideMark/>
          </w:tcPr>
          <w:p w14:paraId="1BA2D794"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77</w:t>
            </w:r>
          </w:p>
        </w:tc>
      </w:tr>
      <w:tr w:rsidR="002D75B7" w:rsidRPr="000A1B74" w14:paraId="578792B0" w14:textId="77777777" w:rsidTr="00DE6AD0">
        <w:trPr>
          <w:cantSplit/>
        </w:trPr>
        <w:tc>
          <w:tcPr>
            <w:tcW w:w="9355" w:type="dxa"/>
            <w:gridSpan w:val="2"/>
            <w:shd w:val="clear" w:color="auto" w:fill="auto"/>
            <w:tcMar>
              <w:left w:w="115" w:type="dxa"/>
              <w:right w:w="173" w:type="dxa"/>
            </w:tcMar>
            <w:vAlign w:val="center"/>
          </w:tcPr>
          <w:p w14:paraId="7BB4860D" w14:textId="77777777" w:rsidR="002D75B7" w:rsidRPr="000A1B74" w:rsidRDefault="002D75B7" w:rsidP="00DE6AD0">
            <w:pPr>
              <w:keepNext/>
              <w:spacing w:before="60" w:after="60"/>
              <w:jc w:val="left"/>
              <w:rPr>
                <w:color w:val="000000" w:themeColor="text1"/>
                <w:sz w:val="20"/>
                <w:szCs w:val="20"/>
              </w:rPr>
            </w:pPr>
            <w:r w:rsidRPr="000A1B74">
              <w:rPr>
                <w:b/>
                <w:color w:val="000000" w:themeColor="text1"/>
                <w:sz w:val="20"/>
              </w:rPr>
              <w:t>Fondo Verde para el Clima (FVC)</w:t>
            </w:r>
          </w:p>
        </w:tc>
      </w:tr>
      <w:tr w:rsidR="002D75B7" w:rsidRPr="000A1B74" w14:paraId="3C866B98" w14:textId="77777777" w:rsidTr="00DE6AD0">
        <w:trPr>
          <w:cantSplit/>
        </w:trPr>
        <w:tc>
          <w:tcPr>
            <w:tcW w:w="8185" w:type="dxa"/>
            <w:shd w:val="clear" w:color="auto" w:fill="auto"/>
            <w:vAlign w:val="center"/>
          </w:tcPr>
          <w:p w14:paraId="07134E6C" w14:textId="77777777" w:rsidR="002D75B7" w:rsidRPr="000A1B74" w:rsidRDefault="002D75B7" w:rsidP="00DE6AD0">
            <w:pPr>
              <w:spacing w:before="60" w:after="60"/>
              <w:jc w:val="left"/>
              <w:rPr>
                <w:sz w:val="20"/>
                <w:szCs w:val="20"/>
              </w:rPr>
            </w:pPr>
            <w:r w:rsidRPr="000A1B74">
              <w:rPr>
                <w:sz w:val="20"/>
              </w:rPr>
              <w:t>Debates en línea oficiosos entre la Secretaría y el personal del FVC acerca de posibilidades para intensificar la colaboración, dado que la reunión de consulta sobre orientación sectorial en materia de eficiencia energética del FVC programada para los días 27 y 28 de febrero de 2020 se canceló debido a la COVID-19.</w:t>
            </w:r>
          </w:p>
        </w:tc>
        <w:tc>
          <w:tcPr>
            <w:tcW w:w="1170" w:type="dxa"/>
            <w:shd w:val="clear" w:color="auto" w:fill="auto"/>
            <w:tcMar>
              <w:left w:w="115" w:type="dxa"/>
              <w:right w:w="173" w:type="dxa"/>
            </w:tcMar>
            <w:vAlign w:val="center"/>
          </w:tcPr>
          <w:p w14:paraId="0AB4289B"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85</w:t>
            </w:r>
          </w:p>
        </w:tc>
      </w:tr>
      <w:tr w:rsidR="002D75B7" w:rsidRPr="000A1B74" w14:paraId="50F2F4F3" w14:textId="77777777" w:rsidTr="00DE6AD0">
        <w:trPr>
          <w:cantSplit/>
        </w:trPr>
        <w:tc>
          <w:tcPr>
            <w:tcW w:w="8185" w:type="dxa"/>
            <w:shd w:val="clear" w:color="auto" w:fill="auto"/>
            <w:vAlign w:val="center"/>
          </w:tcPr>
          <w:p w14:paraId="0BDA8348" w14:textId="77777777" w:rsidR="002D75B7" w:rsidRPr="000A1B74" w:rsidRDefault="002D75B7" w:rsidP="00DE6AD0">
            <w:pPr>
              <w:spacing w:before="60" w:after="60"/>
              <w:jc w:val="left"/>
              <w:rPr>
                <w:sz w:val="20"/>
                <w:szCs w:val="20"/>
              </w:rPr>
            </w:pPr>
            <w:r w:rsidRPr="000A1B74">
              <w:rPr>
                <w:sz w:val="20"/>
              </w:rPr>
              <w:t>Un representante del FVC visitó la Secretaría y mantuvo varias reuniones con funcionarios de la Secretaría que ofrecieron oportunidades para un intercambio de información acerca del funcionamiento de ambos fondos y las posibilidades para intensificar la colaboración.</w:t>
            </w:r>
          </w:p>
        </w:tc>
        <w:tc>
          <w:tcPr>
            <w:tcW w:w="1170" w:type="dxa"/>
            <w:shd w:val="clear" w:color="auto" w:fill="auto"/>
            <w:tcMar>
              <w:left w:w="115" w:type="dxa"/>
              <w:right w:w="173" w:type="dxa"/>
            </w:tcMar>
            <w:vAlign w:val="center"/>
          </w:tcPr>
          <w:p w14:paraId="58EB2B8F"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84</w:t>
            </w:r>
          </w:p>
        </w:tc>
      </w:tr>
      <w:tr w:rsidR="002D75B7" w:rsidRPr="000A1B74" w14:paraId="4F0EC3DE" w14:textId="77777777" w:rsidTr="00DE6AD0">
        <w:trPr>
          <w:cantSplit/>
        </w:trPr>
        <w:tc>
          <w:tcPr>
            <w:tcW w:w="8185" w:type="dxa"/>
            <w:shd w:val="clear" w:color="auto" w:fill="auto"/>
            <w:vAlign w:val="center"/>
          </w:tcPr>
          <w:p w14:paraId="13ABEC9D"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Debates oficiosos entre el director y el secretario ejecutivo adjunto del FVC acerca de cuestiones de interés para ambos fondos, en forma paralela al cuarto período de sesiones de la Asamblea de las Naciones Unidas sobre el Medio Ambiente.</w:t>
            </w:r>
          </w:p>
        </w:tc>
        <w:tc>
          <w:tcPr>
            <w:tcW w:w="1170" w:type="dxa"/>
            <w:shd w:val="clear" w:color="auto" w:fill="auto"/>
            <w:tcMar>
              <w:left w:w="115" w:type="dxa"/>
              <w:right w:w="173" w:type="dxa"/>
            </w:tcMar>
            <w:vAlign w:val="center"/>
          </w:tcPr>
          <w:p w14:paraId="45A110D0"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83</w:t>
            </w:r>
          </w:p>
        </w:tc>
      </w:tr>
      <w:tr w:rsidR="002D75B7" w:rsidRPr="000A1B74" w14:paraId="2C538F2B" w14:textId="77777777" w:rsidTr="00DE6AD0">
        <w:trPr>
          <w:cantSplit/>
        </w:trPr>
        <w:tc>
          <w:tcPr>
            <w:tcW w:w="8185" w:type="dxa"/>
            <w:shd w:val="clear" w:color="auto" w:fill="auto"/>
            <w:vAlign w:val="center"/>
          </w:tcPr>
          <w:p w14:paraId="047D005B"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Documentos de reunión relacionados con las modalidades de notificación de los gastos de administración de los organismos de ejecución, entre los que se incluyeron los siguientes: UNEP/OzL.Pro/ExCom/26/67, UNEP/OzL.Pro/ExCom/34/52 y, UNEP/OzL.Pro/ExCom/38/59, UNEP/OzL.Pro/ExCom/55/48, y UNEP/OzL.Pro/ExCom/80/43.</w:t>
            </w:r>
          </w:p>
        </w:tc>
        <w:tc>
          <w:tcPr>
            <w:tcW w:w="1170" w:type="dxa"/>
            <w:shd w:val="clear" w:color="auto" w:fill="auto"/>
            <w:tcMar>
              <w:left w:w="115" w:type="dxa"/>
              <w:right w:w="173" w:type="dxa"/>
            </w:tcMar>
            <w:vAlign w:val="center"/>
          </w:tcPr>
          <w:p w14:paraId="4A835B54"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81</w:t>
            </w:r>
          </w:p>
        </w:tc>
      </w:tr>
      <w:tr w:rsidR="002D75B7" w:rsidRPr="000A1B74" w14:paraId="6334EB29" w14:textId="77777777" w:rsidTr="00DE6AD0">
        <w:trPr>
          <w:cantSplit/>
        </w:trPr>
        <w:tc>
          <w:tcPr>
            <w:tcW w:w="8185" w:type="dxa"/>
            <w:shd w:val="clear" w:color="auto" w:fill="auto"/>
            <w:vAlign w:val="center"/>
            <w:hideMark/>
          </w:tcPr>
          <w:p w14:paraId="1CA81C72"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Se realizó una conferencia telefónica donde se informó sobre las prácticas del Fondo Multilateral en cuanto a los préstamos en condiciones favorables y los costos adicionales.</w:t>
            </w:r>
          </w:p>
        </w:tc>
        <w:tc>
          <w:tcPr>
            <w:tcW w:w="1170" w:type="dxa"/>
            <w:shd w:val="clear" w:color="auto" w:fill="auto"/>
            <w:tcMar>
              <w:left w:w="115" w:type="dxa"/>
              <w:right w:w="173" w:type="dxa"/>
            </w:tcMar>
            <w:vAlign w:val="center"/>
          </w:tcPr>
          <w:p w14:paraId="78580140"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80</w:t>
            </w:r>
          </w:p>
        </w:tc>
      </w:tr>
      <w:tr w:rsidR="002D75B7" w:rsidRPr="000A1B74" w14:paraId="62CE9A37" w14:textId="77777777" w:rsidTr="00DE6AD0">
        <w:trPr>
          <w:cantSplit/>
        </w:trPr>
        <w:tc>
          <w:tcPr>
            <w:tcW w:w="8185" w:type="dxa"/>
            <w:shd w:val="clear" w:color="auto" w:fill="auto"/>
            <w:vAlign w:val="center"/>
          </w:tcPr>
          <w:p w14:paraId="002E67EE"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lastRenderedPageBreak/>
              <w:t xml:space="preserve">Se proporcionaron enlaces a la documentación pertinente para el Grupo de Evaluación Tecnológica y Económica, el Grupo de Evaluación Científica y al Grupo de Evaluación de los Efectos Ambientales en el sitio web de la Secretaría del Ozono, así como una nota de introducción para el Oficial de Comunicaciones de esa Secretaría; </w:t>
            </w:r>
          </w:p>
          <w:p w14:paraId="0F55B562"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Se proporcionaron documentos tales como, entre otros: el Manual del Comité Ejecutivo; políticas, procedimientos, directrices y criterios del Fondo Multilateral; la presentación titulada “</w:t>
            </w:r>
            <w:r w:rsidRPr="000A1B74">
              <w:rPr>
                <w:i/>
                <w:iCs/>
                <w:color w:val="000000" w:themeColor="text1"/>
                <w:sz w:val="20"/>
              </w:rPr>
              <w:t>The Multilateral Fund:</w:t>
            </w:r>
            <w:r w:rsidRPr="000A1B74">
              <w:rPr>
                <w:color w:val="000000" w:themeColor="text1"/>
                <w:sz w:val="20"/>
              </w:rPr>
              <w:t xml:space="preserve"> </w:t>
            </w:r>
            <w:r w:rsidRPr="000A1B74">
              <w:rPr>
                <w:i/>
                <w:iCs/>
                <w:color w:val="000000" w:themeColor="text1"/>
                <w:sz w:val="20"/>
              </w:rPr>
              <w:t>Governance, Business Model, Accomplishments, Challenges</w:t>
            </w:r>
            <w:r w:rsidRPr="000A1B74">
              <w:rPr>
                <w:color w:val="000000" w:themeColor="text1"/>
                <w:sz w:val="20"/>
              </w:rPr>
              <w:t>”; muestras de documentos previos al período de sesiones sobre planificación administrativa y propuestas de proyectos; programa de trabajo de supervisión y evaluación e informes de terminación de proyectos; plantillas para los planes administrativos; directrices para la presentación de informes sobre la marcha de las actividades; los informes de las dos evaluaciones sobre fortalecimiento institucional; y el programa de trabajo de supervisión y evaluación.</w:t>
            </w:r>
          </w:p>
        </w:tc>
        <w:tc>
          <w:tcPr>
            <w:tcW w:w="1170" w:type="dxa"/>
            <w:shd w:val="clear" w:color="auto" w:fill="auto"/>
            <w:tcMar>
              <w:left w:w="115" w:type="dxa"/>
              <w:right w:w="173" w:type="dxa"/>
            </w:tcMar>
            <w:vAlign w:val="center"/>
          </w:tcPr>
          <w:p w14:paraId="661C329D"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77</w:t>
            </w:r>
          </w:p>
        </w:tc>
      </w:tr>
      <w:tr w:rsidR="002D75B7" w:rsidRPr="000A1B74" w14:paraId="362FB1F7" w14:textId="77777777" w:rsidTr="00DE6AD0">
        <w:trPr>
          <w:cantSplit/>
        </w:trPr>
        <w:tc>
          <w:tcPr>
            <w:tcW w:w="8185" w:type="dxa"/>
            <w:shd w:val="clear" w:color="auto" w:fill="auto"/>
            <w:vAlign w:val="center"/>
            <w:hideMark/>
          </w:tcPr>
          <w:p w14:paraId="2AFF1296"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Experiencia de la Secretaría del Fondo en el establecimiento de disposiciones legales con las entidades de ejecución y del sistema de presentación de informes sobre la marcha de las actividades del Fondo Multilateral.</w:t>
            </w:r>
          </w:p>
        </w:tc>
        <w:tc>
          <w:tcPr>
            <w:tcW w:w="1170" w:type="dxa"/>
            <w:shd w:val="clear" w:color="auto" w:fill="auto"/>
            <w:tcMar>
              <w:left w:w="115" w:type="dxa"/>
              <w:right w:w="173" w:type="dxa"/>
            </w:tcMar>
            <w:vAlign w:val="center"/>
            <w:hideMark/>
          </w:tcPr>
          <w:p w14:paraId="1678DFD5"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76</w:t>
            </w:r>
          </w:p>
        </w:tc>
      </w:tr>
      <w:tr w:rsidR="002D75B7" w:rsidRPr="000A1B74" w14:paraId="233027D8" w14:textId="77777777" w:rsidTr="00DE6AD0">
        <w:trPr>
          <w:cantSplit/>
        </w:trPr>
        <w:tc>
          <w:tcPr>
            <w:tcW w:w="8185" w:type="dxa"/>
            <w:shd w:val="clear" w:color="auto" w:fill="auto"/>
            <w:vAlign w:val="center"/>
            <w:hideMark/>
          </w:tcPr>
          <w:p w14:paraId="5ECB246C"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Información sobre los indicadores de desempeño desarrollados para el Fondo Multilateral;</w:t>
            </w:r>
          </w:p>
          <w:p w14:paraId="32413F51"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Información sobre las deliberaciones que se mantuvieron en las reuniones recientes del Protocolo en relación con propuestas para una enmienda al Protocolo;</w:t>
            </w:r>
          </w:p>
          <w:p w14:paraId="0C26D87A"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 xml:space="preserve">Información sobre el marco de supervisión y rendición de cuentas del Fondo Multilateral, con inclusión del Capítulo XI de las políticas, procedimientos, directrices y criterios del Fondo Multilateral (supervisión y evaluación); </w:t>
            </w:r>
          </w:p>
          <w:p w14:paraId="494B6FD3"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Presentación sobre la creación de capacidad en el marco del Fondo Multilateral.</w:t>
            </w:r>
          </w:p>
        </w:tc>
        <w:tc>
          <w:tcPr>
            <w:tcW w:w="1170" w:type="dxa"/>
            <w:shd w:val="clear" w:color="auto" w:fill="auto"/>
            <w:tcMar>
              <w:left w:w="115" w:type="dxa"/>
              <w:right w:w="173" w:type="dxa"/>
            </w:tcMar>
            <w:vAlign w:val="center"/>
            <w:hideMark/>
          </w:tcPr>
          <w:p w14:paraId="6E0DD1A2"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75</w:t>
            </w:r>
          </w:p>
        </w:tc>
      </w:tr>
      <w:tr w:rsidR="002D75B7" w:rsidRPr="000A1B74" w14:paraId="24BC1ED3" w14:textId="77777777" w:rsidTr="00DE6AD0">
        <w:trPr>
          <w:cantSplit/>
        </w:trPr>
        <w:tc>
          <w:tcPr>
            <w:tcW w:w="8185" w:type="dxa"/>
            <w:shd w:val="clear" w:color="auto" w:fill="auto"/>
            <w:vAlign w:val="center"/>
            <w:hideMark/>
          </w:tcPr>
          <w:p w14:paraId="097543D7"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Presentación sobre el Fondo Multilateral y muestras de documentos sustantivos, tales como sobre actividades de la Secretaría, situación del Fondo, planes administrativos e informes sobre la marcha de las actividades refundidos, muestras de propuestas de proyecto y documentos de criterios. Otros detalles y deliberaciones sobre el Fondo Multilateral.</w:t>
            </w:r>
          </w:p>
        </w:tc>
        <w:tc>
          <w:tcPr>
            <w:tcW w:w="1170" w:type="dxa"/>
            <w:shd w:val="clear" w:color="auto" w:fill="auto"/>
            <w:tcMar>
              <w:left w:w="115" w:type="dxa"/>
              <w:right w:w="173" w:type="dxa"/>
            </w:tcMar>
            <w:vAlign w:val="center"/>
            <w:hideMark/>
          </w:tcPr>
          <w:p w14:paraId="72B855AF"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74</w:t>
            </w:r>
          </w:p>
        </w:tc>
      </w:tr>
      <w:tr w:rsidR="002D75B7" w:rsidRPr="000A1B74" w14:paraId="09298E55" w14:textId="77777777" w:rsidTr="00DE6AD0">
        <w:trPr>
          <w:cantSplit/>
        </w:trPr>
        <w:tc>
          <w:tcPr>
            <w:tcW w:w="8185" w:type="dxa"/>
            <w:shd w:val="clear" w:color="auto" w:fill="auto"/>
            <w:vAlign w:val="center"/>
            <w:hideMark/>
          </w:tcPr>
          <w:p w14:paraId="5FF74F0E"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Reseña de los objetivos y el funcionamiento del Fondo Multilateral, con inclusión de su proceso de examen de proyectos, formulación de políticas, proceso de reuniones y aplicación de las decisiones del Comité Ejecutivo.</w:t>
            </w:r>
          </w:p>
        </w:tc>
        <w:tc>
          <w:tcPr>
            <w:tcW w:w="1170" w:type="dxa"/>
            <w:shd w:val="clear" w:color="auto" w:fill="auto"/>
            <w:tcMar>
              <w:left w:w="115" w:type="dxa"/>
              <w:right w:w="173" w:type="dxa"/>
            </w:tcMar>
            <w:vAlign w:val="center"/>
            <w:hideMark/>
          </w:tcPr>
          <w:p w14:paraId="2DA0B416"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72</w:t>
            </w:r>
          </w:p>
        </w:tc>
      </w:tr>
      <w:tr w:rsidR="002D75B7" w:rsidRPr="000A1B74" w14:paraId="541D20ED" w14:textId="77777777" w:rsidTr="00DE6AD0">
        <w:trPr>
          <w:cantSplit/>
        </w:trPr>
        <w:tc>
          <w:tcPr>
            <w:tcW w:w="8185" w:type="dxa"/>
            <w:shd w:val="clear" w:color="auto" w:fill="auto"/>
            <w:vAlign w:val="center"/>
            <w:hideMark/>
          </w:tcPr>
          <w:p w14:paraId="1A45FA4B"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El 24 de septiembre de 2013, la Secretaría provisional del FVC envió una nota al Fondo Multilateral, invitándolo a asistir a la quinta reunión de su Junta en calidad de observador, indicando sin embargo en la nota que aún no se había aprobado esa condición para el Fondo Multilateral. Los preparativos para la 71ª reunión impidieron a la Secretaría asistir a la reunión de la Junta del FVC, que tuvo lugar del 8 al 10 de octubre. En una nueva nota del 21 de octubre de 2013, se informó a la Secretaría del Fondo que la siguiente reunión de la Junta tendría lugar en Indonesia, del 19 al 21 de febrero de 2014, y que la condición de observador para el Fondo Multilateral se había aprobado mediante una enmienda a la decisión B.04/15, y se pidió también a la Secretaría del Fondo que designara una persona de contacto.</w:t>
            </w:r>
          </w:p>
        </w:tc>
        <w:tc>
          <w:tcPr>
            <w:tcW w:w="1170" w:type="dxa"/>
            <w:shd w:val="clear" w:color="auto" w:fill="auto"/>
            <w:tcMar>
              <w:left w:w="115" w:type="dxa"/>
              <w:right w:w="173" w:type="dxa"/>
            </w:tcMar>
            <w:vAlign w:val="center"/>
            <w:hideMark/>
          </w:tcPr>
          <w:p w14:paraId="099FD78E"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71</w:t>
            </w:r>
          </w:p>
        </w:tc>
      </w:tr>
      <w:tr w:rsidR="002D75B7" w:rsidRPr="000A1B74" w14:paraId="15C6A996" w14:textId="77777777" w:rsidTr="00DE6AD0">
        <w:trPr>
          <w:cantSplit/>
        </w:trPr>
        <w:tc>
          <w:tcPr>
            <w:tcW w:w="9355" w:type="dxa"/>
            <w:gridSpan w:val="2"/>
            <w:shd w:val="clear" w:color="auto" w:fill="auto"/>
            <w:tcMar>
              <w:left w:w="115" w:type="dxa"/>
              <w:right w:w="173" w:type="dxa"/>
            </w:tcMar>
            <w:vAlign w:val="center"/>
          </w:tcPr>
          <w:p w14:paraId="7C8502BB" w14:textId="77777777" w:rsidR="002D75B7" w:rsidRPr="000A1B74" w:rsidRDefault="002D75B7" w:rsidP="00DE6AD0">
            <w:pPr>
              <w:keepNext/>
              <w:spacing w:before="60" w:after="60"/>
              <w:jc w:val="left"/>
              <w:rPr>
                <w:color w:val="000000" w:themeColor="text1"/>
                <w:sz w:val="20"/>
                <w:szCs w:val="20"/>
              </w:rPr>
            </w:pPr>
            <w:r w:rsidRPr="000A1B74">
              <w:rPr>
                <w:b/>
                <w:color w:val="000000" w:themeColor="text1"/>
                <w:sz w:val="20"/>
              </w:rPr>
              <w:t>Grenoble School of Management</w:t>
            </w:r>
          </w:p>
        </w:tc>
      </w:tr>
      <w:tr w:rsidR="002D75B7" w:rsidRPr="000A1B74" w14:paraId="05D5DB0A" w14:textId="77777777" w:rsidTr="00DE6AD0">
        <w:trPr>
          <w:cantSplit/>
        </w:trPr>
        <w:tc>
          <w:tcPr>
            <w:tcW w:w="8185" w:type="dxa"/>
            <w:shd w:val="clear" w:color="auto" w:fill="auto"/>
            <w:vAlign w:val="center"/>
            <w:hideMark/>
          </w:tcPr>
          <w:p w14:paraId="01649778"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Información sobre políticas y procedimientos del Fondo Multilateral y el proceso de aprobación de proyectos para un estudio sobre curvas de aprendizaje tecnológico.</w:t>
            </w:r>
          </w:p>
        </w:tc>
        <w:tc>
          <w:tcPr>
            <w:tcW w:w="1170" w:type="dxa"/>
            <w:shd w:val="clear" w:color="auto" w:fill="auto"/>
            <w:tcMar>
              <w:left w:w="115" w:type="dxa"/>
              <w:right w:w="173" w:type="dxa"/>
            </w:tcMar>
            <w:vAlign w:val="center"/>
            <w:hideMark/>
          </w:tcPr>
          <w:p w14:paraId="0B137E02"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80</w:t>
            </w:r>
          </w:p>
        </w:tc>
      </w:tr>
      <w:tr w:rsidR="002D75B7" w:rsidRPr="000A1B74" w14:paraId="64FDC974" w14:textId="77777777" w:rsidTr="00DE6AD0">
        <w:trPr>
          <w:cantSplit/>
        </w:trPr>
        <w:tc>
          <w:tcPr>
            <w:tcW w:w="9355" w:type="dxa"/>
            <w:gridSpan w:val="2"/>
            <w:shd w:val="clear" w:color="auto" w:fill="auto"/>
            <w:tcMar>
              <w:left w:w="115" w:type="dxa"/>
              <w:right w:w="173" w:type="dxa"/>
            </w:tcMar>
            <w:vAlign w:val="center"/>
          </w:tcPr>
          <w:p w14:paraId="7840B21C" w14:textId="77777777" w:rsidR="002D75B7" w:rsidRPr="000A1B74" w:rsidRDefault="002D75B7" w:rsidP="00DE6AD0">
            <w:pPr>
              <w:spacing w:before="60" w:after="60"/>
              <w:jc w:val="left"/>
              <w:rPr>
                <w:color w:val="000000" w:themeColor="text1"/>
                <w:sz w:val="20"/>
                <w:szCs w:val="20"/>
              </w:rPr>
            </w:pPr>
            <w:r w:rsidRPr="000A1B74">
              <w:rPr>
                <w:b/>
                <w:color w:val="000000" w:themeColor="text1"/>
                <w:sz w:val="20"/>
              </w:rPr>
              <w:t>Plataforma Intergubernamental Científico-normativa sobre Diversidad Biológica y Servicios de los Ecosistemas (IPBES)</w:t>
            </w:r>
          </w:p>
        </w:tc>
      </w:tr>
      <w:tr w:rsidR="002D75B7" w:rsidRPr="000A1B74" w14:paraId="6B120D1C" w14:textId="77777777" w:rsidTr="00DE6AD0">
        <w:trPr>
          <w:cantSplit/>
        </w:trPr>
        <w:tc>
          <w:tcPr>
            <w:tcW w:w="8185" w:type="dxa"/>
            <w:shd w:val="clear" w:color="auto" w:fill="auto"/>
            <w:vAlign w:val="center"/>
            <w:hideMark/>
          </w:tcPr>
          <w:p w14:paraId="77265150"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Información sobre prácticas relativas a la prestación de apoyo financiero a participantes o delegados en las reuniones.</w:t>
            </w:r>
          </w:p>
        </w:tc>
        <w:tc>
          <w:tcPr>
            <w:tcW w:w="1170" w:type="dxa"/>
            <w:shd w:val="clear" w:color="auto" w:fill="auto"/>
            <w:tcMar>
              <w:left w:w="115" w:type="dxa"/>
              <w:right w:w="173" w:type="dxa"/>
            </w:tcMar>
            <w:vAlign w:val="center"/>
            <w:hideMark/>
          </w:tcPr>
          <w:p w14:paraId="140A52AA"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75</w:t>
            </w:r>
          </w:p>
        </w:tc>
      </w:tr>
      <w:tr w:rsidR="002D75B7" w:rsidRPr="000A1B74" w14:paraId="148BBF36" w14:textId="77777777" w:rsidTr="00DE6AD0">
        <w:trPr>
          <w:cantSplit/>
        </w:trPr>
        <w:tc>
          <w:tcPr>
            <w:tcW w:w="9355" w:type="dxa"/>
            <w:gridSpan w:val="2"/>
            <w:shd w:val="clear" w:color="auto" w:fill="auto"/>
            <w:tcMar>
              <w:left w:w="115" w:type="dxa"/>
              <w:right w:w="173" w:type="dxa"/>
            </w:tcMar>
            <w:vAlign w:val="center"/>
          </w:tcPr>
          <w:p w14:paraId="2E8DE4B5" w14:textId="77777777" w:rsidR="002D75B7" w:rsidRPr="000A1B74" w:rsidRDefault="002D75B7" w:rsidP="00DE6AD0">
            <w:pPr>
              <w:keepNext/>
              <w:spacing w:before="60" w:after="60"/>
              <w:jc w:val="left"/>
              <w:rPr>
                <w:color w:val="000000" w:themeColor="text1"/>
                <w:sz w:val="20"/>
                <w:szCs w:val="20"/>
              </w:rPr>
            </w:pPr>
            <w:r w:rsidRPr="000A1B74">
              <w:rPr>
                <w:b/>
                <w:color w:val="000000" w:themeColor="text1"/>
                <w:sz w:val="20"/>
              </w:rPr>
              <w:lastRenderedPageBreak/>
              <w:t>Agencia Internacional de la Energía (AIE)</w:t>
            </w:r>
          </w:p>
        </w:tc>
      </w:tr>
      <w:tr w:rsidR="002D75B7" w:rsidRPr="000A1B74" w14:paraId="1092D8A4" w14:textId="77777777" w:rsidTr="00DE6AD0">
        <w:trPr>
          <w:cantSplit/>
        </w:trPr>
        <w:tc>
          <w:tcPr>
            <w:tcW w:w="8185" w:type="dxa"/>
            <w:shd w:val="clear" w:color="auto" w:fill="auto"/>
            <w:vAlign w:val="center"/>
            <w:hideMark/>
          </w:tcPr>
          <w:p w14:paraId="50332AB8"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 xml:space="preserve">La Secretaría y el secretario ejecutivo de la Secretaría del Ozono se reunieron con un representante de la AIE. La Secretaría explicó la labor en materia de eficiencia energética en el contexto de la Enmienda de Kigali. El representante de la AIE indicó que su organización había realizado una recopilación de políticas y normas de eficiencia energética de diferentes países y la puso a disposición de la Secretaría. El representante también compartió un informe sobre refrigeración preparado por la AIE. </w:t>
            </w:r>
          </w:p>
        </w:tc>
        <w:tc>
          <w:tcPr>
            <w:tcW w:w="1170" w:type="dxa"/>
            <w:shd w:val="clear" w:color="auto" w:fill="auto"/>
            <w:tcMar>
              <w:left w:w="115" w:type="dxa"/>
              <w:right w:w="173" w:type="dxa"/>
            </w:tcMar>
            <w:vAlign w:val="center"/>
            <w:hideMark/>
          </w:tcPr>
          <w:p w14:paraId="55FAC636"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83</w:t>
            </w:r>
          </w:p>
        </w:tc>
      </w:tr>
      <w:tr w:rsidR="002D75B7" w:rsidRPr="000A1B74" w14:paraId="1662BCB1" w14:textId="77777777" w:rsidTr="00DE6AD0">
        <w:trPr>
          <w:cantSplit/>
        </w:trPr>
        <w:tc>
          <w:tcPr>
            <w:tcW w:w="9355" w:type="dxa"/>
            <w:gridSpan w:val="2"/>
            <w:shd w:val="clear" w:color="auto" w:fill="auto"/>
            <w:tcMar>
              <w:left w:w="115" w:type="dxa"/>
              <w:right w:w="173" w:type="dxa"/>
            </w:tcMar>
            <w:vAlign w:val="center"/>
          </w:tcPr>
          <w:p w14:paraId="6C8DC8F1" w14:textId="77777777" w:rsidR="002D75B7" w:rsidRPr="000A1B74" w:rsidRDefault="002D75B7" w:rsidP="00DE6AD0">
            <w:pPr>
              <w:spacing w:before="60" w:after="60"/>
              <w:jc w:val="left"/>
              <w:rPr>
                <w:color w:val="000000" w:themeColor="text1"/>
                <w:sz w:val="20"/>
                <w:szCs w:val="20"/>
              </w:rPr>
            </w:pPr>
            <w:r w:rsidRPr="000A1B74">
              <w:rPr>
                <w:b/>
                <w:color w:val="000000" w:themeColor="text1"/>
                <w:sz w:val="20"/>
              </w:rPr>
              <w:t>Dependencia Común de Inspección de las Naciones Unidas</w:t>
            </w:r>
          </w:p>
        </w:tc>
      </w:tr>
      <w:tr w:rsidR="002D75B7" w:rsidRPr="000A1B74" w14:paraId="4827CB9E" w14:textId="77777777" w:rsidTr="00DE6AD0">
        <w:trPr>
          <w:cantSplit/>
        </w:trPr>
        <w:tc>
          <w:tcPr>
            <w:tcW w:w="8185" w:type="dxa"/>
            <w:shd w:val="clear" w:color="auto" w:fill="auto"/>
            <w:vAlign w:val="center"/>
          </w:tcPr>
          <w:p w14:paraId="64ED7E95" w14:textId="77777777" w:rsidR="002D75B7" w:rsidRPr="000A1B74" w:rsidRDefault="002D75B7" w:rsidP="00DE6AD0">
            <w:pPr>
              <w:spacing w:before="60" w:after="60"/>
              <w:jc w:val="left"/>
              <w:rPr>
                <w:b/>
                <w:color w:val="000000" w:themeColor="text1"/>
                <w:sz w:val="20"/>
                <w:szCs w:val="20"/>
              </w:rPr>
            </w:pPr>
            <w:r w:rsidRPr="000A1B74">
              <w:rPr>
                <w:b/>
                <w:color w:val="000000" w:themeColor="text1"/>
                <w:sz w:val="20"/>
              </w:rPr>
              <w:t>La Secretaría respondió un cuestionario relativo al examen de las políticas y prácticas ambientalmente sostenibles en todas las organizaciones del sistema de las Naciones Unidas.</w:t>
            </w:r>
          </w:p>
        </w:tc>
        <w:tc>
          <w:tcPr>
            <w:tcW w:w="1170" w:type="dxa"/>
            <w:shd w:val="clear" w:color="auto" w:fill="auto"/>
            <w:tcMar>
              <w:left w:w="115" w:type="dxa"/>
              <w:right w:w="173" w:type="dxa"/>
            </w:tcMar>
            <w:vAlign w:val="center"/>
          </w:tcPr>
          <w:p w14:paraId="061E0162" w14:textId="77777777" w:rsidR="002D75B7" w:rsidRPr="000A1B74" w:rsidRDefault="002D75B7" w:rsidP="00DE6AD0">
            <w:pPr>
              <w:spacing w:before="60" w:after="60"/>
              <w:jc w:val="right"/>
              <w:rPr>
                <w:b/>
                <w:color w:val="000000" w:themeColor="text1"/>
                <w:sz w:val="20"/>
                <w:szCs w:val="20"/>
              </w:rPr>
            </w:pPr>
            <w:r w:rsidRPr="000A1B74">
              <w:rPr>
                <w:b/>
                <w:color w:val="000000" w:themeColor="text1"/>
                <w:sz w:val="20"/>
              </w:rPr>
              <w:t>86</w:t>
            </w:r>
          </w:p>
        </w:tc>
      </w:tr>
      <w:tr w:rsidR="002D75B7" w:rsidRPr="000A1B74" w14:paraId="0967DB38" w14:textId="77777777" w:rsidTr="00DE6AD0">
        <w:trPr>
          <w:cantSplit/>
        </w:trPr>
        <w:tc>
          <w:tcPr>
            <w:tcW w:w="8185" w:type="dxa"/>
            <w:shd w:val="clear" w:color="auto" w:fill="auto"/>
            <w:vAlign w:val="center"/>
            <w:hideMark/>
          </w:tcPr>
          <w:p w14:paraId="39BB3D06"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Resumen actualizado sobre la asistencia técnica y la financiación que el Fondo Multilateral proporciona a los pequeños Estados insulares en desarrollo, que se había proporcionado anteriormente en febrero de 2015. Se dieron otras aclaraciones el 20 de octubre y el 7 de noviembre de 2016.</w:t>
            </w:r>
          </w:p>
        </w:tc>
        <w:tc>
          <w:tcPr>
            <w:tcW w:w="1170" w:type="dxa"/>
            <w:shd w:val="clear" w:color="auto" w:fill="auto"/>
            <w:tcMar>
              <w:left w:w="115" w:type="dxa"/>
              <w:right w:w="173" w:type="dxa"/>
            </w:tcMar>
            <w:vAlign w:val="center"/>
            <w:hideMark/>
          </w:tcPr>
          <w:p w14:paraId="5F20D3BD"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77</w:t>
            </w:r>
          </w:p>
        </w:tc>
      </w:tr>
      <w:tr w:rsidR="002D75B7" w:rsidRPr="000A1B74" w14:paraId="6EE72134" w14:textId="77777777" w:rsidTr="00DE6AD0">
        <w:trPr>
          <w:cantSplit/>
        </w:trPr>
        <w:tc>
          <w:tcPr>
            <w:tcW w:w="8185" w:type="dxa"/>
            <w:shd w:val="clear" w:color="auto" w:fill="auto"/>
            <w:vAlign w:val="center"/>
            <w:hideMark/>
          </w:tcPr>
          <w:p w14:paraId="7051B9D9"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Observaciones sobre el borrador del documento “Examen de las actividades y los recursos dedicados a hacer frente al cambio climático en las organizaciones del sistema de las Naciones Unidas”;</w:t>
            </w:r>
          </w:p>
          <w:p w14:paraId="0A53B71E"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Información sustantiva, que incluyó un resumen de la asistencia técnica y la financiación que el Fondo Multilateral proporciona a los pequeños Estados insulares en desarrollo, e información exhaustiva sobre los proyectos del Fondo Multilateral aprobados para cada país.</w:t>
            </w:r>
          </w:p>
        </w:tc>
        <w:tc>
          <w:tcPr>
            <w:tcW w:w="1170" w:type="dxa"/>
            <w:shd w:val="clear" w:color="auto" w:fill="auto"/>
            <w:tcMar>
              <w:left w:w="115" w:type="dxa"/>
              <w:right w:w="173" w:type="dxa"/>
            </w:tcMar>
            <w:vAlign w:val="center"/>
          </w:tcPr>
          <w:p w14:paraId="48A4A1FC"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74</w:t>
            </w:r>
          </w:p>
        </w:tc>
      </w:tr>
      <w:tr w:rsidR="002D75B7" w:rsidRPr="000A1B74" w14:paraId="1D0A79DC" w14:textId="77777777" w:rsidTr="00DE6AD0">
        <w:trPr>
          <w:cantSplit/>
        </w:trPr>
        <w:tc>
          <w:tcPr>
            <w:tcW w:w="8185" w:type="dxa"/>
            <w:shd w:val="clear" w:color="auto" w:fill="auto"/>
            <w:vAlign w:val="center"/>
            <w:hideMark/>
          </w:tcPr>
          <w:p w14:paraId="33F1ADDE"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La Secretaría respondió un cuestionario sobre el examen de las actividades y los recursos dedicados a hacer frente al cambio climático.</w:t>
            </w:r>
          </w:p>
        </w:tc>
        <w:tc>
          <w:tcPr>
            <w:tcW w:w="1170" w:type="dxa"/>
            <w:shd w:val="clear" w:color="auto" w:fill="auto"/>
            <w:tcMar>
              <w:left w:w="115" w:type="dxa"/>
              <w:right w:w="173" w:type="dxa"/>
            </w:tcMar>
            <w:vAlign w:val="center"/>
          </w:tcPr>
          <w:p w14:paraId="59A7FFBA"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73</w:t>
            </w:r>
          </w:p>
        </w:tc>
      </w:tr>
      <w:tr w:rsidR="002D75B7" w:rsidRPr="000A1B74" w14:paraId="26453157" w14:textId="77777777" w:rsidTr="00DE6AD0">
        <w:trPr>
          <w:cantSplit/>
        </w:trPr>
        <w:tc>
          <w:tcPr>
            <w:tcW w:w="8185" w:type="dxa"/>
            <w:shd w:val="clear" w:color="auto" w:fill="auto"/>
            <w:vAlign w:val="center"/>
            <w:hideMark/>
          </w:tcPr>
          <w:p w14:paraId="35F1A6FE"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Observaciones y corrección de datos en la información sobre el Fondo Multilateral en el informe “Examen de la gobernanza ambiental en el sistema de las Naciones Unidas después de Río +20”.</w:t>
            </w:r>
          </w:p>
        </w:tc>
        <w:tc>
          <w:tcPr>
            <w:tcW w:w="1170" w:type="dxa"/>
            <w:shd w:val="clear" w:color="auto" w:fill="auto"/>
            <w:tcMar>
              <w:left w:w="115" w:type="dxa"/>
              <w:right w:w="173" w:type="dxa"/>
            </w:tcMar>
            <w:vAlign w:val="center"/>
          </w:tcPr>
          <w:p w14:paraId="12A02F59"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72</w:t>
            </w:r>
          </w:p>
        </w:tc>
      </w:tr>
      <w:tr w:rsidR="002D75B7" w:rsidRPr="000A1B74" w14:paraId="0E535B34" w14:textId="77777777" w:rsidTr="00DE6AD0">
        <w:trPr>
          <w:cantSplit/>
        </w:trPr>
        <w:tc>
          <w:tcPr>
            <w:tcW w:w="8185" w:type="dxa"/>
            <w:shd w:val="clear" w:color="auto" w:fill="auto"/>
            <w:noWrap/>
            <w:vAlign w:val="center"/>
            <w:hideMark/>
          </w:tcPr>
          <w:p w14:paraId="47829F70"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 xml:space="preserve">En lo que respecta a la evaluación de 2013 titulada “Examen de la gobernanza ambiental en el sistema de las Naciones Unidas después de Río +20”, la Secretaría proporcionó a la Dependencia Común de Inspección información sobre la estructura del Fondo, los niveles de financiación; el número, características y participantes de las reuniones; el proceso de aprobación de proyectos, los gastos de apoyo; los niveles de dotación de la Secretaría; el historial de aprobaciones en el período 2006-2013; las modalidades de ejecución y cumplimiento; el marco de gobernanza; la planificación estratégica; las sinergias y la coordinación con otros acuerdos ambientales multilaterales; las evaluaciones científicas; la promoción y extensión; la administración; la distribución de géneros y el equilibrio regional de la Secretaría y el Comité Ejecutivo. </w:t>
            </w:r>
          </w:p>
        </w:tc>
        <w:tc>
          <w:tcPr>
            <w:tcW w:w="1170" w:type="dxa"/>
            <w:shd w:val="clear" w:color="auto" w:fill="auto"/>
            <w:tcMar>
              <w:left w:w="115" w:type="dxa"/>
              <w:right w:w="173" w:type="dxa"/>
            </w:tcMar>
            <w:vAlign w:val="center"/>
            <w:hideMark/>
          </w:tcPr>
          <w:p w14:paraId="792B5471"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70</w:t>
            </w:r>
          </w:p>
        </w:tc>
      </w:tr>
      <w:tr w:rsidR="002D75B7" w:rsidRPr="000A1B74" w14:paraId="2DAB00C0" w14:textId="77777777" w:rsidTr="00DE6AD0">
        <w:trPr>
          <w:cantSplit/>
        </w:trPr>
        <w:tc>
          <w:tcPr>
            <w:tcW w:w="9355" w:type="dxa"/>
            <w:gridSpan w:val="2"/>
            <w:shd w:val="clear" w:color="auto" w:fill="auto"/>
            <w:noWrap/>
            <w:tcMar>
              <w:left w:w="115" w:type="dxa"/>
              <w:right w:w="173" w:type="dxa"/>
            </w:tcMar>
            <w:vAlign w:val="center"/>
          </w:tcPr>
          <w:p w14:paraId="2EDE9FF3" w14:textId="77777777" w:rsidR="002D75B7" w:rsidRPr="000A1B74" w:rsidRDefault="002D75B7" w:rsidP="00DE6AD0">
            <w:pPr>
              <w:spacing w:before="60" w:after="60"/>
              <w:jc w:val="left"/>
              <w:rPr>
                <w:b/>
                <w:color w:val="000000" w:themeColor="text1"/>
                <w:sz w:val="20"/>
                <w:szCs w:val="20"/>
              </w:rPr>
            </w:pPr>
            <w:r w:rsidRPr="000A1B74">
              <w:rPr>
                <w:b/>
                <w:color w:val="000000" w:themeColor="text1"/>
                <w:sz w:val="20"/>
              </w:rPr>
              <w:t>Programa de Kigali para la Refrigeración Eficiente (K-CEP)</w:t>
            </w:r>
          </w:p>
        </w:tc>
      </w:tr>
      <w:tr w:rsidR="002D75B7" w:rsidRPr="000A1B74" w14:paraId="482AADD3" w14:textId="77777777" w:rsidTr="00DE6AD0">
        <w:trPr>
          <w:cantSplit/>
        </w:trPr>
        <w:tc>
          <w:tcPr>
            <w:tcW w:w="8185" w:type="dxa"/>
            <w:shd w:val="clear" w:color="auto" w:fill="auto"/>
            <w:noWrap/>
            <w:vAlign w:val="center"/>
          </w:tcPr>
          <w:p w14:paraId="14488691"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Participación en el seminario web realizado el 28 de enero de 2020 acerca del instrumento de apoyo a las contribuciones determinadas a nivel nacional (CDN) para la refrigeración eficiente e inocua para el clima (</w:t>
            </w:r>
            <w:r w:rsidRPr="000A1B74">
              <w:rPr>
                <w:i/>
                <w:iCs/>
                <w:color w:val="000000" w:themeColor="text1"/>
                <w:sz w:val="20"/>
              </w:rPr>
              <w:t>Nationally Determined Contributions [NDC) Support Facility for Efficient, Climate-Friendly Cooling [NDC Support Facility]</w:t>
            </w:r>
            <w:r w:rsidRPr="000A1B74">
              <w:rPr>
                <w:color w:val="000000" w:themeColor="text1"/>
                <w:sz w:val="20"/>
              </w:rPr>
              <w:t xml:space="preserve">), una nueva iniciativa que ofrece fondos y orientación a las entidades que prestan apoyo a los países para integrar soluciones de refrigeración en su siguiente ronda de CDN. </w:t>
            </w:r>
          </w:p>
          <w:p w14:paraId="3D5F20B9"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 xml:space="preserve">Al pedir la Secretaría aclaraciones acerca de si las propuestas de proyecto presentadas incluirían salvaguardias para evitar la adopción de aplicaciones de refrigeración con eficiencia energética y a base de refrigerante de alto PCA, el K-CEP aseguró que se promoverían las tecnologías de bajo PCA a través de este instrumento. </w:t>
            </w:r>
          </w:p>
        </w:tc>
        <w:tc>
          <w:tcPr>
            <w:tcW w:w="1170" w:type="dxa"/>
            <w:shd w:val="clear" w:color="auto" w:fill="auto"/>
            <w:tcMar>
              <w:left w:w="115" w:type="dxa"/>
              <w:right w:w="173" w:type="dxa"/>
            </w:tcMar>
            <w:vAlign w:val="center"/>
          </w:tcPr>
          <w:p w14:paraId="05772DF4"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85</w:t>
            </w:r>
          </w:p>
        </w:tc>
      </w:tr>
      <w:tr w:rsidR="002D75B7" w:rsidRPr="000A1B74" w14:paraId="50F59A67" w14:textId="77777777" w:rsidTr="00DE6AD0">
        <w:trPr>
          <w:cantSplit/>
        </w:trPr>
        <w:tc>
          <w:tcPr>
            <w:tcW w:w="8185" w:type="dxa"/>
            <w:shd w:val="clear" w:color="auto" w:fill="auto"/>
            <w:noWrap/>
            <w:vAlign w:val="center"/>
          </w:tcPr>
          <w:p w14:paraId="285B5CBB" w14:textId="77777777" w:rsidR="002D75B7" w:rsidRPr="000A1B74" w:rsidRDefault="002D75B7" w:rsidP="00DE6AD0">
            <w:pPr>
              <w:spacing w:before="60" w:after="60"/>
              <w:jc w:val="left"/>
              <w:rPr>
                <w:sz w:val="20"/>
                <w:szCs w:val="20"/>
              </w:rPr>
            </w:pPr>
            <w:r w:rsidRPr="000A1B74">
              <w:rPr>
                <w:sz w:val="20"/>
              </w:rPr>
              <w:lastRenderedPageBreak/>
              <w:t xml:space="preserve">Cuando se solicitó que se ofrecieran opiniones a ITAD Ltd., una organización a la que se ha encomendado que ayude a desarrollar más conocimientos acerca de la función del K-CEP para promover la eficiencia energética en el sector de refrigeración, la Secretaría mantuvo una conferencia telefónica con un miembro del personal de ITAD, en la que informó acerca de las aportaciones de la Secretaría al K-CEP en la fase inicial de su establecimiento y sus conocimientos acerca de los vínculos entre las actividades del K-CEP y las actividades de los proyectos del Protocolo de Montreal, en particular en relación con los proyectos de reducción de los HFC. </w:t>
            </w:r>
          </w:p>
        </w:tc>
        <w:tc>
          <w:tcPr>
            <w:tcW w:w="1170" w:type="dxa"/>
            <w:shd w:val="clear" w:color="auto" w:fill="auto"/>
            <w:tcMar>
              <w:left w:w="115" w:type="dxa"/>
              <w:right w:w="173" w:type="dxa"/>
            </w:tcMar>
            <w:vAlign w:val="center"/>
          </w:tcPr>
          <w:p w14:paraId="54014D0C"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84</w:t>
            </w:r>
          </w:p>
        </w:tc>
      </w:tr>
      <w:tr w:rsidR="002D75B7" w:rsidRPr="000A1B74" w14:paraId="174E22B2" w14:textId="77777777" w:rsidTr="00DE6AD0">
        <w:trPr>
          <w:cantSplit/>
        </w:trPr>
        <w:tc>
          <w:tcPr>
            <w:tcW w:w="8185" w:type="dxa"/>
            <w:shd w:val="clear" w:color="auto" w:fill="auto"/>
            <w:noWrap/>
            <w:vAlign w:val="center"/>
            <w:hideMark/>
          </w:tcPr>
          <w:p w14:paraId="79314179"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Se mantuvo un intercambio oficioso sobre la experiencia del Fondo Multilateral.</w:t>
            </w:r>
          </w:p>
        </w:tc>
        <w:tc>
          <w:tcPr>
            <w:tcW w:w="1170" w:type="dxa"/>
            <w:shd w:val="clear" w:color="auto" w:fill="auto"/>
            <w:tcMar>
              <w:left w:w="115" w:type="dxa"/>
              <w:right w:w="173" w:type="dxa"/>
            </w:tcMar>
            <w:vAlign w:val="center"/>
          </w:tcPr>
          <w:p w14:paraId="71A9B9E9"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80</w:t>
            </w:r>
          </w:p>
        </w:tc>
      </w:tr>
      <w:tr w:rsidR="002D75B7" w:rsidRPr="000A1B74" w14:paraId="54B8E615" w14:textId="77777777" w:rsidTr="00DE6AD0">
        <w:trPr>
          <w:cantSplit/>
        </w:trPr>
        <w:tc>
          <w:tcPr>
            <w:tcW w:w="8185" w:type="dxa"/>
            <w:shd w:val="clear" w:color="auto" w:fill="auto"/>
            <w:vAlign w:val="center"/>
            <w:hideMark/>
          </w:tcPr>
          <w:p w14:paraId="2B95D4AA"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 xml:space="preserve">El director y otro representante del K-CEP, que coordinará el trabajo de 19 fundaciones filantrópicas en cuestiones relacionadas con la eficiencia energética y la refrigeración con respecto a la aplicación de la Enmienda de Kigali, visitaron la Secretaría el 26 de enero de 2017 para conocer más acerca del Fondo Multilateral. El K-CEP se propone asignar unos 53 millones de $EUA provenientes de fundaciones filantrópicas para finales de 2017 con el objeto de prestar apoyo específico mediante programas de país a un pequeño número de países y apoyo más general a más de 100 países para mejorar la eficiencia energética. </w:t>
            </w:r>
          </w:p>
          <w:p w14:paraId="2E0C5AF8"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La información proporcionada incluyó el manual sobre el Comité Ejecutivo, una presentación que resume el funcionamiento del Fondo Multilateral; las directrices para presentar los informes sobre la marcha de las actividades y financiero; la guía para la preparación de las propuestas de proyecto; las plantillas para los informes de terminación de proyectos; el documento UNEP/OzL.Pro/ExCom/74/51 sobre el examen de fortalecimiento institucional y la decisión 74/51 relacionada.</w:t>
            </w:r>
          </w:p>
        </w:tc>
        <w:tc>
          <w:tcPr>
            <w:tcW w:w="1170" w:type="dxa"/>
            <w:shd w:val="clear" w:color="auto" w:fill="auto"/>
            <w:tcMar>
              <w:left w:w="115" w:type="dxa"/>
              <w:right w:w="173" w:type="dxa"/>
            </w:tcMar>
            <w:vAlign w:val="center"/>
          </w:tcPr>
          <w:p w14:paraId="2B0AB470"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78</w:t>
            </w:r>
          </w:p>
        </w:tc>
      </w:tr>
      <w:tr w:rsidR="002D75B7" w:rsidRPr="000A1B74" w14:paraId="718C3D36" w14:textId="77777777" w:rsidTr="00DE6AD0">
        <w:trPr>
          <w:cantSplit/>
        </w:trPr>
        <w:tc>
          <w:tcPr>
            <w:tcW w:w="9355" w:type="dxa"/>
            <w:gridSpan w:val="2"/>
            <w:shd w:val="clear" w:color="auto" w:fill="auto"/>
            <w:tcMar>
              <w:left w:w="115" w:type="dxa"/>
              <w:right w:w="173" w:type="dxa"/>
            </w:tcMar>
            <w:vAlign w:val="center"/>
          </w:tcPr>
          <w:p w14:paraId="545F92B6" w14:textId="77777777" w:rsidR="002D75B7" w:rsidRPr="000A1B74" w:rsidRDefault="002D75B7" w:rsidP="00DE6AD0">
            <w:pPr>
              <w:spacing w:before="60" w:after="60"/>
              <w:jc w:val="left"/>
              <w:rPr>
                <w:b/>
                <w:color w:val="000000" w:themeColor="text1"/>
                <w:sz w:val="20"/>
                <w:szCs w:val="20"/>
              </w:rPr>
            </w:pPr>
            <w:r w:rsidRPr="000A1B74">
              <w:rPr>
                <w:b/>
                <w:color w:val="000000" w:themeColor="text1"/>
                <w:sz w:val="20"/>
              </w:rPr>
              <w:t>Lawrence Berkeley National Laboratory</w:t>
            </w:r>
          </w:p>
        </w:tc>
      </w:tr>
      <w:tr w:rsidR="002D75B7" w:rsidRPr="000A1B74" w14:paraId="6F3FD95D" w14:textId="77777777" w:rsidTr="00DE6AD0">
        <w:trPr>
          <w:cantSplit/>
        </w:trPr>
        <w:tc>
          <w:tcPr>
            <w:tcW w:w="8185" w:type="dxa"/>
            <w:shd w:val="clear" w:color="auto" w:fill="auto"/>
            <w:vAlign w:val="center"/>
            <w:hideMark/>
          </w:tcPr>
          <w:p w14:paraId="2C152C71"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La Secretaría formuló observaciones acerca de un documento preliminar sobre riesgos y oportunidades de las mejoras en la eficiencia y la transición de refrigerantes en los equipos de aire acondicionado para habitaciones.</w:t>
            </w:r>
          </w:p>
        </w:tc>
        <w:tc>
          <w:tcPr>
            <w:tcW w:w="1170" w:type="dxa"/>
            <w:shd w:val="clear" w:color="auto" w:fill="auto"/>
            <w:tcMar>
              <w:left w:w="115" w:type="dxa"/>
              <w:right w:w="173" w:type="dxa"/>
            </w:tcMar>
            <w:vAlign w:val="center"/>
            <w:hideMark/>
          </w:tcPr>
          <w:p w14:paraId="4356AD36"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80</w:t>
            </w:r>
          </w:p>
        </w:tc>
      </w:tr>
      <w:tr w:rsidR="002D75B7" w:rsidRPr="000A1B74" w14:paraId="566A340E" w14:textId="77777777" w:rsidTr="00DE6AD0">
        <w:trPr>
          <w:cantSplit/>
        </w:trPr>
        <w:tc>
          <w:tcPr>
            <w:tcW w:w="9355" w:type="dxa"/>
            <w:gridSpan w:val="2"/>
            <w:shd w:val="clear" w:color="auto" w:fill="auto"/>
            <w:tcMar>
              <w:left w:w="115" w:type="dxa"/>
              <w:right w:w="173" w:type="dxa"/>
            </w:tcMar>
            <w:vAlign w:val="center"/>
          </w:tcPr>
          <w:p w14:paraId="7F82C270" w14:textId="77777777" w:rsidR="002D75B7" w:rsidRPr="000A1B74" w:rsidRDefault="002D75B7" w:rsidP="00DE6AD0">
            <w:pPr>
              <w:spacing w:before="60" w:after="60"/>
              <w:jc w:val="left"/>
              <w:rPr>
                <w:b/>
                <w:color w:val="000000" w:themeColor="text1"/>
                <w:sz w:val="20"/>
                <w:szCs w:val="20"/>
              </w:rPr>
            </w:pPr>
            <w:r w:rsidRPr="000A1B74">
              <w:rPr>
                <w:b/>
                <w:color w:val="000000" w:themeColor="text1"/>
                <w:sz w:val="20"/>
              </w:rPr>
              <w:t>Natural Resources Defense Council</w:t>
            </w:r>
          </w:p>
        </w:tc>
      </w:tr>
      <w:tr w:rsidR="002D75B7" w:rsidRPr="000A1B74" w14:paraId="3DAF0BCC" w14:textId="77777777" w:rsidTr="00DE6AD0">
        <w:trPr>
          <w:cantSplit/>
        </w:trPr>
        <w:tc>
          <w:tcPr>
            <w:tcW w:w="8185" w:type="dxa"/>
            <w:shd w:val="clear" w:color="auto" w:fill="auto"/>
            <w:vAlign w:val="center"/>
          </w:tcPr>
          <w:p w14:paraId="435BD02E"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 xml:space="preserve">Indicador de impacto climático del Fondo Multilateral (IICFM), con inclusión de la herramienta (archivo de Excel), el manual (PDF) y una explicación de la herramienta (archivo de Word). </w:t>
            </w:r>
          </w:p>
        </w:tc>
        <w:tc>
          <w:tcPr>
            <w:tcW w:w="1170" w:type="dxa"/>
            <w:shd w:val="clear" w:color="auto" w:fill="auto"/>
            <w:tcMar>
              <w:left w:w="115" w:type="dxa"/>
              <w:right w:w="173" w:type="dxa"/>
            </w:tcMar>
            <w:vAlign w:val="center"/>
          </w:tcPr>
          <w:p w14:paraId="344E5F69"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81</w:t>
            </w:r>
          </w:p>
        </w:tc>
      </w:tr>
      <w:tr w:rsidR="002D75B7" w:rsidRPr="000A1B74" w14:paraId="495C69FA" w14:textId="77777777" w:rsidTr="00DE6AD0">
        <w:trPr>
          <w:cantSplit/>
        </w:trPr>
        <w:tc>
          <w:tcPr>
            <w:tcW w:w="9355" w:type="dxa"/>
            <w:gridSpan w:val="2"/>
            <w:shd w:val="clear" w:color="auto" w:fill="auto"/>
            <w:tcMar>
              <w:left w:w="115" w:type="dxa"/>
              <w:right w:w="173" w:type="dxa"/>
            </w:tcMar>
            <w:vAlign w:val="center"/>
          </w:tcPr>
          <w:p w14:paraId="7F6463FA" w14:textId="77777777" w:rsidR="002D75B7" w:rsidRPr="000A1B74" w:rsidRDefault="002D75B7" w:rsidP="00DE6AD0">
            <w:pPr>
              <w:spacing w:before="60" w:after="60"/>
              <w:jc w:val="left"/>
              <w:rPr>
                <w:b/>
                <w:color w:val="000000" w:themeColor="text1"/>
                <w:sz w:val="20"/>
                <w:szCs w:val="20"/>
              </w:rPr>
            </w:pPr>
            <w:r w:rsidRPr="000A1B74">
              <w:rPr>
                <w:b/>
                <w:color w:val="000000" w:themeColor="text1"/>
                <w:sz w:val="20"/>
              </w:rPr>
              <w:t>Convenio de Minamata sobre el Mercurio</w:t>
            </w:r>
          </w:p>
        </w:tc>
      </w:tr>
      <w:tr w:rsidR="002D75B7" w:rsidRPr="000A1B74" w14:paraId="2E0F90A9" w14:textId="77777777" w:rsidTr="00DE6AD0">
        <w:trPr>
          <w:cantSplit/>
        </w:trPr>
        <w:tc>
          <w:tcPr>
            <w:tcW w:w="8185" w:type="dxa"/>
            <w:shd w:val="clear" w:color="auto" w:fill="auto"/>
            <w:vAlign w:val="center"/>
            <w:hideMark/>
          </w:tcPr>
          <w:p w14:paraId="795A74E8"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En julio de 2013 el Gobierno del Japón invitó a la Secretaría a asistir a la Conferencia de Plenipotenciarios para la aprobación y firma del Convenio de Minamata sobre el Mercurio que se celebraría del 9 al 11 de octubre de 2013 en Kumamoto y Minamata (Japón). No obstante, la Secretaría no pudo asistir.</w:t>
            </w:r>
          </w:p>
        </w:tc>
        <w:tc>
          <w:tcPr>
            <w:tcW w:w="1170" w:type="dxa"/>
            <w:shd w:val="clear" w:color="auto" w:fill="auto"/>
            <w:tcMar>
              <w:left w:w="115" w:type="dxa"/>
              <w:right w:w="173" w:type="dxa"/>
            </w:tcMar>
            <w:vAlign w:val="center"/>
            <w:hideMark/>
          </w:tcPr>
          <w:p w14:paraId="1E43E75D"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71</w:t>
            </w:r>
          </w:p>
        </w:tc>
      </w:tr>
      <w:tr w:rsidR="002D75B7" w:rsidRPr="000A1B74" w14:paraId="37DCF2FB" w14:textId="77777777" w:rsidTr="00DE6AD0">
        <w:trPr>
          <w:cantSplit/>
        </w:trPr>
        <w:tc>
          <w:tcPr>
            <w:tcW w:w="9355" w:type="dxa"/>
            <w:gridSpan w:val="2"/>
            <w:shd w:val="clear" w:color="auto" w:fill="auto"/>
            <w:tcMar>
              <w:left w:w="115" w:type="dxa"/>
              <w:right w:w="173" w:type="dxa"/>
            </w:tcMar>
            <w:vAlign w:val="center"/>
          </w:tcPr>
          <w:p w14:paraId="262D6DE0" w14:textId="77777777" w:rsidR="002D75B7" w:rsidRPr="000A1B74" w:rsidRDefault="002D75B7" w:rsidP="00DE6AD0">
            <w:pPr>
              <w:keepNext/>
              <w:spacing w:before="60" w:after="60"/>
              <w:jc w:val="left"/>
              <w:rPr>
                <w:b/>
                <w:bCs/>
                <w:color w:val="000000"/>
                <w:sz w:val="20"/>
                <w:szCs w:val="20"/>
              </w:rPr>
            </w:pPr>
            <w:r w:rsidRPr="000A1B74">
              <w:rPr>
                <w:b/>
                <w:color w:val="000000"/>
                <w:sz w:val="20"/>
              </w:rPr>
              <w:t>Red de Evaluación del Desempeño de las Organizaciones Multilaterales (MOPAN)</w:t>
            </w:r>
          </w:p>
        </w:tc>
      </w:tr>
      <w:tr w:rsidR="002D75B7" w:rsidRPr="000A1B74" w14:paraId="2F8E3A0A" w14:textId="77777777" w:rsidTr="00DE6AD0">
        <w:trPr>
          <w:cantSplit/>
        </w:trPr>
        <w:tc>
          <w:tcPr>
            <w:tcW w:w="8185" w:type="dxa"/>
            <w:shd w:val="clear" w:color="auto" w:fill="auto"/>
            <w:vAlign w:val="center"/>
          </w:tcPr>
          <w:p w14:paraId="32626166" w14:textId="77777777" w:rsidR="002D75B7" w:rsidRPr="000A1B74" w:rsidRDefault="002D75B7" w:rsidP="00DE6AD0">
            <w:pPr>
              <w:spacing w:before="60" w:after="60"/>
              <w:jc w:val="left"/>
              <w:rPr>
                <w:b/>
                <w:color w:val="000000" w:themeColor="text1"/>
                <w:sz w:val="20"/>
              </w:rPr>
            </w:pPr>
            <w:r w:rsidRPr="000A1B74">
              <w:rPr>
                <w:b/>
                <w:color w:val="000000" w:themeColor="text1"/>
                <w:sz w:val="20"/>
                <w:szCs w:val="20"/>
              </w:rPr>
              <w:t>Tras la recepción del informe de evaluación del Fondo Multilateral, se está organizando una reunión virtual para que la Secretaría de la MOPAN presente el informe al Comité Ejecutivo y está previsto un debate bilateral entre ambas Secretarías sobre la evaluación del Fondo Multilateral, la metodología utilizada y la posible flexibilidad para adaptarla al tipo de organización que se evalúe en el futuro.</w:t>
            </w:r>
          </w:p>
        </w:tc>
        <w:tc>
          <w:tcPr>
            <w:tcW w:w="1170" w:type="dxa"/>
            <w:shd w:val="clear" w:color="auto" w:fill="auto"/>
            <w:tcMar>
              <w:left w:w="115" w:type="dxa"/>
              <w:right w:w="173" w:type="dxa"/>
            </w:tcMar>
            <w:vAlign w:val="center"/>
          </w:tcPr>
          <w:p w14:paraId="033F5435" w14:textId="77777777" w:rsidR="002D75B7" w:rsidRPr="000A1B74" w:rsidRDefault="002D75B7" w:rsidP="00DE6AD0">
            <w:pPr>
              <w:spacing w:before="60" w:after="60"/>
              <w:jc w:val="right"/>
              <w:rPr>
                <w:b/>
                <w:color w:val="000000" w:themeColor="text1"/>
                <w:sz w:val="20"/>
              </w:rPr>
            </w:pPr>
            <w:r w:rsidRPr="000A1B74">
              <w:rPr>
                <w:b/>
                <w:color w:val="000000" w:themeColor="text1"/>
                <w:sz w:val="20"/>
                <w:szCs w:val="20"/>
              </w:rPr>
              <w:t>86</w:t>
            </w:r>
          </w:p>
        </w:tc>
      </w:tr>
      <w:tr w:rsidR="002D75B7" w:rsidRPr="000A1B74" w14:paraId="2735F677" w14:textId="77777777" w:rsidTr="00DE6AD0">
        <w:trPr>
          <w:cantSplit/>
        </w:trPr>
        <w:tc>
          <w:tcPr>
            <w:tcW w:w="8185" w:type="dxa"/>
            <w:shd w:val="clear" w:color="auto" w:fill="auto"/>
            <w:vAlign w:val="center"/>
          </w:tcPr>
          <w:p w14:paraId="7E5561BB" w14:textId="77777777" w:rsidR="002D75B7" w:rsidRPr="000A1B74" w:rsidRDefault="002D75B7" w:rsidP="00DE6AD0">
            <w:pPr>
              <w:spacing w:before="60" w:after="60"/>
              <w:jc w:val="left"/>
              <w:rPr>
                <w:bCs/>
                <w:sz w:val="20"/>
                <w:szCs w:val="20"/>
              </w:rPr>
            </w:pPr>
            <w:r w:rsidRPr="000A1B74">
              <w:rPr>
                <w:bCs/>
                <w:color w:val="000000" w:themeColor="text1"/>
                <w:sz w:val="20"/>
              </w:rPr>
              <w:t>La Secretaría examinó el proyecto de informe de evaluación, corrigió datos y formuló comentarios al respecto. Se llevó a cabo una comunicación de seguimiento entre las dos Secretarías en lo que respecta al calendario para el informe final y posibles formas de compartir las conclusiones clave con el Comité Ejecutivo.</w:t>
            </w:r>
          </w:p>
        </w:tc>
        <w:tc>
          <w:tcPr>
            <w:tcW w:w="1170" w:type="dxa"/>
            <w:shd w:val="clear" w:color="auto" w:fill="auto"/>
            <w:tcMar>
              <w:left w:w="115" w:type="dxa"/>
              <w:right w:w="173" w:type="dxa"/>
            </w:tcMar>
            <w:vAlign w:val="center"/>
          </w:tcPr>
          <w:p w14:paraId="2C933A72" w14:textId="77777777" w:rsidR="002D75B7" w:rsidRPr="000A1B74" w:rsidRDefault="002D75B7" w:rsidP="00DE6AD0">
            <w:pPr>
              <w:spacing w:before="60" w:after="60"/>
              <w:jc w:val="right"/>
              <w:rPr>
                <w:bCs/>
                <w:color w:val="000000" w:themeColor="text1"/>
                <w:sz w:val="20"/>
                <w:szCs w:val="20"/>
              </w:rPr>
            </w:pPr>
            <w:r w:rsidRPr="000A1B74">
              <w:rPr>
                <w:bCs/>
                <w:color w:val="000000" w:themeColor="text1"/>
                <w:sz w:val="20"/>
              </w:rPr>
              <w:t>86</w:t>
            </w:r>
          </w:p>
        </w:tc>
      </w:tr>
      <w:tr w:rsidR="002D75B7" w:rsidRPr="000A1B74" w14:paraId="04DBECAD" w14:textId="77777777" w:rsidTr="00DE6AD0">
        <w:trPr>
          <w:cantSplit/>
        </w:trPr>
        <w:tc>
          <w:tcPr>
            <w:tcW w:w="8185" w:type="dxa"/>
            <w:shd w:val="clear" w:color="auto" w:fill="auto"/>
            <w:vAlign w:val="center"/>
          </w:tcPr>
          <w:p w14:paraId="5C3CFEE8" w14:textId="77777777" w:rsidR="002D75B7" w:rsidRPr="000A1B74" w:rsidRDefault="002D75B7" w:rsidP="00DE6AD0">
            <w:pPr>
              <w:spacing w:before="60" w:after="60"/>
              <w:jc w:val="left"/>
              <w:rPr>
                <w:color w:val="000000"/>
                <w:sz w:val="20"/>
                <w:szCs w:val="20"/>
              </w:rPr>
            </w:pPr>
            <w:r w:rsidRPr="000A1B74">
              <w:rPr>
                <w:sz w:val="20"/>
              </w:rPr>
              <w:t>La Secretaría proporcionó información adicional y aclaraciones acerca de asuntos relacionados con el Fondo Multilateral al consultor responsable de la evaluación del Fondo por la MOPAN.</w:t>
            </w:r>
            <w:r w:rsidRPr="000A1B74">
              <w:rPr>
                <w:color w:val="000000" w:themeColor="text1"/>
                <w:sz w:val="20"/>
              </w:rPr>
              <w:t xml:space="preserve"> La Secretaría mantuvo otras conversaciones con la Secretaría de la MOPAN, en las que se indicó que el proyecto de informe de evaluación se encontraba en la última etapa de elaboración y se presentaría a la Secretaría para que lo examine antes de que se presente a los gobiernos miembros.</w:t>
            </w:r>
          </w:p>
        </w:tc>
        <w:tc>
          <w:tcPr>
            <w:tcW w:w="1170" w:type="dxa"/>
            <w:shd w:val="clear" w:color="auto" w:fill="auto"/>
            <w:tcMar>
              <w:left w:w="115" w:type="dxa"/>
              <w:right w:w="173" w:type="dxa"/>
            </w:tcMar>
            <w:vAlign w:val="center"/>
          </w:tcPr>
          <w:p w14:paraId="2B0BF5A8"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85</w:t>
            </w:r>
          </w:p>
        </w:tc>
      </w:tr>
      <w:tr w:rsidR="002D75B7" w:rsidRPr="000A1B74" w14:paraId="1836E15B" w14:textId="77777777" w:rsidTr="00DE6AD0">
        <w:trPr>
          <w:cantSplit/>
        </w:trPr>
        <w:tc>
          <w:tcPr>
            <w:tcW w:w="8185" w:type="dxa"/>
            <w:shd w:val="clear" w:color="auto" w:fill="auto"/>
            <w:vAlign w:val="center"/>
          </w:tcPr>
          <w:p w14:paraId="041356A2" w14:textId="77777777" w:rsidR="002D75B7" w:rsidRPr="000A1B74" w:rsidRDefault="002D75B7" w:rsidP="00DE6AD0">
            <w:pPr>
              <w:spacing w:before="60" w:after="60"/>
              <w:jc w:val="left"/>
              <w:rPr>
                <w:color w:val="000000"/>
                <w:sz w:val="20"/>
                <w:szCs w:val="20"/>
              </w:rPr>
            </w:pPr>
            <w:r w:rsidRPr="000A1B74">
              <w:rPr>
                <w:sz w:val="20"/>
              </w:rPr>
              <w:lastRenderedPageBreak/>
              <w:t>Los representantes de la Secretaría de la MOPAN y del proveedor de servicios que lleva a cabo la evaluación visitaron la Secretaría.</w:t>
            </w:r>
            <w:r w:rsidRPr="000A1B74">
              <w:rPr>
                <w:color w:val="000000" w:themeColor="text1"/>
                <w:sz w:val="20"/>
              </w:rPr>
              <w:t xml:space="preserve"> </w:t>
            </w:r>
            <w:r w:rsidRPr="000A1B74">
              <w:rPr>
                <w:sz w:val="20"/>
              </w:rPr>
              <w:t>El director hizo una presentación acerca del Fondo Multilateral, con inclusión de su gobernanza, su modelo operacional y sus logros.</w:t>
            </w:r>
            <w:r w:rsidRPr="000A1B74">
              <w:rPr>
                <w:color w:val="000000"/>
                <w:sz w:val="20"/>
              </w:rPr>
              <w:t xml:space="preserve"> Los representantes de la MOPAN mantuvieron varias reuniones con funcionarios de la Secretaría. También se informó a la Secretaría acerca de las reuniones que los evaluadores organizaron con los cuatro organismos de ejecución del Fondo. La Secretaría proporcionó los datos de contacto de los miembros del Comité Ejecutivo, algunos de los cuales estarían disponibles para facilitar aportaciones para el ejercicio de evaluación.</w:t>
            </w:r>
          </w:p>
        </w:tc>
        <w:tc>
          <w:tcPr>
            <w:tcW w:w="1170" w:type="dxa"/>
            <w:shd w:val="clear" w:color="auto" w:fill="auto"/>
            <w:tcMar>
              <w:left w:w="115" w:type="dxa"/>
              <w:right w:w="173" w:type="dxa"/>
            </w:tcMar>
            <w:vAlign w:val="center"/>
          </w:tcPr>
          <w:p w14:paraId="74EF37A6"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84</w:t>
            </w:r>
          </w:p>
        </w:tc>
      </w:tr>
      <w:tr w:rsidR="002D75B7" w:rsidRPr="000A1B74" w14:paraId="1E69EED9" w14:textId="77777777" w:rsidTr="00DE6AD0">
        <w:trPr>
          <w:cantSplit/>
        </w:trPr>
        <w:tc>
          <w:tcPr>
            <w:tcW w:w="8185" w:type="dxa"/>
            <w:shd w:val="clear" w:color="auto" w:fill="auto"/>
            <w:vAlign w:val="center"/>
            <w:hideMark/>
          </w:tcPr>
          <w:p w14:paraId="0C7011E4"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La Secretaría asistió a una reunión en la Secretaría de la MOPAN, donde se presentó una introducción sobre el Fondo. Entre otras cosas, se debatió acerca del alcance de la evaluación para los interesados directos involucrados, las principales diferencias entre el Fondo Multilateral y otras organizaciones que se estaban evaluando, lo que conduciría a que se ajustara la evaluación para garantizar la equidad; el programa para una visita de inducción a la Secretaría del Fondo; y la posible necesidad de que el equipo de evaluación asista a una reunión del Comité Ejecutivo.</w:t>
            </w:r>
          </w:p>
        </w:tc>
        <w:tc>
          <w:tcPr>
            <w:tcW w:w="1170" w:type="dxa"/>
            <w:shd w:val="clear" w:color="auto" w:fill="auto"/>
            <w:tcMar>
              <w:left w:w="115" w:type="dxa"/>
              <w:right w:w="173" w:type="dxa"/>
            </w:tcMar>
            <w:vAlign w:val="center"/>
            <w:hideMark/>
          </w:tcPr>
          <w:p w14:paraId="426B0349"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83</w:t>
            </w:r>
          </w:p>
        </w:tc>
      </w:tr>
      <w:tr w:rsidR="002D75B7" w:rsidRPr="000A1B74" w14:paraId="06CAE6E6" w14:textId="77777777" w:rsidTr="00DE6AD0">
        <w:trPr>
          <w:cantSplit/>
        </w:trPr>
        <w:tc>
          <w:tcPr>
            <w:tcW w:w="8185" w:type="dxa"/>
            <w:shd w:val="clear" w:color="auto" w:fill="auto"/>
            <w:vAlign w:val="center"/>
          </w:tcPr>
          <w:p w14:paraId="60FCC0D0"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Se recibió una carta de la Secretaría de la MOPAN que informaba que el Comité Directivo de la MOPAN había tomado la decisión de evaluar al Fondo Multilateral en su siguiente ciclo de evaluaciones.</w:t>
            </w:r>
          </w:p>
        </w:tc>
        <w:tc>
          <w:tcPr>
            <w:tcW w:w="1170" w:type="dxa"/>
            <w:shd w:val="clear" w:color="auto" w:fill="auto"/>
            <w:tcMar>
              <w:left w:w="115" w:type="dxa"/>
              <w:right w:w="173" w:type="dxa"/>
            </w:tcMar>
            <w:vAlign w:val="center"/>
          </w:tcPr>
          <w:p w14:paraId="5B7DDE6D"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82</w:t>
            </w:r>
          </w:p>
        </w:tc>
      </w:tr>
      <w:tr w:rsidR="002D75B7" w:rsidRPr="000A1B74" w14:paraId="37503256" w14:textId="77777777" w:rsidTr="00DE6AD0">
        <w:trPr>
          <w:cantSplit/>
        </w:trPr>
        <w:tc>
          <w:tcPr>
            <w:tcW w:w="9355" w:type="dxa"/>
            <w:gridSpan w:val="2"/>
            <w:shd w:val="clear" w:color="auto" w:fill="auto"/>
            <w:tcMar>
              <w:left w:w="115" w:type="dxa"/>
              <w:right w:w="173" w:type="dxa"/>
            </w:tcMar>
            <w:vAlign w:val="center"/>
          </w:tcPr>
          <w:p w14:paraId="3108BD3A" w14:textId="77777777" w:rsidR="002D75B7" w:rsidRPr="000A1B74" w:rsidRDefault="002D75B7" w:rsidP="00DE6AD0">
            <w:pPr>
              <w:keepNext/>
              <w:spacing w:before="60" w:after="60"/>
              <w:jc w:val="left"/>
              <w:rPr>
                <w:b/>
                <w:color w:val="000000" w:themeColor="text1"/>
                <w:sz w:val="20"/>
                <w:szCs w:val="20"/>
              </w:rPr>
            </w:pPr>
            <w:r w:rsidRPr="000A1B74">
              <w:rPr>
                <w:b/>
                <w:color w:val="000000" w:themeColor="text1"/>
                <w:sz w:val="20"/>
              </w:rPr>
              <w:t>Sostenibilidad en las Naciones Unidas</w:t>
            </w:r>
          </w:p>
        </w:tc>
      </w:tr>
      <w:tr w:rsidR="002D75B7" w:rsidRPr="000A1B74" w14:paraId="0314B2E6" w14:textId="77777777" w:rsidTr="00DE6AD0">
        <w:trPr>
          <w:cantSplit/>
        </w:trPr>
        <w:tc>
          <w:tcPr>
            <w:tcW w:w="8185" w:type="dxa"/>
            <w:shd w:val="clear" w:color="auto" w:fill="auto"/>
            <w:vAlign w:val="center"/>
          </w:tcPr>
          <w:p w14:paraId="1AA7E609" w14:textId="77777777" w:rsidR="002D75B7" w:rsidRPr="000A1B74" w:rsidRDefault="002D75B7" w:rsidP="00DE6AD0">
            <w:pPr>
              <w:spacing w:before="60" w:after="60"/>
              <w:jc w:val="left"/>
            </w:pPr>
            <w:r w:rsidRPr="000A1B74">
              <w:t xml:space="preserve">La Secretaría hizo una presentación en la 31ª reunión del Grupo de Gestión Temática sobre la </w:t>
            </w:r>
            <w:hyperlink r:id="rId18" w:history="1">
              <w:r w:rsidRPr="000A1B74">
                <w:rPr>
                  <w:color w:val="000000" w:themeColor="text1"/>
                  <w:sz w:val="20"/>
                </w:rPr>
                <w:t>Gestión de la Sostenibilidad</w:t>
              </w:r>
            </w:hyperlink>
            <w:r w:rsidRPr="000A1B74">
              <w:t>, celebrada en la OACI, en Montreal, el 11 de octubre de 2019.</w:t>
            </w:r>
            <w:r w:rsidRPr="000A1B74">
              <w:rPr>
                <w:color w:val="000000" w:themeColor="text1"/>
                <w:sz w:val="20"/>
              </w:rPr>
              <w:t xml:space="preserve"> La Secretaría hizo una presentación acerca de la manera en que las oficinas de las Naciones Unidas pueden colaborar con las actividades realizadas por los organismos en relación con la ejecución de proyectos de nivel nacional, regional y mundial que promueven la adopción de tecnologías inocuas para el ozono y que no utilizan HFC. Un representante de Sostenibilidad en las Naciones Unidas, una oficina que gestiona el Grupo de Gestión Temática sobre la Gestión de la Sostenibilidad, visitó la oficina de la Secretaría y ofreció a los funcionarios una presentación acerca de la labor de esta oficina.</w:t>
            </w:r>
          </w:p>
        </w:tc>
        <w:tc>
          <w:tcPr>
            <w:tcW w:w="1170" w:type="dxa"/>
            <w:shd w:val="clear" w:color="auto" w:fill="auto"/>
            <w:tcMar>
              <w:left w:w="115" w:type="dxa"/>
              <w:right w:w="173" w:type="dxa"/>
            </w:tcMar>
            <w:vAlign w:val="center"/>
          </w:tcPr>
          <w:p w14:paraId="3630A41D"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84</w:t>
            </w:r>
          </w:p>
        </w:tc>
      </w:tr>
      <w:tr w:rsidR="002D75B7" w:rsidRPr="000A1B74" w14:paraId="79B5A2AD" w14:textId="77777777" w:rsidTr="00DE6AD0">
        <w:trPr>
          <w:cantSplit/>
        </w:trPr>
        <w:tc>
          <w:tcPr>
            <w:tcW w:w="9355" w:type="dxa"/>
            <w:gridSpan w:val="2"/>
            <w:shd w:val="clear" w:color="auto" w:fill="auto"/>
            <w:tcMar>
              <w:left w:w="115" w:type="dxa"/>
              <w:right w:w="173" w:type="dxa"/>
            </w:tcMar>
            <w:vAlign w:val="center"/>
          </w:tcPr>
          <w:p w14:paraId="4C1FC42C" w14:textId="77777777" w:rsidR="002D75B7" w:rsidRPr="000A1B74" w:rsidRDefault="002D75B7" w:rsidP="00DE6AD0">
            <w:pPr>
              <w:spacing w:before="60" w:after="60"/>
              <w:jc w:val="left"/>
              <w:rPr>
                <w:b/>
                <w:color w:val="000000" w:themeColor="text1"/>
                <w:sz w:val="20"/>
                <w:szCs w:val="20"/>
              </w:rPr>
            </w:pPr>
            <w:r w:rsidRPr="000A1B74">
              <w:rPr>
                <w:b/>
                <w:color w:val="000000" w:themeColor="text1"/>
                <w:sz w:val="20"/>
              </w:rPr>
              <w:t>Junta de Auditores de las Naciones Unidas</w:t>
            </w:r>
          </w:p>
        </w:tc>
      </w:tr>
      <w:tr w:rsidR="002D75B7" w:rsidRPr="000A1B74" w14:paraId="651E0482" w14:textId="77777777" w:rsidTr="00DE6AD0">
        <w:trPr>
          <w:cantSplit/>
        </w:trPr>
        <w:tc>
          <w:tcPr>
            <w:tcW w:w="8185" w:type="dxa"/>
            <w:shd w:val="clear" w:color="auto" w:fill="auto"/>
            <w:vAlign w:val="center"/>
          </w:tcPr>
          <w:p w14:paraId="482EBDC2" w14:textId="77777777" w:rsidR="002D75B7" w:rsidRPr="000A1B74" w:rsidRDefault="002D75B7" w:rsidP="00DE6AD0">
            <w:pPr>
              <w:spacing w:before="60" w:after="60"/>
              <w:jc w:val="left"/>
              <w:rPr>
                <w:color w:val="000000" w:themeColor="text1"/>
                <w:sz w:val="20"/>
              </w:rPr>
            </w:pPr>
            <w:r w:rsidRPr="000A1B74">
              <w:rPr>
                <w:b/>
                <w:sz w:val="20"/>
                <w:szCs w:val="20"/>
              </w:rPr>
              <w:t>Proporcionó información y documentación, respuestas a preguntas y aclaraciones para facilitar una auditoría de la Oficina de Servicios de Supervisión Interna que tiene por objeto evaluar la eficiencia y la eficacia de la prestación de servicios en la Secretaría al Fondo Multilateral que abarca el período comprendido entre el 1 de enero de 2018 y el 31 de diciembre de 2020.</w:t>
            </w:r>
          </w:p>
        </w:tc>
        <w:tc>
          <w:tcPr>
            <w:tcW w:w="1170" w:type="dxa"/>
            <w:shd w:val="clear" w:color="auto" w:fill="auto"/>
            <w:tcMar>
              <w:left w:w="115" w:type="dxa"/>
              <w:right w:w="173" w:type="dxa"/>
            </w:tcMar>
            <w:vAlign w:val="center"/>
          </w:tcPr>
          <w:p w14:paraId="44329F82" w14:textId="77777777" w:rsidR="002D75B7" w:rsidRPr="000A1B74" w:rsidRDefault="002D75B7" w:rsidP="00DE6AD0">
            <w:pPr>
              <w:spacing w:before="60" w:after="60"/>
              <w:jc w:val="right"/>
              <w:rPr>
                <w:color w:val="000000" w:themeColor="text1"/>
                <w:sz w:val="20"/>
              </w:rPr>
            </w:pPr>
            <w:r w:rsidRPr="000A1B74">
              <w:rPr>
                <w:b/>
                <w:color w:val="000000" w:themeColor="text1"/>
                <w:sz w:val="20"/>
                <w:szCs w:val="20"/>
              </w:rPr>
              <w:t>86</w:t>
            </w:r>
          </w:p>
        </w:tc>
      </w:tr>
      <w:tr w:rsidR="002D75B7" w:rsidRPr="000A1B74" w14:paraId="17C63703" w14:textId="77777777" w:rsidTr="00DE6AD0">
        <w:trPr>
          <w:cantSplit/>
        </w:trPr>
        <w:tc>
          <w:tcPr>
            <w:tcW w:w="8185" w:type="dxa"/>
            <w:shd w:val="clear" w:color="auto" w:fill="auto"/>
            <w:vAlign w:val="center"/>
            <w:hideMark/>
          </w:tcPr>
          <w:p w14:paraId="4B9FD79A"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Información de antecedentes sobre el Fondo Multilateral y otras informaciones, entre otras, estados financieros provisionales del PNUMA sobre el Fondo Multilateral; informe sobre las contribuciones y los desembolsos; informe sobre la marcha de las actividades; programa de trabajo de supervisión y evaluación para 2015 y el enlace al manual de políticas y procedimientos.</w:t>
            </w:r>
          </w:p>
        </w:tc>
        <w:tc>
          <w:tcPr>
            <w:tcW w:w="1170" w:type="dxa"/>
            <w:shd w:val="clear" w:color="auto" w:fill="auto"/>
            <w:tcMar>
              <w:left w:w="115" w:type="dxa"/>
              <w:right w:w="173" w:type="dxa"/>
            </w:tcMar>
            <w:vAlign w:val="center"/>
            <w:hideMark/>
          </w:tcPr>
          <w:p w14:paraId="4E1F09C2"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75</w:t>
            </w:r>
          </w:p>
        </w:tc>
      </w:tr>
      <w:tr w:rsidR="002D75B7" w:rsidRPr="000A1B74" w14:paraId="70308229" w14:textId="77777777" w:rsidTr="00DE6AD0">
        <w:trPr>
          <w:cantSplit/>
        </w:trPr>
        <w:tc>
          <w:tcPr>
            <w:tcW w:w="9355" w:type="dxa"/>
            <w:gridSpan w:val="2"/>
            <w:shd w:val="clear" w:color="auto" w:fill="auto"/>
            <w:tcMar>
              <w:left w:w="115" w:type="dxa"/>
              <w:right w:w="173" w:type="dxa"/>
            </w:tcMar>
            <w:vAlign w:val="center"/>
          </w:tcPr>
          <w:p w14:paraId="2A393845" w14:textId="77777777" w:rsidR="002D75B7" w:rsidRPr="000A1B74" w:rsidRDefault="002D75B7" w:rsidP="00DE6AD0">
            <w:pPr>
              <w:keepNext/>
              <w:spacing w:before="60" w:after="60"/>
              <w:jc w:val="left"/>
              <w:rPr>
                <w:b/>
                <w:color w:val="000000" w:themeColor="text1"/>
                <w:sz w:val="20"/>
                <w:szCs w:val="20"/>
              </w:rPr>
            </w:pPr>
            <w:r w:rsidRPr="000A1B74">
              <w:rPr>
                <w:b/>
                <w:color w:val="000000" w:themeColor="text1"/>
                <w:sz w:val="20"/>
              </w:rPr>
              <w:t xml:space="preserve">Programa de las Naciones Unidas para el Medio Ambiente </w:t>
            </w:r>
          </w:p>
        </w:tc>
      </w:tr>
      <w:tr w:rsidR="002D75B7" w:rsidRPr="000A1B74" w14:paraId="0078F5E3" w14:textId="77777777" w:rsidTr="00DE6AD0">
        <w:trPr>
          <w:cantSplit/>
        </w:trPr>
        <w:tc>
          <w:tcPr>
            <w:tcW w:w="8185" w:type="dxa"/>
            <w:shd w:val="clear" w:color="auto" w:fill="auto"/>
            <w:vAlign w:val="center"/>
          </w:tcPr>
          <w:p w14:paraId="0FFE4998"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 xml:space="preserve">Junto con la Secretaría del Ozono, la Secretaría del Fondo proporcionó a la Subdivisión de Productos Químicos y Salud de la División de Economía del PNUMA observaciones acerca del informe “Perspectivas de los productos químicos a nivel mundial II” (GCO-II) presentado a la Subdivisión, con inclusión de información relacionada con lo siguiente: eliminación acelerada de los HFC, aumento de las emisiones de CFC-11 según la publicación de Montzka </w:t>
            </w:r>
            <w:r w:rsidRPr="000A1B74">
              <w:rPr>
                <w:i/>
                <w:iCs/>
                <w:color w:val="000000" w:themeColor="text1"/>
                <w:sz w:val="20"/>
              </w:rPr>
              <w:t>et al</w:t>
            </w:r>
            <w:r w:rsidRPr="000A1B74">
              <w:rPr>
                <w:color w:val="000000" w:themeColor="text1"/>
                <w:sz w:val="20"/>
              </w:rPr>
              <w:t>. de 2018, cumplimiento de las medidas de control del Protocolo de Montreal y notificación de datos.</w:t>
            </w:r>
          </w:p>
        </w:tc>
        <w:tc>
          <w:tcPr>
            <w:tcW w:w="1170" w:type="dxa"/>
            <w:shd w:val="clear" w:color="auto" w:fill="auto"/>
            <w:tcMar>
              <w:left w:w="115" w:type="dxa"/>
              <w:right w:w="173" w:type="dxa"/>
            </w:tcMar>
            <w:vAlign w:val="center"/>
          </w:tcPr>
          <w:p w14:paraId="295A18DF"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82</w:t>
            </w:r>
          </w:p>
        </w:tc>
      </w:tr>
      <w:tr w:rsidR="002D75B7" w:rsidRPr="000A1B74" w14:paraId="60918E35" w14:textId="77777777" w:rsidTr="00DE6AD0">
        <w:trPr>
          <w:cantSplit/>
        </w:trPr>
        <w:tc>
          <w:tcPr>
            <w:tcW w:w="9355" w:type="dxa"/>
            <w:gridSpan w:val="2"/>
            <w:shd w:val="clear" w:color="auto" w:fill="auto"/>
            <w:tcMar>
              <w:left w:w="115" w:type="dxa"/>
              <w:right w:w="173" w:type="dxa"/>
            </w:tcMar>
            <w:vAlign w:val="center"/>
          </w:tcPr>
          <w:p w14:paraId="3B7DB4E5" w14:textId="77777777" w:rsidR="002D75B7" w:rsidRPr="000A1B74" w:rsidRDefault="002D75B7" w:rsidP="00DE6AD0">
            <w:pPr>
              <w:spacing w:before="60" w:after="60"/>
              <w:jc w:val="left"/>
              <w:rPr>
                <w:b/>
                <w:color w:val="000000" w:themeColor="text1"/>
                <w:sz w:val="20"/>
                <w:szCs w:val="20"/>
              </w:rPr>
            </w:pPr>
            <w:r w:rsidRPr="000A1B74">
              <w:rPr>
                <w:b/>
                <w:color w:val="000000" w:themeColor="text1"/>
                <w:sz w:val="20"/>
              </w:rPr>
              <w:t>Convención Marco de las Naciones Unidas sobre el Cambio Climático (CMNUCC)</w:t>
            </w:r>
          </w:p>
        </w:tc>
      </w:tr>
      <w:tr w:rsidR="002D75B7" w:rsidRPr="000A1B74" w14:paraId="78291DCB" w14:textId="77777777" w:rsidTr="00DE6AD0">
        <w:trPr>
          <w:cantSplit/>
        </w:trPr>
        <w:tc>
          <w:tcPr>
            <w:tcW w:w="8185" w:type="dxa"/>
            <w:shd w:val="clear" w:color="auto" w:fill="auto"/>
            <w:vAlign w:val="center"/>
            <w:hideMark/>
          </w:tcPr>
          <w:p w14:paraId="4B096477"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 xml:space="preserve">Observaciones al proyecto de resumen técnico de los beneficios en cuanto a la mitigación de las acciones, iniciativas y opciones para abordar las emisiones de gases de efecto invernadero distintos del dióxido de carbono </w:t>
            </w:r>
          </w:p>
        </w:tc>
        <w:tc>
          <w:tcPr>
            <w:tcW w:w="1170" w:type="dxa"/>
            <w:shd w:val="clear" w:color="auto" w:fill="auto"/>
            <w:tcMar>
              <w:left w:w="115" w:type="dxa"/>
              <w:right w:w="173" w:type="dxa"/>
            </w:tcMar>
            <w:vAlign w:val="center"/>
          </w:tcPr>
          <w:p w14:paraId="42600192"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74</w:t>
            </w:r>
          </w:p>
        </w:tc>
      </w:tr>
      <w:tr w:rsidR="002D75B7" w:rsidRPr="000A1B74" w14:paraId="7FB9421D" w14:textId="77777777" w:rsidTr="00DE6AD0">
        <w:trPr>
          <w:cantSplit/>
        </w:trPr>
        <w:tc>
          <w:tcPr>
            <w:tcW w:w="8185" w:type="dxa"/>
            <w:shd w:val="clear" w:color="auto" w:fill="auto"/>
            <w:vAlign w:val="center"/>
            <w:hideMark/>
          </w:tcPr>
          <w:p w14:paraId="5C68FA31"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lastRenderedPageBreak/>
              <w:t xml:space="preserve">A principios de octubre de 2013, la Secretaría recibió una invitación para asistir al 19º período de sesiones de la Conferencia de las Partes de la CMNUCC y al 9º período de sesiones de la Conferencia de las Partes en calidad de Reunión de las Partes del Protocolo de Kyoto, que se celebrarían en Varsovia (Polonia), del 11 al 22 de noviembre de 2013. </w:t>
            </w:r>
          </w:p>
          <w:p w14:paraId="425316F9"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 xml:space="preserve">El director informó a la Secretaría de la CMNUCC que le sería imposible asistir debido a los preparativos para la 71ª reunión. Señalando que la Secretaría de la CMNUCC estaba invitada a asistir a la 25ª Reunión de las Partes, propuso que mantuvieran una reunión oficiosa para conversar sobre posibles oportunidades de colaboración entre ambas Secretarías. El secretario ejecutivo de la Secretaría de la CMNUCC respondió que el coordinador del Programa de Mitigación, Datos y Análisis, que asistiría a la Reunión de las Partes, haría los arreglos para mantener una reunión bilateral con él. </w:t>
            </w:r>
          </w:p>
          <w:p w14:paraId="08A51AE3"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 xml:space="preserve">Los representantes de ambas Secretarías se reunieron y deliberaron oficiosamente acerca de las maneras en que podrían colaborar en el futuro cuando fuera necesario. </w:t>
            </w:r>
          </w:p>
        </w:tc>
        <w:tc>
          <w:tcPr>
            <w:tcW w:w="1170" w:type="dxa"/>
            <w:shd w:val="clear" w:color="auto" w:fill="auto"/>
            <w:tcMar>
              <w:left w:w="115" w:type="dxa"/>
              <w:right w:w="173" w:type="dxa"/>
            </w:tcMar>
            <w:vAlign w:val="center"/>
          </w:tcPr>
          <w:p w14:paraId="4105346E"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71</w:t>
            </w:r>
          </w:p>
        </w:tc>
      </w:tr>
      <w:tr w:rsidR="002D75B7" w:rsidRPr="000A1B74" w14:paraId="4F6A31C5" w14:textId="77777777" w:rsidTr="00DE6AD0">
        <w:trPr>
          <w:cantSplit/>
        </w:trPr>
        <w:tc>
          <w:tcPr>
            <w:tcW w:w="9355" w:type="dxa"/>
            <w:gridSpan w:val="2"/>
            <w:shd w:val="clear" w:color="auto" w:fill="auto"/>
            <w:tcMar>
              <w:left w:w="115" w:type="dxa"/>
              <w:right w:w="173" w:type="dxa"/>
            </w:tcMar>
            <w:vAlign w:val="center"/>
          </w:tcPr>
          <w:p w14:paraId="012A50CB" w14:textId="77777777" w:rsidR="002D75B7" w:rsidRPr="000A1B74" w:rsidRDefault="002D75B7" w:rsidP="00DE6AD0">
            <w:pPr>
              <w:spacing w:before="60" w:after="60"/>
              <w:jc w:val="left"/>
              <w:rPr>
                <w:b/>
                <w:color w:val="000000" w:themeColor="text1"/>
                <w:sz w:val="20"/>
                <w:szCs w:val="20"/>
              </w:rPr>
            </w:pPr>
            <w:r w:rsidRPr="000A1B74">
              <w:rPr>
                <w:b/>
                <w:color w:val="000000" w:themeColor="text1"/>
                <w:sz w:val="20"/>
              </w:rPr>
              <w:t>Universidad de Bristol</w:t>
            </w:r>
          </w:p>
        </w:tc>
      </w:tr>
      <w:tr w:rsidR="002D75B7" w:rsidRPr="000A1B74" w14:paraId="61FA22D2" w14:textId="77777777" w:rsidTr="00DE6AD0">
        <w:trPr>
          <w:cantSplit/>
        </w:trPr>
        <w:tc>
          <w:tcPr>
            <w:tcW w:w="8185" w:type="dxa"/>
            <w:shd w:val="clear" w:color="auto" w:fill="auto"/>
            <w:vAlign w:val="center"/>
            <w:hideMark/>
          </w:tcPr>
          <w:p w14:paraId="38042AFC"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Se proporcionó un resumen de los datos que figuran en los documentos sobre el HFC-23 preparados por la Secretaría, el consumo total de HFC-23 notificado en las encuestas sobre las alternativas a las SAO realizadas en 119 países que operan al amparo del artículo 5, y datos que había derivado de recursos públicamente disponibles durante la elaboración del documento UNEP/OzL.Pro/ExCom/79/48.</w:t>
            </w:r>
          </w:p>
        </w:tc>
        <w:tc>
          <w:tcPr>
            <w:tcW w:w="1170" w:type="dxa"/>
            <w:shd w:val="clear" w:color="auto" w:fill="auto"/>
            <w:tcMar>
              <w:left w:w="115" w:type="dxa"/>
              <w:right w:w="173" w:type="dxa"/>
            </w:tcMar>
            <w:vAlign w:val="center"/>
          </w:tcPr>
          <w:p w14:paraId="12F1D161"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83</w:t>
            </w:r>
          </w:p>
        </w:tc>
      </w:tr>
      <w:tr w:rsidR="002D75B7" w:rsidRPr="000A1B74" w14:paraId="05465A9F" w14:textId="77777777" w:rsidTr="00DE6AD0">
        <w:trPr>
          <w:cantSplit/>
        </w:trPr>
        <w:tc>
          <w:tcPr>
            <w:tcW w:w="9355" w:type="dxa"/>
            <w:gridSpan w:val="2"/>
            <w:shd w:val="clear" w:color="auto" w:fill="auto"/>
            <w:tcMar>
              <w:left w:w="115" w:type="dxa"/>
              <w:right w:w="173" w:type="dxa"/>
            </w:tcMar>
            <w:vAlign w:val="center"/>
          </w:tcPr>
          <w:p w14:paraId="5416AF0D" w14:textId="77777777" w:rsidR="002D75B7" w:rsidRPr="000A1B74" w:rsidRDefault="002D75B7" w:rsidP="00DE6AD0">
            <w:pPr>
              <w:spacing w:before="60" w:after="60"/>
              <w:jc w:val="left"/>
              <w:rPr>
                <w:b/>
                <w:color w:val="000000" w:themeColor="text1"/>
                <w:sz w:val="20"/>
                <w:szCs w:val="20"/>
              </w:rPr>
            </w:pPr>
            <w:r w:rsidRPr="000A1B74">
              <w:rPr>
                <w:b/>
                <w:color w:val="000000" w:themeColor="text1"/>
                <w:sz w:val="20"/>
              </w:rPr>
              <w:t>División de Comercio y Medio Ambiente de la Organización Mundial de Comercio</w:t>
            </w:r>
          </w:p>
        </w:tc>
      </w:tr>
      <w:tr w:rsidR="002D75B7" w:rsidRPr="000A1B74" w14:paraId="1538EC1C" w14:textId="77777777" w:rsidTr="00DE6AD0">
        <w:trPr>
          <w:cantSplit/>
        </w:trPr>
        <w:tc>
          <w:tcPr>
            <w:tcW w:w="8185" w:type="dxa"/>
            <w:shd w:val="clear" w:color="auto" w:fill="auto"/>
            <w:vAlign w:val="center"/>
            <w:hideMark/>
          </w:tcPr>
          <w:p w14:paraId="770F3184" w14:textId="77777777" w:rsidR="002D75B7" w:rsidRPr="000A1B74" w:rsidRDefault="002D75B7" w:rsidP="00DE6AD0">
            <w:pPr>
              <w:spacing w:before="60" w:after="60"/>
              <w:jc w:val="left"/>
              <w:rPr>
                <w:color w:val="000000" w:themeColor="text1"/>
                <w:sz w:val="20"/>
                <w:szCs w:val="20"/>
              </w:rPr>
            </w:pPr>
            <w:r w:rsidRPr="000A1B74">
              <w:rPr>
                <w:color w:val="000000" w:themeColor="text1"/>
                <w:sz w:val="20"/>
              </w:rPr>
              <w:t>Actualización de la matriz de medidas comerciales adoptadas en el marco de acuerdos ambientales multilaterales para el Comité de Comercio y Medio Ambiente de la OMC (https://www.wto.org/english/tratop_e/envir_e/envir_matrix_e.htm)</w:t>
            </w:r>
          </w:p>
        </w:tc>
        <w:tc>
          <w:tcPr>
            <w:tcW w:w="1170" w:type="dxa"/>
            <w:shd w:val="clear" w:color="auto" w:fill="auto"/>
            <w:tcMar>
              <w:left w:w="115" w:type="dxa"/>
              <w:right w:w="173" w:type="dxa"/>
            </w:tcMar>
            <w:vAlign w:val="center"/>
            <w:hideMark/>
          </w:tcPr>
          <w:p w14:paraId="1CEB9828" w14:textId="77777777" w:rsidR="002D75B7" w:rsidRPr="000A1B74" w:rsidRDefault="002D75B7" w:rsidP="00DE6AD0">
            <w:pPr>
              <w:spacing w:before="60" w:after="60"/>
              <w:jc w:val="right"/>
              <w:rPr>
                <w:color w:val="000000" w:themeColor="text1"/>
                <w:sz w:val="20"/>
                <w:szCs w:val="20"/>
              </w:rPr>
            </w:pPr>
            <w:r w:rsidRPr="000A1B74">
              <w:rPr>
                <w:color w:val="000000" w:themeColor="text1"/>
                <w:sz w:val="20"/>
              </w:rPr>
              <w:t>75</w:t>
            </w:r>
          </w:p>
        </w:tc>
      </w:tr>
    </w:tbl>
    <w:p w14:paraId="5055549B" w14:textId="77777777" w:rsidR="007D2996" w:rsidRPr="001230C0" w:rsidRDefault="007D2996" w:rsidP="007D2996">
      <w:pPr>
        <w:rPr>
          <w:sz w:val="20"/>
          <w:szCs w:val="20"/>
        </w:rPr>
      </w:pPr>
      <w:r w:rsidRPr="000A1B74">
        <w:rPr>
          <w:sz w:val="20"/>
          <w:szCs w:val="20"/>
          <w:u w:val="single"/>
        </w:rPr>
        <w:t>Nota</w:t>
      </w:r>
      <w:r w:rsidRPr="000A1B74">
        <w:rPr>
          <w:sz w:val="20"/>
          <w:szCs w:val="20"/>
        </w:rPr>
        <w:t xml:space="preserve">: La información nueva aparece en </w:t>
      </w:r>
      <w:r w:rsidRPr="000A1B74">
        <w:rPr>
          <w:b/>
          <w:sz w:val="20"/>
          <w:szCs w:val="20"/>
        </w:rPr>
        <w:t>negrita</w:t>
      </w:r>
      <w:r w:rsidRPr="000A1B74">
        <w:rPr>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473CD" w:rsidRPr="00BB2764" w14:paraId="358DD8F2" w14:textId="77777777" w:rsidTr="00DE6AD0">
        <w:tc>
          <w:tcPr>
            <w:tcW w:w="1915" w:type="dxa"/>
          </w:tcPr>
          <w:p w14:paraId="3C92CE9A" w14:textId="77777777" w:rsidR="003473CD" w:rsidRPr="00BB2764" w:rsidRDefault="003473CD" w:rsidP="00DE6AD0"/>
        </w:tc>
        <w:tc>
          <w:tcPr>
            <w:tcW w:w="1915" w:type="dxa"/>
          </w:tcPr>
          <w:p w14:paraId="670CCCC6" w14:textId="77777777" w:rsidR="003473CD" w:rsidRPr="00BB2764" w:rsidRDefault="003473CD" w:rsidP="00DE6AD0"/>
        </w:tc>
        <w:tc>
          <w:tcPr>
            <w:tcW w:w="1915" w:type="dxa"/>
            <w:tcBorders>
              <w:bottom w:val="single" w:sz="4" w:space="0" w:color="auto"/>
            </w:tcBorders>
          </w:tcPr>
          <w:p w14:paraId="7118B82B" w14:textId="77777777" w:rsidR="003473CD" w:rsidRPr="00BB2764" w:rsidRDefault="003473CD" w:rsidP="00DE6AD0"/>
        </w:tc>
        <w:tc>
          <w:tcPr>
            <w:tcW w:w="1915" w:type="dxa"/>
          </w:tcPr>
          <w:p w14:paraId="5C5E4D92" w14:textId="77777777" w:rsidR="003473CD" w:rsidRPr="00BB2764" w:rsidRDefault="003473CD" w:rsidP="00DE6AD0"/>
        </w:tc>
        <w:tc>
          <w:tcPr>
            <w:tcW w:w="1916" w:type="dxa"/>
          </w:tcPr>
          <w:p w14:paraId="28D2AEEF" w14:textId="77777777" w:rsidR="003473CD" w:rsidRPr="00BB2764" w:rsidRDefault="003473CD" w:rsidP="00DE6AD0"/>
        </w:tc>
      </w:tr>
    </w:tbl>
    <w:p w14:paraId="1DC898C1" w14:textId="77777777" w:rsidR="003473CD" w:rsidRPr="000C1071" w:rsidRDefault="003473CD" w:rsidP="003473CD">
      <w:pPr>
        <w:rPr>
          <w:lang w:val="es-AR"/>
        </w:rPr>
      </w:pPr>
    </w:p>
    <w:p w14:paraId="7FDFA3EE" w14:textId="77777777" w:rsidR="00E85409" w:rsidRPr="00712C5D" w:rsidRDefault="00E85409" w:rsidP="004E7F9C"/>
    <w:sectPr w:rsidR="00E85409" w:rsidRPr="00712C5D" w:rsidSect="00EF48FF">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7C1FD2" w14:textId="77777777" w:rsidR="004047EE" w:rsidRDefault="004047EE" w:rsidP="004A504B">
      <w:r>
        <w:separator/>
      </w:r>
    </w:p>
  </w:endnote>
  <w:endnote w:type="continuationSeparator" w:id="0">
    <w:p w14:paraId="1760F122" w14:textId="77777777" w:rsidR="004047EE" w:rsidRDefault="004047E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2BB18" w14:textId="07FB3F4B" w:rsidR="005B0D83" w:rsidRPr="0033525D" w:rsidRDefault="00767B7F">
    <w:pPr>
      <w:jc w:val="center"/>
    </w:pPr>
    <w:r>
      <w:fldChar w:fldCharType="begin"/>
    </w:r>
    <w:r>
      <w:instrText xml:space="preserve"> PAGE  \* Arabic  \* MERGEFORMAT </w:instrText>
    </w:r>
    <w:r>
      <w:fldChar w:fldCharType="separate"/>
    </w:r>
    <w:r w:rsidR="00882017">
      <w:rPr>
        <w:noProof/>
      </w:rPr>
      <w:t>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28538" w14:textId="42899FF0" w:rsidR="00767B7F" w:rsidRDefault="00767B7F" w:rsidP="00767B7F">
    <w:pPr>
      <w:pStyle w:val="Footer"/>
      <w:jc w:val="center"/>
    </w:pPr>
    <w:r>
      <w:fldChar w:fldCharType="begin"/>
    </w:r>
    <w:r>
      <w:instrText xml:space="preserve"> PAGE  \* Arabic  \* MERGEFORMAT </w:instrText>
    </w:r>
    <w:r>
      <w:fldChar w:fldCharType="separate"/>
    </w:r>
    <w:r w:rsidR="00882017">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238D4" w14:textId="7ADB0060" w:rsidR="005B0D83" w:rsidRPr="00371AF9" w:rsidRDefault="005B0D83" w:rsidP="004E7F9C">
    <w:pPr>
      <w:pBdr>
        <w:top w:val="single" w:sz="4" w:space="1" w:color="auto"/>
        <w:left w:val="single" w:sz="4" w:space="4" w:color="auto"/>
        <w:bottom w:val="single" w:sz="4" w:space="1" w:color="auto"/>
        <w:right w:val="single" w:sz="4" w:space="4" w:color="auto"/>
      </w:pBdr>
      <w:jc w:val="center"/>
      <w:rPr>
        <w:sz w:val="16"/>
        <w:szCs w:val="16"/>
      </w:rPr>
    </w:pPr>
    <w:r w:rsidRPr="00371AF9">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8745511"/>
      <w:docPartObj>
        <w:docPartGallery w:val="Page Numbers (Bottom of Page)"/>
        <w:docPartUnique/>
      </w:docPartObj>
    </w:sdtPr>
    <w:sdtEndPr>
      <w:rPr>
        <w:noProof/>
      </w:rPr>
    </w:sdtEndPr>
    <w:sdtContent>
      <w:p w14:paraId="3373666F" w14:textId="7B864489" w:rsidR="005B0D83" w:rsidRPr="0033525D" w:rsidRDefault="00CF6802" w:rsidP="00EF48FF">
        <w:pPr>
          <w:pStyle w:val="Footer"/>
          <w:jc w:val="center"/>
        </w:pPr>
        <w:r>
          <w:fldChar w:fldCharType="begin"/>
        </w:r>
        <w:r>
          <w:instrText xml:space="preserve"> PAGE  \* Arabic  \* MERGEFORMAT </w:instrText>
        </w:r>
        <w:r>
          <w:fldChar w:fldCharType="separate"/>
        </w:r>
        <w:r w:rsidR="00882017">
          <w:rPr>
            <w:noProof/>
          </w:rPr>
          <w:t>8</w:t>
        </w:r>
        <w:r>
          <w:fldChar w:fldCharType="end"/>
        </w:r>
      </w:p>
    </w:sdtContent>
  </w:sdt>
  <w:p w14:paraId="6D2D70B0" w14:textId="77777777" w:rsidR="005B0D83" w:rsidRDefault="005B0D83"/>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617794"/>
      <w:docPartObj>
        <w:docPartGallery w:val="Page Numbers (Bottom of Page)"/>
        <w:docPartUnique/>
      </w:docPartObj>
    </w:sdtPr>
    <w:sdtEndPr>
      <w:rPr>
        <w:noProof/>
      </w:rPr>
    </w:sdtEndPr>
    <w:sdtContent>
      <w:p w14:paraId="21904E59" w14:textId="37FA7208" w:rsidR="005B0D83" w:rsidRDefault="00CF6802">
        <w:pPr>
          <w:pStyle w:val="Footer"/>
          <w:jc w:val="center"/>
        </w:pPr>
        <w:r>
          <w:fldChar w:fldCharType="begin"/>
        </w:r>
        <w:r>
          <w:instrText xml:space="preserve"> PAGE  \* Arabic  \* MERGEFORMAT </w:instrText>
        </w:r>
        <w:r>
          <w:fldChar w:fldCharType="separate"/>
        </w:r>
        <w:r w:rsidR="00882017">
          <w:rPr>
            <w:noProof/>
          </w:rPr>
          <w:t>7</w:t>
        </w:r>
        <w:r>
          <w:fldChar w:fldCharType="end"/>
        </w:r>
      </w:p>
    </w:sdtContent>
  </w:sdt>
  <w:p w14:paraId="381A643B" w14:textId="77777777" w:rsidR="005B0D83" w:rsidRPr="00EF48FF" w:rsidRDefault="005B0D83" w:rsidP="00EF48FF">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6844839"/>
      <w:docPartObj>
        <w:docPartGallery w:val="Page Numbers (Bottom of Page)"/>
        <w:docPartUnique/>
      </w:docPartObj>
    </w:sdtPr>
    <w:sdtEndPr>
      <w:rPr>
        <w:noProof/>
      </w:rPr>
    </w:sdtEndPr>
    <w:sdtContent>
      <w:p w14:paraId="7F3418D9" w14:textId="7555B1C3" w:rsidR="005B0D83" w:rsidRDefault="00882017">
        <w:pPr>
          <w:pStyle w:val="Footer"/>
          <w:jc w:val="center"/>
        </w:pPr>
      </w:p>
    </w:sdtContent>
  </w:sdt>
  <w:p w14:paraId="0CAA3459" w14:textId="77777777" w:rsidR="005B0D83" w:rsidRPr="00EF48FF" w:rsidRDefault="005B0D83" w:rsidP="00EF48F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D10337" w14:textId="77777777" w:rsidR="004047EE" w:rsidRDefault="004047EE" w:rsidP="004A504B">
      <w:r>
        <w:separator/>
      </w:r>
    </w:p>
  </w:footnote>
  <w:footnote w:type="continuationSeparator" w:id="0">
    <w:p w14:paraId="183EA3B7" w14:textId="77777777" w:rsidR="004047EE" w:rsidRDefault="004047EE" w:rsidP="004A504B">
      <w:r>
        <w:continuationSeparator/>
      </w:r>
    </w:p>
  </w:footnote>
  <w:footnote w:id="1">
    <w:p w14:paraId="3F4C874C" w14:textId="77777777" w:rsidR="005B0D83" w:rsidRPr="006E126D" w:rsidRDefault="005B0D83">
      <w:pPr>
        <w:pStyle w:val="FootnoteText"/>
      </w:pPr>
      <w:r>
        <w:rPr>
          <w:rStyle w:val="FootnoteReference"/>
        </w:rPr>
        <w:footnoteRef/>
      </w:r>
      <w:r>
        <w:t xml:space="preserve"> Debido al coronavirus (COVID-19)</w:t>
      </w:r>
    </w:p>
  </w:footnote>
  <w:footnote w:id="2">
    <w:p w14:paraId="75EF3B2F" w14:textId="77777777" w:rsidR="005B0D83" w:rsidRPr="00991EB7" w:rsidRDefault="005B0D83">
      <w:pPr>
        <w:pStyle w:val="FootnoteText"/>
      </w:pPr>
      <w:r>
        <w:rPr>
          <w:rStyle w:val="FootnoteReference"/>
        </w:rPr>
        <w:footnoteRef/>
      </w:r>
      <w:r>
        <w:t xml:space="preserve"> Como consecuencia de la evolución de la COVID-19 desde el momento en que se declaró la pandemia, el Comité Ejecutivo no pudo celebrar sus reuniones 85ª y 86ª como había decidido previamente; sin embargo, conscientes de la importancia de mantener el funcionamiento del Fondo Multilateral, sus miembros adoptaron un plan de contingencia "dinámico" (que se modificó y adaptó en varias ocasiones según las necesidades), que les permitió tomar decisiones sobre varios puntos de los órdenes del día de ambas reuniones, incluida la aprobación de la financiación de las propuestas de proyectos presentadas en nombre de los Gobiernos de los países que operan al amparo del Artículo 5 por los organismos bilaterales y de ejecución del Fondo, a través de dos procesos de aprobación entre sesiones, uno establecido para la 85ª reunión y otro para la 86ª.</w:t>
      </w:r>
    </w:p>
  </w:footnote>
  <w:footnote w:id="3">
    <w:p w14:paraId="6CD527D2" w14:textId="0D50D713" w:rsidR="00A6091B" w:rsidRDefault="00A6091B">
      <w:pPr>
        <w:pStyle w:val="FootnoteText"/>
        <w:rPr>
          <w:lang w:val="en-US"/>
        </w:rPr>
      </w:pPr>
      <w:r>
        <w:rPr>
          <w:rStyle w:val="FootnoteReference"/>
        </w:rPr>
        <w:footnoteRef/>
      </w:r>
      <w:r w:rsidRPr="00735C03">
        <w:rPr>
          <w:lang w:val="en-US"/>
        </w:rPr>
        <w:t xml:space="preserve"> </w:t>
      </w:r>
      <w:r>
        <w:rPr>
          <w:lang w:val="en-US"/>
        </w:rPr>
        <w:t>UNEP/OzL.Pro/ExCom/86/IAP/3</w:t>
      </w:r>
    </w:p>
    <w:p w14:paraId="7157B922" w14:textId="77777777" w:rsidR="00371AF9" w:rsidRPr="00A6091B" w:rsidRDefault="00371AF9">
      <w:pPr>
        <w:pStyle w:val="FootnoteText"/>
        <w:rPr>
          <w:lang w:val="en-CA"/>
        </w:rPr>
      </w:pPr>
    </w:p>
  </w:footnote>
  <w:footnote w:id="4">
    <w:p w14:paraId="254F1F99" w14:textId="217D7C1F" w:rsidR="004C00DC" w:rsidRPr="004C00DC" w:rsidRDefault="004C00DC">
      <w:pPr>
        <w:pStyle w:val="FootnoteText"/>
      </w:pPr>
      <w:r>
        <w:rPr>
          <w:rStyle w:val="FootnoteReference"/>
        </w:rPr>
        <w:footnoteRef/>
      </w:r>
      <w:r>
        <w:t xml:space="preserve"> Párrafo 16 de UNEP/OzL.Pro/ExCom/86/IAP/3</w:t>
      </w:r>
    </w:p>
  </w:footnote>
  <w:footnote w:id="5">
    <w:p w14:paraId="677BE9E6" w14:textId="77777777" w:rsidR="00AA43C8" w:rsidRPr="00495C89" w:rsidRDefault="00AA43C8" w:rsidP="00AA43C8">
      <w:pPr>
        <w:pStyle w:val="FootnoteText"/>
      </w:pPr>
      <w:r>
        <w:rPr>
          <w:rStyle w:val="FootnoteReference"/>
        </w:rPr>
        <w:footnoteRef/>
      </w:r>
      <w:r>
        <w:t xml:space="preserve"> Documentos UNEP/OzL.Pro/ExCom/68/51 (parte II) y Add.1, y UNEP/OzL.Pro/ExCom/69/37 (párrafos 5 a 7)</w:t>
      </w:r>
    </w:p>
  </w:footnote>
  <w:footnote w:id="6">
    <w:p w14:paraId="17C91B09" w14:textId="77777777" w:rsidR="008D6295" w:rsidRPr="008D6295" w:rsidRDefault="008D6295">
      <w:pPr>
        <w:pStyle w:val="FootnoteText"/>
      </w:pPr>
      <w:r>
        <w:rPr>
          <w:rStyle w:val="FootnoteReference"/>
        </w:rPr>
        <w:footnoteRef/>
      </w:r>
      <w:r>
        <w:t xml:space="preserve"> El extracto que figura en el anexo I del presente documento ha reflejado este cambio.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3F9AC" w14:textId="77777777" w:rsidR="000C1071" w:rsidRPr="000C1071" w:rsidRDefault="000C1071" w:rsidP="000C1071">
    <w:pPr>
      <w:rPr>
        <w:lang w:val="en-US"/>
      </w:rPr>
    </w:pPr>
    <w:r>
      <w:fldChar w:fldCharType="begin"/>
    </w:r>
    <w:r w:rsidRPr="000C1071">
      <w:rPr>
        <w:lang w:val="en-US"/>
      </w:rPr>
      <w:instrText xml:space="preserve"> DOCPROPERTY "Document number"  \* MERGEFORMAT </w:instrText>
    </w:r>
    <w:r>
      <w:fldChar w:fldCharType="separate"/>
    </w:r>
    <w:r w:rsidRPr="000C1071">
      <w:rPr>
        <w:lang w:val="en-US"/>
      </w:rPr>
      <w:t>UNEP/OzL.Pro/ExCom/86/2/</w:t>
    </w:r>
    <w:bookmarkStart w:id="0" w:name="_GoBack"/>
    <w:bookmarkEnd w:id="0"/>
    <w:r w:rsidRPr="000C1071">
      <w:rPr>
        <w:lang w:val="en-US"/>
      </w:rPr>
      <w:t>Add.1</w:t>
    </w:r>
    <w:r>
      <w:fldChar w:fldCharType="end"/>
    </w:r>
  </w:p>
  <w:p w14:paraId="0F3D4379" w14:textId="77A5975C" w:rsidR="005B0D83" w:rsidRPr="000C1071" w:rsidRDefault="005B0D83">
    <w:pPr>
      <w:rPr>
        <w:lang w:val="en-US"/>
      </w:rPr>
    </w:pPr>
  </w:p>
  <w:p w14:paraId="26AC9963" w14:textId="77777777" w:rsidR="000C1071" w:rsidRPr="00712C5D" w:rsidRDefault="000C1071">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3139F" w14:textId="77777777" w:rsidR="000C1071" w:rsidRPr="000C1071" w:rsidRDefault="000C1071" w:rsidP="000C1071">
    <w:pPr>
      <w:jc w:val="right"/>
      <w:rPr>
        <w:lang w:val="en-US"/>
      </w:rPr>
    </w:pPr>
    <w:r>
      <w:fldChar w:fldCharType="begin"/>
    </w:r>
    <w:r w:rsidRPr="000C1071">
      <w:rPr>
        <w:lang w:val="en-US"/>
      </w:rPr>
      <w:instrText xml:space="preserve"> DOCPROPERTY "Document number"  \* MERGEFORMAT </w:instrText>
    </w:r>
    <w:r>
      <w:fldChar w:fldCharType="separate"/>
    </w:r>
    <w:r w:rsidRPr="000C1071">
      <w:rPr>
        <w:lang w:val="en-US"/>
      </w:rPr>
      <w:t>UNEP/OzL.Pro/ExCom/86/2/Add.1</w:t>
    </w:r>
    <w:r>
      <w:fldChar w:fldCharType="end"/>
    </w:r>
  </w:p>
  <w:p w14:paraId="702F2054" w14:textId="77777777" w:rsidR="000C1071" w:rsidRPr="000C1071" w:rsidRDefault="000C1071">
    <w:pPr>
      <w:jc w:val="right"/>
      <w:rPr>
        <w:lang w:val="en-US"/>
      </w:rPr>
    </w:pPr>
  </w:p>
  <w:p w14:paraId="4C671511" w14:textId="77777777" w:rsidR="005B0D83" w:rsidRPr="00712C5D" w:rsidRDefault="005B0D83">
    <w:pPr>
      <w:pStyle w:val="Header"/>
      <w:rPr>
        <w:lang w:val="en-CA"/>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92C5B" w14:textId="77777777" w:rsidR="0004704D" w:rsidRDefault="0004704D">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FA732" w14:textId="34A95344" w:rsidR="00173995" w:rsidRPr="00173995" w:rsidRDefault="00173995" w:rsidP="00173995">
    <w:pPr>
      <w:rPr>
        <w:lang w:val="en-US"/>
      </w:rPr>
    </w:pPr>
    <w:r>
      <w:fldChar w:fldCharType="begin"/>
    </w:r>
    <w:r w:rsidRPr="00173995">
      <w:rPr>
        <w:lang w:val="en-US"/>
      </w:rPr>
      <w:instrText xml:space="preserve"> DOCPROPERTY "Document number"  \* MERGEFORMAT </w:instrText>
    </w:r>
    <w:r>
      <w:fldChar w:fldCharType="separate"/>
    </w:r>
    <w:r>
      <w:rPr>
        <w:lang w:val="en-US"/>
      </w:rPr>
      <w:t>UNEP/OzL.Pro/ExCom/86/2/Add.1</w:t>
    </w:r>
    <w:r>
      <w:fldChar w:fldCharType="end"/>
    </w:r>
  </w:p>
  <w:p w14:paraId="095E21AD" w14:textId="77777777" w:rsidR="005B0D83" w:rsidRPr="00173995" w:rsidRDefault="005B0D83">
    <w:pPr>
      <w:rPr>
        <w:lang w:val="en-US"/>
      </w:rPr>
    </w:pPr>
    <w:r w:rsidRPr="00173995">
      <w:rPr>
        <w:lang w:val="en-US"/>
      </w:rPr>
      <w:t>Anexo II</w:t>
    </w:r>
  </w:p>
  <w:p w14:paraId="7B3E9E85" w14:textId="77777777" w:rsidR="005B0D83" w:rsidRPr="00173995" w:rsidRDefault="005B0D83">
    <w:pPr>
      <w:rPr>
        <w:lang w:val="en-US"/>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58D25" w14:textId="18E8A7C6" w:rsidR="00173995" w:rsidRPr="00173995" w:rsidRDefault="00173995" w:rsidP="00173995">
    <w:pPr>
      <w:jc w:val="right"/>
      <w:rPr>
        <w:lang w:val="en-US"/>
      </w:rPr>
    </w:pPr>
    <w:r>
      <w:fldChar w:fldCharType="begin"/>
    </w:r>
    <w:r w:rsidRPr="00173995">
      <w:rPr>
        <w:lang w:val="en-US"/>
      </w:rPr>
      <w:instrText xml:space="preserve"> DOCPROPERTY "Document number"  \* MERGEFORMAT </w:instrText>
    </w:r>
    <w:r>
      <w:fldChar w:fldCharType="separate"/>
    </w:r>
    <w:r>
      <w:rPr>
        <w:lang w:val="en-US"/>
      </w:rPr>
      <w:t>UNEP/OzL.Pro/ExCom/86/2/Add.1</w:t>
    </w:r>
    <w:r>
      <w:fldChar w:fldCharType="end"/>
    </w:r>
  </w:p>
  <w:p w14:paraId="6D82E934" w14:textId="77777777" w:rsidR="005B0D83" w:rsidRPr="00173995" w:rsidRDefault="005B0D83">
    <w:pPr>
      <w:jc w:val="right"/>
      <w:rPr>
        <w:lang w:val="en-US"/>
      </w:rPr>
    </w:pPr>
    <w:r w:rsidRPr="00173995">
      <w:rPr>
        <w:lang w:val="en-US"/>
      </w:rPr>
      <w:t>Anexo II</w:t>
    </w:r>
  </w:p>
  <w:p w14:paraId="52396E25" w14:textId="77777777" w:rsidR="005B0D83" w:rsidRPr="00173995" w:rsidRDefault="005B0D83">
    <w:pPr>
      <w:pStyle w:val="Header"/>
      <w:rPr>
        <w:lang w:val="en-US"/>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3793F" w14:textId="77777777" w:rsidR="005B0D83" w:rsidRPr="00712C5D" w:rsidRDefault="005B0D83" w:rsidP="00EF48FF">
    <w:pPr>
      <w:pStyle w:val="Header"/>
      <w:jc w:val="right"/>
      <w:rPr>
        <w:lang w:val="en-CA"/>
      </w:rPr>
    </w:pPr>
    <w:r w:rsidRPr="00712C5D">
      <w:rPr>
        <w:lang w:val="en-CA"/>
      </w:rPr>
      <w:t>UNEP/OzL.Pro/ExCom/86/2/Add.1</w:t>
    </w:r>
  </w:p>
  <w:p w14:paraId="362F4B0A" w14:textId="77777777" w:rsidR="005B0D83" w:rsidRDefault="005B0D83" w:rsidP="00EF48FF">
    <w:pPr>
      <w:pStyle w:val="Header"/>
      <w:jc w:val="right"/>
    </w:pPr>
    <w:r>
      <w:t>Anexo II</w:t>
    </w:r>
  </w:p>
  <w:p w14:paraId="4F5EA0B7" w14:textId="77777777" w:rsidR="005B0D83" w:rsidRDefault="005B0D83" w:rsidP="00EF48F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E7E4666"/>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9BD6EDEE"/>
    <w:lvl w:ilvl="0" w:tplc="7E32EA3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606EBF"/>
    <w:rsid w:val="00000FED"/>
    <w:rsid w:val="0000434E"/>
    <w:rsid w:val="000211A9"/>
    <w:rsid w:val="0002326C"/>
    <w:rsid w:val="00031260"/>
    <w:rsid w:val="0003681A"/>
    <w:rsid w:val="000372B7"/>
    <w:rsid w:val="0004704D"/>
    <w:rsid w:val="00050F6E"/>
    <w:rsid w:val="00056FB4"/>
    <w:rsid w:val="00061EC2"/>
    <w:rsid w:val="00074A75"/>
    <w:rsid w:val="00076E89"/>
    <w:rsid w:val="00080ED0"/>
    <w:rsid w:val="00085B8F"/>
    <w:rsid w:val="00090481"/>
    <w:rsid w:val="000A1B74"/>
    <w:rsid w:val="000A3826"/>
    <w:rsid w:val="000A6C26"/>
    <w:rsid w:val="000C1071"/>
    <w:rsid w:val="000C6093"/>
    <w:rsid w:val="000D36A2"/>
    <w:rsid w:val="000D52A4"/>
    <w:rsid w:val="000E07BC"/>
    <w:rsid w:val="000E59CD"/>
    <w:rsid w:val="000F1CD4"/>
    <w:rsid w:val="000F4103"/>
    <w:rsid w:val="000F645A"/>
    <w:rsid w:val="000F70A7"/>
    <w:rsid w:val="00113CCA"/>
    <w:rsid w:val="0011589B"/>
    <w:rsid w:val="00122F25"/>
    <w:rsid w:val="00135980"/>
    <w:rsid w:val="00143926"/>
    <w:rsid w:val="00151004"/>
    <w:rsid w:val="00164719"/>
    <w:rsid w:val="00166FC4"/>
    <w:rsid w:val="001677AC"/>
    <w:rsid w:val="00173995"/>
    <w:rsid w:val="001804EA"/>
    <w:rsid w:val="00190A61"/>
    <w:rsid w:val="001A05BD"/>
    <w:rsid w:val="001A3342"/>
    <w:rsid w:val="001A3E3D"/>
    <w:rsid w:val="001A5BE4"/>
    <w:rsid w:val="001A7049"/>
    <w:rsid w:val="001B1E40"/>
    <w:rsid w:val="001C764E"/>
    <w:rsid w:val="001E1052"/>
    <w:rsid w:val="001E21B1"/>
    <w:rsid w:val="001E2F93"/>
    <w:rsid w:val="001E4554"/>
    <w:rsid w:val="001E61E5"/>
    <w:rsid w:val="001F2159"/>
    <w:rsid w:val="001F2995"/>
    <w:rsid w:val="001F537F"/>
    <w:rsid w:val="00210B8B"/>
    <w:rsid w:val="00214863"/>
    <w:rsid w:val="002156B4"/>
    <w:rsid w:val="002166D7"/>
    <w:rsid w:val="00224FCD"/>
    <w:rsid w:val="00253222"/>
    <w:rsid w:val="00262847"/>
    <w:rsid w:val="002634BE"/>
    <w:rsid w:val="00281BB2"/>
    <w:rsid w:val="00287CC8"/>
    <w:rsid w:val="002912C1"/>
    <w:rsid w:val="002B254E"/>
    <w:rsid w:val="002B72E9"/>
    <w:rsid w:val="002C7998"/>
    <w:rsid w:val="002D75B7"/>
    <w:rsid w:val="002E1F26"/>
    <w:rsid w:val="002F1E53"/>
    <w:rsid w:val="002F2CAA"/>
    <w:rsid w:val="002F31BE"/>
    <w:rsid w:val="002F6C2B"/>
    <w:rsid w:val="0030052C"/>
    <w:rsid w:val="00313797"/>
    <w:rsid w:val="00324881"/>
    <w:rsid w:val="003306E1"/>
    <w:rsid w:val="003320E4"/>
    <w:rsid w:val="0033525D"/>
    <w:rsid w:val="00335925"/>
    <w:rsid w:val="00337C8E"/>
    <w:rsid w:val="00340DAE"/>
    <w:rsid w:val="003414F3"/>
    <w:rsid w:val="003473CD"/>
    <w:rsid w:val="0035613E"/>
    <w:rsid w:val="00363EE9"/>
    <w:rsid w:val="00371AF9"/>
    <w:rsid w:val="00376128"/>
    <w:rsid w:val="0037742E"/>
    <w:rsid w:val="00377D56"/>
    <w:rsid w:val="0038245A"/>
    <w:rsid w:val="003840E6"/>
    <w:rsid w:val="00385CFC"/>
    <w:rsid w:val="00391FE5"/>
    <w:rsid w:val="0039337A"/>
    <w:rsid w:val="003A0EDB"/>
    <w:rsid w:val="003A3189"/>
    <w:rsid w:val="003A3CA7"/>
    <w:rsid w:val="003B33BD"/>
    <w:rsid w:val="003B569D"/>
    <w:rsid w:val="003C3C0E"/>
    <w:rsid w:val="003D42A6"/>
    <w:rsid w:val="003D4F21"/>
    <w:rsid w:val="003D4FAC"/>
    <w:rsid w:val="003E7906"/>
    <w:rsid w:val="003F3C50"/>
    <w:rsid w:val="004047EE"/>
    <w:rsid w:val="0040644D"/>
    <w:rsid w:val="00406A6A"/>
    <w:rsid w:val="00406B22"/>
    <w:rsid w:val="00414ADE"/>
    <w:rsid w:val="004233F1"/>
    <w:rsid w:val="0043160A"/>
    <w:rsid w:val="004328A7"/>
    <w:rsid w:val="00434C74"/>
    <w:rsid w:val="00436840"/>
    <w:rsid w:val="00456EB4"/>
    <w:rsid w:val="004632B7"/>
    <w:rsid w:val="004718F3"/>
    <w:rsid w:val="00473E49"/>
    <w:rsid w:val="00475040"/>
    <w:rsid w:val="004861BA"/>
    <w:rsid w:val="00493D40"/>
    <w:rsid w:val="00495C89"/>
    <w:rsid w:val="004967B6"/>
    <w:rsid w:val="004A04A8"/>
    <w:rsid w:val="004A504B"/>
    <w:rsid w:val="004A6911"/>
    <w:rsid w:val="004A6B33"/>
    <w:rsid w:val="004B54E0"/>
    <w:rsid w:val="004B7384"/>
    <w:rsid w:val="004C00DC"/>
    <w:rsid w:val="004C1FE3"/>
    <w:rsid w:val="004C4269"/>
    <w:rsid w:val="004D6236"/>
    <w:rsid w:val="004D6644"/>
    <w:rsid w:val="004D7F90"/>
    <w:rsid w:val="004E4DBB"/>
    <w:rsid w:val="004E4E41"/>
    <w:rsid w:val="004E54FF"/>
    <w:rsid w:val="004E7F9C"/>
    <w:rsid w:val="004F3493"/>
    <w:rsid w:val="004F5143"/>
    <w:rsid w:val="00512B09"/>
    <w:rsid w:val="005220ED"/>
    <w:rsid w:val="00533796"/>
    <w:rsid w:val="00537343"/>
    <w:rsid w:val="00555D75"/>
    <w:rsid w:val="00560DF0"/>
    <w:rsid w:val="0056759C"/>
    <w:rsid w:val="00590622"/>
    <w:rsid w:val="00593602"/>
    <w:rsid w:val="0059513E"/>
    <w:rsid w:val="005A6D9F"/>
    <w:rsid w:val="005B0D83"/>
    <w:rsid w:val="005B48FF"/>
    <w:rsid w:val="005C1BF4"/>
    <w:rsid w:val="005D08D8"/>
    <w:rsid w:val="005D363F"/>
    <w:rsid w:val="005E5327"/>
    <w:rsid w:val="00600CCA"/>
    <w:rsid w:val="00603759"/>
    <w:rsid w:val="00604C15"/>
    <w:rsid w:val="00606EBF"/>
    <w:rsid w:val="006158D5"/>
    <w:rsid w:val="00621767"/>
    <w:rsid w:val="00625D83"/>
    <w:rsid w:val="006623E7"/>
    <w:rsid w:val="00662B80"/>
    <w:rsid w:val="00663192"/>
    <w:rsid w:val="00670F6C"/>
    <w:rsid w:val="00673590"/>
    <w:rsid w:val="006852C7"/>
    <w:rsid w:val="006852CE"/>
    <w:rsid w:val="00692D14"/>
    <w:rsid w:val="00693A47"/>
    <w:rsid w:val="006B65C7"/>
    <w:rsid w:val="006B6E8B"/>
    <w:rsid w:val="006C1727"/>
    <w:rsid w:val="006C32FD"/>
    <w:rsid w:val="006C39CE"/>
    <w:rsid w:val="006D0FCC"/>
    <w:rsid w:val="006D21F5"/>
    <w:rsid w:val="006E126D"/>
    <w:rsid w:val="006E1FC3"/>
    <w:rsid w:val="006F0FE2"/>
    <w:rsid w:val="006F20FE"/>
    <w:rsid w:val="00704CE9"/>
    <w:rsid w:val="0070616B"/>
    <w:rsid w:val="00706295"/>
    <w:rsid w:val="00706FDA"/>
    <w:rsid w:val="007077C2"/>
    <w:rsid w:val="00711F9A"/>
    <w:rsid w:val="00712C5D"/>
    <w:rsid w:val="00713810"/>
    <w:rsid w:val="007303A5"/>
    <w:rsid w:val="00730B3E"/>
    <w:rsid w:val="00730E30"/>
    <w:rsid w:val="0073420B"/>
    <w:rsid w:val="00735C03"/>
    <w:rsid w:val="0074760E"/>
    <w:rsid w:val="00754ABA"/>
    <w:rsid w:val="007646BB"/>
    <w:rsid w:val="00767B7F"/>
    <w:rsid w:val="007A1546"/>
    <w:rsid w:val="007A228C"/>
    <w:rsid w:val="007A368E"/>
    <w:rsid w:val="007A3F80"/>
    <w:rsid w:val="007A5868"/>
    <w:rsid w:val="007B04CE"/>
    <w:rsid w:val="007B6871"/>
    <w:rsid w:val="007B7A2F"/>
    <w:rsid w:val="007C3D33"/>
    <w:rsid w:val="007D294A"/>
    <w:rsid w:val="007D2996"/>
    <w:rsid w:val="007D47D2"/>
    <w:rsid w:val="007D6EC0"/>
    <w:rsid w:val="007D78C0"/>
    <w:rsid w:val="007D7E1D"/>
    <w:rsid w:val="007F36B0"/>
    <w:rsid w:val="00831979"/>
    <w:rsid w:val="00834D82"/>
    <w:rsid w:val="00840739"/>
    <w:rsid w:val="00851352"/>
    <w:rsid w:val="00857077"/>
    <w:rsid w:val="00863230"/>
    <w:rsid w:val="00865BD0"/>
    <w:rsid w:val="008717D8"/>
    <w:rsid w:val="0087215C"/>
    <w:rsid w:val="00872F31"/>
    <w:rsid w:val="00875D25"/>
    <w:rsid w:val="00880E35"/>
    <w:rsid w:val="00882017"/>
    <w:rsid w:val="008875FE"/>
    <w:rsid w:val="00887F8E"/>
    <w:rsid w:val="00896234"/>
    <w:rsid w:val="00897E43"/>
    <w:rsid w:val="008A4F4B"/>
    <w:rsid w:val="008B147A"/>
    <w:rsid w:val="008B5A2C"/>
    <w:rsid w:val="008C5738"/>
    <w:rsid w:val="008C7EAD"/>
    <w:rsid w:val="008D0CFE"/>
    <w:rsid w:val="008D48A5"/>
    <w:rsid w:val="008D6152"/>
    <w:rsid w:val="008D6295"/>
    <w:rsid w:val="008E57D9"/>
    <w:rsid w:val="008F0F81"/>
    <w:rsid w:val="008F27BF"/>
    <w:rsid w:val="009142EC"/>
    <w:rsid w:val="009154C3"/>
    <w:rsid w:val="00923540"/>
    <w:rsid w:val="00926767"/>
    <w:rsid w:val="00930679"/>
    <w:rsid w:val="009361D5"/>
    <w:rsid w:val="009428A4"/>
    <w:rsid w:val="009644F2"/>
    <w:rsid w:val="00965272"/>
    <w:rsid w:val="009659F4"/>
    <w:rsid w:val="00970D60"/>
    <w:rsid w:val="00977A9D"/>
    <w:rsid w:val="00980AF5"/>
    <w:rsid w:val="0099178C"/>
    <w:rsid w:val="00991EB7"/>
    <w:rsid w:val="0099390E"/>
    <w:rsid w:val="009960E5"/>
    <w:rsid w:val="009A7ADC"/>
    <w:rsid w:val="009B3ECE"/>
    <w:rsid w:val="009C19B7"/>
    <w:rsid w:val="009C5ABB"/>
    <w:rsid w:val="009D7C51"/>
    <w:rsid w:val="009E196C"/>
    <w:rsid w:val="009F36BF"/>
    <w:rsid w:val="00A01DD9"/>
    <w:rsid w:val="00A111B6"/>
    <w:rsid w:val="00A22ECA"/>
    <w:rsid w:val="00A26D27"/>
    <w:rsid w:val="00A32128"/>
    <w:rsid w:val="00A376EE"/>
    <w:rsid w:val="00A42A99"/>
    <w:rsid w:val="00A4673C"/>
    <w:rsid w:val="00A5151A"/>
    <w:rsid w:val="00A57E0A"/>
    <w:rsid w:val="00A6091B"/>
    <w:rsid w:val="00A823F6"/>
    <w:rsid w:val="00A8719E"/>
    <w:rsid w:val="00AA0A89"/>
    <w:rsid w:val="00AA43C8"/>
    <w:rsid w:val="00AA6429"/>
    <w:rsid w:val="00AC01AA"/>
    <w:rsid w:val="00AC4F72"/>
    <w:rsid w:val="00AC55AD"/>
    <w:rsid w:val="00AD04B0"/>
    <w:rsid w:val="00AE3C49"/>
    <w:rsid w:val="00AF52C5"/>
    <w:rsid w:val="00AF6A93"/>
    <w:rsid w:val="00AF741A"/>
    <w:rsid w:val="00B01ADB"/>
    <w:rsid w:val="00B04161"/>
    <w:rsid w:val="00B056F9"/>
    <w:rsid w:val="00B11E3D"/>
    <w:rsid w:val="00B13017"/>
    <w:rsid w:val="00B13E50"/>
    <w:rsid w:val="00B16ADF"/>
    <w:rsid w:val="00B17E82"/>
    <w:rsid w:val="00B30103"/>
    <w:rsid w:val="00B4575A"/>
    <w:rsid w:val="00B46AB1"/>
    <w:rsid w:val="00B575BA"/>
    <w:rsid w:val="00B71608"/>
    <w:rsid w:val="00B75FCD"/>
    <w:rsid w:val="00B76429"/>
    <w:rsid w:val="00B764F1"/>
    <w:rsid w:val="00B956D4"/>
    <w:rsid w:val="00B97446"/>
    <w:rsid w:val="00BA7432"/>
    <w:rsid w:val="00BB2764"/>
    <w:rsid w:val="00BC05EB"/>
    <w:rsid w:val="00BC1AA0"/>
    <w:rsid w:val="00BC2495"/>
    <w:rsid w:val="00BC716B"/>
    <w:rsid w:val="00BC7EB9"/>
    <w:rsid w:val="00BD2643"/>
    <w:rsid w:val="00BD56B1"/>
    <w:rsid w:val="00BD6558"/>
    <w:rsid w:val="00BF2F76"/>
    <w:rsid w:val="00BF3022"/>
    <w:rsid w:val="00BF3214"/>
    <w:rsid w:val="00BF5359"/>
    <w:rsid w:val="00BF5573"/>
    <w:rsid w:val="00C00490"/>
    <w:rsid w:val="00C15867"/>
    <w:rsid w:val="00C2296D"/>
    <w:rsid w:val="00C23155"/>
    <w:rsid w:val="00C303C8"/>
    <w:rsid w:val="00C40C41"/>
    <w:rsid w:val="00C45885"/>
    <w:rsid w:val="00C50F22"/>
    <w:rsid w:val="00C52701"/>
    <w:rsid w:val="00C57971"/>
    <w:rsid w:val="00C61B20"/>
    <w:rsid w:val="00C65BD7"/>
    <w:rsid w:val="00C669C6"/>
    <w:rsid w:val="00C75CC1"/>
    <w:rsid w:val="00C76BA4"/>
    <w:rsid w:val="00C83A48"/>
    <w:rsid w:val="00C85865"/>
    <w:rsid w:val="00C85E85"/>
    <w:rsid w:val="00C96085"/>
    <w:rsid w:val="00CA10DD"/>
    <w:rsid w:val="00CA2961"/>
    <w:rsid w:val="00CA2EAE"/>
    <w:rsid w:val="00CA4AC1"/>
    <w:rsid w:val="00CA4F7D"/>
    <w:rsid w:val="00CB0316"/>
    <w:rsid w:val="00CB0B11"/>
    <w:rsid w:val="00CB4086"/>
    <w:rsid w:val="00CB426A"/>
    <w:rsid w:val="00CB5354"/>
    <w:rsid w:val="00CC3C9E"/>
    <w:rsid w:val="00CC6A14"/>
    <w:rsid w:val="00CC70A3"/>
    <w:rsid w:val="00CD4442"/>
    <w:rsid w:val="00CD53C3"/>
    <w:rsid w:val="00CD574E"/>
    <w:rsid w:val="00CE4C22"/>
    <w:rsid w:val="00CF41EC"/>
    <w:rsid w:val="00CF5D04"/>
    <w:rsid w:val="00CF6802"/>
    <w:rsid w:val="00D01424"/>
    <w:rsid w:val="00D04DE4"/>
    <w:rsid w:val="00D063F1"/>
    <w:rsid w:val="00D13287"/>
    <w:rsid w:val="00D14F22"/>
    <w:rsid w:val="00D15DFB"/>
    <w:rsid w:val="00D4741C"/>
    <w:rsid w:val="00D57918"/>
    <w:rsid w:val="00D73DC6"/>
    <w:rsid w:val="00D74C1A"/>
    <w:rsid w:val="00D754C1"/>
    <w:rsid w:val="00D77393"/>
    <w:rsid w:val="00D77A35"/>
    <w:rsid w:val="00D81B3E"/>
    <w:rsid w:val="00D90C70"/>
    <w:rsid w:val="00D90E49"/>
    <w:rsid w:val="00D94C54"/>
    <w:rsid w:val="00D96ADE"/>
    <w:rsid w:val="00DA0CE2"/>
    <w:rsid w:val="00DA7BC0"/>
    <w:rsid w:val="00DB365A"/>
    <w:rsid w:val="00DC6A10"/>
    <w:rsid w:val="00DD127F"/>
    <w:rsid w:val="00DE657E"/>
    <w:rsid w:val="00DF15B0"/>
    <w:rsid w:val="00DF4704"/>
    <w:rsid w:val="00DF6D98"/>
    <w:rsid w:val="00E024AA"/>
    <w:rsid w:val="00E06817"/>
    <w:rsid w:val="00E15C77"/>
    <w:rsid w:val="00E22A21"/>
    <w:rsid w:val="00E24C6C"/>
    <w:rsid w:val="00E250F1"/>
    <w:rsid w:val="00E2532C"/>
    <w:rsid w:val="00E27B7A"/>
    <w:rsid w:val="00E3273A"/>
    <w:rsid w:val="00E3550D"/>
    <w:rsid w:val="00E35F17"/>
    <w:rsid w:val="00E52838"/>
    <w:rsid w:val="00E614E0"/>
    <w:rsid w:val="00E62FF6"/>
    <w:rsid w:val="00E73F7F"/>
    <w:rsid w:val="00E85409"/>
    <w:rsid w:val="00E8682D"/>
    <w:rsid w:val="00EA429F"/>
    <w:rsid w:val="00EA4F9E"/>
    <w:rsid w:val="00EA63CA"/>
    <w:rsid w:val="00EA6D3B"/>
    <w:rsid w:val="00EB00AD"/>
    <w:rsid w:val="00EB136C"/>
    <w:rsid w:val="00EB480E"/>
    <w:rsid w:val="00EB5EC6"/>
    <w:rsid w:val="00EB7FC9"/>
    <w:rsid w:val="00ED27E8"/>
    <w:rsid w:val="00ED7137"/>
    <w:rsid w:val="00EE3274"/>
    <w:rsid w:val="00EF06EA"/>
    <w:rsid w:val="00EF48FF"/>
    <w:rsid w:val="00F21088"/>
    <w:rsid w:val="00F23E28"/>
    <w:rsid w:val="00F32059"/>
    <w:rsid w:val="00F327E7"/>
    <w:rsid w:val="00F35746"/>
    <w:rsid w:val="00F447C7"/>
    <w:rsid w:val="00F459B4"/>
    <w:rsid w:val="00F505AD"/>
    <w:rsid w:val="00F5211B"/>
    <w:rsid w:val="00F554A9"/>
    <w:rsid w:val="00F6265E"/>
    <w:rsid w:val="00F672A1"/>
    <w:rsid w:val="00F716FD"/>
    <w:rsid w:val="00F80355"/>
    <w:rsid w:val="00F86ACE"/>
    <w:rsid w:val="00F87C43"/>
    <w:rsid w:val="00F91A1E"/>
    <w:rsid w:val="00FB0C81"/>
    <w:rsid w:val="00FB5689"/>
    <w:rsid w:val="00FB7FC8"/>
    <w:rsid w:val="00FC2200"/>
    <w:rsid w:val="00FC2540"/>
    <w:rsid w:val="00FE3EB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B9D26B9"/>
  <w15:docId w15:val="{1F54308D-EFBC-4973-9C6A-38E9792B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6E126D"/>
    <w:rPr>
      <w:sz w:val="20"/>
      <w:szCs w:val="20"/>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Char1 Char Char Char"/>
    <w:basedOn w:val="DefaultParagraphFont"/>
    <w:link w:val="FootnoteText"/>
    <w:uiPriority w:val="99"/>
    <w:rsid w:val="006E126D"/>
    <w:rPr>
      <w:lang w:val="es-ES"/>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505AD"/>
    <w:pPr>
      <w:spacing w:after="160" w:line="240" w:lineRule="exact"/>
    </w:pPr>
    <w:rPr>
      <w:sz w:val="20"/>
      <w:szCs w:val="20"/>
      <w:vertAlign w:val="superscript"/>
    </w:rPr>
  </w:style>
  <w:style w:type="character" w:customStyle="1" w:styleId="normalchar">
    <w:name w:val="normal__char"/>
    <w:basedOn w:val="DefaultParagraphFont"/>
    <w:rsid w:val="00F505AD"/>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locked/>
    <w:rsid w:val="00F505AD"/>
    <w:rPr>
      <w:sz w:val="22"/>
      <w:szCs w:val="22"/>
      <w:lang w:val="es-E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locked/>
    <w:rsid w:val="00F505AD"/>
    <w:rPr>
      <w:sz w:val="22"/>
      <w:szCs w:val="22"/>
      <w:lang w:val="es-ES"/>
    </w:rPr>
  </w:style>
  <w:style w:type="character" w:customStyle="1" w:styleId="FooterChar">
    <w:name w:val="Footer Char"/>
    <w:basedOn w:val="DefaultParagraphFont"/>
    <w:link w:val="Footer"/>
    <w:uiPriority w:val="99"/>
    <w:rsid w:val="00EF48FF"/>
    <w:rPr>
      <w:sz w:val="22"/>
      <w:szCs w:val="22"/>
      <w:lang w:val="es-ES"/>
    </w:rPr>
  </w:style>
  <w:style w:type="paragraph" w:customStyle="1" w:styleId="Default">
    <w:name w:val="Default"/>
    <w:rsid w:val="00E2532C"/>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7153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980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about:blan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UNEP/OzL.Pro/ExCom/86/2/Add.1</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8129CA0E-26A3-4C62-9EB0-0B11237AE046}"/>
</file>

<file path=customXml/itemProps2.xml><?xml version="1.0" encoding="utf-8"?>
<ds:datastoreItem xmlns:ds="http://schemas.openxmlformats.org/officeDocument/2006/customXml" ds:itemID="{C5C130E7-DBCB-4166-BC68-AFF17B42ED56}"/>
</file>

<file path=customXml/itemProps3.xml><?xml version="1.0" encoding="utf-8"?>
<ds:datastoreItem xmlns:ds="http://schemas.openxmlformats.org/officeDocument/2006/customXml" ds:itemID="{7FBC06A9-C63E-4B75-8E6D-5464B5FCFCEB}"/>
</file>

<file path=customXml/itemProps4.xml><?xml version="1.0" encoding="utf-8"?>
<ds:datastoreItem xmlns:ds="http://schemas.openxmlformats.org/officeDocument/2006/customXml" ds:itemID="{CEAA1434-C890-4728-848A-0A85A918018A}"/>
</file>

<file path=docProps/app.xml><?xml version="1.0" encoding="utf-8"?>
<Properties xmlns="http://schemas.openxmlformats.org/officeDocument/2006/extended-properties" xmlns:vt="http://schemas.openxmlformats.org/officeDocument/2006/docPropsVTypes">
  <Template>Normal</Template>
  <TotalTime>15</TotalTime>
  <Pages>14</Pages>
  <Words>6612</Words>
  <Characters>36056</Characters>
  <Application>Microsoft Office Word</Application>
  <DocSecurity>0</DocSecurity>
  <Lines>300</Lines>
  <Paragraphs>85</Paragraphs>
  <ScaleCrop>false</ScaleCrop>
  <HeadingPairs>
    <vt:vector size="2" baseType="variant">
      <vt:variant>
        <vt:lpstr>Title</vt:lpstr>
      </vt:variant>
      <vt:variant>
        <vt:i4>1</vt:i4>
      </vt:variant>
    </vt:vector>
  </HeadingPairs>
  <TitlesOfParts>
    <vt:vector size="1" baseType="lpstr">
      <vt:lpstr>Actividades de la Secretaría</vt:lpstr>
    </vt:vector>
  </TitlesOfParts>
  <Company>UNMFS</Company>
  <LinksUpToDate>false</LinksUpToDate>
  <CharactersWithSpaces>42583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Actividades de la Secretaría : Addendum</dc:title>
  <dc:creator>Nanette Guerin</dc:creator>
  <cp:lastModifiedBy>HB</cp:lastModifiedBy>
  <cp:revision>13</cp:revision>
  <cp:lastPrinted>2001-05-26T16:40:00Z</cp:lastPrinted>
  <dcterms:created xsi:type="dcterms:W3CDTF">2021-03-09T20:06:00Z</dcterms:created>
  <dcterms:modified xsi:type="dcterms:W3CDTF">2021-03-10T01:36:00Z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UNEP/OzL.Pro/ExCom/86/2/Add.1</vt:lpwstr>
  </property>
  <property fmtid="{D5CDD505-2E9C-101B-9397-08002B2CF9AE}" pid="3" name="Revision date">
    <vt:lpwstr>03/4/2021</vt:lpwstr>
  </property>
  <property fmtid="{D5CDD505-2E9C-101B-9397-08002B2CF9AE}" pid="4" name="ContentTypeId">
    <vt:lpwstr>0x0101009701D9FFF1782646B282AA80F917E68F</vt:lpwstr>
  </property>
</Properties>
</file>