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03" w:type="dxa"/>
        <w:tblInd w:w="-432" w:type="dxa"/>
        <w:tblLayout w:type="fixed"/>
        <w:tblLook w:val="0000" w:firstRow="0" w:lastRow="0" w:firstColumn="0" w:lastColumn="0" w:noHBand="0" w:noVBand="0"/>
      </w:tblPr>
      <w:tblGrid>
        <w:gridCol w:w="1952"/>
        <w:gridCol w:w="4708"/>
        <w:gridCol w:w="3343"/>
      </w:tblGrid>
      <w:tr w:rsidR="00441083" w:rsidRPr="00712E1C" w14:paraId="16F3BA4D" w14:textId="77777777" w:rsidTr="00B63B73">
        <w:trPr>
          <w:trHeight w:val="720"/>
        </w:trPr>
        <w:tc>
          <w:tcPr>
            <w:tcW w:w="6660" w:type="dxa"/>
            <w:gridSpan w:val="2"/>
            <w:tcBorders>
              <w:bottom w:val="single" w:sz="18" w:space="0" w:color="auto"/>
            </w:tcBorders>
          </w:tcPr>
          <w:p w14:paraId="164BCE8F" w14:textId="77777777" w:rsidR="00441083" w:rsidRPr="00712E1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712E1C">
              <w:rPr>
                <w:rFonts w:ascii="Univers" w:hAnsi="Univers"/>
                <w:b/>
                <w:sz w:val="28"/>
                <w:szCs w:val="28"/>
                <w:lang w:val="fr-FR"/>
              </w:rPr>
              <w:t>NATIONS</w:t>
            </w:r>
          </w:p>
          <w:p w14:paraId="753FFD1E" w14:textId="77777777" w:rsidR="00441083" w:rsidRPr="00712E1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12E1C">
              <w:rPr>
                <w:rFonts w:ascii="Univers" w:hAnsi="Univers"/>
                <w:b/>
                <w:sz w:val="28"/>
                <w:szCs w:val="28"/>
                <w:lang w:val="fr-FR"/>
              </w:rPr>
              <w:t xml:space="preserve">UNIES </w:t>
            </w:r>
          </w:p>
        </w:tc>
        <w:tc>
          <w:tcPr>
            <w:tcW w:w="3343" w:type="dxa"/>
            <w:tcBorders>
              <w:bottom w:val="single" w:sz="18" w:space="0" w:color="auto"/>
            </w:tcBorders>
          </w:tcPr>
          <w:p w14:paraId="32DE5871" w14:textId="77777777" w:rsidR="00441083" w:rsidRPr="00712E1C" w:rsidRDefault="00E60D9C">
            <w:pPr>
              <w:tabs>
                <w:tab w:val="left" w:pos="3010"/>
              </w:tabs>
              <w:jc w:val="center"/>
              <w:rPr>
                <w:sz w:val="52"/>
                <w:szCs w:val="52"/>
                <w:lang w:val="fr-FR"/>
              </w:rPr>
            </w:pPr>
            <w:r w:rsidRPr="00712E1C">
              <w:rPr>
                <w:rFonts w:ascii="Univers Bold" w:hAnsi="Univers Bold"/>
                <w:b/>
                <w:sz w:val="72"/>
                <w:lang w:val="fr-FR"/>
              </w:rPr>
              <w:t xml:space="preserve">          EP</w:t>
            </w:r>
          </w:p>
        </w:tc>
      </w:tr>
      <w:tr w:rsidR="00441083" w:rsidRPr="00712E1C" w14:paraId="5D68F18E" w14:textId="77777777" w:rsidTr="00B63B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52" w:type="dxa"/>
            <w:tcBorders>
              <w:top w:val="nil"/>
              <w:left w:val="nil"/>
              <w:bottom w:val="single" w:sz="36" w:space="0" w:color="auto"/>
              <w:right w:val="nil"/>
            </w:tcBorders>
          </w:tcPr>
          <w:p w14:paraId="1F3EC7E2" w14:textId="77777777" w:rsidR="00441083" w:rsidRPr="00712E1C" w:rsidRDefault="00C6443E">
            <w:pPr>
              <w:spacing w:before="120"/>
              <w:rPr>
                <w:lang w:val="fr-FR"/>
              </w:rPr>
            </w:pPr>
            <w:r w:rsidRPr="00712E1C">
              <w:rPr>
                <w:noProof/>
                <w:lang w:val="fr-FR" w:eastAsia="en-CA"/>
              </w:rPr>
              <w:drawing>
                <wp:anchor distT="0" distB="0" distL="114300" distR="114300" simplePos="0" relativeHeight="251660288" behindDoc="0" locked="0" layoutInCell="1" allowOverlap="1" wp14:anchorId="504756A3" wp14:editId="5BD387A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12E1C">
              <w:rPr>
                <w:noProof/>
                <w:lang w:val="fr-FR" w:eastAsia="en-CA"/>
              </w:rPr>
              <w:drawing>
                <wp:anchor distT="0" distB="0" distL="114300" distR="114300" simplePos="0" relativeHeight="251661312" behindDoc="1" locked="0" layoutInCell="0" allowOverlap="1" wp14:anchorId="5D08D73B" wp14:editId="3735D50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08" w:type="dxa"/>
            <w:tcBorders>
              <w:top w:val="nil"/>
              <w:left w:val="nil"/>
              <w:bottom w:val="single" w:sz="36" w:space="0" w:color="auto"/>
              <w:right w:val="nil"/>
            </w:tcBorders>
          </w:tcPr>
          <w:p w14:paraId="3DFABB70" w14:textId="77777777" w:rsidR="006256C5" w:rsidRDefault="006256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1528E36" w14:textId="0BB51BDE" w:rsidR="00441083" w:rsidRPr="00712E1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712E1C">
              <w:rPr>
                <w:rFonts w:ascii="Univers" w:hAnsi="Univers"/>
                <w:b/>
                <w:sz w:val="32"/>
                <w:lang w:val="fr-FR"/>
              </w:rPr>
              <w:t>Programme des</w:t>
            </w:r>
          </w:p>
          <w:p w14:paraId="17267C5F" w14:textId="77777777" w:rsidR="00441083" w:rsidRPr="00712E1C" w:rsidRDefault="00E60D9C">
            <w:pPr>
              <w:rPr>
                <w:rFonts w:ascii="Univers" w:hAnsi="Univers"/>
                <w:b/>
                <w:sz w:val="32"/>
                <w:lang w:val="fr-FR"/>
              </w:rPr>
            </w:pPr>
            <w:r w:rsidRPr="00712E1C">
              <w:rPr>
                <w:rFonts w:ascii="Univers" w:hAnsi="Univers"/>
                <w:b/>
                <w:sz w:val="32"/>
                <w:lang w:val="fr-FR"/>
              </w:rPr>
              <w:t>Nations Unies pour</w:t>
            </w:r>
          </w:p>
          <w:p w14:paraId="3A7DF851" w14:textId="77777777" w:rsidR="00441083" w:rsidRPr="00712E1C" w:rsidRDefault="00E60D9C">
            <w:pPr>
              <w:rPr>
                <w:rFonts w:ascii="Univers" w:hAnsi="Univers"/>
                <w:b/>
                <w:sz w:val="32"/>
                <w:lang w:val="fr-FR"/>
              </w:rPr>
            </w:pPr>
            <w:r w:rsidRPr="00712E1C">
              <w:rPr>
                <w:rFonts w:ascii="Univers" w:hAnsi="Univers"/>
                <w:b/>
                <w:sz w:val="32"/>
                <w:lang w:val="fr-FR"/>
              </w:rPr>
              <w:t>l’environnement</w:t>
            </w:r>
          </w:p>
          <w:p w14:paraId="0DAC10EC" w14:textId="77777777" w:rsidR="00441083" w:rsidRPr="00712E1C" w:rsidRDefault="00E60D9C">
            <w:pPr>
              <w:spacing w:before="720"/>
              <w:ind w:left="158"/>
              <w:rPr>
                <w:lang w:val="fr-FR"/>
              </w:rPr>
            </w:pPr>
            <w:r w:rsidRPr="00712E1C">
              <w:rPr>
                <w:lang w:val="fr-FR"/>
              </w:rPr>
              <w:t xml:space="preserve"> </w:t>
            </w:r>
          </w:p>
        </w:tc>
        <w:tc>
          <w:tcPr>
            <w:tcW w:w="3343" w:type="dxa"/>
            <w:tcBorders>
              <w:top w:val="nil"/>
              <w:left w:val="nil"/>
              <w:bottom w:val="single" w:sz="36" w:space="0" w:color="auto"/>
              <w:right w:val="nil"/>
            </w:tcBorders>
          </w:tcPr>
          <w:p w14:paraId="1F16E7E2" w14:textId="77777777" w:rsidR="006256C5" w:rsidRDefault="006256C5">
            <w:pPr>
              <w:rPr>
                <w:lang w:val="fr-FR"/>
              </w:rPr>
            </w:pPr>
          </w:p>
          <w:p w14:paraId="536C759B" w14:textId="519D6ACC" w:rsidR="00441083" w:rsidRPr="00712E1C" w:rsidRDefault="00E60D9C">
            <w:pPr>
              <w:rPr>
                <w:lang w:val="fr-FR"/>
              </w:rPr>
            </w:pPr>
            <w:proofErr w:type="spellStart"/>
            <w:r w:rsidRPr="00712E1C">
              <w:rPr>
                <w:lang w:val="fr-FR"/>
              </w:rPr>
              <w:t>Distr</w:t>
            </w:r>
            <w:proofErr w:type="spellEnd"/>
            <w:r w:rsidRPr="00712E1C">
              <w:rPr>
                <w:lang w:val="fr-FR"/>
              </w:rPr>
              <w:t>.</w:t>
            </w:r>
          </w:p>
          <w:p w14:paraId="02E89A2C" w14:textId="77777777" w:rsidR="00441083" w:rsidRPr="00712E1C" w:rsidRDefault="00E60D9C" w:rsidP="00DD3433">
            <w:pPr>
              <w:rPr>
                <w:lang w:val="fr-FR"/>
              </w:rPr>
            </w:pPr>
            <w:r w:rsidRPr="00712E1C">
              <w:rPr>
                <w:lang w:val="fr-FR"/>
              </w:rPr>
              <w:t>G</w:t>
            </w:r>
            <w:r w:rsidR="00DD3433" w:rsidRPr="00712E1C">
              <w:rPr>
                <w:lang w:val="fr-FR"/>
              </w:rPr>
              <w:t>É</w:t>
            </w:r>
            <w:r w:rsidRPr="00712E1C">
              <w:rPr>
                <w:lang w:val="fr-FR"/>
              </w:rPr>
              <w:t>N</w:t>
            </w:r>
            <w:r w:rsidR="00DD3433" w:rsidRPr="00712E1C">
              <w:rPr>
                <w:lang w:val="fr-FR"/>
              </w:rPr>
              <w:t>É</w:t>
            </w:r>
            <w:r w:rsidRPr="00712E1C">
              <w:rPr>
                <w:lang w:val="fr-FR"/>
              </w:rPr>
              <w:t>RAL</w:t>
            </w:r>
            <w:r w:rsidR="00FF3CF1" w:rsidRPr="00712E1C">
              <w:rPr>
                <w:lang w:val="fr-FR"/>
              </w:rPr>
              <w:t>E</w:t>
            </w:r>
          </w:p>
          <w:p w14:paraId="306F3BD0" w14:textId="77777777" w:rsidR="00441083" w:rsidRPr="00712E1C" w:rsidRDefault="00441083">
            <w:pPr>
              <w:rPr>
                <w:lang w:val="fr-FR"/>
              </w:rPr>
            </w:pPr>
          </w:p>
          <w:p w14:paraId="36566C63" w14:textId="48DBAB1A" w:rsidR="00441083" w:rsidRPr="00712E1C" w:rsidRDefault="00E60D9C">
            <w:pPr>
              <w:rPr>
                <w:lang w:val="fr-FR"/>
              </w:rPr>
            </w:pPr>
            <w:r w:rsidRPr="00712E1C">
              <w:rPr>
                <w:lang w:val="fr-FR"/>
              </w:rPr>
              <w:fldChar w:fldCharType="begin"/>
            </w:r>
            <w:r w:rsidRPr="00712E1C">
              <w:rPr>
                <w:lang w:val="fr-FR"/>
              </w:rPr>
              <w:instrText xml:space="preserve"> DOCPROPERTY "Document number"  \* MERGEFORMAT </w:instrText>
            </w:r>
            <w:r w:rsidRPr="00712E1C">
              <w:rPr>
                <w:lang w:val="fr-FR"/>
              </w:rPr>
              <w:fldChar w:fldCharType="separate"/>
            </w:r>
            <w:r w:rsidR="00B63B73">
              <w:rPr>
                <w:lang w:val="fr-FR"/>
              </w:rPr>
              <w:t>UNEP/</w:t>
            </w:r>
            <w:proofErr w:type="spellStart"/>
            <w:r w:rsidR="00B63B73">
              <w:rPr>
                <w:lang w:val="fr-FR"/>
              </w:rPr>
              <w:t>OzL.Pro</w:t>
            </w:r>
            <w:proofErr w:type="spellEnd"/>
            <w:r w:rsidR="00B63B73">
              <w:rPr>
                <w:lang w:val="fr-FR"/>
              </w:rPr>
              <w:t>/</w:t>
            </w:r>
            <w:proofErr w:type="spellStart"/>
            <w:r w:rsidR="00B63B73">
              <w:rPr>
                <w:lang w:val="fr-FR"/>
              </w:rPr>
              <w:t>ExCom</w:t>
            </w:r>
            <w:proofErr w:type="spellEnd"/>
            <w:r w:rsidR="00B63B73">
              <w:rPr>
                <w:lang w:val="fr-FR"/>
              </w:rPr>
              <w:t>/91/26</w:t>
            </w:r>
            <w:r w:rsidRPr="00712E1C">
              <w:rPr>
                <w:lang w:val="fr-FR"/>
              </w:rPr>
              <w:fldChar w:fldCharType="end"/>
            </w:r>
          </w:p>
          <w:p w14:paraId="2C88E9EF" w14:textId="73AF2E11" w:rsidR="002F0B57" w:rsidRPr="00712E1C" w:rsidRDefault="002F0B57" w:rsidP="00C9547D">
            <w:pPr>
              <w:rPr>
                <w:lang w:val="fr-FR"/>
              </w:rPr>
            </w:pPr>
            <w:r w:rsidRPr="00712E1C">
              <w:rPr>
                <w:lang w:val="fr-FR"/>
              </w:rPr>
              <w:fldChar w:fldCharType="begin"/>
            </w:r>
            <w:r w:rsidRPr="00712E1C">
              <w:rPr>
                <w:lang w:val="fr-FR"/>
              </w:rPr>
              <w:instrText xml:space="preserve"> DOCPROPERTY "Revision date" \@ "d MMMM YYYY"  \* MERGEFORMAT </w:instrText>
            </w:r>
            <w:r w:rsidRPr="00712E1C">
              <w:rPr>
                <w:lang w:val="fr-FR"/>
              </w:rPr>
              <w:fldChar w:fldCharType="separate"/>
            </w:r>
            <w:r w:rsidR="00CF726C" w:rsidRPr="00712E1C">
              <w:rPr>
                <w:lang w:val="fr-FR"/>
              </w:rPr>
              <w:t>1</w:t>
            </w:r>
            <w:r w:rsidR="00712E1C">
              <w:rPr>
                <w:lang w:val="fr-FR"/>
              </w:rPr>
              <w:t>2</w:t>
            </w:r>
            <w:r w:rsidR="00CF726C" w:rsidRPr="00712E1C">
              <w:rPr>
                <w:lang w:val="fr-FR"/>
              </w:rPr>
              <w:t xml:space="preserve"> </w:t>
            </w:r>
            <w:r w:rsidR="00712E1C">
              <w:rPr>
                <w:lang w:val="fr-FR"/>
              </w:rPr>
              <w:t>novembre</w:t>
            </w:r>
            <w:r w:rsidR="00CF726C" w:rsidRPr="00712E1C">
              <w:rPr>
                <w:lang w:val="fr-FR"/>
              </w:rPr>
              <w:t xml:space="preserve"> 2022</w:t>
            </w:r>
            <w:r w:rsidRPr="00712E1C">
              <w:rPr>
                <w:lang w:val="fr-FR"/>
              </w:rPr>
              <w:fldChar w:fldCharType="end"/>
            </w:r>
          </w:p>
          <w:p w14:paraId="1B8332BE" w14:textId="77777777" w:rsidR="00441083" w:rsidRPr="00712E1C" w:rsidRDefault="00FC5578">
            <w:pPr>
              <w:rPr>
                <w:caps/>
                <w:lang w:val="fr-FR"/>
              </w:rPr>
            </w:pPr>
            <w:r w:rsidRPr="00712E1C">
              <w:rPr>
                <w:caps/>
                <w:lang w:val="fr-FR"/>
              </w:rPr>
              <w:br/>
            </w:r>
            <w:r w:rsidR="00E60D9C" w:rsidRPr="00712E1C">
              <w:rPr>
                <w:caps/>
                <w:lang w:val="fr-FR"/>
              </w:rPr>
              <w:t>FRANÇAIS</w:t>
            </w:r>
          </w:p>
          <w:p w14:paraId="133E705A" w14:textId="77777777" w:rsidR="00441083" w:rsidRPr="00712E1C" w:rsidRDefault="00E60D9C">
            <w:pPr>
              <w:rPr>
                <w:lang w:val="fr-FR"/>
              </w:rPr>
            </w:pPr>
            <w:r w:rsidRPr="00712E1C">
              <w:rPr>
                <w:lang w:val="fr-FR"/>
              </w:rPr>
              <w:t xml:space="preserve">ORIGINAL: </w:t>
            </w:r>
            <w:r w:rsidR="0091161A" w:rsidRPr="00712E1C">
              <w:rPr>
                <w:lang w:val="fr-FR"/>
              </w:rPr>
              <w:t>ANGLAIS</w:t>
            </w:r>
          </w:p>
        </w:tc>
      </w:tr>
    </w:tbl>
    <w:p w14:paraId="2751020E" w14:textId="77777777" w:rsidR="00A97E14" w:rsidRPr="00712E1C" w:rsidRDefault="00A97E14" w:rsidP="00A97E14">
      <w:pPr>
        <w:jc w:val="left"/>
        <w:rPr>
          <w:lang w:val="fr-FR"/>
        </w:rPr>
      </w:pPr>
      <w:r w:rsidRPr="00712E1C">
        <w:rPr>
          <w:lang w:val="fr-FR"/>
        </w:rPr>
        <w:t xml:space="preserve">COMITÉ EXÉCUTIF </w:t>
      </w:r>
      <w:r w:rsidRPr="00712E1C">
        <w:rPr>
          <w:lang w:val="fr-FR"/>
        </w:rPr>
        <w:br/>
        <w:t xml:space="preserve">  DU FONDS MULTILATÉRAL AUX FINS </w:t>
      </w:r>
      <w:r w:rsidRPr="00712E1C">
        <w:rPr>
          <w:lang w:val="fr-FR"/>
        </w:rPr>
        <w:br/>
        <w:t xml:space="preserve">  D’APPLICATION DU PROTOCOLE DE MONTRÉAL</w:t>
      </w:r>
      <w:r w:rsidRPr="00712E1C">
        <w:rPr>
          <w:lang w:val="fr-FR"/>
        </w:rPr>
        <w:br/>
        <w:t>Quatre-vingt-</w:t>
      </w:r>
      <w:r w:rsidR="004D7878" w:rsidRPr="00712E1C">
        <w:rPr>
          <w:lang w:val="fr-FR"/>
        </w:rPr>
        <w:t>onz</w:t>
      </w:r>
      <w:r w:rsidR="00843511" w:rsidRPr="00712E1C">
        <w:rPr>
          <w:lang w:val="fr-FR"/>
        </w:rPr>
        <w:t>i</w:t>
      </w:r>
      <w:r w:rsidRPr="00712E1C">
        <w:rPr>
          <w:lang w:val="fr-FR"/>
        </w:rPr>
        <w:t>ème réunion</w:t>
      </w:r>
    </w:p>
    <w:p w14:paraId="69C8AB80" w14:textId="77777777" w:rsidR="00A97E14" w:rsidRPr="00712E1C" w:rsidRDefault="00A97E14" w:rsidP="00A97E14">
      <w:pPr>
        <w:jc w:val="left"/>
        <w:rPr>
          <w:lang w:val="fr-FR"/>
        </w:rPr>
      </w:pPr>
      <w:r w:rsidRPr="00712E1C">
        <w:rPr>
          <w:lang w:val="fr-FR"/>
        </w:rPr>
        <w:t xml:space="preserve">Montréal, </w:t>
      </w:r>
      <w:r w:rsidR="004D7878" w:rsidRPr="00712E1C">
        <w:rPr>
          <w:lang w:val="fr-FR"/>
        </w:rPr>
        <w:t>5-9 décembre</w:t>
      </w:r>
      <w:r w:rsidRPr="00712E1C">
        <w:rPr>
          <w:lang w:val="fr-FR"/>
        </w:rPr>
        <w:t xml:space="preserve"> 2022</w:t>
      </w:r>
    </w:p>
    <w:p w14:paraId="7A348F5F" w14:textId="77777777" w:rsidR="00712E1C" w:rsidRPr="00712E1C" w:rsidRDefault="00712E1C" w:rsidP="00712E1C">
      <w:pPr>
        <w:jc w:val="left"/>
        <w:rPr>
          <w:lang w:val="fr-FR"/>
        </w:rPr>
      </w:pPr>
      <w:r w:rsidRPr="00712E1C">
        <w:rPr>
          <w:lang w:val="fr-FR"/>
        </w:rPr>
        <w:t>Point 8(d)(iv) de l’ordre du jour provisoire</w:t>
      </w:r>
      <w:r w:rsidRPr="00712E1C">
        <w:rPr>
          <w:rStyle w:val="FootnoteReference"/>
          <w:lang w:val="fr-FR"/>
        </w:rPr>
        <w:footnoteReference w:id="1"/>
      </w:r>
    </w:p>
    <w:p w14:paraId="02A8700A" w14:textId="77777777" w:rsidR="00441083" w:rsidRPr="00712E1C" w:rsidRDefault="00441083">
      <w:pPr>
        <w:pStyle w:val="Title1"/>
        <w:rPr>
          <w:lang w:val="fr-FR"/>
        </w:rPr>
      </w:pPr>
    </w:p>
    <w:p w14:paraId="12DED061" w14:textId="77777777" w:rsidR="00843511" w:rsidRPr="00712E1C" w:rsidRDefault="00843511">
      <w:pPr>
        <w:pStyle w:val="Title1"/>
        <w:rPr>
          <w:lang w:val="fr-FR"/>
        </w:rPr>
      </w:pPr>
    </w:p>
    <w:p w14:paraId="08ECDB2E" w14:textId="77777777" w:rsidR="00441083" w:rsidRPr="00712E1C" w:rsidRDefault="00441083">
      <w:pPr>
        <w:pStyle w:val="Title1"/>
        <w:rPr>
          <w:lang w:val="fr-FR"/>
        </w:rPr>
      </w:pPr>
    </w:p>
    <w:p w14:paraId="14A37BBA" w14:textId="4AB8F776" w:rsidR="00712E1C" w:rsidRDefault="00B63B73" w:rsidP="00712E1C">
      <w:pPr>
        <w:pStyle w:val="Title2"/>
        <w:rPr>
          <w:caps w:val="0"/>
        </w:rPr>
      </w:pPr>
      <w:r w:rsidRPr="00712E1C">
        <w:rPr>
          <w:caps w:val="0"/>
        </w:rPr>
        <w:t>PLAN D’ACTIVITES DE L’ONUDI POUR LA PERIODE 2023–2025</w:t>
      </w:r>
    </w:p>
    <w:p w14:paraId="34FA5158" w14:textId="77777777" w:rsidR="006256C5" w:rsidRPr="00712E1C" w:rsidRDefault="006256C5" w:rsidP="00712E1C">
      <w:pPr>
        <w:pStyle w:val="Title2"/>
        <w:rPr>
          <w:caps w:val="0"/>
        </w:rPr>
      </w:pPr>
    </w:p>
    <w:p w14:paraId="5ECE47AA" w14:textId="77777777" w:rsidR="00712E1C" w:rsidRPr="00712E1C" w:rsidRDefault="00712E1C" w:rsidP="00712E1C">
      <w:pPr>
        <w:jc w:val="center"/>
        <w:rPr>
          <w:b/>
          <w:lang w:val="fr-FR"/>
        </w:rPr>
      </w:pPr>
    </w:p>
    <w:p w14:paraId="2AA02E55" w14:textId="77777777" w:rsidR="00712E1C" w:rsidRPr="00712E1C" w:rsidRDefault="00712E1C" w:rsidP="00712E1C">
      <w:pPr>
        <w:pStyle w:val="Heading1"/>
        <w:numPr>
          <w:ilvl w:val="0"/>
          <w:numId w:val="0"/>
        </w:numPr>
        <w:rPr>
          <w:b/>
          <w:bCs/>
          <w:sz w:val="24"/>
          <w:szCs w:val="24"/>
          <w:lang w:val="fr-FR"/>
        </w:rPr>
      </w:pPr>
      <w:r w:rsidRPr="00712E1C">
        <w:rPr>
          <w:b/>
          <w:sz w:val="24"/>
          <w:lang w:val="fr-FR"/>
        </w:rPr>
        <w:t>Introduction</w:t>
      </w:r>
    </w:p>
    <w:p w14:paraId="5E1E4A18" w14:textId="77777777" w:rsidR="00712E1C" w:rsidRPr="00712E1C" w:rsidRDefault="00712E1C" w:rsidP="00712E1C">
      <w:pPr>
        <w:pStyle w:val="Heading1"/>
        <w:rPr>
          <w:lang w:val="fr-FR"/>
        </w:rPr>
      </w:pPr>
      <w:r w:rsidRPr="00712E1C">
        <w:rPr>
          <w:lang w:val="fr-FR"/>
        </w:rPr>
        <w:t>Ce document présente le plan d’activités de l’ONUDI pour 2023–2025</w:t>
      </w:r>
      <w:r w:rsidRPr="00712E1C">
        <w:rPr>
          <w:rStyle w:val="FootnoteReference"/>
          <w:lang w:val="fr-FR"/>
        </w:rPr>
        <w:footnoteReference w:id="2"/>
      </w:r>
      <w:r w:rsidRPr="00712E1C">
        <w:rPr>
          <w:lang w:val="fr-FR"/>
        </w:rPr>
        <w:t xml:space="preserve"> et comprend les activités prévues pour la réduction des substances réglementées au titre du Protocole de Montréal pendant la période 2023–2025. Le descriptif du plan d’activités de l’ONUDI pour 2023–2025 est joint au présent document. </w:t>
      </w:r>
    </w:p>
    <w:p w14:paraId="4B0D650B" w14:textId="77777777" w:rsidR="00712E1C" w:rsidRPr="00712E1C" w:rsidRDefault="00712E1C" w:rsidP="00712E1C">
      <w:pPr>
        <w:pStyle w:val="Heading1"/>
        <w:rPr>
          <w:lang w:val="fr-FR"/>
        </w:rPr>
      </w:pPr>
      <w:r w:rsidRPr="00712E1C">
        <w:rPr>
          <w:lang w:val="fr-FR"/>
        </w:rPr>
        <w:t>Ce document comprend les sections suivantes :</w:t>
      </w:r>
    </w:p>
    <w:p w14:paraId="5BEA272B" w14:textId="77777777" w:rsidR="00712E1C" w:rsidRPr="00712E1C" w:rsidRDefault="00712E1C" w:rsidP="00712E1C">
      <w:pPr>
        <w:pStyle w:val="ListParagraph"/>
        <w:numPr>
          <w:ilvl w:val="0"/>
          <w:numId w:val="23"/>
        </w:numPr>
        <w:spacing w:after="240"/>
        <w:ind w:left="1570" w:hanging="778"/>
        <w:contextualSpacing w:val="0"/>
      </w:pPr>
      <w:r w:rsidRPr="00712E1C">
        <w:t>Activités prévues pendant la période 2023–2025</w:t>
      </w:r>
    </w:p>
    <w:p w14:paraId="40ED8419" w14:textId="77777777" w:rsidR="00712E1C" w:rsidRPr="00712E1C" w:rsidRDefault="00712E1C" w:rsidP="00712E1C">
      <w:pPr>
        <w:pStyle w:val="ListParagraph"/>
        <w:numPr>
          <w:ilvl w:val="0"/>
          <w:numId w:val="23"/>
        </w:numPr>
        <w:spacing w:after="240"/>
        <w:ind w:left="1570" w:hanging="778"/>
        <w:contextualSpacing w:val="0"/>
      </w:pPr>
      <w:r w:rsidRPr="00712E1C">
        <w:t>Observations du Secrétariat</w:t>
      </w:r>
    </w:p>
    <w:p w14:paraId="72F18700" w14:textId="77777777" w:rsidR="00712E1C" w:rsidRPr="00712E1C" w:rsidRDefault="00712E1C" w:rsidP="00712E1C">
      <w:pPr>
        <w:pStyle w:val="ListParagraph"/>
        <w:numPr>
          <w:ilvl w:val="0"/>
          <w:numId w:val="23"/>
        </w:numPr>
        <w:spacing w:after="240"/>
        <w:ind w:left="1570" w:hanging="778"/>
        <w:contextualSpacing w:val="0"/>
      </w:pPr>
      <w:r w:rsidRPr="00712E1C">
        <w:t>Ajustements proposés par le Secrétariat</w:t>
      </w:r>
    </w:p>
    <w:p w14:paraId="36D4F5A0" w14:textId="77777777" w:rsidR="00712E1C" w:rsidRPr="00712E1C" w:rsidRDefault="00712E1C" w:rsidP="00712E1C">
      <w:pPr>
        <w:pStyle w:val="ListParagraph"/>
        <w:numPr>
          <w:ilvl w:val="0"/>
          <w:numId w:val="23"/>
        </w:numPr>
        <w:spacing w:after="240"/>
        <w:ind w:left="1570" w:hanging="778"/>
        <w:contextualSpacing w:val="0"/>
      </w:pPr>
      <w:r w:rsidRPr="00712E1C">
        <w:t>Indicateurs de performance</w:t>
      </w:r>
    </w:p>
    <w:p w14:paraId="22DFC0E3" w14:textId="1685B483" w:rsidR="006256C5" w:rsidRDefault="00712E1C" w:rsidP="00712E1C">
      <w:pPr>
        <w:pStyle w:val="ListParagraph"/>
        <w:numPr>
          <w:ilvl w:val="0"/>
          <w:numId w:val="23"/>
        </w:numPr>
        <w:spacing w:after="240"/>
        <w:ind w:left="1570" w:hanging="778"/>
        <w:contextualSpacing w:val="0"/>
      </w:pPr>
      <w:r w:rsidRPr="00712E1C">
        <w:t>Recommandation</w:t>
      </w:r>
    </w:p>
    <w:p w14:paraId="226AB6BF" w14:textId="77777777" w:rsidR="006256C5" w:rsidRDefault="006256C5">
      <w:pPr>
        <w:jc w:val="left"/>
        <w:rPr>
          <w:lang w:val="fr-FR"/>
        </w:rPr>
      </w:pPr>
      <w:r>
        <w:br w:type="page"/>
      </w:r>
    </w:p>
    <w:p w14:paraId="7CF77C0F" w14:textId="77777777" w:rsidR="00712E1C" w:rsidRPr="00712E1C" w:rsidRDefault="00712E1C" w:rsidP="00712E1C">
      <w:pPr>
        <w:rPr>
          <w:b/>
          <w:bCs/>
          <w:sz w:val="24"/>
          <w:szCs w:val="24"/>
          <w:lang w:val="fr-FR"/>
        </w:rPr>
      </w:pPr>
      <w:r w:rsidRPr="00712E1C">
        <w:rPr>
          <w:b/>
          <w:sz w:val="24"/>
          <w:lang w:val="fr-FR"/>
        </w:rPr>
        <w:lastRenderedPageBreak/>
        <w:t>I.</w:t>
      </w:r>
      <w:r w:rsidRPr="00712E1C">
        <w:rPr>
          <w:b/>
          <w:sz w:val="24"/>
          <w:lang w:val="fr-FR"/>
        </w:rPr>
        <w:tab/>
        <w:t>Activités prévues pendant la période 2023–2025</w:t>
      </w:r>
    </w:p>
    <w:p w14:paraId="3D5F431C" w14:textId="77777777" w:rsidR="00712E1C" w:rsidRPr="00712E1C" w:rsidRDefault="00712E1C" w:rsidP="00712E1C">
      <w:pPr>
        <w:rPr>
          <w:lang w:val="fr-FR"/>
        </w:rPr>
      </w:pPr>
    </w:p>
    <w:p w14:paraId="0A9E6629" w14:textId="77777777" w:rsidR="00712E1C" w:rsidRPr="00712E1C" w:rsidRDefault="00712E1C" w:rsidP="00712E1C">
      <w:pPr>
        <w:pStyle w:val="Heading1"/>
        <w:rPr>
          <w:lang w:val="fr-FR"/>
        </w:rPr>
      </w:pPr>
      <w:r w:rsidRPr="00712E1C">
        <w:rPr>
          <w:lang w:val="fr-FR"/>
        </w:rPr>
        <w:t xml:space="preserve">Le tableau 1 présente, par année, la valeur des activités incluses dans le plan d’activités de l’ONUDI. </w:t>
      </w:r>
    </w:p>
    <w:p w14:paraId="79C1F654" w14:textId="77777777" w:rsidR="00712E1C" w:rsidRPr="00712E1C" w:rsidRDefault="00712E1C" w:rsidP="00712E1C">
      <w:pPr>
        <w:pStyle w:val="subhead"/>
        <w:keepNext/>
        <w:jc w:val="both"/>
        <w:rPr>
          <w:b/>
          <w:sz w:val="22"/>
          <w:szCs w:val="22"/>
        </w:rPr>
      </w:pPr>
      <w:r w:rsidRPr="00712E1C">
        <w:rPr>
          <w:b/>
          <w:sz w:val="22"/>
        </w:rPr>
        <w:t>Tableau 1. Répartition des ressources dans le plan d’activités de l’ONUDI pour la période 2023–2025 ($ US)* – tel que soumis</w:t>
      </w:r>
    </w:p>
    <w:tbl>
      <w:tblPr>
        <w:tblW w:w="9625" w:type="dxa"/>
        <w:tblLook w:val="04A0" w:firstRow="1" w:lastRow="0" w:firstColumn="1" w:lastColumn="0" w:noHBand="0" w:noVBand="1"/>
      </w:tblPr>
      <w:tblGrid>
        <w:gridCol w:w="3823"/>
        <w:gridCol w:w="1134"/>
        <w:gridCol w:w="1134"/>
        <w:gridCol w:w="1116"/>
        <w:gridCol w:w="1248"/>
        <w:gridCol w:w="1216"/>
      </w:tblGrid>
      <w:tr w:rsidR="00712E1C" w:rsidRPr="00712E1C" w14:paraId="73C6A135" w14:textId="77777777" w:rsidTr="007F2105">
        <w:trPr>
          <w:trHeight w:val="264"/>
        </w:trPr>
        <w:tc>
          <w:tcPr>
            <w:tcW w:w="3823" w:type="dxa"/>
            <w:tcBorders>
              <w:top w:val="single" w:sz="4" w:space="0" w:color="auto"/>
              <w:left w:val="single" w:sz="4" w:space="0" w:color="auto"/>
              <w:bottom w:val="single" w:sz="4" w:space="0" w:color="auto"/>
              <w:right w:val="single" w:sz="4" w:space="0" w:color="auto"/>
            </w:tcBorders>
            <w:shd w:val="clear" w:color="auto" w:fill="auto"/>
            <w:noWrap/>
            <w:hideMark/>
          </w:tcPr>
          <w:p w14:paraId="2113E0A4" w14:textId="77777777" w:rsidR="00712E1C" w:rsidRPr="00712E1C" w:rsidRDefault="00712E1C" w:rsidP="007F2105">
            <w:pPr>
              <w:keepNext/>
              <w:jc w:val="left"/>
              <w:rPr>
                <w:rFonts w:asciiTheme="majorBidi" w:hAnsiTheme="majorBidi" w:cstheme="majorBidi"/>
                <w:b/>
                <w:bCs/>
                <w:sz w:val="20"/>
                <w:szCs w:val="20"/>
                <w:lang w:val="fr-FR"/>
              </w:rPr>
            </w:pPr>
            <w:r w:rsidRPr="00712E1C">
              <w:rPr>
                <w:rFonts w:asciiTheme="majorBidi" w:hAnsiTheme="majorBidi"/>
                <w:b/>
                <w:sz w:val="20"/>
                <w:lang w:val="fr-FR"/>
              </w:rPr>
              <w:t>Description </w:t>
            </w:r>
          </w:p>
        </w:tc>
        <w:tc>
          <w:tcPr>
            <w:tcW w:w="1134" w:type="dxa"/>
            <w:tcBorders>
              <w:top w:val="single" w:sz="4" w:space="0" w:color="auto"/>
              <w:left w:val="nil"/>
              <w:bottom w:val="single" w:sz="4" w:space="0" w:color="auto"/>
              <w:right w:val="single" w:sz="4" w:space="0" w:color="auto"/>
            </w:tcBorders>
            <w:shd w:val="clear" w:color="auto" w:fill="auto"/>
            <w:noWrap/>
            <w:hideMark/>
          </w:tcPr>
          <w:p w14:paraId="129DAB41" w14:textId="77777777" w:rsidR="00712E1C" w:rsidRPr="00712E1C" w:rsidRDefault="00712E1C" w:rsidP="007F2105">
            <w:pPr>
              <w:keepNext/>
              <w:jc w:val="center"/>
              <w:rPr>
                <w:rFonts w:asciiTheme="majorBidi" w:hAnsiTheme="majorBidi" w:cstheme="majorBidi"/>
                <w:b/>
                <w:bCs/>
                <w:sz w:val="20"/>
                <w:szCs w:val="20"/>
                <w:lang w:val="fr-FR"/>
              </w:rPr>
            </w:pPr>
            <w:r w:rsidRPr="00712E1C">
              <w:rPr>
                <w:rFonts w:asciiTheme="majorBidi" w:hAnsiTheme="majorBidi"/>
                <w:b/>
                <w:sz w:val="20"/>
                <w:lang w:val="fr-FR"/>
              </w:rPr>
              <w:t>2023</w:t>
            </w:r>
          </w:p>
        </w:tc>
        <w:tc>
          <w:tcPr>
            <w:tcW w:w="1134" w:type="dxa"/>
            <w:tcBorders>
              <w:top w:val="single" w:sz="4" w:space="0" w:color="auto"/>
              <w:left w:val="nil"/>
              <w:bottom w:val="single" w:sz="4" w:space="0" w:color="auto"/>
              <w:right w:val="single" w:sz="4" w:space="0" w:color="auto"/>
            </w:tcBorders>
            <w:shd w:val="clear" w:color="auto" w:fill="auto"/>
            <w:noWrap/>
            <w:hideMark/>
          </w:tcPr>
          <w:p w14:paraId="45BF8E84" w14:textId="77777777" w:rsidR="00712E1C" w:rsidRPr="00712E1C" w:rsidRDefault="00712E1C" w:rsidP="007F2105">
            <w:pPr>
              <w:keepNext/>
              <w:jc w:val="center"/>
              <w:rPr>
                <w:rFonts w:asciiTheme="majorBidi" w:hAnsiTheme="majorBidi" w:cstheme="majorBidi"/>
                <w:b/>
                <w:bCs/>
                <w:sz w:val="20"/>
                <w:szCs w:val="20"/>
                <w:lang w:val="fr-FR"/>
              </w:rPr>
            </w:pPr>
            <w:r w:rsidRPr="00712E1C">
              <w:rPr>
                <w:rFonts w:asciiTheme="majorBidi" w:hAnsiTheme="majorBidi"/>
                <w:b/>
                <w:sz w:val="20"/>
                <w:lang w:val="fr-FR"/>
              </w:rPr>
              <w:t>2024</w:t>
            </w:r>
          </w:p>
        </w:tc>
        <w:tc>
          <w:tcPr>
            <w:tcW w:w="1116" w:type="dxa"/>
            <w:tcBorders>
              <w:top w:val="single" w:sz="4" w:space="0" w:color="auto"/>
              <w:left w:val="nil"/>
              <w:bottom w:val="single" w:sz="4" w:space="0" w:color="auto"/>
              <w:right w:val="single" w:sz="4" w:space="0" w:color="auto"/>
            </w:tcBorders>
            <w:shd w:val="clear" w:color="auto" w:fill="auto"/>
            <w:noWrap/>
            <w:hideMark/>
          </w:tcPr>
          <w:p w14:paraId="60CB36BE" w14:textId="77777777" w:rsidR="00712E1C" w:rsidRPr="00712E1C" w:rsidRDefault="00712E1C" w:rsidP="007F2105">
            <w:pPr>
              <w:keepNext/>
              <w:jc w:val="center"/>
              <w:rPr>
                <w:rFonts w:asciiTheme="majorBidi" w:hAnsiTheme="majorBidi" w:cstheme="majorBidi"/>
                <w:b/>
                <w:bCs/>
                <w:sz w:val="20"/>
                <w:szCs w:val="20"/>
                <w:lang w:val="fr-FR"/>
              </w:rPr>
            </w:pPr>
            <w:r w:rsidRPr="00712E1C">
              <w:rPr>
                <w:rFonts w:asciiTheme="majorBidi" w:hAnsiTheme="majorBidi"/>
                <w:b/>
                <w:sz w:val="20"/>
                <w:lang w:val="fr-FR"/>
              </w:rPr>
              <w:t>2025</w:t>
            </w:r>
          </w:p>
        </w:tc>
        <w:tc>
          <w:tcPr>
            <w:tcW w:w="12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EFFFA3A" w14:textId="77777777" w:rsidR="00712E1C" w:rsidRPr="00712E1C" w:rsidRDefault="00712E1C" w:rsidP="007F2105">
            <w:pPr>
              <w:keepNext/>
              <w:jc w:val="center"/>
              <w:rPr>
                <w:rFonts w:asciiTheme="majorBidi" w:hAnsiTheme="majorBidi" w:cstheme="majorBidi"/>
                <w:b/>
                <w:bCs/>
                <w:sz w:val="20"/>
                <w:szCs w:val="20"/>
                <w:lang w:val="fr-FR"/>
              </w:rPr>
            </w:pPr>
            <w:r w:rsidRPr="00712E1C">
              <w:rPr>
                <w:rFonts w:asciiTheme="majorBidi" w:hAnsiTheme="majorBidi"/>
                <w:b/>
                <w:sz w:val="20"/>
                <w:lang w:val="fr-FR"/>
              </w:rPr>
              <w:t xml:space="preserve">Total </w:t>
            </w:r>
          </w:p>
          <w:p w14:paraId="6D2F6FCA" w14:textId="77777777" w:rsidR="00712E1C" w:rsidRPr="00712E1C" w:rsidRDefault="00712E1C" w:rsidP="007F2105">
            <w:pPr>
              <w:keepNext/>
              <w:jc w:val="center"/>
              <w:rPr>
                <w:rFonts w:asciiTheme="majorBidi" w:hAnsiTheme="majorBidi" w:cstheme="majorBidi"/>
                <w:b/>
                <w:bCs/>
                <w:sz w:val="20"/>
                <w:szCs w:val="20"/>
                <w:lang w:val="fr-FR"/>
              </w:rPr>
            </w:pPr>
            <w:r w:rsidRPr="00712E1C">
              <w:rPr>
                <w:rFonts w:asciiTheme="majorBidi" w:hAnsiTheme="majorBidi"/>
                <w:b/>
                <w:sz w:val="20"/>
                <w:lang w:val="fr-FR"/>
              </w:rPr>
              <w:t>(2023–2025)</w:t>
            </w:r>
          </w:p>
        </w:tc>
        <w:tc>
          <w:tcPr>
            <w:tcW w:w="1170"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FE087CD" w14:textId="77777777" w:rsidR="00712E1C" w:rsidRPr="00712E1C" w:rsidRDefault="00712E1C" w:rsidP="007F2105">
            <w:pPr>
              <w:keepNext/>
              <w:jc w:val="center"/>
              <w:rPr>
                <w:rFonts w:asciiTheme="majorBidi" w:hAnsiTheme="majorBidi" w:cstheme="majorBidi"/>
                <w:b/>
                <w:bCs/>
                <w:sz w:val="20"/>
                <w:szCs w:val="20"/>
                <w:lang w:val="fr-FR"/>
              </w:rPr>
            </w:pPr>
            <w:r w:rsidRPr="00712E1C">
              <w:rPr>
                <w:rFonts w:asciiTheme="majorBidi" w:hAnsiTheme="majorBidi"/>
                <w:b/>
                <w:sz w:val="20"/>
                <w:lang w:val="fr-FR"/>
              </w:rPr>
              <w:t>Total après 2025</w:t>
            </w:r>
          </w:p>
        </w:tc>
      </w:tr>
      <w:tr w:rsidR="00712E1C" w:rsidRPr="00712E1C" w14:paraId="33E7A327" w14:textId="77777777" w:rsidTr="007F2105">
        <w:trPr>
          <w:trHeight w:val="61"/>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6235103" w14:textId="77777777" w:rsidR="00712E1C" w:rsidRPr="00712E1C" w:rsidRDefault="00712E1C" w:rsidP="007F2105">
            <w:pPr>
              <w:keepNext/>
              <w:jc w:val="left"/>
              <w:rPr>
                <w:rFonts w:asciiTheme="majorBidi" w:hAnsiTheme="majorBidi" w:cstheme="majorBidi"/>
                <w:b/>
                <w:bCs/>
                <w:sz w:val="20"/>
                <w:szCs w:val="20"/>
                <w:lang w:val="fr-FR"/>
              </w:rPr>
            </w:pPr>
            <w:r w:rsidRPr="00712E1C">
              <w:rPr>
                <w:rFonts w:asciiTheme="majorBidi" w:hAnsiTheme="majorBidi"/>
                <w:b/>
                <w:sz w:val="20"/>
                <w:lang w:val="fr-FR"/>
              </w:rPr>
              <w:t>Activités pour les HCFC</w:t>
            </w:r>
          </w:p>
        </w:tc>
      </w:tr>
      <w:tr w:rsidR="00712E1C" w:rsidRPr="00712E1C" w14:paraId="10B58762" w14:textId="77777777" w:rsidTr="007F2105">
        <w:trPr>
          <w:trHeight w:val="264"/>
        </w:trPr>
        <w:tc>
          <w:tcPr>
            <w:tcW w:w="3823" w:type="dxa"/>
            <w:tcBorders>
              <w:top w:val="nil"/>
              <w:left w:val="single" w:sz="4" w:space="0" w:color="auto"/>
              <w:bottom w:val="single" w:sz="4" w:space="0" w:color="auto"/>
              <w:right w:val="single" w:sz="4" w:space="0" w:color="auto"/>
            </w:tcBorders>
            <w:shd w:val="clear" w:color="auto" w:fill="auto"/>
            <w:noWrap/>
            <w:hideMark/>
          </w:tcPr>
          <w:p w14:paraId="586AD872" w14:textId="77777777" w:rsidR="00712E1C" w:rsidRPr="00712E1C" w:rsidRDefault="00712E1C" w:rsidP="007F2105">
            <w:pPr>
              <w:keepNext/>
              <w:jc w:val="left"/>
              <w:rPr>
                <w:rFonts w:asciiTheme="majorBidi" w:hAnsiTheme="majorBidi" w:cstheme="majorBidi"/>
                <w:sz w:val="20"/>
                <w:szCs w:val="20"/>
                <w:lang w:val="fr-FR"/>
              </w:rPr>
            </w:pPr>
            <w:r w:rsidRPr="00712E1C">
              <w:rPr>
                <w:rFonts w:asciiTheme="majorBidi" w:hAnsiTheme="majorBidi"/>
                <w:sz w:val="20"/>
                <w:lang w:val="fr-FR"/>
              </w:rPr>
              <w:t>Plans de gestion de l’élimination des HCFC (PGEH) approuvés</w:t>
            </w:r>
          </w:p>
        </w:tc>
        <w:tc>
          <w:tcPr>
            <w:tcW w:w="1134" w:type="dxa"/>
            <w:tcBorders>
              <w:top w:val="nil"/>
              <w:left w:val="nil"/>
              <w:bottom w:val="single" w:sz="4" w:space="0" w:color="auto"/>
              <w:right w:val="single" w:sz="4" w:space="0" w:color="auto"/>
            </w:tcBorders>
            <w:shd w:val="clear" w:color="auto" w:fill="auto"/>
            <w:noWrap/>
            <w:hideMark/>
          </w:tcPr>
          <w:p w14:paraId="15FE7FFB" w14:textId="77777777" w:rsidR="00712E1C" w:rsidRPr="00712E1C" w:rsidRDefault="00712E1C" w:rsidP="007F2105">
            <w:pPr>
              <w:keepNext/>
              <w:jc w:val="right"/>
              <w:rPr>
                <w:rFonts w:asciiTheme="majorBidi" w:hAnsiTheme="majorBidi" w:cstheme="majorBidi"/>
                <w:sz w:val="20"/>
                <w:szCs w:val="20"/>
                <w:lang w:val="fr-FR"/>
              </w:rPr>
            </w:pPr>
            <w:r w:rsidRPr="00712E1C">
              <w:rPr>
                <w:rFonts w:asciiTheme="majorBidi" w:hAnsiTheme="majorBidi"/>
                <w:sz w:val="20"/>
                <w:lang w:val="fr-FR"/>
              </w:rPr>
              <w:t>24 155 605</w:t>
            </w:r>
          </w:p>
        </w:tc>
        <w:tc>
          <w:tcPr>
            <w:tcW w:w="1134" w:type="dxa"/>
            <w:tcBorders>
              <w:top w:val="nil"/>
              <w:left w:val="nil"/>
              <w:bottom w:val="single" w:sz="4" w:space="0" w:color="auto"/>
              <w:right w:val="single" w:sz="4" w:space="0" w:color="auto"/>
            </w:tcBorders>
            <w:shd w:val="clear" w:color="auto" w:fill="auto"/>
            <w:noWrap/>
            <w:hideMark/>
          </w:tcPr>
          <w:p w14:paraId="5F808F9B" w14:textId="77777777" w:rsidR="00712E1C" w:rsidRPr="00712E1C" w:rsidRDefault="00712E1C" w:rsidP="007F2105">
            <w:pPr>
              <w:keepNext/>
              <w:jc w:val="right"/>
              <w:rPr>
                <w:rFonts w:asciiTheme="majorBidi" w:hAnsiTheme="majorBidi" w:cstheme="majorBidi"/>
                <w:sz w:val="20"/>
                <w:szCs w:val="20"/>
                <w:lang w:val="fr-FR"/>
              </w:rPr>
            </w:pPr>
            <w:r w:rsidRPr="00712E1C">
              <w:rPr>
                <w:rFonts w:asciiTheme="majorBidi" w:hAnsiTheme="majorBidi"/>
                <w:sz w:val="20"/>
                <w:lang w:val="fr-FR"/>
              </w:rPr>
              <w:t>5 954 833</w:t>
            </w:r>
          </w:p>
        </w:tc>
        <w:tc>
          <w:tcPr>
            <w:tcW w:w="1116" w:type="dxa"/>
            <w:tcBorders>
              <w:top w:val="nil"/>
              <w:left w:val="nil"/>
              <w:bottom w:val="single" w:sz="4" w:space="0" w:color="auto"/>
              <w:right w:val="single" w:sz="4" w:space="0" w:color="auto"/>
            </w:tcBorders>
            <w:shd w:val="clear" w:color="auto" w:fill="auto"/>
            <w:noWrap/>
            <w:hideMark/>
          </w:tcPr>
          <w:p w14:paraId="62121BD3" w14:textId="77777777" w:rsidR="00712E1C" w:rsidRPr="00712E1C" w:rsidRDefault="00712E1C" w:rsidP="007F2105">
            <w:pPr>
              <w:keepNext/>
              <w:jc w:val="right"/>
              <w:rPr>
                <w:rFonts w:asciiTheme="majorBidi" w:hAnsiTheme="majorBidi" w:cstheme="majorBidi"/>
                <w:sz w:val="20"/>
                <w:szCs w:val="20"/>
                <w:lang w:val="fr-FR"/>
              </w:rPr>
            </w:pPr>
            <w:r w:rsidRPr="00712E1C">
              <w:rPr>
                <w:rFonts w:asciiTheme="majorBidi" w:hAnsiTheme="majorBidi"/>
                <w:sz w:val="20"/>
                <w:lang w:val="fr-FR"/>
              </w:rPr>
              <w:t>17 754 079</w:t>
            </w:r>
          </w:p>
        </w:tc>
        <w:tc>
          <w:tcPr>
            <w:tcW w:w="1248" w:type="dxa"/>
            <w:tcBorders>
              <w:top w:val="nil"/>
              <w:left w:val="nil"/>
              <w:bottom w:val="single" w:sz="4" w:space="0" w:color="auto"/>
              <w:right w:val="single" w:sz="4" w:space="0" w:color="auto"/>
            </w:tcBorders>
            <w:shd w:val="clear" w:color="auto" w:fill="auto"/>
            <w:noWrap/>
            <w:hideMark/>
          </w:tcPr>
          <w:p w14:paraId="6BC26AC8" w14:textId="77777777" w:rsidR="00712E1C" w:rsidRPr="00712E1C" w:rsidRDefault="00712E1C" w:rsidP="007F2105">
            <w:pPr>
              <w:keepNext/>
              <w:jc w:val="right"/>
              <w:rPr>
                <w:rFonts w:asciiTheme="majorBidi" w:hAnsiTheme="majorBidi" w:cstheme="majorBidi"/>
                <w:sz w:val="20"/>
                <w:szCs w:val="20"/>
                <w:lang w:val="fr-FR"/>
              </w:rPr>
            </w:pPr>
            <w:r w:rsidRPr="00712E1C">
              <w:rPr>
                <w:rFonts w:asciiTheme="majorBidi" w:hAnsiTheme="majorBidi"/>
                <w:sz w:val="20"/>
                <w:lang w:val="fr-FR"/>
              </w:rPr>
              <w:t>47 864 517</w:t>
            </w:r>
          </w:p>
        </w:tc>
        <w:tc>
          <w:tcPr>
            <w:tcW w:w="1170" w:type="dxa"/>
            <w:tcBorders>
              <w:top w:val="nil"/>
              <w:left w:val="nil"/>
              <w:bottom w:val="single" w:sz="4" w:space="0" w:color="auto"/>
              <w:right w:val="single" w:sz="4" w:space="0" w:color="auto"/>
            </w:tcBorders>
            <w:shd w:val="clear" w:color="auto" w:fill="auto"/>
            <w:noWrap/>
            <w:hideMark/>
          </w:tcPr>
          <w:p w14:paraId="1C876189" w14:textId="77777777" w:rsidR="00712E1C" w:rsidRPr="00712E1C" w:rsidRDefault="00712E1C" w:rsidP="007F2105">
            <w:pPr>
              <w:keepNext/>
              <w:jc w:val="right"/>
              <w:rPr>
                <w:rFonts w:asciiTheme="majorBidi" w:hAnsiTheme="majorBidi" w:cstheme="majorBidi"/>
                <w:sz w:val="20"/>
                <w:szCs w:val="20"/>
                <w:lang w:val="fr-FR"/>
              </w:rPr>
            </w:pPr>
            <w:r w:rsidRPr="00712E1C">
              <w:rPr>
                <w:rFonts w:asciiTheme="majorBidi" w:hAnsiTheme="majorBidi"/>
                <w:sz w:val="20"/>
                <w:lang w:val="fr-FR"/>
              </w:rPr>
              <w:t>21 398 881</w:t>
            </w:r>
          </w:p>
        </w:tc>
      </w:tr>
      <w:tr w:rsidR="00712E1C" w:rsidRPr="00712E1C" w14:paraId="29CCEE1E" w14:textId="77777777" w:rsidTr="007F2105">
        <w:trPr>
          <w:trHeight w:val="70"/>
        </w:trPr>
        <w:tc>
          <w:tcPr>
            <w:tcW w:w="3823" w:type="dxa"/>
            <w:tcBorders>
              <w:top w:val="nil"/>
              <w:left w:val="single" w:sz="4" w:space="0" w:color="auto"/>
              <w:bottom w:val="single" w:sz="4" w:space="0" w:color="auto"/>
              <w:right w:val="single" w:sz="4" w:space="0" w:color="auto"/>
            </w:tcBorders>
            <w:shd w:val="clear" w:color="auto" w:fill="auto"/>
            <w:noWrap/>
            <w:hideMark/>
          </w:tcPr>
          <w:p w14:paraId="1F178070"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Préparation du projet (PRP) de PGEH – phase II</w:t>
            </w:r>
          </w:p>
        </w:tc>
        <w:tc>
          <w:tcPr>
            <w:tcW w:w="1134" w:type="dxa"/>
            <w:tcBorders>
              <w:top w:val="nil"/>
              <w:left w:val="nil"/>
              <w:bottom w:val="single" w:sz="4" w:space="0" w:color="auto"/>
              <w:right w:val="single" w:sz="4" w:space="0" w:color="auto"/>
            </w:tcBorders>
            <w:shd w:val="clear" w:color="auto" w:fill="auto"/>
            <w:noWrap/>
            <w:hideMark/>
          </w:tcPr>
          <w:p w14:paraId="63A7074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28 890</w:t>
            </w:r>
          </w:p>
        </w:tc>
        <w:tc>
          <w:tcPr>
            <w:tcW w:w="1134" w:type="dxa"/>
            <w:tcBorders>
              <w:top w:val="nil"/>
              <w:left w:val="nil"/>
              <w:bottom w:val="single" w:sz="4" w:space="0" w:color="auto"/>
              <w:right w:val="single" w:sz="4" w:space="0" w:color="auto"/>
            </w:tcBorders>
            <w:shd w:val="clear" w:color="auto" w:fill="auto"/>
            <w:noWrap/>
            <w:hideMark/>
          </w:tcPr>
          <w:p w14:paraId="19CE15CB"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26 750</w:t>
            </w:r>
          </w:p>
        </w:tc>
        <w:tc>
          <w:tcPr>
            <w:tcW w:w="1116" w:type="dxa"/>
            <w:tcBorders>
              <w:top w:val="nil"/>
              <w:left w:val="nil"/>
              <w:bottom w:val="single" w:sz="4" w:space="0" w:color="auto"/>
              <w:right w:val="single" w:sz="4" w:space="0" w:color="auto"/>
            </w:tcBorders>
            <w:shd w:val="clear" w:color="auto" w:fill="auto"/>
            <w:noWrap/>
            <w:hideMark/>
          </w:tcPr>
          <w:p w14:paraId="1226C3A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48" w:type="dxa"/>
            <w:tcBorders>
              <w:top w:val="nil"/>
              <w:left w:val="nil"/>
              <w:bottom w:val="single" w:sz="4" w:space="0" w:color="auto"/>
              <w:right w:val="single" w:sz="4" w:space="0" w:color="auto"/>
            </w:tcBorders>
            <w:shd w:val="clear" w:color="auto" w:fill="auto"/>
            <w:noWrap/>
            <w:hideMark/>
          </w:tcPr>
          <w:p w14:paraId="742D566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55 640</w:t>
            </w:r>
          </w:p>
        </w:tc>
        <w:tc>
          <w:tcPr>
            <w:tcW w:w="1170" w:type="dxa"/>
            <w:tcBorders>
              <w:top w:val="nil"/>
              <w:left w:val="nil"/>
              <w:bottom w:val="single" w:sz="4" w:space="0" w:color="auto"/>
              <w:right w:val="single" w:sz="4" w:space="0" w:color="auto"/>
            </w:tcBorders>
            <w:shd w:val="clear" w:color="auto" w:fill="auto"/>
            <w:noWrap/>
            <w:hideMark/>
          </w:tcPr>
          <w:p w14:paraId="0A59959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4E1FE87F" w14:textId="77777777" w:rsidTr="007F2105">
        <w:trPr>
          <w:trHeight w:val="103"/>
        </w:trPr>
        <w:tc>
          <w:tcPr>
            <w:tcW w:w="3823" w:type="dxa"/>
            <w:tcBorders>
              <w:top w:val="nil"/>
              <w:left w:val="single" w:sz="4" w:space="0" w:color="auto"/>
              <w:bottom w:val="single" w:sz="4" w:space="0" w:color="auto"/>
              <w:right w:val="single" w:sz="4" w:space="0" w:color="auto"/>
            </w:tcBorders>
            <w:shd w:val="clear" w:color="auto" w:fill="auto"/>
            <w:noWrap/>
            <w:hideMark/>
          </w:tcPr>
          <w:p w14:paraId="35D7BF14"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 xml:space="preserve">PGEH phase II </w:t>
            </w:r>
          </w:p>
        </w:tc>
        <w:tc>
          <w:tcPr>
            <w:tcW w:w="1134" w:type="dxa"/>
            <w:tcBorders>
              <w:top w:val="nil"/>
              <w:left w:val="nil"/>
              <w:bottom w:val="single" w:sz="4" w:space="0" w:color="auto"/>
              <w:right w:val="single" w:sz="4" w:space="0" w:color="auto"/>
            </w:tcBorders>
            <w:shd w:val="clear" w:color="auto" w:fill="auto"/>
            <w:noWrap/>
            <w:hideMark/>
          </w:tcPr>
          <w:p w14:paraId="30CA355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1 579 503</w:t>
            </w:r>
          </w:p>
        </w:tc>
        <w:tc>
          <w:tcPr>
            <w:tcW w:w="1134" w:type="dxa"/>
            <w:tcBorders>
              <w:top w:val="nil"/>
              <w:left w:val="nil"/>
              <w:bottom w:val="single" w:sz="4" w:space="0" w:color="auto"/>
              <w:right w:val="single" w:sz="4" w:space="0" w:color="auto"/>
            </w:tcBorders>
            <w:shd w:val="clear" w:color="auto" w:fill="auto"/>
            <w:noWrap/>
            <w:hideMark/>
          </w:tcPr>
          <w:p w14:paraId="586DF51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7 951 229</w:t>
            </w:r>
          </w:p>
        </w:tc>
        <w:tc>
          <w:tcPr>
            <w:tcW w:w="1116" w:type="dxa"/>
            <w:tcBorders>
              <w:top w:val="nil"/>
              <w:left w:val="nil"/>
              <w:bottom w:val="single" w:sz="4" w:space="0" w:color="auto"/>
              <w:right w:val="single" w:sz="4" w:space="0" w:color="auto"/>
            </w:tcBorders>
            <w:shd w:val="clear" w:color="auto" w:fill="auto"/>
            <w:noWrap/>
            <w:hideMark/>
          </w:tcPr>
          <w:p w14:paraId="0D6172EB"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2 573 377</w:t>
            </w:r>
          </w:p>
        </w:tc>
        <w:tc>
          <w:tcPr>
            <w:tcW w:w="1248" w:type="dxa"/>
            <w:tcBorders>
              <w:top w:val="nil"/>
              <w:left w:val="nil"/>
              <w:bottom w:val="single" w:sz="4" w:space="0" w:color="auto"/>
              <w:right w:val="single" w:sz="4" w:space="0" w:color="auto"/>
            </w:tcBorders>
            <w:shd w:val="clear" w:color="auto" w:fill="auto"/>
            <w:noWrap/>
            <w:hideMark/>
          </w:tcPr>
          <w:p w14:paraId="6E824DE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12 104 109</w:t>
            </w:r>
          </w:p>
        </w:tc>
        <w:tc>
          <w:tcPr>
            <w:tcW w:w="1170" w:type="dxa"/>
            <w:tcBorders>
              <w:top w:val="nil"/>
              <w:left w:val="nil"/>
              <w:bottom w:val="single" w:sz="4" w:space="0" w:color="auto"/>
              <w:right w:val="single" w:sz="4" w:space="0" w:color="auto"/>
            </w:tcBorders>
            <w:shd w:val="clear" w:color="auto" w:fill="auto"/>
            <w:noWrap/>
            <w:hideMark/>
          </w:tcPr>
          <w:p w14:paraId="17F2868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35 195 286</w:t>
            </w:r>
          </w:p>
        </w:tc>
      </w:tr>
      <w:tr w:rsidR="00712E1C" w:rsidRPr="00712E1C" w14:paraId="636BFF57" w14:textId="77777777" w:rsidTr="007F2105">
        <w:trPr>
          <w:trHeight w:val="149"/>
        </w:trPr>
        <w:tc>
          <w:tcPr>
            <w:tcW w:w="3823" w:type="dxa"/>
            <w:tcBorders>
              <w:top w:val="nil"/>
              <w:left w:val="single" w:sz="4" w:space="0" w:color="auto"/>
              <w:bottom w:val="single" w:sz="4" w:space="0" w:color="auto"/>
              <w:right w:val="single" w:sz="4" w:space="0" w:color="auto"/>
            </w:tcBorders>
            <w:shd w:val="clear" w:color="auto" w:fill="auto"/>
            <w:noWrap/>
            <w:hideMark/>
          </w:tcPr>
          <w:p w14:paraId="392728DA"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PGEH phase II – investissement</w:t>
            </w:r>
          </w:p>
        </w:tc>
        <w:tc>
          <w:tcPr>
            <w:tcW w:w="1134" w:type="dxa"/>
            <w:tcBorders>
              <w:top w:val="nil"/>
              <w:left w:val="nil"/>
              <w:bottom w:val="single" w:sz="4" w:space="0" w:color="auto"/>
              <w:right w:val="single" w:sz="4" w:space="0" w:color="auto"/>
            </w:tcBorders>
            <w:shd w:val="clear" w:color="auto" w:fill="auto"/>
            <w:noWrap/>
            <w:hideMark/>
          </w:tcPr>
          <w:p w14:paraId="2E570F6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134" w:type="dxa"/>
            <w:tcBorders>
              <w:top w:val="nil"/>
              <w:left w:val="nil"/>
              <w:bottom w:val="single" w:sz="4" w:space="0" w:color="auto"/>
              <w:right w:val="single" w:sz="4" w:space="0" w:color="auto"/>
            </w:tcBorders>
            <w:shd w:val="clear" w:color="auto" w:fill="auto"/>
            <w:noWrap/>
            <w:hideMark/>
          </w:tcPr>
          <w:p w14:paraId="5CF7DFC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248 532</w:t>
            </w:r>
          </w:p>
        </w:tc>
        <w:tc>
          <w:tcPr>
            <w:tcW w:w="1116" w:type="dxa"/>
            <w:tcBorders>
              <w:top w:val="nil"/>
              <w:left w:val="nil"/>
              <w:bottom w:val="single" w:sz="4" w:space="0" w:color="auto"/>
              <w:right w:val="single" w:sz="4" w:space="0" w:color="auto"/>
            </w:tcBorders>
            <w:shd w:val="clear" w:color="auto" w:fill="auto"/>
            <w:noWrap/>
            <w:hideMark/>
          </w:tcPr>
          <w:p w14:paraId="2C51AA71"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48" w:type="dxa"/>
            <w:tcBorders>
              <w:top w:val="nil"/>
              <w:left w:val="nil"/>
              <w:bottom w:val="single" w:sz="4" w:space="0" w:color="auto"/>
              <w:right w:val="single" w:sz="4" w:space="0" w:color="auto"/>
            </w:tcBorders>
            <w:shd w:val="clear" w:color="auto" w:fill="auto"/>
            <w:noWrap/>
            <w:hideMark/>
          </w:tcPr>
          <w:p w14:paraId="54048B43"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248 532</w:t>
            </w:r>
          </w:p>
        </w:tc>
        <w:tc>
          <w:tcPr>
            <w:tcW w:w="1170" w:type="dxa"/>
            <w:tcBorders>
              <w:top w:val="nil"/>
              <w:left w:val="nil"/>
              <w:bottom w:val="single" w:sz="4" w:space="0" w:color="auto"/>
              <w:right w:val="single" w:sz="4" w:space="0" w:color="auto"/>
            </w:tcBorders>
            <w:shd w:val="clear" w:color="auto" w:fill="auto"/>
            <w:noWrap/>
            <w:hideMark/>
          </w:tcPr>
          <w:p w14:paraId="4D5F7DD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248 532</w:t>
            </w:r>
          </w:p>
        </w:tc>
      </w:tr>
      <w:tr w:rsidR="00712E1C" w:rsidRPr="00712E1C" w14:paraId="00E48463" w14:textId="77777777" w:rsidTr="007F2105">
        <w:trPr>
          <w:trHeight w:val="194"/>
        </w:trPr>
        <w:tc>
          <w:tcPr>
            <w:tcW w:w="3823" w:type="dxa"/>
            <w:tcBorders>
              <w:top w:val="nil"/>
              <w:left w:val="single" w:sz="4" w:space="0" w:color="auto"/>
              <w:bottom w:val="single" w:sz="4" w:space="0" w:color="auto"/>
              <w:right w:val="single" w:sz="4" w:space="0" w:color="auto"/>
            </w:tcBorders>
            <w:shd w:val="clear" w:color="auto" w:fill="auto"/>
            <w:noWrap/>
            <w:hideMark/>
          </w:tcPr>
          <w:p w14:paraId="412FA311"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PRP PGEH – phase III</w:t>
            </w:r>
          </w:p>
        </w:tc>
        <w:tc>
          <w:tcPr>
            <w:tcW w:w="1134" w:type="dxa"/>
            <w:tcBorders>
              <w:top w:val="nil"/>
              <w:left w:val="nil"/>
              <w:bottom w:val="single" w:sz="4" w:space="0" w:color="auto"/>
              <w:right w:val="single" w:sz="4" w:space="0" w:color="auto"/>
            </w:tcBorders>
            <w:shd w:val="clear" w:color="auto" w:fill="auto"/>
            <w:noWrap/>
            <w:hideMark/>
          </w:tcPr>
          <w:p w14:paraId="5B8FA3A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42 800</w:t>
            </w:r>
          </w:p>
        </w:tc>
        <w:tc>
          <w:tcPr>
            <w:tcW w:w="1134" w:type="dxa"/>
            <w:tcBorders>
              <w:top w:val="nil"/>
              <w:left w:val="nil"/>
              <w:bottom w:val="single" w:sz="4" w:space="0" w:color="auto"/>
              <w:right w:val="single" w:sz="4" w:space="0" w:color="auto"/>
            </w:tcBorders>
            <w:shd w:val="clear" w:color="auto" w:fill="auto"/>
            <w:noWrap/>
            <w:hideMark/>
          </w:tcPr>
          <w:p w14:paraId="3087489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58 850</w:t>
            </w:r>
          </w:p>
        </w:tc>
        <w:tc>
          <w:tcPr>
            <w:tcW w:w="1116" w:type="dxa"/>
            <w:tcBorders>
              <w:top w:val="nil"/>
              <w:left w:val="nil"/>
              <w:bottom w:val="single" w:sz="4" w:space="0" w:color="auto"/>
              <w:right w:val="single" w:sz="4" w:space="0" w:color="auto"/>
            </w:tcBorders>
            <w:shd w:val="clear" w:color="auto" w:fill="auto"/>
            <w:noWrap/>
            <w:hideMark/>
          </w:tcPr>
          <w:p w14:paraId="50F99948"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48" w:type="dxa"/>
            <w:tcBorders>
              <w:top w:val="nil"/>
              <w:left w:val="nil"/>
              <w:bottom w:val="single" w:sz="4" w:space="0" w:color="auto"/>
              <w:right w:val="single" w:sz="4" w:space="0" w:color="auto"/>
            </w:tcBorders>
            <w:shd w:val="clear" w:color="auto" w:fill="auto"/>
            <w:noWrap/>
            <w:hideMark/>
          </w:tcPr>
          <w:p w14:paraId="127A4EB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101 650</w:t>
            </w:r>
          </w:p>
        </w:tc>
        <w:tc>
          <w:tcPr>
            <w:tcW w:w="1170" w:type="dxa"/>
            <w:tcBorders>
              <w:top w:val="nil"/>
              <w:left w:val="nil"/>
              <w:bottom w:val="single" w:sz="4" w:space="0" w:color="auto"/>
              <w:right w:val="single" w:sz="4" w:space="0" w:color="auto"/>
            </w:tcBorders>
            <w:shd w:val="clear" w:color="auto" w:fill="auto"/>
            <w:noWrap/>
            <w:hideMark/>
          </w:tcPr>
          <w:p w14:paraId="792AFAC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55A44B12" w14:textId="77777777" w:rsidTr="007F2105">
        <w:trPr>
          <w:trHeight w:val="99"/>
        </w:trPr>
        <w:tc>
          <w:tcPr>
            <w:tcW w:w="3823" w:type="dxa"/>
            <w:tcBorders>
              <w:top w:val="nil"/>
              <w:left w:val="single" w:sz="4" w:space="0" w:color="auto"/>
              <w:bottom w:val="single" w:sz="4" w:space="0" w:color="auto"/>
              <w:right w:val="single" w:sz="4" w:space="0" w:color="auto"/>
            </w:tcBorders>
            <w:shd w:val="clear" w:color="auto" w:fill="auto"/>
            <w:noWrap/>
            <w:hideMark/>
          </w:tcPr>
          <w:p w14:paraId="59B76B75"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PGEH phase III</w:t>
            </w:r>
          </w:p>
        </w:tc>
        <w:tc>
          <w:tcPr>
            <w:tcW w:w="1134" w:type="dxa"/>
            <w:tcBorders>
              <w:top w:val="nil"/>
              <w:left w:val="nil"/>
              <w:bottom w:val="single" w:sz="4" w:space="0" w:color="auto"/>
              <w:right w:val="single" w:sz="4" w:space="0" w:color="auto"/>
            </w:tcBorders>
            <w:shd w:val="clear" w:color="auto" w:fill="auto"/>
            <w:noWrap/>
            <w:hideMark/>
          </w:tcPr>
          <w:p w14:paraId="6CA248C2"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4 945 955</w:t>
            </w:r>
          </w:p>
        </w:tc>
        <w:tc>
          <w:tcPr>
            <w:tcW w:w="1134" w:type="dxa"/>
            <w:tcBorders>
              <w:top w:val="nil"/>
              <w:left w:val="nil"/>
              <w:bottom w:val="single" w:sz="4" w:space="0" w:color="auto"/>
              <w:right w:val="single" w:sz="4" w:space="0" w:color="auto"/>
            </w:tcBorders>
            <w:shd w:val="clear" w:color="auto" w:fill="auto"/>
            <w:noWrap/>
            <w:hideMark/>
          </w:tcPr>
          <w:p w14:paraId="28CE3D4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4 471 278</w:t>
            </w:r>
          </w:p>
        </w:tc>
        <w:tc>
          <w:tcPr>
            <w:tcW w:w="1116" w:type="dxa"/>
            <w:tcBorders>
              <w:top w:val="nil"/>
              <w:left w:val="nil"/>
              <w:bottom w:val="single" w:sz="4" w:space="0" w:color="auto"/>
              <w:right w:val="single" w:sz="4" w:space="0" w:color="auto"/>
            </w:tcBorders>
            <w:shd w:val="clear" w:color="auto" w:fill="auto"/>
            <w:noWrap/>
            <w:hideMark/>
          </w:tcPr>
          <w:p w14:paraId="0B129283"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4 044 900</w:t>
            </w:r>
          </w:p>
        </w:tc>
        <w:tc>
          <w:tcPr>
            <w:tcW w:w="1248" w:type="dxa"/>
            <w:tcBorders>
              <w:top w:val="nil"/>
              <w:left w:val="nil"/>
              <w:bottom w:val="single" w:sz="4" w:space="0" w:color="auto"/>
              <w:right w:val="single" w:sz="4" w:space="0" w:color="auto"/>
            </w:tcBorders>
            <w:shd w:val="clear" w:color="auto" w:fill="auto"/>
            <w:noWrap/>
            <w:hideMark/>
          </w:tcPr>
          <w:p w14:paraId="628B4F6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13 462 133</w:t>
            </w:r>
          </w:p>
        </w:tc>
        <w:tc>
          <w:tcPr>
            <w:tcW w:w="1170" w:type="dxa"/>
            <w:tcBorders>
              <w:top w:val="nil"/>
              <w:left w:val="nil"/>
              <w:bottom w:val="single" w:sz="4" w:space="0" w:color="auto"/>
              <w:right w:val="single" w:sz="4" w:space="0" w:color="auto"/>
            </w:tcBorders>
            <w:shd w:val="clear" w:color="auto" w:fill="auto"/>
            <w:noWrap/>
            <w:hideMark/>
          </w:tcPr>
          <w:p w14:paraId="15721BE1"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30 489 276</w:t>
            </w:r>
          </w:p>
        </w:tc>
      </w:tr>
      <w:tr w:rsidR="00712E1C" w:rsidRPr="00712E1C" w14:paraId="71A9C88F" w14:textId="77777777" w:rsidTr="007F2105">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1AE0E48E"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PGEH – efficacité énergétique</w:t>
            </w:r>
          </w:p>
        </w:tc>
        <w:tc>
          <w:tcPr>
            <w:tcW w:w="1134" w:type="dxa"/>
            <w:tcBorders>
              <w:top w:val="nil"/>
              <w:left w:val="nil"/>
              <w:bottom w:val="single" w:sz="4" w:space="0" w:color="auto"/>
              <w:right w:val="single" w:sz="4" w:space="0" w:color="auto"/>
            </w:tcBorders>
            <w:shd w:val="clear" w:color="auto" w:fill="auto"/>
            <w:noWrap/>
            <w:hideMark/>
          </w:tcPr>
          <w:p w14:paraId="40ACEE75"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691 220</w:t>
            </w:r>
          </w:p>
        </w:tc>
        <w:tc>
          <w:tcPr>
            <w:tcW w:w="1134" w:type="dxa"/>
            <w:tcBorders>
              <w:top w:val="nil"/>
              <w:left w:val="nil"/>
              <w:bottom w:val="single" w:sz="4" w:space="0" w:color="auto"/>
              <w:right w:val="single" w:sz="4" w:space="0" w:color="auto"/>
            </w:tcBorders>
            <w:shd w:val="clear" w:color="auto" w:fill="auto"/>
            <w:noWrap/>
            <w:hideMark/>
          </w:tcPr>
          <w:p w14:paraId="4544D44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592 780</w:t>
            </w:r>
          </w:p>
        </w:tc>
        <w:tc>
          <w:tcPr>
            <w:tcW w:w="1116" w:type="dxa"/>
            <w:tcBorders>
              <w:top w:val="nil"/>
              <w:left w:val="nil"/>
              <w:bottom w:val="single" w:sz="4" w:space="0" w:color="auto"/>
              <w:right w:val="single" w:sz="4" w:space="0" w:color="auto"/>
            </w:tcBorders>
            <w:shd w:val="clear" w:color="auto" w:fill="auto"/>
            <w:noWrap/>
            <w:hideMark/>
          </w:tcPr>
          <w:p w14:paraId="7C91409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635 580</w:t>
            </w:r>
          </w:p>
        </w:tc>
        <w:tc>
          <w:tcPr>
            <w:tcW w:w="1248" w:type="dxa"/>
            <w:tcBorders>
              <w:top w:val="nil"/>
              <w:left w:val="nil"/>
              <w:bottom w:val="single" w:sz="4" w:space="0" w:color="auto"/>
              <w:right w:val="single" w:sz="4" w:space="0" w:color="auto"/>
            </w:tcBorders>
            <w:shd w:val="clear" w:color="auto" w:fill="auto"/>
            <w:noWrap/>
            <w:hideMark/>
          </w:tcPr>
          <w:p w14:paraId="6B690BD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1 919 580</w:t>
            </w:r>
          </w:p>
        </w:tc>
        <w:tc>
          <w:tcPr>
            <w:tcW w:w="1170" w:type="dxa"/>
            <w:tcBorders>
              <w:top w:val="nil"/>
              <w:left w:val="nil"/>
              <w:bottom w:val="single" w:sz="4" w:space="0" w:color="auto"/>
              <w:right w:val="single" w:sz="4" w:space="0" w:color="auto"/>
            </w:tcBorders>
            <w:shd w:val="clear" w:color="auto" w:fill="auto"/>
            <w:noWrap/>
            <w:hideMark/>
          </w:tcPr>
          <w:p w14:paraId="37F94A72"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70 620</w:t>
            </w:r>
          </w:p>
        </w:tc>
      </w:tr>
      <w:tr w:rsidR="00712E1C" w:rsidRPr="00712E1C" w14:paraId="2BA39179" w14:textId="77777777" w:rsidTr="007F2105">
        <w:trPr>
          <w:trHeight w:val="177"/>
        </w:trPr>
        <w:tc>
          <w:tcPr>
            <w:tcW w:w="3823" w:type="dxa"/>
            <w:tcBorders>
              <w:top w:val="nil"/>
              <w:left w:val="single" w:sz="4" w:space="0" w:color="auto"/>
              <w:bottom w:val="single" w:sz="4" w:space="0" w:color="auto"/>
              <w:right w:val="single" w:sz="4" w:space="0" w:color="auto"/>
            </w:tcBorders>
            <w:shd w:val="clear" w:color="auto" w:fill="auto"/>
            <w:noWrap/>
            <w:hideMark/>
          </w:tcPr>
          <w:p w14:paraId="19800B4A"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Assistance technique pour les HCFC</w:t>
            </w:r>
          </w:p>
        </w:tc>
        <w:tc>
          <w:tcPr>
            <w:tcW w:w="1134" w:type="dxa"/>
            <w:tcBorders>
              <w:top w:val="nil"/>
              <w:left w:val="nil"/>
              <w:bottom w:val="single" w:sz="4" w:space="0" w:color="auto"/>
              <w:right w:val="single" w:sz="4" w:space="0" w:color="auto"/>
            </w:tcBorders>
            <w:shd w:val="clear" w:color="auto" w:fill="auto"/>
            <w:noWrap/>
            <w:hideMark/>
          </w:tcPr>
          <w:p w14:paraId="603DDAB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535 000</w:t>
            </w:r>
          </w:p>
        </w:tc>
        <w:tc>
          <w:tcPr>
            <w:tcW w:w="1134" w:type="dxa"/>
            <w:tcBorders>
              <w:top w:val="nil"/>
              <w:left w:val="nil"/>
              <w:bottom w:val="single" w:sz="4" w:space="0" w:color="auto"/>
              <w:right w:val="single" w:sz="4" w:space="0" w:color="auto"/>
            </w:tcBorders>
            <w:shd w:val="clear" w:color="auto" w:fill="auto"/>
            <w:noWrap/>
            <w:hideMark/>
          </w:tcPr>
          <w:p w14:paraId="3FFD821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116" w:type="dxa"/>
            <w:tcBorders>
              <w:top w:val="nil"/>
              <w:left w:val="nil"/>
              <w:bottom w:val="single" w:sz="4" w:space="0" w:color="auto"/>
              <w:right w:val="single" w:sz="4" w:space="0" w:color="auto"/>
            </w:tcBorders>
            <w:shd w:val="clear" w:color="auto" w:fill="auto"/>
            <w:noWrap/>
            <w:hideMark/>
          </w:tcPr>
          <w:p w14:paraId="7B7488B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48" w:type="dxa"/>
            <w:tcBorders>
              <w:top w:val="nil"/>
              <w:left w:val="nil"/>
              <w:bottom w:val="single" w:sz="4" w:space="0" w:color="auto"/>
              <w:right w:val="single" w:sz="4" w:space="0" w:color="auto"/>
            </w:tcBorders>
            <w:shd w:val="clear" w:color="auto" w:fill="auto"/>
            <w:noWrap/>
            <w:hideMark/>
          </w:tcPr>
          <w:p w14:paraId="40AEB97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535 000</w:t>
            </w:r>
          </w:p>
        </w:tc>
        <w:tc>
          <w:tcPr>
            <w:tcW w:w="1170" w:type="dxa"/>
            <w:tcBorders>
              <w:top w:val="nil"/>
              <w:left w:val="nil"/>
              <w:bottom w:val="single" w:sz="4" w:space="0" w:color="auto"/>
              <w:right w:val="single" w:sz="4" w:space="0" w:color="auto"/>
            </w:tcBorders>
            <w:shd w:val="clear" w:color="auto" w:fill="auto"/>
            <w:noWrap/>
            <w:hideMark/>
          </w:tcPr>
          <w:p w14:paraId="0A0CE46B"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3B51B48F" w14:textId="77777777" w:rsidTr="007F2105">
        <w:trPr>
          <w:trHeight w:val="80"/>
        </w:trPr>
        <w:tc>
          <w:tcPr>
            <w:tcW w:w="3823" w:type="dxa"/>
            <w:tcBorders>
              <w:top w:val="nil"/>
              <w:left w:val="single" w:sz="4" w:space="0" w:color="auto"/>
              <w:bottom w:val="single" w:sz="4" w:space="0" w:color="auto"/>
              <w:right w:val="single" w:sz="4" w:space="0" w:color="auto"/>
            </w:tcBorders>
            <w:shd w:val="clear" w:color="auto" w:fill="auto"/>
            <w:noWrap/>
            <w:hideMark/>
          </w:tcPr>
          <w:p w14:paraId="3D109611"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Sous-total des activités pour les HCFC</w:t>
            </w:r>
          </w:p>
        </w:tc>
        <w:tc>
          <w:tcPr>
            <w:tcW w:w="1134" w:type="dxa"/>
            <w:tcBorders>
              <w:top w:val="nil"/>
              <w:left w:val="nil"/>
              <w:bottom w:val="single" w:sz="4" w:space="0" w:color="auto"/>
              <w:right w:val="single" w:sz="4" w:space="0" w:color="auto"/>
            </w:tcBorders>
            <w:shd w:val="clear" w:color="auto" w:fill="auto"/>
            <w:noWrap/>
            <w:hideMark/>
          </w:tcPr>
          <w:p w14:paraId="4059CC1D"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31 978 973</w:t>
            </w:r>
          </w:p>
        </w:tc>
        <w:tc>
          <w:tcPr>
            <w:tcW w:w="1134" w:type="dxa"/>
            <w:tcBorders>
              <w:top w:val="nil"/>
              <w:left w:val="nil"/>
              <w:bottom w:val="single" w:sz="4" w:space="0" w:color="auto"/>
              <w:right w:val="single" w:sz="4" w:space="0" w:color="auto"/>
            </w:tcBorders>
            <w:shd w:val="clear" w:color="auto" w:fill="auto"/>
            <w:noWrap/>
            <w:hideMark/>
          </w:tcPr>
          <w:p w14:paraId="4FF84861"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19 304 252</w:t>
            </w:r>
          </w:p>
        </w:tc>
        <w:tc>
          <w:tcPr>
            <w:tcW w:w="1116" w:type="dxa"/>
            <w:tcBorders>
              <w:top w:val="nil"/>
              <w:left w:val="nil"/>
              <w:bottom w:val="single" w:sz="4" w:space="0" w:color="auto"/>
              <w:right w:val="single" w:sz="4" w:space="0" w:color="auto"/>
            </w:tcBorders>
            <w:shd w:val="clear" w:color="auto" w:fill="auto"/>
            <w:noWrap/>
            <w:hideMark/>
          </w:tcPr>
          <w:p w14:paraId="02FD94E6"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25 007 936</w:t>
            </w:r>
          </w:p>
        </w:tc>
        <w:tc>
          <w:tcPr>
            <w:tcW w:w="1248" w:type="dxa"/>
            <w:tcBorders>
              <w:top w:val="nil"/>
              <w:left w:val="nil"/>
              <w:bottom w:val="single" w:sz="4" w:space="0" w:color="auto"/>
              <w:right w:val="single" w:sz="4" w:space="0" w:color="auto"/>
            </w:tcBorders>
            <w:shd w:val="clear" w:color="auto" w:fill="auto"/>
            <w:noWrap/>
            <w:hideMark/>
          </w:tcPr>
          <w:p w14:paraId="5545DEFF"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76 291 161</w:t>
            </w:r>
          </w:p>
        </w:tc>
        <w:tc>
          <w:tcPr>
            <w:tcW w:w="1170" w:type="dxa"/>
            <w:tcBorders>
              <w:top w:val="nil"/>
              <w:left w:val="nil"/>
              <w:bottom w:val="single" w:sz="4" w:space="0" w:color="auto"/>
              <w:right w:val="single" w:sz="4" w:space="0" w:color="auto"/>
            </w:tcBorders>
            <w:shd w:val="clear" w:color="auto" w:fill="auto"/>
            <w:noWrap/>
            <w:hideMark/>
          </w:tcPr>
          <w:p w14:paraId="7488B341"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87 402 595</w:t>
            </w:r>
          </w:p>
        </w:tc>
      </w:tr>
      <w:tr w:rsidR="00712E1C" w:rsidRPr="00712E1C" w14:paraId="3A9B5F71" w14:textId="77777777" w:rsidTr="007F2105">
        <w:trPr>
          <w:trHeight w:val="126"/>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88893D0"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Activités pour les HFC</w:t>
            </w:r>
          </w:p>
        </w:tc>
      </w:tr>
      <w:tr w:rsidR="00712E1C" w:rsidRPr="00712E1C" w14:paraId="1B5E0F1B" w14:textId="77777777" w:rsidTr="007F2105">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75A93376" w14:textId="77777777" w:rsidR="00712E1C" w:rsidRPr="00712E1C" w:rsidRDefault="00712E1C" w:rsidP="007F2105">
            <w:pPr>
              <w:ind w:right="-108"/>
              <w:jc w:val="left"/>
              <w:rPr>
                <w:rFonts w:asciiTheme="majorBidi" w:hAnsiTheme="majorBidi" w:cstheme="majorBidi"/>
                <w:sz w:val="20"/>
                <w:szCs w:val="20"/>
                <w:lang w:val="fr-FR"/>
              </w:rPr>
            </w:pPr>
            <w:r w:rsidRPr="00712E1C">
              <w:rPr>
                <w:rFonts w:asciiTheme="majorBidi" w:hAnsiTheme="majorBidi"/>
                <w:sz w:val="20"/>
                <w:lang w:val="fr-FR"/>
              </w:rPr>
              <w:t>Plan de mise en œuvre de l’Amendement de Kigali pour les HFC – PRP</w:t>
            </w:r>
          </w:p>
        </w:tc>
        <w:tc>
          <w:tcPr>
            <w:tcW w:w="1134" w:type="dxa"/>
            <w:tcBorders>
              <w:top w:val="nil"/>
              <w:left w:val="nil"/>
              <w:bottom w:val="single" w:sz="4" w:space="0" w:color="auto"/>
              <w:right w:val="single" w:sz="4" w:space="0" w:color="auto"/>
            </w:tcBorders>
            <w:shd w:val="clear" w:color="auto" w:fill="auto"/>
            <w:noWrap/>
            <w:hideMark/>
          </w:tcPr>
          <w:p w14:paraId="772825A8"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1 309 915</w:t>
            </w:r>
          </w:p>
        </w:tc>
        <w:tc>
          <w:tcPr>
            <w:tcW w:w="1134" w:type="dxa"/>
            <w:tcBorders>
              <w:top w:val="nil"/>
              <w:left w:val="nil"/>
              <w:bottom w:val="single" w:sz="4" w:space="0" w:color="auto"/>
              <w:right w:val="single" w:sz="4" w:space="0" w:color="auto"/>
            </w:tcBorders>
            <w:shd w:val="clear" w:color="auto" w:fill="auto"/>
            <w:noWrap/>
            <w:hideMark/>
          </w:tcPr>
          <w:p w14:paraId="5A399E88"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975 840</w:t>
            </w:r>
          </w:p>
        </w:tc>
        <w:tc>
          <w:tcPr>
            <w:tcW w:w="1116" w:type="dxa"/>
            <w:tcBorders>
              <w:top w:val="nil"/>
              <w:left w:val="nil"/>
              <w:bottom w:val="single" w:sz="4" w:space="0" w:color="auto"/>
              <w:right w:val="single" w:sz="4" w:space="0" w:color="auto"/>
            </w:tcBorders>
            <w:shd w:val="clear" w:color="auto" w:fill="auto"/>
            <w:noWrap/>
            <w:hideMark/>
          </w:tcPr>
          <w:p w14:paraId="6F83B506"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41 730</w:t>
            </w:r>
          </w:p>
        </w:tc>
        <w:tc>
          <w:tcPr>
            <w:tcW w:w="1248" w:type="dxa"/>
            <w:tcBorders>
              <w:top w:val="nil"/>
              <w:left w:val="nil"/>
              <w:bottom w:val="single" w:sz="4" w:space="0" w:color="auto"/>
              <w:right w:val="single" w:sz="4" w:space="0" w:color="auto"/>
            </w:tcBorders>
            <w:shd w:val="clear" w:color="auto" w:fill="auto"/>
            <w:noWrap/>
            <w:hideMark/>
          </w:tcPr>
          <w:p w14:paraId="2AC49D6B"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2 327 485</w:t>
            </w:r>
          </w:p>
        </w:tc>
        <w:tc>
          <w:tcPr>
            <w:tcW w:w="1170" w:type="dxa"/>
            <w:tcBorders>
              <w:top w:val="nil"/>
              <w:left w:val="nil"/>
              <w:bottom w:val="single" w:sz="4" w:space="0" w:color="auto"/>
              <w:right w:val="single" w:sz="4" w:space="0" w:color="auto"/>
            </w:tcBorders>
            <w:shd w:val="clear" w:color="auto" w:fill="auto"/>
            <w:noWrap/>
            <w:hideMark/>
          </w:tcPr>
          <w:p w14:paraId="53D7DD9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58CB764C" w14:textId="77777777" w:rsidTr="007F2105">
        <w:trPr>
          <w:trHeight w:val="76"/>
        </w:trPr>
        <w:tc>
          <w:tcPr>
            <w:tcW w:w="3823" w:type="dxa"/>
            <w:tcBorders>
              <w:top w:val="nil"/>
              <w:left w:val="single" w:sz="4" w:space="0" w:color="auto"/>
              <w:bottom w:val="single" w:sz="4" w:space="0" w:color="auto"/>
              <w:right w:val="single" w:sz="4" w:space="0" w:color="auto"/>
            </w:tcBorders>
            <w:shd w:val="clear" w:color="auto" w:fill="auto"/>
            <w:noWrap/>
            <w:hideMark/>
          </w:tcPr>
          <w:p w14:paraId="02763955"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Programmes de mise en œuvre de l’Amendement de Kigali</w:t>
            </w:r>
          </w:p>
        </w:tc>
        <w:tc>
          <w:tcPr>
            <w:tcW w:w="1134" w:type="dxa"/>
            <w:tcBorders>
              <w:top w:val="nil"/>
              <w:left w:val="nil"/>
              <w:bottom w:val="single" w:sz="4" w:space="0" w:color="auto"/>
              <w:right w:val="single" w:sz="4" w:space="0" w:color="auto"/>
            </w:tcBorders>
            <w:shd w:val="clear" w:color="auto" w:fill="auto"/>
            <w:noWrap/>
            <w:hideMark/>
          </w:tcPr>
          <w:p w14:paraId="0C82200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3 689 772</w:t>
            </w:r>
          </w:p>
        </w:tc>
        <w:tc>
          <w:tcPr>
            <w:tcW w:w="1134" w:type="dxa"/>
            <w:tcBorders>
              <w:top w:val="nil"/>
              <w:left w:val="nil"/>
              <w:bottom w:val="single" w:sz="4" w:space="0" w:color="auto"/>
              <w:right w:val="single" w:sz="4" w:space="0" w:color="auto"/>
            </w:tcBorders>
            <w:shd w:val="clear" w:color="auto" w:fill="auto"/>
            <w:noWrap/>
            <w:hideMark/>
          </w:tcPr>
          <w:p w14:paraId="7713CEE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5 039 370</w:t>
            </w:r>
          </w:p>
        </w:tc>
        <w:tc>
          <w:tcPr>
            <w:tcW w:w="1116" w:type="dxa"/>
            <w:tcBorders>
              <w:top w:val="nil"/>
              <w:left w:val="nil"/>
              <w:bottom w:val="single" w:sz="4" w:space="0" w:color="auto"/>
              <w:right w:val="single" w:sz="4" w:space="0" w:color="auto"/>
            </w:tcBorders>
            <w:shd w:val="clear" w:color="auto" w:fill="auto"/>
            <w:noWrap/>
            <w:hideMark/>
          </w:tcPr>
          <w:p w14:paraId="4DF5C914"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71 503</w:t>
            </w:r>
          </w:p>
        </w:tc>
        <w:tc>
          <w:tcPr>
            <w:tcW w:w="1248" w:type="dxa"/>
            <w:tcBorders>
              <w:top w:val="nil"/>
              <w:left w:val="nil"/>
              <w:bottom w:val="single" w:sz="4" w:space="0" w:color="auto"/>
              <w:right w:val="single" w:sz="4" w:space="0" w:color="auto"/>
            </w:tcBorders>
            <w:shd w:val="clear" w:color="auto" w:fill="auto"/>
            <w:noWrap/>
            <w:hideMark/>
          </w:tcPr>
          <w:p w14:paraId="692FEC5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8 800 645</w:t>
            </w:r>
          </w:p>
        </w:tc>
        <w:tc>
          <w:tcPr>
            <w:tcW w:w="1170" w:type="dxa"/>
            <w:tcBorders>
              <w:top w:val="nil"/>
              <w:left w:val="nil"/>
              <w:bottom w:val="single" w:sz="4" w:space="0" w:color="auto"/>
              <w:right w:val="single" w:sz="4" w:space="0" w:color="auto"/>
            </w:tcBorders>
            <w:shd w:val="clear" w:color="auto" w:fill="auto"/>
            <w:noWrap/>
            <w:hideMark/>
          </w:tcPr>
          <w:p w14:paraId="6E8AAAE8"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14 784 861</w:t>
            </w:r>
          </w:p>
        </w:tc>
      </w:tr>
      <w:tr w:rsidR="00712E1C" w:rsidRPr="00712E1C" w14:paraId="30FD5258" w14:textId="77777777" w:rsidTr="007F2105">
        <w:trPr>
          <w:trHeight w:val="123"/>
        </w:trPr>
        <w:tc>
          <w:tcPr>
            <w:tcW w:w="3823" w:type="dxa"/>
            <w:tcBorders>
              <w:top w:val="nil"/>
              <w:left w:val="single" w:sz="4" w:space="0" w:color="auto"/>
              <w:bottom w:val="single" w:sz="4" w:space="0" w:color="auto"/>
              <w:right w:val="single" w:sz="4" w:space="0" w:color="auto"/>
            </w:tcBorders>
            <w:shd w:val="clear" w:color="auto" w:fill="auto"/>
            <w:noWrap/>
            <w:hideMark/>
          </w:tcPr>
          <w:p w14:paraId="108630BB"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Programmes de mise en œuvre de l’Amendement de Kigali – investissement</w:t>
            </w:r>
          </w:p>
        </w:tc>
        <w:tc>
          <w:tcPr>
            <w:tcW w:w="1134" w:type="dxa"/>
            <w:tcBorders>
              <w:top w:val="nil"/>
              <w:left w:val="nil"/>
              <w:bottom w:val="single" w:sz="4" w:space="0" w:color="auto"/>
              <w:right w:val="single" w:sz="4" w:space="0" w:color="auto"/>
            </w:tcBorders>
            <w:shd w:val="clear" w:color="auto" w:fill="auto"/>
            <w:noWrap/>
            <w:hideMark/>
          </w:tcPr>
          <w:p w14:paraId="070837B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321 000</w:t>
            </w:r>
          </w:p>
        </w:tc>
        <w:tc>
          <w:tcPr>
            <w:tcW w:w="1134" w:type="dxa"/>
            <w:tcBorders>
              <w:top w:val="nil"/>
              <w:left w:val="nil"/>
              <w:bottom w:val="single" w:sz="4" w:space="0" w:color="auto"/>
              <w:right w:val="single" w:sz="4" w:space="0" w:color="auto"/>
            </w:tcBorders>
            <w:shd w:val="clear" w:color="auto" w:fill="auto"/>
            <w:noWrap/>
            <w:hideMark/>
          </w:tcPr>
          <w:p w14:paraId="614E7A1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116" w:type="dxa"/>
            <w:tcBorders>
              <w:top w:val="nil"/>
              <w:left w:val="nil"/>
              <w:bottom w:val="single" w:sz="4" w:space="0" w:color="auto"/>
              <w:right w:val="single" w:sz="4" w:space="0" w:color="auto"/>
            </w:tcBorders>
            <w:shd w:val="clear" w:color="auto" w:fill="auto"/>
            <w:noWrap/>
            <w:hideMark/>
          </w:tcPr>
          <w:p w14:paraId="1AAF966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48" w:type="dxa"/>
            <w:tcBorders>
              <w:top w:val="nil"/>
              <w:left w:val="nil"/>
              <w:bottom w:val="single" w:sz="4" w:space="0" w:color="auto"/>
              <w:right w:val="single" w:sz="4" w:space="0" w:color="auto"/>
            </w:tcBorders>
            <w:shd w:val="clear" w:color="auto" w:fill="auto"/>
            <w:noWrap/>
            <w:hideMark/>
          </w:tcPr>
          <w:p w14:paraId="5D2AE961"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321 000</w:t>
            </w:r>
          </w:p>
        </w:tc>
        <w:tc>
          <w:tcPr>
            <w:tcW w:w="1170" w:type="dxa"/>
            <w:tcBorders>
              <w:top w:val="nil"/>
              <w:left w:val="nil"/>
              <w:bottom w:val="single" w:sz="4" w:space="0" w:color="auto"/>
              <w:right w:val="single" w:sz="4" w:space="0" w:color="auto"/>
            </w:tcBorders>
            <w:shd w:val="clear" w:color="auto" w:fill="auto"/>
            <w:noWrap/>
            <w:hideMark/>
          </w:tcPr>
          <w:p w14:paraId="52480BE6"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058C7FAA" w14:textId="77777777" w:rsidTr="007F2105">
        <w:trPr>
          <w:trHeight w:val="44"/>
        </w:trPr>
        <w:tc>
          <w:tcPr>
            <w:tcW w:w="3823" w:type="dxa"/>
            <w:tcBorders>
              <w:top w:val="nil"/>
              <w:left w:val="single" w:sz="4" w:space="0" w:color="auto"/>
              <w:bottom w:val="single" w:sz="4" w:space="0" w:color="auto"/>
              <w:right w:val="single" w:sz="4" w:space="0" w:color="auto"/>
            </w:tcBorders>
            <w:shd w:val="clear" w:color="auto" w:fill="auto"/>
            <w:noWrap/>
            <w:hideMark/>
          </w:tcPr>
          <w:p w14:paraId="014CC101"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Sous-total des activités pour les HFC</w:t>
            </w:r>
          </w:p>
        </w:tc>
        <w:tc>
          <w:tcPr>
            <w:tcW w:w="1134" w:type="dxa"/>
            <w:tcBorders>
              <w:top w:val="nil"/>
              <w:left w:val="nil"/>
              <w:bottom w:val="single" w:sz="4" w:space="0" w:color="auto"/>
              <w:right w:val="single" w:sz="4" w:space="0" w:color="auto"/>
            </w:tcBorders>
            <w:shd w:val="clear" w:color="auto" w:fill="auto"/>
            <w:noWrap/>
            <w:hideMark/>
          </w:tcPr>
          <w:p w14:paraId="7894FE54"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5 320 687</w:t>
            </w:r>
          </w:p>
        </w:tc>
        <w:tc>
          <w:tcPr>
            <w:tcW w:w="1134" w:type="dxa"/>
            <w:tcBorders>
              <w:top w:val="nil"/>
              <w:left w:val="nil"/>
              <w:bottom w:val="single" w:sz="4" w:space="0" w:color="auto"/>
              <w:right w:val="single" w:sz="4" w:space="0" w:color="auto"/>
            </w:tcBorders>
            <w:shd w:val="clear" w:color="auto" w:fill="auto"/>
            <w:noWrap/>
            <w:hideMark/>
          </w:tcPr>
          <w:p w14:paraId="06EDDADA"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6 015 210</w:t>
            </w:r>
          </w:p>
        </w:tc>
        <w:tc>
          <w:tcPr>
            <w:tcW w:w="1116" w:type="dxa"/>
            <w:tcBorders>
              <w:top w:val="nil"/>
              <w:left w:val="nil"/>
              <w:bottom w:val="single" w:sz="4" w:space="0" w:color="auto"/>
              <w:right w:val="single" w:sz="4" w:space="0" w:color="auto"/>
            </w:tcBorders>
            <w:shd w:val="clear" w:color="auto" w:fill="auto"/>
            <w:noWrap/>
            <w:hideMark/>
          </w:tcPr>
          <w:p w14:paraId="6DF17F49"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113 233</w:t>
            </w:r>
          </w:p>
        </w:tc>
        <w:tc>
          <w:tcPr>
            <w:tcW w:w="1248" w:type="dxa"/>
            <w:tcBorders>
              <w:top w:val="nil"/>
              <w:left w:val="nil"/>
              <w:bottom w:val="single" w:sz="4" w:space="0" w:color="auto"/>
              <w:right w:val="single" w:sz="4" w:space="0" w:color="auto"/>
            </w:tcBorders>
            <w:shd w:val="clear" w:color="auto" w:fill="auto"/>
            <w:noWrap/>
            <w:hideMark/>
          </w:tcPr>
          <w:p w14:paraId="64AD0628"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11 449 130</w:t>
            </w:r>
          </w:p>
        </w:tc>
        <w:tc>
          <w:tcPr>
            <w:tcW w:w="1170" w:type="dxa"/>
            <w:tcBorders>
              <w:top w:val="nil"/>
              <w:left w:val="nil"/>
              <w:bottom w:val="single" w:sz="4" w:space="0" w:color="auto"/>
              <w:right w:val="single" w:sz="4" w:space="0" w:color="auto"/>
            </w:tcBorders>
            <w:shd w:val="clear" w:color="auto" w:fill="auto"/>
            <w:noWrap/>
            <w:hideMark/>
          </w:tcPr>
          <w:p w14:paraId="5CD2296F"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14 784 861</w:t>
            </w:r>
          </w:p>
        </w:tc>
      </w:tr>
      <w:tr w:rsidR="00712E1C" w:rsidRPr="00712E1C" w14:paraId="77113259" w14:textId="77777777" w:rsidTr="007F2105">
        <w:trPr>
          <w:trHeight w:val="59"/>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A0A454A"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Activités normalisées</w:t>
            </w:r>
          </w:p>
        </w:tc>
      </w:tr>
      <w:tr w:rsidR="00712E1C" w:rsidRPr="00712E1C" w14:paraId="6E810E94" w14:textId="77777777" w:rsidTr="007F2105">
        <w:trPr>
          <w:trHeight w:val="105"/>
        </w:trPr>
        <w:tc>
          <w:tcPr>
            <w:tcW w:w="3823" w:type="dxa"/>
            <w:tcBorders>
              <w:top w:val="nil"/>
              <w:left w:val="single" w:sz="4" w:space="0" w:color="auto"/>
              <w:bottom w:val="single" w:sz="4" w:space="0" w:color="auto"/>
              <w:right w:val="single" w:sz="4" w:space="0" w:color="auto"/>
            </w:tcBorders>
            <w:shd w:val="clear" w:color="auto" w:fill="auto"/>
            <w:noWrap/>
            <w:hideMark/>
          </w:tcPr>
          <w:p w14:paraId="69C573F2"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Renforcement institutionnel (RI)</w:t>
            </w:r>
          </w:p>
        </w:tc>
        <w:tc>
          <w:tcPr>
            <w:tcW w:w="1134" w:type="dxa"/>
            <w:tcBorders>
              <w:top w:val="nil"/>
              <w:left w:val="nil"/>
              <w:bottom w:val="single" w:sz="4" w:space="0" w:color="auto"/>
              <w:right w:val="single" w:sz="4" w:space="0" w:color="auto"/>
            </w:tcBorders>
            <w:shd w:val="clear" w:color="auto" w:fill="auto"/>
            <w:noWrap/>
            <w:hideMark/>
          </w:tcPr>
          <w:p w14:paraId="56FDEF3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855 841</w:t>
            </w:r>
          </w:p>
        </w:tc>
        <w:tc>
          <w:tcPr>
            <w:tcW w:w="1134" w:type="dxa"/>
            <w:tcBorders>
              <w:top w:val="nil"/>
              <w:left w:val="nil"/>
              <w:bottom w:val="single" w:sz="4" w:space="0" w:color="auto"/>
              <w:right w:val="single" w:sz="4" w:space="0" w:color="auto"/>
            </w:tcBorders>
            <w:shd w:val="clear" w:color="auto" w:fill="auto"/>
            <w:noWrap/>
            <w:hideMark/>
          </w:tcPr>
          <w:p w14:paraId="66CFFFA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2 052 817</w:t>
            </w:r>
          </w:p>
        </w:tc>
        <w:tc>
          <w:tcPr>
            <w:tcW w:w="1116" w:type="dxa"/>
            <w:tcBorders>
              <w:top w:val="nil"/>
              <w:left w:val="nil"/>
              <w:bottom w:val="single" w:sz="4" w:space="0" w:color="auto"/>
              <w:right w:val="single" w:sz="4" w:space="0" w:color="auto"/>
            </w:tcBorders>
            <w:shd w:val="clear" w:color="auto" w:fill="auto"/>
            <w:noWrap/>
            <w:hideMark/>
          </w:tcPr>
          <w:p w14:paraId="54908E1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855 841</w:t>
            </w:r>
          </w:p>
        </w:tc>
        <w:tc>
          <w:tcPr>
            <w:tcW w:w="1248" w:type="dxa"/>
            <w:tcBorders>
              <w:top w:val="nil"/>
              <w:left w:val="nil"/>
              <w:bottom w:val="single" w:sz="4" w:space="0" w:color="auto"/>
              <w:right w:val="single" w:sz="4" w:space="0" w:color="auto"/>
            </w:tcBorders>
            <w:shd w:val="clear" w:color="auto" w:fill="auto"/>
            <w:noWrap/>
            <w:hideMark/>
          </w:tcPr>
          <w:p w14:paraId="48A857C2"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3 764 499</w:t>
            </w:r>
          </w:p>
        </w:tc>
        <w:tc>
          <w:tcPr>
            <w:tcW w:w="1170" w:type="dxa"/>
            <w:tcBorders>
              <w:top w:val="nil"/>
              <w:left w:val="nil"/>
              <w:bottom w:val="single" w:sz="4" w:space="0" w:color="auto"/>
              <w:right w:val="single" w:sz="4" w:space="0" w:color="auto"/>
            </w:tcBorders>
            <w:shd w:val="clear" w:color="auto" w:fill="auto"/>
            <w:noWrap/>
            <w:hideMark/>
          </w:tcPr>
          <w:p w14:paraId="7D3B7EE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4901DA1D" w14:textId="77777777" w:rsidTr="007F2105">
        <w:trPr>
          <w:trHeight w:val="150"/>
        </w:trPr>
        <w:tc>
          <w:tcPr>
            <w:tcW w:w="3823" w:type="dxa"/>
            <w:tcBorders>
              <w:top w:val="nil"/>
              <w:left w:val="single" w:sz="4" w:space="0" w:color="auto"/>
              <w:bottom w:val="single" w:sz="4" w:space="0" w:color="auto"/>
              <w:right w:val="single" w:sz="4" w:space="0" w:color="auto"/>
            </w:tcBorders>
            <w:shd w:val="clear" w:color="auto" w:fill="auto"/>
            <w:noWrap/>
            <w:hideMark/>
          </w:tcPr>
          <w:p w14:paraId="681944DD"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Coûts de base</w:t>
            </w:r>
          </w:p>
        </w:tc>
        <w:tc>
          <w:tcPr>
            <w:tcW w:w="1134" w:type="dxa"/>
            <w:tcBorders>
              <w:top w:val="nil"/>
              <w:left w:val="nil"/>
              <w:bottom w:val="single" w:sz="4" w:space="0" w:color="auto"/>
              <w:right w:val="single" w:sz="4" w:space="0" w:color="auto"/>
            </w:tcBorders>
            <w:shd w:val="clear" w:color="auto" w:fill="auto"/>
            <w:noWrap/>
            <w:hideMark/>
          </w:tcPr>
          <w:p w14:paraId="2C73D14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2 064 760</w:t>
            </w:r>
          </w:p>
        </w:tc>
        <w:tc>
          <w:tcPr>
            <w:tcW w:w="1134" w:type="dxa"/>
            <w:tcBorders>
              <w:top w:val="nil"/>
              <w:left w:val="nil"/>
              <w:bottom w:val="single" w:sz="4" w:space="0" w:color="auto"/>
              <w:right w:val="single" w:sz="4" w:space="0" w:color="auto"/>
            </w:tcBorders>
            <w:shd w:val="clear" w:color="auto" w:fill="auto"/>
            <w:noWrap/>
            <w:hideMark/>
          </w:tcPr>
          <w:p w14:paraId="7230D926"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2 079 213</w:t>
            </w:r>
          </w:p>
        </w:tc>
        <w:tc>
          <w:tcPr>
            <w:tcW w:w="1116" w:type="dxa"/>
            <w:tcBorders>
              <w:top w:val="nil"/>
              <w:left w:val="nil"/>
              <w:bottom w:val="single" w:sz="4" w:space="0" w:color="auto"/>
              <w:right w:val="single" w:sz="4" w:space="0" w:color="auto"/>
            </w:tcBorders>
            <w:shd w:val="clear" w:color="auto" w:fill="auto"/>
            <w:noWrap/>
            <w:hideMark/>
          </w:tcPr>
          <w:p w14:paraId="57077BC4"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2 093 768</w:t>
            </w:r>
          </w:p>
        </w:tc>
        <w:tc>
          <w:tcPr>
            <w:tcW w:w="1248" w:type="dxa"/>
            <w:tcBorders>
              <w:top w:val="nil"/>
              <w:left w:val="nil"/>
              <w:bottom w:val="single" w:sz="4" w:space="0" w:color="auto"/>
              <w:right w:val="single" w:sz="4" w:space="0" w:color="auto"/>
            </w:tcBorders>
            <w:shd w:val="clear" w:color="auto" w:fill="auto"/>
            <w:noWrap/>
            <w:hideMark/>
          </w:tcPr>
          <w:p w14:paraId="5523FCD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6 237 741</w:t>
            </w:r>
          </w:p>
        </w:tc>
        <w:tc>
          <w:tcPr>
            <w:tcW w:w="1170" w:type="dxa"/>
            <w:tcBorders>
              <w:top w:val="nil"/>
              <w:left w:val="nil"/>
              <w:bottom w:val="single" w:sz="4" w:space="0" w:color="auto"/>
              <w:right w:val="single" w:sz="4" w:space="0" w:color="auto"/>
            </w:tcBorders>
            <w:shd w:val="clear" w:color="auto" w:fill="auto"/>
            <w:noWrap/>
            <w:hideMark/>
          </w:tcPr>
          <w:p w14:paraId="60A8DBB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76D63635" w14:textId="77777777" w:rsidTr="007F2105">
        <w:trPr>
          <w:trHeight w:val="55"/>
        </w:trPr>
        <w:tc>
          <w:tcPr>
            <w:tcW w:w="3823" w:type="dxa"/>
            <w:tcBorders>
              <w:top w:val="nil"/>
              <w:left w:val="single" w:sz="4" w:space="0" w:color="auto"/>
              <w:bottom w:val="single" w:sz="4" w:space="0" w:color="auto"/>
              <w:right w:val="single" w:sz="4" w:space="0" w:color="auto"/>
            </w:tcBorders>
            <w:shd w:val="clear" w:color="auto" w:fill="auto"/>
            <w:noWrap/>
            <w:hideMark/>
          </w:tcPr>
          <w:p w14:paraId="6719742F"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Sous-total des activités normalisées</w:t>
            </w:r>
          </w:p>
        </w:tc>
        <w:tc>
          <w:tcPr>
            <w:tcW w:w="1134" w:type="dxa"/>
            <w:tcBorders>
              <w:top w:val="nil"/>
              <w:left w:val="nil"/>
              <w:bottom w:val="single" w:sz="4" w:space="0" w:color="auto"/>
              <w:right w:val="single" w:sz="4" w:space="0" w:color="auto"/>
            </w:tcBorders>
            <w:shd w:val="clear" w:color="auto" w:fill="auto"/>
            <w:noWrap/>
            <w:hideMark/>
          </w:tcPr>
          <w:p w14:paraId="568B0D42"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2 920 601</w:t>
            </w:r>
          </w:p>
        </w:tc>
        <w:tc>
          <w:tcPr>
            <w:tcW w:w="1134" w:type="dxa"/>
            <w:tcBorders>
              <w:top w:val="nil"/>
              <w:left w:val="nil"/>
              <w:bottom w:val="single" w:sz="4" w:space="0" w:color="auto"/>
              <w:right w:val="single" w:sz="4" w:space="0" w:color="auto"/>
            </w:tcBorders>
            <w:shd w:val="clear" w:color="auto" w:fill="auto"/>
            <w:noWrap/>
            <w:hideMark/>
          </w:tcPr>
          <w:p w14:paraId="2F88832E"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4 132 030</w:t>
            </w:r>
          </w:p>
        </w:tc>
        <w:tc>
          <w:tcPr>
            <w:tcW w:w="1116" w:type="dxa"/>
            <w:tcBorders>
              <w:top w:val="nil"/>
              <w:left w:val="nil"/>
              <w:bottom w:val="single" w:sz="4" w:space="0" w:color="auto"/>
              <w:right w:val="single" w:sz="4" w:space="0" w:color="auto"/>
            </w:tcBorders>
            <w:shd w:val="clear" w:color="auto" w:fill="auto"/>
            <w:noWrap/>
            <w:hideMark/>
          </w:tcPr>
          <w:p w14:paraId="231D4C43"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2 949 609</w:t>
            </w:r>
          </w:p>
        </w:tc>
        <w:tc>
          <w:tcPr>
            <w:tcW w:w="1248" w:type="dxa"/>
            <w:tcBorders>
              <w:top w:val="nil"/>
              <w:left w:val="nil"/>
              <w:bottom w:val="single" w:sz="4" w:space="0" w:color="auto"/>
              <w:right w:val="single" w:sz="4" w:space="0" w:color="auto"/>
            </w:tcBorders>
            <w:shd w:val="clear" w:color="auto" w:fill="auto"/>
            <w:noWrap/>
            <w:hideMark/>
          </w:tcPr>
          <w:p w14:paraId="360363EF"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10 002 240</w:t>
            </w:r>
          </w:p>
        </w:tc>
        <w:tc>
          <w:tcPr>
            <w:tcW w:w="1170" w:type="dxa"/>
            <w:tcBorders>
              <w:top w:val="nil"/>
              <w:left w:val="nil"/>
              <w:bottom w:val="single" w:sz="4" w:space="0" w:color="auto"/>
              <w:right w:val="single" w:sz="4" w:space="0" w:color="auto"/>
            </w:tcBorders>
            <w:shd w:val="clear" w:color="auto" w:fill="auto"/>
            <w:noWrap/>
            <w:hideMark/>
          </w:tcPr>
          <w:p w14:paraId="3B1D8724"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0</w:t>
            </w:r>
          </w:p>
        </w:tc>
      </w:tr>
      <w:tr w:rsidR="00712E1C" w:rsidRPr="00712E1C" w14:paraId="7E1F5ECF" w14:textId="77777777" w:rsidTr="007F2105">
        <w:trPr>
          <w:trHeight w:val="100"/>
        </w:trPr>
        <w:tc>
          <w:tcPr>
            <w:tcW w:w="3823" w:type="dxa"/>
            <w:tcBorders>
              <w:top w:val="nil"/>
              <w:left w:val="single" w:sz="4" w:space="0" w:color="auto"/>
              <w:bottom w:val="single" w:sz="4" w:space="0" w:color="auto"/>
              <w:right w:val="single" w:sz="4" w:space="0" w:color="auto"/>
            </w:tcBorders>
            <w:shd w:val="clear" w:color="auto" w:fill="auto"/>
            <w:noWrap/>
            <w:hideMark/>
          </w:tcPr>
          <w:p w14:paraId="12EA900F"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Total</w:t>
            </w:r>
          </w:p>
        </w:tc>
        <w:tc>
          <w:tcPr>
            <w:tcW w:w="1134" w:type="dxa"/>
            <w:tcBorders>
              <w:top w:val="nil"/>
              <w:left w:val="nil"/>
              <w:bottom w:val="single" w:sz="4" w:space="0" w:color="auto"/>
              <w:right w:val="single" w:sz="4" w:space="0" w:color="auto"/>
            </w:tcBorders>
            <w:shd w:val="clear" w:color="auto" w:fill="auto"/>
            <w:noWrap/>
            <w:hideMark/>
          </w:tcPr>
          <w:p w14:paraId="4BA54C37"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40 220 261</w:t>
            </w:r>
          </w:p>
        </w:tc>
        <w:tc>
          <w:tcPr>
            <w:tcW w:w="1134" w:type="dxa"/>
            <w:tcBorders>
              <w:top w:val="nil"/>
              <w:left w:val="nil"/>
              <w:bottom w:val="single" w:sz="4" w:space="0" w:color="auto"/>
              <w:right w:val="single" w:sz="4" w:space="0" w:color="auto"/>
            </w:tcBorders>
            <w:shd w:val="clear" w:color="auto" w:fill="auto"/>
            <w:noWrap/>
            <w:hideMark/>
          </w:tcPr>
          <w:p w14:paraId="1F69BFBC"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29 451 492</w:t>
            </w:r>
          </w:p>
        </w:tc>
        <w:tc>
          <w:tcPr>
            <w:tcW w:w="1116" w:type="dxa"/>
            <w:tcBorders>
              <w:top w:val="nil"/>
              <w:left w:val="nil"/>
              <w:bottom w:val="single" w:sz="4" w:space="0" w:color="auto"/>
              <w:right w:val="single" w:sz="4" w:space="0" w:color="auto"/>
            </w:tcBorders>
            <w:shd w:val="clear" w:color="auto" w:fill="auto"/>
            <w:noWrap/>
            <w:hideMark/>
          </w:tcPr>
          <w:p w14:paraId="36ED5C66"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28 070 777</w:t>
            </w:r>
          </w:p>
        </w:tc>
        <w:tc>
          <w:tcPr>
            <w:tcW w:w="1248" w:type="dxa"/>
            <w:tcBorders>
              <w:top w:val="nil"/>
              <w:left w:val="nil"/>
              <w:bottom w:val="single" w:sz="4" w:space="0" w:color="auto"/>
              <w:right w:val="single" w:sz="4" w:space="0" w:color="auto"/>
            </w:tcBorders>
            <w:shd w:val="clear" w:color="auto" w:fill="auto"/>
            <w:noWrap/>
            <w:hideMark/>
          </w:tcPr>
          <w:p w14:paraId="4AFE8B5F"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97 742 531</w:t>
            </w:r>
          </w:p>
        </w:tc>
        <w:tc>
          <w:tcPr>
            <w:tcW w:w="1170" w:type="dxa"/>
            <w:tcBorders>
              <w:top w:val="nil"/>
              <w:left w:val="nil"/>
              <w:bottom w:val="single" w:sz="4" w:space="0" w:color="auto"/>
              <w:right w:val="single" w:sz="4" w:space="0" w:color="auto"/>
            </w:tcBorders>
            <w:shd w:val="clear" w:color="auto" w:fill="auto"/>
            <w:noWrap/>
            <w:hideMark/>
          </w:tcPr>
          <w:p w14:paraId="22359EF2"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102 187 456</w:t>
            </w:r>
          </w:p>
        </w:tc>
      </w:tr>
    </w:tbl>
    <w:p w14:paraId="1485348C" w14:textId="77777777" w:rsidR="00712E1C" w:rsidRPr="00712E1C" w:rsidRDefault="00712E1C" w:rsidP="00712E1C">
      <w:pPr>
        <w:rPr>
          <w:sz w:val="19"/>
          <w:szCs w:val="19"/>
          <w:lang w:val="fr-FR"/>
        </w:rPr>
      </w:pPr>
      <w:r w:rsidRPr="00712E1C">
        <w:rPr>
          <w:sz w:val="19"/>
          <w:lang w:val="fr-FR"/>
        </w:rPr>
        <w:t>* Y compris les coûts d’appui d’agence, le cas échéant.</w:t>
      </w:r>
    </w:p>
    <w:p w14:paraId="553D9063" w14:textId="77777777" w:rsidR="00712E1C" w:rsidRPr="00712E1C" w:rsidRDefault="00712E1C" w:rsidP="00712E1C">
      <w:pPr>
        <w:rPr>
          <w:lang w:val="fr-FR"/>
        </w:rPr>
      </w:pPr>
    </w:p>
    <w:p w14:paraId="35D90247" w14:textId="77777777" w:rsidR="00712E1C" w:rsidRPr="00712E1C" w:rsidRDefault="00712E1C" w:rsidP="00712E1C">
      <w:pPr>
        <w:pStyle w:val="Heading1"/>
        <w:numPr>
          <w:ilvl w:val="0"/>
          <w:numId w:val="0"/>
        </w:numPr>
        <w:rPr>
          <w:b/>
          <w:sz w:val="24"/>
          <w:szCs w:val="24"/>
          <w:lang w:val="fr-FR"/>
        </w:rPr>
      </w:pPr>
      <w:r w:rsidRPr="00712E1C">
        <w:rPr>
          <w:b/>
          <w:sz w:val="24"/>
          <w:lang w:val="fr-FR"/>
        </w:rPr>
        <w:t>II.</w:t>
      </w:r>
      <w:r w:rsidRPr="00712E1C">
        <w:rPr>
          <w:b/>
          <w:sz w:val="24"/>
          <w:lang w:val="fr-FR"/>
        </w:rPr>
        <w:tab/>
        <w:t xml:space="preserve">Observations du Secrétariat </w:t>
      </w:r>
    </w:p>
    <w:p w14:paraId="61392F3D" w14:textId="77777777" w:rsidR="00712E1C" w:rsidRPr="00712E1C" w:rsidRDefault="00712E1C" w:rsidP="00712E1C">
      <w:pPr>
        <w:widowControl w:val="0"/>
        <w:rPr>
          <w:b/>
          <w:bCs/>
          <w:lang w:val="fr-FR"/>
        </w:rPr>
      </w:pPr>
      <w:r w:rsidRPr="00712E1C">
        <w:rPr>
          <w:b/>
          <w:lang w:val="fr-FR"/>
        </w:rPr>
        <w:t>II.1</w:t>
      </w:r>
      <w:r w:rsidRPr="00712E1C">
        <w:rPr>
          <w:b/>
          <w:lang w:val="fr-FR"/>
        </w:rPr>
        <w:tab/>
        <w:t>Activités liées aux HCFC</w:t>
      </w:r>
    </w:p>
    <w:p w14:paraId="69D62201" w14:textId="77777777" w:rsidR="00712E1C" w:rsidRPr="00712E1C" w:rsidRDefault="00712E1C" w:rsidP="00712E1C">
      <w:pPr>
        <w:pStyle w:val="Heading1"/>
        <w:numPr>
          <w:ilvl w:val="0"/>
          <w:numId w:val="0"/>
        </w:numPr>
        <w:spacing w:after="0"/>
        <w:rPr>
          <w:u w:val="single"/>
          <w:lang w:val="fr-FR"/>
        </w:rPr>
      </w:pPr>
    </w:p>
    <w:p w14:paraId="56E38150" w14:textId="77777777" w:rsidR="00712E1C" w:rsidRPr="00712E1C" w:rsidRDefault="00712E1C" w:rsidP="00712E1C">
      <w:pPr>
        <w:pStyle w:val="Heading1"/>
        <w:numPr>
          <w:ilvl w:val="0"/>
          <w:numId w:val="0"/>
        </w:numPr>
        <w:spacing w:after="0"/>
        <w:rPr>
          <w:u w:val="single"/>
          <w:lang w:val="fr-FR"/>
        </w:rPr>
      </w:pPr>
      <w:r w:rsidRPr="00712E1C">
        <w:rPr>
          <w:u w:val="single"/>
          <w:lang w:val="fr-FR"/>
        </w:rPr>
        <w:t xml:space="preserve">Phase II des PGEH </w:t>
      </w:r>
    </w:p>
    <w:p w14:paraId="70E4CB0D" w14:textId="77777777" w:rsidR="00712E1C" w:rsidRPr="00712E1C" w:rsidRDefault="00712E1C" w:rsidP="00712E1C">
      <w:pPr>
        <w:rPr>
          <w:lang w:val="fr-FR"/>
        </w:rPr>
      </w:pPr>
    </w:p>
    <w:p w14:paraId="144EAEA2" w14:textId="77777777" w:rsidR="00712E1C" w:rsidRPr="00712E1C" w:rsidRDefault="00712E1C" w:rsidP="00712E1C">
      <w:pPr>
        <w:pStyle w:val="Heading1"/>
        <w:rPr>
          <w:lang w:val="fr-FR"/>
        </w:rPr>
      </w:pPr>
      <w:r w:rsidRPr="00712E1C">
        <w:rPr>
          <w:lang w:val="fr-FR"/>
        </w:rPr>
        <w:t>Le niveau total de financement de la phase II des PGEH dans les 11 pays à faible volume de consommation (PFV) pour répondre à la réduction de 100 pour cent des valeurs de référence des HCFC s’élève à 2,79 millions $ US (dont 1,29 million pour la période 2023–2025 et 1,5 million $ US pour la période ultérieure à 2025).</w:t>
      </w:r>
    </w:p>
    <w:p w14:paraId="298E2889" w14:textId="77777777" w:rsidR="00712E1C" w:rsidRPr="00712E1C" w:rsidRDefault="00712E1C" w:rsidP="00712E1C">
      <w:pPr>
        <w:pStyle w:val="Heading1"/>
        <w:rPr>
          <w:lang w:val="fr-FR"/>
        </w:rPr>
      </w:pPr>
      <w:r w:rsidRPr="00712E1C">
        <w:rPr>
          <w:lang w:val="fr-FR"/>
        </w:rPr>
        <w:t xml:space="preserve">Le niveau total de financement de la phase II des PGEH dans les 10 pays à faible volume de consommation (PFV) s’élève à 44,51 millions $ US (dont 10,82 millions $ US pour la période 2023–2025 et 33,7 millions $ US pour la période ultérieure à 2025). De plus, l’ONUDI a inclus un projet d’investissement dans le cadre de la phase II du PGEH pour un pays (Libye) s’élevant à 497 064 $ US (dont </w:t>
      </w:r>
      <w:r w:rsidRPr="00712E1C">
        <w:rPr>
          <w:lang w:val="fr-FR"/>
        </w:rPr>
        <w:lastRenderedPageBreak/>
        <w:t>248 532 $ US pour la période 2023–2025 et 248 532 $ US pour la période ultérieure à 2025) conformément à la décision 90/40(f).</w:t>
      </w:r>
      <w:r w:rsidRPr="00712E1C">
        <w:rPr>
          <w:rStyle w:val="FootnoteReference"/>
          <w:lang w:val="fr-FR"/>
        </w:rPr>
        <w:footnoteReference w:id="3"/>
      </w:r>
    </w:p>
    <w:p w14:paraId="4DB5E5A3" w14:textId="77777777" w:rsidR="00712E1C" w:rsidRPr="00712E1C" w:rsidRDefault="00712E1C" w:rsidP="00B63B73">
      <w:pPr>
        <w:pStyle w:val="Heading1"/>
        <w:keepNext/>
        <w:keepLines/>
        <w:widowControl w:val="0"/>
        <w:numPr>
          <w:ilvl w:val="0"/>
          <w:numId w:val="0"/>
        </w:numPr>
        <w:spacing w:after="0"/>
        <w:rPr>
          <w:u w:val="single"/>
          <w:lang w:val="fr-FR"/>
        </w:rPr>
      </w:pPr>
      <w:r w:rsidRPr="00712E1C">
        <w:rPr>
          <w:u w:val="single"/>
          <w:lang w:val="fr-FR"/>
        </w:rPr>
        <w:t xml:space="preserve">Phase III des PGEH </w:t>
      </w:r>
    </w:p>
    <w:p w14:paraId="56377E32" w14:textId="77777777" w:rsidR="00712E1C" w:rsidRPr="00712E1C" w:rsidRDefault="00712E1C" w:rsidP="00B63B73">
      <w:pPr>
        <w:keepNext/>
        <w:keepLines/>
        <w:widowControl w:val="0"/>
        <w:rPr>
          <w:lang w:val="fr-FR"/>
        </w:rPr>
      </w:pPr>
    </w:p>
    <w:p w14:paraId="29F13828" w14:textId="77777777" w:rsidR="00712E1C" w:rsidRPr="00712E1C" w:rsidRDefault="00712E1C" w:rsidP="00B63B73">
      <w:pPr>
        <w:pStyle w:val="Heading1"/>
        <w:keepNext/>
        <w:keepLines/>
        <w:widowControl w:val="0"/>
        <w:rPr>
          <w:lang w:val="fr-FR"/>
        </w:rPr>
      </w:pPr>
      <w:r w:rsidRPr="00712E1C">
        <w:rPr>
          <w:lang w:val="fr-FR"/>
        </w:rPr>
        <w:t>Au total, 43,95 millions $ US sont prévus pour la phase III des PGEH de 13 pays (Albanie, Argentine, Arménie, Brésil, Iran (République islamique d’), Jordanie, Koweït, Mexique, Nigéria, Philippines, Serbie, Turkménistan et Venezuela (République bolivarienne du)) (dont 13,46 millions $ US pour la période 2023–2025 et 30,49 millions $ US pour la période ultérieure à 2025).</w:t>
      </w:r>
      <w:r w:rsidRPr="00712E1C">
        <w:rPr>
          <w:rStyle w:val="FootnoteReference"/>
          <w:lang w:val="fr-FR"/>
        </w:rPr>
        <w:footnoteReference w:id="4"/>
      </w:r>
      <w:r w:rsidRPr="00712E1C">
        <w:rPr>
          <w:lang w:val="fr-FR"/>
        </w:rPr>
        <w:t xml:space="preserve"> </w:t>
      </w:r>
    </w:p>
    <w:p w14:paraId="260410E7" w14:textId="77777777" w:rsidR="00712E1C" w:rsidRPr="00712E1C" w:rsidRDefault="00712E1C" w:rsidP="00712E1C">
      <w:pPr>
        <w:pStyle w:val="Heading1"/>
        <w:numPr>
          <w:ilvl w:val="0"/>
          <w:numId w:val="0"/>
        </w:numPr>
        <w:rPr>
          <w:u w:val="single"/>
          <w:lang w:val="fr-FR"/>
        </w:rPr>
      </w:pPr>
      <w:r w:rsidRPr="00712E1C">
        <w:rPr>
          <w:u w:val="single"/>
          <w:lang w:val="fr-FR"/>
        </w:rPr>
        <w:t>Efficacité énergétique pour les pays à faible volume de consommation</w:t>
      </w:r>
    </w:p>
    <w:p w14:paraId="05093481" w14:textId="77777777" w:rsidR="00712E1C" w:rsidRPr="00712E1C" w:rsidRDefault="00712E1C" w:rsidP="00712E1C">
      <w:pPr>
        <w:pStyle w:val="Heading1"/>
        <w:rPr>
          <w:lang w:val="fr-FR"/>
        </w:rPr>
      </w:pPr>
      <w:r w:rsidRPr="00712E1C">
        <w:rPr>
          <w:lang w:val="fr-FR"/>
        </w:rPr>
        <w:t>La décision 89/6 autorisait les agences bilatérales et d’exécution, lors de la présentation de phases existantes et à venir des PGEH pour les PFV, à inclure le financement associé au besoin d’introduction de solutions de remplacement des HCFC présentant un potentiel de réchauffement de la planète (PRG) faible ou nul et de maintien de l’efficacité énergétique dans le secteur de l’entretien des équipements de réfrigération.</w:t>
      </w:r>
    </w:p>
    <w:p w14:paraId="4D2FF062" w14:textId="77777777" w:rsidR="00712E1C" w:rsidRPr="00712E1C" w:rsidRDefault="00712E1C" w:rsidP="00712E1C">
      <w:pPr>
        <w:pStyle w:val="Heading1"/>
        <w:rPr>
          <w:lang w:val="fr-FR"/>
        </w:rPr>
      </w:pPr>
      <w:r w:rsidRPr="00712E1C">
        <w:rPr>
          <w:lang w:val="fr-FR"/>
        </w:rPr>
        <w:t xml:space="preserve">Au total, 1,99 million $ US sont inclus dans le plan d’activités pour des activités liées à l’efficacité énergétique pour 37 PFV (dont 1,92 million $ US pour la période 2023–2025 et 70 620 $ US pour la période ultérieure à 2025). </w:t>
      </w:r>
    </w:p>
    <w:p w14:paraId="4325D04B" w14:textId="77777777" w:rsidR="00712E1C" w:rsidRPr="00712E1C" w:rsidRDefault="00712E1C" w:rsidP="00712E1C">
      <w:pPr>
        <w:pStyle w:val="Heading1"/>
        <w:numPr>
          <w:ilvl w:val="0"/>
          <w:numId w:val="0"/>
        </w:numPr>
        <w:rPr>
          <w:u w:val="single"/>
          <w:lang w:val="fr-FR"/>
        </w:rPr>
      </w:pPr>
      <w:r w:rsidRPr="00712E1C">
        <w:rPr>
          <w:u w:val="single"/>
          <w:lang w:val="fr-FR"/>
        </w:rPr>
        <w:t>Projet régional d’assistance technique pour les HCFC</w:t>
      </w:r>
    </w:p>
    <w:p w14:paraId="1CB4AE48" w14:textId="77777777" w:rsidR="00712E1C" w:rsidRPr="00712E1C" w:rsidRDefault="00712E1C" w:rsidP="00712E1C">
      <w:pPr>
        <w:pStyle w:val="Heading1"/>
        <w:rPr>
          <w:lang w:val="fr-FR"/>
        </w:rPr>
      </w:pPr>
      <w:r w:rsidRPr="00712E1C">
        <w:rPr>
          <w:lang w:val="fr-FR"/>
        </w:rPr>
        <w:t xml:space="preserve">L’ONUDI a inclus un projet d’assistance technique pour les HCFC, « Comment maintenir les conversions industrielles dans le secteur de la climatisation résidentielle, en tenant compte du temps nécessaire pour la transition technologique et des obstacles à l’accès aux technologies à faible PRG », d’un montant de 535 000 $ US en 2023. </w:t>
      </w:r>
      <w:bookmarkStart w:id="0" w:name="OLE_LINK1"/>
      <w:bookmarkStart w:id="1" w:name="OLE_LINK2"/>
      <w:r w:rsidRPr="00712E1C">
        <w:rPr>
          <w:lang w:val="fr-FR"/>
        </w:rPr>
        <w:t xml:space="preserve">Le projet aura une portée mondiale et est prévu pour soutenir les pays visés à l’Article 5 dans le maintien des conversions industrielles dans le secteur de la climatisation résidentielle. </w:t>
      </w:r>
      <w:bookmarkStart w:id="2" w:name="_Hlk118279527"/>
      <w:r w:rsidRPr="00712E1C">
        <w:rPr>
          <w:lang w:val="fr-FR"/>
        </w:rPr>
        <w:t xml:space="preserve">Il couvre les éléments suivants : établissement d’une plateforme technologique, où les industries et d’autres parties intéressées peuvent obtenir des actualités techniques ; réalisation de deux forums mondiaux pour les industries de la climatisation et les fournisseurs de technologies associées (le premier forum explorera l’état de la technologie et les besoins de l’industrie ; et le second forum exposera les résultats de ce programme d’assistance technique) ; des visites d’étude chez des fournisseurs de technologie ; une étude pour explorer les obstacles à l’accès aux technologies à faible PRG et les éléments associés ; une étude pour appréhender les enseignements tirés de l’Union européenne (UE), surtout les enseignements tirés de la réglementation révisée sur les gaz fluorés ; une étude sur les différences et les similarités dans les conversions industrielles aux frigorigènes A2L et A3 ; et le rapport. </w:t>
      </w:r>
      <w:bookmarkEnd w:id="2"/>
      <w:r w:rsidRPr="00712E1C">
        <w:rPr>
          <w:lang w:val="fr-FR"/>
        </w:rPr>
        <w:t>Pour l’instant, aucune fenêtre de financement n’est disponible pour de tels projets d’assistance technique. Cette question sera traitée dans le contexte du plan d’activités consolidé du Fonds multilatéral pour 2023–2025.</w:t>
      </w:r>
      <w:r w:rsidRPr="00712E1C">
        <w:rPr>
          <w:rStyle w:val="FootnoteReference"/>
          <w:lang w:val="fr-FR"/>
        </w:rPr>
        <w:footnoteReference w:id="5"/>
      </w:r>
      <w:r w:rsidRPr="00712E1C">
        <w:rPr>
          <w:lang w:val="fr-FR"/>
        </w:rPr>
        <w:t xml:space="preserve"> </w:t>
      </w:r>
    </w:p>
    <w:bookmarkEnd w:id="0"/>
    <w:bookmarkEnd w:id="1"/>
    <w:p w14:paraId="5A8EBC3F" w14:textId="77777777" w:rsidR="00712E1C" w:rsidRPr="00712E1C" w:rsidRDefault="00712E1C" w:rsidP="006256C5">
      <w:pPr>
        <w:keepNext/>
        <w:keepLines/>
        <w:widowControl w:val="0"/>
        <w:rPr>
          <w:b/>
          <w:bCs/>
          <w:lang w:val="fr-FR"/>
        </w:rPr>
      </w:pPr>
      <w:r w:rsidRPr="00712E1C">
        <w:rPr>
          <w:b/>
          <w:lang w:val="fr-FR"/>
        </w:rPr>
        <w:lastRenderedPageBreak/>
        <w:t>II.2</w:t>
      </w:r>
      <w:r w:rsidRPr="00712E1C">
        <w:rPr>
          <w:b/>
          <w:lang w:val="fr-FR"/>
        </w:rPr>
        <w:tab/>
        <w:t>Activités liées aux HFC</w:t>
      </w:r>
    </w:p>
    <w:p w14:paraId="30D8B0A7" w14:textId="77777777" w:rsidR="00712E1C" w:rsidRPr="00712E1C" w:rsidRDefault="00712E1C" w:rsidP="006256C5">
      <w:pPr>
        <w:keepNext/>
        <w:keepLines/>
        <w:widowControl w:val="0"/>
        <w:rPr>
          <w:lang w:val="fr-FR"/>
        </w:rPr>
      </w:pPr>
    </w:p>
    <w:p w14:paraId="03FDC280" w14:textId="77777777" w:rsidR="00712E1C" w:rsidRPr="00712E1C" w:rsidRDefault="00712E1C" w:rsidP="006256C5">
      <w:pPr>
        <w:pStyle w:val="Heading1"/>
        <w:keepNext/>
        <w:keepLines/>
        <w:numPr>
          <w:ilvl w:val="0"/>
          <w:numId w:val="0"/>
        </w:numPr>
        <w:rPr>
          <w:u w:val="single"/>
          <w:lang w:val="fr-FR"/>
        </w:rPr>
      </w:pPr>
      <w:r w:rsidRPr="00712E1C">
        <w:rPr>
          <w:u w:val="single"/>
          <w:lang w:val="fr-FR"/>
        </w:rPr>
        <w:t xml:space="preserve">Préparation de projets pour les programmes de mise en œuvre de l’Amendement de Kigali </w:t>
      </w:r>
    </w:p>
    <w:p w14:paraId="391B5515" w14:textId="77777777" w:rsidR="00712E1C" w:rsidRPr="00712E1C" w:rsidRDefault="00712E1C" w:rsidP="006256C5">
      <w:pPr>
        <w:pStyle w:val="Heading1"/>
        <w:keepNext/>
        <w:keepLines/>
        <w:rPr>
          <w:lang w:val="fr-FR"/>
        </w:rPr>
      </w:pPr>
      <w:r w:rsidRPr="00712E1C">
        <w:rPr>
          <w:lang w:val="fr-FR"/>
        </w:rPr>
        <w:t>Au total, 2,33 millions $ US sont inclus au plan d’activités pour les activités de préparation de projet pour les programmes de mise en œuvre de l’Amendement de Kigali</w:t>
      </w:r>
      <w:r w:rsidRPr="00712E1C">
        <w:rPr>
          <w:rStyle w:val="FootnoteReference"/>
          <w:lang w:val="fr-FR"/>
        </w:rPr>
        <w:footnoteReference w:id="6"/>
      </w:r>
      <w:r w:rsidRPr="00712E1C">
        <w:rPr>
          <w:lang w:val="fr-FR"/>
        </w:rPr>
        <w:t xml:space="preserve"> pour 21 pays pour la période 2023–2025. </w:t>
      </w:r>
    </w:p>
    <w:p w14:paraId="689BE363" w14:textId="77777777" w:rsidR="00712E1C" w:rsidRPr="00712E1C" w:rsidRDefault="00712E1C" w:rsidP="00712E1C">
      <w:pPr>
        <w:pStyle w:val="Heading1"/>
        <w:rPr>
          <w:lang w:val="fr-FR"/>
        </w:rPr>
      </w:pPr>
      <w:r w:rsidRPr="00712E1C">
        <w:rPr>
          <w:lang w:val="fr-FR"/>
        </w:rPr>
        <w:t xml:space="preserve">Dix-neuf des 21 pays pour lesquels des activités de préparation de projets pour les programmes de mise en œuvre de l’Amendement de Kigali n’ont pas encore ratifié l’Amendement de Kigali, mais ont soumis la lettre requise de leur gouvernement respectif indiquant leur intention de faire tout leur possible pour ratifier l’Amendement de Kigali. </w:t>
      </w:r>
    </w:p>
    <w:p w14:paraId="3F6F4839" w14:textId="77777777" w:rsidR="00712E1C" w:rsidRPr="00712E1C" w:rsidRDefault="00712E1C" w:rsidP="00712E1C">
      <w:pPr>
        <w:pStyle w:val="Heading1"/>
        <w:numPr>
          <w:ilvl w:val="0"/>
          <w:numId w:val="0"/>
        </w:numPr>
        <w:rPr>
          <w:u w:val="single"/>
          <w:lang w:val="fr-FR"/>
        </w:rPr>
      </w:pPr>
      <w:r w:rsidRPr="00712E1C">
        <w:rPr>
          <w:u w:val="single"/>
          <w:lang w:val="fr-FR"/>
        </w:rPr>
        <w:t>Programmes de mise en œuvre de l’Amendement de Kigali</w:t>
      </w:r>
    </w:p>
    <w:p w14:paraId="2B3284D4" w14:textId="77777777" w:rsidR="00712E1C" w:rsidRPr="00712E1C" w:rsidRDefault="00712E1C" w:rsidP="00712E1C">
      <w:pPr>
        <w:pStyle w:val="Heading1"/>
        <w:rPr>
          <w:lang w:val="fr-FR"/>
        </w:rPr>
      </w:pPr>
      <w:r w:rsidRPr="00712E1C">
        <w:rPr>
          <w:lang w:val="fr-FR"/>
        </w:rPr>
        <w:t>Au total, 23,59 millions $ US sont inclus dans le plan d’activités pour les programmes de mise en œuvre de l’Amendement de Kigali</w:t>
      </w:r>
      <w:r w:rsidRPr="00712E1C">
        <w:rPr>
          <w:rStyle w:val="FootnoteReference"/>
          <w:lang w:val="fr-FR"/>
        </w:rPr>
        <w:footnoteReference w:id="7"/>
      </w:r>
      <w:r w:rsidRPr="00712E1C">
        <w:rPr>
          <w:lang w:val="fr-FR"/>
        </w:rPr>
        <w:t xml:space="preserve"> pour 44 pays (dont 8,8 millions $ US pour la période 2023–2025 et 14,78 millions $ US pour la période ultérieure à 2025).  En outre, l’ONUDI a également inclus des projets d’investissement du programme de mise en œuvre de l’Amendement de Kigali pour un pays (Liban) d’un montant de 321 000 $ US en 2023. Tous ces pays ont ratifié l’Amendement de Kigali. </w:t>
      </w:r>
    </w:p>
    <w:p w14:paraId="4C1E95DA" w14:textId="77777777" w:rsidR="00712E1C" w:rsidRPr="00712E1C" w:rsidRDefault="00712E1C" w:rsidP="00712E1C">
      <w:pPr>
        <w:pStyle w:val="Heading1"/>
        <w:numPr>
          <w:ilvl w:val="0"/>
          <w:numId w:val="0"/>
        </w:numPr>
        <w:rPr>
          <w:b/>
          <w:bCs/>
          <w:lang w:val="fr-FR"/>
        </w:rPr>
      </w:pPr>
      <w:r w:rsidRPr="00712E1C">
        <w:rPr>
          <w:b/>
          <w:lang w:val="fr-FR"/>
        </w:rPr>
        <w:t>II.3</w:t>
      </w:r>
      <w:r w:rsidRPr="00712E1C">
        <w:rPr>
          <w:b/>
          <w:lang w:val="fr-FR"/>
        </w:rPr>
        <w:tab/>
        <w:t>Coûts unitaires de base</w:t>
      </w:r>
    </w:p>
    <w:p w14:paraId="4C67A80F" w14:textId="77777777" w:rsidR="00712E1C" w:rsidRPr="00712E1C" w:rsidRDefault="00712E1C" w:rsidP="00712E1C">
      <w:pPr>
        <w:pStyle w:val="Heading1"/>
        <w:rPr>
          <w:lang w:val="fr-FR"/>
        </w:rPr>
      </w:pPr>
      <w:r w:rsidRPr="00712E1C">
        <w:rPr>
          <w:lang w:val="fr-FR"/>
        </w:rPr>
        <w:t>Comme convenu, les coûts unitaires de base</w:t>
      </w:r>
      <w:r w:rsidRPr="00712E1C">
        <w:rPr>
          <w:rStyle w:val="FootnoteReference"/>
          <w:lang w:val="fr-FR"/>
        </w:rPr>
        <w:footnoteReference w:id="8"/>
      </w:r>
      <w:r w:rsidRPr="00712E1C">
        <w:rPr>
          <w:lang w:val="fr-FR"/>
        </w:rPr>
        <w:t xml:space="preserve"> devraient normalement augmenter de 0,7 pour cent par an. </w:t>
      </w:r>
    </w:p>
    <w:p w14:paraId="3FA71573" w14:textId="77777777" w:rsidR="00712E1C" w:rsidRPr="00712E1C" w:rsidRDefault="00712E1C" w:rsidP="00712E1C">
      <w:pPr>
        <w:keepNext/>
        <w:spacing w:after="240"/>
        <w:rPr>
          <w:b/>
          <w:sz w:val="24"/>
          <w:szCs w:val="24"/>
          <w:lang w:val="fr-FR"/>
        </w:rPr>
      </w:pPr>
      <w:r w:rsidRPr="00712E1C">
        <w:rPr>
          <w:b/>
          <w:sz w:val="24"/>
          <w:lang w:val="fr-FR"/>
        </w:rPr>
        <w:t>III.</w:t>
      </w:r>
      <w:r w:rsidRPr="00712E1C">
        <w:rPr>
          <w:b/>
          <w:sz w:val="24"/>
          <w:lang w:val="fr-FR"/>
        </w:rPr>
        <w:tab/>
        <w:t>Ajustements proposés par le Secrétariat</w:t>
      </w:r>
    </w:p>
    <w:p w14:paraId="07EEB9FE" w14:textId="77777777" w:rsidR="00712E1C" w:rsidRPr="00712E1C" w:rsidRDefault="00712E1C" w:rsidP="00712E1C">
      <w:pPr>
        <w:pStyle w:val="Heading1"/>
        <w:rPr>
          <w:lang w:val="fr-FR"/>
        </w:rPr>
      </w:pPr>
      <w:r w:rsidRPr="00712E1C">
        <w:rPr>
          <w:lang w:val="fr-FR"/>
        </w:rPr>
        <w:t xml:space="preserve">Les ajustements au plan d’activités de l’ONUDI pour 2023–2025 étaient basés sur les décisions pertinentes du Comité exécutif. En examinant le plan d’activités révisé de l’ONUDI pour 2023–2025, le Secrétariat a noté que les ajustements suivants n’ont pas été inclus : </w:t>
      </w:r>
    </w:p>
    <w:p w14:paraId="6C61F740" w14:textId="77777777" w:rsidR="00712E1C" w:rsidRPr="00712E1C" w:rsidRDefault="00712E1C" w:rsidP="00712E1C">
      <w:pPr>
        <w:keepNext/>
        <w:rPr>
          <w:b/>
          <w:bCs/>
          <w:lang w:val="fr-FR"/>
        </w:rPr>
      </w:pPr>
      <w:r w:rsidRPr="00712E1C">
        <w:rPr>
          <w:b/>
          <w:lang w:val="fr-FR"/>
        </w:rPr>
        <w:t>Tableau 2. Ajustements du plan d’activités de l’ONUDI pour 2023–2025 ($ US)* – conformément à la proposition du Secrétariat</w:t>
      </w:r>
    </w:p>
    <w:tbl>
      <w:tblPr>
        <w:tblStyle w:val="TableGrid"/>
        <w:tblW w:w="9360" w:type="dxa"/>
        <w:tblLook w:val="04A0" w:firstRow="1" w:lastRow="0" w:firstColumn="1" w:lastColumn="0" w:noHBand="0" w:noVBand="1"/>
      </w:tblPr>
      <w:tblGrid>
        <w:gridCol w:w="6750"/>
        <w:gridCol w:w="1263"/>
        <w:gridCol w:w="1347"/>
      </w:tblGrid>
      <w:tr w:rsidR="00712E1C" w:rsidRPr="00712E1C" w14:paraId="5761A3FF" w14:textId="77777777" w:rsidTr="007F2105">
        <w:trPr>
          <w:tblHeader/>
        </w:trPr>
        <w:tc>
          <w:tcPr>
            <w:tcW w:w="6750" w:type="dxa"/>
          </w:tcPr>
          <w:p w14:paraId="05573203" w14:textId="77777777" w:rsidR="00712E1C" w:rsidRPr="00712E1C" w:rsidRDefault="00712E1C" w:rsidP="007F2105">
            <w:pPr>
              <w:keepNext/>
              <w:rPr>
                <w:b/>
                <w:sz w:val="20"/>
                <w:szCs w:val="20"/>
                <w:lang w:val="fr-FR"/>
              </w:rPr>
            </w:pPr>
            <w:r w:rsidRPr="00712E1C">
              <w:rPr>
                <w:b/>
                <w:sz w:val="20"/>
                <w:lang w:val="fr-FR"/>
              </w:rPr>
              <w:t>Ajustement</w:t>
            </w:r>
          </w:p>
        </w:tc>
        <w:tc>
          <w:tcPr>
            <w:tcW w:w="1263" w:type="dxa"/>
          </w:tcPr>
          <w:p w14:paraId="7D2655F5" w14:textId="77777777" w:rsidR="00712E1C" w:rsidRPr="00712E1C" w:rsidRDefault="00712E1C" w:rsidP="007F2105">
            <w:pPr>
              <w:keepNext/>
              <w:jc w:val="center"/>
              <w:rPr>
                <w:b/>
                <w:sz w:val="20"/>
                <w:szCs w:val="20"/>
                <w:lang w:val="fr-FR"/>
              </w:rPr>
            </w:pPr>
            <w:r w:rsidRPr="00712E1C">
              <w:rPr>
                <w:b/>
                <w:sz w:val="20"/>
                <w:lang w:val="fr-FR"/>
              </w:rPr>
              <w:t xml:space="preserve">2023–2025 </w:t>
            </w:r>
          </w:p>
        </w:tc>
        <w:tc>
          <w:tcPr>
            <w:tcW w:w="1347" w:type="dxa"/>
          </w:tcPr>
          <w:p w14:paraId="42BC9309" w14:textId="77777777" w:rsidR="00712E1C" w:rsidRPr="00712E1C" w:rsidRDefault="00712E1C" w:rsidP="007F2105">
            <w:pPr>
              <w:keepNext/>
              <w:jc w:val="center"/>
              <w:rPr>
                <w:b/>
                <w:sz w:val="20"/>
                <w:szCs w:val="20"/>
                <w:lang w:val="fr-FR"/>
              </w:rPr>
            </w:pPr>
            <w:r w:rsidRPr="00712E1C">
              <w:rPr>
                <w:b/>
                <w:sz w:val="20"/>
                <w:lang w:val="fr-FR"/>
              </w:rPr>
              <w:t>Après 2025</w:t>
            </w:r>
          </w:p>
        </w:tc>
      </w:tr>
      <w:tr w:rsidR="00712E1C" w:rsidRPr="00712E1C" w14:paraId="18737044" w14:textId="77777777" w:rsidTr="007F2105">
        <w:trPr>
          <w:tblHeader/>
        </w:trPr>
        <w:tc>
          <w:tcPr>
            <w:tcW w:w="6750" w:type="dxa"/>
          </w:tcPr>
          <w:p w14:paraId="57DD64C6" w14:textId="77777777" w:rsidR="00712E1C" w:rsidRPr="00712E1C" w:rsidRDefault="00712E1C" w:rsidP="007F2105">
            <w:pPr>
              <w:keepNext/>
              <w:rPr>
                <w:b/>
                <w:sz w:val="20"/>
                <w:szCs w:val="20"/>
                <w:lang w:val="fr-FR"/>
              </w:rPr>
            </w:pPr>
            <w:r w:rsidRPr="00712E1C">
              <w:rPr>
                <w:sz w:val="20"/>
                <w:lang w:val="fr-FR"/>
              </w:rPr>
              <w:t>Valeurs des PGEH pour refléter les montants réels approuvés dans le cadre des Accords, y compris les tranches de PGEH qui ont été soumises à la 91</w:t>
            </w:r>
            <w:r w:rsidRPr="00712E1C">
              <w:rPr>
                <w:sz w:val="20"/>
                <w:vertAlign w:val="superscript"/>
                <w:lang w:val="fr-FR"/>
              </w:rPr>
              <w:t>e</w:t>
            </w:r>
            <w:r w:rsidRPr="00712E1C">
              <w:rPr>
                <w:sz w:val="20"/>
                <w:lang w:val="fr-FR"/>
              </w:rPr>
              <w:t> réunion mais ultérieurement annulées</w:t>
            </w:r>
          </w:p>
        </w:tc>
        <w:tc>
          <w:tcPr>
            <w:tcW w:w="1263" w:type="dxa"/>
          </w:tcPr>
          <w:p w14:paraId="636FD26D" w14:textId="77777777" w:rsidR="00712E1C" w:rsidRPr="00712E1C" w:rsidRDefault="00712E1C" w:rsidP="007F2105">
            <w:pPr>
              <w:jc w:val="right"/>
              <w:rPr>
                <w:sz w:val="20"/>
                <w:szCs w:val="20"/>
                <w:lang w:val="fr-FR"/>
              </w:rPr>
            </w:pPr>
            <w:r w:rsidRPr="00712E1C">
              <w:rPr>
                <w:sz w:val="20"/>
                <w:lang w:val="fr-FR"/>
              </w:rPr>
              <w:t>342 400</w:t>
            </w:r>
          </w:p>
        </w:tc>
        <w:tc>
          <w:tcPr>
            <w:tcW w:w="1347" w:type="dxa"/>
          </w:tcPr>
          <w:p w14:paraId="53E878E9" w14:textId="77777777" w:rsidR="00712E1C" w:rsidRPr="00712E1C" w:rsidRDefault="00712E1C" w:rsidP="007F2105">
            <w:pPr>
              <w:jc w:val="right"/>
              <w:rPr>
                <w:sz w:val="20"/>
                <w:szCs w:val="20"/>
                <w:lang w:val="fr-FR"/>
              </w:rPr>
            </w:pPr>
            <w:r w:rsidRPr="00712E1C">
              <w:rPr>
                <w:sz w:val="20"/>
                <w:lang w:val="fr-FR"/>
              </w:rPr>
              <w:t>0</w:t>
            </w:r>
          </w:p>
        </w:tc>
      </w:tr>
      <w:tr w:rsidR="00712E1C" w:rsidRPr="00712E1C" w14:paraId="4416CD59" w14:textId="77777777" w:rsidTr="007F2105">
        <w:tc>
          <w:tcPr>
            <w:tcW w:w="6750" w:type="dxa"/>
          </w:tcPr>
          <w:p w14:paraId="1FA6B094" w14:textId="77777777" w:rsidR="00712E1C" w:rsidRPr="00712E1C" w:rsidRDefault="00712E1C" w:rsidP="007F2105">
            <w:pPr>
              <w:jc w:val="left"/>
              <w:rPr>
                <w:sz w:val="20"/>
                <w:szCs w:val="20"/>
                <w:lang w:val="fr-FR"/>
              </w:rPr>
            </w:pPr>
            <w:r w:rsidRPr="00712E1C">
              <w:rPr>
                <w:sz w:val="20"/>
                <w:lang w:val="fr-FR"/>
              </w:rPr>
              <w:t xml:space="preserve">Assistance technique pour les HCFC </w:t>
            </w:r>
          </w:p>
        </w:tc>
        <w:tc>
          <w:tcPr>
            <w:tcW w:w="1263" w:type="dxa"/>
            <w:shd w:val="clear" w:color="auto" w:fill="auto"/>
          </w:tcPr>
          <w:p w14:paraId="58D0E95E" w14:textId="77777777" w:rsidR="00712E1C" w:rsidRPr="00712E1C" w:rsidRDefault="00712E1C" w:rsidP="007F2105">
            <w:pPr>
              <w:jc w:val="right"/>
              <w:rPr>
                <w:sz w:val="20"/>
                <w:szCs w:val="20"/>
                <w:lang w:val="fr-FR"/>
              </w:rPr>
            </w:pPr>
            <w:r w:rsidRPr="00712E1C">
              <w:rPr>
                <w:sz w:val="20"/>
                <w:lang w:val="fr-FR"/>
              </w:rPr>
              <w:t>(535 000)</w:t>
            </w:r>
          </w:p>
        </w:tc>
        <w:tc>
          <w:tcPr>
            <w:tcW w:w="1347" w:type="dxa"/>
            <w:shd w:val="clear" w:color="auto" w:fill="auto"/>
          </w:tcPr>
          <w:p w14:paraId="61959F8D" w14:textId="77777777" w:rsidR="00712E1C" w:rsidRPr="00712E1C" w:rsidRDefault="00712E1C" w:rsidP="007F2105">
            <w:pPr>
              <w:jc w:val="right"/>
              <w:rPr>
                <w:sz w:val="20"/>
                <w:szCs w:val="20"/>
                <w:lang w:val="fr-FR"/>
              </w:rPr>
            </w:pPr>
            <w:r w:rsidRPr="00712E1C">
              <w:rPr>
                <w:sz w:val="20"/>
                <w:lang w:val="fr-FR"/>
              </w:rPr>
              <w:t>0</w:t>
            </w:r>
          </w:p>
        </w:tc>
      </w:tr>
      <w:tr w:rsidR="00712E1C" w:rsidRPr="00712E1C" w14:paraId="6F898908" w14:textId="77777777" w:rsidTr="007F2105">
        <w:tc>
          <w:tcPr>
            <w:tcW w:w="6750" w:type="dxa"/>
          </w:tcPr>
          <w:p w14:paraId="39D0A31A" w14:textId="77777777" w:rsidR="00712E1C" w:rsidRPr="00712E1C" w:rsidRDefault="00712E1C" w:rsidP="007F2105">
            <w:pPr>
              <w:jc w:val="left"/>
              <w:rPr>
                <w:sz w:val="20"/>
                <w:szCs w:val="20"/>
                <w:lang w:val="fr-FR"/>
              </w:rPr>
            </w:pPr>
            <w:r w:rsidRPr="00712E1C">
              <w:rPr>
                <w:sz w:val="20"/>
                <w:lang w:val="fr-FR"/>
              </w:rPr>
              <w:t>PRP pour les programmes de mise en œuvre de l’Amendement de Kigali conformément à la décision 87/50 ou soumis à la 91</w:t>
            </w:r>
            <w:r w:rsidRPr="00712E1C">
              <w:rPr>
                <w:sz w:val="20"/>
                <w:vertAlign w:val="superscript"/>
                <w:lang w:val="fr-FR"/>
              </w:rPr>
              <w:t>e</w:t>
            </w:r>
            <w:r w:rsidRPr="00712E1C">
              <w:rPr>
                <w:sz w:val="20"/>
                <w:lang w:val="fr-FR"/>
              </w:rPr>
              <w:t> réunion</w:t>
            </w:r>
          </w:p>
        </w:tc>
        <w:tc>
          <w:tcPr>
            <w:tcW w:w="1263" w:type="dxa"/>
            <w:shd w:val="clear" w:color="auto" w:fill="auto"/>
          </w:tcPr>
          <w:p w14:paraId="140DF922" w14:textId="77777777" w:rsidR="00712E1C" w:rsidRPr="00712E1C" w:rsidRDefault="00712E1C" w:rsidP="007F2105">
            <w:pPr>
              <w:jc w:val="right"/>
              <w:rPr>
                <w:sz w:val="20"/>
                <w:szCs w:val="20"/>
                <w:lang w:val="fr-FR"/>
              </w:rPr>
            </w:pPr>
            <w:r w:rsidRPr="00712E1C">
              <w:rPr>
                <w:sz w:val="20"/>
                <w:lang w:val="fr-FR"/>
              </w:rPr>
              <w:t>(294 342)</w:t>
            </w:r>
          </w:p>
        </w:tc>
        <w:tc>
          <w:tcPr>
            <w:tcW w:w="1347" w:type="dxa"/>
            <w:shd w:val="clear" w:color="auto" w:fill="auto"/>
          </w:tcPr>
          <w:p w14:paraId="771B5B46" w14:textId="77777777" w:rsidR="00712E1C" w:rsidRPr="00712E1C" w:rsidRDefault="00712E1C" w:rsidP="007F2105">
            <w:pPr>
              <w:jc w:val="right"/>
              <w:rPr>
                <w:sz w:val="20"/>
                <w:szCs w:val="20"/>
                <w:lang w:val="fr-FR"/>
              </w:rPr>
            </w:pPr>
            <w:r w:rsidRPr="00712E1C">
              <w:rPr>
                <w:sz w:val="20"/>
                <w:lang w:val="fr-FR"/>
              </w:rPr>
              <w:t>0</w:t>
            </w:r>
          </w:p>
        </w:tc>
      </w:tr>
    </w:tbl>
    <w:p w14:paraId="0A5AFACF" w14:textId="77777777" w:rsidR="00712E1C" w:rsidRPr="00712E1C" w:rsidRDefault="00712E1C" w:rsidP="00B63B73">
      <w:pPr>
        <w:widowControl w:val="0"/>
        <w:spacing w:after="120"/>
        <w:rPr>
          <w:sz w:val="19"/>
          <w:szCs w:val="19"/>
          <w:lang w:val="fr-FR"/>
        </w:rPr>
      </w:pPr>
      <w:r w:rsidRPr="00712E1C">
        <w:rPr>
          <w:sz w:val="19"/>
          <w:lang w:val="fr-FR"/>
        </w:rPr>
        <w:t>* Y compris les coûts d’appui d’agence, le cas échéant.</w:t>
      </w:r>
    </w:p>
    <w:p w14:paraId="4B3BCACB" w14:textId="77777777" w:rsidR="00712E1C" w:rsidRPr="00712E1C" w:rsidRDefault="00712E1C" w:rsidP="00B63B73">
      <w:pPr>
        <w:pStyle w:val="Heading1"/>
        <w:widowControl w:val="0"/>
        <w:spacing w:after="120"/>
        <w:rPr>
          <w:lang w:val="fr-FR"/>
        </w:rPr>
      </w:pPr>
      <w:r w:rsidRPr="00712E1C">
        <w:rPr>
          <w:lang w:val="fr-FR"/>
        </w:rPr>
        <w:lastRenderedPageBreak/>
        <w:t>Le tableau 3 présente les résultats des ajustements proposés par le Secrétariat au plan d’activités de l’ONUDI pour 2023–2025, lesquels sont également abordés dans le contexte du plan d’activités consolidé du Fonds multilatéral pour 2023–2025.</w:t>
      </w:r>
      <w:r w:rsidRPr="00712E1C">
        <w:rPr>
          <w:rStyle w:val="FootnoteReference"/>
          <w:lang w:val="fr-FR"/>
        </w:rPr>
        <w:footnoteReference w:id="9"/>
      </w:r>
    </w:p>
    <w:p w14:paraId="4FDFA556" w14:textId="47D18A03" w:rsidR="00712E1C" w:rsidRPr="00712E1C" w:rsidRDefault="00712E1C" w:rsidP="00712E1C">
      <w:pPr>
        <w:pStyle w:val="Heading1"/>
        <w:keepNext/>
        <w:keepLines/>
        <w:numPr>
          <w:ilvl w:val="0"/>
          <w:numId w:val="0"/>
        </w:numPr>
        <w:spacing w:after="0"/>
        <w:rPr>
          <w:b/>
          <w:lang w:val="fr-FR"/>
        </w:rPr>
      </w:pPr>
      <w:r w:rsidRPr="00712E1C">
        <w:rPr>
          <w:b/>
          <w:lang w:val="fr-FR"/>
        </w:rPr>
        <w:t>Tableau 3. Répartition des ressources dans le plan d’activités ajusté de l’ONUDI pour 2023–2025 ($</w:t>
      </w:r>
      <w:r w:rsidR="00B63B73">
        <w:rPr>
          <w:b/>
          <w:lang w:val="fr-FR"/>
        </w:rPr>
        <w:t> </w:t>
      </w:r>
      <w:proofErr w:type="gramStart"/>
      <w:r w:rsidRPr="00712E1C">
        <w:rPr>
          <w:b/>
          <w:lang w:val="fr-FR"/>
        </w:rPr>
        <w:t>US)*</w:t>
      </w:r>
      <w:proofErr w:type="gramEnd"/>
    </w:p>
    <w:tbl>
      <w:tblPr>
        <w:tblW w:w="9361" w:type="dxa"/>
        <w:tblLook w:val="04A0" w:firstRow="1" w:lastRow="0" w:firstColumn="1" w:lastColumn="0" w:noHBand="0" w:noVBand="1"/>
      </w:tblPr>
      <w:tblGrid>
        <w:gridCol w:w="3256"/>
        <w:gridCol w:w="1276"/>
        <w:gridCol w:w="1134"/>
        <w:gridCol w:w="1134"/>
        <w:gridCol w:w="1276"/>
        <w:gridCol w:w="1285"/>
      </w:tblGrid>
      <w:tr w:rsidR="00712E1C" w:rsidRPr="00712E1C" w14:paraId="7129F304" w14:textId="77777777" w:rsidTr="00B63B73">
        <w:trPr>
          <w:trHeight w:val="121"/>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6BB0B"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Description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5D276EE" w14:textId="77777777" w:rsidR="00712E1C" w:rsidRPr="00712E1C" w:rsidRDefault="00712E1C" w:rsidP="007F2105">
            <w:pPr>
              <w:jc w:val="center"/>
              <w:rPr>
                <w:rFonts w:asciiTheme="majorBidi" w:hAnsiTheme="majorBidi" w:cstheme="majorBidi"/>
                <w:b/>
                <w:bCs/>
                <w:sz w:val="20"/>
                <w:szCs w:val="20"/>
                <w:lang w:val="fr-FR"/>
              </w:rPr>
            </w:pPr>
            <w:r w:rsidRPr="00712E1C">
              <w:rPr>
                <w:rFonts w:asciiTheme="majorBidi" w:hAnsiTheme="majorBidi"/>
                <w:b/>
                <w:sz w:val="20"/>
                <w:lang w:val="fr-FR"/>
              </w:rPr>
              <w:t>2023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6294B72" w14:textId="77777777" w:rsidR="00712E1C" w:rsidRPr="00712E1C" w:rsidRDefault="00712E1C" w:rsidP="007F2105">
            <w:pPr>
              <w:jc w:val="center"/>
              <w:rPr>
                <w:rFonts w:asciiTheme="majorBidi" w:hAnsiTheme="majorBidi" w:cstheme="majorBidi"/>
                <w:b/>
                <w:bCs/>
                <w:sz w:val="20"/>
                <w:szCs w:val="20"/>
                <w:lang w:val="fr-FR"/>
              </w:rPr>
            </w:pPr>
            <w:r w:rsidRPr="00712E1C">
              <w:rPr>
                <w:rFonts w:asciiTheme="majorBidi" w:hAnsiTheme="majorBidi"/>
                <w:b/>
                <w:sz w:val="20"/>
                <w:lang w:val="fr-FR"/>
              </w:rPr>
              <w:t>2024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9403D16" w14:textId="77777777" w:rsidR="00712E1C" w:rsidRPr="00712E1C" w:rsidRDefault="00712E1C" w:rsidP="007F2105">
            <w:pPr>
              <w:jc w:val="center"/>
              <w:rPr>
                <w:rFonts w:asciiTheme="majorBidi" w:hAnsiTheme="majorBidi" w:cstheme="majorBidi"/>
                <w:b/>
                <w:bCs/>
                <w:sz w:val="20"/>
                <w:szCs w:val="20"/>
                <w:lang w:val="fr-FR"/>
              </w:rPr>
            </w:pPr>
            <w:r w:rsidRPr="00712E1C">
              <w:rPr>
                <w:rFonts w:asciiTheme="majorBidi" w:hAnsiTheme="majorBidi"/>
                <w:b/>
                <w:sz w:val="20"/>
                <w:lang w:val="fr-FR"/>
              </w:rPr>
              <w:t>2025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0746BAF" w14:textId="77777777" w:rsidR="00712E1C" w:rsidRPr="00712E1C" w:rsidRDefault="00712E1C" w:rsidP="007F2105">
            <w:pPr>
              <w:jc w:val="center"/>
              <w:rPr>
                <w:rFonts w:asciiTheme="majorBidi" w:hAnsiTheme="majorBidi" w:cstheme="majorBidi"/>
                <w:b/>
                <w:bCs/>
                <w:sz w:val="20"/>
                <w:szCs w:val="20"/>
                <w:lang w:val="fr-FR"/>
              </w:rPr>
            </w:pPr>
            <w:r w:rsidRPr="00712E1C">
              <w:rPr>
                <w:rFonts w:asciiTheme="majorBidi" w:hAnsiTheme="majorBidi"/>
                <w:b/>
                <w:sz w:val="20"/>
                <w:lang w:val="fr-FR"/>
              </w:rPr>
              <w:t>Total (2023–2025)</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14:paraId="5D53C142" w14:textId="77777777" w:rsidR="00712E1C" w:rsidRPr="00712E1C" w:rsidRDefault="00712E1C" w:rsidP="007F2105">
            <w:pPr>
              <w:jc w:val="center"/>
              <w:rPr>
                <w:rFonts w:asciiTheme="majorBidi" w:hAnsiTheme="majorBidi" w:cstheme="majorBidi"/>
                <w:b/>
                <w:bCs/>
                <w:sz w:val="20"/>
                <w:szCs w:val="20"/>
                <w:lang w:val="fr-FR"/>
              </w:rPr>
            </w:pPr>
            <w:r w:rsidRPr="00712E1C">
              <w:rPr>
                <w:rFonts w:asciiTheme="majorBidi" w:hAnsiTheme="majorBidi"/>
                <w:b/>
                <w:sz w:val="20"/>
                <w:lang w:val="fr-FR"/>
              </w:rPr>
              <w:t>Total après 2025</w:t>
            </w:r>
          </w:p>
        </w:tc>
      </w:tr>
      <w:tr w:rsidR="00712E1C" w:rsidRPr="00712E1C" w14:paraId="100442BC" w14:textId="77777777" w:rsidTr="00B63B73">
        <w:trPr>
          <w:trHeight w:val="71"/>
          <w:tblHeader/>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CCBD3"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Activités pour les HCFC</w:t>
            </w:r>
          </w:p>
        </w:tc>
      </w:tr>
      <w:tr w:rsidR="00712E1C" w:rsidRPr="00712E1C" w14:paraId="0F7C1A5F" w14:textId="77777777" w:rsidTr="007F2105">
        <w:trPr>
          <w:trHeight w:val="117"/>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E80DB20"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PGEH approuvés</w:t>
            </w:r>
          </w:p>
        </w:tc>
        <w:tc>
          <w:tcPr>
            <w:tcW w:w="1276" w:type="dxa"/>
            <w:tcBorders>
              <w:top w:val="nil"/>
              <w:left w:val="nil"/>
              <w:bottom w:val="single" w:sz="4" w:space="0" w:color="auto"/>
              <w:right w:val="single" w:sz="4" w:space="0" w:color="auto"/>
            </w:tcBorders>
            <w:shd w:val="clear" w:color="auto" w:fill="auto"/>
            <w:noWrap/>
            <w:vAlign w:val="center"/>
            <w:hideMark/>
          </w:tcPr>
          <w:p w14:paraId="0063104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24 118 155</w:t>
            </w:r>
          </w:p>
        </w:tc>
        <w:tc>
          <w:tcPr>
            <w:tcW w:w="1134" w:type="dxa"/>
            <w:tcBorders>
              <w:top w:val="nil"/>
              <w:left w:val="nil"/>
              <w:bottom w:val="single" w:sz="4" w:space="0" w:color="auto"/>
              <w:right w:val="single" w:sz="4" w:space="0" w:color="auto"/>
            </w:tcBorders>
            <w:shd w:val="clear" w:color="auto" w:fill="auto"/>
            <w:noWrap/>
            <w:vAlign w:val="center"/>
            <w:hideMark/>
          </w:tcPr>
          <w:p w14:paraId="7374295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6 334 683</w:t>
            </w:r>
          </w:p>
        </w:tc>
        <w:tc>
          <w:tcPr>
            <w:tcW w:w="1134" w:type="dxa"/>
            <w:tcBorders>
              <w:top w:val="nil"/>
              <w:left w:val="nil"/>
              <w:bottom w:val="single" w:sz="4" w:space="0" w:color="auto"/>
              <w:right w:val="single" w:sz="4" w:space="0" w:color="auto"/>
            </w:tcBorders>
            <w:shd w:val="clear" w:color="auto" w:fill="auto"/>
            <w:noWrap/>
            <w:vAlign w:val="center"/>
            <w:hideMark/>
          </w:tcPr>
          <w:p w14:paraId="4A63D01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17 754 079</w:t>
            </w:r>
          </w:p>
        </w:tc>
        <w:tc>
          <w:tcPr>
            <w:tcW w:w="1276" w:type="dxa"/>
            <w:tcBorders>
              <w:top w:val="nil"/>
              <w:left w:val="nil"/>
              <w:bottom w:val="single" w:sz="4" w:space="0" w:color="auto"/>
              <w:right w:val="single" w:sz="4" w:space="0" w:color="auto"/>
            </w:tcBorders>
            <w:shd w:val="clear" w:color="auto" w:fill="auto"/>
            <w:noWrap/>
            <w:vAlign w:val="center"/>
            <w:hideMark/>
          </w:tcPr>
          <w:p w14:paraId="7233F65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48 206 917</w:t>
            </w:r>
          </w:p>
        </w:tc>
        <w:tc>
          <w:tcPr>
            <w:tcW w:w="1280" w:type="dxa"/>
            <w:tcBorders>
              <w:top w:val="nil"/>
              <w:left w:val="nil"/>
              <w:bottom w:val="single" w:sz="4" w:space="0" w:color="auto"/>
              <w:right w:val="single" w:sz="4" w:space="0" w:color="auto"/>
            </w:tcBorders>
            <w:shd w:val="clear" w:color="auto" w:fill="auto"/>
            <w:noWrap/>
            <w:vAlign w:val="center"/>
            <w:hideMark/>
          </w:tcPr>
          <w:p w14:paraId="4E7F94CB"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21 398 881</w:t>
            </w:r>
          </w:p>
        </w:tc>
      </w:tr>
      <w:tr w:rsidR="00712E1C" w:rsidRPr="00712E1C" w14:paraId="64C98F7C" w14:textId="77777777" w:rsidTr="007F2105">
        <w:trPr>
          <w:trHeight w:val="16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70C7432"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PRP PGEH – phase II</w:t>
            </w:r>
          </w:p>
        </w:tc>
        <w:tc>
          <w:tcPr>
            <w:tcW w:w="1276" w:type="dxa"/>
            <w:tcBorders>
              <w:top w:val="nil"/>
              <w:left w:val="nil"/>
              <w:bottom w:val="single" w:sz="4" w:space="0" w:color="auto"/>
              <w:right w:val="single" w:sz="4" w:space="0" w:color="auto"/>
            </w:tcBorders>
            <w:shd w:val="clear" w:color="auto" w:fill="auto"/>
            <w:noWrap/>
            <w:vAlign w:val="center"/>
            <w:hideMark/>
          </w:tcPr>
          <w:p w14:paraId="23D27928"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28 890</w:t>
            </w:r>
          </w:p>
        </w:tc>
        <w:tc>
          <w:tcPr>
            <w:tcW w:w="1134" w:type="dxa"/>
            <w:tcBorders>
              <w:top w:val="nil"/>
              <w:left w:val="nil"/>
              <w:bottom w:val="single" w:sz="4" w:space="0" w:color="auto"/>
              <w:right w:val="single" w:sz="4" w:space="0" w:color="auto"/>
            </w:tcBorders>
            <w:shd w:val="clear" w:color="auto" w:fill="auto"/>
            <w:noWrap/>
            <w:vAlign w:val="center"/>
            <w:hideMark/>
          </w:tcPr>
          <w:p w14:paraId="5C7EC8F3"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26 750</w:t>
            </w:r>
          </w:p>
        </w:tc>
        <w:tc>
          <w:tcPr>
            <w:tcW w:w="1134" w:type="dxa"/>
            <w:tcBorders>
              <w:top w:val="nil"/>
              <w:left w:val="nil"/>
              <w:bottom w:val="single" w:sz="4" w:space="0" w:color="auto"/>
              <w:right w:val="single" w:sz="4" w:space="0" w:color="auto"/>
            </w:tcBorders>
            <w:shd w:val="clear" w:color="auto" w:fill="auto"/>
            <w:noWrap/>
            <w:vAlign w:val="center"/>
            <w:hideMark/>
          </w:tcPr>
          <w:p w14:paraId="06EFEED1"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3DA987E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55 640</w:t>
            </w:r>
          </w:p>
        </w:tc>
        <w:tc>
          <w:tcPr>
            <w:tcW w:w="1280" w:type="dxa"/>
            <w:tcBorders>
              <w:top w:val="nil"/>
              <w:left w:val="nil"/>
              <w:bottom w:val="single" w:sz="4" w:space="0" w:color="auto"/>
              <w:right w:val="single" w:sz="4" w:space="0" w:color="auto"/>
            </w:tcBorders>
            <w:shd w:val="clear" w:color="auto" w:fill="auto"/>
            <w:noWrap/>
            <w:vAlign w:val="center"/>
            <w:hideMark/>
          </w:tcPr>
          <w:p w14:paraId="2BCFFA7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1934215D" w14:textId="77777777" w:rsidTr="007F2105">
        <w:trPr>
          <w:trHeight w:val="67"/>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3926E7A"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 xml:space="preserve">PGEH phase II </w:t>
            </w:r>
          </w:p>
        </w:tc>
        <w:tc>
          <w:tcPr>
            <w:tcW w:w="1276" w:type="dxa"/>
            <w:tcBorders>
              <w:top w:val="nil"/>
              <w:left w:val="nil"/>
              <w:bottom w:val="single" w:sz="4" w:space="0" w:color="auto"/>
              <w:right w:val="single" w:sz="4" w:space="0" w:color="auto"/>
            </w:tcBorders>
            <w:shd w:val="clear" w:color="auto" w:fill="auto"/>
            <w:noWrap/>
            <w:vAlign w:val="center"/>
            <w:hideMark/>
          </w:tcPr>
          <w:p w14:paraId="43A4FD6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1 579 503</w:t>
            </w:r>
          </w:p>
        </w:tc>
        <w:tc>
          <w:tcPr>
            <w:tcW w:w="1134" w:type="dxa"/>
            <w:tcBorders>
              <w:top w:val="nil"/>
              <w:left w:val="nil"/>
              <w:bottom w:val="single" w:sz="4" w:space="0" w:color="auto"/>
              <w:right w:val="single" w:sz="4" w:space="0" w:color="auto"/>
            </w:tcBorders>
            <w:shd w:val="clear" w:color="auto" w:fill="auto"/>
            <w:noWrap/>
            <w:vAlign w:val="center"/>
            <w:hideMark/>
          </w:tcPr>
          <w:p w14:paraId="2B9A7CB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7 951 229</w:t>
            </w:r>
          </w:p>
        </w:tc>
        <w:tc>
          <w:tcPr>
            <w:tcW w:w="1134" w:type="dxa"/>
            <w:tcBorders>
              <w:top w:val="nil"/>
              <w:left w:val="nil"/>
              <w:bottom w:val="single" w:sz="4" w:space="0" w:color="auto"/>
              <w:right w:val="single" w:sz="4" w:space="0" w:color="auto"/>
            </w:tcBorders>
            <w:shd w:val="clear" w:color="auto" w:fill="auto"/>
            <w:noWrap/>
            <w:vAlign w:val="center"/>
            <w:hideMark/>
          </w:tcPr>
          <w:p w14:paraId="60B01F1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2 573 377</w:t>
            </w:r>
          </w:p>
        </w:tc>
        <w:tc>
          <w:tcPr>
            <w:tcW w:w="1276" w:type="dxa"/>
            <w:tcBorders>
              <w:top w:val="nil"/>
              <w:left w:val="nil"/>
              <w:bottom w:val="single" w:sz="4" w:space="0" w:color="auto"/>
              <w:right w:val="single" w:sz="4" w:space="0" w:color="auto"/>
            </w:tcBorders>
            <w:shd w:val="clear" w:color="auto" w:fill="auto"/>
            <w:noWrap/>
            <w:vAlign w:val="center"/>
            <w:hideMark/>
          </w:tcPr>
          <w:p w14:paraId="5FA5E403"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12 104 109</w:t>
            </w:r>
          </w:p>
        </w:tc>
        <w:tc>
          <w:tcPr>
            <w:tcW w:w="1280" w:type="dxa"/>
            <w:tcBorders>
              <w:top w:val="nil"/>
              <w:left w:val="nil"/>
              <w:bottom w:val="single" w:sz="4" w:space="0" w:color="auto"/>
              <w:right w:val="single" w:sz="4" w:space="0" w:color="auto"/>
            </w:tcBorders>
            <w:shd w:val="clear" w:color="auto" w:fill="auto"/>
            <w:noWrap/>
            <w:vAlign w:val="center"/>
            <w:hideMark/>
          </w:tcPr>
          <w:p w14:paraId="7A29307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35 195 286</w:t>
            </w:r>
          </w:p>
        </w:tc>
      </w:tr>
      <w:tr w:rsidR="00712E1C" w:rsidRPr="00712E1C" w14:paraId="68A1DA68" w14:textId="77777777" w:rsidTr="007F2105">
        <w:trPr>
          <w:trHeight w:val="11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FF0BD2E"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PGEH phase II – investissement</w:t>
            </w:r>
          </w:p>
        </w:tc>
        <w:tc>
          <w:tcPr>
            <w:tcW w:w="1276" w:type="dxa"/>
            <w:tcBorders>
              <w:top w:val="nil"/>
              <w:left w:val="nil"/>
              <w:bottom w:val="single" w:sz="4" w:space="0" w:color="auto"/>
              <w:right w:val="single" w:sz="4" w:space="0" w:color="auto"/>
            </w:tcBorders>
            <w:shd w:val="clear" w:color="auto" w:fill="auto"/>
            <w:noWrap/>
            <w:vAlign w:val="center"/>
            <w:hideMark/>
          </w:tcPr>
          <w:p w14:paraId="51968A1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173C824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248 532</w:t>
            </w:r>
          </w:p>
        </w:tc>
        <w:tc>
          <w:tcPr>
            <w:tcW w:w="1134" w:type="dxa"/>
            <w:tcBorders>
              <w:top w:val="nil"/>
              <w:left w:val="nil"/>
              <w:bottom w:val="single" w:sz="4" w:space="0" w:color="auto"/>
              <w:right w:val="single" w:sz="4" w:space="0" w:color="auto"/>
            </w:tcBorders>
            <w:shd w:val="clear" w:color="auto" w:fill="auto"/>
            <w:noWrap/>
            <w:vAlign w:val="center"/>
            <w:hideMark/>
          </w:tcPr>
          <w:p w14:paraId="075EA32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54A6D6D4"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248 532</w:t>
            </w:r>
          </w:p>
        </w:tc>
        <w:tc>
          <w:tcPr>
            <w:tcW w:w="1280" w:type="dxa"/>
            <w:tcBorders>
              <w:top w:val="nil"/>
              <w:left w:val="nil"/>
              <w:bottom w:val="single" w:sz="4" w:space="0" w:color="auto"/>
              <w:right w:val="single" w:sz="4" w:space="0" w:color="auto"/>
            </w:tcBorders>
            <w:shd w:val="clear" w:color="auto" w:fill="auto"/>
            <w:noWrap/>
            <w:vAlign w:val="center"/>
            <w:hideMark/>
          </w:tcPr>
          <w:p w14:paraId="1F8C68E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248 532</w:t>
            </w:r>
          </w:p>
        </w:tc>
      </w:tr>
      <w:tr w:rsidR="00712E1C" w:rsidRPr="00712E1C" w14:paraId="533977AE" w14:textId="77777777" w:rsidTr="007F2105">
        <w:trPr>
          <w:trHeight w:val="14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2444BC39"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PRP PGEH – phase III</w:t>
            </w:r>
          </w:p>
        </w:tc>
        <w:tc>
          <w:tcPr>
            <w:tcW w:w="1276" w:type="dxa"/>
            <w:tcBorders>
              <w:top w:val="nil"/>
              <w:left w:val="nil"/>
              <w:bottom w:val="single" w:sz="4" w:space="0" w:color="auto"/>
              <w:right w:val="single" w:sz="4" w:space="0" w:color="auto"/>
            </w:tcBorders>
            <w:shd w:val="clear" w:color="auto" w:fill="auto"/>
            <w:noWrap/>
            <w:vAlign w:val="center"/>
            <w:hideMark/>
          </w:tcPr>
          <w:p w14:paraId="7BF59485"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42 800</w:t>
            </w:r>
          </w:p>
        </w:tc>
        <w:tc>
          <w:tcPr>
            <w:tcW w:w="1134" w:type="dxa"/>
            <w:tcBorders>
              <w:top w:val="nil"/>
              <w:left w:val="nil"/>
              <w:bottom w:val="single" w:sz="4" w:space="0" w:color="auto"/>
              <w:right w:val="single" w:sz="4" w:space="0" w:color="auto"/>
            </w:tcBorders>
            <w:shd w:val="clear" w:color="auto" w:fill="auto"/>
            <w:noWrap/>
            <w:vAlign w:val="center"/>
            <w:hideMark/>
          </w:tcPr>
          <w:p w14:paraId="174FACE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58 850</w:t>
            </w:r>
          </w:p>
        </w:tc>
        <w:tc>
          <w:tcPr>
            <w:tcW w:w="1134" w:type="dxa"/>
            <w:tcBorders>
              <w:top w:val="nil"/>
              <w:left w:val="nil"/>
              <w:bottom w:val="single" w:sz="4" w:space="0" w:color="auto"/>
              <w:right w:val="single" w:sz="4" w:space="0" w:color="auto"/>
            </w:tcBorders>
            <w:shd w:val="clear" w:color="auto" w:fill="auto"/>
            <w:noWrap/>
            <w:vAlign w:val="center"/>
            <w:hideMark/>
          </w:tcPr>
          <w:p w14:paraId="66A8D3B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75CDE27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101 650</w:t>
            </w:r>
          </w:p>
        </w:tc>
        <w:tc>
          <w:tcPr>
            <w:tcW w:w="1280" w:type="dxa"/>
            <w:tcBorders>
              <w:top w:val="nil"/>
              <w:left w:val="nil"/>
              <w:bottom w:val="single" w:sz="4" w:space="0" w:color="auto"/>
              <w:right w:val="single" w:sz="4" w:space="0" w:color="auto"/>
            </w:tcBorders>
            <w:shd w:val="clear" w:color="auto" w:fill="auto"/>
            <w:noWrap/>
            <w:vAlign w:val="center"/>
            <w:hideMark/>
          </w:tcPr>
          <w:p w14:paraId="767720F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7CCC09DA" w14:textId="77777777" w:rsidTr="007F2105">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5EB12C18"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PGEH phase III</w:t>
            </w:r>
          </w:p>
        </w:tc>
        <w:tc>
          <w:tcPr>
            <w:tcW w:w="1276" w:type="dxa"/>
            <w:tcBorders>
              <w:top w:val="nil"/>
              <w:left w:val="nil"/>
              <w:bottom w:val="single" w:sz="4" w:space="0" w:color="auto"/>
              <w:right w:val="single" w:sz="4" w:space="0" w:color="auto"/>
            </w:tcBorders>
            <w:shd w:val="clear" w:color="auto" w:fill="auto"/>
            <w:noWrap/>
            <w:vAlign w:val="center"/>
            <w:hideMark/>
          </w:tcPr>
          <w:p w14:paraId="4DF5856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4 945 955</w:t>
            </w:r>
          </w:p>
        </w:tc>
        <w:tc>
          <w:tcPr>
            <w:tcW w:w="1134" w:type="dxa"/>
            <w:tcBorders>
              <w:top w:val="nil"/>
              <w:left w:val="nil"/>
              <w:bottom w:val="single" w:sz="4" w:space="0" w:color="auto"/>
              <w:right w:val="single" w:sz="4" w:space="0" w:color="auto"/>
            </w:tcBorders>
            <w:shd w:val="clear" w:color="auto" w:fill="auto"/>
            <w:noWrap/>
            <w:vAlign w:val="center"/>
            <w:hideMark/>
          </w:tcPr>
          <w:p w14:paraId="5F0BEE2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4 471 278</w:t>
            </w:r>
          </w:p>
        </w:tc>
        <w:tc>
          <w:tcPr>
            <w:tcW w:w="1134" w:type="dxa"/>
            <w:tcBorders>
              <w:top w:val="nil"/>
              <w:left w:val="nil"/>
              <w:bottom w:val="single" w:sz="4" w:space="0" w:color="auto"/>
              <w:right w:val="single" w:sz="4" w:space="0" w:color="auto"/>
            </w:tcBorders>
            <w:shd w:val="clear" w:color="auto" w:fill="auto"/>
            <w:noWrap/>
            <w:vAlign w:val="center"/>
            <w:hideMark/>
          </w:tcPr>
          <w:p w14:paraId="67BD16C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4 044 900</w:t>
            </w:r>
          </w:p>
        </w:tc>
        <w:tc>
          <w:tcPr>
            <w:tcW w:w="1276" w:type="dxa"/>
            <w:tcBorders>
              <w:top w:val="nil"/>
              <w:left w:val="nil"/>
              <w:bottom w:val="single" w:sz="4" w:space="0" w:color="auto"/>
              <w:right w:val="single" w:sz="4" w:space="0" w:color="auto"/>
            </w:tcBorders>
            <w:shd w:val="clear" w:color="auto" w:fill="auto"/>
            <w:noWrap/>
            <w:vAlign w:val="center"/>
            <w:hideMark/>
          </w:tcPr>
          <w:p w14:paraId="5C20AA3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13 462 133</w:t>
            </w:r>
          </w:p>
        </w:tc>
        <w:tc>
          <w:tcPr>
            <w:tcW w:w="1280" w:type="dxa"/>
            <w:tcBorders>
              <w:top w:val="nil"/>
              <w:left w:val="nil"/>
              <w:bottom w:val="single" w:sz="4" w:space="0" w:color="auto"/>
              <w:right w:val="single" w:sz="4" w:space="0" w:color="auto"/>
            </w:tcBorders>
            <w:shd w:val="clear" w:color="auto" w:fill="auto"/>
            <w:noWrap/>
            <w:vAlign w:val="center"/>
            <w:hideMark/>
          </w:tcPr>
          <w:p w14:paraId="6C2FB1F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30 489 276</w:t>
            </w:r>
          </w:p>
        </w:tc>
      </w:tr>
      <w:tr w:rsidR="00712E1C" w:rsidRPr="00712E1C" w14:paraId="79B1AB4A" w14:textId="77777777" w:rsidTr="007F2105">
        <w:trPr>
          <w:trHeight w:val="9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AA2F365"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PGEH – efficacité énergétique</w:t>
            </w:r>
          </w:p>
        </w:tc>
        <w:tc>
          <w:tcPr>
            <w:tcW w:w="1276" w:type="dxa"/>
            <w:tcBorders>
              <w:top w:val="nil"/>
              <w:left w:val="nil"/>
              <w:bottom w:val="single" w:sz="4" w:space="0" w:color="auto"/>
              <w:right w:val="single" w:sz="4" w:space="0" w:color="auto"/>
            </w:tcBorders>
            <w:shd w:val="clear" w:color="auto" w:fill="auto"/>
            <w:noWrap/>
            <w:vAlign w:val="center"/>
            <w:hideMark/>
          </w:tcPr>
          <w:p w14:paraId="186045A2"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691 220</w:t>
            </w:r>
          </w:p>
        </w:tc>
        <w:tc>
          <w:tcPr>
            <w:tcW w:w="1134" w:type="dxa"/>
            <w:tcBorders>
              <w:top w:val="nil"/>
              <w:left w:val="nil"/>
              <w:bottom w:val="single" w:sz="4" w:space="0" w:color="auto"/>
              <w:right w:val="single" w:sz="4" w:space="0" w:color="auto"/>
            </w:tcBorders>
            <w:shd w:val="clear" w:color="auto" w:fill="auto"/>
            <w:noWrap/>
            <w:vAlign w:val="center"/>
            <w:hideMark/>
          </w:tcPr>
          <w:p w14:paraId="405C0675"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592 780</w:t>
            </w:r>
          </w:p>
        </w:tc>
        <w:tc>
          <w:tcPr>
            <w:tcW w:w="1134" w:type="dxa"/>
            <w:tcBorders>
              <w:top w:val="nil"/>
              <w:left w:val="nil"/>
              <w:bottom w:val="single" w:sz="4" w:space="0" w:color="auto"/>
              <w:right w:val="single" w:sz="4" w:space="0" w:color="auto"/>
            </w:tcBorders>
            <w:shd w:val="clear" w:color="auto" w:fill="auto"/>
            <w:noWrap/>
            <w:vAlign w:val="center"/>
            <w:hideMark/>
          </w:tcPr>
          <w:p w14:paraId="25708F98"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635 580</w:t>
            </w:r>
          </w:p>
        </w:tc>
        <w:tc>
          <w:tcPr>
            <w:tcW w:w="1276" w:type="dxa"/>
            <w:tcBorders>
              <w:top w:val="nil"/>
              <w:left w:val="nil"/>
              <w:bottom w:val="single" w:sz="4" w:space="0" w:color="auto"/>
              <w:right w:val="single" w:sz="4" w:space="0" w:color="auto"/>
            </w:tcBorders>
            <w:shd w:val="clear" w:color="auto" w:fill="auto"/>
            <w:noWrap/>
            <w:vAlign w:val="center"/>
            <w:hideMark/>
          </w:tcPr>
          <w:p w14:paraId="6A4192E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1 919 580</w:t>
            </w:r>
          </w:p>
        </w:tc>
        <w:tc>
          <w:tcPr>
            <w:tcW w:w="1280" w:type="dxa"/>
            <w:tcBorders>
              <w:top w:val="nil"/>
              <w:left w:val="nil"/>
              <w:bottom w:val="single" w:sz="4" w:space="0" w:color="auto"/>
              <w:right w:val="single" w:sz="4" w:space="0" w:color="auto"/>
            </w:tcBorders>
            <w:shd w:val="clear" w:color="auto" w:fill="auto"/>
            <w:noWrap/>
            <w:vAlign w:val="center"/>
            <w:hideMark/>
          </w:tcPr>
          <w:p w14:paraId="70AEB70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70 620</w:t>
            </w:r>
          </w:p>
        </w:tc>
      </w:tr>
      <w:tr w:rsidR="00712E1C" w:rsidRPr="00712E1C" w14:paraId="51E999D8" w14:textId="77777777" w:rsidTr="007F2105">
        <w:trPr>
          <w:trHeight w:val="141"/>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0052501"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Assistance technique pour les HCFC</w:t>
            </w:r>
          </w:p>
        </w:tc>
        <w:tc>
          <w:tcPr>
            <w:tcW w:w="1276" w:type="dxa"/>
            <w:tcBorders>
              <w:top w:val="nil"/>
              <w:left w:val="nil"/>
              <w:bottom w:val="single" w:sz="4" w:space="0" w:color="auto"/>
              <w:right w:val="single" w:sz="4" w:space="0" w:color="auto"/>
            </w:tcBorders>
            <w:shd w:val="clear" w:color="auto" w:fill="auto"/>
            <w:noWrap/>
            <w:vAlign w:val="center"/>
            <w:hideMark/>
          </w:tcPr>
          <w:p w14:paraId="5069593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7490D2F2"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72F975B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6724D0CE"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80" w:type="dxa"/>
            <w:tcBorders>
              <w:top w:val="nil"/>
              <w:left w:val="nil"/>
              <w:bottom w:val="single" w:sz="4" w:space="0" w:color="auto"/>
              <w:right w:val="single" w:sz="4" w:space="0" w:color="auto"/>
            </w:tcBorders>
            <w:shd w:val="clear" w:color="auto" w:fill="auto"/>
            <w:noWrap/>
            <w:vAlign w:val="center"/>
            <w:hideMark/>
          </w:tcPr>
          <w:p w14:paraId="0A6B5006"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0B8A696A" w14:textId="77777777" w:rsidTr="007F2105">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9BFDEFF"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Sous-total des activités pour les HCFC</w:t>
            </w:r>
          </w:p>
        </w:tc>
        <w:tc>
          <w:tcPr>
            <w:tcW w:w="1276" w:type="dxa"/>
            <w:tcBorders>
              <w:top w:val="nil"/>
              <w:left w:val="nil"/>
              <w:bottom w:val="single" w:sz="4" w:space="0" w:color="auto"/>
              <w:right w:val="single" w:sz="4" w:space="0" w:color="auto"/>
            </w:tcBorders>
            <w:shd w:val="clear" w:color="auto" w:fill="auto"/>
            <w:noWrap/>
            <w:vAlign w:val="center"/>
            <w:hideMark/>
          </w:tcPr>
          <w:p w14:paraId="20DA82DA"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31 406 523</w:t>
            </w:r>
          </w:p>
        </w:tc>
        <w:tc>
          <w:tcPr>
            <w:tcW w:w="1134" w:type="dxa"/>
            <w:tcBorders>
              <w:top w:val="nil"/>
              <w:left w:val="nil"/>
              <w:bottom w:val="single" w:sz="4" w:space="0" w:color="auto"/>
              <w:right w:val="single" w:sz="4" w:space="0" w:color="auto"/>
            </w:tcBorders>
            <w:shd w:val="clear" w:color="auto" w:fill="auto"/>
            <w:noWrap/>
            <w:vAlign w:val="center"/>
            <w:hideMark/>
          </w:tcPr>
          <w:p w14:paraId="79DAB118"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19 684 102</w:t>
            </w:r>
          </w:p>
        </w:tc>
        <w:tc>
          <w:tcPr>
            <w:tcW w:w="1134" w:type="dxa"/>
            <w:tcBorders>
              <w:top w:val="nil"/>
              <w:left w:val="nil"/>
              <w:bottom w:val="single" w:sz="4" w:space="0" w:color="auto"/>
              <w:right w:val="single" w:sz="4" w:space="0" w:color="auto"/>
            </w:tcBorders>
            <w:shd w:val="clear" w:color="auto" w:fill="auto"/>
            <w:noWrap/>
            <w:vAlign w:val="center"/>
            <w:hideMark/>
          </w:tcPr>
          <w:p w14:paraId="55C8E5FF"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25 007 936</w:t>
            </w:r>
          </w:p>
        </w:tc>
        <w:tc>
          <w:tcPr>
            <w:tcW w:w="1276" w:type="dxa"/>
            <w:tcBorders>
              <w:top w:val="nil"/>
              <w:left w:val="nil"/>
              <w:bottom w:val="single" w:sz="4" w:space="0" w:color="auto"/>
              <w:right w:val="single" w:sz="4" w:space="0" w:color="auto"/>
            </w:tcBorders>
            <w:shd w:val="clear" w:color="auto" w:fill="auto"/>
            <w:noWrap/>
            <w:vAlign w:val="center"/>
            <w:hideMark/>
          </w:tcPr>
          <w:p w14:paraId="172C4048"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76 098 561</w:t>
            </w:r>
          </w:p>
        </w:tc>
        <w:tc>
          <w:tcPr>
            <w:tcW w:w="1280" w:type="dxa"/>
            <w:tcBorders>
              <w:top w:val="nil"/>
              <w:left w:val="nil"/>
              <w:bottom w:val="single" w:sz="4" w:space="0" w:color="auto"/>
              <w:right w:val="single" w:sz="4" w:space="0" w:color="auto"/>
            </w:tcBorders>
            <w:shd w:val="clear" w:color="auto" w:fill="auto"/>
            <w:noWrap/>
            <w:vAlign w:val="center"/>
            <w:hideMark/>
          </w:tcPr>
          <w:p w14:paraId="17AAB910"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87 402 595</w:t>
            </w:r>
          </w:p>
        </w:tc>
      </w:tr>
      <w:tr w:rsidR="00712E1C" w:rsidRPr="00712E1C" w14:paraId="4C006365" w14:textId="77777777" w:rsidTr="007F2105">
        <w:trPr>
          <w:trHeight w:val="91"/>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ACFBD"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Activités pour les HFC</w:t>
            </w:r>
          </w:p>
        </w:tc>
      </w:tr>
      <w:tr w:rsidR="00712E1C" w:rsidRPr="00712E1C" w14:paraId="20E60CCD" w14:textId="77777777" w:rsidTr="007F2105">
        <w:trPr>
          <w:trHeight w:val="122"/>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5F1FC72"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Programme de mise en œuvre de l’Amendement de Kigali – PRP</w:t>
            </w:r>
          </w:p>
        </w:tc>
        <w:tc>
          <w:tcPr>
            <w:tcW w:w="1276" w:type="dxa"/>
            <w:tcBorders>
              <w:top w:val="nil"/>
              <w:left w:val="nil"/>
              <w:bottom w:val="single" w:sz="4" w:space="0" w:color="auto"/>
              <w:right w:val="single" w:sz="4" w:space="0" w:color="auto"/>
            </w:tcBorders>
            <w:shd w:val="clear" w:color="auto" w:fill="auto"/>
            <w:noWrap/>
            <w:vAlign w:val="center"/>
            <w:hideMark/>
          </w:tcPr>
          <w:p w14:paraId="6F6E8AB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1 015 573</w:t>
            </w:r>
          </w:p>
        </w:tc>
        <w:tc>
          <w:tcPr>
            <w:tcW w:w="1134" w:type="dxa"/>
            <w:tcBorders>
              <w:top w:val="nil"/>
              <w:left w:val="nil"/>
              <w:bottom w:val="single" w:sz="4" w:space="0" w:color="auto"/>
              <w:right w:val="single" w:sz="4" w:space="0" w:color="auto"/>
            </w:tcBorders>
            <w:shd w:val="clear" w:color="auto" w:fill="auto"/>
            <w:noWrap/>
            <w:vAlign w:val="center"/>
            <w:hideMark/>
          </w:tcPr>
          <w:p w14:paraId="7ECB63A4"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975 840</w:t>
            </w:r>
          </w:p>
        </w:tc>
        <w:tc>
          <w:tcPr>
            <w:tcW w:w="1134" w:type="dxa"/>
            <w:tcBorders>
              <w:top w:val="nil"/>
              <w:left w:val="nil"/>
              <w:bottom w:val="single" w:sz="4" w:space="0" w:color="auto"/>
              <w:right w:val="single" w:sz="4" w:space="0" w:color="auto"/>
            </w:tcBorders>
            <w:shd w:val="clear" w:color="auto" w:fill="auto"/>
            <w:noWrap/>
            <w:vAlign w:val="center"/>
            <w:hideMark/>
          </w:tcPr>
          <w:p w14:paraId="5BBA8562"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41 730</w:t>
            </w:r>
          </w:p>
        </w:tc>
        <w:tc>
          <w:tcPr>
            <w:tcW w:w="1276" w:type="dxa"/>
            <w:tcBorders>
              <w:top w:val="nil"/>
              <w:left w:val="nil"/>
              <w:bottom w:val="single" w:sz="4" w:space="0" w:color="auto"/>
              <w:right w:val="single" w:sz="4" w:space="0" w:color="auto"/>
            </w:tcBorders>
            <w:shd w:val="clear" w:color="auto" w:fill="auto"/>
            <w:noWrap/>
            <w:vAlign w:val="center"/>
            <w:hideMark/>
          </w:tcPr>
          <w:p w14:paraId="1D9BF5B8"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2 033 143</w:t>
            </w:r>
          </w:p>
        </w:tc>
        <w:tc>
          <w:tcPr>
            <w:tcW w:w="1280" w:type="dxa"/>
            <w:tcBorders>
              <w:top w:val="nil"/>
              <w:left w:val="nil"/>
              <w:bottom w:val="single" w:sz="4" w:space="0" w:color="auto"/>
              <w:right w:val="single" w:sz="4" w:space="0" w:color="auto"/>
            </w:tcBorders>
            <w:shd w:val="clear" w:color="auto" w:fill="auto"/>
            <w:noWrap/>
            <w:vAlign w:val="center"/>
            <w:hideMark/>
          </w:tcPr>
          <w:p w14:paraId="032E43A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5CB1EF0C" w14:textId="77777777" w:rsidTr="007F2105">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485D19E"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Programmes de mise en œuvre de l’Amendement de Kigali</w:t>
            </w:r>
          </w:p>
        </w:tc>
        <w:tc>
          <w:tcPr>
            <w:tcW w:w="1276" w:type="dxa"/>
            <w:tcBorders>
              <w:top w:val="nil"/>
              <w:left w:val="nil"/>
              <w:bottom w:val="single" w:sz="4" w:space="0" w:color="auto"/>
              <w:right w:val="single" w:sz="4" w:space="0" w:color="auto"/>
            </w:tcBorders>
            <w:shd w:val="clear" w:color="auto" w:fill="auto"/>
            <w:noWrap/>
            <w:vAlign w:val="center"/>
            <w:hideMark/>
          </w:tcPr>
          <w:p w14:paraId="0CC76D46"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3 689 772</w:t>
            </w:r>
          </w:p>
        </w:tc>
        <w:tc>
          <w:tcPr>
            <w:tcW w:w="1134" w:type="dxa"/>
            <w:tcBorders>
              <w:top w:val="nil"/>
              <w:left w:val="nil"/>
              <w:bottom w:val="single" w:sz="4" w:space="0" w:color="auto"/>
              <w:right w:val="single" w:sz="4" w:space="0" w:color="auto"/>
            </w:tcBorders>
            <w:shd w:val="clear" w:color="auto" w:fill="auto"/>
            <w:noWrap/>
            <w:vAlign w:val="center"/>
            <w:hideMark/>
          </w:tcPr>
          <w:p w14:paraId="59B7C5D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5 039 370</w:t>
            </w:r>
          </w:p>
        </w:tc>
        <w:tc>
          <w:tcPr>
            <w:tcW w:w="1134" w:type="dxa"/>
            <w:tcBorders>
              <w:top w:val="nil"/>
              <w:left w:val="nil"/>
              <w:bottom w:val="single" w:sz="4" w:space="0" w:color="auto"/>
              <w:right w:val="single" w:sz="4" w:space="0" w:color="auto"/>
            </w:tcBorders>
            <w:shd w:val="clear" w:color="auto" w:fill="auto"/>
            <w:noWrap/>
            <w:vAlign w:val="center"/>
            <w:hideMark/>
          </w:tcPr>
          <w:p w14:paraId="7A2E61E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71 503</w:t>
            </w:r>
          </w:p>
        </w:tc>
        <w:tc>
          <w:tcPr>
            <w:tcW w:w="1276" w:type="dxa"/>
            <w:tcBorders>
              <w:top w:val="nil"/>
              <w:left w:val="nil"/>
              <w:bottom w:val="single" w:sz="4" w:space="0" w:color="auto"/>
              <w:right w:val="single" w:sz="4" w:space="0" w:color="auto"/>
            </w:tcBorders>
            <w:shd w:val="clear" w:color="auto" w:fill="auto"/>
            <w:noWrap/>
            <w:vAlign w:val="center"/>
            <w:hideMark/>
          </w:tcPr>
          <w:p w14:paraId="607005E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8 800 645</w:t>
            </w:r>
          </w:p>
        </w:tc>
        <w:tc>
          <w:tcPr>
            <w:tcW w:w="1280" w:type="dxa"/>
            <w:tcBorders>
              <w:top w:val="nil"/>
              <w:left w:val="nil"/>
              <w:bottom w:val="single" w:sz="4" w:space="0" w:color="auto"/>
              <w:right w:val="single" w:sz="4" w:space="0" w:color="auto"/>
            </w:tcBorders>
            <w:shd w:val="clear" w:color="auto" w:fill="auto"/>
            <w:noWrap/>
            <w:vAlign w:val="center"/>
            <w:hideMark/>
          </w:tcPr>
          <w:p w14:paraId="44A08242"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14 784 861</w:t>
            </w:r>
          </w:p>
        </w:tc>
      </w:tr>
      <w:tr w:rsidR="00712E1C" w:rsidRPr="00712E1C" w14:paraId="7358F88B" w14:textId="77777777" w:rsidTr="007F2105">
        <w:trPr>
          <w:trHeight w:val="73"/>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12C8DBB"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Programmes de mise en œuvre de l’Amendement de Kigali – investissement</w:t>
            </w:r>
          </w:p>
        </w:tc>
        <w:tc>
          <w:tcPr>
            <w:tcW w:w="1276" w:type="dxa"/>
            <w:tcBorders>
              <w:top w:val="nil"/>
              <w:left w:val="nil"/>
              <w:bottom w:val="single" w:sz="4" w:space="0" w:color="auto"/>
              <w:right w:val="single" w:sz="4" w:space="0" w:color="auto"/>
            </w:tcBorders>
            <w:shd w:val="clear" w:color="auto" w:fill="auto"/>
            <w:noWrap/>
            <w:vAlign w:val="center"/>
            <w:hideMark/>
          </w:tcPr>
          <w:p w14:paraId="154607C4"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321 000</w:t>
            </w:r>
          </w:p>
        </w:tc>
        <w:tc>
          <w:tcPr>
            <w:tcW w:w="1134" w:type="dxa"/>
            <w:tcBorders>
              <w:top w:val="nil"/>
              <w:left w:val="nil"/>
              <w:bottom w:val="single" w:sz="4" w:space="0" w:color="auto"/>
              <w:right w:val="single" w:sz="4" w:space="0" w:color="auto"/>
            </w:tcBorders>
            <w:shd w:val="clear" w:color="auto" w:fill="auto"/>
            <w:noWrap/>
            <w:vAlign w:val="center"/>
            <w:hideMark/>
          </w:tcPr>
          <w:p w14:paraId="3AA4B2F6"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134" w:type="dxa"/>
            <w:tcBorders>
              <w:top w:val="nil"/>
              <w:left w:val="nil"/>
              <w:bottom w:val="single" w:sz="4" w:space="0" w:color="auto"/>
              <w:right w:val="single" w:sz="4" w:space="0" w:color="auto"/>
            </w:tcBorders>
            <w:shd w:val="clear" w:color="auto" w:fill="auto"/>
            <w:noWrap/>
            <w:vAlign w:val="center"/>
            <w:hideMark/>
          </w:tcPr>
          <w:p w14:paraId="5B72492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4A6D4970"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321 000</w:t>
            </w:r>
          </w:p>
        </w:tc>
        <w:tc>
          <w:tcPr>
            <w:tcW w:w="1280" w:type="dxa"/>
            <w:tcBorders>
              <w:top w:val="nil"/>
              <w:left w:val="nil"/>
              <w:bottom w:val="single" w:sz="4" w:space="0" w:color="auto"/>
              <w:right w:val="single" w:sz="4" w:space="0" w:color="auto"/>
            </w:tcBorders>
            <w:shd w:val="clear" w:color="auto" w:fill="auto"/>
            <w:noWrap/>
            <w:vAlign w:val="center"/>
            <w:hideMark/>
          </w:tcPr>
          <w:p w14:paraId="5DA73995"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62FDAD2D" w14:textId="77777777" w:rsidTr="007F2105">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743F085"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Sous-total des activités pour les HFC</w:t>
            </w:r>
          </w:p>
        </w:tc>
        <w:tc>
          <w:tcPr>
            <w:tcW w:w="1276" w:type="dxa"/>
            <w:tcBorders>
              <w:top w:val="nil"/>
              <w:left w:val="nil"/>
              <w:bottom w:val="single" w:sz="4" w:space="0" w:color="auto"/>
              <w:right w:val="single" w:sz="4" w:space="0" w:color="auto"/>
            </w:tcBorders>
            <w:shd w:val="clear" w:color="auto" w:fill="auto"/>
            <w:noWrap/>
            <w:vAlign w:val="center"/>
            <w:hideMark/>
          </w:tcPr>
          <w:p w14:paraId="446EFA41"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5 026 345</w:t>
            </w:r>
          </w:p>
        </w:tc>
        <w:tc>
          <w:tcPr>
            <w:tcW w:w="1134" w:type="dxa"/>
            <w:tcBorders>
              <w:top w:val="nil"/>
              <w:left w:val="nil"/>
              <w:bottom w:val="single" w:sz="4" w:space="0" w:color="auto"/>
              <w:right w:val="single" w:sz="4" w:space="0" w:color="auto"/>
            </w:tcBorders>
            <w:shd w:val="clear" w:color="auto" w:fill="auto"/>
            <w:noWrap/>
            <w:vAlign w:val="center"/>
            <w:hideMark/>
          </w:tcPr>
          <w:p w14:paraId="70836494"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6 015 210</w:t>
            </w:r>
          </w:p>
        </w:tc>
        <w:tc>
          <w:tcPr>
            <w:tcW w:w="1134" w:type="dxa"/>
            <w:tcBorders>
              <w:top w:val="nil"/>
              <w:left w:val="nil"/>
              <w:bottom w:val="single" w:sz="4" w:space="0" w:color="auto"/>
              <w:right w:val="single" w:sz="4" w:space="0" w:color="auto"/>
            </w:tcBorders>
            <w:shd w:val="clear" w:color="auto" w:fill="auto"/>
            <w:noWrap/>
            <w:vAlign w:val="center"/>
            <w:hideMark/>
          </w:tcPr>
          <w:p w14:paraId="7BB68137"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113 233</w:t>
            </w:r>
          </w:p>
        </w:tc>
        <w:tc>
          <w:tcPr>
            <w:tcW w:w="1276" w:type="dxa"/>
            <w:tcBorders>
              <w:top w:val="nil"/>
              <w:left w:val="nil"/>
              <w:bottom w:val="single" w:sz="4" w:space="0" w:color="auto"/>
              <w:right w:val="single" w:sz="4" w:space="0" w:color="auto"/>
            </w:tcBorders>
            <w:shd w:val="clear" w:color="auto" w:fill="auto"/>
            <w:noWrap/>
            <w:vAlign w:val="center"/>
            <w:hideMark/>
          </w:tcPr>
          <w:p w14:paraId="23881A23"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11 154 787</w:t>
            </w:r>
          </w:p>
        </w:tc>
        <w:tc>
          <w:tcPr>
            <w:tcW w:w="1280" w:type="dxa"/>
            <w:tcBorders>
              <w:top w:val="nil"/>
              <w:left w:val="nil"/>
              <w:bottom w:val="single" w:sz="4" w:space="0" w:color="auto"/>
              <w:right w:val="single" w:sz="4" w:space="0" w:color="auto"/>
            </w:tcBorders>
            <w:shd w:val="clear" w:color="auto" w:fill="auto"/>
            <w:noWrap/>
            <w:vAlign w:val="center"/>
            <w:hideMark/>
          </w:tcPr>
          <w:p w14:paraId="375F6DA2"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14 784 861</w:t>
            </w:r>
          </w:p>
        </w:tc>
      </w:tr>
      <w:tr w:rsidR="00712E1C" w:rsidRPr="00712E1C" w14:paraId="7142F21A" w14:textId="77777777" w:rsidTr="007F2105">
        <w:trPr>
          <w:trHeight w:val="58"/>
        </w:trPr>
        <w:tc>
          <w:tcPr>
            <w:tcW w:w="936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98292"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Activités normalisées</w:t>
            </w:r>
          </w:p>
        </w:tc>
      </w:tr>
      <w:tr w:rsidR="00712E1C" w:rsidRPr="00712E1C" w14:paraId="36A1F79E" w14:textId="77777777" w:rsidTr="007F2105">
        <w:trPr>
          <w:trHeight w:val="6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04ED232"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Renforcement des institutions</w:t>
            </w:r>
          </w:p>
        </w:tc>
        <w:tc>
          <w:tcPr>
            <w:tcW w:w="1276" w:type="dxa"/>
            <w:tcBorders>
              <w:top w:val="nil"/>
              <w:left w:val="nil"/>
              <w:bottom w:val="single" w:sz="4" w:space="0" w:color="auto"/>
              <w:right w:val="single" w:sz="4" w:space="0" w:color="auto"/>
            </w:tcBorders>
            <w:shd w:val="clear" w:color="auto" w:fill="auto"/>
            <w:noWrap/>
            <w:vAlign w:val="center"/>
            <w:hideMark/>
          </w:tcPr>
          <w:p w14:paraId="5AE2A0A7"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855 841</w:t>
            </w:r>
          </w:p>
        </w:tc>
        <w:tc>
          <w:tcPr>
            <w:tcW w:w="1134" w:type="dxa"/>
            <w:tcBorders>
              <w:top w:val="nil"/>
              <w:left w:val="nil"/>
              <w:bottom w:val="single" w:sz="4" w:space="0" w:color="auto"/>
              <w:right w:val="single" w:sz="4" w:space="0" w:color="auto"/>
            </w:tcBorders>
            <w:shd w:val="clear" w:color="auto" w:fill="auto"/>
            <w:noWrap/>
            <w:vAlign w:val="center"/>
            <w:hideMark/>
          </w:tcPr>
          <w:p w14:paraId="433A145D"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2 052 817</w:t>
            </w:r>
          </w:p>
        </w:tc>
        <w:tc>
          <w:tcPr>
            <w:tcW w:w="1134" w:type="dxa"/>
            <w:tcBorders>
              <w:top w:val="nil"/>
              <w:left w:val="nil"/>
              <w:bottom w:val="single" w:sz="4" w:space="0" w:color="auto"/>
              <w:right w:val="single" w:sz="4" w:space="0" w:color="auto"/>
            </w:tcBorders>
            <w:shd w:val="clear" w:color="auto" w:fill="auto"/>
            <w:noWrap/>
            <w:vAlign w:val="center"/>
            <w:hideMark/>
          </w:tcPr>
          <w:p w14:paraId="262C0AA1"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855 841</w:t>
            </w:r>
          </w:p>
        </w:tc>
        <w:tc>
          <w:tcPr>
            <w:tcW w:w="1276" w:type="dxa"/>
            <w:tcBorders>
              <w:top w:val="nil"/>
              <w:left w:val="nil"/>
              <w:bottom w:val="single" w:sz="4" w:space="0" w:color="auto"/>
              <w:right w:val="single" w:sz="4" w:space="0" w:color="auto"/>
            </w:tcBorders>
            <w:shd w:val="clear" w:color="auto" w:fill="auto"/>
            <w:noWrap/>
            <w:vAlign w:val="center"/>
            <w:hideMark/>
          </w:tcPr>
          <w:p w14:paraId="02A089F9"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3 764 499</w:t>
            </w:r>
          </w:p>
        </w:tc>
        <w:tc>
          <w:tcPr>
            <w:tcW w:w="1280" w:type="dxa"/>
            <w:tcBorders>
              <w:top w:val="nil"/>
              <w:left w:val="nil"/>
              <w:bottom w:val="single" w:sz="4" w:space="0" w:color="auto"/>
              <w:right w:val="single" w:sz="4" w:space="0" w:color="auto"/>
            </w:tcBorders>
            <w:shd w:val="clear" w:color="auto" w:fill="auto"/>
            <w:noWrap/>
            <w:vAlign w:val="center"/>
            <w:hideMark/>
          </w:tcPr>
          <w:p w14:paraId="63D9D3D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4D212001" w14:textId="77777777" w:rsidTr="007F2105">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7EA53E90" w14:textId="77777777" w:rsidR="00712E1C" w:rsidRPr="00712E1C" w:rsidRDefault="00712E1C" w:rsidP="007F2105">
            <w:pPr>
              <w:jc w:val="left"/>
              <w:rPr>
                <w:rFonts w:asciiTheme="majorBidi" w:hAnsiTheme="majorBidi" w:cstheme="majorBidi"/>
                <w:sz w:val="20"/>
                <w:szCs w:val="20"/>
                <w:lang w:val="fr-FR"/>
              </w:rPr>
            </w:pPr>
            <w:r w:rsidRPr="00712E1C">
              <w:rPr>
                <w:rFonts w:asciiTheme="majorBidi" w:hAnsiTheme="majorBidi"/>
                <w:sz w:val="20"/>
                <w:lang w:val="fr-FR"/>
              </w:rPr>
              <w:t>Coûts de base</w:t>
            </w:r>
          </w:p>
        </w:tc>
        <w:tc>
          <w:tcPr>
            <w:tcW w:w="1276" w:type="dxa"/>
            <w:tcBorders>
              <w:top w:val="nil"/>
              <w:left w:val="nil"/>
              <w:bottom w:val="single" w:sz="4" w:space="0" w:color="auto"/>
              <w:right w:val="single" w:sz="4" w:space="0" w:color="auto"/>
            </w:tcBorders>
            <w:shd w:val="clear" w:color="auto" w:fill="auto"/>
            <w:noWrap/>
            <w:vAlign w:val="center"/>
            <w:hideMark/>
          </w:tcPr>
          <w:p w14:paraId="245E162C"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2 064 760</w:t>
            </w:r>
          </w:p>
        </w:tc>
        <w:tc>
          <w:tcPr>
            <w:tcW w:w="1134" w:type="dxa"/>
            <w:tcBorders>
              <w:top w:val="nil"/>
              <w:left w:val="nil"/>
              <w:bottom w:val="single" w:sz="4" w:space="0" w:color="auto"/>
              <w:right w:val="single" w:sz="4" w:space="0" w:color="auto"/>
            </w:tcBorders>
            <w:shd w:val="clear" w:color="auto" w:fill="auto"/>
            <w:noWrap/>
            <w:vAlign w:val="center"/>
            <w:hideMark/>
          </w:tcPr>
          <w:p w14:paraId="48855333"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2 079 213</w:t>
            </w:r>
          </w:p>
        </w:tc>
        <w:tc>
          <w:tcPr>
            <w:tcW w:w="1134" w:type="dxa"/>
            <w:tcBorders>
              <w:top w:val="nil"/>
              <w:left w:val="nil"/>
              <w:bottom w:val="single" w:sz="4" w:space="0" w:color="auto"/>
              <w:right w:val="single" w:sz="4" w:space="0" w:color="auto"/>
            </w:tcBorders>
            <w:shd w:val="clear" w:color="auto" w:fill="auto"/>
            <w:noWrap/>
            <w:vAlign w:val="center"/>
            <w:hideMark/>
          </w:tcPr>
          <w:p w14:paraId="3DD5B4BA"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2 093 768</w:t>
            </w:r>
          </w:p>
        </w:tc>
        <w:tc>
          <w:tcPr>
            <w:tcW w:w="1276" w:type="dxa"/>
            <w:tcBorders>
              <w:top w:val="nil"/>
              <w:left w:val="nil"/>
              <w:bottom w:val="single" w:sz="4" w:space="0" w:color="auto"/>
              <w:right w:val="single" w:sz="4" w:space="0" w:color="auto"/>
            </w:tcBorders>
            <w:shd w:val="clear" w:color="auto" w:fill="auto"/>
            <w:noWrap/>
            <w:vAlign w:val="center"/>
            <w:hideMark/>
          </w:tcPr>
          <w:p w14:paraId="4A831E4F"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6 237 741</w:t>
            </w:r>
          </w:p>
        </w:tc>
        <w:tc>
          <w:tcPr>
            <w:tcW w:w="1280" w:type="dxa"/>
            <w:tcBorders>
              <w:top w:val="nil"/>
              <w:left w:val="nil"/>
              <w:bottom w:val="single" w:sz="4" w:space="0" w:color="auto"/>
              <w:right w:val="single" w:sz="4" w:space="0" w:color="auto"/>
            </w:tcBorders>
            <w:shd w:val="clear" w:color="auto" w:fill="auto"/>
            <w:noWrap/>
            <w:vAlign w:val="center"/>
            <w:hideMark/>
          </w:tcPr>
          <w:p w14:paraId="232E9544" w14:textId="77777777" w:rsidR="00712E1C" w:rsidRPr="00712E1C" w:rsidRDefault="00712E1C" w:rsidP="007F2105">
            <w:pPr>
              <w:jc w:val="right"/>
              <w:rPr>
                <w:rFonts w:asciiTheme="majorBidi" w:hAnsiTheme="majorBidi" w:cstheme="majorBidi"/>
                <w:sz w:val="20"/>
                <w:szCs w:val="20"/>
                <w:lang w:val="fr-FR"/>
              </w:rPr>
            </w:pPr>
            <w:r w:rsidRPr="00712E1C">
              <w:rPr>
                <w:rFonts w:asciiTheme="majorBidi" w:hAnsiTheme="majorBidi"/>
                <w:sz w:val="20"/>
                <w:lang w:val="fr-FR"/>
              </w:rPr>
              <w:t>0</w:t>
            </w:r>
          </w:p>
        </w:tc>
      </w:tr>
      <w:tr w:rsidR="00712E1C" w:rsidRPr="00712E1C" w14:paraId="4B2A9EBA" w14:textId="77777777" w:rsidTr="007F2105">
        <w:trPr>
          <w:trHeight w:val="264"/>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0AD59916"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Sous-total des activités normalisées</w:t>
            </w:r>
          </w:p>
        </w:tc>
        <w:tc>
          <w:tcPr>
            <w:tcW w:w="1276" w:type="dxa"/>
            <w:tcBorders>
              <w:top w:val="nil"/>
              <w:left w:val="nil"/>
              <w:bottom w:val="single" w:sz="4" w:space="0" w:color="auto"/>
              <w:right w:val="single" w:sz="4" w:space="0" w:color="auto"/>
            </w:tcBorders>
            <w:shd w:val="clear" w:color="auto" w:fill="auto"/>
            <w:noWrap/>
            <w:vAlign w:val="center"/>
            <w:hideMark/>
          </w:tcPr>
          <w:p w14:paraId="3F5EA8D9"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2 920 601</w:t>
            </w:r>
          </w:p>
        </w:tc>
        <w:tc>
          <w:tcPr>
            <w:tcW w:w="1134" w:type="dxa"/>
            <w:tcBorders>
              <w:top w:val="nil"/>
              <w:left w:val="nil"/>
              <w:bottom w:val="single" w:sz="4" w:space="0" w:color="auto"/>
              <w:right w:val="single" w:sz="4" w:space="0" w:color="auto"/>
            </w:tcBorders>
            <w:shd w:val="clear" w:color="auto" w:fill="auto"/>
            <w:noWrap/>
            <w:vAlign w:val="center"/>
            <w:hideMark/>
          </w:tcPr>
          <w:p w14:paraId="2D806E17"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4 132 030</w:t>
            </w:r>
          </w:p>
        </w:tc>
        <w:tc>
          <w:tcPr>
            <w:tcW w:w="1134" w:type="dxa"/>
            <w:tcBorders>
              <w:top w:val="nil"/>
              <w:left w:val="nil"/>
              <w:bottom w:val="single" w:sz="4" w:space="0" w:color="auto"/>
              <w:right w:val="single" w:sz="4" w:space="0" w:color="auto"/>
            </w:tcBorders>
            <w:shd w:val="clear" w:color="auto" w:fill="auto"/>
            <w:noWrap/>
            <w:vAlign w:val="center"/>
            <w:hideMark/>
          </w:tcPr>
          <w:p w14:paraId="330C395B"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2 949 609</w:t>
            </w:r>
          </w:p>
        </w:tc>
        <w:tc>
          <w:tcPr>
            <w:tcW w:w="1276" w:type="dxa"/>
            <w:tcBorders>
              <w:top w:val="nil"/>
              <w:left w:val="nil"/>
              <w:bottom w:val="single" w:sz="4" w:space="0" w:color="auto"/>
              <w:right w:val="single" w:sz="4" w:space="0" w:color="auto"/>
            </w:tcBorders>
            <w:shd w:val="clear" w:color="auto" w:fill="auto"/>
            <w:noWrap/>
            <w:vAlign w:val="center"/>
            <w:hideMark/>
          </w:tcPr>
          <w:p w14:paraId="77011918"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10 002 240</w:t>
            </w:r>
          </w:p>
        </w:tc>
        <w:tc>
          <w:tcPr>
            <w:tcW w:w="1280" w:type="dxa"/>
            <w:tcBorders>
              <w:top w:val="nil"/>
              <w:left w:val="nil"/>
              <w:bottom w:val="single" w:sz="4" w:space="0" w:color="auto"/>
              <w:right w:val="single" w:sz="4" w:space="0" w:color="auto"/>
            </w:tcBorders>
            <w:shd w:val="clear" w:color="auto" w:fill="auto"/>
            <w:noWrap/>
            <w:vAlign w:val="center"/>
            <w:hideMark/>
          </w:tcPr>
          <w:p w14:paraId="002CA10A"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0</w:t>
            </w:r>
          </w:p>
        </w:tc>
      </w:tr>
      <w:tr w:rsidR="00712E1C" w:rsidRPr="00712E1C" w14:paraId="0146BBA9" w14:textId="77777777" w:rsidTr="007F2105">
        <w:trPr>
          <w:trHeight w:val="58"/>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D1811D9" w14:textId="77777777" w:rsidR="00712E1C" w:rsidRPr="00712E1C" w:rsidRDefault="00712E1C" w:rsidP="007F2105">
            <w:pPr>
              <w:jc w:val="left"/>
              <w:rPr>
                <w:rFonts w:asciiTheme="majorBidi" w:hAnsiTheme="majorBidi" w:cstheme="majorBidi"/>
                <w:b/>
                <w:bCs/>
                <w:sz w:val="20"/>
                <w:szCs w:val="20"/>
                <w:lang w:val="fr-FR"/>
              </w:rPr>
            </w:pPr>
            <w:r w:rsidRPr="00712E1C">
              <w:rPr>
                <w:rFonts w:asciiTheme="majorBidi" w:hAnsiTheme="majorBidi"/>
                <w:b/>
                <w:sz w:val="20"/>
                <w:lang w:val="fr-FR"/>
              </w:rPr>
              <w:t>Total</w:t>
            </w:r>
          </w:p>
        </w:tc>
        <w:tc>
          <w:tcPr>
            <w:tcW w:w="1276" w:type="dxa"/>
            <w:tcBorders>
              <w:top w:val="nil"/>
              <w:left w:val="nil"/>
              <w:bottom w:val="single" w:sz="4" w:space="0" w:color="auto"/>
              <w:right w:val="single" w:sz="4" w:space="0" w:color="auto"/>
            </w:tcBorders>
            <w:shd w:val="clear" w:color="auto" w:fill="auto"/>
            <w:noWrap/>
            <w:vAlign w:val="center"/>
            <w:hideMark/>
          </w:tcPr>
          <w:p w14:paraId="5F71969C"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39 353 469</w:t>
            </w:r>
          </w:p>
        </w:tc>
        <w:tc>
          <w:tcPr>
            <w:tcW w:w="1134" w:type="dxa"/>
            <w:tcBorders>
              <w:top w:val="nil"/>
              <w:left w:val="nil"/>
              <w:bottom w:val="single" w:sz="4" w:space="0" w:color="auto"/>
              <w:right w:val="single" w:sz="4" w:space="0" w:color="auto"/>
            </w:tcBorders>
            <w:shd w:val="clear" w:color="auto" w:fill="auto"/>
            <w:noWrap/>
            <w:vAlign w:val="center"/>
            <w:hideMark/>
          </w:tcPr>
          <w:p w14:paraId="23ABC447"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29 831 342</w:t>
            </w:r>
          </w:p>
        </w:tc>
        <w:tc>
          <w:tcPr>
            <w:tcW w:w="1134" w:type="dxa"/>
            <w:tcBorders>
              <w:top w:val="nil"/>
              <w:left w:val="nil"/>
              <w:bottom w:val="single" w:sz="4" w:space="0" w:color="auto"/>
              <w:right w:val="single" w:sz="4" w:space="0" w:color="auto"/>
            </w:tcBorders>
            <w:shd w:val="clear" w:color="auto" w:fill="auto"/>
            <w:noWrap/>
            <w:vAlign w:val="center"/>
            <w:hideMark/>
          </w:tcPr>
          <w:p w14:paraId="0F9596F6"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28 070 777</w:t>
            </w:r>
          </w:p>
        </w:tc>
        <w:tc>
          <w:tcPr>
            <w:tcW w:w="1276" w:type="dxa"/>
            <w:tcBorders>
              <w:top w:val="nil"/>
              <w:left w:val="nil"/>
              <w:bottom w:val="single" w:sz="4" w:space="0" w:color="auto"/>
              <w:right w:val="single" w:sz="4" w:space="0" w:color="auto"/>
            </w:tcBorders>
            <w:shd w:val="clear" w:color="auto" w:fill="auto"/>
            <w:noWrap/>
            <w:vAlign w:val="center"/>
            <w:hideMark/>
          </w:tcPr>
          <w:p w14:paraId="78CD138F"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97 255 588</w:t>
            </w:r>
          </w:p>
        </w:tc>
        <w:tc>
          <w:tcPr>
            <w:tcW w:w="1280" w:type="dxa"/>
            <w:tcBorders>
              <w:top w:val="nil"/>
              <w:left w:val="nil"/>
              <w:bottom w:val="single" w:sz="4" w:space="0" w:color="auto"/>
              <w:right w:val="single" w:sz="4" w:space="0" w:color="auto"/>
            </w:tcBorders>
            <w:shd w:val="clear" w:color="auto" w:fill="auto"/>
            <w:noWrap/>
            <w:vAlign w:val="center"/>
            <w:hideMark/>
          </w:tcPr>
          <w:p w14:paraId="6E745DFE" w14:textId="77777777" w:rsidR="00712E1C" w:rsidRPr="00712E1C" w:rsidRDefault="00712E1C" w:rsidP="007F2105">
            <w:pPr>
              <w:jc w:val="right"/>
              <w:rPr>
                <w:rFonts w:asciiTheme="majorBidi" w:hAnsiTheme="majorBidi" w:cstheme="majorBidi"/>
                <w:b/>
                <w:bCs/>
                <w:sz w:val="20"/>
                <w:szCs w:val="20"/>
                <w:lang w:val="fr-FR"/>
              </w:rPr>
            </w:pPr>
            <w:r w:rsidRPr="00712E1C">
              <w:rPr>
                <w:rFonts w:asciiTheme="majorBidi" w:hAnsiTheme="majorBidi"/>
                <w:b/>
                <w:sz w:val="20"/>
                <w:lang w:val="fr-FR"/>
              </w:rPr>
              <w:t>102 187 456</w:t>
            </w:r>
          </w:p>
        </w:tc>
      </w:tr>
    </w:tbl>
    <w:p w14:paraId="1199E28B" w14:textId="77777777" w:rsidR="00712E1C" w:rsidRPr="00712E1C" w:rsidRDefault="00712E1C" w:rsidP="00712E1C">
      <w:pPr>
        <w:rPr>
          <w:sz w:val="19"/>
          <w:szCs w:val="19"/>
          <w:lang w:val="fr-FR"/>
        </w:rPr>
      </w:pPr>
      <w:r w:rsidRPr="00712E1C">
        <w:rPr>
          <w:sz w:val="19"/>
          <w:lang w:val="fr-FR"/>
        </w:rPr>
        <w:t xml:space="preserve">*Y compris les coûts d’appui d’agence, le cas échéant. </w:t>
      </w:r>
    </w:p>
    <w:p w14:paraId="57949F0D" w14:textId="77777777" w:rsidR="00712E1C" w:rsidRPr="00712E1C" w:rsidRDefault="00712E1C" w:rsidP="00712E1C">
      <w:pPr>
        <w:rPr>
          <w:lang w:val="fr-FR"/>
        </w:rPr>
      </w:pPr>
    </w:p>
    <w:p w14:paraId="7BA68FAC" w14:textId="77777777" w:rsidR="00712E1C" w:rsidRPr="00712E1C" w:rsidRDefault="00712E1C" w:rsidP="00712E1C">
      <w:pPr>
        <w:pStyle w:val="sub-title"/>
        <w:keepNext/>
        <w:spacing w:after="240"/>
        <w:rPr>
          <w:noProof w:val="0"/>
          <w:sz w:val="24"/>
          <w:szCs w:val="24"/>
          <w:lang w:val="fr-FR"/>
        </w:rPr>
      </w:pPr>
      <w:r w:rsidRPr="00712E1C">
        <w:rPr>
          <w:sz w:val="24"/>
          <w:lang w:val="fr-FR"/>
        </w:rPr>
        <w:t>IV.</w:t>
      </w:r>
      <w:r w:rsidRPr="00712E1C">
        <w:rPr>
          <w:sz w:val="24"/>
          <w:lang w:val="fr-FR"/>
        </w:rPr>
        <w:tab/>
        <w:t xml:space="preserve">Indicateurs de performance </w:t>
      </w:r>
    </w:p>
    <w:p w14:paraId="3FE2A8D4" w14:textId="77777777" w:rsidR="00712E1C" w:rsidRPr="00712E1C" w:rsidRDefault="00712E1C" w:rsidP="00712E1C">
      <w:pPr>
        <w:pStyle w:val="Heading1"/>
        <w:rPr>
          <w:lang w:val="fr-FR"/>
        </w:rPr>
      </w:pPr>
      <w:r w:rsidRPr="00712E1C">
        <w:rPr>
          <w:lang w:val="fr-FR"/>
        </w:rPr>
        <w:t>L’ONUDI a présenté des indicateurs de performance conformément à la décision 71/28 dans le récit de son plan d’activités. Le Secrétariat a informé l’ONUDI des objectifs figurant dans le tableau 4.</w:t>
      </w:r>
    </w:p>
    <w:p w14:paraId="7573A3DB" w14:textId="77777777" w:rsidR="00712E1C" w:rsidRPr="00712E1C" w:rsidRDefault="00712E1C" w:rsidP="00712E1C">
      <w:pPr>
        <w:pStyle w:val="subhead"/>
        <w:keepNext/>
        <w:jc w:val="left"/>
        <w:rPr>
          <w:b/>
          <w:sz w:val="22"/>
          <w:szCs w:val="22"/>
        </w:rPr>
      </w:pPr>
      <w:r w:rsidRPr="00712E1C">
        <w:rPr>
          <w:b/>
          <w:sz w:val="22"/>
        </w:rPr>
        <w:t>Tableau 4. Indicateurs de performance de l’ONUDI pour 2023</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40"/>
        <w:gridCol w:w="1632"/>
      </w:tblGrid>
      <w:tr w:rsidR="00712E1C" w:rsidRPr="00712E1C" w14:paraId="30B7B7A9" w14:textId="77777777" w:rsidTr="007F2105">
        <w:trPr>
          <w:tblHeader/>
          <w:jc w:val="center"/>
        </w:trPr>
        <w:tc>
          <w:tcPr>
            <w:tcW w:w="1449" w:type="dxa"/>
            <w:shd w:val="clear" w:color="auto" w:fill="auto"/>
            <w:hideMark/>
          </w:tcPr>
          <w:p w14:paraId="7061F667" w14:textId="77777777" w:rsidR="00712E1C" w:rsidRPr="00712E1C" w:rsidRDefault="00712E1C" w:rsidP="007F2105">
            <w:pPr>
              <w:keepNext/>
              <w:jc w:val="left"/>
              <w:rPr>
                <w:b/>
                <w:bCs/>
                <w:sz w:val="20"/>
                <w:szCs w:val="20"/>
                <w:lang w:val="fr-FR"/>
              </w:rPr>
            </w:pPr>
            <w:r w:rsidRPr="00712E1C">
              <w:rPr>
                <w:b/>
                <w:sz w:val="20"/>
                <w:lang w:val="fr-FR"/>
              </w:rPr>
              <w:t xml:space="preserve">Type d’indicateur </w:t>
            </w:r>
          </w:p>
        </w:tc>
        <w:tc>
          <w:tcPr>
            <w:tcW w:w="2072" w:type="dxa"/>
            <w:shd w:val="clear" w:color="auto" w:fill="auto"/>
            <w:hideMark/>
          </w:tcPr>
          <w:p w14:paraId="7936B258" w14:textId="77777777" w:rsidR="00712E1C" w:rsidRPr="00712E1C" w:rsidRDefault="00712E1C" w:rsidP="007F2105">
            <w:pPr>
              <w:keepNext/>
              <w:jc w:val="center"/>
              <w:rPr>
                <w:b/>
                <w:bCs/>
                <w:sz w:val="20"/>
                <w:szCs w:val="20"/>
                <w:lang w:val="fr-FR"/>
              </w:rPr>
            </w:pPr>
            <w:r w:rsidRPr="00712E1C">
              <w:rPr>
                <w:b/>
                <w:sz w:val="20"/>
                <w:lang w:val="fr-FR"/>
              </w:rPr>
              <w:t>Titre abrégé</w:t>
            </w:r>
          </w:p>
        </w:tc>
        <w:tc>
          <w:tcPr>
            <w:tcW w:w="4340" w:type="dxa"/>
            <w:shd w:val="clear" w:color="auto" w:fill="auto"/>
            <w:hideMark/>
          </w:tcPr>
          <w:p w14:paraId="4264CD95" w14:textId="77777777" w:rsidR="00712E1C" w:rsidRPr="00712E1C" w:rsidRDefault="00712E1C" w:rsidP="007F2105">
            <w:pPr>
              <w:keepNext/>
              <w:jc w:val="center"/>
              <w:rPr>
                <w:b/>
                <w:bCs/>
                <w:sz w:val="20"/>
                <w:szCs w:val="20"/>
                <w:lang w:val="fr-FR"/>
              </w:rPr>
            </w:pPr>
            <w:r w:rsidRPr="00712E1C">
              <w:rPr>
                <w:b/>
                <w:sz w:val="20"/>
                <w:lang w:val="fr-FR"/>
              </w:rPr>
              <w:t>Calcul</w:t>
            </w:r>
          </w:p>
        </w:tc>
        <w:tc>
          <w:tcPr>
            <w:tcW w:w="1632" w:type="dxa"/>
          </w:tcPr>
          <w:p w14:paraId="302FB176" w14:textId="77777777" w:rsidR="00712E1C" w:rsidRPr="00712E1C" w:rsidRDefault="00712E1C" w:rsidP="007F2105">
            <w:pPr>
              <w:keepNext/>
              <w:jc w:val="center"/>
              <w:rPr>
                <w:b/>
                <w:bCs/>
                <w:sz w:val="20"/>
                <w:szCs w:val="20"/>
                <w:lang w:val="fr-FR"/>
              </w:rPr>
            </w:pPr>
            <w:r w:rsidRPr="00712E1C">
              <w:rPr>
                <w:b/>
                <w:sz w:val="20"/>
                <w:lang w:val="fr-FR"/>
              </w:rPr>
              <w:t>Objectif 2023</w:t>
            </w:r>
          </w:p>
        </w:tc>
      </w:tr>
      <w:tr w:rsidR="00712E1C" w:rsidRPr="00712E1C" w14:paraId="4654EC17" w14:textId="77777777" w:rsidTr="007F2105">
        <w:trPr>
          <w:jc w:val="center"/>
        </w:trPr>
        <w:tc>
          <w:tcPr>
            <w:tcW w:w="1449" w:type="dxa"/>
            <w:shd w:val="clear" w:color="auto" w:fill="auto"/>
            <w:hideMark/>
          </w:tcPr>
          <w:p w14:paraId="130DA64A" w14:textId="77777777" w:rsidR="00712E1C" w:rsidRPr="00712E1C" w:rsidRDefault="00712E1C" w:rsidP="007F2105">
            <w:pPr>
              <w:keepNext/>
              <w:jc w:val="left"/>
              <w:rPr>
                <w:sz w:val="20"/>
                <w:szCs w:val="20"/>
                <w:lang w:val="fr-FR"/>
              </w:rPr>
            </w:pPr>
            <w:r w:rsidRPr="00712E1C">
              <w:rPr>
                <w:sz w:val="20"/>
                <w:lang w:val="fr-FR"/>
              </w:rPr>
              <w:t xml:space="preserve">Planification -Approbation  </w:t>
            </w:r>
          </w:p>
        </w:tc>
        <w:tc>
          <w:tcPr>
            <w:tcW w:w="2072" w:type="dxa"/>
            <w:shd w:val="clear" w:color="auto" w:fill="auto"/>
            <w:hideMark/>
          </w:tcPr>
          <w:p w14:paraId="0DB11AD6" w14:textId="77777777" w:rsidR="00712E1C" w:rsidRPr="00712E1C" w:rsidRDefault="00712E1C" w:rsidP="007F2105">
            <w:pPr>
              <w:keepNext/>
              <w:jc w:val="left"/>
              <w:rPr>
                <w:sz w:val="20"/>
                <w:szCs w:val="20"/>
                <w:lang w:val="fr-FR"/>
              </w:rPr>
            </w:pPr>
            <w:r w:rsidRPr="00712E1C">
              <w:rPr>
                <w:sz w:val="20"/>
                <w:lang w:val="fr-FR"/>
              </w:rPr>
              <w:t>Tranches approuvées</w:t>
            </w:r>
          </w:p>
        </w:tc>
        <w:tc>
          <w:tcPr>
            <w:tcW w:w="4340" w:type="dxa"/>
            <w:shd w:val="clear" w:color="auto" w:fill="auto"/>
            <w:hideMark/>
          </w:tcPr>
          <w:p w14:paraId="5E5F2ED3" w14:textId="77777777" w:rsidR="00712E1C" w:rsidRPr="00712E1C" w:rsidRDefault="00712E1C" w:rsidP="007F2105">
            <w:pPr>
              <w:keepNext/>
              <w:jc w:val="left"/>
              <w:rPr>
                <w:sz w:val="20"/>
                <w:szCs w:val="20"/>
                <w:lang w:val="fr-FR"/>
              </w:rPr>
            </w:pPr>
            <w:r w:rsidRPr="00712E1C">
              <w:rPr>
                <w:sz w:val="20"/>
                <w:lang w:val="fr-FR"/>
              </w:rPr>
              <w:t>Nombre de tranches approuvées par rapport à celles qui sont prévues*</w:t>
            </w:r>
          </w:p>
        </w:tc>
        <w:tc>
          <w:tcPr>
            <w:tcW w:w="1632" w:type="dxa"/>
          </w:tcPr>
          <w:p w14:paraId="04943F81" w14:textId="77777777" w:rsidR="00712E1C" w:rsidRPr="00712E1C" w:rsidRDefault="00712E1C" w:rsidP="007F2105">
            <w:pPr>
              <w:keepNext/>
              <w:jc w:val="right"/>
              <w:rPr>
                <w:sz w:val="20"/>
                <w:szCs w:val="20"/>
                <w:lang w:val="fr-FR"/>
              </w:rPr>
            </w:pPr>
            <w:r w:rsidRPr="00712E1C">
              <w:rPr>
                <w:sz w:val="20"/>
                <w:lang w:val="fr-FR"/>
              </w:rPr>
              <w:t>58</w:t>
            </w:r>
          </w:p>
        </w:tc>
      </w:tr>
      <w:tr w:rsidR="00712E1C" w:rsidRPr="00712E1C" w14:paraId="36EE559D" w14:textId="77777777" w:rsidTr="007F2105">
        <w:trPr>
          <w:jc w:val="center"/>
        </w:trPr>
        <w:tc>
          <w:tcPr>
            <w:tcW w:w="1449" w:type="dxa"/>
            <w:shd w:val="clear" w:color="auto" w:fill="auto"/>
            <w:hideMark/>
          </w:tcPr>
          <w:p w14:paraId="42F1F8FC" w14:textId="77777777" w:rsidR="00712E1C" w:rsidRPr="00712E1C" w:rsidRDefault="00712E1C" w:rsidP="007F2105">
            <w:pPr>
              <w:keepNext/>
              <w:jc w:val="left"/>
              <w:rPr>
                <w:sz w:val="20"/>
                <w:szCs w:val="20"/>
                <w:lang w:val="fr-FR"/>
              </w:rPr>
            </w:pPr>
            <w:r w:rsidRPr="00712E1C">
              <w:rPr>
                <w:sz w:val="20"/>
                <w:lang w:val="fr-FR"/>
              </w:rPr>
              <w:t xml:space="preserve">Planification -Approbation </w:t>
            </w:r>
          </w:p>
        </w:tc>
        <w:tc>
          <w:tcPr>
            <w:tcW w:w="2072" w:type="dxa"/>
            <w:shd w:val="clear" w:color="auto" w:fill="auto"/>
            <w:hideMark/>
          </w:tcPr>
          <w:p w14:paraId="57E9B217" w14:textId="77777777" w:rsidR="00712E1C" w:rsidRPr="00712E1C" w:rsidRDefault="00712E1C" w:rsidP="007F2105">
            <w:pPr>
              <w:keepNext/>
              <w:jc w:val="left"/>
              <w:rPr>
                <w:sz w:val="20"/>
                <w:szCs w:val="20"/>
                <w:lang w:val="fr-FR"/>
              </w:rPr>
            </w:pPr>
            <w:r w:rsidRPr="00712E1C">
              <w:rPr>
                <w:sz w:val="20"/>
                <w:lang w:val="fr-FR"/>
              </w:rPr>
              <w:t>Projets/activités approuvés</w:t>
            </w:r>
          </w:p>
        </w:tc>
        <w:tc>
          <w:tcPr>
            <w:tcW w:w="4340" w:type="dxa"/>
            <w:shd w:val="clear" w:color="auto" w:fill="auto"/>
            <w:hideMark/>
          </w:tcPr>
          <w:p w14:paraId="3B61EE54" w14:textId="77777777" w:rsidR="00712E1C" w:rsidRPr="00712E1C" w:rsidRDefault="00712E1C" w:rsidP="007F2105">
            <w:pPr>
              <w:keepNext/>
              <w:jc w:val="left"/>
              <w:rPr>
                <w:sz w:val="20"/>
                <w:szCs w:val="20"/>
                <w:lang w:val="fr-FR"/>
              </w:rPr>
            </w:pPr>
            <w:r w:rsidRPr="00712E1C">
              <w:rPr>
                <w:sz w:val="20"/>
                <w:lang w:val="fr-FR"/>
              </w:rPr>
              <w:t>Nombre de projets/activités approuvés par rapport à ceux prévus (y compris les activités de préparation des projets)</w:t>
            </w:r>
          </w:p>
        </w:tc>
        <w:tc>
          <w:tcPr>
            <w:tcW w:w="1632" w:type="dxa"/>
          </w:tcPr>
          <w:p w14:paraId="3700DB6A" w14:textId="77777777" w:rsidR="00712E1C" w:rsidRPr="00712E1C" w:rsidRDefault="00712E1C" w:rsidP="007F2105">
            <w:pPr>
              <w:keepNext/>
              <w:jc w:val="right"/>
              <w:rPr>
                <w:sz w:val="20"/>
                <w:szCs w:val="20"/>
                <w:lang w:val="fr-FR"/>
              </w:rPr>
            </w:pPr>
            <w:r w:rsidRPr="00712E1C">
              <w:rPr>
                <w:sz w:val="20"/>
                <w:lang w:val="fr-FR"/>
              </w:rPr>
              <w:t>19</w:t>
            </w:r>
          </w:p>
        </w:tc>
      </w:tr>
      <w:tr w:rsidR="00712E1C" w:rsidRPr="00712E1C" w14:paraId="2211B45D" w14:textId="77777777" w:rsidTr="007F2105">
        <w:trPr>
          <w:jc w:val="center"/>
        </w:trPr>
        <w:tc>
          <w:tcPr>
            <w:tcW w:w="1449" w:type="dxa"/>
            <w:shd w:val="clear" w:color="auto" w:fill="auto"/>
            <w:hideMark/>
          </w:tcPr>
          <w:p w14:paraId="70573549" w14:textId="77777777" w:rsidR="00712E1C" w:rsidRPr="00712E1C" w:rsidRDefault="00712E1C" w:rsidP="007F2105">
            <w:pPr>
              <w:jc w:val="left"/>
              <w:rPr>
                <w:sz w:val="20"/>
                <w:szCs w:val="20"/>
                <w:lang w:val="fr-FR"/>
              </w:rPr>
            </w:pPr>
            <w:r w:rsidRPr="00712E1C">
              <w:rPr>
                <w:sz w:val="20"/>
                <w:lang w:val="fr-FR"/>
              </w:rPr>
              <w:t xml:space="preserve">Mise en œuvre </w:t>
            </w:r>
          </w:p>
        </w:tc>
        <w:tc>
          <w:tcPr>
            <w:tcW w:w="2072" w:type="dxa"/>
            <w:shd w:val="clear" w:color="auto" w:fill="auto"/>
            <w:hideMark/>
          </w:tcPr>
          <w:p w14:paraId="5CA415C6" w14:textId="77777777" w:rsidR="00712E1C" w:rsidRPr="00712E1C" w:rsidRDefault="00712E1C" w:rsidP="007F2105">
            <w:pPr>
              <w:jc w:val="left"/>
              <w:rPr>
                <w:sz w:val="20"/>
                <w:szCs w:val="20"/>
                <w:lang w:val="fr-FR"/>
              </w:rPr>
            </w:pPr>
            <w:r w:rsidRPr="00712E1C">
              <w:rPr>
                <w:sz w:val="20"/>
                <w:lang w:val="fr-FR"/>
              </w:rPr>
              <w:t>Sommes décaissées</w:t>
            </w:r>
          </w:p>
        </w:tc>
        <w:tc>
          <w:tcPr>
            <w:tcW w:w="4340" w:type="dxa"/>
            <w:shd w:val="clear" w:color="auto" w:fill="auto"/>
            <w:hideMark/>
          </w:tcPr>
          <w:p w14:paraId="1DE42845" w14:textId="77777777" w:rsidR="00712E1C" w:rsidRPr="00712E1C" w:rsidRDefault="00712E1C" w:rsidP="007F2105">
            <w:pPr>
              <w:jc w:val="left"/>
              <w:rPr>
                <w:sz w:val="20"/>
                <w:szCs w:val="20"/>
                <w:lang w:val="fr-FR"/>
              </w:rPr>
            </w:pPr>
            <w:r w:rsidRPr="00712E1C">
              <w:rPr>
                <w:sz w:val="20"/>
                <w:lang w:val="fr-FR"/>
              </w:rPr>
              <w:t>Sur la base des décaissements estimés dans le rapport périodique</w:t>
            </w:r>
          </w:p>
        </w:tc>
        <w:tc>
          <w:tcPr>
            <w:tcW w:w="1632" w:type="dxa"/>
          </w:tcPr>
          <w:p w14:paraId="54E9A2A7" w14:textId="77777777" w:rsidR="00712E1C" w:rsidRPr="00712E1C" w:rsidRDefault="00712E1C" w:rsidP="007F2105">
            <w:pPr>
              <w:jc w:val="right"/>
              <w:rPr>
                <w:sz w:val="20"/>
                <w:szCs w:val="20"/>
                <w:lang w:val="fr-FR"/>
              </w:rPr>
            </w:pPr>
            <w:r w:rsidRPr="00712E1C">
              <w:rPr>
                <w:sz w:val="20"/>
                <w:lang w:val="fr-FR"/>
              </w:rPr>
              <w:t>21 222 040 $ US</w:t>
            </w:r>
          </w:p>
        </w:tc>
      </w:tr>
      <w:tr w:rsidR="00712E1C" w:rsidRPr="00712E1C" w14:paraId="0257A908" w14:textId="77777777" w:rsidTr="007F2105">
        <w:trPr>
          <w:jc w:val="center"/>
        </w:trPr>
        <w:tc>
          <w:tcPr>
            <w:tcW w:w="1449" w:type="dxa"/>
            <w:shd w:val="clear" w:color="auto" w:fill="auto"/>
            <w:hideMark/>
          </w:tcPr>
          <w:p w14:paraId="1C412981" w14:textId="77777777" w:rsidR="00712E1C" w:rsidRPr="00712E1C" w:rsidRDefault="00712E1C" w:rsidP="007F2105">
            <w:pPr>
              <w:jc w:val="left"/>
              <w:rPr>
                <w:sz w:val="20"/>
                <w:szCs w:val="20"/>
                <w:lang w:val="fr-FR"/>
              </w:rPr>
            </w:pPr>
            <w:r w:rsidRPr="00712E1C">
              <w:rPr>
                <w:sz w:val="20"/>
                <w:lang w:val="fr-FR"/>
              </w:rPr>
              <w:t>Mise en œuvre</w:t>
            </w:r>
          </w:p>
        </w:tc>
        <w:tc>
          <w:tcPr>
            <w:tcW w:w="2072" w:type="dxa"/>
            <w:shd w:val="clear" w:color="auto" w:fill="auto"/>
            <w:hideMark/>
          </w:tcPr>
          <w:p w14:paraId="0AE20BEA" w14:textId="77777777" w:rsidR="00712E1C" w:rsidRPr="00712E1C" w:rsidRDefault="00712E1C" w:rsidP="007F2105">
            <w:pPr>
              <w:jc w:val="left"/>
              <w:rPr>
                <w:sz w:val="20"/>
                <w:szCs w:val="20"/>
                <w:lang w:val="fr-FR"/>
              </w:rPr>
            </w:pPr>
            <w:r w:rsidRPr="00712E1C">
              <w:rPr>
                <w:sz w:val="20"/>
                <w:lang w:val="fr-FR"/>
              </w:rPr>
              <w:t>Élimination de SAO</w:t>
            </w:r>
          </w:p>
        </w:tc>
        <w:tc>
          <w:tcPr>
            <w:tcW w:w="4340" w:type="dxa"/>
            <w:shd w:val="clear" w:color="auto" w:fill="auto"/>
            <w:hideMark/>
          </w:tcPr>
          <w:p w14:paraId="1CEFBF84" w14:textId="77777777" w:rsidR="00712E1C" w:rsidRPr="00712E1C" w:rsidRDefault="00712E1C" w:rsidP="007F2105">
            <w:pPr>
              <w:jc w:val="left"/>
              <w:rPr>
                <w:sz w:val="20"/>
                <w:szCs w:val="20"/>
                <w:lang w:val="fr-FR"/>
              </w:rPr>
            </w:pPr>
            <w:r w:rsidRPr="00712E1C">
              <w:rPr>
                <w:sz w:val="20"/>
                <w:lang w:val="fr-FR"/>
              </w:rPr>
              <w:t>Élimination de SAO pour la tranche lorsque la prochaine tranche est approuvée par rapport à celle prévue par les plans d’activités*</w:t>
            </w:r>
          </w:p>
        </w:tc>
        <w:tc>
          <w:tcPr>
            <w:tcW w:w="1632" w:type="dxa"/>
          </w:tcPr>
          <w:p w14:paraId="3492E493" w14:textId="77777777" w:rsidR="00712E1C" w:rsidRPr="00712E1C" w:rsidRDefault="00712E1C" w:rsidP="007F2105">
            <w:pPr>
              <w:jc w:val="right"/>
              <w:rPr>
                <w:sz w:val="20"/>
                <w:szCs w:val="20"/>
                <w:lang w:val="fr-FR"/>
              </w:rPr>
            </w:pPr>
            <w:r w:rsidRPr="00712E1C">
              <w:rPr>
                <w:sz w:val="20"/>
                <w:lang w:val="fr-FR"/>
              </w:rPr>
              <w:t>655,2 tonnes PAO</w:t>
            </w:r>
          </w:p>
        </w:tc>
      </w:tr>
      <w:tr w:rsidR="00712E1C" w:rsidRPr="00712E1C" w14:paraId="736713FA" w14:textId="77777777" w:rsidTr="007F2105">
        <w:trPr>
          <w:jc w:val="center"/>
        </w:trPr>
        <w:tc>
          <w:tcPr>
            <w:tcW w:w="1449" w:type="dxa"/>
            <w:shd w:val="clear" w:color="auto" w:fill="auto"/>
            <w:hideMark/>
          </w:tcPr>
          <w:p w14:paraId="77FC5246" w14:textId="77777777" w:rsidR="00712E1C" w:rsidRPr="00712E1C" w:rsidRDefault="00712E1C" w:rsidP="007F2105">
            <w:pPr>
              <w:jc w:val="left"/>
              <w:rPr>
                <w:sz w:val="20"/>
                <w:szCs w:val="20"/>
                <w:lang w:val="fr-FR"/>
              </w:rPr>
            </w:pPr>
            <w:r w:rsidRPr="00712E1C">
              <w:rPr>
                <w:sz w:val="20"/>
                <w:lang w:val="fr-FR"/>
              </w:rPr>
              <w:lastRenderedPageBreak/>
              <w:t xml:space="preserve">Mise en œuvre </w:t>
            </w:r>
          </w:p>
        </w:tc>
        <w:tc>
          <w:tcPr>
            <w:tcW w:w="2072" w:type="dxa"/>
            <w:shd w:val="clear" w:color="auto" w:fill="auto"/>
            <w:hideMark/>
          </w:tcPr>
          <w:p w14:paraId="25ED3461" w14:textId="77777777" w:rsidR="00712E1C" w:rsidRPr="00712E1C" w:rsidRDefault="00712E1C" w:rsidP="007F2105">
            <w:pPr>
              <w:jc w:val="left"/>
              <w:rPr>
                <w:sz w:val="20"/>
                <w:szCs w:val="20"/>
                <w:lang w:val="fr-FR"/>
              </w:rPr>
            </w:pPr>
            <w:r w:rsidRPr="00712E1C">
              <w:rPr>
                <w:sz w:val="20"/>
                <w:lang w:val="fr-FR"/>
              </w:rPr>
              <w:t>Achèvement du projet pour les activités</w:t>
            </w:r>
          </w:p>
        </w:tc>
        <w:tc>
          <w:tcPr>
            <w:tcW w:w="4340" w:type="dxa"/>
            <w:shd w:val="clear" w:color="auto" w:fill="auto"/>
            <w:hideMark/>
          </w:tcPr>
          <w:p w14:paraId="17FF3BD7" w14:textId="77777777" w:rsidR="00712E1C" w:rsidRPr="00712E1C" w:rsidRDefault="00712E1C" w:rsidP="007F2105">
            <w:pPr>
              <w:jc w:val="left"/>
              <w:rPr>
                <w:sz w:val="20"/>
                <w:szCs w:val="20"/>
                <w:lang w:val="fr-FR"/>
              </w:rPr>
            </w:pPr>
            <w:r w:rsidRPr="00712E1C">
              <w:rPr>
                <w:sz w:val="20"/>
                <w:lang w:val="fr-FR"/>
              </w:rPr>
              <w:t>Achèvement du projet par rapport à ce qui était prévu dans les rapports périodiques pour toutes les activités (à l’exception de la préparation du projet)</w:t>
            </w:r>
          </w:p>
        </w:tc>
        <w:tc>
          <w:tcPr>
            <w:tcW w:w="1632" w:type="dxa"/>
          </w:tcPr>
          <w:p w14:paraId="35A76F56" w14:textId="77777777" w:rsidR="00712E1C" w:rsidRPr="00712E1C" w:rsidRDefault="00712E1C" w:rsidP="007F2105">
            <w:pPr>
              <w:jc w:val="right"/>
              <w:rPr>
                <w:sz w:val="20"/>
                <w:szCs w:val="20"/>
                <w:lang w:val="fr-FR"/>
              </w:rPr>
            </w:pPr>
            <w:r w:rsidRPr="00712E1C">
              <w:rPr>
                <w:sz w:val="20"/>
                <w:lang w:val="fr-FR"/>
              </w:rPr>
              <w:t>67</w:t>
            </w:r>
          </w:p>
        </w:tc>
      </w:tr>
      <w:tr w:rsidR="00712E1C" w:rsidRPr="00712E1C" w14:paraId="62397BFC" w14:textId="77777777" w:rsidTr="007F2105">
        <w:trPr>
          <w:jc w:val="center"/>
        </w:trPr>
        <w:tc>
          <w:tcPr>
            <w:tcW w:w="1449" w:type="dxa"/>
            <w:shd w:val="clear" w:color="auto" w:fill="auto"/>
            <w:hideMark/>
          </w:tcPr>
          <w:p w14:paraId="54764093" w14:textId="77777777" w:rsidR="00712E1C" w:rsidRPr="00712E1C" w:rsidRDefault="00712E1C" w:rsidP="007F2105">
            <w:pPr>
              <w:jc w:val="left"/>
              <w:rPr>
                <w:sz w:val="20"/>
                <w:szCs w:val="20"/>
                <w:lang w:val="fr-FR"/>
              </w:rPr>
            </w:pPr>
            <w:r w:rsidRPr="00712E1C">
              <w:rPr>
                <w:sz w:val="20"/>
                <w:lang w:val="fr-FR"/>
              </w:rPr>
              <w:t>Administratif</w:t>
            </w:r>
          </w:p>
        </w:tc>
        <w:tc>
          <w:tcPr>
            <w:tcW w:w="2072" w:type="dxa"/>
            <w:shd w:val="clear" w:color="auto" w:fill="auto"/>
            <w:hideMark/>
          </w:tcPr>
          <w:p w14:paraId="579830D3" w14:textId="77777777" w:rsidR="00712E1C" w:rsidRPr="00712E1C" w:rsidRDefault="00712E1C" w:rsidP="007F2105">
            <w:pPr>
              <w:jc w:val="left"/>
              <w:rPr>
                <w:sz w:val="20"/>
                <w:szCs w:val="20"/>
                <w:lang w:val="fr-FR"/>
              </w:rPr>
            </w:pPr>
            <w:r w:rsidRPr="00712E1C">
              <w:rPr>
                <w:sz w:val="20"/>
                <w:lang w:val="fr-FR"/>
              </w:rPr>
              <w:t>Rapidité de l’exécution financière</w:t>
            </w:r>
          </w:p>
        </w:tc>
        <w:tc>
          <w:tcPr>
            <w:tcW w:w="4340" w:type="dxa"/>
            <w:shd w:val="clear" w:color="auto" w:fill="auto"/>
            <w:hideMark/>
          </w:tcPr>
          <w:p w14:paraId="0495FE4D" w14:textId="77777777" w:rsidR="00712E1C" w:rsidRPr="00712E1C" w:rsidRDefault="00712E1C" w:rsidP="007F2105">
            <w:pPr>
              <w:jc w:val="left"/>
              <w:rPr>
                <w:sz w:val="20"/>
                <w:szCs w:val="20"/>
                <w:lang w:val="fr-FR"/>
              </w:rPr>
            </w:pPr>
            <w:r w:rsidRPr="00712E1C">
              <w:rPr>
                <w:sz w:val="20"/>
                <w:lang w:val="fr-FR"/>
              </w:rPr>
              <w:t>Degré d’achèvement des projets sur le plan financier 12 mois après leur achèvement</w:t>
            </w:r>
          </w:p>
        </w:tc>
        <w:tc>
          <w:tcPr>
            <w:tcW w:w="1632" w:type="dxa"/>
          </w:tcPr>
          <w:p w14:paraId="094975D1" w14:textId="77777777" w:rsidR="00712E1C" w:rsidRPr="00712E1C" w:rsidRDefault="00712E1C" w:rsidP="007F2105">
            <w:pPr>
              <w:jc w:val="right"/>
              <w:rPr>
                <w:sz w:val="20"/>
                <w:szCs w:val="20"/>
                <w:lang w:val="fr-FR"/>
              </w:rPr>
            </w:pPr>
            <w:r w:rsidRPr="00712E1C">
              <w:rPr>
                <w:sz w:val="20"/>
                <w:lang w:val="fr-FR"/>
              </w:rPr>
              <w:t>12 mois après l’achèvement opérationnel</w:t>
            </w:r>
          </w:p>
        </w:tc>
      </w:tr>
      <w:tr w:rsidR="00712E1C" w:rsidRPr="00712E1C" w14:paraId="3CCCB25E" w14:textId="77777777" w:rsidTr="007F2105">
        <w:trPr>
          <w:jc w:val="center"/>
        </w:trPr>
        <w:tc>
          <w:tcPr>
            <w:tcW w:w="1449" w:type="dxa"/>
            <w:shd w:val="clear" w:color="auto" w:fill="auto"/>
            <w:hideMark/>
          </w:tcPr>
          <w:p w14:paraId="52566111" w14:textId="77777777" w:rsidR="00712E1C" w:rsidRPr="00712E1C" w:rsidRDefault="00712E1C" w:rsidP="007F2105">
            <w:pPr>
              <w:jc w:val="left"/>
              <w:rPr>
                <w:sz w:val="20"/>
                <w:szCs w:val="20"/>
                <w:lang w:val="fr-FR"/>
              </w:rPr>
            </w:pPr>
            <w:r w:rsidRPr="00712E1C">
              <w:rPr>
                <w:sz w:val="20"/>
                <w:lang w:val="fr-FR"/>
              </w:rPr>
              <w:t xml:space="preserve">Administratif </w:t>
            </w:r>
          </w:p>
        </w:tc>
        <w:tc>
          <w:tcPr>
            <w:tcW w:w="2072" w:type="dxa"/>
            <w:shd w:val="clear" w:color="auto" w:fill="auto"/>
            <w:hideMark/>
          </w:tcPr>
          <w:p w14:paraId="56D69FF1" w14:textId="77777777" w:rsidR="00712E1C" w:rsidRPr="00712E1C" w:rsidRDefault="00712E1C" w:rsidP="007F2105">
            <w:pPr>
              <w:jc w:val="left"/>
              <w:rPr>
                <w:sz w:val="20"/>
                <w:szCs w:val="20"/>
                <w:lang w:val="fr-FR"/>
              </w:rPr>
            </w:pPr>
            <w:r w:rsidRPr="00712E1C">
              <w:rPr>
                <w:sz w:val="20"/>
                <w:lang w:val="fr-FR"/>
              </w:rPr>
              <w:t>Remise en temps voulu des rapports d’achèvement de projet</w:t>
            </w:r>
          </w:p>
        </w:tc>
        <w:tc>
          <w:tcPr>
            <w:tcW w:w="4340" w:type="dxa"/>
            <w:shd w:val="clear" w:color="auto" w:fill="auto"/>
            <w:hideMark/>
          </w:tcPr>
          <w:p w14:paraId="02C2C76E" w14:textId="77777777" w:rsidR="00712E1C" w:rsidRPr="00712E1C" w:rsidRDefault="00712E1C" w:rsidP="007F2105">
            <w:pPr>
              <w:jc w:val="left"/>
              <w:rPr>
                <w:sz w:val="20"/>
                <w:szCs w:val="20"/>
                <w:lang w:val="fr-FR"/>
              </w:rPr>
            </w:pPr>
            <w:r w:rsidRPr="00712E1C">
              <w:rPr>
                <w:sz w:val="20"/>
                <w:lang w:val="fr-FR"/>
              </w:rPr>
              <w:t>Remise en temps voulu des rapports d’achèvement de projet par rapport aux délais prévus</w:t>
            </w:r>
          </w:p>
        </w:tc>
        <w:tc>
          <w:tcPr>
            <w:tcW w:w="1632" w:type="dxa"/>
          </w:tcPr>
          <w:p w14:paraId="05698980" w14:textId="77777777" w:rsidR="00712E1C" w:rsidRPr="00712E1C" w:rsidRDefault="00712E1C" w:rsidP="007F2105">
            <w:pPr>
              <w:jc w:val="right"/>
              <w:rPr>
                <w:sz w:val="20"/>
                <w:szCs w:val="20"/>
                <w:lang w:val="fr-FR"/>
              </w:rPr>
            </w:pPr>
            <w:r w:rsidRPr="00712E1C">
              <w:rPr>
                <w:sz w:val="20"/>
                <w:lang w:val="fr-FR"/>
              </w:rPr>
              <w:t>Dans les délais (12)</w:t>
            </w:r>
          </w:p>
        </w:tc>
      </w:tr>
      <w:tr w:rsidR="00712E1C" w:rsidRPr="00712E1C" w14:paraId="06E76984" w14:textId="77777777" w:rsidTr="007F2105">
        <w:trPr>
          <w:jc w:val="center"/>
        </w:trPr>
        <w:tc>
          <w:tcPr>
            <w:tcW w:w="1449" w:type="dxa"/>
            <w:shd w:val="clear" w:color="auto" w:fill="auto"/>
            <w:hideMark/>
          </w:tcPr>
          <w:p w14:paraId="13E399D5" w14:textId="77777777" w:rsidR="00712E1C" w:rsidRPr="00712E1C" w:rsidRDefault="00712E1C" w:rsidP="007F2105">
            <w:pPr>
              <w:keepNext/>
              <w:jc w:val="left"/>
              <w:rPr>
                <w:sz w:val="20"/>
                <w:szCs w:val="20"/>
                <w:lang w:val="fr-FR"/>
              </w:rPr>
            </w:pPr>
            <w:r w:rsidRPr="00712E1C">
              <w:rPr>
                <w:sz w:val="20"/>
                <w:lang w:val="fr-FR"/>
              </w:rPr>
              <w:t xml:space="preserve">Administratif </w:t>
            </w:r>
          </w:p>
        </w:tc>
        <w:tc>
          <w:tcPr>
            <w:tcW w:w="2072" w:type="dxa"/>
            <w:shd w:val="clear" w:color="auto" w:fill="auto"/>
            <w:hideMark/>
          </w:tcPr>
          <w:p w14:paraId="1D9134D5" w14:textId="77777777" w:rsidR="00712E1C" w:rsidRPr="00712E1C" w:rsidRDefault="00712E1C" w:rsidP="007F2105">
            <w:pPr>
              <w:keepNext/>
              <w:jc w:val="left"/>
              <w:rPr>
                <w:sz w:val="20"/>
                <w:szCs w:val="20"/>
                <w:lang w:val="fr-FR"/>
              </w:rPr>
            </w:pPr>
            <w:r w:rsidRPr="00712E1C">
              <w:rPr>
                <w:sz w:val="20"/>
                <w:lang w:val="fr-FR"/>
              </w:rPr>
              <w:t>Remise en temps voulu des rapports périodiques</w:t>
            </w:r>
          </w:p>
        </w:tc>
        <w:tc>
          <w:tcPr>
            <w:tcW w:w="4340" w:type="dxa"/>
            <w:shd w:val="clear" w:color="auto" w:fill="auto"/>
            <w:hideMark/>
          </w:tcPr>
          <w:p w14:paraId="66A4888C" w14:textId="77777777" w:rsidR="00712E1C" w:rsidRPr="00712E1C" w:rsidRDefault="00712E1C" w:rsidP="007F2105">
            <w:pPr>
              <w:keepNext/>
              <w:jc w:val="left"/>
              <w:rPr>
                <w:sz w:val="20"/>
                <w:szCs w:val="20"/>
                <w:lang w:val="fr-FR"/>
              </w:rPr>
            </w:pPr>
            <w:r w:rsidRPr="00712E1C">
              <w:rPr>
                <w:sz w:val="20"/>
                <w:lang w:val="fr-FR"/>
              </w:rPr>
              <w:t>Remise en temps voulu des rapports périodiques, des plans d’activités et des réponses, à moins qu’il en ait été convenu autrement</w:t>
            </w:r>
          </w:p>
        </w:tc>
        <w:tc>
          <w:tcPr>
            <w:tcW w:w="1632" w:type="dxa"/>
          </w:tcPr>
          <w:p w14:paraId="51175367" w14:textId="77777777" w:rsidR="00712E1C" w:rsidRPr="00712E1C" w:rsidRDefault="00712E1C" w:rsidP="007F2105">
            <w:pPr>
              <w:keepNext/>
              <w:jc w:val="right"/>
              <w:rPr>
                <w:sz w:val="20"/>
                <w:szCs w:val="20"/>
                <w:lang w:val="fr-FR"/>
              </w:rPr>
            </w:pPr>
            <w:r w:rsidRPr="00712E1C">
              <w:rPr>
                <w:sz w:val="20"/>
                <w:lang w:val="fr-FR"/>
              </w:rPr>
              <w:t>En temps voulu</w:t>
            </w:r>
          </w:p>
        </w:tc>
      </w:tr>
    </w:tbl>
    <w:p w14:paraId="76C7B149" w14:textId="77777777" w:rsidR="00712E1C" w:rsidRPr="00712E1C" w:rsidRDefault="00712E1C" w:rsidP="00712E1C">
      <w:pPr>
        <w:keepNext/>
        <w:rPr>
          <w:sz w:val="19"/>
          <w:szCs w:val="19"/>
          <w:lang w:val="fr-FR"/>
        </w:rPr>
      </w:pPr>
      <w:r w:rsidRPr="00712E1C">
        <w:rPr>
          <w:sz w:val="19"/>
          <w:lang w:val="fr-FR"/>
        </w:rPr>
        <w:t>* L’objectif d’une agence serait réduit si elle ne parvenait pas à présenter une tranche à cause d’une autre agence principale ou de coopération, sur accord de cette dernière.</w:t>
      </w:r>
    </w:p>
    <w:p w14:paraId="65E93088" w14:textId="77777777" w:rsidR="00712E1C" w:rsidRPr="00712E1C" w:rsidRDefault="00712E1C" w:rsidP="00712E1C">
      <w:pPr>
        <w:rPr>
          <w:lang w:val="fr-FR"/>
        </w:rPr>
      </w:pPr>
    </w:p>
    <w:p w14:paraId="3DF7CAB7" w14:textId="77777777" w:rsidR="00712E1C" w:rsidRPr="00712E1C" w:rsidRDefault="00712E1C" w:rsidP="00712E1C">
      <w:pPr>
        <w:pStyle w:val="sub-title"/>
        <w:widowControl w:val="0"/>
        <w:spacing w:after="240"/>
        <w:rPr>
          <w:noProof w:val="0"/>
          <w:sz w:val="24"/>
          <w:szCs w:val="24"/>
          <w:lang w:val="fr-FR"/>
        </w:rPr>
      </w:pPr>
      <w:r w:rsidRPr="00712E1C">
        <w:rPr>
          <w:sz w:val="24"/>
          <w:lang w:val="fr-FR"/>
        </w:rPr>
        <w:t>V.</w:t>
      </w:r>
      <w:r w:rsidRPr="00712E1C">
        <w:rPr>
          <w:sz w:val="24"/>
          <w:lang w:val="fr-FR"/>
        </w:rPr>
        <w:tab/>
        <w:t>Recommandation</w:t>
      </w:r>
    </w:p>
    <w:p w14:paraId="6628AB3D" w14:textId="77777777" w:rsidR="00712E1C" w:rsidRPr="00712E1C" w:rsidRDefault="00712E1C" w:rsidP="00712E1C">
      <w:pPr>
        <w:pStyle w:val="Heading1"/>
        <w:rPr>
          <w:lang w:val="fr-FR"/>
        </w:rPr>
      </w:pPr>
      <w:r w:rsidRPr="00712E1C">
        <w:rPr>
          <w:lang w:val="fr-FR"/>
        </w:rPr>
        <w:t>Le Comité exécutif pourrait envisager :</w:t>
      </w:r>
    </w:p>
    <w:p w14:paraId="413E3E6B" w14:textId="77777777" w:rsidR="00712E1C" w:rsidRPr="00712E1C" w:rsidRDefault="00712E1C" w:rsidP="00712E1C">
      <w:pPr>
        <w:pStyle w:val="Heading2"/>
        <w:numPr>
          <w:ilvl w:val="1"/>
          <w:numId w:val="1"/>
        </w:numPr>
        <w:rPr>
          <w:lang w:val="fr-FR"/>
        </w:rPr>
      </w:pPr>
      <w:r w:rsidRPr="00712E1C">
        <w:rPr>
          <w:lang w:val="fr-FR"/>
        </w:rPr>
        <w:t>de prendre note du plan d’activités de l’ONUDI pour la période 2023–2025, contenu dans le document UNEP/OzL.Pro/ExCom/91/26 ; et</w:t>
      </w:r>
    </w:p>
    <w:p w14:paraId="0BED60FF" w14:textId="77777777" w:rsidR="00712E1C" w:rsidRPr="00712E1C" w:rsidRDefault="00712E1C" w:rsidP="00712E1C">
      <w:pPr>
        <w:pStyle w:val="Heading2"/>
        <w:numPr>
          <w:ilvl w:val="1"/>
          <w:numId w:val="1"/>
        </w:numPr>
        <w:rPr>
          <w:lang w:val="fr-FR"/>
        </w:rPr>
      </w:pPr>
      <w:r w:rsidRPr="00712E1C">
        <w:rPr>
          <w:lang w:val="fr-FR"/>
        </w:rPr>
        <w:t>d’approuver les indicateurs de performance de l’ONUDI présentés dans le tableau 4 du document UNEP/OzL.Pro/ExCom/91/26.</w:t>
      </w:r>
    </w:p>
    <w:sectPr w:rsidR="00712E1C" w:rsidRPr="00712E1C" w:rsidSect="006256C5">
      <w:headerReference w:type="even" r:id="rId10"/>
      <w:headerReference w:type="default" r:id="rId11"/>
      <w:footerReference w:type="even" r:id="rId12"/>
      <w:footerReference w:type="default" r:id="rId13"/>
      <w:footerReference w:type="first" r:id="rId14"/>
      <w:pgSz w:w="12240" w:h="15840" w:code="1"/>
      <w:pgMar w:top="720" w:right="1440" w:bottom="709"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09924" w14:textId="77777777" w:rsidR="00D809E5" w:rsidRDefault="00D809E5">
      <w:r>
        <w:separator/>
      </w:r>
    </w:p>
  </w:endnote>
  <w:endnote w:type="continuationSeparator" w:id="0">
    <w:p w14:paraId="13C2E4DE" w14:textId="77777777" w:rsidR="00D809E5" w:rsidRDefault="00D80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D4928"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DAAA4"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83E2"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8FD2582"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294ACBD"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7286F" w14:textId="77777777" w:rsidR="00D809E5" w:rsidRDefault="00D809E5">
      <w:r>
        <w:separator/>
      </w:r>
    </w:p>
  </w:footnote>
  <w:footnote w:type="continuationSeparator" w:id="0">
    <w:p w14:paraId="5FD32B5E" w14:textId="77777777" w:rsidR="00D809E5" w:rsidRDefault="00D809E5">
      <w:r>
        <w:continuationSeparator/>
      </w:r>
    </w:p>
  </w:footnote>
  <w:footnote w:id="1">
    <w:p w14:paraId="4D6D3BED"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UNEP/OzL.Pro/ExCom/91/1</w:t>
      </w:r>
    </w:p>
  </w:footnote>
  <w:footnote w:id="2">
    <w:p w14:paraId="19D27CB0" w14:textId="020F70E4" w:rsidR="00712E1C" w:rsidRDefault="00712E1C" w:rsidP="00712E1C">
      <w:pPr>
        <w:pStyle w:val="FootnoteText"/>
        <w:rPr>
          <w:lang w:val="fr-FR"/>
        </w:rPr>
      </w:pPr>
      <w:r w:rsidRPr="00712E1C">
        <w:rPr>
          <w:rStyle w:val="FootnoteReference"/>
          <w:lang w:val="fr-FR"/>
        </w:rPr>
        <w:footnoteRef/>
      </w:r>
      <w:r w:rsidRPr="00712E1C">
        <w:rPr>
          <w:lang w:val="fr-FR"/>
        </w:rPr>
        <w:t xml:space="preserve"> Un projet du plan d’activités pour 2023–2025 de l’ONUDI a été débattu lors de la réunion de la coordination inter-agences (IACM) qui s’est tenue à Montréal du 20 au 22 septembre 2022. Le plan d’activités joint au présent document aborde les questions qui ont été soulevées lors de cette réunion.</w:t>
      </w:r>
    </w:p>
    <w:p w14:paraId="256A9F17" w14:textId="0665FB0C" w:rsidR="006256C5" w:rsidRDefault="006256C5" w:rsidP="00712E1C">
      <w:pPr>
        <w:pStyle w:val="FootnoteText"/>
        <w:rPr>
          <w:lang w:val="fr-FR"/>
        </w:rPr>
      </w:pPr>
    </w:p>
    <w:p w14:paraId="115C9CA1" w14:textId="77777777" w:rsidR="006256C5" w:rsidRPr="00712E1C" w:rsidRDefault="006256C5" w:rsidP="00712E1C">
      <w:pPr>
        <w:pStyle w:val="FootnoteText"/>
        <w:rPr>
          <w:lang w:val="fr-FR"/>
        </w:rPr>
      </w:pPr>
    </w:p>
  </w:footnote>
  <w:footnote w:id="3">
    <w:p w14:paraId="3B063E22"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Pour permettre la présentation d’un plan pour le secteur des mousses lors de la mise en œuvre de la phase II du PGEH avant le 1</w:t>
      </w:r>
      <w:r w:rsidRPr="00712E1C">
        <w:rPr>
          <w:vertAlign w:val="superscript"/>
          <w:lang w:val="fr-FR"/>
        </w:rPr>
        <w:t>er</w:t>
      </w:r>
      <w:r w:rsidRPr="00712E1C">
        <w:rPr>
          <w:lang w:val="fr-FR"/>
        </w:rPr>
        <w:t> janvier 2024 afin d’éliminer la consommation restante dans le secteur de la fabrication de mousses.</w:t>
      </w:r>
    </w:p>
  </w:footnote>
  <w:footnote w:id="4">
    <w:p w14:paraId="798A8227"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L’inclusion de la phase III des PGEH dans le plan d’activités, préparation des projets comprise, est autorisée pour les pays dont la phase II du PGEH a été approuvée et qui disposent d’un objectif de réduction au-delà de 2024 (décision 88/34(d)).</w:t>
      </w:r>
    </w:p>
  </w:footnote>
  <w:footnote w:id="5">
    <w:p w14:paraId="51B01046"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UNEP/OzL.Pro/ExCom/91/22</w:t>
      </w:r>
    </w:p>
  </w:footnote>
  <w:footnote w:id="6">
    <w:p w14:paraId="6A6D1BE1"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Un financement pourrait être accordé pour la préparation de plans nationaux de mise en œuvre en vue de respecter les premières obligations de réduction dans le cadre de la réduction progressive des HFC, cinq ans avant ces obligations, au plus tôt, à la suite de la ratification de l’Amendement de Kigali par le pays et conformément aux lignes directrices qui seront approuvées (décision 79/46(b)(iii)). En outre, les activités de préparation à la réduction progressive des HFC pourraient être incluses dans le plan d’activités pour les pays qui n’ont pas ratifié l’amendement de Kigali mais qui ont soumis une lettre indiquant l’intention de leur gouvernement de faire tous les efforts possibles pour ratifier l’amendement de Kigali (décision 84/46(f)). Les lignes directrices pour la préparation des programmes de mise en œuvre de l’Amendement de Kigali ont été approuvées lors de la 87</w:t>
      </w:r>
      <w:r w:rsidRPr="00712E1C">
        <w:rPr>
          <w:vertAlign w:val="superscript"/>
          <w:lang w:val="fr-FR"/>
        </w:rPr>
        <w:t>e</w:t>
      </w:r>
      <w:r w:rsidRPr="00712E1C">
        <w:rPr>
          <w:lang w:val="fr-FR"/>
        </w:rPr>
        <w:t> réunion (décision 87/50).</w:t>
      </w:r>
    </w:p>
  </w:footnote>
  <w:footnote w:id="7">
    <w:p w14:paraId="76D36765"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L’inclusion de tels plans dans le plan d’activités n’est autorisée pour les programmes de mise en œuvre de l’Amendement de Kigali que pour les pays qui ont ratifié l’Amendement de Kigali (décision 84/46(g)).</w:t>
      </w:r>
    </w:p>
  </w:footnote>
  <w:footnote w:id="8">
    <w:p w14:paraId="273273AC"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Les coûts unitaires de base de l’ONUDI pour 2023 seront considérés à la 91</w:t>
      </w:r>
      <w:r w:rsidRPr="00712E1C">
        <w:rPr>
          <w:vertAlign w:val="superscript"/>
          <w:lang w:val="fr-FR"/>
        </w:rPr>
        <w:t>e</w:t>
      </w:r>
      <w:r w:rsidRPr="00712E1C">
        <w:rPr>
          <w:lang w:val="fr-FR"/>
        </w:rPr>
        <w:t> réunion (UNEP/OzL.Pro/ExCom/91/59).</w:t>
      </w:r>
    </w:p>
  </w:footnote>
  <w:footnote w:id="9">
    <w:p w14:paraId="558C4934" w14:textId="77777777" w:rsidR="00712E1C" w:rsidRPr="00712E1C" w:rsidRDefault="00712E1C" w:rsidP="00712E1C">
      <w:pPr>
        <w:pStyle w:val="FootnoteText"/>
        <w:rPr>
          <w:lang w:val="fr-FR"/>
        </w:rPr>
      </w:pPr>
      <w:r w:rsidRPr="00712E1C">
        <w:rPr>
          <w:rStyle w:val="FootnoteReference"/>
          <w:lang w:val="fr-FR"/>
        </w:rPr>
        <w:footnoteRef/>
      </w:r>
      <w:r w:rsidRPr="00712E1C">
        <w:rPr>
          <w:lang w:val="fr-FR"/>
        </w:rPr>
        <w:t xml:space="preserve"> UNEP/OzL.Pro/ExCom/91/22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F65A" w14:textId="61E36E7C" w:rsidR="00441083" w:rsidRDefault="006256C5">
    <w:r>
      <w:fldChar w:fldCharType="begin"/>
    </w:r>
    <w:r>
      <w:instrText xml:space="preserve"> DOCPROPERTY "Document number"  \* MERGEFORMAT </w:instrText>
    </w:r>
    <w:r>
      <w:fldChar w:fldCharType="separate"/>
    </w:r>
    <w:r w:rsidR="00B63B73">
      <w:t>UNEP/</w:t>
    </w:r>
    <w:proofErr w:type="spellStart"/>
    <w:r w:rsidR="00B63B73">
      <w:t>OzL.Pro</w:t>
    </w:r>
    <w:proofErr w:type="spellEnd"/>
    <w:r w:rsidR="00B63B73">
      <w:t>/ExCom/91/26</w:t>
    </w:r>
    <w:r>
      <w:fldChar w:fldCharType="end"/>
    </w:r>
  </w:p>
  <w:p w14:paraId="3EE89D28" w14:textId="77777777" w:rsidR="00441083" w:rsidRDefault="00441083"/>
  <w:p w14:paraId="7CE1E5CA"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D0B17" w14:textId="3D7218C0" w:rsidR="00441083" w:rsidRDefault="006256C5">
    <w:pPr>
      <w:jc w:val="right"/>
    </w:pPr>
    <w:r>
      <w:fldChar w:fldCharType="begin"/>
    </w:r>
    <w:r>
      <w:instrText xml:space="preserve"> DOCPROPERTY "Document number"  \* MERGEFORMAT </w:instrText>
    </w:r>
    <w:r>
      <w:fldChar w:fldCharType="separate"/>
    </w:r>
    <w:r w:rsidR="00B63B73">
      <w:t>UNEP/</w:t>
    </w:r>
    <w:proofErr w:type="spellStart"/>
    <w:r w:rsidR="00B63B73">
      <w:t>OzL.Pro</w:t>
    </w:r>
    <w:proofErr w:type="spellEnd"/>
    <w:r w:rsidR="00B63B73">
      <w:t>/ExCom/91/26</w:t>
    </w:r>
    <w:r>
      <w:fldChar w:fldCharType="end"/>
    </w:r>
  </w:p>
  <w:p w14:paraId="368F364B" w14:textId="77777777" w:rsidR="00441083" w:rsidRDefault="00441083"/>
  <w:p w14:paraId="2F229E6C"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23431651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26C"/>
    <w:rsid w:val="0005110A"/>
    <w:rsid w:val="000F6C8E"/>
    <w:rsid w:val="00177D11"/>
    <w:rsid w:val="001C3D0C"/>
    <w:rsid w:val="001D4CE7"/>
    <w:rsid w:val="00265AF0"/>
    <w:rsid w:val="002C06D4"/>
    <w:rsid w:val="002F0B57"/>
    <w:rsid w:val="003029F8"/>
    <w:rsid w:val="003A0CA4"/>
    <w:rsid w:val="00403EDF"/>
    <w:rsid w:val="00441083"/>
    <w:rsid w:val="00444619"/>
    <w:rsid w:val="004A73AB"/>
    <w:rsid w:val="004B1B59"/>
    <w:rsid w:val="004C2C87"/>
    <w:rsid w:val="004D7878"/>
    <w:rsid w:val="004E3A36"/>
    <w:rsid w:val="005B3CAD"/>
    <w:rsid w:val="005C278F"/>
    <w:rsid w:val="00605093"/>
    <w:rsid w:val="006256C5"/>
    <w:rsid w:val="0067136D"/>
    <w:rsid w:val="007034FA"/>
    <w:rsid w:val="00712E1C"/>
    <w:rsid w:val="0075750B"/>
    <w:rsid w:val="00775FBB"/>
    <w:rsid w:val="00843511"/>
    <w:rsid w:val="00847BDB"/>
    <w:rsid w:val="0091161A"/>
    <w:rsid w:val="00972E99"/>
    <w:rsid w:val="009A2BB8"/>
    <w:rsid w:val="009A5180"/>
    <w:rsid w:val="009F6617"/>
    <w:rsid w:val="009F709E"/>
    <w:rsid w:val="00A97E14"/>
    <w:rsid w:val="00AC013C"/>
    <w:rsid w:val="00AE63D8"/>
    <w:rsid w:val="00B55AA4"/>
    <w:rsid w:val="00B63B73"/>
    <w:rsid w:val="00B811F2"/>
    <w:rsid w:val="00BC3C7D"/>
    <w:rsid w:val="00C16E3F"/>
    <w:rsid w:val="00C34C3E"/>
    <w:rsid w:val="00C54A7A"/>
    <w:rsid w:val="00C6443E"/>
    <w:rsid w:val="00C9547D"/>
    <w:rsid w:val="00CC2B33"/>
    <w:rsid w:val="00CF726C"/>
    <w:rsid w:val="00D555C2"/>
    <w:rsid w:val="00D7654A"/>
    <w:rsid w:val="00D809E5"/>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58F3D"/>
  <w15:docId w15:val="{27ABC4F9-30B7-4C5B-8E67-EE8B20282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
    <w:basedOn w:val="Normal"/>
    <w:link w:val="FootnoteTextChar"/>
    <w:unhideWhenUsed/>
    <w:qFormat/>
    <w:rsid w:val="002C06D4"/>
    <w:rPr>
      <w:sz w:val="20"/>
      <w:szCs w:val="20"/>
    </w:rPr>
  </w:style>
  <w:style w:type="character" w:customStyle="1" w:styleId="FootnoteTextChar">
    <w:name w:val="Footnote Text Char"/>
    <w:aliases w:val=" Char1 Char, Char1 Char Char Char,Fußnotentextf Char"/>
    <w:basedOn w:val="DefaultParagraphFont"/>
    <w:link w:val="FootnoteText"/>
    <w:rsid w:val="002C06D4"/>
    <w:rPr>
      <w:lang w:val="en-GB"/>
    </w:rPr>
  </w:style>
  <w:style w:type="character" w:styleId="FootnoteReference">
    <w:name w:val="footnote reference"/>
    <w:aliases w:val="16 Point,Superscript 6 Point,Footnote text,Footnote Text1,Footnote Text2"/>
    <w:basedOn w:val="DefaultParagraphFont"/>
    <w:unhideWhenUsed/>
    <w:rsid w:val="002C06D4"/>
    <w:rPr>
      <w:vertAlign w:val="superscript"/>
    </w:rPr>
  </w:style>
  <w:style w:type="paragraph" w:customStyle="1" w:styleId="Title2">
    <w:name w:val="Title2"/>
    <w:rsid w:val="00712E1C"/>
    <w:pPr>
      <w:jc w:val="center"/>
      <w:outlineLvl w:val="0"/>
    </w:pPr>
    <w:rPr>
      <w:b/>
      <w:caps/>
      <w:sz w:val="22"/>
      <w:szCs w:val="22"/>
      <w:lang w:val="fr-FR"/>
    </w:rPr>
  </w:style>
  <w:style w:type="paragraph" w:customStyle="1" w:styleId="subhead">
    <w:name w:val="subhead"/>
    <w:basedOn w:val="Normal"/>
    <w:next w:val="Normal"/>
    <w:uiPriority w:val="99"/>
    <w:rsid w:val="00712E1C"/>
    <w:pPr>
      <w:tabs>
        <w:tab w:val="left" w:pos="-720"/>
        <w:tab w:val="left" w:pos="0"/>
        <w:tab w:val="left" w:pos="720"/>
        <w:tab w:val="left" w:pos="1440"/>
        <w:tab w:val="left" w:pos="2160"/>
        <w:tab w:val="left" w:pos="2880"/>
        <w:tab w:val="left" w:pos="3600"/>
      </w:tabs>
      <w:jc w:val="center"/>
    </w:pPr>
    <w:rPr>
      <w:sz w:val="24"/>
      <w:szCs w:val="24"/>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712E1C"/>
    <w:rPr>
      <w:sz w:val="22"/>
      <w:szCs w:val="22"/>
      <w:lang w:val="en-GB"/>
    </w:rPr>
  </w:style>
  <w:style w:type="paragraph" w:styleId="ListParagraph">
    <w:name w:val="List Paragraph"/>
    <w:basedOn w:val="Normal"/>
    <w:uiPriority w:val="34"/>
    <w:qFormat/>
    <w:rsid w:val="00712E1C"/>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C4A6FCCEE7B0746885AD53489E9059B" ma:contentTypeVersion="5" ma:contentTypeDescription="Create a new document." ma:contentTypeScope="" ma:versionID="d714dc2ea444fc957a04b3f35c1561f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C29811A6-5FAC-4871-8D21-334682073A30}"/>
</file>

<file path=customXml/itemProps3.xml><?xml version="1.0" encoding="utf-8"?>
<ds:datastoreItem xmlns:ds="http://schemas.openxmlformats.org/officeDocument/2006/customXml" ds:itemID="{59D94C91-8E08-4396-B315-D4BD86C27352}"/>
</file>

<file path=customXml/itemProps4.xml><?xml version="1.0" encoding="utf-8"?>
<ds:datastoreItem xmlns:ds="http://schemas.openxmlformats.org/officeDocument/2006/customXml" ds:itemID="{F9A994D6-2B37-4C5B-A577-2F2BE89E74D8}"/>
</file>

<file path=docProps/app.xml><?xml version="1.0" encoding="utf-8"?>
<Properties xmlns="http://schemas.openxmlformats.org/officeDocument/2006/extended-properties" xmlns:vt="http://schemas.openxmlformats.org/officeDocument/2006/docPropsVTypes">
  <Template>F91-Template</Template>
  <TotalTime>5</TotalTime>
  <Pages>6</Pages>
  <Words>2203</Words>
  <Characters>10644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Plan d’activités de l’ONUDI pour la période 2023–2025</vt:lpstr>
    </vt:vector>
  </TitlesOfParts>
  <Company>UNMFS</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l’ONUDI pour la période 2023–2025                                                                                                               .</dc:title>
  <dc:creator>Julien Griffon</dc:creator>
  <cp:lastModifiedBy>HBE</cp:lastModifiedBy>
  <cp:revision>3</cp:revision>
  <cp:lastPrinted>2001-05-26T16:40:00Z</cp:lastPrinted>
  <dcterms:created xsi:type="dcterms:W3CDTF">2022-11-11T13:41:00Z</dcterms:created>
  <dcterms:modified xsi:type="dcterms:W3CDTF">2022-11-24T16:49:00Z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UNEP/OzL.Pro/ExCom/91/26</vt:lpwstr>
  </property>
  <property fmtid="{D5CDD505-2E9C-101B-9397-08002B2CF9AE}" pid="3" name="Revision date">
    <vt:lpwstr>11/12/2022</vt:lpwstr>
  </property>
  <property fmtid="{D5CDD505-2E9C-101B-9397-08002B2CF9AE}" pid="4" name="ContentTypeId">
    <vt:lpwstr>0x0101009C4A6FCCEE7B0746885AD53489E9059B</vt:lpwstr>
  </property>
</Properties>
</file>