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1D6BD530" w14:textId="77777777" w:rsidTr="009C59F7">
        <w:trPr>
          <w:trHeight w:val="720"/>
        </w:trPr>
        <w:tc>
          <w:tcPr>
            <w:tcW w:w="5490" w:type="dxa"/>
            <w:gridSpan w:val="2"/>
            <w:tcBorders>
              <w:bottom w:val="single" w:sz="18" w:space="0" w:color="auto"/>
            </w:tcBorders>
          </w:tcPr>
          <w:p w14:paraId="7976FF92" w14:textId="77777777"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65378164" w14:textId="77777777" w:rsidR="00C15867" w:rsidRPr="00493D40" w:rsidRDefault="00C15867" w:rsidP="009C59F7">
            <w:pPr>
              <w:jc w:val="right"/>
              <w:rPr>
                <w:sz w:val="52"/>
                <w:szCs w:val="52"/>
              </w:rPr>
            </w:pPr>
            <w:r>
              <w:rPr>
                <w:rFonts w:ascii="Univers Bold" w:hAnsi="Univers Bold"/>
                <w:b/>
                <w:sz w:val="72"/>
              </w:rPr>
              <w:t>EP</w:t>
            </w:r>
          </w:p>
        </w:tc>
      </w:tr>
      <w:tr w:rsidR="00C15867" w14:paraId="18C33C44"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CDE4F94" w14:textId="77777777" w:rsidR="00C15867" w:rsidRDefault="00E52838" w:rsidP="009C59F7">
            <w:pPr>
              <w:spacing w:before="120"/>
            </w:pPr>
            <w:r>
              <w:rPr>
                <w:noProof/>
                <w:lang w:val="en-US"/>
              </w:rPr>
              <mc:AlternateContent>
                <mc:Choice Requires="wpg">
                  <w:drawing>
                    <wp:anchor distT="0" distB="0" distL="114300" distR="114300" simplePos="0" relativeHeight="251660288" behindDoc="0" locked="0" layoutInCell="1" allowOverlap="1" wp14:anchorId="4DC3192F" wp14:editId="50A9F7D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2DC977F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79FC300"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17088F80"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3E75D354"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49390F56" w14:textId="77777777" w:rsidR="00C15867" w:rsidRDefault="00C15867" w:rsidP="009C59F7">
            <w:pPr>
              <w:spacing w:before="720"/>
              <w:ind w:left="158"/>
            </w:pPr>
          </w:p>
        </w:tc>
        <w:tc>
          <w:tcPr>
            <w:tcW w:w="4590" w:type="dxa"/>
            <w:tcBorders>
              <w:top w:val="nil"/>
              <w:left w:val="nil"/>
              <w:bottom w:val="single" w:sz="36" w:space="0" w:color="auto"/>
              <w:right w:val="nil"/>
            </w:tcBorders>
          </w:tcPr>
          <w:p w14:paraId="2D0E3D92" w14:textId="77777777" w:rsidR="00C15867" w:rsidRPr="0033525D" w:rsidRDefault="00C15867" w:rsidP="009C59F7">
            <w:r w:rsidRPr="0033525D">
              <w:t>Distr.</w:t>
            </w:r>
          </w:p>
          <w:p w14:paraId="165CD006" w14:textId="77777777" w:rsidR="00923540" w:rsidRPr="0033525D" w:rsidRDefault="00923540" w:rsidP="00923540">
            <w:r w:rsidRPr="0033525D">
              <w:t>GENERAL</w:t>
            </w:r>
          </w:p>
          <w:p w14:paraId="01A542B0" w14:textId="77777777" w:rsidR="00C15867" w:rsidRPr="0033525D" w:rsidRDefault="00C15867" w:rsidP="009C59F7"/>
          <w:p w14:paraId="3BFBF882" w14:textId="77777777" w:rsidR="00C15867" w:rsidRPr="003F73BA" w:rsidRDefault="00C15867" w:rsidP="009C59F7"/>
          <w:p w14:paraId="4C797143" w14:textId="77777777" w:rsidR="00C15867" w:rsidRPr="003F73BA" w:rsidRDefault="003E5DC5" w:rsidP="009C59F7">
            <w:r>
              <w:fldChar w:fldCharType="begin"/>
            </w:r>
            <w:r>
              <w:instrText xml:space="preserve"> DOCPROPERTY "Document number"  \* MERGEFORMAT </w:instrText>
            </w:r>
            <w:r>
              <w:fldChar w:fldCharType="separate"/>
            </w:r>
            <w:r w:rsidR="00642C89">
              <w:t>UNEP/OzL.Pro/ExCom/86/88</w:t>
            </w:r>
            <w:r>
              <w:fldChar w:fldCharType="end"/>
            </w:r>
          </w:p>
          <w:p w14:paraId="69FAFB11" w14:textId="0EDE4EF5" w:rsidR="00C15867" w:rsidRPr="003F73BA" w:rsidRDefault="00BC2495" w:rsidP="009C59F7">
            <w:r>
              <w:fldChar w:fldCharType="begin"/>
            </w:r>
            <w:r w:rsidR="00851352">
              <w:instrText xml:space="preserve"> DOCPROPERTY "Revision date" \@ "d MMMM YYYY"  \* MERGEFORMAT </w:instrText>
            </w:r>
            <w:r>
              <w:fldChar w:fldCharType="separate"/>
            </w:r>
            <w:r w:rsidR="00017415">
              <w:t>11 March 2020</w:t>
            </w:r>
            <w:r>
              <w:fldChar w:fldCharType="end"/>
            </w:r>
          </w:p>
          <w:p w14:paraId="5C7EB24F" w14:textId="77777777" w:rsidR="00C15867" w:rsidRPr="00000FED" w:rsidRDefault="00C15867" w:rsidP="009C59F7">
            <w:pPr>
              <w:rPr>
                <w:caps/>
              </w:rPr>
            </w:pPr>
          </w:p>
          <w:p w14:paraId="038B7990" w14:textId="77777777" w:rsidR="00C15867" w:rsidRDefault="00C15867" w:rsidP="009C59F7">
            <w:r w:rsidRPr="0033525D">
              <w:t>ORIGINAL: ENGLISH</w:t>
            </w:r>
          </w:p>
        </w:tc>
      </w:tr>
    </w:tbl>
    <w:p w14:paraId="14EBC3F6" w14:textId="1466A01D" w:rsidR="00704CE9" w:rsidRPr="00612F2F" w:rsidRDefault="00C15867" w:rsidP="00704CE9">
      <w:pPr>
        <w:jc w:val="left"/>
      </w:pPr>
      <w:r w:rsidRPr="0033525D">
        <w:t>EXECUTIVE COMMITTEE OF</w:t>
      </w:r>
      <w:r w:rsidRPr="0033525D">
        <w:br/>
      </w:r>
      <w:r w:rsidR="00097481">
        <w:t xml:space="preserve"> </w:t>
      </w:r>
      <w:r w:rsidRPr="0033525D">
        <w:t>THE MULTILATERAL FUND FOR THE</w:t>
      </w:r>
      <w:r w:rsidRPr="0033525D">
        <w:br/>
      </w:r>
      <w:r w:rsidR="00097481">
        <w:t xml:space="preserve"> </w:t>
      </w:r>
      <w:r w:rsidRPr="0033525D">
        <w:t>IMPLEMENTATION OF THE MONTREAL PROTOCOL</w:t>
      </w:r>
      <w:r w:rsidRPr="0033525D">
        <w:br/>
      </w:r>
      <w:r w:rsidR="00704CE9">
        <w:t>Eighty-sixth Meeting</w:t>
      </w:r>
    </w:p>
    <w:p w14:paraId="33C9843E" w14:textId="77777777" w:rsidR="00704CE9" w:rsidRPr="006C39CE" w:rsidRDefault="00704CE9" w:rsidP="00704CE9">
      <w:pPr>
        <w:jc w:val="left"/>
        <w:rPr>
          <w:lang w:val="en-CA"/>
        </w:rPr>
      </w:pPr>
      <w:r>
        <w:rPr>
          <w:lang w:val="en-CA"/>
        </w:rPr>
        <w:t>Montreal</w:t>
      </w:r>
      <w:r w:rsidRPr="00042E3E">
        <w:rPr>
          <w:lang w:val="en-CA"/>
        </w:rPr>
        <w:t xml:space="preserve">, </w:t>
      </w:r>
      <w:r>
        <w:rPr>
          <w:lang w:val="en-CA"/>
        </w:rPr>
        <w:t>2-6</w:t>
      </w:r>
      <w:r w:rsidRPr="009C5ABB">
        <w:rPr>
          <w:lang w:val="en-CA"/>
        </w:rPr>
        <w:t xml:space="preserve"> </w:t>
      </w:r>
      <w:r>
        <w:rPr>
          <w:lang w:val="en-CA"/>
        </w:rPr>
        <w:t>November</w:t>
      </w:r>
      <w:r w:rsidRPr="009C5ABB">
        <w:rPr>
          <w:lang w:val="en-CA"/>
        </w:rPr>
        <w:t xml:space="preserve"> 2020</w:t>
      </w:r>
    </w:p>
    <w:p w14:paraId="54E30A20" w14:textId="77777777" w:rsidR="005220ED" w:rsidRPr="00BB2764" w:rsidRDefault="005220ED" w:rsidP="005220ED">
      <w:pPr>
        <w:jc w:val="left"/>
        <w:rPr>
          <w:lang w:val="en-CA"/>
        </w:rPr>
      </w:pPr>
      <w:r w:rsidRPr="00692D14">
        <w:rPr>
          <w:lang w:val="en-CA"/>
        </w:rPr>
        <w:t>Postponed to 8-12 March 2021</w:t>
      </w:r>
      <w:r w:rsidR="006E126D">
        <w:rPr>
          <w:rStyle w:val="FootnoteReference"/>
          <w:lang w:val="en-CA"/>
        </w:rPr>
        <w:footnoteReference w:id="1"/>
      </w:r>
    </w:p>
    <w:p w14:paraId="4B3FBFAB" w14:textId="77777777" w:rsidR="00857077" w:rsidRPr="00BB2764" w:rsidRDefault="00857077" w:rsidP="00704CE9">
      <w:pPr>
        <w:jc w:val="left"/>
        <w:rPr>
          <w:lang w:val="en-CA"/>
        </w:rPr>
      </w:pPr>
    </w:p>
    <w:p w14:paraId="67A8D6E4" w14:textId="77777777" w:rsidR="00C15867" w:rsidRPr="00017415" w:rsidRDefault="00C15867" w:rsidP="00857077">
      <w:pPr>
        <w:jc w:val="left"/>
        <w:rPr>
          <w:lang w:val="en-CA"/>
        </w:rPr>
      </w:pPr>
    </w:p>
    <w:p w14:paraId="5348C583" w14:textId="77777777" w:rsidR="004E7F9C" w:rsidRPr="00BB2764" w:rsidRDefault="004E7F9C" w:rsidP="00097481">
      <w:pPr>
        <w:pStyle w:val="Title1"/>
        <w:jc w:val="both"/>
      </w:pPr>
    </w:p>
    <w:p w14:paraId="64B65BFB" w14:textId="77777777" w:rsidR="00642C89" w:rsidRPr="0052205E" w:rsidRDefault="00642C89" w:rsidP="00642C89">
      <w:pPr>
        <w:jc w:val="center"/>
        <w:rPr>
          <w:b/>
          <w:caps/>
          <w:lang w:val="en-CA"/>
        </w:rPr>
      </w:pPr>
      <w:r w:rsidRPr="0052205E">
        <w:rPr>
          <w:b/>
          <w:caps/>
        </w:rPr>
        <w:t xml:space="preserve">Draft guidelines for the preparation of HFC </w:t>
      </w:r>
      <w:r w:rsidRPr="0052205E">
        <w:rPr>
          <w:b/>
          <w:caps/>
          <w:lang w:val="en-CA"/>
        </w:rPr>
        <w:t>phase-down plans for Article 5 countries (decision</w:t>
      </w:r>
      <w:r>
        <w:rPr>
          <w:b/>
          <w:caps/>
          <w:lang w:val="en-CA"/>
        </w:rPr>
        <w:t> </w:t>
      </w:r>
      <w:r w:rsidRPr="0052205E">
        <w:rPr>
          <w:b/>
          <w:caps/>
          <w:lang w:val="en-CA"/>
        </w:rPr>
        <w:t>84/54(</w:t>
      </w:r>
      <w:r>
        <w:rPr>
          <w:b/>
          <w:lang w:val="en-CA"/>
        </w:rPr>
        <w:t>a</w:t>
      </w:r>
      <w:r w:rsidRPr="0052205E">
        <w:rPr>
          <w:b/>
          <w:caps/>
          <w:lang w:val="en-CA"/>
        </w:rPr>
        <w:t>))</w:t>
      </w:r>
    </w:p>
    <w:p w14:paraId="42F388A5" w14:textId="77777777" w:rsidR="00642C89" w:rsidRDefault="00642C89" w:rsidP="00642C89">
      <w:pPr>
        <w:jc w:val="left"/>
      </w:pPr>
    </w:p>
    <w:p w14:paraId="13CE0154" w14:textId="77777777" w:rsidR="00642C89" w:rsidRPr="0085780D" w:rsidRDefault="00642C89" w:rsidP="00642C89">
      <w:pPr>
        <w:rPr>
          <w:b/>
          <w:lang w:val="en-CA"/>
        </w:rPr>
      </w:pPr>
      <w:r w:rsidRPr="0085780D">
        <w:rPr>
          <w:b/>
          <w:lang w:val="en-CA"/>
        </w:rPr>
        <w:t>Background</w:t>
      </w:r>
    </w:p>
    <w:p w14:paraId="6115AFC2" w14:textId="77777777" w:rsidR="00642C89" w:rsidRPr="0085780D" w:rsidRDefault="00642C89" w:rsidP="00642C89">
      <w:pPr>
        <w:rPr>
          <w:b/>
          <w:lang w:val="en-CA"/>
        </w:rPr>
      </w:pPr>
    </w:p>
    <w:p w14:paraId="180480D1" w14:textId="77777777" w:rsidR="00642C89" w:rsidRPr="002D5FBD" w:rsidRDefault="00642C89" w:rsidP="00642C89">
      <w:pPr>
        <w:pStyle w:val="Heading1"/>
        <w:rPr>
          <w:lang w:val="en-CA"/>
        </w:rPr>
      </w:pPr>
      <w:r>
        <w:rPr>
          <w:lang w:val="en-CA"/>
        </w:rPr>
        <w:t>At its 84</w:t>
      </w:r>
      <w:r w:rsidRPr="003668CF">
        <w:rPr>
          <w:vertAlign w:val="superscript"/>
          <w:lang w:val="en-CA"/>
        </w:rPr>
        <w:t>th</w:t>
      </w:r>
      <w:r>
        <w:rPr>
          <w:lang w:val="en-CA"/>
        </w:rPr>
        <w:t xml:space="preserve"> meeting, the Executive Committee considered r</w:t>
      </w:r>
      <w:r w:rsidRPr="00A513E6">
        <w:rPr>
          <w:lang w:val="en-CA"/>
        </w:rPr>
        <w:t>equests for preparatory funding for HFC phase-down plans and demonstration pilot projects included in the work programme amendments of one implementing agency</w:t>
      </w:r>
      <w:r>
        <w:rPr>
          <w:lang w:val="en-CA"/>
        </w:rPr>
        <w:t>.</w:t>
      </w:r>
      <w:r>
        <w:rPr>
          <w:rStyle w:val="FootnoteReference"/>
          <w:lang w:val="en-CA"/>
        </w:rPr>
        <w:footnoteReference w:id="2"/>
      </w:r>
      <w:r>
        <w:rPr>
          <w:lang w:val="en-CA"/>
        </w:rPr>
        <w:t xml:space="preserve"> During the discussion, there was consensus that </w:t>
      </w:r>
      <w:r>
        <w:t>those countries that had ratified the Kigali Amendment early might lose momentum in the implementation of their HFC activities if the preparation of HFC phase-down plans was not funded in a timely manner. Members also underscored that the phase-down plans would result in a sustained reduction of</w:t>
      </w:r>
      <w:r w:rsidRPr="004A3C70">
        <w:t xml:space="preserve"> </w:t>
      </w:r>
      <w:r>
        <w:t xml:space="preserve">HFC consumption, limit growth in HFC consumption, and provide guidance on the type of commitment required from Governments in order to give the Executive Committee confidence that the HFC consumption phased out would remain phased out. </w:t>
      </w:r>
      <w:r w:rsidRPr="002D5FBD">
        <w:rPr>
          <w:lang w:val="en-CA"/>
        </w:rPr>
        <w:t xml:space="preserve">Subsequently, the Committee considered a draft decision on the matter and, following a brief discussion, referred the matter to a contact group. </w:t>
      </w:r>
    </w:p>
    <w:p w14:paraId="7FCE9582" w14:textId="77777777" w:rsidR="00642C89" w:rsidRPr="004A085B" w:rsidRDefault="00642C89" w:rsidP="00642C89">
      <w:pPr>
        <w:pStyle w:val="Heading1"/>
        <w:rPr>
          <w:lang w:val="en-CA" w:eastAsia="en-CA"/>
        </w:rPr>
      </w:pPr>
      <w:r w:rsidRPr="004A085B">
        <w:rPr>
          <w:iCs/>
          <w:lang w:val="en-CA"/>
        </w:rPr>
        <w:t xml:space="preserve">Based on the report submitted by the convener of the contact group, </w:t>
      </w:r>
      <w:r w:rsidRPr="004A085B">
        <w:rPr>
          <w:lang w:val="en-CA"/>
        </w:rPr>
        <w:t xml:space="preserve">the Executive Committee requested the Secretariat to prepare, </w:t>
      </w:r>
      <w:r w:rsidRPr="004A085B">
        <w:rPr>
          <w:i/>
          <w:lang w:val="en-CA"/>
        </w:rPr>
        <w:lastRenderedPageBreak/>
        <w:t>inter alia</w:t>
      </w:r>
      <w:r w:rsidRPr="004A085B">
        <w:rPr>
          <w:lang w:val="en-CA"/>
        </w:rPr>
        <w:t>,</w:t>
      </w:r>
      <w:r w:rsidRPr="004A085B">
        <w:rPr>
          <w:rFonts w:eastAsiaTheme="minorEastAsia"/>
          <w:lang w:val="en-CA"/>
        </w:rPr>
        <w:t xml:space="preserve"> draft guidelines for the preparation of HFC phase</w:t>
      </w:r>
      <w:r w:rsidRPr="004A085B">
        <w:rPr>
          <w:rFonts w:eastAsiaTheme="minorEastAsia"/>
          <w:lang w:val="en-CA"/>
        </w:rPr>
        <w:noBreakHyphen/>
        <w:t xml:space="preserve">down plans </w:t>
      </w:r>
      <w:r w:rsidRPr="004A085B">
        <w:rPr>
          <w:lang w:val="en-CA"/>
        </w:rPr>
        <w:t>for Article 5 countries that would include an overarching strategy and a stage I to meet the freeze in consumption and the 10 per cent reduction, taking into account lessons learned during the preparation of guidelines for project preparation for HCFC phase</w:t>
      </w:r>
      <w:r w:rsidRPr="004A085B">
        <w:rPr>
          <w:lang w:val="en-CA"/>
        </w:rPr>
        <w:noBreakHyphen/>
        <w:t>out management plans (HPMPs), including the sectors as defined in decision 56/16, on the understanding that:</w:t>
      </w:r>
    </w:p>
    <w:p w14:paraId="334A9649" w14:textId="77777777" w:rsidR="00642C89" w:rsidRPr="002D5FBD" w:rsidRDefault="00642C89" w:rsidP="00642C89">
      <w:pPr>
        <w:pStyle w:val="Heading2"/>
        <w:numPr>
          <w:ilvl w:val="1"/>
          <w:numId w:val="1"/>
        </w:numPr>
        <w:rPr>
          <w:lang w:val="en-CA"/>
        </w:rPr>
      </w:pPr>
      <w:r w:rsidRPr="002D5FBD">
        <w:rPr>
          <w:lang w:val="en-CA"/>
        </w:rPr>
        <w:t>The draft guidelines would address the need for policies and commitments on the part of Article 5 Parties to ensure limits on growth or reductions in HFC consumption that were sustained over time;</w:t>
      </w:r>
    </w:p>
    <w:p w14:paraId="4F744450" w14:textId="77777777" w:rsidR="00642C89" w:rsidRPr="002D5FBD" w:rsidRDefault="00642C89" w:rsidP="00753883">
      <w:pPr>
        <w:pStyle w:val="Heading2"/>
        <w:widowControl/>
        <w:rPr>
          <w:lang w:val="en-CA"/>
        </w:rPr>
      </w:pPr>
      <w:r w:rsidRPr="002D5FBD">
        <w:rPr>
          <w:lang w:val="en-CA"/>
        </w:rPr>
        <w:t>The draft guidelines would include the proposed levels of funding for the preparation of stage I of HFC phase</w:t>
      </w:r>
      <w:r w:rsidRPr="002D5FBD">
        <w:rPr>
          <w:lang w:val="en-CA"/>
        </w:rPr>
        <w:noBreakHyphen/>
        <w:t>down plans;</w:t>
      </w:r>
      <w:r>
        <w:rPr>
          <w:lang w:val="en-CA"/>
        </w:rPr>
        <w:t xml:space="preserve"> and</w:t>
      </w:r>
    </w:p>
    <w:p w14:paraId="3A6D8A14" w14:textId="77777777" w:rsidR="00642C89" w:rsidRDefault="00642C89" w:rsidP="00642C89">
      <w:pPr>
        <w:pStyle w:val="Heading2"/>
        <w:numPr>
          <w:ilvl w:val="1"/>
          <w:numId w:val="1"/>
        </w:numPr>
        <w:rPr>
          <w:lang w:val="en-CA"/>
        </w:rPr>
      </w:pPr>
      <w:r w:rsidRPr="002D5FBD">
        <w:rPr>
          <w:lang w:val="en-CA"/>
        </w:rPr>
        <w:t>Requests for funding for the preparation of stage I of HFC phase-down plans would be considered once the draft guidelines referred to in sub-paragraph (a), above, had been agreed by the Executive Committee</w:t>
      </w:r>
      <w:r w:rsidRPr="0013597C">
        <w:rPr>
          <w:lang w:val="en-CA"/>
        </w:rPr>
        <w:t xml:space="preserve"> (decision 84/54(a)). </w:t>
      </w:r>
    </w:p>
    <w:p w14:paraId="1756F304" w14:textId="77777777" w:rsidR="00642C89" w:rsidRDefault="00642C89" w:rsidP="00642C89">
      <w:pPr>
        <w:pStyle w:val="Heading1"/>
        <w:widowControl w:val="0"/>
        <w:rPr>
          <w:lang w:val="en-CA"/>
        </w:rPr>
      </w:pPr>
      <w:r>
        <w:rPr>
          <w:lang w:val="en-CA"/>
        </w:rPr>
        <w:t>T</w:t>
      </w:r>
      <w:r w:rsidRPr="0013597C">
        <w:rPr>
          <w:lang w:val="en-CA"/>
        </w:rPr>
        <w:t xml:space="preserve">he </w:t>
      </w:r>
      <w:r>
        <w:rPr>
          <w:lang w:val="en-CA"/>
        </w:rPr>
        <w:t xml:space="preserve">Executive </w:t>
      </w:r>
      <w:r w:rsidRPr="0013597C">
        <w:rPr>
          <w:lang w:val="en-CA"/>
        </w:rPr>
        <w:t>Committee also requested the Secretariat to prepare a document discussing potential strategies, policy measures and commitments, as well as projects and activities that could be integrated within stage I of HFC phase-down plans for Article 5 countries to ensure limits on growth and reductions in HFC consumption, requested by decision 84/54(b).</w:t>
      </w:r>
      <w:r>
        <w:rPr>
          <w:rStyle w:val="FootnoteReference"/>
          <w:lang w:val="en-CA"/>
        </w:rPr>
        <w:footnoteReference w:id="3"/>
      </w:r>
      <w:r w:rsidRPr="0013597C">
        <w:rPr>
          <w:lang w:val="en-CA"/>
        </w:rPr>
        <w:t xml:space="preserve"> </w:t>
      </w:r>
    </w:p>
    <w:p w14:paraId="7DB59A72" w14:textId="77777777" w:rsidR="00642C89" w:rsidRPr="00925003" w:rsidRDefault="00642C89" w:rsidP="00642C89">
      <w:pPr>
        <w:spacing w:after="240"/>
        <w:outlineLvl w:val="0"/>
        <w:rPr>
          <w:u w:val="single"/>
          <w:lang w:val="en-CA"/>
        </w:rPr>
      </w:pPr>
      <w:r>
        <w:rPr>
          <w:u w:val="single"/>
          <w:lang w:val="en-CA"/>
        </w:rPr>
        <w:t>Structure</w:t>
      </w:r>
      <w:r w:rsidRPr="00925003">
        <w:rPr>
          <w:u w:val="single"/>
          <w:lang w:val="en-CA"/>
        </w:rPr>
        <w:t xml:space="preserve"> of the document</w:t>
      </w:r>
    </w:p>
    <w:p w14:paraId="3AF2F7E2" w14:textId="77777777" w:rsidR="00642C89" w:rsidRDefault="00642C89" w:rsidP="00642C89">
      <w:pPr>
        <w:pStyle w:val="Heading1"/>
        <w:rPr>
          <w:lang w:val="en-CA"/>
        </w:rPr>
      </w:pPr>
      <w:r>
        <w:rPr>
          <w:lang w:val="en-CA"/>
        </w:rPr>
        <w:t>In response to decision 84/54(a), the Secretariat has prepared the present document and submitted it to the 86</w:t>
      </w:r>
      <w:r w:rsidRPr="00B409E4">
        <w:rPr>
          <w:vertAlign w:val="superscript"/>
          <w:lang w:val="en-CA"/>
        </w:rPr>
        <w:t>th</w:t>
      </w:r>
      <w:r>
        <w:rPr>
          <w:lang w:val="en-CA"/>
        </w:rPr>
        <w:t xml:space="preserve"> meeting.</w:t>
      </w:r>
      <w:r>
        <w:rPr>
          <w:rStyle w:val="FootnoteReference"/>
          <w:lang w:val="en-CA"/>
        </w:rPr>
        <w:footnoteReference w:id="4"/>
      </w:r>
      <w:r>
        <w:rPr>
          <w:lang w:val="en-CA"/>
        </w:rPr>
        <w:t xml:space="preserve"> </w:t>
      </w:r>
    </w:p>
    <w:p w14:paraId="161C654E" w14:textId="77777777" w:rsidR="00642C89" w:rsidRDefault="00642C89" w:rsidP="00642C89">
      <w:pPr>
        <w:pStyle w:val="Heading1"/>
        <w:rPr>
          <w:lang w:val="en-CA"/>
        </w:rPr>
      </w:pPr>
      <w:r w:rsidRPr="00764A03">
        <w:rPr>
          <w:lang w:val="en-CA"/>
        </w:rPr>
        <w:lastRenderedPageBreak/>
        <w:t>In preparing this document, the Secretariat took into consideration</w:t>
      </w:r>
      <w:r>
        <w:rPr>
          <w:lang w:val="en-CA"/>
        </w:rPr>
        <w:t>:</w:t>
      </w:r>
    </w:p>
    <w:p w14:paraId="5A6730C2" w14:textId="77777777" w:rsidR="00642C89" w:rsidRDefault="00642C89" w:rsidP="00642C89">
      <w:pPr>
        <w:pStyle w:val="Heading2"/>
        <w:numPr>
          <w:ilvl w:val="1"/>
          <w:numId w:val="1"/>
        </w:numPr>
        <w:rPr>
          <w:lang w:val="en-CA"/>
        </w:rPr>
      </w:pPr>
      <w:r>
        <w:rPr>
          <w:lang w:val="en-CA"/>
        </w:rPr>
        <w:t>T</w:t>
      </w:r>
      <w:r w:rsidRPr="00764A03">
        <w:rPr>
          <w:lang w:val="en-CA"/>
        </w:rPr>
        <w:t>he draft guidelines for the preparation of HPMPs incorporating HCFC surveys</w:t>
      </w:r>
      <w:r>
        <w:rPr>
          <w:rStyle w:val="FootnoteReference"/>
          <w:lang w:val="en-CA"/>
        </w:rPr>
        <w:footnoteReference w:id="5"/>
      </w:r>
      <w:r w:rsidRPr="00764A03">
        <w:rPr>
          <w:lang w:val="en-CA"/>
        </w:rPr>
        <w:t xml:space="preserve"> (decision</w:t>
      </w:r>
      <w:r>
        <w:rPr>
          <w:lang w:val="en-CA"/>
        </w:rPr>
        <w:t> </w:t>
      </w:r>
      <w:r w:rsidRPr="00764A03">
        <w:rPr>
          <w:lang w:val="en-CA"/>
        </w:rPr>
        <w:t xml:space="preserve">54/39) and the cost structure for determining funding levels for </w:t>
      </w:r>
      <w:r>
        <w:rPr>
          <w:lang w:val="en-CA"/>
        </w:rPr>
        <w:t xml:space="preserve">the </w:t>
      </w:r>
      <w:r w:rsidRPr="00764A03">
        <w:rPr>
          <w:lang w:val="en-CA"/>
        </w:rPr>
        <w:t>preparation of HCFC investment and associated activities</w:t>
      </w:r>
      <w:r>
        <w:rPr>
          <w:rStyle w:val="FootnoteReference"/>
          <w:lang w:val="en-CA"/>
        </w:rPr>
        <w:footnoteReference w:id="6"/>
      </w:r>
      <w:r w:rsidRPr="00764A03">
        <w:rPr>
          <w:lang w:val="en-CA"/>
        </w:rPr>
        <w:t xml:space="preserve"> (decision 56/16), noting that the two documents served as the basis for the preparation </w:t>
      </w:r>
      <w:r>
        <w:rPr>
          <w:lang w:val="en-CA"/>
        </w:rPr>
        <w:t xml:space="preserve">of </w:t>
      </w:r>
      <w:r w:rsidRPr="00764A03">
        <w:rPr>
          <w:lang w:val="en-CA"/>
        </w:rPr>
        <w:t>stage I of</w:t>
      </w:r>
      <w:r>
        <w:rPr>
          <w:lang w:val="en-CA"/>
        </w:rPr>
        <w:t xml:space="preserve"> all of</w:t>
      </w:r>
      <w:r w:rsidRPr="00764A03">
        <w:rPr>
          <w:lang w:val="en-CA"/>
        </w:rPr>
        <w:t xml:space="preserve"> the HPMPs for all Article 5 countries that have been approved; </w:t>
      </w:r>
    </w:p>
    <w:p w14:paraId="43C670FF" w14:textId="77777777" w:rsidR="00642C89" w:rsidRDefault="00642C89" w:rsidP="00642C89">
      <w:pPr>
        <w:pStyle w:val="Heading2"/>
        <w:numPr>
          <w:ilvl w:val="1"/>
          <w:numId w:val="1"/>
        </w:numPr>
        <w:rPr>
          <w:lang w:val="en-CA"/>
        </w:rPr>
      </w:pPr>
      <w:r>
        <w:rPr>
          <w:lang w:val="en-CA"/>
        </w:rPr>
        <w:t>T</w:t>
      </w:r>
      <w:r w:rsidRPr="00764A03">
        <w:rPr>
          <w:lang w:val="en-CA"/>
        </w:rPr>
        <w:t>he draft guidelines for funding the preparation of stage II of HPMPs</w:t>
      </w:r>
      <w:r>
        <w:rPr>
          <w:rStyle w:val="FootnoteReference"/>
          <w:lang w:val="en-CA"/>
        </w:rPr>
        <w:footnoteReference w:id="7"/>
      </w:r>
      <w:r w:rsidRPr="00764A03">
        <w:rPr>
          <w:lang w:val="en-CA"/>
        </w:rPr>
        <w:t xml:space="preserve"> (decision 71/42), which had already incorporated lessons learn</w:t>
      </w:r>
      <w:r>
        <w:rPr>
          <w:lang w:val="en-CA"/>
        </w:rPr>
        <w:t>ed</w:t>
      </w:r>
      <w:r w:rsidRPr="00764A03">
        <w:rPr>
          <w:lang w:val="en-CA"/>
        </w:rPr>
        <w:t xml:space="preserve"> during the preparation of stage I of HPMPs</w:t>
      </w:r>
      <w:r>
        <w:rPr>
          <w:lang w:val="en-CA"/>
        </w:rPr>
        <w:t>; and</w:t>
      </w:r>
    </w:p>
    <w:p w14:paraId="2EE9BD68" w14:textId="77777777" w:rsidR="00642C89" w:rsidRPr="00B442E1" w:rsidRDefault="00642C89" w:rsidP="00642C89">
      <w:pPr>
        <w:pStyle w:val="Heading2"/>
        <w:numPr>
          <w:ilvl w:val="1"/>
          <w:numId w:val="1"/>
        </w:numPr>
        <w:rPr>
          <w:lang w:val="en-CA"/>
        </w:rPr>
      </w:pPr>
      <w:r w:rsidRPr="00B442E1">
        <w:rPr>
          <w:lang w:val="en-CA"/>
        </w:rPr>
        <w:t>The guidelines for enabling activities for the phase</w:t>
      </w:r>
      <w:r>
        <w:rPr>
          <w:lang w:val="en-CA"/>
        </w:rPr>
        <w:t>-</w:t>
      </w:r>
      <w:r w:rsidRPr="00B442E1">
        <w:rPr>
          <w:lang w:val="en-CA"/>
        </w:rPr>
        <w:t>down of HFCs</w:t>
      </w:r>
      <w:r>
        <w:rPr>
          <w:rStyle w:val="FootnoteReference"/>
          <w:lang w:val="en-CA"/>
        </w:rPr>
        <w:footnoteReference w:id="8"/>
      </w:r>
      <w:r w:rsidRPr="00B442E1">
        <w:rPr>
          <w:lang w:val="en-CA"/>
        </w:rPr>
        <w:t xml:space="preserve"> approved at the 79</w:t>
      </w:r>
      <w:r w:rsidRPr="00B442E1">
        <w:rPr>
          <w:vertAlign w:val="superscript"/>
          <w:lang w:val="en-CA"/>
        </w:rPr>
        <w:t>th</w:t>
      </w:r>
      <w:r>
        <w:rPr>
          <w:lang w:val="en-CA"/>
        </w:rPr>
        <w:t> </w:t>
      </w:r>
      <w:r w:rsidRPr="00B442E1">
        <w:rPr>
          <w:lang w:val="en-CA"/>
        </w:rPr>
        <w:t xml:space="preserve">meeting (decision 79/46), noting </w:t>
      </w:r>
      <w:r w:rsidRPr="00B442E1">
        <w:rPr>
          <w:i/>
          <w:lang w:val="en-CA"/>
        </w:rPr>
        <w:t>inter alia</w:t>
      </w:r>
      <w:r w:rsidRPr="00B442E1">
        <w:rPr>
          <w:lang w:val="en-CA"/>
        </w:rPr>
        <w:t xml:space="preserve"> that countries have the flexibility to undertake a range of enabling activities to help their national ozone units (NOUs) to fulfil their initial obligations under the Kigali Amendment. </w:t>
      </w:r>
    </w:p>
    <w:p w14:paraId="5813FF4B" w14:textId="77777777" w:rsidR="00642C89" w:rsidRPr="00031EC6" w:rsidRDefault="00642C89" w:rsidP="00642C89">
      <w:pPr>
        <w:pStyle w:val="Heading1"/>
        <w:rPr>
          <w:lang w:val="en-CA"/>
        </w:rPr>
      </w:pPr>
      <w:r>
        <w:rPr>
          <w:lang w:val="en-CA"/>
        </w:rPr>
        <w:t xml:space="preserve">The Secretariat also considered the lessons learned during the preparation of stages I and II of the HPMPs, as contained in the document on </w:t>
      </w:r>
      <w:r w:rsidRPr="00031EC6">
        <w:rPr>
          <w:lang w:val="en-CA"/>
        </w:rPr>
        <w:t>the revised desk study for the evaluation of HCFC phase-out management plan preparation activities to assist with the implementation of the Kigali Amendment,</w:t>
      </w:r>
      <w:r w:rsidRPr="00031EC6">
        <w:rPr>
          <w:rStyle w:val="FootnoteReference"/>
          <w:lang w:val="en-CA"/>
        </w:rPr>
        <w:footnoteReference w:id="9"/>
      </w:r>
      <w:r w:rsidRPr="00031EC6">
        <w:rPr>
          <w:lang w:val="en-CA"/>
        </w:rPr>
        <w:t xml:space="preserve"> and reference is made in the present document to the lessons learned that could be used when preparing HFC phase-down plans.</w:t>
      </w:r>
    </w:p>
    <w:p w14:paraId="1235C926" w14:textId="77777777" w:rsidR="00642C89" w:rsidRDefault="00642C89" w:rsidP="00753883">
      <w:pPr>
        <w:pStyle w:val="Heading1"/>
        <w:rPr>
          <w:lang w:val="en-CA"/>
        </w:rPr>
      </w:pPr>
      <w:r>
        <w:rPr>
          <w:lang w:val="en-CA"/>
        </w:rPr>
        <w:t>Furthermore, the Secretariat considered the experience gained and the results achieved</w:t>
      </w:r>
      <w:r w:rsidRPr="00D77B3F">
        <w:rPr>
          <w:lang w:val="en-CA"/>
        </w:rPr>
        <w:t xml:space="preserve"> from the </w:t>
      </w:r>
      <w:r w:rsidRPr="004806E2">
        <w:rPr>
          <w:lang w:val="en-CA"/>
        </w:rPr>
        <w:t>national surveys of alternatives to ODS</w:t>
      </w:r>
      <w:r w:rsidRPr="00D77B3F">
        <w:footnoteReference w:id="10"/>
      </w:r>
      <w:r>
        <w:rPr>
          <w:lang w:val="en-CA"/>
        </w:rPr>
        <w:t xml:space="preserve"> undertaken </w:t>
      </w:r>
      <w:r w:rsidRPr="004806E2">
        <w:rPr>
          <w:lang w:val="en-CA"/>
        </w:rPr>
        <w:t xml:space="preserve">by </w:t>
      </w:r>
      <w:r>
        <w:rPr>
          <w:lang w:val="en-CA"/>
        </w:rPr>
        <w:t xml:space="preserve">119 </w:t>
      </w:r>
      <w:r w:rsidRPr="004806E2">
        <w:rPr>
          <w:lang w:val="en-CA"/>
        </w:rPr>
        <w:t>Article 5 countries</w:t>
      </w:r>
      <w:r>
        <w:rPr>
          <w:lang w:val="en-CA"/>
        </w:rPr>
        <w:t xml:space="preserve">, summarized in the </w:t>
      </w:r>
      <w:r>
        <w:rPr>
          <w:lang w:val="en-CA"/>
        </w:rPr>
        <w:lastRenderedPageBreak/>
        <w:t>document on the o</w:t>
      </w:r>
      <w:r w:rsidRPr="00845FB3">
        <w:rPr>
          <w:lang w:val="en-CA"/>
        </w:rPr>
        <w:t>verall analysis of the results of the surveys of ODS</w:t>
      </w:r>
      <w:r>
        <w:rPr>
          <w:lang w:val="en-CA"/>
        </w:rPr>
        <w:t>,</w:t>
      </w:r>
      <w:r w:rsidRPr="00D77B3F">
        <w:footnoteReference w:id="11"/>
      </w:r>
      <w:r>
        <w:rPr>
          <w:lang w:val="en-CA"/>
        </w:rPr>
        <w:t xml:space="preserve"> noting that the scope of the surveys was </w:t>
      </w:r>
      <w:r w:rsidRPr="00933A24">
        <w:rPr>
          <w:lang w:val="en-CA"/>
        </w:rPr>
        <w:t>to assist Article 5 countr</w:t>
      </w:r>
      <w:r>
        <w:rPr>
          <w:lang w:val="en-CA"/>
        </w:rPr>
        <w:t>ies</w:t>
      </w:r>
      <w:r w:rsidRPr="00933A24">
        <w:rPr>
          <w:lang w:val="en-CA"/>
        </w:rPr>
        <w:t xml:space="preserve"> to better understand </w:t>
      </w:r>
      <w:r>
        <w:rPr>
          <w:lang w:val="en-CA"/>
        </w:rPr>
        <w:t>their</w:t>
      </w:r>
      <w:r w:rsidRPr="00933A24">
        <w:rPr>
          <w:lang w:val="en-CA"/>
        </w:rPr>
        <w:t xml:space="preserve"> historical and predicted consumption trends for non-ODS alternatives, including both low- and high-</w:t>
      </w:r>
      <w:r>
        <w:rPr>
          <w:lang w:val="en-CA"/>
        </w:rPr>
        <w:t>global-warming-potential (</w:t>
      </w:r>
      <w:r w:rsidRPr="00933A24">
        <w:rPr>
          <w:lang w:val="en-CA"/>
        </w:rPr>
        <w:t>GWP</w:t>
      </w:r>
      <w:r>
        <w:rPr>
          <w:lang w:val="en-CA"/>
        </w:rPr>
        <w:t>)</w:t>
      </w:r>
      <w:r w:rsidRPr="00933A24">
        <w:rPr>
          <w:lang w:val="en-CA"/>
        </w:rPr>
        <w:t xml:space="preserve"> alternatives, and their distribution by sector and subsector</w:t>
      </w:r>
      <w:r>
        <w:rPr>
          <w:lang w:val="en-CA"/>
        </w:rPr>
        <w:t>. W</w:t>
      </w:r>
      <w:r w:rsidRPr="00933A24">
        <w:rPr>
          <w:lang w:val="en-CA"/>
        </w:rPr>
        <w:t xml:space="preserve">hen coupled with the implementation of their HPMPs, </w:t>
      </w:r>
      <w:r>
        <w:rPr>
          <w:lang w:val="en-CA"/>
        </w:rPr>
        <w:t>the surveys could</w:t>
      </w:r>
      <w:r w:rsidRPr="00933A24">
        <w:rPr>
          <w:lang w:val="en-CA"/>
        </w:rPr>
        <w:t xml:space="preserve"> provide the countries with a comprehensive overview of their national markets </w:t>
      </w:r>
      <w:r>
        <w:rPr>
          <w:lang w:val="en-CA"/>
        </w:rPr>
        <w:t xml:space="preserve">showing </w:t>
      </w:r>
      <w:r w:rsidRPr="00933A24">
        <w:rPr>
          <w:lang w:val="en-CA"/>
        </w:rPr>
        <w:t>where ODS alternatives ha</w:t>
      </w:r>
      <w:r>
        <w:rPr>
          <w:lang w:val="en-CA"/>
        </w:rPr>
        <w:t>d</w:t>
      </w:r>
      <w:r w:rsidRPr="00933A24">
        <w:rPr>
          <w:lang w:val="en-CA"/>
        </w:rPr>
        <w:t xml:space="preserve"> been </w:t>
      </w:r>
      <w:r>
        <w:rPr>
          <w:lang w:val="en-CA"/>
        </w:rPr>
        <w:t xml:space="preserve">used </w:t>
      </w:r>
      <w:r w:rsidRPr="00933A24">
        <w:rPr>
          <w:lang w:val="en-CA"/>
        </w:rPr>
        <w:t xml:space="preserve">and </w:t>
      </w:r>
      <w:r>
        <w:rPr>
          <w:lang w:val="en-CA"/>
        </w:rPr>
        <w:t>could</w:t>
      </w:r>
      <w:r w:rsidRPr="00933A24">
        <w:rPr>
          <w:lang w:val="en-CA"/>
        </w:rPr>
        <w:t xml:space="preserve"> be phased in</w:t>
      </w:r>
      <w:r>
        <w:rPr>
          <w:lang w:val="en-CA"/>
        </w:rPr>
        <w:t>.</w:t>
      </w:r>
    </w:p>
    <w:p w14:paraId="347275AC" w14:textId="77777777" w:rsidR="00642C89" w:rsidRPr="009E3C06" w:rsidRDefault="00642C89" w:rsidP="00642C89">
      <w:pPr>
        <w:pStyle w:val="Heading1"/>
        <w:rPr>
          <w:lang w:val="en-CA"/>
        </w:rPr>
      </w:pPr>
      <w:r w:rsidRPr="009E3C06">
        <w:rPr>
          <w:lang w:val="en-CA"/>
        </w:rPr>
        <w:t>The Secretariat also noted that although Article 5 countries have not yet started the preparation of their HFC phase-down plans, the 137 countries</w:t>
      </w:r>
      <w:r w:rsidRPr="009E3C06">
        <w:rPr>
          <w:rStyle w:val="FootnoteReference"/>
          <w:lang w:val="en-CA"/>
        </w:rPr>
        <w:footnoteReference w:id="12"/>
      </w:r>
      <w:r w:rsidRPr="009E3C06">
        <w:rPr>
          <w:lang w:val="en-CA"/>
        </w:rPr>
        <w:t xml:space="preserve"> (</w:t>
      </w:r>
      <w:r w:rsidRPr="004D7080">
        <w:rPr>
          <w:lang w:val="en-CA"/>
        </w:rPr>
        <w:t>out of 144 Article</w:t>
      </w:r>
      <w:r w:rsidRPr="009E3C06">
        <w:rPr>
          <w:lang w:val="en-CA"/>
        </w:rPr>
        <w:t xml:space="preserve"> 5 countries) with ongoing enabling activities for the phase-down of HFCs had already i</w:t>
      </w:r>
      <w:r>
        <w:rPr>
          <w:lang w:val="en-CA"/>
        </w:rPr>
        <w:t>ndicated their commitment to, at</w:t>
      </w:r>
      <w:r w:rsidRPr="009E3C06">
        <w:rPr>
          <w:lang w:val="en-CA"/>
        </w:rPr>
        <w:t xml:space="preserve"> a minimum, meet the compliance obligations under the Kigali Amendment,</w:t>
      </w:r>
      <w:r w:rsidRPr="009E3C06">
        <w:rPr>
          <w:rStyle w:val="FootnoteReference"/>
          <w:lang w:val="en-CA"/>
        </w:rPr>
        <w:footnoteReference w:id="13"/>
      </w:r>
      <w:r w:rsidRPr="009E3C06">
        <w:rPr>
          <w:lang w:val="en-CA"/>
        </w:rPr>
        <w:t xml:space="preserve"> as these countries have either ratified the amendment, or have submitted a letter </w:t>
      </w:r>
      <w:r>
        <w:rPr>
          <w:lang w:val="en-CA"/>
        </w:rPr>
        <w:t xml:space="preserve">of </w:t>
      </w:r>
      <w:r w:rsidRPr="009E3C06">
        <w:rPr>
          <w:lang w:val="en-CA"/>
        </w:rPr>
        <w:t>intent to</w:t>
      </w:r>
      <w:r>
        <w:rPr>
          <w:lang w:val="en-CA"/>
        </w:rPr>
        <w:t xml:space="preserve"> </w:t>
      </w:r>
      <w:r w:rsidRPr="00BC1C65">
        <w:t>make best efforts</w:t>
      </w:r>
      <w:r>
        <w:t xml:space="preserve"> to</w:t>
      </w:r>
      <w:r w:rsidRPr="009E3C06">
        <w:rPr>
          <w:lang w:val="en-CA"/>
        </w:rPr>
        <w:t xml:space="preserve"> ratify it as early as possible. In addition, some of the specific activities being implemented under the approved enabling activities</w:t>
      </w:r>
      <w:r w:rsidRPr="009E3C06">
        <w:rPr>
          <w:rStyle w:val="FootnoteReference"/>
          <w:lang w:val="en-CA"/>
        </w:rPr>
        <w:footnoteReference w:id="14"/>
      </w:r>
      <w:r w:rsidRPr="009E3C06">
        <w:rPr>
          <w:lang w:val="en-CA"/>
        </w:rPr>
        <w:t xml:space="preserve"> could contribute to limiting the growth of HFC consumption and sustaining the reductions in consumption that will be achieved. </w:t>
      </w:r>
    </w:p>
    <w:p w14:paraId="26190A2C" w14:textId="77777777" w:rsidR="00642C89" w:rsidRDefault="00642C89" w:rsidP="00642C89">
      <w:pPr>
        <w:pStyle w:val="Heading1"/>
        <w:rPr>
          <w:lang w:val="en-CA"/>
        </w:rPr>
      </w:pPr>
      <w:r>
        <w:rPr>
          <w:lang w:val="en-CA"/>
        </w:rPr>
        <w:lastRenderedPageBreak/>
        <w:t>In preparing the present document, t</w:t>
      </w:r>
      <w:r w:rsidRPr="00784838">
        <w:rPr>
          <w:lang w:val="en-CA"/>
        </w:rPr>
        <w:t xml:space="preserve">he Secretariat also </w:t>
      </w:r>
      <w:r>
        <w:rPr>
          <w:lang w:val="en-CA"/>
        </w:rPr>
        <w:t>kept in mind</w:t>
      </w:r>
      <w:r w:rsidRPr="00784838">
        <w:rPr>
          <w:lang w:val="en-CA"/>
        </w:rPr>
        <w:t xml:space="preserve"> that between 2021 and 2030, </w:t>
      </w:r>
      <w:r>
        <w:rPr>
          <w:lang w:val="en-CA"/>
        </w:rPr>
        <w:t>it is highly likely</w:t>
      </w:r>
      <w:r w:rsidRPr="00784838">
        <w:rPr>
          <w:lang w:val="en-CA"/>
        </w:rPr>
        <w:t xml:space="preserve"> that most Article 5 countries will be simultaneously implementing their HPMPs and stage</w:t>
      </w:r>
      <w:r>
        <w:rPr>
          <w:lang w:val="en-CA"/>
        </w:rPr>
        <w:t> </w:t>
      </w:r>
      <w:r w:rsidRPr="00784838">
        <w:rPr>
          <w:lang w:val="en-CA"/>
        </w:rPr>
        <w:t>I of their HFC phase-down plans</w:t>
      </w:r>
      <w:r>
        <w:rPr>
          <w:lang w:val="en-CA"/>
        </w:rPr>
        <w:t>. After</w:t>
      </w:r>
      <w:r w:rsidRPr="00784838">
        <w:rPr>
          <w:lang w:val="en-CA"/>
        </w:rPr>
        <w:t xml:space="preserve"> 2030, </w:t>
      </w:r>
      <w:r>
        <w:rPr>
          <w:lang w:val="en-CA"/>
        </w:rPr>
        <w:t xml:space="preserve">Article 5 countries </w:t>
      </w:r>
      <w:r w:rsidRPr="00784838">
        <w:rPr>
          <w:lang w:val="en-CA"/>
        </w:rPr>
        <w:t>will be exclusively phasing down HFCs for an additional 15 years, while monitoring the sustainability of the HCFC phase</w:t>
      </w:r>
      <w:r>
        <w:rPr>
          <w:lang w:val="en-CA"/>
        </w:rPr>
        <w:t>-</w:t>
      </w:r>
      <w:r w:rsidRPr="00784838">
        <w:rPr>
          <w:lang w:val="en-CA"/>
        </w:rPr>
        <w:t xml:space="preserve">out including compliance with the servicing tail where applicable. </w:t>
      </w:r>
      <w:r>
        <w:rPr>
          <w:lang w:val="en-CA"/>
        </w:rPr>
        <w:t xml:space="preserve">Under this </w:t>
      </w:r>
      <w:r w:rsidRPr="00981DF4">
        <w:rPr>
          <w:lang w:val="en-CA"/>
        </w:rPr>
        <w:t xml:space="preserve">scenario, </w:t>
      </w:r>
      <w:r>
        <w:rPr>
          <w:lang w:val="en-CA"/>
        </w:rPr>
        <w:t xml:space="preserve">it seems relevant to develop a </w:t>
      </w:r>
      <w:r w:rsidRPr="00981DF4">
        <w:rPr>
          <w:lang w:val="en-CA"/>
        </w:rPr>
        <w:t xml:space="preserve">comprehensive </w:t>
      </w:r>
      <w:r>
        <w:rPr>
          <w:lang w:val="en-CA"/>
        </w:rPr>
        <w:t xml:space="preserve">strategy </w:t>
      </w:r>
      <w:r w:rsidRPr="00981DF4">
        <w:rPr>
          <w:lang w:val="en-CA"/>
        </w:rPr>
        <w:t xml:space="preserve">for meeting the </w:t>
      </w:r>
      <w:r>
        <w:rPr>
          <w:lang w:val="en-CA"/>
        </w:rPr>
        <w:t xml:space="preserve">Montreal Protocol </w:t>
      </w:r>
      <w:r w:rsidRPr="00981DF4">
        <w:rPr>
          <w:lang w:val="en-CA"/>
        </w:rPr>
        <w:t xml:space="preserve">compliance targets </w:t>
      </w:r>
      <w:r>
        <w:rPr>
          <w:lang w:val="en-CA"/>
        </w:rPr>
        <w:t xml:space="preserve">for </w:t>
      </w:r>
      <w:r w:rsidRPr="00981DF4">
        <w:rPr>
          <w:lang w:val="en-CA"/>
        </w:rPr>
        <w:t xml:space="preserve">two groups of substances that relate to each other (i.e., HCFCs and HFCs). </w:t>
      </w:r>
      <w:r w:rsidRPr="00784838">
        <w:rPr>
          <w:lang w:val="en-CA"/>
        </w:rPr>
        <w:t xml:space="preserve">In this regard, </w:t>
      </w:r>
      <w:r>
        <w:rPr>
          <w:lang w:val="en-CA"/>
        </w:rPr>
        <w:t>t</w:t>
      </w:r>
      <w:r w:rsidRPr="00784838">
        <w:rPr>
          <w:lang w:val="en-CA"/>
        </w:rPr>
        <w:t xml:space="preserve">he present document also benefited from the information and analysis presented in </w:t>
      </w:r>
      <w:r>
        <w:rPr>
          <w:lang w:val="en-CA"/>
        </w:rPr>
        <w:t>several policy documents related to HFC phase-down that have been (or will be) considered by the Executive Committee, in particular:</w:t>
      </w:r>
    </w:p>
    <w:p w14:paraId="29A806CA" w14:textId="77777777" w:rsidR="00642C89" w:rsidRDefault="00642C89" w:rsidP="00642C89">
      <w:pPr>
        <w:pStyle w:val="Heading2"/>
        <w:numPr>
          <w:ilvl w:val="1"/>
          <w:numId w:val="1"/>
        </w:numPr>
        <w:rPr>
          <w:lang w:val="en-CA"/>
        </w:rPr>
      </w:pPr>
      <w:r w:rsidRPr="00327276">
        <w:t>UNEP/OzL.Pro/</w:t>
      </w:r>
      <w:r w:rsidRPr="001B0B6A">
        <w:rPr>
          <w:lang w:val="en-CA"/>
        </w:rPr>
        <w:t>ExCom/82/64</w:t>
      </w:r>
      <w:r>
        <w:rPr>
          <w:lang w:val="en-CA"/>
        </w:rPr>
        <w:t xml:space="preserve"> </w:t>
      </w:r>
      <w:r w:rsidRPr="001B0B6A">
        <w:rPr>
          <w:lang w:val="en-CA"/>
        </w:rPr>
        <w:t>Preliminary document on all aspects related to the refrigeration servicing sector that support the HFC phase</w:t>
      </w:r>
      <w:r>
        <w:rPr>
          <w:lang w:val="en-CA"/>
        </w:rPr>
        <w:t>-</w:t>
      </w:r>
      <w:r w:rsidRPr="001B0B6A">
        <w:rPr>
          <w:lang w:val="en-CA"/>
        </w:rPr>
        <w:t>down (decision 80/76(c))</w:t>
      </w:r>
      <w:r>
        <w:rPr>
          <w:lang w:val="en-CA"/>
        </w:rPr>
        <w:t>;</w:t>
      </w:r>
    </w:p>
    <w:p w14:paraId="2E192DD4" w14:textId="77777777" w:rsidR="00642C89" w:rsidRDefault="00642C89" w:rsidP="00642C89">
      <w:pPr>
        <w:pStyle w:val="Heading2"/>
        <w:numPr>
          <w:ilvl w:val="1"/>
          <w:numId w:val="1"/>
        </w:numPr>
        <w:rPr>
          <w:lang w:val="en-CA"/>
        </w:rPr>
      </w:pPr>
      <w:r w:rsidRPr="009344BE">
        <w:t>UNEP/OzL.Pro/ExCom/86/83</w:t>
      </w:r>
      <w:r>
        <w:rPr>
          <w:lang w:val="en-CA"/>
        </w:rPr>
        <w:t>, O</w:t>
      </w:r>
      <w:r w:rsidRPr="009344BE">
        <w:rPr>
          <w:lang w:val="en-CA"/>
        </w:rPr>
        <w:t xml:space="preserve">verview of current monitoring, reporting, verification and enforceable licensing and quota systems developed with support from the </w:t>
      </w:r>
      <w:r>
        <w:rPr>
          <w:lang w:val="en-CA"/>
        </w:rPr>
        <w:t>M</w:t>
      </w:r>
      <w:r w:rsidRPr="009344BE">
        <w:rPr>
          <w:lang w:val="en-CA"/>
        </w:rPr>
        <w:t xml:space="preserve">ultilateral </w:t>
      </w:r>
      <w:r>
        <w:rPr>
          <w:lang w:val="en-CA"/>
        </w:rPr>
        <w:t>F</w:t>
      </w:r>
      <w:r w:rsidRPr="009344BE">
        <w:rPr>
          <w:lang w:val="en-CA"/>
        </w:rPr>
        <w:t>und (</w:t>
      </w:r>
      <w:r>
        <w:rPr>
          <w:lang w:val="en-CA"/>
        </w:rPr>
        <w:t xml:space="preserve">decision </w:t>
      </w:r>
      <w:r w:rsidRPr="009344BE">
        <w:rPr>
          <w:lang w:val="en-CA"/>
        </w:rPr>
        <w:t>84/85)</w:t>
      </w:r>
      <w:r>
        <w:rPr>
          <w:lang w:val="en-CA"/>
        </w:rPr>
        <w:t>;</w:t>
      </w:r>
    </w:p>
    <w:p w14:paraId="16FFEB92" w14:textId="77777777" w:rsidR="00642C89" w:rsidRPr="00421089" w:rsidRDefault="00642C89" w:rsidP="00753883">
      <w:pPr>
        <w:pStyle w:val="Heading2"/>
        <w:widowControl/>
        <w:rPr>
          <w:lang w:val="en-CA"/>
        </w:rPr>
      </w:pPr>
      <w:r w:rsidRPr="00327276">
        <w:t>UNEP/OzL.Pro/</w:t>
      </w:r>
      <w:r w:rsidRPr="00421089">
        <w:rPr>
          <w:lang w:val="en-CA"/>
        </w:rPr>
        <w:t>ExCom/84/65</w:t>
      </w:r>
      <w:r>
        <w:rPr>
          <w:lang w:val="en-CA"/>
        </w:rPr>
        <w:t xml:space="preserve">, </w:t>
      </w:r>
      <w:r w:rsidRPr="00421089">
        <w:rPr>
          <w:lang w:val="en-CA"/>
        </w:rPr>
        <w:t>Analysis of the implications of parallel or integrated implementation of HCFC phase-out and HFC phase-down activities</w:t>
      </w:r>
      <w:r>
        <w:rPr>
          <w:lang w:val="en-CA"/>
        </w:rPr>
        <w:t xml:space="preserve">; </w:t>
      </w:r>
    </w:p>
    <w:p w14:paraId="72FCF370" w14:textId="77777777" w:rsidR="00642C89" w:rsidRDefault="00642C89" w:rsidP="00642C89">
      <w:pPr>
        <w:pStyle w:val="Heading2"/>
        <w:numPr>
          <w:ilvl w:val="1"/>
          <w:numId w:val="1"/>
        </w:numPr>
        <w:rPr>
          <w:lang w:val="en-CA"/>
        </w:rPr>
      </w:pPr>
      <w:r w:rsidRPr="00327276">
        <w:t>UNEP/OzL.Pro/ExCom/</w:t>
      </w:r>
      <w:r w:rsidRPr="00D77B3F">
        <w:rPr>
          <w:lang w:val="en-CA"/>
        </w:rPr>
        <w:t>86/87</w:t>
      </w:r>
      <w:r>
        <w:rPr>
          <w:lang w:val="en-CA"/>
        </w:rPr>
        <w:t>, P</w:t>
      </w:r>
      <w:r w:rsidRPr="00421089">
        <w:rPr>
          <w:lang w:val="en-CA"/>
        </w:rPr>
        <w:t>otential strategies, policy measures and commitments, as well as projects and activities that could be integrated within stage I of HFC phase-down plans for Article 5 countries to ensure limits on growth and sustainable reductions in HFC consumption (decision 84/54(b))</w:t>
      </w:r>
      <w:r>
        <w:rPr>
          <w:lang w:val="en-CA"/>
        </w:rPr>
        <w:t>; and</w:t>
      </w:r>
    </w:p>
    <w:p w14:paraId="6D1400C0" w14:textId="77777777" w:rsidR="00642C89" w:rsidRPr="00B34F06" w:rsidRDefault="00642C89" w:rsidP="00642C89">
      <w:pPr>
        <w:pStyle w:val="Heading2"/>
        <w:numPr>
          <w:ilvl w:val="1"/>
          <w:numId w:val="1"/>
        </w:numPr>
        <w:rPr>
          <w:lang w:val="en-CA"/>
        </w:rPr>
      </w:pPr>
      <w:r w:rsidRPr="00327276">
        <w:t>UNEP/OzL.Pro/</w:t>
      </w:r>
      <w:r w:rsidRPr="00B34F06">
        <w:rPr>
          <w:lang w:val="en-CA"/>
        </w:rPr>
        <w:t>ExCom/86/89</w:t>
      </w:r>
      <w:r>
        <w:rPr>
          <w:lang w:val="en-CA"/>
        </w:rPr>
        <w:t xml:space="preserve">, </w:t>
      </w:r>
      <w:r w:rsidRPr="00B34F06">
        <w:rPr>
          <w:lang w:val="en-CA"/>
        </w:rPr>
        <w:t>Analysis of the level and modalities of funding for HFC phase</w:t>
      </w:r>
      <w:r>
        <w:rPr>
          <w:lang w:val="en-CA"/>
        </w:rPr>
        <w:t>-</w:t>
      </w:r>
      <w:r w:rsidRPr="00B34F06">
        <w:rPr>
          <w:lang w:val="en-CA"/>
        </w:rPr>
        <w:t>down in the refrigeration servicing sector (decisions 83/65(b) and 84/86(b)(ii))</w:t>
      </w:r>
      <w:r>
        <w:rPr>
          <w:lang w:val="en-CA"/>
        </w:rPr>
        <w:t>.</w:t>
      </w:r>
    </w:p>
    <w:p w14:paraId="336DC9B3" w14:textId="77777777" w:rsidR="00642C89" w:rsidRPr="00981DF4" w:rsidRDefault="00642C89" w:rsidP="00642C89">
      <w:pPr>
        <w:pStyle w:val="Heading1"/>
        <w:rPr>
          <w:lang w:val="en-CA"/>
        </w:rPr>
      </w:pPr>
      <w:r w:rsidRPr="00981DF4">
        <w:rPr>
          <w:lang w:val="en-CA"/>
        </w:rPr>
        <w:t xml:space="preserve">In developing the present document, the Secretariat has also kept in mind the potential benefits of </w:t>
      </w:r>
      <w:r>
        <w:rPr>
          <w:lang w:val="en-CA"/>
        </w:rPr>
        <w:t xml:space="preserve">undertaking an </w:t>
      </w:r>
      <w:r w:rsidRPr="00981DF4">
        <w:rPr>
          <w:lang w:val="en-CA"/>
        </w:rPr>
        <w:t>integrated implementation of HCFC phase-out and HFC phase-down</w:t>
      </w:r>
      <w:r>
        <w:rPr>
          <w:lang w:val="en-CA"/>
        </w:rPr>
        <w:t xml:space="preserve"> wherever possible</w:t>
      </w:r>
      <w:r w:rsidRPr="00981DF4">
        <w:rPr>
          <w:lang w:val="en-CA"/>
        </w:rPr>
        <w:t>, and the various means and requirements for achieving integrated implementation set out in document</w:t>
      </w:r>
      <w:r>
        <w:rPr>
          <w:lang w:val="en-CA"/>
        </w:rPr>
        <w:t> </w:t>
      </w:r>
      <w:r w:rsidRPr="00981DF4">
        <w:t>UNEP/OzL.Pro/ExCom/86/87</w:t>
      </w:r>
      <w:r w:rsidRPr="00981DF4">
        <w:rPr>
          <w:lang w:val="en-CA"/>
        </w:rPr>
        <w:t xml:space="preserve">, including integrated </w:t>
      </w:r>
      <w:r w:rsidRPr="00981DF4">
        <w:rPr>
          <w:lang w:val="en-CA"/>
        </w:rPr>
        <w:lastRenderedPageBreak/>
        <w:t xml:space="preserve">compliance strategies, should the Executive Committee decide to adopt such an approach. </w:t>
      </w:r>
    </w:p>
    <w:p w14:paraId="15DFACED" w14:textId="77777777" w:rsidR="00642C89" w:rsidRPr="00F509D9" w:rsidRDefault="00642C89" w:rsidP="00642C89">
      <w:pPr>
        <w:pStyle w:val="Heading1"/>
        <w:rPr>
          <w:lang w:val="en-CA"/>
        </w:rPr>
      </w:pPr>
      <w:r w:rsidRPr="00F509D9">
        <w:rPr>
          <w:lang w:val="en-CA"/>
        </w:rPr>
        <w:t>The document contains two parts:</w:t>
      </w:r>
    </w:p>
    <w:p w14:paraId="40F9ABDB" w14:textId="77777777" w:rsidR="00642C89" w:rsidRPr="0052205E" w:rsidRDefault="00642C89" w:rsidP="00642C89">
      <w:pPr>
        <w:pStyle w:val="Heading1"/>
        <w:numPr>
          <w:ilvl w:val="0"/>
          <w:numId w:val="0"/>
        </w:numPr>
        <w:ind w:left="1440" w:hanging="720"/>
        <w:rPr>
          <w:lang w:val="en-CA"/>
        </w:rPr>
      </w:pPr>
      <w:r>
        <w:rPr>
          <w:lang w:val="en-CA"/>
        </w:rPr>
        <w:t xml:space="preserve">Part </w:t>
      </w:r>
      <w:r w:rsidRPr="0052205E">
        <w:rPr>
          <w:lang w:val="en-CA"/>
        </w:rPr>
        <w:t>I</w:t>
      </w:r>
      <w:r>
        <w:rPr>
          <w:lang w:val="en-CA"/>
        </w:rPr>
        <w:tab/>
        <w:t>K</w:t>
      </w:r>
      <w:r w:rsidRPr="00ED3476">
        <w:rPr>
          <w:lang w:val="en-CA"/>
        </w:rPr>
        <w:t xml:space="preserve">ey components of </w:t>
      </w:r>
      <w:r>
        <w:rPr>
          <w:lang w:val="en-CA"/>
        </w:rPr>
        <w:t xml:space="preserve">HFC </w:t>
      </w:r>
      <w:r w:rsidRPr="00ED3476">
        <w:rPr>
          <w:lang w:val="en-CA"/>
        </w:rPr>
        <w:t>phase-down plans</w:t>
      </w:r>
      <w:r>
        <w:rPr>
          <w:lang w:val="en-CA"/>
        </w:rPr>
        <w:t>; and</w:t>
      </w:r>
    </w:p>
    <w:p w14:paraId="4542CD65" w14:textId="77777777" w:rsidR="00642C89" w:rsidRDefault="00642C89" w:rsidP="00642C89">
      <w:pPr>
        <w:pStyle w:val="Heading2"/>
        <w:numPr>
          <w:ilvl w:val="0"/>
          <w:numId w:val="0"/>
        </w:numPr>
        <w:ind w:left="1440" w:hanging="720"/>
        <w:rPr>
          <w:lang w:val="en-CA"/>
        </w:rPr>
      </w:pPr>
      <w:r w:rsidRPr="00D7318A">
        <w:rPr>
          <w:lang w:val="en-CA"/>
        </w:rPr>
        <w:t xml:space="preserve">Part </w:t>
      </w:r>
      <w:r>
        <w:rPr>
          <w:lang w:val="en-CA"/>
        </w:rPr>
        <w:t>II</w:t>
      </w:r>
      <w:r>
        <w:rPr>
          <w:lang w:val="en-CA"/>
        </w:rPr>
        <w:tab/>
      </w:r>
      <w:r w:rsidRPr="00D7318A">
        <w:rPr>
          <w:lang w:val="en-CA"/>
        </w:rPr>
        <w:t xml:space="preserve"> </w:t>
      </w:r>
      <w:r>
        <w:rPr>
          <w:lang w:val="en-CA"/>
        </w:rPr>
        <w:t>F</w:t>
      </w:r>
      <w:r w:rsidRPr="00D7318A">
        <w:rPr>
          <w:lang w:val="en-CA"/>
        </w:rPr>
        <w:t>unding for the preparation of HFC phase</w:t>
      </w:r>
      <w:r>
        <w:rPr>
          <w:lang w:val="en-CA"/>
        </w:rPr>
        <w:t>-</w:t>
      </w:r>
      <w:r w:rsidRPr="00D7318A">
        <w:rPr>
          <w:lang w:val="en-CA"/>
        </w:rPr>
        <w:t>down plans</w:t>
      </w:r>
    </w:p>
    <w:p w14:paraId="2ECE778E" w14:textId="77777777" w:rsidR="00642C89" w:rsidRPr="00B513B2" w:rsidRDefault="00642C89" w:rsidP="00642C89">
      <w:pPr>
        <w:keepNext/>
        <w:ind w:left="1440" w:hanging="1440"/>
        <w:rPr>
          <w:b/>
          <w:lang w:val="en-CA"/>
        </w:rPr>
      </w:pPr>
      <w:r>
        <w:rPr>
          <w:b/>
          <w:lang w:val="en-CA"/>
        </w:rPr>
        <w:t>PART I</w:t>
      </w:r>
      <w:r>
        <w:rPr>
          <w:b/>
          <w:lang w:val="en-CA"/>
        </w:rPr>
        <w:tab/>
        <w:t>KEY COMPONENTS OF HFC PHASE-DOWN PLANS</w:t>
      </w:r>
    </w:p>
    <w:p w14:paraId="41CD5096" w14:textId="77777777" w:rsidR="00642C89" w:rsidRPr="00AB65AE" w:rsidRDefault="00642C89" w:rsidP="00642C89">
      <w:pPr>
        <w:widowControl w:val="0"/>
        <w:rPr>
          <w:lang w:val="en-CA"/>
        </w:rPr>
      </w:pPr>
    </w:p>
    <w:p w14:paraId="7C9967B3" w14:textId="77777777" w:rsidR="00642C89" w:rsidRDefault="00642C89" w:rsidP="00642C89">
      <w:pPr>
        <w:pStyle w:val="Heading1"/>
        <w:rPr>
          <w:lang w:val="en-CA"/>
        </w:rPr>
      </w:pPr>
      <w:r>
        <w:rPr>
          <w:lang w:val="en-CA"/>
        </w:rPr>
        <w:t xml:space="preserve">As was the case for CFC and HCFC phase-out plans, the national authorities responsible for the implementation of the Montreal Protocol will conduct meetings </w:t>
      </w:r>
      <w:r w:rsidRPr="000855CB">
        <w:rPr>
          <w:lang w:val="en-CA"/>
        </w:rPr>
        <w:t>with relevant stakeholders</w:t>
      </w:r>
      <w:r>
        <w:rPr>
          <w:lang w:val="en-CA"/>
        </w:rPr>
        <w:t xml:space="preserve"> d</w:t>
      </w:r>
      <w:r w:rsidRPr="000855CB">
        <w:rPr>
          <w:lang w:val="en-CA"/>
        </w:rPr>
        <w:t>uring the preparation of stage I of HFC phase</w:t>
      </w:r>
      <w:r>
        <w:rPr>
          <w:lang w:val="en-CA"/>
        </w:rPr>
        <w:t>-</w:t>
      </w:r>
      <w:r w:rsidRPr="000855CB">
        <w:rPr>
          <w:lang w:val="en-CA"/>
        </w:rPr>
        <w:t>down plans</w:t>
      </w:r>
      <w:r>
        <w:rPr>
          <w:rStyle w:val="FootnoteReference"/>
          <w:lang w:val="en-CA"/>
        </w:rPr>
        <w:footnoteReference w:id="15"/>
      </w:r>
      <w:r w:rsidRPr="000855CB">
        <w:rPr>
          <w:lang w:val="en-CA"/>
        </w:rPr>
        <w:t xml:space="preserve"> </w:t>
      </w:r>
      <w:r>
        <w:rPr>
          <w:lang w:val="en-CA"/>
        </w:rPr>
        <w:t xml:space="preserve">to: </w:t>
      </w:r>
      <w:r w:rsidRPr="00B50FA6">
        <w:rPr>
          <w:lang w:val="en-CA"/>
        </w:rPr>
        <w:t xml:space="preserve">develop </w:t>
      </w:r>
      <w:r>
        <w:rPr>
          <w:lang w:val="en-CA"/>
        </w:rPr>
        <w:t xml:space="preserve">the </w:t>
      </w:r>
      <w:r w:rsidRPr="000855CB">
        <w:rPr>
          <w:lang w:val="en-CA"/>
        </w:rPr>
        <w:t>overarching strategy</w:t>
      </w:r>
      <w:r w:rsidRPr="00B50FA6">
        <w:rPr>
          <w:lang w:val="en-CA"/>
        </w:rPr>
        <w:t xml:space="preserve"> </w:t>
      </w:r>
      <w:r>
        <w:rPr>
          <w:lang w:val="en-CA"/>
        </w:rPr>
        <w:t xml:space="preserve">for the phase-down of HFCs; develop the </w:t>
      </w:r>
      <w:r w:rsidRPr="00B50FA6">
        <w:rPr>
          <w:lang w:val="en-CA"/>
        </w:rPr>
        <w:t xml:space="preserve">methodology and establish a framework for </w:t>
      </w:r>
      <w:r>
        <w:rPr>
          <w:lang w:val="en-CA"/>
        </w:rPr>
        <w:t xml:space="preserve">HFC </w:t>
      </w:r>
      <w:r w:rsidRPr="00B50FA6">
        <w:rPr>
          <w:lang w:val="en-CA"/>
        </w:rPr>
        <w:t>data collection, analysis and reporting</w:t>
      </w:r>
      <w:r>
        <w:rPr>
          <w:lang w:val="en-CA"/>
        </w:rPr>
        <w:t xml:space="preserve">; and review the policies and </w:t>
      </w:r>
      <w:r w:rsidRPr="007F6277">
        <w:rPr>
          <w:lang w:val="en-CA"/>
        </w:rPr>
        <w:t>regulat</w:t>
      </w:r>
      <w:r>
        <w:rPr>
          <w:lang w:val="en-CA"/>
        </w:rPr>
        <w:t>ions in place and identify additional ones</w:t>
      </w:r>
      <w:r w:rsidRPr="000855CB">
        <w:rPr>
          <w:lang w:val="en-CA"/>
        </w:rPr>
        <w:t xml:space="preserve"> that </w:t>
      </w:r>
      <w:r>
        <w:rPr>
          <w:lang w:val="en-CA"/>
        </w:rPr>
        <w:t xml:space="preserve">will </w:t>
      </w:r>
      <w:r w:rsidRPr="000855CB">
        <w:rPr>
          <w:lang w:val="en-CA"/>
        </w:rPr>
        <w:t xml:space="preserve">provide the </w:t>
      </w:r>
      <w:r>
        <w:rPr>
          <w:lang w:val="en-CA"/>
        </w:rPr>
        <w:t xml:space="preserve">legal </w:t>
      </w:r>
      <w:r w:rsidRPr="000855CB">
        <w:rPr>
          <w:lang w:val="en-CA"/>
        </w:rPr>
        <w:t xml:space="preserve">framework for </w:t>
      </w:r>
      <w:r>
        <w:rPr>
          <w:lang w:val="en-CA"/>
        </w:rPr>
        <w:t>meeting</w:t>
      </w:r>
      <w:r w:rsidRPr="007F6277">
        <w:rPr>
          <w:lang w:val="en-CA"/>
        </w:rPr>
        <w:t xml:space="preserve"> their compliance obligations under the Kigali Amendment</w:t>
      </w:r>
      <w:r>
        <w:rPr>
          <w:lang w:val="en-CA"/>
        </w:rPr>
        <w:t xml:space="preserve">. Article 5 countries will also need to identify the phase-out projects and </w:t>
      </w:r>
      <w:r w:rsidRPr="007F6277">
        <w:rPr>
          <w:lang w:val="en-CA"/>
        </w:rPr>
        <w:t xml:space="preserve">activities </w:t>
      </w:r>
      <w:r>
        <w:rPr>
          <w:lang w:val="en-CA"/>
        </w:rPr>
        <w:t xml:space="preserve">that will </w:t>
      </w:r>
      <w:r w:rsidRPr="007F6277">
        <w:rPr>
          <w:lang w:val="en-CA"/>
        </w:rPr>
        <w:t xml:space="preserve">limit </w:t>
      </w:r>
      <w:r>
        <w:rPr>
          <w:lang w:val="en-CA"/>
        </w:rPr>
        <w:t xml:space="preserve">the </w:t>
      </w:r>
      <w:r w:rsidRPr="007F6277">
        <w:rPr>
          <w:lang w:val="en-CA"/>
        </w:rPr>
        <w:t xml:space="preserve">growth </w:t>
      </w:r>
      <w:r>
        <w:rPr>
          <w:lang w:val="en-CA"/>
        </w:rPr>
        <w:t xml:space="preserve">of HFC consumption </w:t>
      </w:r>
      <w:r w:rsidRPr="007F6277">
        <w:rPr>
          <w:lang w:val="en-CA"/>
        </w:rPr>
        <w:t xml:space="preserve">and reduce </w:t>
      </w:r>
      <w:r>
        <w:rPr>
          <w:lang w:val="en-CA"/>
        </w:rPr>
        <w:t xml:space="preserve">that same </w:t>
      </w:r>
      <w:r w:rsidRPr="007F6277">
        <w:rPr>
          <w:lang w:val="en-CA"/>
        </w:rPr>
        <w:t>consumption</w:t>
      </w:r>
      <w:r>
        <w:rPr>
          <w:lang w:val="en-CA"/>
        </w:rPr>
        <w:t xml:space="preserve">, taking into account the sectoral distribution of HFCs and the availability of cost-effective and sustainable alternative technologies; and review the </w:t>
      </w:r>
      <w:r w:rsidRPr="007F6277">
        <w:rPr>
          <w:lang w:val="en-CA"/>
        </w:rPr>
        <w:t>monitoring and reporting mechanism</w:t>
      </w:r>
      <w:r>
        <w:rPr>
          <w:lang w:val="en-CA"/>
        </w:rPr>
        <w:t>s in place with the aim of strengthening them as required</w:t>
      </w:r>
      <w:r w:rsidRPr="007F6277">
        <w:rPr>
          <w:lang w:val="en-CA"/>
        </w:rPr>
        <w:t>.</w:t>
      </w:r>
    </w:p>
    <w:p w14:paraId="242C3CBC" w14:textId="77777777" w:rsidR="00642C89" w:rsidRDefault="00642C89" w:rsidP="00642C89">
      <w:pPr>
        <w:pStyle w:val="Heading1"/>
      </w:pPr>
      <w:r>
        <w:rPr>
          <w:lang w:val="en-CA"/>
        </w:rPr>
        <w:t>Unlike</w:t>
      </w:r>
      <w:r w:rsidRPr="005E1588">
        <w:rPr>
          <w:lang w:val="en-CA"/>
        </w:rPr>
        <w:t xml:space="preserve"> the CFC and HCFC phase</w:t>
      </w:r>
      <w:r>
        <w:rPr>
          <w:lang w:val="en-CA"/>
        </w:rPr>
        <w:t>-</w:t>
      </w:r>
      <w:r w:rsidRPr="005E1588">
        <w:rPr>
          <w:lang w:val="en-CA"/>
        </w:rPr>
        <w:t xml:space="preserve">out plans, </w:t>
      </w:r>
      <w:r>
        <w:rPr>
          <w:lang w:val="en-CA"/>
        </w:rPr>
        <w:t xml:space="preserve">however, </w:t>
      </w:r>
      <w:r w:rsidRPr="005E1588">
        <w:rPr>
          <w:lang w:val="en-CA"/>
        </w:rPr>
        <w:t xml:space="preserve">during the </w:t>
      </w:r>
      <w:r>
        <w:rPr>
          <w:lang w:val="en-CA"/>
        </w:rPr>
        <w:t xml:space="preserve">period from </w:t>
      </w:r>
      <w:r w:rsidRPr="005E1588">
        <w:rPr>
          <w:lang w:val="en-CA"/>
        </w:rPr>
        <w:t xml:space="preserve">2021 to 2030 the majority of Article 5 countries </w:t>
      </w:r>
      <w:r>
        <w:t xml:space="preserve">will be preparing and implementing multiple stages of HPMPs to reduce the consumption of </w:t>
      </w:r>
      <w:r w:rsidRPr="00812B51">
        <w:t xml:space="preserve">HCFCs until the </w:t>
      </w:r>
      <w:r w:rsidRPr="006F3DC9">
        <w:t xml:space="preserve">complete phase-out is achieved in 2030 (except for the servicing tail) and </w:t>
      </w:r>
      <w:r>
        <w:t xml:space="preserve">simultaneously preparing and implementing </w:t>
      </w:r>
      <w:r w:rsidRPr="006F3DC9">
        <w:t>stage I of HFC phase</w:t>
      </w:r>
      <w:r w:rsidRPr="006F3DC9">
        <w:noBreakHyphen/>
        <w:t xml:space="preserve">down plans to meet </w:t>
      </w:r>
      <w:r w:rsidRPr="005E1588">
        <w:rPr>
          <w:lang w:val="en-CA"/>
        </w:rPr>
        <w:t>the first compliance obligations under the Kigali Amendment</w:t>
      </w:r>
      <w:r w:rsidRPr="006F3DC9">
        <w:t>.</w:t>
      </w:r>
      <w:r>
        <w:rPr>
          <w:rStyle w:val="FootnoteReference"/>
        </w:rPr>
        <w:footnoteReference w:id="16"/>
      </w:r>
      <w:r w:rsidRPr="006F3DC9">
        <w:t xml:space="preserve"> </w:t>
      </w:r>
      <w:r>
        <w:t xml:space="preserve">It will </w:t>
      </w:r>
      <w:r>
        <w:lastRenderedPageBreak/>
        <w:t>t</w:t>
      </w:r>
      <w:r w:rsidRPr="006F3DC9">
        <w:t>herefore</w:t>
      </w:r>
      <w:r>
        <w:t xml:space="preserve"> be necessary for </w:t>
      </w:r>
      <w:r w:rsidRPr="006F3DC9">
        <w:t>Article 5 countries to undertake coordinated preparation and implementation of an overarching strategy that encompasses a holistic approach for the HCFC phase-out and HFC phase-down</w:t>
      </w:r>
      <w:r>
        <w:t>,</w:t>
      </w:r>
      <w:r w:rsidRPr="006F3DC9">
        <w:t xml:space="preserve"> ensuring to the extent possible that the HCFC phase-out activities </w:t>
      </w:r>
      <w:r>
        <w:t>do</w:t>
      </w:r>
      <w:r w:rsidRPr="006F3DC9">
        <w:t xml:space="preserve"> not result in an increased consumption of HFCs,</w:t>
      </w:r>
      <w:r>
        <w:rPr>
          <w:rStyle w:val="FootnoteReference"/>
        </w:rPr>
        <w:footnoteReference w:id="17"/>
      </w:r>
      <w:r w:rsidRPr="006F3DC9">
        <w:t xml:space="preserve"> and avoiding </w:t>
      </w:r>
      <w:r>
        <w:t>overlap</w:t>
      </w:r>
      <w:r w:rsidRPr="006F3DC9">
        <w:t xml:space="preserve"> </w:t>
      </w:r>
      <w:r>
        <w:t>between phase-out and phase-down activities, particularly in the servicing sector, where 90 to 100 Article 5 countries (mainly low-volume consuming (LVC) countries) have their consumption of HCFC and HFC. In addition, Article 5 countries would need to consider the administrative, reporting, verification and monitoring requirements associated with the submission and implementation of multiple stages and tranches of HPMPs and HFC phase-down plans running in parallel.</w:t>
      </w:r>
      <w:r>
        <w:rPr>
          <w:rStyle w:val="FootnoteReference"/>
        </w:rPr>
        <w:footnoteReference w:id="18"/>
      </w:r>
    </w:p>
    <w:p w14:paraId="5022B1C4" w14:textId="77777777" w:rsidR="00642C89" w:rsidRPr="00555E60" w:rsidRDefault="00642C89" w:rsidP="00642C89">
      <w:pPr>
        <w:rPr>
          <w:b/>
        </w:rPr>
      </w:pPr>
      <w:r w:rsidRPr="00555E60">
        <w:rPr>
          <w:b/>
        </w:rPr>
        <w:t>Overarching strategy for HFC phase-down</w:t>
      </w:r>
    </w:p>
    <w:p w14:paraId="5E0A9241" w14:textId="77777777" w:rsidR="00642C89" w:rsidRPr="00555E60" w:rsidRDefault="00642C89" w:rsidP="00642C89"/>
    <w:p w14:paraId="5699B096" w14:textId="54347C0D" w:rsidR="00642C89" w:rsidRPr="00841594" w:rsidRDefault="00642C89" w:rsidP="00642C89">
      <w:pPr>
        <w:pStyle w:val="Heading1"/>
        <w:widowControl w:val="0"/>
      </w:pPr>
      <w:r w:rsidRPr="00841594">
        <w:t>The overlapping schedules of HCFC phase-out and HFC phase-down present an opportunity for Article 5 countries to develop an integrated</w:t>
      </w:r>
      <w:r>
        <w:t>,</w:t>
      </w:r>
      <w:r w:rsidRPr="00841594">
        <w:t xml:space="preserve"> cost-effective</w:t>
      </w:r>
      <w:r>
        <w:t>,</w:t>
      </w:r>
      <w:r w:rsidRPr="00841594">
        <w:t xml:space="preserve"> and sustained strategy that addresses the reduction of both groups of substances, in particular in the refrigeration servicing sector.</w:t>
      </w:r>
      <w:r w:rsidR="00097481">
        <w:t xml:space="preserve"> </w:t>
      </w:r>
      <w:r w:rsidRPr="00841594">
        <w:t xml:space="preserve">This integrated strategy would make use of the already established </w:t>
      </w:r>
      <w:r>
        <w:t>institutional framework</w:t>
      </w:r>
      <w:r w:rsidRPr="00841594">
        <w:t xml:space="preserve"> to phase out HCFCs and ensure that activities being implemented under the HPMPs </w:t>
      </w:r>
      <w:r>
        <w:t>are at the same time</w:t>
      </w:r>
      <w:r w:rsidRPr="00841594">
        <w:t xml:space="preserve"> directed at reducing the </w:t>
      </w:r>
      <w:r>
        <w:t xml:space="preserve">potential increase in the use of </w:t>
      </w:r>
      <w:r w:rsidRPr="00841594">
        <w:t xml:space="preserve">high-GWP HFCs. </w:t>
      </w:r>
    </w:p>
    <w:p w14:paraId="611856B0" w14:textId="77777777" w:rsidR="00642C89" w:rsidRPr="00841594" w:rsidRDefault="00642C89" w:rsidP="00642C89">
      <w:pPr>
        <w:pStyle w:val="Heading1"/>
        <w:widowControl w:val="0"/>
      </w:pPr>
      <w:r>
        <w:t>The</w:t>
      </w:r>
      <w:r w:rsidRPr="00841594">
        <w:t xml:space="preserve"> preparation of HFC phase-down plans should </w:t>
      </w:r>
      <w:r>
        <w:t>build</w:t>
      </w:r>
      <w:r w:rsidRPr="00841594">
        <w:t xml:space="preserve"> upon the experience</w:t>
      </w:r>
      <w:r>
        <w:t>s</w:t>
      </w:r>
      <w:r w:rsidRPr="00841594">
        <w:t xml:space="preserve"> gained during the preparation of HPMPs, </w:t>
      </w:r>
      <w:r>
        <w:t>in the areas of developing</w:t>
      </w:r>
      <w:r w:rsidRPr="00841594">
        <w:t xml:space="preserve"> regulatory measures, surveys of HCFC consumption, the overarching strategy, and the plan of action for the first stage of the plan. It should also give due consideration to the interlinkages between HCFC phase-out and HFC phase-down by using to the extent possible </w:t>
      </w:r>
      <w:r w:rsidRPr="00841594">
        <w:lastRenderedPageBreak/>
        <w:t>the existing HPMP infrastructure for HFC phase-down; factoring in the impact of HCFC phase</w:t>
      </w:r>
      <w:r w:rsidRPr="00841594">
        <w:noBreakHyphen/>
        <w:t>out activities on HFC consumption; and implementing activities that contribute to both HCFC phase</w:t>
      </w:r>
      <w:r w:rsidRPr="00841594">
        <w:noBreakHyphen/>
        <w:t xml:space="preserve">out and HFC phase-down. </w:t>
      </w:r>
    </w:p>
    <w:p w14:paraId="7DC282DD" w14:textId="77777777" w:rsidR="00642C89" w:rsidRPr="00841594" w:rsidRDefault="00642C89" w:rsidP="00642C89">
      <w:pPr>
        <w:pStyle w:val="Heading1"/>
      </w:pPr>
      <w:r w:rsidRPr="00841594">
        <w:t xml:space="preserve">Furthermore, </w:t>
      </w:r>
      <w:r w:rsidRPr="00841594">
        <w:rPr>
          <w:lang w:val="en-CA"/>
        </w:rPr>
        <w:t>similar to the approach to phasing out HCFCs,</w:t>
      </w:r>
      <w:r w:rsidRPr="00841594">
        <w:rPr>
          <w:rStyle w:val="FootnoteReference"/>
          <w:lang w:val="en-CA"/>
        </w:rPr>
        <w:footnoteReference w:id="19"/>
      </w:r>
      <w:r w:rsidRPr="00841594">
        <w:rPr>
          <w:lang w:val="en-CA"/>
        </w:rPr>
        <w:t xml:space="preserve"> a staged approach </w:t>
      </w:r>
      <w:r>
        <w:rPr>
          <w:lang w:val="en-CA"/>
        </w:rPr>
        <w:t xml:space="preserve">provides the best opportunity </w:t>
      </w:r>
      <w:r w:rsidRPr="00841594">
        <w:rPr>
          <w:lang w:val="en-CA"/>
        </w:rPr>
        <w:t>for implementing HFC phase-down plans given the long timeline (2045 for Article 5 group 1 countries and 2047 for Article 5 group 2 countries)</w:t>
      </w:r>
      <w:r>
        <w:rPr>
          <w:lang w:val="en-CA"/>
        </w:rPr>
        <w:t xml:space="preserve"> for meeting compliance targets</w:t>
      </w:r>
      <w:r w:rsidRPr="00841594">
        <w:rPr>
          <w:lang w:val="en-CA"/>
        </w:rPr>
        <w:t xml:space="preserve">, and the evolving availability of alternatives to HFCs in </w:t>
      </w:r>
      <w:r>
        <w:rPr>
          <w:lang w:val="en-CA"/>
        </w:rPr>
        <w:t xml:space="preserve">some applications in the </w:t>
      </w:r>
      <w:r w:rsidRPr="00841594">
        <w:rPr>
          <w:lang w:val="en-CA"/>
        </w:rPr>
        <w:t xml:space="preserve">local market. </w:t>
      </w:r>
      <w:r>
        <w:rPr>
          <w:lang w:val="en-CA"/>
        </w:rPr>
        <w:t>This</w:t>
      </w:r>
      <w:r w:rsidRPr="00841594">
        <w:rPr>
          <w:lang w:val="en-CA"/>
        </w:rPr>
        <w:t xml:space="preserve"> will allow Article 5 countries to establish their priorities according to their specific national circumstances. </w:t>
      </w:r>
    </w:p>
    <w:p w14:paraId="2A234BD4" w14:textId="77777777" w:rsidR="00642C89" w:rsidRDefault="00642C89" w:rsidP="00642C89">
      <w:pPr>
        <w:pStyle w:val="Heading1"/>
      </w:pPr>
      <w:r>
        <w:t xml:space="preserve">The overarching strategy for HFC phase-down should be based on a robust and sound reporting and regulatory framework, as described below. </w:t>
      </w:r>
    </w:p>
    <w:p w14:paraId="2720BB17" w14:textId="77777777" w:rsidR="00642C89" w:rsidRPr="00555E60" w:rsidRDefault="00642C89" w:rsidP="00642C89">
      <w:pPr>
        <w:pStyle w:val="Heading1"/>
        <w:keepNext/>
        <w:numPr>
          <w:ilvl w:val="0"/>
          <w:numId w:val="0"/>
        </w:numPr>
        <w:rPr>
          <w:u w:val="single"/>
          <w:lang w:val="en-CA"/>
        </w:rPr>
      </w:pPr>
      <w:r w:rsidRPr="00555E60">
        <w:rPr>
          <w:u w:val="single"/>
          <w:lang w:val="en-CA"/>
        </w:rPr>
        <w:t xml:space="preserve">Establishment of an HFC </w:t>
      </w:r>
      <w:r>
        <w:rPr>
          <w:u w:val="single"/>
          <w:lang w:val="en-CA"/>
        </w:rPr>
        <w:t xml:space="preserve">data collection and </w:t>
      </w:r>
      <w:r w:rsidRPr="00555E60">
        <w:rPr>
          <w:u w:val="single"/>
          <w:lang w:val="en-CA"/>
        </w:rPr>
        <w:t>reporting framework</w:t>
      </w:r>
    </w:p>
    <w:p w14:paraId="2DB6283D" w14:textId="77777777" w:rsidR="00642C89" w:rsidRPr="00BD0EEF" w:rsidRDefault="00642C89" w:rsidP="00753883">
      <w:pPr>
        <w:pStyle w:val="Heading1"/>
      </w:pPr>
      <w:r w:rsidRPr="00C2591D">
        <w:rPr>
          <w:lang w:val="en-CA"/>
        </w:rPr>
        <w:t xml:space="preserve">Previous ODS alternatives surveys </w:t>
      </w:r>
      <w:r>
        <w:rPr>
          <w:lang w:val="en-CA"/>
        </w:rPr>
        <w:t xml:space="preserve">submitted </w:t>
      </w:r>
      <w:r w:rsidRPr="00BD0EEF">
        <w:t xml:space="preserve">by </w:t>
      </w:r>
      <w:r>
        <w:t>119 Article 5</w:t>
      </w:r>
      <w:r w:rsidRPr="00BD0EEF">
        <w:t xml:space="preserve"> countries provided the first set of HFC consumption data collected by NOUs. However, to prepare their HFC phase-down plans </w:t>
      </w:r>
      <w:r>
        <w:t>Article 5</w:t>
      </w:r>
      <w:r w:rsidRPr="00BD0EEF">
        <w:t xml:space="preserve"> countries will require more detailed, updated</w:t>
      </w:r>
      <w:r>
        <w:t>,</w:t>
      </w:r>
      <w:r w:rsidRPr="00BD0EEF">
        <w:t xml:space="preserve"> and comprehensive information on HFC consumption </w:t>
      </w:r>
      <w:r>
        <w:t>and its sectoral distribution,</w:t>
      </w:r>
      <w:r w:rsidRPr="00BD0EEF">
        <w:t xml:space="preserve"> identification of the largest HFC-based equipment users, </w:t>
      </w:r>
      <w:r>
        <w:t xml:space="preserve">and </w:t>
      </w:r>
      <w:r w:rsidRPr="00BD0EEF">
        <w:t xml:space="preserve">analysis of the market trends. The surveys will also allow for a better estimation of the magnitude of the HFC phase-down to be addressed, noting that </w:t>
      </w:r>
      <w:r>
        <w:t xml:space="preserve">information on </w:t>
      </w:r>
      <w:r w:rsidRPr="00BD0EEF">
        <w:t xml:space="preserve">HFC consumption </w:t>
      </w:r>
      <w:r>
        <w:t>has been</w:t>
      </w:r>
      <w:r w:rsidRPr="00BD0EEF">
        <w:t xml:space="preserve"> limited</w:t>
      </w:r>
      <w:r>
        <w:t xml:space="preserve"> so far</w:t>
      </w:r>
      <w:r w:rsidRPr="00BD0EEF">
        <w:t>.</w:t>
      </w:r>
    </w:p>
    <w:p w14:paraId="40327F8E" w14:textId="77777777" w:rsidR="00642C89" w:rsidRPr="007C2D41" w:rsidRDefault="00642C89" w:rsidP="00642C89">
      <w:pPr>
        <w:pStyle w:val="Heading1"/>
        <w:widowControl w:val="0"/>
        <w:rPr>
          <w:lang w:val="en-CA"/>
        </w:rPr>
      </w:pPr>
      <w:r>
        <w:rPr>
          <w:lang w:val="en-CA"/>
        </w:rPr>
        <w:t>Therefore, as a first step</w:t>
      </w:r>
      <w:r w:rsidRPr="00301DCA">
        <w:rPr>
          <w:lang w:val="en-CA"/>
        </w:rPr>
        <w:t xml:space="preserve">, Article 5 countries would need to </w:t>
      </w:r>
      <w:r>
        <w:rPr>
          <w:lang w:val="en-CA"/>
        </w:rPr>
        <w:t>build on their existing data gathering methods and develop an approach for a solid</w:t>
      </w:r>
      <w:r w:rsidRPr="00301DCA">
        <w:rPr>
          <w:lang w:val="en-CA"/>
        </w:rPr>
        <w:t xml:space="preserve"> framework </w:t>
      </w:r>
      <w:r>
        <w:rPr>
          <w:lang w:val="en-CA"/>
        </w:rPr>
        <w:t>to collect, analyse, and report data</w:t>
      </w:r>
      <w:r w:rsidRPr="00301DCA">
        <w:rPr>
          <w:lang w:val="en-CA"/>
        </w:rPr>
        <w:t xml:space="preserve"> </w:t>
      </w:r>
      <w:r>
        <w:rPr>
          <w:lang w:val="en-CA"/>
        </w:rPr>
        <w:t xml:space="preserve">on </w:t>
      </w:r>
      <w:r w:rsidRPr="00301DCA">
        <w:rPr>
          <w:lang w:val="en-CA"/>
        </w:rPr>
        <w:t>HFC consumption</w:t>
      </w:r>
      <w:r>
        <w:rPr>
          <w:lang w:val="en-CA"/>
        </w:rPr>
        <w:t xml:space="preserve"> (and production, when applicable)</w:t>
      </w:r>
      <w:r w:rsidRPr="00301DCA">
        <w:rPr>
          <w:lang w:val="en-CA"/>
        </w:rPr>
        <w:t xml:space="preserve">, </w:t>
      </w:r>
      <w:r>
        <w:rPr>
          <w:lang w:val="en-CA"/>
        </w:rPr>
        <w:t xml:space="preserve">identifying </w:t>
      </w:r>
      <w:r w:rsidRPr="00301DCA">
        <w:rPr>
          <w:lang w:val="en-CA"/>
        </w:rPr>
        <w:t>the sectors and subsectors where HFCs are used</w:t>
      </w:r>
      <w:r>
        <w:rPr>
          <w:lang w:val="en-CA"/>
        </w:rPr>
        <w:t>. This will contribute to an improved approach for</w:t>
      </w:r>
      <w:r w:rsidRPr="00301DCA">
        <w:rPr>
          <w:lang w:val="en-CA"/>
        </w:rPr>
        <w:t xml:space="preserve"> </w:t>
      </w:r>
      <w:r>
        <w:rPr>
          <w:lang w:val="en-CA"/>
        </w:rPr>
        <w:t xml:space="preserve">estimating </w:t>
      </w:r>
      <w:r w:rsidRPr="00D74E82">
        <w:rPr>
          <w:lang w:val="en-CA"/>
        </w:rPr>
        <w:t xml:space="preserve">the country's HFC baseline for </w:t>
      </w:r>
      <w:r w:rsidRPr="00D74E82">
        <w:rPr>
          <w:lang w:val="en-CA"/>
        </w:rPr>
        <w:lastRenderedPageBreak/>
        <w:t xml:space="preserve">compliance </w:t>
      </w:r>
      <w:r>
        <w:rPr>
          <w:lang w:val="en-CA"/>
        </w:rPr>
        <w:t xml:space="preserve">in advance of </w:t>
      </w:r>
      <w:r w:rsidRPr="00D74E82">
        <w:rPr>
          <w:lang w:val="en-CA"/>
        </w:rPr>
        <w:t xml:space="preserve">reporting </w:t>
      </w:r>
      <w:r>
        <w:rPr>
          <w:lang w:val="en-CA"/>
        </w:rPr>
        <w:t xml:space="preserve">consumption for </w:t>
      </w:r>
      <w:r w:rsidRPr="00D74E82">
        <w:rPr>
          <w:lang w:val="en-CA"/>
        </w:rPr>
        <w:t>the base years</w:t>
      </w:r>
      <w:r>
        <w:rPr>
          <w:lang w:val="en-CA"/>
        </w:rPr>
        <w:t>,</w:t>
      </w:r>
      <w:r>
        <w:rPr>
          <w:rStyle w:val="FootnoteReference"/>
          <w:lang w:val="en-CA"/>
        </w:rPr>
        <w:footnoteReference w:id="20"/>
      </w:r>
      <w:r>
        <w:rPr>
          <w:lang w:val="en-CA"/>
        </w:rPr>
        <w:t xml:space="preserve"> and in </w:t>
      </w:r>
      <w:r w:rsidRPr="007C2D41">
        <w:rPr>
          <w:lang w:val="en-CA"/>
        </w:rPr>
        <w:t xml:space="preserve">identifying trends in </w:t>
      </w:r>
      <w:r w:rsidRPr="002B0EDC">
        <w:rPr>
          <w:lang w:val="en-CA"/>
        </w:rPr>
        <w:t xml:space="preserve">the market </w:t>
      </w:r>
      <w:r>
        <w:rPr>
          <w:lang w:val="en-CA"/>
        </w:rPr>
        <w:t xml:space="preserve">for </w:t>
      </w:r>
      <w:r w:rsidRPr="002B0EDC">
        <w:rPr>
          <w:lang w:val="en-CA"/>
        </w:rPr>
        <w:t>HFCs.</w:t>
      </w:r>
      <w:r>
        <w:rPr>
          <w:rStyle w:val="FootnoteReference"/>
          <w:lang w:val="en-CA"/>
        </w:rPr>
        <w:footnoteReference w:id="21"/>
      </w:r>
      <w:r w:rsidRPr="007C2D41">
        <w:rPr>
          <w:lang w:val="en-CA"/>
        </w:rPr>
        <w:t xml:space="preserve"> </w:t>
      </w:r>
    </w:p>
    <w:p w14:paraId="6C544ACB" w14:textId="77777777" w:rsidR="00642C89" w:rsidRDefault="00642C89" w:rsidP="00642C89">
      <w:pPr>
        <w:pStyle w:val="Heading1"/>
        <w:rPr>
          <w:lang w:val="en-CA"/>
        </w:rPr>
      </w:pPr>
      <w:r w:rsidRPr="00F4322A">
        <w:rPr>
          <w:lang w:val="en-CA"/>
        </w:rPr>
        <w:t>In accomplishing this task, many Article 5 countries are building upon</w:t>
      </w:r>
      <w:r w:rsidRPr="00301DCA">
        <w:rPr>
          <w:lang w:val="en-CA"/>
        </w:rPr>
        <w:t xml:space="preserve"> the actions </w:t>
      </w:r>
      <w:r>
        <w:rPr>
          <w:lang w:val="en-CA"/>
        </w:rPr>
        <w:t xml:space="preserve">they </w:t>
      </w:r>
      <w:r w:rsidRPr="00301DCA">
        <w:rPr>
          <w:lang w:val="en-CA"/>
        </w:rPr>
        <w:t xml:space="preserve">initiated during the preparation and implementation of the surveys on ODS alternatives and the enabling activities for the phase-down of HFCs. </w:t>
      </w:r>
      <w:r>
        <w:rPr>
          <w:lang w:val="en-CA"/>
        </w:rPr>
        <w:t xml:space="preserve">As a result, 61 Article 5 </w:t>
      </w:r>
      <w:r w:rsidRPr="00777CD5">
        <w:rPr>
          <w:lang w:val="en-CA"/>
        </w:rPr>
        <w:t xml:space="preserve">countries </w:t>
      </w:r>
      <w:r>
        <w:rPr>
          <w:lang w:val="en-CA"/>
        </w:rPr>
        <w:t xml:space="preserve">that </w:t>
      </w:r>
      <w:r w:rsidRPr="00777CD5">
        <w:rPr>
          <w:lang w:val="en-CA"/>
        </w:rPr>
        <w:t>have ratified the Kigali Amendment</w:t>
      </w:r>
      <w:r>
        <w:rPr>
          <w:lang w:val="en-CA"/>
        </w:rPr>
        <w:t xml:space="preserve"> (out of 75 countries), and </w:t>
      </w:r>
      <w:r w:rsidRPr="00777CD5">
        <w:rPr>
          <w:lang w:val="en-CA"/>
        </w:rPr>
        <w:t xml:space="preserve">23 </w:t>
      </w:r>
      <w:r>
        <w:rPr>
          <w:lang w:val="en-CA"/>
        </w:rPr>
        <w:t xml:space="preserve">Article 5 </w:t>
      </w:r>
      <w:r w:rsidRPr="00777CD5">
        <w:rPr>
          <w:lang w:val="en-CA"/>
        </w:rPr>
        <w:t xml:space="preserve">countries that have not </w:t>
      </w:r>
      <w:r>
        <w:rPr>
          <w:lang w:val="en-CA"/>
        </w:rPr>
        <w:t xml:space="preserve">yet </w:t>
      </w:r>
      <w:r w:rsidRPr="00777CD5">
        <w:rPr>
          <w:lang w:val="en-CA"/>
        </w:rPr>
        <w:t xml:space="preserve">ratified </w:t>
      </w:r>
      <w:r>
        <w:rPr>
          <w:lang w:val="en-CA"/>
        </w:rPr>
        <w:t>it,</w:t>
      </w:r>
      <w:r>
        <w:rPr>
          <w:rStyle w:val="FootnoteReference"/>
          <w:lang w:val="en-CA"/>
        </w:rPr>
        <w:footnoteReference w:id="22"/>
      </w:r>
      <w:r>
        <w:rPr>
          <w:lang w:val="en-CA"/>
        </w:rPr>
        <w:t xml:space="preserve"> reported sector consumption of </w:t>
      </w:r>
      <w:r w:rsidRPr="00777CD5">
        <w:rPr>
          <w:lang w:val="en-CA"/>
        </w:rPr>
        <w:t>HFC</w:t>
      </w:r>
      <w:r>
        <w:rPr>
          <w:lang w:val="en-CA"/>
        </w:rPr>
        <w:t>s</w:t>
      </w:r>
      <w:r w:rsidRPr="00777CD5">
        <w:rPr>
          <w:lang w:val="en-CA"/>
        </w:rPr>
        <w:t xml:space="preserve"> </w:t>
      </w:r>
      <w:r>
        <w:rPr>
          <w:lang w:val="en-CA"/>
        </w:rPr>
        <w:t xml:space="preserve">under </w:t>
      </w:r>
      <w:r w:rsidRPr="00777CD5">
        <w:rPr>
          <w:lang w:val="en-CA"/>
        </w:rPr>
        <w:t xml:space="preserve">their 2019 </w:t>
      </w:r>
      <w:r>
        <w:rPr>
          <w:lang w:val="en-CA"/>
        </w:rPr>
        <w:t xml:space="preserve">country programme </w:t>
      </w:r>
      <w:r w:rsidRPr="00777CD5">
        <w:rPr>
          <w:lang w:val="en-CA"/>
        </w:rPr>
        <w:t>report</w:t>
      </w:r>
      <w:r w:rsidRPr="00EA48EC">
        <w:rPr>
          <w:lang w:val="en-CA"/>
        </w:rPr>
        <w:t>s</w:t>
      </w:r>
      <w:r>
        <w:rPr>
          <w:lang w:val="en-CA"/>
        </w:rPr>
        <w:t>.</w:t>
      </w:r>
      <w:r>
        <w:rPr>
          <w:rStyle w:val="FootnoteReference"/>
          <w:lang w:val="en-CA"/>
        </w:rPr>
        <w:footnoteReference w:id="23"/>
      </w:r>
      <w:r w:rsidRPr="00777CD5">
        <w:rPr>
          <w:lang w:val="en-CA"/>
        </w:rPr>
        <w:t xml:space="preserve"> </w:t>
      </w:r>
    </w:p>
    <w:p w14:paraId="78C63046" w14:textId="77777777" w:rsidR="00642C89" w:rsidRPr="00841594" w:rsidRDefault="00642C89" w:rsidP="00642C89">
      <w:pPr>
        <w:pStyle w:val="Heading1"/>
        <w:rPr>
          <w:lang w:val="en-CA"/>
        </w:rPr>
      </w:pPr>
      <w:r w:rsidRPr="00D34A74">
        <w:rPr>
          <w:lang w:val="en-CA"/>
        </w:rPr>
        <w:t>Similar to what has been described in the guidelines for the preparation of HPMPs, it is fundamental t</w:t>
      </w:r>
      <w:r>
        <w:rPr>
          <w:lang w:val="en-CA"/>
        </w:rPr>
        <w:t xml:space="preserve">hat </w:t>
      </w:r>
      <w:r w:rsidRPr="00D34A74">
        <w:rPr>
          <w:lang w:val="en-CA"/>
        </w:rPr>
        <w:t xml:space="preserve">comprehensive information </w:t>
      </w:r>
      <w:r>
        <w:rPr>
          <w:lang w:val="en-CA"/>
        </w:rPr>
        <w:t xml:space="preserve">is compiled and evaluated </w:t>
      </w:r>
      <w:r w:rsidRPr="00D34A74">
        <w:rPr>
          <w:lang w:val="en-CA"/>
        </w:rPr>
        <w:t>during the preparation of the HFC phase-down plans to ensure that the resulting overarching strategy clearly describes the actions required to meet the first control measures for HFC phase-down.</w:t>
      </w:r>
      <w:r>
        <w:rPr>
          <w:lang w:val="en-CA"/>
        </w:rPr>
        <w:t xml:space="preserve"> Thus, </w:t>
      </w:r>
      <w:r w:rsidRPr="00841594">
        <w:rPr>
          <w:rFonts w:eastAsia="SimSun"/>
          <w:lang w:eastAsia="zh-CN"/>
        </w:rPr>
        <w:t>HFC consumption data collected through field surveys</w:t>
      </w:r>
      <w:r>
        <w:rPr>
          <w:rFonts w:eastAsia="SimSun"/>
          <w:lang w:eastAsia="zh-CN"/>
        </w:rPr>
        <w:t xml:space="preserve"> or other means</w:t>
      </w:r>
      <w:r w:rsidRPr="00841594">
        <w:rPr>
          <w:rFonts w:eastAsia="SimSun"/>
          <w:lang w:eastAsia="zh-CN"/>
        </w:rPr>
        <w:t xml:space="preserve"> should be verified against the reports submitted by Article 5 countries to the Fund Secretariat (progress reports on the implementation of the country </w:t>
      </w:r>
      <w:r w:rsidRPr="00841594">
        <w:rPr>
          <w:rFonts w:eastAsia="SimSun"/>
          <w:lang w:eastAsia="zh-CN"/>
        </w:rPr>
        <w:lastRenderedPageBreak/>
        <w:t>programme) and the Ozone Secretariat (under Article 7 of the Montreal Protocol)</w:t>
      </w:r>
      <w:r>
        <w:rPr>
          <w:rFonts w:eastAsia="SimSun"/>
          <w:lang w:eastAsia="zh-CN"/>
        </w:rPr>
        <w:t xml:space="preserve"> to ensure consistency</w:t>
      </w:r>
      <w:r w:rsidRPr="00841594">
        <w:rPr>
          <w:rFonts w:eastAsia="SimSun"/>
          <w:lang w:eastAsia="zh-CN"/>
        </w:rPr>
        <w:t xml:space="preserve">. </w:t>
      </w:r>
    </w:p>
    <w:p w14:paraId="6636E83C" w14:textId="77777777" w:rsidR="00642C89" w:rsidRPr="001808E3" w:rsidRDefault="00642C89" w:rsidP="00642C89">
      <w:pPr>
        <w:rPr>
          <w:u w:val="single"/>
        </w:rPr>
      </w:pPr>
      <w:r w:rsidRPr="00D34A74">
        <w:rPr>
          <w:u w:val="single"/>
        </w:rPr>
        <w:t>Extending the HCFC import/export licensing system</w:t>
      </w:r>
    </w:p>
    <w:p w14:paraId="63783AE8" w14:textId="77777777" w:rsidR="00642C89" w:rsidRPr="001808E3" w:rsidRDefault="00642C89" w:rsidP="00642C89"/>
    <w:p w14:paraId="1678D2D1" w14:textId="77777777" w:rsidR="00642C89" w:rsidRDefault="00642C89" w:rsidP="00642C89">
      <w:pPr>
        <w:pStyle w:val="Heading1"/>
      </w:pPr>
      <w:r w:rsidRPr="00B50FA6">
        <w:rPr>
          <w:lang w:val="en-CA"/>
        </w:rPr>
        <w:t>Concurrent</w:t>
      </w:r>
      <w:r>
        <w:rPr>
          <w:lang w:val="en-CA"/>
        </w:rPr>
        <w:t xml:space="preserve"> with the establishment of an HFC reporting framework</w:t>
      </w:r>
      <w:r w:rsidRPr="00B50FA6">
        <w:rPr>
          <w:lang w:val="en-CA"/>
        </w:rPr>
        <w:t xml:space="preserve">, Article 5 countries </w:t>
      </w:r>
      <w:r>
        <w:rPr>
          <w:lang w:val="en-CA"/>
        </w:rPr>
        <w:t>must</w:t>
      </w:r>
      <w:r w:rsidRPr="00B50FA6">
        <w:rPr>
          <w:lang w:val="en-CA"/>
        </w:rPr>
        <w:t xml:space="preserve"> include HFCs under the</w:t>
      </w:r>
      <w:r>
        <w:rPr>
          <w:lang w:val="en-CA"/>
        </w:rPr>
        <w:t xml:space="preserve">ir current operational </w:t>
      </w:r>
      <w:r w:rsidRPr="00224CF6">
        <w:t>import/export licensing systems</w:t>
      </w:r>
      <w:r>
        <w:t xml:space="preserve">, which will support </w:t>
      </w:r>
      <w:r w:rsidRPr="00224CF6">
        <w:t>data collection and reporting</w:t>
      </w:r>
      <w:r>
        <w:t>,</w:t>
      </w:r>
      <w:r w:rsidRPr="00224CF6">
        <w:t xml:space="preserve"> </w:t>
      </w:r>
      <w:r>
        <w:t xml:space="preserve">enable the monitoring of HFC imports and exports, and facilitate the issuance of import controls and other measures, especially for HFC applications where non-HFC alternatives are more prominent. Establishing the HFC licensing systems is consistent with the approach followed during the preparation </w:t>
      </w:r>
      <w:r w:rsidRPr="00A90CFC">
        <w:t>HPMPs</w:t>
      </w:r>
      <w:r>
        <w:t xml:space="preserve">, where assistance </w:t>
      </w:r>
      <w:r w:rsidRPr="00A90CFC">
        <w:t xml:space="preserve">to finalize the process of forming </w:t>
      </w:r>
      <w:r>
        <w:t xml:space="preserve">the HCFC </w:t>
      </w:r>
      <w:r w:rsidRPr="00A90CFC">
        <w:t>licensing system</w:t>
      </w:r>
      <w:r>
        <w:t>s was included in the project preparation funding provided.</w:t>
      </w:r>
      <w:r>
        <w:rPr>
          <w:rStyle w:val="FootnoteReference"/>
        </w:rPr>
        <w:footnoteReference w:id="24"/>
      </w:r>
      <w:r>
        <w:t xml:space="preserve"> </w:t>
      </w:r>
    </w:p>
    <w:p w14:paraId="343C4B0F" w14:textId="77777777" w:rsidR="00642C89" w:rsidRPr="00BC1EFC" w:rsidRDefault="00642C89" w:rsidP="00642C89">
      <w:pPr>
        <w:pStyle w:val="Heading1"/>
      </w:pPr>
      <w:r>
        <w:t>This action is particularly important given that by 1 January 2019 (and no later than 1 January 2021), Article 5 countries that have ratified the Kigali Amendment must</w:t>
      </w:r>
      <w:r w:rsidRPr="008D1F50">
        <w:t xml:space="preserve"> implement a system for licensing the import and export of new, used, recycled and reclaimed controlled substances in Annex F</w:t>
      </w:r>
      <w:r>
        <w:t>, as established under</w:t>
      </w:r>
      <w:r w:rsidRPr="008D1F50">
        <w:t xml:space="preserve"> Article 4</w:t>
      </w:r>
      <w:r>
        <w:t>B</w:t>
      </w:r>
      <w:r w:rsidRPr="008D1F50">
        <w:t xml:space="preserve"> of the Montreal Protocol</w:t>
      </w:r>
      <w:r>
        <w:t xml:space="preserve">. The implementation of enabling activities for HFC phase-down approved for several Article 5 countries included the review of existing licensing systems and existing ODS regulatory measures paving the way for the countries’ timely implementation of these adjustments. The Executive Committee may wish to note that </w:t>
      </w:r>
      <w:r w:rsidRPr="00BC1EFC">
        <w:t>33 Article 5 countries that have ratified the Kigali Amendment and three that have not yet ratified it ha</w:t>
      </w:r>
      <w:r>
        <w:t>ve</w:t>
      </w:r>
      <w:r w:rsidRPr="00BC1EFC">
        <w:t xml:space="preserve"> </w:t>
      </w:r>
      <w:r>
        <w:t xml:space="preserve">already </w:t>
      </w:r>
      <w:r w:rsidRPr="00BC1EFC">
        <w:t xml:space="preserve">reported the establishment of an operational licensing system for HFCs to the Ozone Secretariat. </w:t>
      </w:r>
    </w:p>
    <w:p w14:paraId="08183B98" w14:textId="77777777" w:rsidR="00642C89" w:rsidRDefault="00642C89" w:rsidP="00642C89">
      <w:pPr>
        <w:pStyle w:val="Heading1"/>
      </w:pPr>
      <w:r>
        <w:t>While Article 4B of the Montreal Protocol does not require the establishment of a quota system, the quota systems for HCFCs have proven to be very effective in controlling imports of such substances and facilitating the fulfilment of compliance obligations under the Montreal Protocol. According to the experience gained so far, Article 5 countries may also consider extending the HCFC quota systems to HFCs as early as possible.</w:t>
      </w:r>
    </w:p>
    <w:p w14:paraId="24B2F217" w14:textId="77777777" w:rsidR="00642C89" w:rsidRDefault="00642C89" w:rsidP="00642C89">
      <w:pPr>
        <w:pStyle w:val="Heading1"/>
      </w:pPr>
      <w:r w:rsidRPr="00172BD1">
        <w:lastRenderedPageBreak/>
        <w:t xml:space="preserve">In addition, Article 5 countries could consider </w:t>
      </w:r>
      <w:r w:rsidRPr="00885F8F">
        <w:rPr>
          <w:lang w:val="en-CA"/>
        </w:rPr>
        <w:t xml:space="preserve">establishing other regulatory measures to prevent the uncontrolled growth of HFC consumption, including mandatory reporting by HFC importers and exporters, </w:t>
      </w:r>
      <w:r>
        <w:t xml:space="preserve">registration of the </w:t>
      </w:r>
      <w:r w:rsidRPr="00172BD1">
        <w:t xml:space="preserve">import of </w:t>
      </w:r>
      <w:r>
        <w:t xml:space="preserve">HFC-based refrigeration and air-conditioning (RAC) </w:t>
      </w:r>
      <w:r w:rsidRPr="00172BD1">
        <w:t xml:space="preserve">equipment which </w:t>
      </w:r>
      <w:r>
        <w:t xml:space="preserve">could be used to forecast the HFC demand </w:t>
      </w:r>
      <w:r w:rsidRPr="00172BD1">
        <w:t xml:space="preserve">for servicing </w:t>
      </w:r>
      <w:r>
        <w:t xml:space="preserve">such equipment; initiating controls to </w:t>
      </w:r>
      <w:r w:rsidRPr="00172BD1">
        <w:t xml:space="preserve">prevent the dumping of used </w:t>
      </w:r>
      <w:r>
        <w:t xml:space="preserve">RAC </w:t>
      </w:r>
      <w:r w:rsidRPr="00172BD1">
        <w:t>equipment that w</w:t>
      </w:r>
      <w:r>
        <w:t>ould</w:t>
      </w:r>
      <w:r w:rsidRPr="00172BD1">
        <w:t xml:space="preserve"> trigger future consumption</w:t>
      </w:r>
      <w:r>
        <w:t xml:space="preserve"> of HFCs; and facilitating the issuance of import bans for HFC-RAC equipment that could become obsolete (e.g., when alternative non</w:t>
      </w:r>
      <w:r>
        <w:noBreakHyphen/>
        <w:t>HFC-based RAC equipment becomes available).</w:t>
      </w:r>
      <w:r>
        <w:rPr>
          <w:rStyle w:val="FootnoteReference"/>
        </w:rPr>
        <w:footnoteReference w:id="25"/>
      </w:r>
    </w:p>
    <w:p w14:paraId="7FFE14D9" w14:textId="77777777" w:rsidR="00642C89" w:rsidRPr="00555E60" w:rsidRDefault="00642C89" w:rsidP="00642C89">
      <w:pPr>
        <w:rPr>
          <w:b/>
        </w:rPr>
      </w:pPr>
      <w:r w:rsidRPr="00555E60">
        <w:rPr>
          <w:b/>
        </w:rPr>
        <w:t xml:space="preserve">Projects and activities related to the </w:t>
      </w:r>
      <w:r>
        <w:rPr>
          <w:b/>
        </w:rPr>
        <w:t>phase-down of HFCs</w:t>
      </w:r>
    </w:p>
    <w:p w14:paraId="5172C763" w14:textId="77777777" w:rsidR="00642C89" w:rsidRDefault="00642C89" w:rsidP="00642C89"/>
    <w:p w14:paraId="3B57F2DD" w14:textId="77777777" w:rsidR="00642C89" w:rsidRDefault="00642C89" w:rsidP="00642C89">
      <w:pPr>
        <w:pStyle w:val="Heading1"/>
      </w:pPr>
      <w:r>
        <w:t>During the preparation and implementation of HFC phase-down plans, the remaining HCFC consumption in the majority of Article 5 countries will be in the refrigeration servicing sector, the sector which also has the largest consumption of HFCs (i.e., based on the surveys of ODS alternatives submitted by 119 Article 5 countries, it is expected that over 70 per cent of the consumption of HFCs in non-LVC countries and over 95 per cent of consumption in LVC countries will be used in the refrigeration servicing sector).</w:t>
      </w:r>
      <w:r>
        <w:rPr>
          <w:rStyle w:val="FootnoteReference"/>
        </w:rPr>
        <w:footnoteReference w:id="26"/>
      </w:r>
    </w:p>
    <w:p w14:paraId="380CD038" w14:textId="77777777" w:rsidR="00642C89" w:rsidRDefault="00642C89" w:rsidP="00642C89">
      <w:pPr>
        <w:pStyle w:val="Heading1"/>
      </w:pPr>
      <w:r>
        <w:t xml:space="preserve">Accordingly, the preparation of HFC phase-down could present an opportunity for Article 5 countries to plan comprehensive, cost-effective and long-term strategies for their refrigeration servicing sector, taking into account the proper management of all the refrigerants being used, and the need to strengthen relevant institutions and stakeholders, to ensure a sustained replacement of ozone-depleting and/or high-GWP refrigerants by low-GWP refrigerants. Formulating a comprehensive overarching refrigerant management strategy for the servicing sector, strengthening and enhancing the infrastructure and institutions in place, and avoiding (as much as </w:t>
      </w:r>
      <w:r>
        <w:lastRenderedPageBreak/>
        <w:t>feasible) the replacement of HCFC</w:t>
      </w:r>
      <w:r>
        <w:noBreakHyphen/>
        <w:t>based technologies with low-GWP HFC-based technologies will contribute to reducing the future servicing needs with high</w:t>
      </w:r>
      <w:r>
        <w:noBreakHyphen/>
        <w:t xml:space="preserve">GWP HFCs. </w:t>
      </w:r>
    </w:p>
    <w:p w14:paraId="5E9CB634" w14:textId="77777777" w:rsidR="00642C89" w:rsidRPr="00B21507" w:rsidRDefault="00642C89" w:rsidP="00642C89">
      <w:pPr>
        <w:pStyle w:val="Heading1"/>
      </w:pPr>
      <w:r>
        <w:t xml:space="preserve">Issues that Article 5 countries will need to consider that are specifically related to the refrigeration servicing sector include, </w:t>
      </w:r>
      <w:r w:rsidRPr="00B21507">
        <w:rPr>
          <w:i/>
        </w:rPr>
        <w:t>i</w:t>
      </w:r>
      <w:r>
        <w:rPr>
          <w:i/>
        </w:rPr>
        <w:t>nter alia:</w:t>
      </w:r>
      <w:r>
        <w:t xml:space="preserve"> </w:t>
      </w:r>
    </w:p>
    <w:p w14:paraId="3D06DC21" w14:textId="77777777" w:rsidR="00642C89" w:rsidRDefault="00642C89" w:rsidP="00642C89">
      <w:pPr>
        <w:pStyle w:val="Heading2"/>
        <w:numPr>
          <w:ilvl w:val="1"/>
          <w:numId w:val="37"/>
        </w:numPr>
      </w:pPr>
      <w:r>
        <w:t>Identifying and adapting to local conditions and implementing relevant standards, codes and norms that facilitate the safe adoption, operation and servicing of low-GWP-based alternative technologies and refrigerants;</w:t>
      </w:r>
    </w:p>
    <w:p w14:paraId="4B37C5C3" w14:textId="77777777" w:rsidR="00642C89" w:rsidRDefault="00642C89" w:rsidP="00642C89">
      <w:pPr>
        <w:pStyle w:val="Heading2"/>
        <w:numPr>
          <w:ilvl w:val="1"/>
          <w:numId w:val="37"/>
        </w:numPr>
      </w:pPr>
      <w:r>
        <w:t xml:space="preserve">Developing a regulatory framework for refrigerants management including, </w:t>
      </w:r>
      <w:r>
        <w:rPr>
          <w:i/>
        </w:rPr>
        <w:t>inter alia</w:t>
      </w:r>
      <w:r>
        <w:t xml:space="preserve">, certification of technicians, licensing of service enterprises/workshops, </w:t>
      </w:r>
      <w:r w:rsidRPr="00FE2142">
        <w:t>measures to support refrigerant recovery, recycling and reclaiming programmes (e.g., control of intentional refrigerant venting),</w:t>
      </w:r>
      <w:r>
        <w:t xml:space="preserve"> labelling, record keeping and reporting, enforcement and monitoring tools, and capacity-building for all relevant stakeholders; </w:t>
      </w:r>
    </w:p>
    <w:p w14:paraId="35AAB9A2" w14:textId="77777777" w:rsidR="00642C89" w:rsidRDefault="00642C89" w:rsidP="00642C89">
      <w:pPr>
        <w:pStyle w:val="Heading2"/>
        <w:numPr>
          <w:ilvl w:val="1"/>
          <w:numId w:val="37"/>
        </w:numPr>
      </w:pPr>
      <w:r>
        <w:t xml:space="preserve">Reviewing the curricula of the training programmes for customs and enforcement officers addressing all the obligations under the Montreal Protocol; and </w:t>
      </w:r>
      <w:r w:rsidRPr="00DB0036">
        <w:t xml:space="preserve">developing a common curriculum </w:t>
      </w:r>
      <w:r>
        <w:t xml:space="preserve">and training programmes </w:t>
      </w:r>
      <w:r w:rsidRPr="00DB0036">
        <w:t xml:space="preserve">that </w:t>
      </w:r>
      <w:r>
        <w:t xml:space="preserve">can be </w:t>
      </w:r>
      <w:r w:rsidRPr="00DB0036">
        <w:t>updat</w:t>
      </w:r>
      <w:r>
        <w:t>ed as required;</w:t>
      </w:r>
    </w:p>
    <w:p w14:paraId="71A055FD" w14:textId="77777777" w:rsidR="00642C89" w:rsidRDefault="00642C89" w:rsidP="00642C89">
      <w:pPr>
        <w:pStyle w:val="Heading2"/>
        <w:numPr>
          <w:ilvl w:val="1"/>
          <w:numId w:val="37"/>
        </w:numPr>
      </w:pPr>
      <w:r>
        <w:t xml:space="preserve">Strengthening the capacity of the vocational training systems and certification bodies through a review of the curricula of the training programmes for refrigeration technicians including issues related to reducing the emission of refrigerants into the atmosphere, reducing energy consumption based on well-maintained and well-serviced equipment, latest </w:t>
      </w:r>
      <w:r w:rsidRPr="00981BFD">
        <w:t>technology developments</w:t>
      </w:r>
      <w:r>
        <w:t>,</w:t>
      </w:r>
      <w:r w:rsidRPr="00981BFD">
        <w:t xml:space="preserve"> </w:t>
      </w:r>
      <w:r>
        <w:t xml:space="preserve">and addressing safety issues related to the flammability and/or toxicity of the refrigerants being phased in; </w:t>
      </w:r>
    </w:p>
    <w:p w14:paraId="2F0FB875" w14:textId="77777777" w:rsidR="00642C89" w:rsidRDefault="00642C89" w:rsidP="00642C89">
      <w:pPr>
        <w:pStyle w:val="Heading2"/>
        <w:numPr>
          <w:ilvl w:val="1"/>
          <w:numId w:val="37"/>
        </w:numPr>
      </w:pPr>
      <w:r>
        <w:t xml:space="preserve">Developing (or strengthening if already in place) a self-sustained refrigerant containment strategy considering, </w:t>
      </w:r>
      <w:r>
        <w:rPr>
          <w:i/>
        </w:rPr>
        <w:t>inter alia</w:t>
      </w:r>
      <w:r>
        <w:t>: the capability of the equipment and ancillary components to recover, recycle or reclaim both HCFCs and HFCs; proper management of the non</w:t>
      </w:r>
      <w:r>
        <w:noBreakHyphen/>
        <w:t xml:space="preserve">reusable refrigerants </w:t>
      </w:r>
      <w:r w:rsidRPr="00B5592A">
        <w:t xml:space="preserve">recovered; an analysis of the benefits and challenges of recovering, recycling and reclaiming </w:t>
      </w:r>
      <w:r>
        <w:lastRenderedPageBreak/>
        <w:t xml:space="preserve">different types of </w:t>
      </w:r>
      <w:r w:rsidRPr="00B5592A">
        <w:t>refrigerants; and an assessment of the economic feasibility of recla</w:t>
      </w:r>
      <w:r>
        <w:t>mation</w:t>
      </w:r>
      <w:r w:rsidRPr="00B5592A">
        <w:t xml:space="preserve"> facilities;</w:t>
      </w:r>
    </w:p>
    <w:p w14:paraId="09242990" w14:textId="77777777" w:rsidR="00642C89" w:rsidRDefault="00642C89" w:rsidP="00642C89">
      <w:pPr>
        <w:pStyle w:val="Heading2"/>
        <w:numPr>
          <w:ilvl w:val="1"/>
          <w:numId w:val="37"/>
        </w:numPr>
      </w:pPr>
      <w:r>
        <w:t xml:space="preserve">Strengthening technical support for the assembly, installation and initial-charge subsector as it could influence the introduction of refrigeration technologies; </w:t>
      </w:r>
    </w:p>
    <w:p w14:paraId="4B5B309C" w14:textId="77777777" w:rsidR="00642C89" w:rsidRDefault="00642C89" w:rsidP="00642C89">
      <w:pPr>
        <w:pStyle w:val="Heading2"/>
        <w:numPr>
          <w:ilvl w:val="1"/>
          <w:numId w:val="37"/>
        </w:numPr>
      </w:pPr>
      <w:r>
        <w:t xml:space="preserve">Strengthening RAC associations, </w:t>
      </w:r>
      <w:r w:rsidRPr="005B4D21">
        <w:t>ensur</w:t>
      </w:r>
      <w:r>
        <w:t xml:space="preserve">ing </w:t>
      </w:r>
      <w:r w:rsidRPr="005B4D21">
        <w:t xml:space="preserve">their engagement in </w:t>
      </w:r>
      <w:r>
        <w:t xml:space="preserve">the </w:t>
      </w:r>
      <w:r w:rsidRPr="005B4D21">
        <w:t>implementation of activities</w:t>
      </w:r>
      <w:r>
        <w:t xml:space="preserve"> and in </w:t>
      </w:r>
      <w:r w:rsidRPr="005B4D21">
        <w:t>promoting sound practices in local markets</w:t>
      </w:r>
      <w:r>
        <w:t>; and assessing the long-term sustainability of activities implemented in the refrigeration servicing sector through business models and/or additional resources; and</w:t>
      </w:r>
    </w:p>
    <w:p w14:paraId="0464AC77" w14:textId="77777777" w:rsidR="00642C89" w:rsidRDefault="00642C89" w:rsidP="00642C89">
      <w:pPr>
        <w:pStyle w:val="Heading2"/>
        <w:numPr>
          <w:ilvl w:val="1"/>
          <w:numId w:val="37"/>
        </w:numPr>
      </w:pPr>
      <w:r>
        <w:t>Introducing monitoring and reporting tools to measure the impacts of activities and programmes in the servicing sector; developing a directory for the servicing sector that includes licensed and certified technicians, enterprises, training centres, and distributors of refrigerant and equipment;</w:t>
      </w:r>
      <w:r w:rsidRPr="00974485">
        <w:t xml:space="preserve"> </w:t>
      </w:r>
      <w:r>
        <w:t xml:space="preserve">and utilizing the global products developed by UNEP CAP and other international organizations to assist the refrigeration servicing sector. </w:t>
      </w:r>
    </w:p>
    <w:p w14:paraId="2538F1E7" w14:textId="77777777" w:rsidR="00642C89" w:rsidRPr="00B91EBF" w:rsidRDefault="00642C89" w:rsidP="00642C89">
      <w:pPr>
        <w:pStyle w:val="Heading1"/>
      </w:pPr>
      <w:r>
        <w:t xml:space="preserve">For most of the 50 Article 5 countries with HCFC-based manufacturing enterprises, the use of </w:t>
      </w:r>
      <w:r w:rsidRPr="00B91EBF">
        <w:t>HCFCs in the manufacturing sector has been or will be completely phased out once the approved conversion projects have been completed. For several countries, additional activities would be required to complete the phase</w:t>
      </w:r>
      <w:r w:rsidRPr="00B91EBF">
        <w:noBreakHyphen/>
        <w:t xml:space="preserve">out of HCFCs used in the manufacturing sector (mainly in the foam and </w:t>
      </w:r>
      <w:r>
        <w:t>RAC</w:t>
      </w:r>
      <w:r w:rsidRPr="00B91EBF">
        <w:t xml:space="preserve"> sectors). </w:t>
      </w:r>
    </w:p>
    <w:p w14:paraId="14A4E5E4" w14:textId="77777777" w:rsidR="00642C89" w:rsidRPr="00B91EBF" w:rsidRDefault="00642C89" w:rsidP="00642C89">
      <w:pPr>
        <w:pStyle w:val="Heading1"/>
      </w:pPr>
      <w:r w:rsidRPr="00B91EBF">
        <w:t xml:space="preserve">The extent and the timing of </w:t>
      </w:r>
      <w:r>
        <w:t xml:space="preserve">the </w:t>
      </w:r>
      <w:r w:rsidRPr="00B91EBF">
        <w:t xml:space="preserve">implementation of HFC investment projects will depend on </w:t>
      </w:r>
      <w:r w:rsidRPr="00B91EBF">
        <w:rPr>
          <w:i/>
        </w:rPr>
        <w:t xml:space="preserve">inter alia </w:t>
      </w:r>
      <w:r w:rsidRPr="00B91EBF">
        <w:t>the need for these conversions to ensure compliance with the Montreal Protocol, the availability of cost</w:t>
      </w:r>
      <w:r w:rsidRPr="00B91EBF">
        <w:noBreakHyphen/>
        <w:t>effective alternative technologies in local markets</w:t>
      </w:r>
      <w:r>
        <w:t>,</w:t>
      </w:r>
      <w:r w:rsidRPr="00B91EBF">
        <w:t xml:space="preserve"> and the availability of the components (e.g., compressors, heat exchangers, controls) required for the conversion of the manufacturing lines. As some of the HCFC phase</w:t>
      </w:r>
      <w:r w:rsidRPr="00B91EBF">
        <w:noBreakHyphen/>
        <w:t xml:space="preserve">out investment projects are </w:t>
      </w:r>
      <w:r>
        <w:t>nearing completion, H</w:t>
      </w:r>
      <w:r w:rsidRPr="00B91EBF">
        <w:t>FC phase</w:t>
      </w:r>
      <w:r w:rsidRPr="00B91EBF">
        <w:noBreakHyphen/>
        <w:t>down investment projects could be gradually initiated.</w:t>
      </w:r>
    </w:p>
    <w:p w14:paraId="15140D6F" w14:textId="77777777" w:rsidR="00642C89" w:rsidRDefault="00642C89" w:rsidP="00642C89">
      <w:pPr>
        <w:pStyle w:val="Heading1"/>
      </w:pPr>
      <w:r w:rsidRPr="00B91EBF">
        <w:t>Given the broader use of HFCs in the manufacturing</w:t>
      </w:r>
      <w:r>
        <w:t xml:space="preserve"> sector as compared to HCFCs, it is expected that HFC investment projects will be implemented separately from HCFC investment projects. However, Article 5 countries will need to consider potential opportunities for integrated implementation of investment projects in enterprises that </w:t>
      </w:r>
      <w:r>
        <w:lastRenderedPageBreak/>
        <w:t>manufacture both HCFC</w:t>
      </w:r>
      <w:r>
        <w:noBreakHyphen/>
        <w:t>based and HFC</w:t>
      </w:r>
      <w:r>
        <w:noBreakHyphen/>
        <w:t xml:space="preserve">based equipment/products and wish to convert both technologies, following a sector approach. Investment projects that could be considered include but are not limited to, </w:t>
      </w:r>
      <w:r>
        <w:rPr>
          <w:i/>
        </w:rPr>
        <w:t>inter alia</w:t>
      </w:r>
      <w:r>
        <w:t xml:space="preserve">: </w:t>
      </w:r>
    </w:p>
    <w:p w14:paraId="3D54183E" w14:textId="77777777" w:rsidR="00642C89" w:rsidRDefault="00642C89" w:rsidP="00642C89">
      <w:pPr>
        <w:pStyle w:val="Heading2"/>
        <w:numPr>
          <w:ilvl w:val="1"/>
          <w:numId w:val="1"/>
        </w:numPr>
      </w:pPr>
      <w:r>
        <w:rPr>
          <w:lang w:val="en-CA"/>
        </w:rPr>
        <w:t>Conversion of e</w:t>
      </w:r>
      <w:r w:rsidRPr="00E05B7A">
        <w:rPr>
          <w:lang w:val="en-CA"/>
        </w:rPr>
        <w:t xml:space="preserve">nterprises manufacturing </w:t>
      </w:r>
      <w:r>
        <w:rPr>
          <w:lang w:val="en-CA"/>
        </w:rPr>
        <w:t xml:space="preserve">polyurethane </w:t>
      </w:r>
      <w:r w:rsidRPr="00E05B7A">
        <w:rPr>
          <w:lang w:val="en-CA"/>
        </w:rPr>
        <w:t>foam based on HCFC</w:t>
      </w:r>
      <w:r>
        <w:rPr>
          <w:lang w:val="en-CA"/>
        </w:rPr>
        <w:noBreakHyphen/>
      </w:r>
      <w:r w:rsidRPr="00E05B7A">
        <w:rPr>
          <w:lang w:val="en-CA"/>
        </w:rPr>
        <w:t>141b, HFC</w:t>
      </w:r>
      <w:r>
        <w:rPr>
          <w:lang w:val="en-CA"/>
        </w:rPr>
        <w:noBreakHyphen/>
      </w:r>
      <w:r w:rsidRPr="00E05B7A">
        <w:rPr>
          <w:lang w:val="en-CA"/>
        </w:rPr>
        <w:t>245fa</w:t>
      </w:r>
      <w:r>
        <w:rPr>
          <w:lang w:val="en-CA"/>
        </w:rPr>
        <w:t xml:space="preserve"> and/</w:t>
      </w:r>
      <w:r w:rsidRPr="00E05B7A">
        <w:rPr>
          <w:lang w:val="en-CA"/>
        </w:rPr>
        <w:t xml:space="preserve">or </w:t>
      </w:r>
      <w:r>
        <w:t>HFC</w:t>
      </w:r>
      <w:r>
        <w:noBreakHyphen/>
        <w:t>365mfc/HFC</w:t>
      </w:r>
      <w:r>
        <w:noBreakHyphen/>
        <w:t>227ea polyol systems to low</w:t>
      </w:r>
      <w:r>
        <w:noBreakHyphen/>
        <w:t xml:space="preserve">GWP polyol systems currently available for all PU foam applications; </w:t>
      </w:r>
    </w:p>
    <w:p w14:paraId="5E32CFD9" w14:textId="77777777" w:rsidR="00642C89" w:rsidRDefault="00642C89" w:rsidP="00642C89">
      <w:pPr>
        <w:pStyle w:val="Heading2"/>
        <w:widowControl/>
        <w:numPr>
          <w:ilvl w:val="1"/>
          <w:numId w:val="1"/>
        </w:numPr>
      </w:pPr>
      <w:r>
        <w:rPr>
          <w:lang w:val="en-CA"/>
        </w:rPr>
        <w:t>Conversion of e</w:t>
      </w:r>
      <w:r w:rsidRPr="00E05B7A">
        <w:rPr>
          <w:lang w:val="en-CA"/>
        </w:rPr>
        <w:t xml:space="preserve">nterprises manufacturing </w:t>
      </w:r>
      <w:r>
        <w:rPr>
          <w:lang w:val="en-CA"/>
        </w:rPr>
        <w:t>extruded polystyrene foam (</w:t>
      </w:r>
      <w:r w:rsidRPr="00E05B7A">
        <w:rPr>
          <w:lang w:val="en-CA"/>
        </w:rPr>
        <w:t>XPS</w:t>
      </w:r>
      <w:r>
        <w:rPr>
          <w:lang w:val="en-CA"/>
        </w:rPr>
        <w:t>)</w:t>
      </w:r>
      <w:r w:rsidRPr="00E05B7A">
        <w:rPr>
          <w:lang w:val="en-CA"/>
        </w:rPr>
        <w:t xml:space="preserve"> foam applications based on </w:t>
      </w:r>
      <w:r>
        <w:t>HCFC</w:t>
      </w:r>
      <w:r>
        <w:noBreakHyphen/>
        <w:t>22/HCFC</w:t>
      </w:r>
      <w:r>
        <w:noBreakHyphen/>
        <w:t>142b and HFC</w:t>
      </w:r>
      <w:r>
        <w:noBreakHyphen/>
        <w:t>134a/HFC</w:t>
      </w:r>
      <w:r>
        <w:noBreakHyphen/>
        <w:t>152 blowing agents to low</w:t>
      </w:r>
      <w:r>
        <w:noBreakHyphen/>
        <w:t>GWP technologies currently available;</w:t>
      </w:r>
    </w:p>
    <w:p w14:paraId="5E5CA30E" w14:textId="77777777" w:rsidR="00642C89" w:rsidRDefault="00642C89" w:rsidP="00642C89">
      <w:pPr>
        <w:pStyle w:val="Heading2"/>
        <w:numPr>
          <w:ilvl w:val="1"/>
          <w:numId w:val="1"/>
        </w:numPr>
      </w:pPr>
      <w:r>
        <w:t>Integration of enterprises manufacturing room and/or commercial AC equipment with production lines based on HCFC</w:t>
      </w:r>
      <w:r>
        <w:noBreakHyphen/>
        <w:t>22 and R</w:t>
      </w:r>
      <w:r>
        <w:noBreakHyphen/>
        <w:t xml:space="preserve">410A refrigerants, with the potential of reducing conversion costs associated with </w:t>
      </w:r>
      <w:r>
        <w:rPr>
          <w:i/>
        </w:rPr>
        <w:t xml:space="preserve">inter alia, </w:t>
      </w:r>
      <w:r>
        <w:t>project design; safety if the alternative selected is flammable; components (e.g., compressors and heat exchangers due to economies of scale), and training, certification, verification and commissioning;</w:t>
      </w:r>
    </w:p>
    <w:p w14:paraId="22E82728" w14:textId="77777777" w:rsidR="00642C89" w:rsidRDefault="00642C89" w:rsidP="00642C89">
      <w:pPr>
        <w:pStyle w:val="Heading2"/>
        <w:numPr>
          <w:ilvl w:val="1"/>
          <w:numId w:val="1"/>
        </w:numPr>
      </w:pPr>
      <w:r>
        <w:t>Integration of ongoing conversion of enterprises manufacturing commercial refrigeration with production lines based on HCFC</w:t>
      </w:r>
      <w:r>
        <w:noBreakHyphen/>
        <w:t>22 refrigerant with other lines based on HFC-based refrigerants (e.g., HFC</w:t>
      </w:r>
      <w:r>
        <w:noBreakHyphen/>
        <w:t>134a and/or R</w:t>
      </w:r>
      <w:r>
        <w:noBreakHyphen/>
        <w:t>404A), ensuring the phase</w:t>
      </w:r>
      <w:r>
        <w:noBreakHyphen/>
        <w:t>out of both HCFC and HFC, with potential reductions in the conversion costs; and</w:t>
      </w:r>
    </w:p>
    <w:p w14:paraId="3F32DF8E" w14:textId="77777777" w:rsidR="00642C89" w:rsidRPr="00A77B9D" w:rsidRDefault="00642C89" w:rsidP="00642C89">
      <w:pPr>
        <w:pStyle w:val="Heading2"/>
        <w:numPr>
          <w:ilvl w:val="1"/>
          <w:numId w:val="1"/>
        </w:numPr>
      </w:pPr>
      <w:r>
        <w:t>Conversion of enterprises manufacturing chillers or using controlled substances in aerosol, solvent and/or fire</w:t>
      </w:r>
      <w:r>
        <w:noBreakHyphen/>
        <w:t>fighting applications, on a case-by-case basis, given that the amount of controlled substances used in these sectors is relatively small.</w:t>
      </w:r>
    </w:p>
    <w:p w14:paraId="1DB72301" w14:textId="77777777" w:rsidR="00642C89" w:rsidRDefault="00642C89" w:rsidP="00642C89">
      <w:pPr>
        <w:rPr>
          <w:b/>
          <w:lang w:val="en-CA"/>
        </w:rPr>
      </w:pPr>
      <w:r>
        <w:rPr>
          <w:b/>
        </w:rPr>
        <w:t>P</w:t>
      </w:r>
      <w:r>
        <w:rPr>
          <w:b/>
          <w:lang w:val="en-CA"/>
        </w:rPr>
        <w:t>ART II</w:t>
      </w:r>
      <w:r>
        <w:rPr>
          <w:b/>
          <w:lang w:val="en-CA"/>
        </w:rPr>
        <w:tab/>
        <w:t>FUNDING FOR THE PREPARATION OF HFC PHASE-DOWN PLANS</w:t>
      </w:r>
    </w:p>
    <w:p w14:paraId="15C69DBB" w14:textId="77777777" w:rsidR="00642C89" w:rsidRPr="008C7EF2" w:rsidRDefault="00642C89" w:rsidP="00642C89">
      <w:pPr>
        <w:rPr>
          <w:lang w:val="en-CA"/>
        </w:rPr>
      </w:pPr>
    </w:p>
    <w:p w14:paraId="7F9DC388" w14:textId="77777777" w:rsidR="00642C89" w:rsidRDefault="00642C89" w:rsidP="00642C89">
      <w:pPr>
        <w:pStyle w:val="Heading1"/>
      </w:pPr>
      <w:r>
        <w:t xml:space="preserve">The funding structure for the preparation of stage I of HFC phase-down plans is based on the funding modalities for the preparation of HPMPs outlined in decisions 56/16(d) and 71/42(f). Funding was provided separately for the development of the overall HCFC phase-out management plan, including the overarching strategy </w:t>
      </w:r>
      <w:r>
        <w:lastRenderedPageBreak/>
        <w:t>and the strategy for the phase-out of HCFCs used in the servicing sector (mainly for LVC countries, as the sole sector of HCFC consumption), and for the conversion of manufacturing enterprises (i.e., investment projects). The HCFC consumption baseline was used as a proxy for estimating the funding level required for the preparation of the HPMPs, which proved to be a good indicator during the phase-out of CFCs.</w:t>
      </w:r>
      <w:r>
        <w:rPr>
          <w:rStyle w:val="FootnoteReference"/>
        </w:rPr>
        <w:footnoteReference w:id="27"/>
      </w:r>
    </w:p>
    <w:p w14:paraId="626325E0" w14:textId="77777777" w:rsidR="00642C89" w:rsidRDefault="00642C89" w:rsidP="00642C89">
      <w:pPr>
        <w:pStyle w:val="Heading1"/>
      </w:pPr>
      <w:r>
        <w:t>Based on the above considerations, the funding levels for the preparation of the HPMPs (excluding investment projects) agreed by the Executive Committee were as follows:</w:t>
      </w:r>
      <w:r w:rsidRPr="00BE7597">
        <w:t xml:space="preserve"> </w:t>
      </w:r>
    </w:p>
    <w:p w14:paraId="10B0EAC1" w14:textId="77777777" w:rsidR="00642C89" w:rsidRDefault="00642C89" w:rsidP="00642C89">
      <w:pPr>
        <w:pStyle w:val="Heading2"/>
        <w:numPr>
          <w:ilvl w:val="1"/>
          <w:numId w:val="1"/>
        </w:numPr>
      </w:pPr>
      <w:r>
        <w:t xml:space="preserve">US $30,000 for countries with zero consumption of HCFCs; </w:t>
      </w:r>
    </w:p>
    <w:p w14:paraId="6E2AA290" w14:textId="77777777" w:rsidR="00642C89" w:rsidRDefault="00642C89" w:rsidP="00642C89">
      <w:pPr>
        <w:pStyle w:val="Heading2"/>
        <w:numPr>
          <w:ilvl w:val="1"/>
          <w:numId w:val="1"/>
        </w:numPr>
      </w:pPr>
      <w:r>
        <w:t>US $85,000 for countries with mainly HCFC-22 consumption only in the refrigeration servicing sec</w:t>
      </w:r>
      <w:r w:rsidRPr="005A0675">
        <w:t>tor</w:t>
      </w:r>
      <w:r>
        <w:t xml:space="preserve"> </w:t>
      </w:r>
      <w:r w:rsidRPr="00461DA7">
        <w:t>or consumption below 6 ODP tonnes/year</w:t>
      </w:r>
      <w:r w:rsidRPr="005A0675">
        <w:t xml:space="preserve">; </w:t>
      </w:r>
    </w:p>
    <w:p w14:paraId="74AB4DD8" w14:textId="77777777" w:rsidR="00642C89" w:rsidRDefault="00642C89" w:rsidP="00642C89">
      <w:pPr>
        <w:pStyle w:val="Heading2"/>
        <w:numPr>
          <w:ilvl w:val="1"/>
          <w:numId w:val="1"/>
        </w:numPr>
      </w:pPr>
      <w:r>
        <w:t>US $</w:t>
      </w:r>
      <w:r w:rsidRPr="005A0675">
        <w:t xml:space="preserve">150,000 for </w:t>
      </w:r>
      <w:r w:rsidRPr="005A0675">
        <w:rPr>
          <w:lang w:val="en-CA"/>
        </w:rPr>
        <w:t xml:space="preserve">countries with </w:t>
      </w:r>
      <w:r w:rsidRPr="00C92548">
        <w:rPr>
          <w:lang w:val="en-CA"/>
        </w:rPr>
        <w:t>medium consumption, between 6 ODP tonnes/year and 100 ODP tonnes/year</w:t>
      </w:r>
      <w:r>
        <w:rPr>
          <w:lang w:val="en-CA"/>
        </w:rPr>
        <w:t>; and</w:t>
      </w:r>
      <w:r w:rsidRPr="005A0675">
        <w:t xml:space="preserve"> </w:t>
      </w:r>
    </w:p>
    <w:p w14:paraId="6AD64815" w14:textId="77777777" w:rsidR="00642C89" w:rsidRPr="00CF5414" w:rsidRDefault="00642C89" w:rsidP="00642C89">
      <w:pPr>
        <w:pStyle w:val="Heading2"/>
        <w:numPr>
          <w:ilvl w:val="1"/>
          <w:numId w:val="1"/>
        </w:numPr>
      </w:pPr>
      <w:r>
        <w:t>US $</w:t>
      </w:r>
      <w:r w:rsidRPr="005A0675">
        <w:t>195,</w:t>
      </w:r>
      <w:r w:rsidRPr="00CF5414">
        <w:t>000</w:t>
      </w:r>
      <w:r w:rsidRPr="00CF5414">
        <w:rPr>
          <w:lang w:val="en-CA"/>
        </w:rPr>
        <w:t xml:space="preserve"> </w:t>
      </w:r>
      <w:r w:rsidRPr="00CF5414">
        <w:t xml:space="preserve">for </w:t>
      </w:r>
      <w:r w:rsidRPr="00CF5414">
        <w:rPr>
          <w:lang w:val="en-CA"/>
        </w:rPr>
        <w:t xml:space="preserve">countries with consumption </w:t>
      </w:r>
      <w:r w:rsidRPr="00CF5414">
        <w:t>higher than 100 ODP tonnes/year.</w:t>
      </w:r>
    </w:p>
    <w:p w14:paraId="6B564789" w14:textId="32E844A7" w:rsidR="00CF5414" w:rsidRPr="00CF5414" w:rsidRDefault="00642C89" w:rsidP="00E510DC">
      <w:pPr>
        <w:numPr>
          <w:ilvl w:val="0"/>
          <w:numId w:val="1"/>
        </w:numPr>
        <w:spacing w:after="240"/>
        <w:outlineLvl w:val="0"/>
      </w:pPr>
      <w:r w:rsidRPr="00CF5414">
        <w:t xml:space="preserve">In the absence of HFC baselines (which will be established only in 2023 for Article 5 group 1 countries and in 2027 for Article 5 group 2 countries), the established HCFC baselines provide a fair basis for classifying countries into funding categories for the preparation of HFC phase-down plans. </w:t>
      </w:r>
      <w:r w:rsidR="00CF5414" w:rsidRPr="00CF5414">
        <w:t>Noting the broad range of the HCFC baselines for consumption that was used for grouping countries for funding the preparation of the HPMP</w:t>
      </w:r>
      <w:r w:rsidR="00025481">
        <w:t>s</w:t>
      </w:r>
      <w:r w:rsidR="00CF5414" w:rsidRPr="00CF5414">
        <w:t>, the Secretariat considered it relevant to adjust the range of the HCFC baselines that was used for grouping the countries, so that countries with similar consumption levels are grouped together to ensure a more equitable distribution of funding across consumption levels.</w:t>
      </w:r>
    </w:p>
    <w:p w14:paraId="22FA359C" w14:textId="77777777" w:rsidR="00642C89" w:rsidRDefault="00642C89" w:rsidP="00642C89">
      <w:pPr>
        <w:pStyle w:val="Heading1"/>
      </w:pPr>
      <w:r w:rsidRPr="00CF5414">
        <w:t xml:space="preserve">Taking into account the activities required for the preparation of the overarching strategy for stage I of the HFC phase-down plans as described in Part I of the present document, preparation of the actual </w:t>
      </w:r>
      <w:r w:rsidRPr="00CF5414">
        <w:lastRenderedPageBreak/>
        <w:t>HFC phase-down plans will be more complex than the</w:t>
      </w:r>
      <w:r>
        <w:t xml:space="preserve"> preparation of HPMPs for the following reasons:</w:t>
      </w:r>
    </w:p>
    <w:p w14:paraId="73E7718B" w14:textId="77777777" w:rsidR="00642C89" w:rsidRDefault="00642C89" w:rsidP="00642C89">
      <w:pPr>
        <w:pStyle w:val="Heading2"/>
        <w:numPr>
          <w:ilvl w:val="1"/>
          <w:numId w:val="1"/>
        </w:numPr>
      </w:pPr>
      <w:r>
        <w:t xml:space="preserve">Up to 2030, the majority of Article 5 countries will be implementing concurrently projects and activities for phasing out HCFCs and phasing down HFCs. Therefore, it will be </w:t>
      </w:r>
      <w:r w:rsidRPr="00981DF4">
        <w:t xml:space="preserve">relevant to develop a comprehensive strategy for meeting the Montreal Protocol compliance targets for </w:t>
      </w:r>
      <w:r>
        <w:t xml:space="preserve">HCFCs and HFCs, </w:t>
      </w:r>
      <w:r w:rsidRPr="005A2856">
        <w:t xml:space="preserve">and </w:t>
      </w:r>
      <w:r>
        <w:t xml:space="preserve">taking into account the ongoing projects and </w:t>
      </w:r>
      <w:r w:rsidRPr="005A2856">
        <w:t xml:space="preserve">activities </w:t>
      </w:r>
      <w:r>
        <w:t>for the phase-out of HCFCs and the new projects and activities to be approved addressing HCFC and HFC consumption;</w:t>
      </w:r>
    </w:p>
    <w:p w14:paraId="10FBD377" w14:textId="13594ADD" w:rsidR="00642C89" w:rsidRDefault="00307ADB" w:rsidP="00642C89">
      <w:pPr>
        <w:pStyle w:val="Heading2"/>
        <w:numPr>
          <w:ilvl w:val="1"/>
          <w:numId w:val="1"/>
        </w:numPr>
      </w:pPr>
      <w:r>
        <w:t xml:space="preserve">The </w:t>
      </w:r>
      <w:r w:rsidR="00642C89" w:rsidRPr="008908F1">
        <w:t>preparation of the ful</w:t>
      </w:r>
      <w:r w:rsidR="00642C89">
        <w:t xml:space="preserve">l </w:t>
      </w:r>
      <w:r>
        <w:t>HFC phase-down plan</w:t>
      </w:r>
      <w:r w:rsidR="00642C89" w:rsidRPr="008908F1">
        <w:t xml:space="preserve"> include</w:t>
      </w:r>
      <w:r w:rsidR="00642C89">
        <w:t>s a national survey of H</w:t>
      </w:r>
      <w:r w:rsidR="00642C89" w:rsidRPr="008908F1">
        <w:t>FC consumption</w:t>
      </w:r>
      <w:r w:rsidR="00642C89">
        <w:t xml:space="preserve"> and production where applicable; determining the HFC </w:t>
      </w:r>
      <w:r w:rsidR="00642C89" w:rsidRPr="008908F1">
        <w:t xml:space="preserve">baseline </w:t>
      </w:r>
      <w:r w:rsidR="00642C89">
        <w:t>for compliance (and eventual starting point for aggregate reductions) is a more complex exercise compared to the HPMPs as these will be established only in future years and unlike HCFCs, countries were not obliged to report HFC consumption data prior to their ratification of the Kigali Amendment; the metrics are in CO</w:t>
      </w:r>
      <w:r w:rsidR="00642C89" w:rsidRPr="00CF52AC">
        <w:rPr>
          <w:vertAlign w:val="subscript"/>
        </w:rPr>
        <w:t>2</w:t>
      </w:r>
      <w:r w:rsidR="00642C89">
        <w:t>-equivalent tonnes rather than ODP tonnes;</w:t>
      </w:r>
      <w:r w:rsidR="00642C89" w:rsidRPr="00636564">
        <w:t xml:space="preserve"> there are many more HFCs and HFC-blends being controlled than HCFCs (where the consumption of HCFC-22, HCFC-141b and HCFC-142b represented over 99</w:t>
      </w:r>
      <w:r w:rsidR="00642C89">
        <w:t> </w:t>
      </w:r>
      <w:r w:rsidR="00642C89" w:rsidRPr="00636564">
        <w:t>per cent of the total consumption</w:t>
      </w:r>
      <w:r w:rsidR="00642C89">
        <w:t xml:space="preserve"> of HCFCs</w:t>
      </w:r>
      <w:r w:rsidR="00642C89" w:rsidRPr="00636564">
        <w:t xml:space="preserve">, and over 90 Article 5 countries only consumed HCFC-22); </w:t>
      </w:r>
      <w:r w:rsidR="00642C89" w:rsidRPr="00C640FF">
        <w:t>there are controlled HFCs and HFC-blends that are being used as alternative</w:t>
      </w:r>
      <w:r w:rsidR="00642C89">
        <w:t>s</w:t>
      </w:r>
      <w:r w:rsidR="00642C89" w:rsidRPr="00C640FF">
        <w:t xml:space="preserve"> to H</w:t>
      </w:r>
      <w:r w:rsidR="00642C89">
        <w:t>C</w:t>
      </w:r>
      <w:r w:rsidR="00642C89" w:rsidRPr="00C640FF">
        <w:t>FCs</w:t>
      </w:r>
      <w:r w:rsidR="00642C89">
        <w:t xml:space="preserve"> and HFCs; and HFCs are used in </w:t>
      </w:r>
      <w:r w:rsidR="00642C89" w:rsidRPr="00636564">
        <w:t xml:space="preserve">several more </w:t>
      </w:r>
      <w:r w:rsidR="00642C89">
        <w:t>applications</w:t>
      </w:r>
      <w:r w:rsidR="00642C89" w:rsidRPr="00636564">
        <w:t xml:space="preserve"> </w:t>
      </w:r>
      <w:r w:rsidR="00642C89">
        <w:t>than</w:t>
      </w:r>
      <w:r w:rsidR="00642C89" w:rsidRPr="00636564">
        <w:t xml:space="preserve"> HCFCs</w:t>
      </w:r>
      <w:r w:rsidR="00642C89">
        <w:t>;</w:t>
      </w:r>
    </w:p>
    <w:p w14:paraId="27EC3A59" w14:textId="77777777" w:rsidR="00642C89" w:rsidRPr="008908F1" w:rsidRDefault="00642C89" w:rsidP="00642C89">
      <w:pPr>
        <w:pStyle w:val="Heading2"/>
        <w:numPr>
          <w:ilvl w:val="1"/>
          <w:numId w:val="1"/>
        </w:numPr>
      </w:pPr>
      <w:r>
        <w:t>Article 5 countries need to act swiftly to f</w:t>
      </w:r>
      <w:r w:rsidRPr="008908F1">
        <w:t>urther develop</w:t>
      </w:r>
      <w:r>
        <w:t>, adapt and</w:t>
      </w:r>
      <w:r w:rsidRPr="008908F1">
        <w:t xml:space="preserve"> </w:t>
      </w:r>
      <w:r>
        <w:t xml:space="preserve">enforce relevant </w:t>
      </w:r>
      <w:r w:rsidRPr="008908F1">
        <w:t>legislation</w:t>
      </w:r>
      <w:r>
        <w:t xml:space="preserve"> and/or regulations and</w:t>
      </w:r>
      <w:r w:rsidRPr="008908F1">
        <w:t xml:space="preserve"> to </w:t>
      </w:r>
      <w:r>
        <w:t xml:space="preserve">review of </w:t>
      </w:r>
      <w:r w:rsidRPr="008908F1">
        <w:t>licensing</w:t>
      </w:r>
      <w:r>
        <w:t xml:space="preserve"> and quota</w:t>
      </w:r>
      <w:r w:rsidRPr="008908F1">
        <w:t xml:space="preserve"> system</w:t>
      </w:r>
      <w:r>
        <w:t>s for HFCs, as early action will</w:t>
      </w:r>
      <w:r w:rsidRPr="008908F1">
        <w:t xml:space="preserve"> </w:t>
      </w:r>
      <w:r>
        <w:t>limit the growth in their</w:t>
      </w:r>
      <w:r w:rsidRPr="008908F1">
        <w:t xml:space="preserve"> consumption and production</w:t>
      </w:r>
      <w:r>
        <w:t xml:space="preserve"> where applicable, and make reductions in HFC consumption sustainable</w:t>
      </w:r>
      <w:r w:rsidRPr="008908F1">
        <w:t>;</w:t>
      </w:r>
    </w:p>
    <w:p w14:paraId="2C873210" w14:textId="77777777" w:rsidR="00642C89" w:rsidRDefault="00642C89" w:rsidP="00642C89">
      <w:pPr>
        <w:pStyle w:val="Heading2"/>
        <w:numPr>
          <w:ilvl w:val="1"/>
          <w:numId w:val="1"/>
        </w:numPr>
      </w:pPr>
      <w:r>
        <w:t>It will be necessary to d</w:t>
      </w:r>
      <w:r w:rsidRPr="008908F1">
        <w:t>evelop and implement</w:t>
      </w:r>
      <w:r>
        <w:t xml:space="preserve"> </w:t>
      </w:r>
      <w:r w:rsidRPr="008908F1">
        <w:t xml:space="preserve">policies to </w:t>
      </w:r>
      <w:r>
        <w:t xml:space="preserve">support the </w:t>
      </w:r>
      <w:r w:rsidRPr="008908F1">
        <w:t xml:space="preserve">selection </w:t>
      </w:r>
      <w:r>
        <w:t xml:space="preserve">of alternative technologies taking into consideration </w:t>
      </w:r>
      <w:r w:rsidRPr="008908F1">
        <w:t>enterprise</w:t>
      </w:r>
      <w:r>
        <w:t>s</w:t>
      </w:r>
      <w:r w:rsidRPr="008908F1">
        <w:t xml:space="preserve"> </w:t>
      </w:r>
      <w:r>
        <w:t>and national requirements and potential impacts to the environment particularly on the climate and energy efficiency</w:t>
      </w:r>
      <w:r w:rsidRPr="008908F1">
        <w:t xml:space="preserve">, </w:t>
      </w:r>
      <w:r>
        <w:t xml:space="preserve">noting that </w:t>
      </w:r>
      <w:r w:rsidRPr="00A17329">
        <w:t xml:space="preserve">there are still </w:t>
      </w:r>
      <w:r>
        <w:t xml:space="preserve">a </w:t>
      </w:r>
      <w:r w:rsidRPr="00A17329">
        <w:t xml:space="preserve">limited </w:t>
      </w:r>
      <w:r>
        <w:t xml:space="preserve">number of </w:t>
      </w:r>
      <w:r w:rsidRPr="00A17329">
        <w:t xml:space="preserve">alternative technologies </w:t>
      </w:r>
      <w:r>
        <w:t xml:space="preserve">available </w:t>
      </w:r>
      <w:r w:rsidRPr="00A17329">
        <w:t>for some applications</w:t>
      </w:r>
      <w:r>
        <w:t>;</w:t>
      </w:r>
    </w:p>
    <w:p w14:paraId="59985F76" w14:textId="3A5B923F" w:rsidR="00642C89" w:rsidRPr="008908F1" w:rsidRDefault="00642C89" w:rsidP="00642C89">
      <w:pPr>
        <w:pStyle w:val="Heading2"/>
        <w:numPr>
          <w:ilvl w:val="1"/>
          <w:numId w:val="1"/>
        </w:numPr>
      </w:pPr>
      <w:r>
        <w:lastRenderedPageBreak/>
        <w:t>It will be necessary to investigate</w:t>
      </w:r>
      <w:r w:rsidRPr="008908F1">
        <w:t xml:space="preserve"> </w:t>
      </w:r>
      <w:r>
        <w:t xml:space="preserve">possible </w:t>
      </w:r>
      <w:r w:rsidRPr="008908F1">
        <w:t>financial incentives and opportunities for co</w:t>
      </w:r>
      <w:r>
        <w:noBreakHyphen/>
      </w:r>
      <w:r w:rsidRPr="008908F1">
        <w:t>financing</w:t>
      </w:r>
      <w:r>
        <w:t xml:space="preserve"> to, </w:t>
      </w:r>
      <w:r>
        <w:rPr>
          <w:i/>
        </w:rPr>
        <w:t xml:space="preserve">inter alia, </w:t>
      </w:r>
      <w:r>
        <w:t>bring additional climate benefits to HFC phase-out as well as the potential for parallel and integrated implementation of HCFC phase-out and HFC phase-down</w:t>
      </w:r>
      <w:r w:rsidRPr="008908F1">
        <w:t>;</w:t>
      </w:r>
    </w:p>
    <w:p w14:paraId="45930EEE" w14:textId="77777777" w:rsidR="00642C89" w:rsidRDefault="00642C89" w:rsidP="00642C89">
      <w:pPr>
        <w:pStyle w:val="Heading2"/>
        <w:numPr>
          <w:ilvl w:val="1"/>
          <w:numId w:val="1"/>
        </w:numPr>
      </w:pPr>
      <w:r>
        <w:t>It will be necessary to c</w:t>
      </w:r>
      <w:r w:rsidRPr="008908F1">
        <w:t>oordinat</w:t>
      </w:r>
      <w:r>
        <w:t>e</w:t>
      </w:r>
      <w:r w:rsidRPr="008908F1">
        <w:t xml:space="preserve"> with all industry asso</w:t>
      </w:r>
      <w:r>
        <w:t>ciations to contribute to the H</w:t>
      </w:r>
      <w:r w:rsidRPr="008908F1">
        <w:t>FC phase-</w:t>
      </w:r>
      <w:r>
        <w:t>down and the concurrent implementation of HPMPs.</w:t>
      </w:r>
    </w:p>
    <w:p w14:paraId="35B08ADE" w14:textId="5344543F" w:rsidR="00642C89" w:rsidRDefault="00642C89" w:rsidP="00642C89">
      <w:pPr>
        <w:pStyle w:val="Heading1"/>
      </w:pPr>
      <w:r w:rsidRPr="00963632">
        <w:t xml:space="preserve">In determining </w:t>
      </w:r>
      <w:r>
        <w:t xml:space="preserve">the </w:t>
      </w:r>
      <w:r w:rsidRPr="00963632">
        <w:t xml:space="preserve">funding level that would allow Article 5 countries to prepare the overarching strategy for stage I of the HFC phase-down plans, the Secretariat took into account </w:t>
      </w:r>
      <w:r>
        <w:t xml:space="preserve">the experience gained on the implementation of the </w:t>
      </w:r>
      <w:r w:rsidRPr="00963632">
        <w:t>guidelines agreed for funding the preparation of stage I of the HPMPs, surveys</w:t>
      </w:r>
      <w:r>
        <w:t xml:space="preserve"> of ODS alternatives</w:t>
      </w:r>
      <w:r w:rsidRPr="00963632">
        <w:t>, and enabling activities</w:t>
      </w:r>
      <w:r>
        <w:t xml:space="preserve"> for the phase-down of HFCs, and undertook a </w:t>
      </w:r>
      <w:r w:rsidRPr="00963632">
        <w:t xml:space="preserve">bottom up analysis to assess the </w:t>
      </w:r>
      <w:r>
        <w:t xml:space="preserve">funding levels of the </w:t>
      </w:r>
      <w:r w:rsidRPr="00963632">
        <w:t>main activit</w:t>
      </w:r>
      <w:r>
        <w:t xml:space="preserve">ies. </w:t>
      </w:r>
    </w:p>
    <w:p w14:paraId="5649F48C" w14:textId="2554A9D1" w:rsidR="00642C89" w:rsidRPr="00963632" w:rsidRDefault="00642C89" w:rsidP="00307ADB">
      <w:pPr>
        <w:pStyle w:val="Heading1"/>
        <w:widowControl w:val="0"/>
      </w:pPr>
      <w:r>
        <w:t xml:space="preserve">Based on the </w:t>
      </w:r>
      <w:r w:rsidRPr="00963632">
        <w:t>review</w:t>
      </w:r>
      <w:r>
        <w:t>, the grouping of countries based on their HCFC baselines for compliance was expanded to seven groups; and t</w:t>
      </w:r>
      <w:r w:rsidRPr="00963632">
        <w:t xml:space="preserve">he level of funding for each </w:t>
      </w:r>
      <w:r>
        <w:t xml:space="preserve">grouping of countries was </w:t>
      </w:r>
      <w:r w:rsidRPr="00963632">
        <w:t>adjust</w:t>
      </w:r>
      <w:r>
        <w:t>ed</w:t>
      </w:r>
      <w:r w:rsidRPr="00963632">
        <w:t xml:space="preserve"> </w:t>
      </w:r>
      <w:r>
        <w:t xml:space="preserve">taking into consideration </w:t>
      </w:r>
      <w:r w:rsidRPr="00963632">
        <w:t xml:space="preserve">the complexity of the work and </w:t>
      </w:r>
      <w:r>
        <w:t xml:space="preserve">the </w:t>
      </w:r>
      <w:r w:rsidRPr="00963632">
        <w:t xml:space="preserve">activities previously funded. Table 1 shows the proposed funding levels for the preparation of the overarching strategy for stage I of the HFC phase-down plans for Article 5 countries. </w:t>
      </w:r>
    </w:p>
    <w:p w14:paraId="6E3783A3" w14:textId="167188AC" w:rsidR="00642C89" w:rsidRPr="00097481" w:rsidRDefault="00642C89" w:rsidP="00642C89">
      <w:pPr>
        <w:widowControl w:val="0"/>
        <w:rPr>
          <w:b/>
          <w:sz w:val="21"/>
          <w:szCs w:val="21"/>
          <w:lang w:val="en-CA"/>
        </w:rPr>
      </w:pPr>
      <w:r w:rsidRPr="00097481">
        <w:rPr>
          <w:b/>
          <w:sz w:val="21"/>
          <w:szCs w:val="21"/>
          <w:lang w:val="en-CA"/>
        </w:rPr>
        <w:t>Table 1. Funding levels for the preparation of the overarching strate</w:t>
      </w:r>
      <w:r w:rsidR="005E0394" w:rsidRPr="00097481">
        <w:rPr>
          <w:b/>
          <w:sz w:val="21"/>
          <w:szCs w:val="21"/>
          <w:lang w:val="en-CA"/>
        </w:rPr>
        <w:t>gy for stage I of the HFC phase</w:t>
      </w:r>
      <w:r w:rsidR="005E0394" w:rsidRPr="00097481">
        <w:rPr>
          <w:b/>
          <w:sz w:val="21"/>
          <w:szCs w:val="21"/>
          <w:lang w:val="en-CA"/>
        </w:rPr>
        <w:noBreakHyphen/>
      </w:r>
      <w:r w:rsidRPr="00097481">
        <w:rPr>
          <w:b/>
          <w:sz w:val="21"/>
          <w:szCs w:val="21"/>
          <w:lang w:val="en-CA"/>
        </w:rPr>
        <w:t>down plans for Article 5 countries</w:t>
      </w:r>
    </w:p>
    <w:tbl>
      <w:tblPr>
        <w:tblW w:w="9360" w:type="dxa"/>
        <w:tblInd w:w="-5" w:type="dxa"/>
        <w:tblLayout w:type="fixed"/>
        <w:tblLook w:val="04A0" w:firstRow="1" w:lastRow="0" w:firstColumn="1" w:lastColumn="0" w:noHBand="0" w:noVBand="1"/>
      </w:tblPr>
      <w:tblGrid>
        <w:gridCol w:w="2790"/>
        <w:gridCol w:w="2190"/>
        <w:gridCol w:w="2190"/>
        <w:gridCol w:w="2190"/>
      </w:tblGrid>
      <w:tr w:rsidR="00642C89" w:rsidRPr="00963632" w14:paraId="6A564F0F" w14:textId="77777777" w:rsidTr="00C35F74">
        <w:tc>
          <w:tcPr>
            <w:tcW w:w="27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C1E9D1" w14:textId="77777777" w:rsidR="00642C89" w:rsidRPr="006772EC" w:rsidRDefault="00642C89" w:rsidP="00C35F74">
            <w:pPr>
              <w:widowControl w:val="0"/>
              <w:jc w:val="center"/>
              <w:rPr>
                <w:b/>
                <w:bCs/>
                <w:color w:val="000000"/>
                <w:sz w:val="20"/>
                <w:szCs w:val="20"/>
                <w:lang w:val="en-US"/>
              </w:rPr>
            </w:pPr>
            <w:r w:rsidRPr="006772EC">
              <w:rPr>
                <w:b/>
                <w:bCs/>
                <w:color w:val="000000"/>
                <w:sz w:val="20"/>
                <w:szCs w:val="20"/>
                <w:lang w:val="en-US"/>
              </w:rPr>
              <w:t>HCFC baseline</w:t>
            </w:r>
            <w:r>
              <w:rPr>
                <w:b/>
                <w:bCs/>
                <w:color w:val="000000"/>
                <w:sz w:val="20"/>
                <w:szCs w:val="20"/>
                <w:lang w:val="en-US"/>
              </w:rPr>
              <w:t xml:space="preserve"> </w:t>
            </w:r>
            <w:r w:rsidRPr="006772EC">
              <w:rPr>
                <w:b/>
                <w:bCs/>
                <w:color w:val="000000"/>
                <w:sz w:val="20"/>
                <w:szCs w:val="20"/>
                <w:lang w:val="en-US"/>
              </w:rPr>
              <w:t>(ODP tonnes)</w:t>
            </w:r>
          </w:p>
        </w:tc>
        <w:tc>
          <w:tcPr>
            <w:tcW w:w="21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33DC74" w14:textId="77777777" w:rsidR="00642C89" w:rsidRPr="006772EC" w:rsidRDefault="00642C89" w:rsidP="00C35F74">
            <w:pPr>
              <w:widowControl w:val="0"/>
              <w:jc w:val="center"/>
              <w:rPr>
                <w:b/>
                <w:bCs/>
                <w:color w:val="000000"/>
                <w:sz w:val="20"/>
                <w:szCs w:val="20"/>
                <w:lang w:val="en-US"/>
              </w:rPr>
            </w:pPr>
            <w:r w:rsidRPr="006772EC">
              <w:rPr>
                <w:b/>
                <w:bCs/>
                <w:color w:val="000000"/>
                <w:sz w:val="20"/>
                <w:szCs w:val="20"/>
                <w:lang w:val="en-US"/>
              </w:rPr>
              <w:t>Number of countries</w:t>
            </w:r>
          </w:p>
        </w:tc>
        <w:tc>
          <w:tcPr>
            <w:tcW w:w="21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9D2CB4" w14:textId="77777777" w:rsidR="00642C89" w:rsidRPr="006772EC" w:rsidRDefault="00642C89" w:rsidP="00C35F74">
            <w:pPr>
              <w:widowControl w:val="0"/>
              <w:jc w:val="center"/>
              <w:rPr>
                <w:b/>
                <w:bCs/>
                <w:color w:val="000000"/>
                <w:sz w:val="20"/>
                <w:szCs w:val="20"/>
                <w:lang w:val="en-US"/>
              </w:rPr>
            </w:pPr>
            <w:r w:rsidRPr="006772EC">
              <w:rPr>
                <w:b/>
                <w:bCs/>
                <w:color w:val="000000"/>
                <w:sz w:val="20"/>
                <w:szCs w:val="20"/>
                <w:lang w:val="en-US"/>
              </w:rPr>
              <w:t>Unitary cost (US $)</w:t>
            </w:r>
          </w:p>
        </w:tc>
        <w:tc>
          <w:tcPr>
            <w:tcW w:w="21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C8B1B5" w14:textId="17A27376" w:rsidR="00642C89" w:rsidRPr="006772EC" w:rsidRDefault="00642C89" w:rsidP="00097481">
            <w:pPr>
              <w:widowControl w:val="0"/>
              <w:jc w:val="center"/>
              <w:rPr>
                <w:b/>
                <w:bCs/>
                <w:color w:val="000000"/>
                <w:sz w:val="20"/>
                <w:szCs w:val="20"/>
                <w:lang w:val="en-US"/>
              </w:rPr>
            </w:pPr>
            <w:r w:rsidRPr="006772EC">
              <w:rPr>
                <w:b/>
                <w:bCs/>
                <w:color w:val="000000"/>
                <w:sz w:val="20"/>
                <w:szCs w:val="20"/>
                <w:lang w:val="en-US"/>
              </w:rPr>
              <w:t>Total cost (US</w:t>
            </w:r>
            <w:r w:rsidR="00097481">
              <w:rPr>
                <w:b/>
                <w:bCs/>
                <w:color w:val="000000"/>
                <w:sz w:val="20"/>
                <w:szCs w:val="20"/>
                <w:lang w:val="en-US"/>
              </w:rPr>
              <w:t> </w:t>
            </w:r>
            <w:r w:rsidRPr="006772EC">
              <w:rPr>
                <w:b/>
                <w:bCs/>
                <w:color w:val="000000"/>
                <w:sz w:val="20"/>
                <w:szCs w:val="20"/>
                <w:lang w:val="en-US"/>
              </w:rPr>
              <w:t xml:space="preserve">$) </w:t>
            </w:r>
          </w:p>
        </w:tc>
      </w:tr>
      <w:tr w:rsidR="00CF5414" w:rsidRPr="00963632" w14:paraId="33867827" w14:textId="77777777" w:rsidTr="00CF5414">
        <w:tc>
          <w:tcPr>
            <w:tcW w:w="2790" w:type="dxa"/>
            <w:tcBorders>
              <w:top w:val="single" w:sz="4" w:space="0" w:color="auto"/>
              <w:left w:val="single" w:sz="4" w:space="0" w:color="auto"/>
              <w:bottom w:val="single" w:sz="4" w:space="0" w:color="auto"/>
              <w:right w:val="single" w:sz="4" w:space="0" w:color="auto"/>
            </w:tcBorders>
            <w:shd w:val="clear" w:color="auto" w:fill="auto"/>
            <w:hideMark/>
          </w:tcPr>
          <w:p w14:paraId="0C23D848" w14:textId="01CFA381" w:rsidR="00CF5414" w:rsidRPr="00097481" w:rsidRDefault="00CF5414" w:rsidP="00CF5414">
            <w:pPr>
              <w:widowControl w:val="0"/>
              <w:rPr>
                <w:color w:val="000000"/>
                <w:sz w:val="20"/>
                <w:szCs w:val="20"/>
                <w:lang w:val="en-US"/>
              </w:rPr>
            </w:pPr>
            <w:r w:rsidRPr="00097481">
              <w:rPr>
                <w:sz w:val="20"/>
                <w:szCs w:val="20"/>
              </w:rPr>
              <w:t xml:space="preserve">Below 1 </w:t>
            </w:r>
          </w:p>
        </w:tc>
        <w:tc>
          <w:tcPr>
            <w:tcW w:w="2190" w:type="dxa"/>
            <w:tcBorders>
              <w:top w:val="nil"/>
              <w:left w:val="nil"/>
              <w:bottom w:val="single" w:sz="4" w:space="0" w:color="auto"/>
              <w:right w:val="single" w:sz="4" w:space="0" w:color="auto"/>
            </w:tcBorders>
            <w:shd w:val="clear" w:color="auto" w:fill="auto"/>
            <w:tcMar>
              <w:left w:w="115" w:type="dxa"/>
              <w:right w:w="288" w:type="dxa"/>
            </w:tcMar>
            <w:hideMark/>
          </w:tcPr>
          <w:p w14:paraId="562CEFDD" w14:textId="083161FA" w:rsidR="00CF5414" w:rsidRPr="00097481" w:rsidRDefault="00CF5414" w:rsidP="00CF5414">
            <w:pPr>
              <w:widowControl w:val="0"/>
              <w:jc w:val="right"/>
              <w:rPr>
                <w:color w:val="000000"/>
                <w:sz w:val="20"/>
                <w:szCs w:val="20"/>
                <w:lang w:val="en-US"/>
              </w:rPr>
            </w:pPr>
            <w:r w:rsidRPr="00097481">
              <w:rPr>
                <w:sz w:val="20"/>
                <w:szCs w:val="20"/>
              </w:rPr>
              <w:t>22</w:t>
            </w:r>
          </w:p>
        </w:tc>
        <w:tc>
          <w:tcPr>
            <w:tcW w:w="2190" w:type="dxa"/>
            <w:tcBorders>
              <w:top w:val="nil"/>
              <w:left w:val="nil"/>
              <w:bottom w:val="single" w:sz="4" w:space="0" w:color="auto"/>
              <w:right w:val="single" w:sz="4" w:space="0" w:color="auto"/>
            </w:tcBorders>
            <w:shd w:val="clear" w:color="auto" w:fill="auto"/>
            <w:tcMar>
              <w:left w:w="115" w:type="dxa"/>
              <w:right w:w="288" w:type="dxa"/>
            </w:tcMar>
            <w:vAlign w:val="center"/>
            <w:hideMark/>
          </w:tcPr>
          <w:p w14:paraId="14FAC37C" w14:textId="2966DA2D" w:rsidR="00CF5414" w:rsidRPr="00CF5414" w:rsidRDefault="00CF5414" w:rsidP="00CF5414">
            <w:pPr>
              <w:widowControl w:val="0"/>
              <w:jc w:val="right"/>
              <w:rPr>
                <w:color w:val="000000"/>
                <w:sz w:val="20"/>
                <w:szCs w:val="20"/>
                <w:lang w:val="en-US"/>
              </w:rPr>
            </w:pPr>
            <w:r w:rsidRPr="00CF5414">
              <w:rPr>
                <w:sz w:val="20"/>
                <w:szCs w:val="20"/>
              </w:rPr>
              <w:t>100,000</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732A297C" w14:textId="6CAF908F" w:rsidR="00CF5414" w:rsidRPr="00CF5414" w:rsidRDefault="00CF5414" w:rsidP="00CF5414">
            <w:pPr>
              <w:widowControl w:val="0"/>
              <w:jc w:val="right"/>
              <w:rPr>
                <w:color w:val="000000"/>
                <w:sz w:val="20"/>
                <w:szCs w:val="20"/>
                <w:lang w:val="en-US"/>
              </w:rPr>
            </w:pPr>
            <w:r w:rsidRPr="00CF5414">
              <w:rPr>
                <w:sz w:val="20"/>
                <w:szCs w:val="20"/>
              </w:rPr>
              <w:t>2,200,000</w:t>
            </w:r>
          </w:p>
        </w:tc>
      </w:tr>
      <w:tr w:rsidR="00CF5414" w:rsidRPr="00963632" w14:paraId="4596881D" w14:textId="77777777" w:rsidTr="00CF5414">
        <w:tc>
          <w:tcPr>
            <w:tcW w:w="2790" w:type="dxa"/>
            <w:tcBorders>
              <w:top w:val="nil"/>
              <w:left w:val="single" w:sz="4" w:space="0" w:color="auto"/>
              <w:bottom w:val="single" w:sz="4" w:space="0" w:color="auto"/>
              <w:right w:val="single" w:sz="4" w:space="0" w:color="auto"/>
            </w:tcBorders>
            <w:shd w:val="clear" w:color="auto" w:fill="auto"/>
            <w:hideMark/>
          </w:tcPr>
          <w:p w14:paraId="48BC3E9E" w14:textId="1B2D8FAA" w:rsidR="00CF5414" w:rsidRPr="00097481" w:rsidRDefault="00753883" w:rsidP="00CF5414">
            <w:pPr>
              <w:widowControl w:val="0"/>
              <w:rPr>
                <w:color w:val="000000"/>
                <w:sz w:val="20"/>
                <w:szCs w:val="20"/>
                <w:lang w:val="en-US"/>
              </w:rPr>
            </w:pPr>
            <w:r>
              <w:rPr>
                <w:sz w:val="20"/>
                <w:szCs w:val="20"/>
              </w:rPr>
              <w:t>1 and</w:t>
            </w:r>
            <w:r w:rsidR="00CF5414" w:rsidRPr="00097481">
              <w:rPr>
                <w:sz w:val="20"/>
                <w:szCs w:val="20"/>
              </w:rPr>
              <w:t xml:space="preserve"> up to 6</w:t>
            </w:r>
          </w:p>
        </w:tc>
        <w:tc>
          <w:tcPr>
            <w:tcW w:w="2190" w:type="dxa"/>
            <w:tcBorders>
              <w:top w:val="nil"/>
              <w:left w:val="nil"/>
              <w:bottom w:val="single" w:sz="4" w:space="0" w:color="auto"/>
              <w:right w:val="single" w:sz="4" w:space="0" w:color="auto"/>
            </w:tcBorders>
            <w:shd w:val="clear" w:color="auto" w:fill="auto"/>
            <w:tcMar>
              <w:left w:w="115" w:type="dxa"/>
              <w:right w:w="288" w:type="dxa"/>
            </w:tcMar>
            <w:hideMark/>
          </w:tcPr>
          <w:p w14:paraId="78BB140E" w14:textId="666CB647" w:rsidR="00CF5414" w:rsidRPr="00097481" w:rsidRDefault="00CF5414" w:rsidP="00CF5414">
            <w:pPr>
              <w:widowControl w:val="0"/>
              <w:jc w:val="right"/>
              <w:rPr>
                <w:color w:val="000000"/>
                <w:sz w:val="20"/>
                <w:szCs w:val="20"/>
                <w:lang w:val="en-US"/>
              </w:rPr>
            </w:pPr>
            <w:r w:rsidRPr="00097481">
              <w:rPr>
                <w:sz w:val="20"/>
                <w:szCs w:val="20"/>
              </w:rPr>
              <w:t>36</w:t>
            </w:r>
          </w:p>
        </w:tc>
        <w:tc>
          <w:tcPr>
            <w:tcW w:w="2190" w:type="dxa"/>
            <w:tcBorders>
              <w:top w:val="nil"/>
              <w:left w:val="nil"/>
              <w:bottom w:val="single" w:sz="4" w:space="0" w:color="auto"/>
              <w:right w:val="single" w:sz="4" w:space="0" w:color="auto"/>
            </w:tcBorders>
            <w:shd w:val="clear" w:color="auto" w:fill="auto"/>
            <w:tcMar>
              <w:left w:w="115" w:type="dxa"/>
              <w:right w:w="288" w:type="dxa"/>
            </w:tcMar>
            <w:vAlign w:val="center"/>
            <w:hideMark/>
          </w:tcPr>
          <w:p w14:paraId="3BFD4310" w14:textId="76896A7B" w:rsidR="00CF5414" w:rsidRPr="00CF5414" w:rsidRDefault="00CF5414" w:rsidP="00CF5414">
            <w:pPr>
              <w:widowControl w:val="0"/>
              <w:jc w:val="right"/>
              <w:rPr>
                <w:color w:val="000000"/>
                <w:sz w:val="20"/>
                <w:szCs w:val="20"/>
                <w:lang w:val="en-US"/>
              </w:rPr>
            </w:pPr>
            <w:r w:rsidRPr="00CF5414">
              <w:rPr>
                <w:sz w:val="20"/>
                <w:szCs w:val="20"/>
              </w:rPr>
              <w:t>130,000</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7E029EE4" w14:textId="391CFCC5" w:rsidR="00CF5414" w:rsidRPr="00CF5414" w:rsidRDefault="00CF5414" w:rsidP="00CF5414">
            <w:pPr>
              <w:widowControl w:val="0"/>
              <w:jc w:val="right"/>
              <w:rPr>
                <w:color w:val="000000"/>
                <w:sz w:val="20"/>
                <w:szCs w:val="20"/>
                <w:lang w:val="en-US"/>
              </w:rPr>
            </w:pPr>
            <w:r w:rsidRPr="00CF5414">
              <w:rPr>
                <w:sz w:val="20"/>
                <w:szCs w:val="20"/>
              </w:rPr>
              <w:t>4,680,000</w:t>
            </w:r>
          </w:p>
        </w:tc>
      </w:tr>
      <w:tr w:rsidR="00CF5414" w:rsidRPr="00963632" w14:paraId="5028FF8B" w14:textId="77777777" w:rsidTr="00CF5414">
        <w:tc>
          <w:tcPr>
            <w:tcW w:w="2790" w:type="dxa"/>
            <w:tcBorders>
              <w:top w:val="nil"/>
              <w:left w:val="single" w:sz="4" w:space="0" w:color="auto"/>
              <w:bottom w:val="single" w:sz="4" w:space="0" w:color="auto"/>
              <w:right w:val="single" w:sz="4" w:space="0" w:color="auto"/>
            </w:tcBorders>
            <w:shd w:val="clear" w:color="auto" w:fill="auto"/>
            <w:hideMark/>
          </w:tcPr>
          <w:p w14:paraId="3AF0A0F8" w14:textId="53DC6084" w:rsidR="00CF5414" w:rsidRPr="00097481" w:rsidRDefault="00CF5414" w:rsidP="00CF5414">
            <w:pPr>
              <w:widowControl w:val="0"/>
              <w:rPr>
                <w:color w:val="000000"/>
                <w:sz w:val="20"/>
                <w:szCs w:val="20"/>
                <w:lang w:val="en-US"/>
              </w:rPr>
            </w:pPr>
            <w:r w:rsidRPr="00097481">
              <w:rPr>
                <w:sz w:val="20"/>
                <w:szCs w:val="20"/>
              </w:rPr>
              <w:t xml:space="preserve">Above 6 and up to 20 </w:t>
            </w:r>
          </w:p>
        </w:tc>
        <w:tc>
          <w:tcPr>
            <w:tcW w:w="2190" w:type="dxa"/>
            <w:tcBorders>
              <w:top w:val="nil"/>
              <w:left w:val="nil"/>
              <w:bottom w:val="single" w:sz="4" w:space="0" w:color="auto"/>
              <w:right w:val="single" w:sz="4" w:space="0" w:color="auto"/>
            </w:tcBorders>
            <w:shd w:val="clear" w:color="auto" w:fill="auto"/>
            <w:tcMar>
              <w:left w:w="115" w:type="dxa"/>
              <w:right w:w="288" w:type="dxa"/>
            </w:tcMar>
            <w:hideMark/>
          </w:tcPr>
          <w:p w14:paraId="3C5C1B2B" w14:textId="7B5F9D0F" w:rsidR="00CF5414" w:rsidRPr="00097481" w:rsidRDefault="00CF5414" w:rsidP="00CF5414">
            <w:pPr>
              <w:widowControl w:val="0"/>
              <w:jc w:val="right"/>
              <w:rPr>
                <w:color w:val="000000"/>
                <w:sz w:val="20"/>
                <w:szCs w:val="20"/>
                <w:lang w:val="en-US"/>
              </w:rPr>
            </w:pPr>
            <w:r w:rsidRPr="00097481">
              <w:rPr>
                <w:sz w:val="20"/>
                <w:szCs w:val="20"/>
              </w:rPr>
              <w:t>30</w:t>
            </w:r>
          </w:p>
        </w:tc>
        <w:tc>
          <w:tcPr>
            <w:tcW w:w="2190" w:type="dxa"/>
            <w:tcBorders>
              <w:top w:val="nil"/>
              <w:left w:val="nil"/>
              <w:bottom w:val="single" w:sz="4" w:space="0" w:color="auto"/>
              <w:right w:val="single" w:sz="4" w:space="0" w:color="auto"/>
            </w:tcBorders>
            <w:shd w:val="clear" w:color="auto" w:fill="auto"/>
            <w:tcMar>
              <w:left w:w="115" w:type="dxa"/>
              <w:right w:w="288" w:type="dxa"/>
            </w:tcMar>
            <w:vAlign w:val="center"/>
            <w:hideMark/>
          </w:tcPr>
          <w:p w14:paraId="348B08A1" w14:textId="042F748E" w:rsidR="00CF5414" w:rsidRPr="00CF5414" w:rsidRDefault="00CF5414" w:rsidP="00CF5414">
            <w:pPr>
              <w:widowControl w:val="0"/>
              <w:jc w:val="right"/>
              <w:rPr>
                <w:color w:val="000000"/>
                <w:sz w:val="20"/>
                <w:szCs w:val="20"/>
                <w:lang w:val="en-US"/>
              </w:rPr>
            </w:pPr>
            <w:r w:rsidRPr="00CF5414">
              <w:rPr>
                <w:sz w:val="20"/>
                <w:szCs w:val="20"/>
              </w:rPr>
              <w:t>170,000</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54D6D151" w14:textId="5DD1EE87" w:rsidR="00CF5414" w:rsidRPr="00CF5414" w:rsidRDefault="00CF5414" w:rsidP="00CF5414">
            <w:pPr>
              <w:widowControl w:val="0"/>
              <w:jc w:val="right"/>
              <w:rPr>
                <w:color w:val="000000"/>
                <w:sz w:val="20"/>
                <w:szCs w:val="20"/>
                <w:lang w:val="en-US"/>
              </w:rPr>
            </w:pPr>
            <w:r w:rsidRPr="00CF5414">
              <w:rPr>
                <w:sz w:val="20"/>
                <w:szCs w:val="20"/>
              </w:rPr>
              <w:t>5,100,000</w:t>
            </w:r>
          </w:p>
        </w:tc>
      </w:tr>
      <w:tr w:rsidR="00CF5414" w:rsidRPr="00963632" w14:paraId="6EF0FF62" w14:textId="77777777" w:rsidTr="00CF5414">
        <w:tc>
          <w:tcPr>
            <w:tcW w:w="2790" w:type="dxa"/>
            <w:tcBorders>
              <w:top w:val="nil"/>
              <w:left w:val="single" w:sz="4" w:space="0" w:color="auto"/>
              <w:bottom w:val="single" w:sz="4" w:space="0" w:color="auto"/>
              <w:right w:val="single" w:sz="4" w:space="0" w:color="auto"/>
            </w:tcBorders>
            <w:shd w:val="clear" w:color="auto" w:fill="auto"/>
            <w:hideMark/>
          </w:tcPr>
          <w:p w14:paraId="4FE05FA5" w14:textId="2B89CD9B" w:rsidR="00CF5414" w:rsidRPr="00097481" w:rsidRDefault="00CF5414" w:rsidP="00CF5414">
            <w:pPr>
              <w:widowControl w:val="0"/>
              <w:rPr>
                <w:color w:val="000000"/>
                <w:sz w:val="20"/>
                <w:szCs w:val="20"/>
                <w:lang w:val="en-US"/>
              </w:rPr>
            </w:pPr>
            <w:r w:rsidRPr="00097481">
              <w:rPr>
                <w:sz w:val="20"/>
                <w:szCs w:val="20"/>
              </w:rPr>
              <w:t>Above 20 and up to 100</w:t>
            </w:r>
          </w:p>
        </w:tc>
        <w:tc>
          <w:tcPr>
            <w:tcW w:w="2190" w:type="dxa"/>
            <w:tcBorders>
              <w:top w:val="nil"/>
              <w:left w:val="nil"/>
              <w:bottom w:val="single" w:sz="4" w:space="0" w:color="auto"/>
              <w:right w:val="single" w:sz="4" w:space="0" w:color="auto"/>
            </w:tcBorders>
            <w:shd w:val="clear" w:color="auto" w:fill="auto"/>
            <w:tcMar>
              <w:left w:w="115" w:type="dxa"/>
              <w:right w:w="288" w:type="dxa"/>
            </w:tcMar>
            <w:hideMark/>
          </w:tcPr>
          <w:p w14:paraId="6DC22936" w14:textId="2C808CB7" w:rsidR="00CF5414" w:rsidRPr="00097481" w:rsidRDefault="00CF5414" w:rsidP="00CF5414">
            <w:pPr>
              <w:widowControl w:val="0"/>
              <w:jc w:val="right"/>
              <w:rPr>
                <w:color w:val="000000"/>
                <w:sz w:val="20"/>
                <w:szCs w:val="20"/>
                <w:lang w:val="en-US"/>
              </w:rPr>
            </w:pPr>
            <w:r w:rsidRPr="00097481">
              <w:rPr>
                <w:sz w:val="20"/>
                <w:szCs w:val="20"/>
              </w:rPr>
              <w:t>32</w:t>
            </w:r>
          </w:p>
        </w:tc>
        <w:tc>
          <w:tcPr>
            <w:tcW w:w="2190" w:type="dxa"/>
            <w:tcBorders>
              <w:top w:val="nil"/>
              <w:left w:val="nil"/>
              <w:bottom w:val="single" w:sz="4" w:space="0" w:color="auto"/>
              <w:right w:val="single" w:sz="4" w:space="0" w:color="auto"/>
            </w:tcBorders>
            <w:shd w:val="clear" w:color="auto" w:fill="auto"/>
            <w:tcMar>
              <w:left w:w="115" w:type="dxa"/>
              <w:right w:w="288" w:type="dxa"/>
            </w:tcMar>
            <w:vAlign w:val="center"/>
            <w:hideMark/>
          </w:tcPr>
          <w:p w14:paraId="4CB3E883" w14:textId="1B60C77D" w:rsidR="00CF5414" w:rsidRPr="00CF5414" w:rsidRDefault="00CF5414" w:rsidP="00CF5414">
            <w:pPr>
              <w:widowControl w:val="0"/>
              <w:jc w:val="right"/>
              <w:rPr>
                <w:color w:val="000000"/>
                <w:sz w:val="20"/>
                <w:szCs w:val="20"/>
                <w:lang w:val="en-US"/>
              </w:rPr>
            </w:pPr>
            <w:r w:rsidRPr="00CF5414">
              <w:rPr>
                <w:sz w:val="20"/>
                <w:szCs w:val="20"/>
              </w:rPr>
              <w:t>190,000</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2CEBD902" w14:textId="0A08F453" w:rsidR="00CF5414" w:rsidRPr="00CF5414" w:rsidRDefault="00CF5414" w:rsidP="00CF5414">
            <w:pPr>
              <w:widowControl w:val="0"/>
              <w:jc w:val="right"/>
              <w:rPr>
                <w:color w:val="000000"/>
                <w:sz w:val="20"/>
                <w:szCs w:val="20"/>
                <w:lang w:val="en-US"/>
              </w:rPr>
            </w:pPr>
            <w:r w:rsidRPr="00CF5414">
              <w:rPr>
                <w:sz w:val="20"/>
                <w:szCs w:val="20"/>
              </w:rPr>
              <w:t>6,080,000</w:t>
            </w:r>
          </w:p>
        </w:tc>
      </w:tr>
      <w:tr w:rsidR="00CF5414" w:rsidRPr="00963632" w14:paraId="486CFAAD" w14:textId="77777777" w:rsidTr="00CF5414">
        <w:tc>
          <w:tcPr>
            <w:tcW w:w="2790" w:type="dxa"/>
            <w:tcBorders>
              <w:top w:val="nil"/>
              <w:left w:val="single" w:sz="4" w:space="0" w:color="auto"/>
              <w:bottom w:val="single" w:sz="4" w:space="0" w:color="auto"/>
              <w:right w:val="single" w:sz="4" w:space="0" w:color="auto"/>
            </w:tcBorders>
            <w:shd w:val="clear" w:color="auto" w:fill="auto"/>
            <w:hideMark/>
          </w:tcPr>
          <w:p w14:paraId="2E8254C1" w14:textId="1014B94F" w:rsidR="00CF5414" w:rsidRPr="00097481" w:rsidRDefault="00CF5414" w:rsidP="00CF5414">
            <w:pPr>
              <w:widowControl w:val="0"/>
              <w:rPr>
                <w:color w:val="000000"/>
                <w:sz w:val="20"/>
                <w:szCs w:val="20"/>
                <w:lang w:val="en-US"/>
              </w:rPr>
            </w:pPr>
            <w:r w:rsidRPr="00097481">
              <w:rPr>
                <w:sz w:val="20"/>
                <w:szCs w:val="20"/>
              </w:rPr>
              <w:t>Above 100 and up to 1,000</w:t>
            </w:r>
            <w:r w:rsidR="00A70F54">
              <w:rPr>
                <w:sz w:val="20"/>
                <w:szCs w:val="20"/>
              </w:rPr>
              <w:t>*</w:t>
            </w:r>
          </w:p>
        </w:tc>
        <w:tc>
          <w:tcPr>
            <w:tcW w:w="2190" w:type="dxa"/>
            <w:tcBorders>
              <w:top w:val="nil"/>
              <w:left w:val="nil"/>
              <w:bottom w:val="single" w:sz="4" w:space="0" w:color="auto"/>
              <w:right w:val="single" w:sz="4" w:space="0" w:color="auto"/>
            </w:tcBorders>
            <w:shd w:val="clear" w:color="auto" w:fill="auto"/>
            <w:tcMar>
              <w:left w:w="115" w:type="dxa"/>
              <w:right w:w="288" w:type="dxa"/>
            </w:tcMar>
            <w:hideMark/>
          </w:tcPr>
          <w:p w14:paraId="58FA3738" w14:textId="6CAFE30D" w:rsidR="00CF5414" w:rsidRPr="00097481" w:rsidRDefault="00CF5414" w:rsidP="00CF5414">
            <w:pPr>
              <w:widowControl w:val="0"/>
              <w:jc w:val="right"/>
              <w:rPr>
                <w:color w:val="000000"/>
                <w:sz w:val="20"/>
                <w:szCs w:val="20"/>
                <w:lang w:val="en-US"/>
              </w:rPr>
            </w:pPr>
            <w:r w:rsidRPr="00097481">
              <w:rPr>
                <w:sz w:val="20"/>
                <w:szCs w:val="20"/>
              </w:rPr>
              <w:t>19</w:t>
            </w:r>
          </w:p>
        </w:tc>
        <w:tc>
          <w:tcPr>
            <w:tcW w:w="2190" w:type="dxa"/>
            <w:tcBorders>
              <w:top w:val="nil"/>
              <w:left w:val="nil"/>
              <w:bottom w:val="single" w:sz="4" w:space="0" w:color="auto"/>
              <w:right w:val="single" w:sz="4" w:space="0" w:color="auto"/>
            </w:tcBorders>
            <w:shd w:val="clear" w:color="auto" w:fill="auto"/>
            <w:tcMar>
              <w:left w:w="115" w:type="dxa"/>
              <w:right w:w="288" w:type="dxa"/>
            </w:tcMar>
            <w:vAlign w:val="center"/>
            <w:hideMark/>
          </w:tcPr>
          <w:p w14:paraId="122547A6" w14:textId="3570D682" w:rsidR="00CF5414" w:rsidRPr="00CF5414" w:rsidRDefault="00CF5414" w:rsidP="00CF5414">
            <w:pPr>
              <w:widowControl w:val="0"/>
              <w:jc w:val="right"/>
              <w:rPr>
                <w:color w:val="000000"/>
                <w:sz w:val="20"/>
                <w:szCs w:val="20"/>
                <w:lang w:val="en-US"/>
              </w:rPr>
            </w:pPr>
            <w:r w:rsidRPr="00CF5414">
              <w:rPr>
                <w:sz w:val="20"/>
                <w:szCs w:val="20"/>
              </w:rPr>
              <w:t>220,000</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3B3A58C9" w14:textId="30418201" w:rsidR="00CF5414" w:rsidRPr="00CF5414" w:rsidRDefault="00CF5414" w:rsidP="00CF5414">
            <w:pPr>
              <w:widowControl w:val="0"/>
              <w:jc w:val="right"/>
              <w:rPr>
                <w:color w:val="000000"/>
                <w:sz w:val="20"/>
                <w:szCs w:val="20"/>
                <w:lang w:val="en-US"/>
              </w:rPr>
            </w:pPr>
            <w:r w:rsidRPr="00CF5414">
              <w:rPr>
                <w:sz w:val="20"/>
                <w:szCs w:val="20"/>
              </w:rPr>
              <w:t>4,180,000</w:t>
            </w:r>
          </w:p>
        </w:tc>
      </w:tr>
      <w:tr w:rsidR="00CF5414" w:rsidRPr="00963632" w14:paraId="08F4BD6D" w14:textId="77777777" w:rsidTr="00CF5414">
        <w:tc>
          <w:tcPr>
            <w:tcW w:w="2790" w:type="dxa"/>
            <w:tcBorders>
              <w:top w:val="nil"/>
              <w:left w:val="single" w:sz="4" w:space="0" w:color="auto"/>
              <w:bottom w:val="single" w:sz="4" w:space="0" w:color="auto"/>
              <w:right w:val="single" w:sz="4" w:space="0" w:color="auto"/>
            </w:tcBorders>
            <w:shd w:val="clear" w:color="auto" w:fill="auto"/>
            <w:hideMark/>
          </w:tcPr>
          <w:p w14:paraId="17D988A8" w14:textId="6853DB2F" w:rsidR="00CF5414" w:rsidRPr="00097481" w:rsidRDefault="00CF5414" w:rsidP="00CF5414">
            <w:pPr>
              <w:widowControl w:val="0"/>
              <w:rPr>
                <w:color w:val="000000"/>
                <w:sz w:val="20"/>
                <w:szCs w:val="20"/>
                <w:lang w:val="en-US"/>
              </w:rPr>
            </w:pPr>
            <w:r w:rsidRPr="00097481">
              <w:rPr>
                <w:sz w:val="20"/>
                <w:szCs w:val="20"/>
              </w:rPr>
              <w:t>Above 1,000 and up to 2,000</w:t>
            </w:r>
          </w:p>
        </w:tc>
        <w:tc>
          <w:tcPr>
            <w:tcW w:w="2190" w:type="dxa"/>
            <w:tcBorders>
              <w:top w:val="nil"/>
              <w:left w:val="nil"/>
              <w:bottom w:val="single" w:sz="4" w:space="0" w:color="auto"/>
              <w:right w:val="single" w:sz="4" w:space="0" w:color="auto"/>
            </w:tcBorders>
            <w:shd w:val="clear" w:color="auto" w:fill="auto"/>
            <w:tcMar>
              <w:left w:w="115" w:type="dxa"/>
              <w:right w:w="288" w:type="dxa"/>
            </w:tcMar>
            <w:hideMark/>
          </w:tcPr>
          <w:p w14:paraId="0F5C454A" w14:textId="1F48ACD8" w:rsidR="00CF5414" w:rsidRPr="00097481" w:rsidRDefault="00CF5414" w:rsidP="00CF5414">
            <w:pPr>
              <w:widowControl w:val="0"/>
              <w:jc w:val="right"/>
              <w:rPr>
                <w:color w:val="000000"/>
                <w:sz w:val="20"/>
                <w:szCs w:val="20"/>
                <w:lang w:val="en-US"/>
              </w:rPr>
            </w:pPr>
            <w:r w:rsidRPr="00097481">
              <w:rPr>
                <w:sz w:val="20"/>
                <w:szCs w:val="20"/>
              </w:rPr>
              <w:t>4</w:t>
            </w:r>
          </w:p>
        </w:tc>
        <w:tc>
          <w:tcPr>
            <w:tcW w:w="2190" w:type="dxa"/>
            <w:tcBorders>
              <w:top w:val="nil"/>
              <w:left w:val="nil"/>
              <w:bottom w:val="single" w:sz="4" w:space="0" w:color="auto"/>
              <w:right w:val="single" w:sz="4" w:space="0" w:color="auto"/>
            </w:tcBorders>
            <w:shd w:val="clear" w:color="auto" w:fill="auto"/>
            <w:tcMar>
              <w:left w:w="115" w:type="dxa"/>
              <w:right w:w="288" w:type="dxa"/>
            </w:tcMar>
            <w:vAlign w:val="center"/>
            <w:hideMark/>
          </w:tcPr>
          <w:p w14:paraId="61DADA75" w14:textId="190EC765" w:rsidR="00CF5414" w:rsidRPr="00CF5414" w:rsidRDefault="00CF5414" w:rsidP="00CF5414">
            <w:pPr>
              <w:widowControl w:val="0"/>
              <w:jc w:val="right"/>
              <w:rPr>
                <w:color w:val="000000"/>
                <w:sz w:val="20"/>
                <w:szCs w:val="20"/>
                <w:lang w:val="en-US"/>
              </w:rPr>
            </w:pPr>
            <w:r w:rsidRPr="00CF5414">
              <w:rPr>
                <w:sz w:val="20"/>
                <w:szCs w:val="20"/>
              </w:rPr>
              <w:t>230,000</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23FBABA6" w14:textId="27FFD7B0" w:rsidR="00CF5414" w:rsidRPr="00CF5414" w:rsidRDefault="00CF5414" w:rsidP="00CF5414">
            <w:pPr>
              <w:widowControl w:val="0"/>
              <w:jc w:val="right"/>
              <w:rPr>
                <w:color w:val="000000"/>
                <w:sz w:val="20"/>
                <w:szCs w:val="20"/>
                <w:lang w:val="en-US"/>
              </w:rPr>
            </w:pPr>
            <w:r w:rsidRPr="00CF5414">
              <w:rPr>
                <w:sz w:val="20"/>
                <w:szCs w:val="20"/>
              </w:rPr>
              <w:t>920,000</w:t>
            </w:r>
          </w:p>
        </w:tc>
      </w:tr>
      <w:tr w:rsidR="00097481" w:rsidRPr="00963632" w14:paraId="4FDF349E" w14:textId="77777777" w:rsidTr="00CF5414">
        <w:tc>
          <w:tcPr>
            <w:tcW w:w="2790" w:type="dxa"/>
            <w:tcBorders>
              <w:top w:val="nil"/>
              <w:left w:val="single" w:sz="4" w:space="0" w:color="auto"/>
              <w:bottom w:val="single" w:sz="4" w:space="0" w:color="auto"/>
              <w:right w:val="single" w:sz="4" w:space="0" w:color="auto"/>
            </w:tcBorders>
            <w:shd w:val="clear" w:color="auto" w:fill="auto"/>
          </w:tcPr>
          <w:p w14:paraId="3013A1F7" w14:textId="50CE8A1A" w:rsidR="00097481" w:rsidRPr="00097481" w:rsidRDefault="00097481" w:rsidP="00097481">
            <w:pPr>
              <w:widowControl w:val="0"/>
              <w:rPr>
                <w:color w:val="000000"/>
                <w:sz w:val="20"/>
                <w:szCs w:val="20"/>
                <w:lang w:val="en-US"/>
              </w:rPr>
            </w:pPr>
            <w:r w:rsidRPr="00097481">
              <w:rPr>
                <w:sz w:val="20"/>
                <w:szCs w:val="20"/>
              </w:rPr>
              <w:t>Above 2,000</w:t>
            </w:r>
          </w:p>
        </w:tc>
        <w:tc>
          <w:tcPr>
            <w:tcW w:w="2190" w:type="dxa"/>
            <w:tcBorders>
              <w:top w:val="nil"/>
              <w:left w:val="nil"/>
              <w:bottom w:val="single" w:sz="4" w:space="0" w:color="auto"/>
              <w:right w:val="single" w:sz="4" w:space="0" w:color="auto"/>
            </w:tcBorders>
            <w:shd w:val="clear" w:color="auto" w:fill="auto"/>
            <w:tcMar>
              <w:left w:w="115" w:type="dxa"/>
              <w:right w:w="288" w:type="dxa"/>
            </w:tcMar>
          </w:tcPr>
          <w:p w14:paraId="7C395060" w14:textId="4FB34947" w:rsidR="00097481" w:rsidRPr="00097481" w:rsidRDefault="00097481" w:rsidP="00097481">
            <w:pPr>
              <w:widowControl w:val="0"/>
              <w:jc w:val="right"/>
              <w:rPr>
                <w:color w:val="000000"/>
                <w:sz w:val="20"/>
                <w:szCs w:val="20"/>
                <w:lang w:val="en-US"/>
              </w:rPr>
            </w:pPr>
            <w:r w:rsidRPr="00097481">
              <w:rPr>
                <w:sz w:val="20"/>
                <w:szCs w:val="20"/>
              </w:rPr>
              <w:t>1</w:t>
            </w:r>
          </w:p>
        </w:tc>
        <w:tc>
          <w:tcPr>
            <w:tcW w:w="2190" w:type="dxa"/>
            <w:tcBorders>
              <w:top w:val="nil"/>
              <w:left w:val="nil"/>
              <w:bottom w:val="single" w:sz="4" w:space="0" w:color="auto"/>
              <w:right w:val="single" w:sz="4" w:space="0" w:color="auto"/>
            </w:tcBorders>
            <w:shd w:val="clear" w:color="auto" w:fill="auto"/>
            <w:tcMar>
              <w:left w:w="115" w:type="dxa"/>
              <w:right w:w="288" w:type="dxa"/>
            </w:tcMar>
            <w:vAlign w:val="center"/>
          </w:tcPr>
          <w:p w14:paraId="3DCD764D" w14:textId="59013A35" w:rsidR="00097481" w:rsidRPr="00CF5414" w:rsidRDefault="00097481" w:rsidP="00CF5414">
            <w:pPr>
              <w:widowControl w:val="0"/>
              <w:jc w:val="right"/>
              <w:rPr>
                <w:color w:val="000000"/>
                <w:sz w:val="20"/>
                <w:szCs w:val="20"/>
                <w:lang w:val="en-US"/>
              </w:rPr>
            </w:pPr>
            <w:r w:rsidRPr="00CF5414">
              <w:rPr>
                <w:sz w:val="20"/>
                <w:szCs w:val="20"/>
              </w:rPr>
              <w:t>case by case</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0E403288" w14:textId="1F22FB84" w:rsidR="00097481" w:rsidRPr="00CF5414" w:rsidRDefault="00097481" w:rsidP="00CF5414">
            <w:pPr>
              <w:widowControl w:val="0"/>
              <w:jc w:val="right"/>
              <w:rPr>
                <w:color w:val="000000"/>
                <w:sz w:val="20"/>
                <w:szCs w:val="20"/>
                <w:lang w:val="en-US"/>
              </w:rPr>
            </w:pPr>
            <w:r w:rsidRPr="00CF5414">
              <w:rPr>
                <w:sz w:val="20"/>
                <w:szCs w:val="20"/>
              </w:rPr>
              <w:t>n/a</w:t>
            </w:r>
          </w:p>
        </w:tc>
      </w:tr>
      <w:tr w:rsidR="00097481" w:rsidRPr="00097481" w14:paraId="22195633" w14:textId="77777777" w:rsidTr="00CF5414">
        <w:tc>
          <w:tcPr>
            <w:tcW w:w="2790" w:type="dxa"/>
            <w:tcBorders>
              <w:top w:val="nil"/>
              <w:left w:val="single" w:sz="4" w:space="0" w:color="auto"/>
              <w:bottom w:val="single" w:sz="4" w:space="0" w:color="auto"/>
              <w:right w:val="single" w:sz="4" w:space="0" w:color="auto"/>
            </w:tcBorders>
            <w:shd w:val="clear" w:color="auto" w:fill="auto"/>
            <w:hideMark/>
          </w:tcPr>
          <w:p w14:paraId="40F2677E" w14:textId="744BE00B" w:rsidR="00097481" w:rsidRPr="00097481" w:rsidRDefault="00097481" w:rsidP="00097481">
            <w:pPr>
              <w:widowControl w:val="0"/>
              <w:rPr>
                <w:b/>
                <w:bCs/>
                <w:color w:val="000000"/>
                <w:sz w:val="20"/>
                <w:szCs w:val="20"/>
                <w:lang w:val="en-US"/>
              </w:rPr>
            </w:pPr>
            <w:r w:rsidRPr="00097481">
              <w:rPr>
                <w:b/>
                <w:sz w:val="20"/>
                <w:szCs w:val="20"/>
              </w:rPr>
              <w:t>Total</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hideMark/>
          </w:tcPr>
          <w:p w14:paraId="2E791B4D" w14:textId="04D5071C" w:rsidR="00097481" w:rsidRPr="00097481" w:rsidRDefault="00097481" w:rsidP="00097481">
            <w:pPr>
              <w:widowControl w:val="0"/>
              <w:jc w:val="right"/>
              <w:rPr>
                <w:b/>
                <w:bCs/>
                <w:color w:val="000000"/>
                <w:sz w:val="20"/>
                <w:szCs w:val="20"/>
                <w:lang w:val="en-US"/>
              </w:rPr>
            </w:pPr>
            <w:r w:rsidRPr="00097481">
              <w:rPr>
                <w:b/>
                <w:sz w:val="20"/>
                <w:szCs w:val="20"/>
              </w:rPr>
              <w:t>144</w:t>
            </w: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77191A3B" w14:textId="1D02384E" w:rsidR="00097481" w:rsidRPr="00CF5414" w:rsidRDefault="00097481" w:rsidP="00CF5414">
            <w:pPr>
              <w:widowControl w:val="0"/>
              <w:jc w:val="right"/>
              <w:rPr>
                <w:b/>
                <w:bCs/>
                <w:color w:val="000000"/>
                <w:sz w:val="20"/>
                <w:szCs w:val="20"/>
                <w:lang w:val="en-US"/>
              </w:rPr>
            </w:pPr>
          </w:p>
        </w:tc>
        <w:tc>
          <w:tcPr>
            <w:tcW w:w="21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191051A8" w14:textId="5CAFE33A" w:rsidR="00097481" w:rsidRPr="00CF5414" w:rsidRDefault="00097481" w:rsidP="00CF5414">
            <w:pPr>
              <w:widowControl w:val="0"/>
              <w:jc w:val="right"/>
              <w:rPr>
                <w:b/>
                <w:bCs/>
                <w:color w:val="000000"/>
                <w:sz w:val="20"/>
                <w:szCs w:val="20"/>
                <w:lang w:val="en-US"/>
              </w:rPr>
            </w:pPr>
            <w:r w:rsidRPr="00CF5414">
              <w:rPr>
                <w:b/>
                <w:sz w:val="20"/>
                <w:szCs w:val="20"/>
              </w:rPr>
              <w:t>23,</w:t>
            </w:r>
            <w:r w:rsidR="00CF5414" w:rsidRPr="00CF5414">
              <w:rPr>
                <w:b/>
                <w:sz w:val="20"/>
                <w:szCs w:val="20"/>
              </w:rPr>
              <w:t>160</w:t>
            </w:r>
            <w:r w:rsidRPr="00CF5414">
              <w:rPr>
                <w:b/>
                <w:sz w:val="20"/>
                <w:szCs w:val="20"/>
              </w:rPr>
              <w:t>,000</w:t>
            </w:r>
          </w:p>
        </w:tc>
      </w:tr>
    </w:tbl>
    <w:p w14:paraId="410CB6E6" w14:textId="0BAA67C7" w:rsidR="00642C89" w:rsidRPr="00963632" w:rsidRDefault="00642C89" w:rsidP="00642C89">
      <w:pPr>
        <w:widowControl w:val="0"/>
        <w:rPr>
          <w:sz w:val="20"/>
          <w:szCs w:val="20"/>
        </w:rPr>
      </w:pPr>
      <w:r w:rsidRPr="00963632">
        <w:rPr>
          <w:sz w:val="20"/>
          <w:szCs w:val="20"/>
        </w:rPr>
        <w:t>*</w:t>
      </w:r>
      <w:r>
        <w:rPr>
          <w:sz w:val="20"/>
          <w:szCs w:val="20"/>
        </w:rPr>
        <w:t>E</w:t>
      </w:r>
      <w:r w:rsidRPr="00963632">
        <w:rPr>
          <w:sz w:val="20"/>
          <w:szCs w:val="20"/>
        </w:rPr>
        <w:t>xcluding Singapore, Republic of Korea, and United Arab Emirates</w:t>
      </w:r>
      <w:r w:rsidR="00097481">
        <w:rPr>
          <w:sz w:val="20"/>
          <w:szCs w:val="20"/>
        </w:rPr>
        <w:t>,</w:t>
      </w:r>
      <w:r w:rsidRPr="00963632">
        <w:rPr>
          <w:sz w:val="20"/>
          <w:szCs w:val="20"/>
        </w:rPr>
        <w:t xml:space="preserve"> </w:t>
      </w:r>
      <w:r>
        <w:rPr>
          <w:sz w:val="20"/>
          <w:szCs w:val="20"/>
        </w:rPr>
        <w:t xml:space="preserve">which </w:t>
      </w:r>
      <w:r w:rsidRPr="00963632">
        <w:rPr>
          <w:sz w:val="20"/>
          <w:szCs w:val="20"/>
        </w:rPr>
        <w:t xml:space="preserve">do not receive funding from the </w:t>
      </w:r>
      <w:r>
        <w:rPr>
          <w:sz w:val="20"/>
          <w:szCs w:val="20"/>
        </w:rPr>
        <w:t xml:space="preserve">Multilateral </w:t>
      </w:r>
      <w:r w:rsidRPr="00963632">
        <w:rPr>
          <w:sz w:val="20"/>
          <w:szCs w:val="20"/>
        </w:rPr>
        <w:t>Fund</w:t>
      </w:r>
      <w:r>
        <w:rPr>
          <w:sz w:val="20"/>
          <w:szCs w:val="20"/>
        </w:rPr>
        <w:t>.</w:t>
      </w:r>
    </w:p>
    <w:p w14:paraId="3DF3A6A9" w14:textId="77777777" w:rsidR="00642C89" w:rsidRPr="00D474E3" w:rsidRDefault="00642C89" w:rsidP="00642C89">
      <w:pPr>
        <w:widowControl w:val="0"/>
      </w:pPr>
    </w:p>
    <w:p w14:paraId="474D7AA2" w14:textId="77777777" w:rsidR="00642C89" w:rsidRPr="00991AB3" w:rsidRDefault="00642C89" w:rsidP="00642C89">
      <w:pPr>
        <w:pStyle w:val="Heading1"/>
        <w:widowControl w:val="0"/>
      </w:pPr>
      <w:r w:rsidRPr="00991AB3">
        <w:t>Based on the experience gained and lessons learn</w:t>
      </w:r>
      <w:r>
        <w:t>ed</w:t>
      </w:r>
      <w:r w:rsidRPr="00991AB3">
        <w:t xml:space="preserve"> during the preparation of </w:t>
      </w:r>
      <w:r>
        <w:t xml:space="preserve">the </w:t>
      </w:r>
      <w:r w:rsidRPr="00991AB3">
        <w:t xml:space="preserve">HPMPs, and </w:t>
      </w:r>
      <w:r>
        <w:t xml:space="preserve">the </w:t>
      </w:r>
      <w:r w:rsidRPr="00991AB3">
        <w:t>results achieved during their implementation</w:t>
      </w:r>
      <w:r w:rsidRPr="005E1C82">
        <w:t xml:space="preserve"> so far</w:t>
      </w:r>
      <w:r w:rsidRPr="00991AB3">
        <w:t xml:space="preserve">, the following two elements may be requested by the Executive Committee as prerequisites for approval of funding </w:t>
      </w:r>
      <w:r>
        <w:t xml:space="preserve">for </w:t>
      </w:r>
      <w:r w:rsidRPr="00991AB3">
        <w:t>stage I of the HFC phase</w:t>
      </w:r>
      <w:r>
        <w:noBreakHyphen/>
      </w:r>
      <w:r w:rsidRPr="00991AB3">
        <w:t>down plans:</w:t>
      </w:r>
    </w:p>
    <w:p w14:paraId="02667F82" w14:textId="77777777" w:rsidR="00642C89" w:rsidRPr="00991AB3" w:rsidRDefault="00642C89" w:rsidP="00642C89">
      <w:pPr>
        <w:pStyle w:val="Heading2"/>
        <w:numPr>
          <w:ilvl w:val="1"/>
          <w:numId w:val="1"/>
        </w:numPr>
      </w:pPr>
      <w:r w:rsidRPr="00991AB3">
        <w:t>Confirmation that an enforceable national system of licensing and quotas for HFC imports and, where applicable, production and exports</w:t>
      </w:r>
      <w:r>
        <w:t>,</w:t>
      </w:r>
      <w:r w:rsidRPr="00991AB3">
        <w:t xml:space="preserve"> is in place, and that the system is capable of ensuring the country's </w:t>
      </w:r>
      <w:r w:rsidRPr="00991AB3">
        <w:lastRenderedPageBreak/>
        <w:t>compliance with the Montreal Protocol HFC phase-</w:t>
      </w:r>
      <w:r>
        <w:t>down</w:t>
      </w:r>
      <w:r w:rsidRPr="00991AB3">
        <w:t xml:space="preserve"> schedule for the duration of the HFC phase-down agreement, consistent with decision</w:t>
      </w:r>
      <w:r>
        <w:t> </w:t>
      </w:r>
      <w:r w:rsidRPr="00991AB3">
        <w:t>63/17;</w:t>
      </w:r>
      <w:r w:rsidRPr="00991AB3">
        <w:rPr>
          <w:rStyle w:val="FootnoteReference"/>
        </w:rPr>
        <w:footnoteReference w:id="28"/>
      </w:r>
      <w:r w:rsidRPr="00991AB3">
        <w:t xml:space="preserve"> and</w:t>
      </w:r>
    </w:p>
    <w:p w14:paraId="31364BDC" w14:textId="77777777" w:rsidR="00642C89" w:rsidRPr="00991AB3" w:rsidRDefault="00642C89" w:rsidP="00642C89">
      <w:pPr>
        <w:pStyle w:val="Heading2"/>
        <w:numPr>
          <w:ilvl w:val="1"/>
          <w:numId w:val="1"/>
        </w:numPr>
      </w:pPr>
      <w:r>
        <w:t>A co</w:t>
      </w:r>
      <w:r w:rsidRPr="00991AB3">
        <w:t xml:space="preserve">mmitment to limit the growth in HFC consumption through policy and regulatory measures, and </w:t>
      </w:r>
      <w:r>
        <w:t xml:space="preserve">through </w:t>
      </w:r>
      <w:r w:rsidRPr="00991AB3">
        <w:t xml:space="preserve">voluntary measures </w:t>
      </w:r>
      <w:r>
        <w:t>to</w:t>
      </w:r>
      <w:r w:rsidRPr="00991AB3">
        <w:t xml:space="preserve"> be described in stage I of the HFC phase</w:t>
      </w:r>
      <w:r>
        <w:t> </w:t>
      </w:r>
      <w:r w:rsidRPr="00991AB3">
        <w:t xml:space="preserve">down plan, when submitted </w:t>
      </w:r>
      <w:r>
        <w:t>for</w:t>
      </w:r>
      <w:r w:rsidRPr="00991AB3">
        <w:t xml:space="preserve"> consideration by the Executive Committee.</w:t>
      </w:r>
    </w:p>
    <w:p w14:paraId="0B090228" w14:textId="77777777" w:rsidR="00642C89" w:rsidRDefault="00642C89" w:rsidP="003C6B4C">
      <w:pPr>
        <w:pStyle w:val="Heading1"/>
        <w:widowControl w:val="0"/>
        <w:rPr>
          <w:lang w:val="en-CA"/>
        </w:rPr>
      </w:pPr>
      <w:r>
        <w:rPr>
          <w:lang w:val="en-CA"/>
        </w:rPr>
        <w:t>With regard to funding levels for the preparation of HFC investment projects, the Executive Committee may wish to maintain the funding levels already agreed for HCFC investment projects, in line with decision 56/16(d) and (f), as described below:</w:t>
      </w:r>
    </w:p>
    <w:p w14:paraId="73A46ABB" w14:textId="77777777" w:rsidR="00642C89" w:rsidRPr="00402CB3" w:rsidRDefault="00642C89" w:rsidP="00642C89">
      <w:pPr>
        <w:pStyle w:val="Heading2"/>
        <w:numPr>
          <w:ilvl w:val="1"/>
          <w:numId w:val="1"/>
        </w:numPr>
      </w:pPr>
      <w:r w:rsidRPr="00402CB3">
        <w:t xml:space="preserve">One enterprise to be converted in a manufacturing sector: </w:t>
      </w:r>
      <w:r>
        <w:t>US $</w:t>
      </w:r>
      <w:r w:rsidRPr="00402CB3">
        <w:t xml:space="preserve">30,000; </w:t>
      </w:r>
    </w:p>
    <w:p w14:paraId="059F7C9A" w14:textId="77777777" w:rsidR="00642C89" w:rsidRPr="00402CB3" w:rsidRDefault="00642C89" w:rsidP="00642C89">
      <w:pPr>
        <w:pStyle w:val="Heading2"/>
        <w:numPr>
          <w:ilvl w:val="1"/>
          <w:numId w:val="1"/>
        </w:numPr>
      </w:pPr>
      <w:r w:rsidRPr="00402CB3">
        <w:t xml:space="preserve">Two enterprises to be converted in a manufacturing sector: </w:t>
      </w:r>
      <w:r>
        <w:t>US $</w:t>
      </w:r>
      <w:r w:rsidRPr="00402CB3">
        <w:t xml:space="preserve">60,000; </w:t>
      </w:r>
    </w:p>
    <w:p w14:paraId="527BCC61" w14:textId="77777777" w:rsidR="00642C89" w:rsidRPr="00402CB3" w:rsidRDefault="00642C89" w:rsidP="00642C89">
      <w:pPr>
        <w:pStyle w:val="Heading2"/>
        <w:numPr>
          <w:ilvl w:val="1"/>
          <w:numId w:val="1"/>
        </w:numPr>
      </w:pPr>
      <w:r w:rsidRPr="00402CB3">
        <w:t>Three to 14 enterprises</w:t>
      </w:r>
      <w:r w:rsidRPr="00402CB3" w:rsidDel="003C01EE">
        <w:t xml:space="preserve"> </w:t>
      </w:r>
      <w:r w:rsidRPr="00402CB3">
        <w:t xml:space="preserve">to be converted in a manufacturing sector: </w:t>
      </w:r>
      <w:r>
        <w:t>US $</w:t>
      </w:r>
      <w:r w:rsidRPr="00402CB3">
        <w:t>80,000;</w:t>
      </w:r>
    </w:p>
    <w:p w14:paraId="725C740F" w14:textId="77777777" w:rsidR="00642C89" w:rsidRPr="00402CB3" w:rsidRDefault="00642C89" w:rsidP="00642C89">
      <w:pPr>
        <w:pStyle w:val="Heading2"/>
        <w:numPr>
          <w:ilvl w:val="1"/>
          <w:numId w:val="1"/>
        </w:numPr>
      </w:pPr>
      <w:r w:rsidRPr="00402CB3">
        <w:t>Fifteen or more enterprises</w:t>
      </w:r>
      <w:r w:rsidRPr="00402CB3" w:rsidDel="003C01EE">
        <w:t xml:space="preserve"> </w:t>
      </w:r>
      <w:r w:rsidRPr="00402CB3">
        <w:t xml:space="preserve">to be converted in a manufacturing sector: </w:t>
      </w:r>
      <w:r>
        <w:t>US $</w:t>
      </w:r>
      <w:r w:rsidRPr="00402CB3">
        <w:t xml:space="preserve">150,000; and </w:t>
      </w:r>
    </w:p>
    <w:p w14:paraId="5FDD66F2" w14:textId="77777777" w:rsidR="00642C89" w:rsidRPr="001767FC" w:rsidRDefault="00642C89" w:rsidP="00642C89">
      <w:pPr>
        <w:pStyle w:val="Heading2"/>
        <w:numPr>
          <w:ilvl w:val="1"/>
          <w:numId w:val="1"/>
        </w:numPr>
      </w:pPr>
      <w:r w:rsidRPr="00402CB3">
        <w:t>To limit the maximum funding provided for the preparation of the investment component for any country according to the table below:</w:t>
      </w:r>
    </w:p>
    <w:tbl>
      <w:tblPr>
        <w:tblStyle w:val="TableGrid"/>
        <w:tblW w:w="7915" w:type="dxa"/>
        <w:tblInd w:w="1440" w:type="dxa"/>
        <w:tblLook w:val="01E0" w:firstRow="1" w:lastRow="1" w:firstColumn="1" w:lastColumn="1" w:noHBand="0" w:noVBand="0"/>
      </w:tblPr>
      <w:tblGrid>
        <w:gridCol w:w="3957"/>
        <w:gridCol w:w="3958"/>
      </w:tblGrid>
      <w:tr w:rsidR="00642C89" w:rsidRPr="0052205E" w14:paraId="2163D8AD" w14:textId="77777777" w:rsidTr="00C35F74">
        <w:tc>
          <w:tcPr>
            <w:tcW w:w="3957" w:type="dxa"/>
          </w:tcPr>
          <w:p w14:paraId="4BC349B9" w14:textId="77777777" w:rsidR="00642C89" w:rsidRPr="00991AB3" w:rsidRDefault="00642C89" w:rsidP="00C35F74">
            <w:pPr>
              <w:rPr>
                <w:b/>
                <w:bCs/>
                <w:sz w:val="21"/>
                <w:szCs w:val="21"/>
              </w:rPr>
            </w:pPr>
            <w:r w:rsidRPr="00991AB3">
              <w:rPr>
                <w:b/>
                <w:bCs/>
                <w:sz w:val="21"/>
                <w:szCs w:val="21"/>
              </w:rPr>
              <w:t>HCFC baseline (ODP tonnes)</w:t>
            </w:r>
          </w:p>
        </w:tc>
        <w:tc>
          <w:tcPr>
            <w:tcW w:w="3958" w:type="dxa"/>
          </w:tcPr>
          <w:p w14:paraId="1DF0290F" w14:textId="77777777" w:rsidR="00642C89" w:rsidRPr="00991AB3" w:rsidRDefault="00642C89" w:rsidP="00C35F74">
            <w:pPr>
              <w:jc w:val="center"/>
              <w:rPr>
                <w:b/>
                <w:bCs/>
                <w:sz w:val="21"/>
                <w:szCs w:val="21"/>
              </w:rPr>
            </w:pPr>
            <w:r>
              <w:rPr>
                <w:b/>
                <w:bCs/>
                <w:sz w:val="21"/>
                <w:szCs w:val="21"/>
              </w:rPr>
              <w:t xml:space="preserve">Funding </w:t>
            </w:r>
            <w:r w:rsidRPr="00991AB3">
              <w:rPr>
                <w:b/>
                <w:bCs/>
                <w:sz w:val="21"/>
                <w:szCs w:val="21"/>
              </w:rPr>
              <w:t>limit (US $)</w:t>
            </w:r>
          </w:p>
        </w:tc>
      </w:tr>
      <w:tr w:rsidR="00642C89" w:rsidRPr="0052205E" w14:paraId="3323BD42" w14:textId="77777777" w:rsidTr="00C35F74">
        <w:tc>
          <w:tcPr>
            <w:tcW w:w="3957" w:type="dxa"/>
          </w:tcPr>
          <w:p w14:paraId="0E7C2F7B" w14:textId="77777777" w:rsidR="00642C89" w:rsidRPr="0052205E" w:rsidRDefault="00642C89" w:rsidP="00C35F74">
            <w:pPr>
              <w:rPr>
                <w:sz w:val="21"/>
                <w:szCs w:val="21"/>
              </w:rPr>
            </w:pPr>
            <w:r w:rsidRPr="0052205E">
              <w:rPr>
                <w:sz w:val="21"/>
                <w:szCs w:val="21"/>
              </w:rPr>
              <w:t xml:space="preserve">Up to 100 </w:t>
            </w:r>
          </w:p>
        </w:tc>
        <w:tc>
          <w:tcPr>
            <w:tcW w:w="3958" w:type="dxa"/>
            <w:vAlign w:val="center"/>
          </w:tcPr>
          <w:p w14:paraId="4D3631DD" w14:textId="77777777" w:rsidR="00642C89" w:rsidRPr="0052205E" w:rsidRDefault="00642C89" w:rsidP="00C35F74">
            <w:pPr>
              <w:ind w:left="786"/>
              <w:jc w:val="center"/>
              <w:rPr>
                <w:sz w:val="21"/>
                <w:szCs w:val="21"/>
              </w:rPr>
            </w:pPr>
            <w:r w:rsidRPr="0052205E">
              <w:rPr>
                <w:sz w:val="21"/>
                <w:szCs w:val="21"/>
              </w:rPr>
              <w:t>100,000</w:t>
            </w:r>
          </w:p>
        </w:tc>
      </w:tr>
      <w:tr w:rsidR="00642C89" w:rsidRPr="0052205E" w14:paraId="66F42FEF" w14:textId="77777777" w:rsidTr="00C35F74">
        <w:tc>
          <w:tcPr>
            <w:tcW w:w="3957" w:type="dxa"/>
          </w:tcPr>
          <w:p w14:paraId="7D205BDF" w14:textId="77777777" w:rsidR="00642C89" w:rsidRPr="0052205E" w:rsidRDefault="00642C89" w:rsidP="00C35F74">
            <w:pPr>
              <w:rPr>
                <w:sz w:val="21"/>
                <w:szCs w:val="21"/>
              </w:rPr>
            </w:pPr>
            <w:r w:rsidRPr="0052205E">
              <w:rPr>
                <w:sz w:val="21"/>
                <w:szCs w:val="21"/>
              </w:rPr>
              <w:t xml:space="preserve">101–300 </w:t>
            </w:r>
          </w:p>
        </w:tc>
        <w:tc>
          <w:tcPr>
            <w:tcW w:w="3958" w:type="dxa"/>
            <w:vAlign w:val="center"/>
          </w:tcPr>
          <w:p w14:paraId="5D71847A" w14:textId="77777777" w:rsidR="00642C89" w:rsidRPr="0052205E" w:rsidRDefault="00642C89" w:rsidP="00C35F74">
            <w:pPr>
              <w:ind w:left="786"/>
              <w:jc w:val="center"/>
              <w:rPr>
                <w:sz w:val="21"/>
                <w:szCs w:val="21"/>
              </w:rPr>
            </w:pPr>
            <w:r w:rsidRPr="0052205E">
              <w:rPr>
                <w:sz w:val="21"/>
                <w:szCs w:val="21"/>
              </w:rPr>
              <w:t>200,000</w:t>
            </w:r>
          </w:p>
        </w:tc>
      </w:tr>
      <w:tr w:rsidR="00642C89" w:rsidRPr="0052205E" w14:paraId="28987828" w14:textId="77777777" w:rsidTr="00C35F74">
        <w:trPr>
          <w:trHeight w:val="179"/>
        </w:trPr>
        <w:tc>
          <w:tcPr>
            <w:tcW w:w="3957" w:type="dxa"/>
          </w:tcPr>
          <w:p w14:paraId="40DFC814" w14:textId="77777777" w:rsidR="00642C89" w:rsidRPr="0052205E" w:rsidRDefault="00642C89" w:rsidP="00C35F74">
            <w:pPr>
              <w:rPr>
                <w:sz w:val="21"/>
                <w:szCs w:val="21"/>
              </w:rPr>
            </w:pPr>
            <w:r w:rsidRPr="0052205E">
              <w:rPr>
                <w:sz w:val="21"/>
                <w:szCs w:val="21"/>
              </w:rPr>
              <w:t>301-500</w:t>
            </w:r>
          </w:p>
        </w:tc>
        <w:tc>
          <w:tcPr>
            <w:tcW w:w="3958" w:type="dxa"/>
            <w:vAlign w:val="center"/>
          </w:tcPr>
          <w:p w14:paraId="640B8274" w14:textId="77777777" w:rsidR="00642C89" w:rsidRPr="0052205E" w:rsidRDefault="00642C89" w:rsidP="00C35F74">
            <w:pPr>
              <w:ind w:left="786"/>
              <w:jc w:val="center"/>
              <w:rPr>
                <w:sz w:val="21"/>
                <w:szCs w:val="21"/>
              </w:rPr>
            </w:pPr>
            <w:r w:rsidRPr="0052205E">
              <w:rPr>
                <w:sz w:val="21"/>
                <w:szCs w:val="21"/>
              </w:rPr>
              <w:t>250,000</w:t>
            </w:r>
          </w:p>
        </w:tc>
      </w:tr>
      <w:tr w:rsidR="00642C89" w:rsidRPr="0052205E" w14:paraId="1ED9B789" w14:textId="77777777" w:rsidTr="00C35F74">
        <w:tc>
          <w:tcPr>
            <w:tcW w:w="3957" w:type="dxa"/>
          </w:tcPr>
          <w:p w14:paraId="7C464C1A" w14:textId="77777777" w:rsidR="00642C89" w:rsidRPr="0052205E" w:rsidRDefault="00642C89" w:rsidP="00C35F74">
            <w:pPr>
              <w:rPr>
                <w:sz w:val="21"/>
                <w:szCs w:val="21"/>
              </w:rPr>
            </w:pPr>
            <w:r w:rsidRPr="0052205E">
              <w:rPr>
                <w:sz w:val="21"/>
                <w:szCs w:val="21"/>
              </w:rPr>
              <w:t xml:space="preserve">501–1,000 </w:t>
            </w:r>
          </w:p>
        </w:tc>
        <w:tc>
          <w:tcPr>
            <w:tcW w:w="3958" w:type="dxa"/>
            <w:vAlign w:val="center"/>
          </w:tcPr>
          <w:p w14:paraId="2FE27CC7" w14:textId="77777777" w:rsidR="00642C89" w:rsidRPr="0052205E" w:rsidRDefault="00642C89" w:rsidP="00C35F74">
            <w:pPr>
              <w:ind w:left="786"/>
              <w:jc w:val="center"/>
              <w:rPr>
                <w:sz w:val="21"/>
                <w:szCs w:val="21"/>
              </w:rPr>
            </w:pPr>
            <w:r w:rsidRPr="0052205E">
              <w:rPr>
                <w:sz w:val="21"/>
                <w:szCs w:val="21"/>
              </w:rPr>
              <w:t>300,000</w:t>
            </w:r>
          </w:p>
        </w:tc>
      </w:tr>
      <w:tr w:rsidR="00642C89" w:rsidRPr="0052205E" w14:paraId="49EBE2A4" w14:textId="77777777" w:rsidTr="00C35F74">
        <w:tc>
          <w:tcPr>
            <w:tcW w:w="3957" w:type="dxa"/>
          </w:tcPr>
          <w:p w14:paraId="2162C30F" w14:textId="77777777" w:rsidR="00642C89" w:rsidRPr="0052205E" w:rsidRDefault="00642C89" w:rsidP="00C35F74">
            <w:pPr>
              <w:rPr>
                <w:sz w:val="21"/>
                <w:szCs w:val="21"/>
              </w:rPr>
            </w:pPr>
            <w:r w:rsidRPr="0052205E">
              <w:rPr>
                <w:sz w:val="21"/>
                <w:szCs w:val="21"/>
              </w:rPr>
              <w:t>1,001 and above</w:t>
            </w:r>
          </w:p>
        </w:tc>
        <w:tc>
          <w:tcPr>
            <w:tcW w:w="3958" w:type="dxa"/>
            <w:vAlign w:val="center"/>
          </w:tcPr>
          <w:p w14:paraId="64E1EA71" w14:textId="77777777" w:rsidR="00642C89" w:rsidRPr="0052205E" w:rsidRDefault="00642C89" w:rsidP="00C35F74">
            <w:pPr>
              <w:ind w:left="786"/>
              <w:jc w:val="center"/>
              <w:rPr>
                <w:sz w:val="21"/>
                <w:szCs w:val="21"/>
              </w:rPr>
            </w:pPr>
            <w:r w:rsidRPr="0052205E">
              <w:rPr>
                <w:sz w:val="21"/>
                <w:szCs w:val="21"/>
              </w:rPr>
              <w:t>400,000</w:t>
            </w:r>
          </w:p>
        </w:tc>
      </w:tr>
    </w:tbl>
    <w:p w14:paraId="79629580" w14:textId="77777777" w:rsidR="00642C89" w:rsidRPr="00B91EBF" w:rsidRDefault="00642C89" w:rsidP="00642C89">
      <w:pPr>
        <w:widowControl w:val="0"/>
        <w:outlineLvl w:val="0"/>
        <w:rPr>
          <w:lang w:val="en-CA"/>
        </w:rPr>
      </w:pPr>
      <w:r w:rsidRPr="00B91EBF">
        <w:rPr>
          <w:lang w:val="en-CA"/>
        </w:rPr>
        <w:t xml:space="preserve"> </w:t>
      </w:r>
    </w:p>
    <w:p w14:paraId="560E4D3B" w14:textId="77777777" w:rsidR="00642C89" w:rsidRPr="0085780D" w:rsidRDefault="00642C89" w:rsidP="00642C89">
      <w:pPr>
        <w:rPr>
          <w:b/>
          <w:lang w:val="en-CA"/>
        </w:rPr>
      </w:pPr>
      <w:r w:rsidRPr="0085780D">
        <w:rPr>
          <w:b/>
          <w:lang w:val="en-CA"/>
        </w:rPr>
        <w:t>Recommendation</w:t>
      </w:r>
    </w:p>
    <w:p w14:paraId="7DB5A27A" w14:textId="77777777" w:rsidR="00642C89" w:rsidRPr="0085780D" w:rsidRDefault="00642C89" w:rsidP="00642C89">
      <w:pPr>
        <w:rPr>
          <w:lang w:val="en-CA"/>
        </w:rPr>
      </w:pPr>
    </w:p>
    <w:p w14:paraId="3C271E8D" w14:textId="77777777" w:rsidR="00642C89" w:rsidRDefault="00642C89" w:rsidP="00642C89">
      <w:pPr>
        <w:numPr>
          <w:ilvl w:val="0"/>
          <w:numId w:val="1"/>
        </w:numPr>
        <w:spacing w:after="240"/>
        <w:outlineLvl w:val="0"/>
        <w:rPr>
          <w:lang w:val="en-CA"/>
        </w:rPr>
      </w:pPr>
      <w:r>
        <w:rPr>
          <w:lang w:val="en-CA"/>
        </w:rPr>
        <w:t>The Executive Committee may wish:</w:t>
      </w:r>
    </w:p>
    <w:p w14:paraId="43CBE75B" w14:textId="4A03EE6E" w:rsidR="00642C89" w:rsidRPr="00A85828" w:rsidRDefault="00642C89" w:rsidP="00642C89">
      <w:pPr>
        <w:pStyle w:val="Heading2"/>
        <w:numPr>
          <w:ilvl w:val="1"/>
          <w:numId w:val="1"/>
        </w:numPr>
      </w:pPr>
      <w:r>
        <w:t>To n</w:t>
      </w:r>
      <w:r w:rsidRPr="00F86E3A">
        <w:t>o</w:t>
      </w:r>
      <w:r>
        <w:t xml:space="preserve">te document UNEP/OzL.Pro/ExCom/86/88 on the </w:t>
      </w:r>
      <w:r>
        <w:lastRenderedPageBreak/>
        <w:t xml:space="preserve">draft guidelines </w:t>
      </w:r>
      <w:r w:rsidRPr="00F86E3A">
        <w:rPr>
          <w:lang w:val="en-CA"/>
        </w:rPr>
        <w:t>for the preparation of HFC phase</w:t>
      </w:r>
      <w:r w:rsidRPr="00F86E3A">
        <w:rPr>
          <w:lang w:val="en-CA"/>
        </w:rPr>
        <w:noBreakHyphen/>
        <w:t>down plans</w:t>
      </w:r>
      <w:r>
        <w:rPr>
          <w:lang w:val="en-CA"/>
        </w:rPr>
        <w:t xml:space="preserve"> for Article 5 countries;</w:t>
      </w:r>
    </w:p>
    <w:p w14:paraId="007769A0" w14:textId="77777777" w:rsidR="00642C89" w:rsidRPr="00402CB3" w:rsidRDefault="00642C89" w:rsidP="00642C89">
      <w:pPr>
        <w:pStyle w:val="Heading2"/>
        <w:numPr>
          <w:ilvl w:val="1"/>
          <w:numId w:val="1"/>
        </w:numPr>
      </w:pPr>
      <w:r w:rsidRPr="00A85828">
        <w:rPr>
          <w:lang w:val="en-CA"/>
        </w:rPr>
        <w:t>T</w:t>
      </w:r>
      <w:r>
        <w:rPr>
          <w:lang w:val="en-CA"/>
        </w:rPr>
        <w:t>o include in</w:t>
      </w:r>
      <w:r w:rsidRPr="00A85828">
        <w:rPr>
          <w:lang w:val="en-CA"/>
        </w:rPr>
        <w:t xml:space="preserve"> the funding for the preparation of an overarching strategy for stage I of the HFC phase-down </w:t>
      </w:r>
      <w:r>
        <w:rPr>
          <w:lang w:val="en-CA"/>
        </w:rPr>
        <w:t>assistance for</w:t>
      </w:r>
      <w:r>
        <w:t>:</w:t>
      </w:r>
    </w:p>
    <w:p w14:paraId="001BD142" w14:textId="77777777" w:rsidR="00642C89" w:rsidRDefault="00642C89" w:rsidP="00AF4E52">
      <w:pPr>
        <w:pStyle w:val="Heading3"/>
        <w:numPr>
          <w:ilvl w:val="2"/>
          <w:numId w:val="1"/>
        </w:numPr>
        <w:tabs>
          <w:tab w:val="clear" w:pos="0"/>
          <w:tab w:val="num" w:pos="-270"/>
        </w:tabs>
      </w:pPr>
      <w:r>
        <w:t xml:space="preserve">The development of </w:t>
      </w:r>
      <w:r w:rsidRPr="00726657">
        <w:t xml:space="preserve">legislation, </w:t>
      </w:r>
      <w:r>
        <w:t>policies and regulations</w:t>
      </w:r>
      <w:r w:rsidRPr="00726657">
        <w:t xml:space="preserve"> </w:t>
      </w:r>
      <w:r>
        <w:t xml:space="preserve">as required </w:t>
      </w:r>
      <w:r w:rsidRPr="00726657">
        <w:t xml:space="preserve">to extend </w:t>
      </w:r>
      <w:r>
        <w:t xml:space="preserve">the </w:t>
      </w:r>
      <w:r w:rsidRPr="00726657">
        <w:t xml:space="preserve">existing </w:t>
      </w:r>
      <w:r>
        <w:t xml:space="preserve">operational import/export licensing and quota systems to controlled substances under Annex F (HFCs) of the Montreal Protocol, and </w:t>
      </w:r>
      <w:r w:rsidRPr="00FE1049">
        <w:t>to ensure limits on growth or reductions in HFC consumption that were sustained over time;</w:t>
      </w:r>
    </w:p>
    <w:p w14:paraId="463771F2" w14:textId="23F2CEB8" w:rsidR="00642C89" w:rsidRPr="00E93E64" w:rsidRDefault="00642C89" w:rsidP="00AF4E52">
      <w:pPr>
        <w:pStyle w:val="Heading3"/>
        <w:numPr>
          <w:ilvl w:val="2"/>
          <w:numId w:val="1"/>
        </w:numPr>
        <w:tabs>
          <w:tab w:val="clear" w:pos="0"/>
          <w:tab w:val="num" w:pos="-270"/>
        </w:tabs>
      </w:pPr>
      <w:r>
        <w:t>The carrying out of a s</w:t>
      </w:r>
      <w:r w:rsidRPr="00E93E64">
        <w:t xml:space="preserve">urvey of HFC </w:t>
      </w:r>
      <w:r>
        <w:t xml:space="preserve">consumption and their sectoral distribution, and </w:t>
      </w:r>
      <w:r w:rsidRPr="00E93E64">
        <w:t>comprehensive surveys of enterprises</w:t>
      </w:r>
      <w:r>
        <w:t xml:space="preserve"> in the manufacturing and servicing sectors, with </w:t>
      </w:r>
      <w:r w:rsidRPr="00E93E64">
        <w:t xml:space="preserve">analysis of </w:t>
      </w:r>
      <w:r>
        <w:t xml:space="preserve">the </w:t>
      </w:r>
      <w:r w:rsidRPr="00E93E64">
        <w:t xml:space="preserve">data </w:t>
      </w:r>
      <w:r>
        <w:t>to estimate the HFC baselines for compliance;</w:t>
      </w:r>
    </w:p>
    <w:p w14:paraId="581B3341" w14:textId="77777777" w:rsidR="00642C89" w:rsidRDefault="00642C89" w:rsidP="00AF4E52">
      <w:pPr>
        <w:pStyle w:val="Heading3"/>
        <w:numPr>
          <w:ilvl w:val="2"/>
          <w:numId w:val="1"/>
        </w:numPr>
        <w:tabs>
          <w:tab w:val="clear" w:pos="0"/>
          <w:tab w:val="num" w:pos="-270"/>
        </w:tabs>
      </w:pPr>
      <w:r>
        <w:t>The d</w:t>
      </w:r>
      <w:r w:rsidRPr="00E96997">
        <w:t>evelopment and finalization of the overarching strategy for stage I of the HFC phase-down plan to address the freeze and 10 per cent reduction in HFC consumption</w:t>
      </w:r>
      <w:r>
        <w:t>;</w:t>
      </w:r>
    </w:p>
    <w:p w14:paraId="268A2CFE" w14:textId="5306F2DF" w:rsidR="00642C89" w:rsidRDefault="00642C89" w:rsidP="00AF4E52">
      <w:pPr>
        <w:pStyle w:val="Heading3"/>
        <w:numPr>
          <w:ilvl w:val="2"/>
          <w:numId w:val="1"/>
        </w:numPr>
        <w:tabs>
          <w:tab w:val="clear" w:pos="0"/>
          <w:tab w:val="num" w:pos="-270"/>
        </w:tabs>
      </w:pPr>
      <w:r>
        <w:t xml:space="preserve">The development of </w:t>
      </w:r>
      <w:r w:rsidR="0060048D">
        <w:t xml:space="preserve">a </w:t>
      </w:r>
      <w:r>
        <w:t>strategy and plan of action related to the refrigeration servicing sector particularly for those Article 5 countries where the majority of the HFC consumption is in this sector</w:t>
      </w:r>
      <w:r w:rsidRPr="00E96997">
        <w:t xml:space="preserve">; </w:t>
      </w:r>
    </w:p>
    <w:p w14:paraId="1DECC0BA" w14:textId="77777777" w:rsidR="00642C89" w:rsidRDefault="00642C89" w:rsidP="00642C89">
      <w:pPr>
        <w:pStyle w:val="Heading2"/>
        <w:numPr>
          <w:ilvl w:val="1"/>
          <w:numId w:val="1"/>
        </w:numPr>
      </w:pPr>
      <w:r w:rsidRPr="00E96997">
        <w:t xml:space="preserve">To provide funding for </w:t>
      </w:r>
      <w:r>
        <w:t xml:space="preserve">the </w:t>
      </w:r>
      <w:r w:rsidRPr="00E96997">
        <w:t xml:space="preserve">elements </w:t>
      </w:r>
      <w:r>
        <w:t xml:space="preserve">described in sub-paragraph </w:t>
      </w:r>
      <w:r w:rsidRPr="00E96997">
        <w:t>(</w:t>
      </w:r>
      <w:r>
        <w:t>b</w:t>
      </w:r>
      <w:r w:rsidRPr="00E96997">
        <w:t>)(i) to (i</w:t>
      </w:r>
      <w:r>
        <w:t>v</w:t>
      </w:r>
      <w:r w:rsidRPr="00E96997">
        <w:t>) above as specified in the table below, based on the countr</w:t>
      </w:r>
      <w:r>
        <w:t>y</w:t>
      </w:r>
      <w:r w:rsidRPr="00E96997">
        <w:t>’</w:t>
      </w:r>
      <w:r>
        <w:t>s</w:t>
      </w:r>
      <w:r w:rsidRPr="00E96997">
        <w:t xml:space="preserve"> </w:t>
      </w:r>
      <w:r>
        <w:t xml:space="preserve">HCFC consumption </w:t>
      </w:r>
      <w:r w:rsidRPr="00E96997">
        <w:t>baseline:</w:t>
      </w:r>
    </w:p>
    <w:tbl>
      <w:tblPr>
        <w:tblW w:w="7860" w:type="dxa"/>
        <w:tblInd w:w="1495" w:type="dxa"/>
        <w:tblLayout w:type="fixed"/>
        <w:tblLook w:val="04A0" w:firstRow="1" w:lastRow="0" w:firstColumn="1" w:lastColumn="0" w:noHBand="0" w:noVBand="1"/>
      </w:tblPr>
      <w:tblGrid>
        <w:gridCol w:w="3810"/>
        <w:gridCol w:w="4050"/>
      </w:tblGrid>
      <w:tr w:rsidR="002E3702" w:rsidRPr="00963632" w14:paraId="7731A804" w14:textId="77777777" w:rsidTr="002E3702">
        <w:tc>
          <w:tcPr>
            <w:tcW w:w="3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B9ACEF" w14:textId="77777777" w:rsidR="002E3702" w:rsidRPr="00097481" w:rsidRDefault="002E3702" w:rsidP="003C6B4C">
            <w:pPr>
              <w:keepNext/>
              <w:jc w:val="center"/>
              <w:rPr>
                <w:b/>
                <w:bCs/>
                <w:color w:val="000000"/>
                <w:sz w:val="21"/>
                <w:szCs w:val="21"/>
                <w:lang w:val="en-US"/>
              </w:rPr>
            </w:pPr>
            <w:r w:rsidRPr="00097481">
              <w:rPr>
                <w:b/>
                <w:bCs/>
                <w:color w:val="000000"/>
                <w:sz w:val="21"/>
                <w:szCs w:val="21"/>
                <w:lang w:val="en-US"/>
              </w:rPr>
              <w:t>HCFC baseline (ODP tonnes)</w:t>
            </w:r>
          </w:p>
        </w:tc>
        <w:tc>
          <w:tcPr>
            <w:tcW w:w="40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1EAAB6" w14:textId="0135CD61" w:rsidR="002E3702" w:rsidRPr="00097481" w:rsidRDefault="002E3702" w:rsidP="00097481">
            <w:pPr>
              <w:widowControl w:val="0"/>
              <w:jc w:val="center"/>
              <w:rPr>
                <w:b/>
                <w:bCs/>
                <w:color w:val="000000"/>
                <w:sz w:val="21"/>
                <w:szCs w:val="21"/>
                <w:lang w:val="en-US"/>
              </w:rPr>
            </w:pPr>
            <w:r w:rsidRPr="00097481">
              <w:rPr>
                <w:b/>
                <w:bCs/>
                <w:color w:val="000000"/>
                <w:sz w:val="21"/>
                <w:szCs w:val="21"/>
                <w:lang w:val="en-US"/>
              </w:rPr>
              <w:t>Funding for preparation of stage I of the HFC phase-down plan</w:t>
            </w:r>
            <w:r w:rsidR="00097481">
              <w:rPr>
                <w:b/>
                <w:bCs/>
                <w:color w:val="000000"/>
                <w:sz w:val="21"/>
                <w:szCs w:val="21"/>
                <w:lang w:val="en-US"/>
              </w:rPr>
              <w:t xml:space="preserve"> </w:t>
            </w:r>
            <w:r w:rsidRPr="00097481">
              <w:rPr>
                <w:b/>
                <w:bCs/>
                <w:color w:val="000000"/>
                <w:sz w:val="21"/>
                <w:szCs w:val="21"/>
                <w:lang w:val="en-US"/>
              </w:rPr>
              <w:t>(US $)</w:t>
            </w:r>
          </w:p>
        </w:tc>
      </w:tr>
      <w:tr w:rsidR="00CF5414" w:rsidRPr="00963632" w14:paraId="3D6319EF" w14:textId="77777777" w:rsidTr="00DB3820">
        <w:tc>
          <w:tcPr>
            <w:tcW w:w="3810" w:type="dxa"/>
            <w:tcBorders>
              <w:top w:val="single" w:sz="4" w:space="0" w:color="auto"/>
              <w:left w:val="single" w:sz="4" w:space="0" w:color="auto"/>
              <w:bottom w:val="single" w:sz="4" w:space="0" w:color="auto"/>
              <w:right w:val="single" w:sz="4" w:space="0" w:color="auto"/>
            </w:tcBorders>
            <w:shd w:val="clear" w:color="auto" w:fill="auto"/>
            <w:hideMark/>
          </w:tcPr>
          <w:p w14:paraId="4707A554" w14:textId="3604FB26" w:rsidR="00CF5414" w:rsidRPr="00097481" w:rsidRDefault="00CF5414" w:rsidP="00CF5414">
            <w:pPr>
              <w:keepNext/>
              <w:rPr>
                <w:color w:val="000000"/>
                <w:sz w:val="21"/>
                <w:szCs w:val="21"/>
                <w:lang w:val="en-US"/>
              </w:rPr>
            </w:pPr>
            <w:r w:rsidRPr="00097481">
              <w:rPr>
                <w:sz w:val="21"/>
                <w:szCs w:val="21"/>
              </w:rPr>
              <w:t xml:space="preserve">Below 1 </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3CFDC66C" w14:textId="22D62604" w:rsidR="00CF5414" w:rsidRPr="00CF5414" w:rsidRDefault="00CF5414" w:rsidP="00CF5414">
            <w:pPr>
              <w:widowControl w:val="0"/>
              <w:ind w:right="1242"/>
              <w:jc w:val="right"/>
              <w:rPr>
                <w:color w:val="000000"/>
                <w:sz w:val="21"/>
                <w:szCs w:val="21"/>
                <w:lang w:val="en-US"/>
              </w:rPr>
            </w:pPr>
            <w:r w:rsidRPr="00CF5414">
              <w:rPr>
                <w:sz w:val="21"/>
                <w:szCs w:val="21"/>
              </w:rPr>
              <w:t>100,000</w:t>
            </w:r>
          </w:p>
        </w:tc>
      </w:tr>
      <w:tr w:rsidR="00CF5414" w:rsidRPr="00963632" w14:paraId="5A1E2700" w14:textId="77777777" w:rsidTr="00DB3820">
        <w:tc>
          <w:tcPr>
            <w:tcW w:w="3810" w:type="dxa"/>
            <w:tcBorders>
              <w:top w:val="nil"/>
              <w:left w:val="single" w:sz="4" w:space="0" w:color="auto"/>
              <w:bottom w:val="single" w:sz="4" w:space="0" w:color="auto"/>
              <w:right w:val="single" w:sz="4" w:space="0" w:color="auto"/>
            </w:tcBorders>
            <w:shd w:val="clear" w:color="auto" w:fill="auto"/>
            <w:hideMark/>
          </w:tcPr>
          <w:p w14:paraId="1DE6CBF4" w14:textId="0FC436D3" w:rsidR="00CF5414" w:rsidRPr="00097481" w:rsidRDefault="00753883" w:rsidP="00CF5414">
            <w:pPr>
              <w:keepNext/>
              <w:rPr>
                <w:color w:val="000000"/>
                <w:sz w:val="21"/>
                <w:szCs w:val="21"/>
                <w:lang w:val="en-US"/>
              </w:rPr>
            </w:pPr>
            <w:r>
              <w:rPr>
                <w:sz w:val="21"/>
                <w:szCs w:val="21"/>
              </w:rPr>
              <w:t>1 and</w:t>
            </w:r>
            <w:bookmarkStart w:id="0" w:name="_GoBack"/>
            <w:bookmarkEnd w:id="0"/>
            <w:r w:rsidR="00CF5414" w:rsidRPr="00097481">
              <w:rPr>
                <w:sz w:val="21"/>
                <w:szCs w:val="21"/>
              </w:rPr>
              <w:t xml:space="preserve"> up to 6</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2273616C" w14:textId="39113085" w:rsidR="00CF5414" w:rsidRPr="00CF5414" w:rsidRDefault="00CF5414" w:rsidP="00CF5414">
            <w:pPr>
              <w:widowControl w:val="0"/>
              <w:ind w:right="1242"/>
              <w:jc w:val="right"/>
              <w:rPr>
                <w:color w:val="000000"/>
                <w:sz w:val="21"/>
                <w:szCs w:val="21"/>
                <w:lang w:val="en-US"/>
              </w:rPr>
            </w:pPr>
            <w:r w:rsidRPr="00CF5414">
              <w:rPr>
                <w:sz w:val="21"/>
                <w:szCs w:val="21"/>
              </w:rPr>
              <w:t>130,000</w:t>
            </w:r>
          </w:p>
        </w:tc>
      </w:tr>
      <w:tr w:rsidR="00CF5414" w:rsidRPr="00963632" w14:paraId="1833D8A7" w14:textId="77777777" w:rsidTr="00DB3820">
        <w:tc>
          <w:tcPr>
            <w:tcW w:w="3810" w:type="dxa"/>
            <w:tcBorders>
              <w:top w:val="nil"/>
              <w:left w:val="single" w:sz="4" w:space="0" w:color="auto"/>
              <w:bottom w:val="single" w:sz="4" w:space="0" w:color="auto"/>
              <w:right w:val="single" w:sz="4" w:space="0" w:color="auto"/>
            </w:tcBorders>
            <w:shd w:val="clear" w:color="auto" w:fill="auto"/>
            <w:hideMark/>
          </w:tcPr>
          <w:p w14:paraId="51CB1A0B" w14:textId="5383FB12" w:rsidR="00CF5414" w:rsidRPr="00097481" w:rsidRDefault="00CF5414" w:rsidP="00CF5414">
            <w:pPr>
              <w:widowControl w:val="0"/>
              <w:rPr>
                <w:color w:val="000000"/>
                <w:sz w:val="21"/>
                <w:szCs w:val="21"/>
                <w:lang w:val="en-US"/>
              </w:rPr>
            </w:pPr>
            <w:r w:rsidRPr="00097481">
              <w:rPr>
                <w:sz w:val="21"/>
                <w:szCs w:val="21"/>
              </w:rPr>
              <w:t xml:space="preserve">Above 6 and up to 20 </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280E23BE" w14:textId="1F1670AF" w:rsidR="00CF5414" w:rsidRPr="00CF5414" w:rsidRDefault="00CF5414" w:rsidP="00CF5414">
            <w:pPr>
              <w:widowControl w:val="0"/>
              <w:ind w:right="1242"/>
              <w:jc w:val="right"/>
              <w:rPr>
                <w:color w:val="000000"/>
                <w:sz w:val="21"/>
                <w:szCs w:val="21"/>
                <w:lang w:val="en-US"/>
              </w:rPr>
            </w:pPr>
            <w:r w:rsidRPr="00CF5414">
              <w:rPr>
                <w:sz w:val="21"/>
                <w:szCs w:val="21"/>
              </w:rPr>
              <w:t>170,000</w:t>
            </w:r>
          </w:p>
        </w:tc>
      </w:tr>
      <w:tr w:rsidR="00CF5414" w:rsidRPr="00963632" w14:paraId="02976434" w14:textId="77777777" w:rsidTr="00DB3820">
        <w:tc>
          <w:tcPr>
            <w:tcW w:w="3810" w:type="dxa"/>
            <w:tcBorders>
              <w:top w:val="nil"/>
              <w:left w:val="single" w:sz="4" w:space="0" w:color="auto"/>
              <w:bottom w:val="single" w:sz="4" w:space="0" w:color="auto"/>
              <w:right w:val="single" w:sz="4" w:space="0" w:color="auto"/>
            </w:tcBorders>
            <w:shd w:val="clear" w:color="auto" w:fill="auto"/>
            <w:hideMark/>
          </w:tcPr>
          <w:p w14:paraId="180B4A93" w14:textId="089A7158" w:rsidR="00CF5414" w:rsidRPr="00097481" w:rsidRDefault="00CF5414" w:rsidP="00CF5414">
            <w:pPr>
              <w:widowControl w:val="0"/>
              <w:rPr>
                <w:color w:val="000000"/>
                <w:sz w:val="21"/>
                <w:szCs w:val="21"/>
                <w:lang w:val="en-US"/>
              </w:rPr>
            </w:pPr>
            <w:r w:rsidRPr="00097481">
              <w:rPr>
                <w:sz w:val="21"/>
                <w:szCs w:val="21"/>
              </w:rPr>
              <w:t>Above 20 and up to 100</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0AEA1549" w14:textId="4C3284EA" w:rsidR="00CF5414" w:rsidRPr="00CF5414" w:rsidRDefault="00CF5414" w:rsidP="00CF5414">
            <w:pPr>
              <w:widowControl w:val="0"/>
              <w:ind w:right="1242"/>
              <w:jc w:val="right"/>
              <w:rPr>
                <w:color w:val="000000"/>
                <w:sz w:val="21"/>
                <w:szCs w:val="21"/>
                <w:lang w:val="en-US"/>
              </w:rPr>
            </w:pPr>
            <w:r w:rsidRPr="00CF5414">
              <w:rPr>
                <w:sz w:val="21"/>
                <w:szCs w:val="21"/>
              </w:rPr>
              <w:t>190,000</w:t>
            </w:r>
          </w:p>
        </w:tc>
      </w:tr>
      <w:tr w:rsidR="00CF5414" w:rsidRPr="00963632" w14:paraId="6C4046F8" w14:textId="77777777" w:rsidTr="00DB3820">
        <w:tc>
          <w:tcPr>
            <w:tcW w:w="3810" w:type="dxa"/>
            <w:tcBorders>
              <w:top w:val="nil"/>
              <w:left w:val="single" w:sz="4" w:space="0" w:color="auto"/>
              <w:bottom w:val="single" w:sz="4" w:space="0" w:color="auto"/>
              <w:right w:val="single" w:sz="4" w:space="0" w:color="auto"/>
            </w:tcBorders>
            <w:shd w:val="clear" w:color="auto" w:fill="auto"/>
            <w:hideMark/>
          </w:tcPr>
          <w:p w14:paraId="04EBC0C3" w14:textId="5E7A3305" w:rsidR="00CF5414" w:rsidRPr="00097481" w:rsidRDefault="00CF5414" w:rsidP="00CF5414">
            <w:pPr>
              <w:widowControl w:val="0"/>
              <w:rPr>
                <w:color w:val="000000"/>
                <w:sz w:val="21"/>
                <w:szCs w:val="21"/>
                <w:lang w:val="en-US"/>
              </w:rPr>
            </w:pPr>
            <w:r w:rsidRPr="00097481">
              <w:rPr>
                <w:sz w:val="21"/>
                <w:szCs w:val="21"/>
              </w:rPr>
              <w:t>Above 100 and up to 1,000</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5CCB015D" w14:textId="35888452" w:rsidR="00CF5414" w:rsidRPr="00CF5414" w:rsidRDefault="00CF5414" w:rsidP="00CF5414">
            <w:pPr>
              <w:widowControl w:val="0"/>
              <w:ind w:right="1242"/>
              <w:jc w:val="right"/>
              <w:rPr>
                <w:color w:val="000000"/>
                <w:sz w:val="21"/>
                <w:szCs w:val="21"/>
                <w:lang w:val="en-US"/>
              </w:rPr>
            </w:pPr>
            <w:r w:rsidRPr="00CF5414">
              <w:rPr>
                <w:sz w:val="21"/>
                <w:szCs w:val="21"/>
              </w:rPr>
              <w:t>220,000</w:t>
            </w:r>
          </w:p>
        </w:tc>
      </w:tr>
      <w:tr w:rsidR="00CF5414" w:rsidRPr="00963632" w14:paraId="02675C0A" w14:textId="77777777" w:rsidTr="00DB3820">
        <w:tc>
          <w:tcPr>
            <w:tcW w:w="3810" w:type="dxa"/>
            <w:tcBorders>
              <w:top w:val="nil"/>
              <w:left w:val="single" w:sz="4" w:space="0" w:color="auto"/>
              <w:bottom w:val="single" w:sz="4" w:space="0" w:color="auto"/>
              <w:right w:val="single" w:sz="4" w:space="0" w:color="auto"/>
            </w:tcBorders>
            <w:shd w:val="clear" w:color="auto" w:fill="auto"/>
            <w:hideMark/>
          </w:tcPr>
          <w:p w14:paraId="78EF8F9A" w14:textId="677F5207" w:rsidR="00CF5414" w:rsidRPr="00097481" w:rsidRDefault="00CF5414" w:rsidP="00CF5414">
            <w:pPr>
              <w:widowControl w:val="0"/>
              <w:rPr>
                <w:color w:val="000000"/>
                <w:sz w:val="21"/>
                <w:szCs w:val="21"/>
                <w:lang w:val="en-US"/>
              </w:rPr>
            </w:pPr>
            <w:r w:rsidRPr="00097481">
              <w:rPr>
                <w:sz w:val="21"/>
                <w:szCs w:val="21"/>
              </w:rPr>
              <w:t>Above 1,000 and up to 2,000</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5232212C" w14:textId="7B89B3C1" w:rsidR="00CF5414" w:rsidRPr="00CF5414" w:rsidRDefault="00CF5414" w:rsidP="00CF5414">
            <w:pPr>
              <w:widowControl w:val="0"/>
              <w:ind w:right="1242"/>
              <w:jc w:val="right"/>
              <w:rPr>
                <w:color w:val="000000"/>
                <w:sz w:val="21"/>
                <w:szCs w:val="21"/>
                <w:lang w:val="en-US"/>
              </w:rPr>
            </w:pPr>
            <w:r w:rsidRPr="00CF5414">
              <w:rPr>
                <w:sz w:val="21"/>
                <w:szCs w:val="21"/>
              </w:rPr>
              <w:t>230,000</w:t>
            </w:r>
          </w:p>
        </w:tc>
      </w:tr>
      <w:tr w:rsidR="00097481" w:rsidRPr="00963632" w14:paraId="1011B9CC" w14:textId="77777777" w:rsidTr="008F10EE">
        <w:tc>
          <w:tcPr>
            <w:tcW w:w="3810" w:type="dxa"/>
            <w:tcBorders>
              <w:top w:val="nil"/>
              <w:left w:val="single" w:sz="4" w:space="0" w:color="auto"/>
              <w:bottom w:val="single" w:sz="4" w:space="0" w:color="auto"/>
              <w:right w:val="single" w:sz="4" w:space="0" w:color="auto"/>
            </w:tcBorders>
            <w:shd w:val="clear" w:color="auto" w:fill="auto"/>
          </w:tcPr>
          <w:p w14:paraId="524299CA" w14:textId="7273D2C0" w:rsidR="00097481" w:rsidRPr="00097481" w:rsidRDefault="00097481" w:rsidP="00097481">
            <w:pPr>
              <w:widowControl w:val="0"/>
              <w:rPr>
                <w:color w:val="000000"/>
                <w:sz w:val="21"/>
                <w:szCs w:val="21"/>
                <w:lang w:val="en-US"/>
              </w:rPr>
            </w:pPr>
            <w:r w:rsidRPr="00097481">
              <w:rPr>
                <w:sz w:val="21"/>
                <w:szCs w:val="21"/>
              </w:rPr>
              <w:t>Above 2,000</w:t>
            </w:r>
          </w:p>
        </w:tc>
        <w:tc>
          <w:tcPr>
            <w:tcW w:w="4050" w:type="dxa"/>
            <w:tcBorders>
              <w:top w:val="nil"/>
              <w:left w:val="nil"/>
              <w:bottom w:val="single" w:sz="4" w:space="0" w:color="auto"/>
              <w:right w:val="single" w:sz="4" w:space="0" w:color="auto"/>
            </w:tcBorders>
            <w:shd w:val="clear" w:color="auto" w:fill="auto"/>
            <w:tcMar>
              <w:left w:w="115" w:type="dxa"/>
              <w:right w:w="288" w:type="dxa"/>
            </w:tcMar>
            <w:vAlign w:val="center"/>
          </w:tcPr>
          <w:p w14:paraId="47F7DEA0" w14:textId="24EBF25F" w:rsidR="00097481" w:rsidRPr="00CF5414" w:rsidRDefault="00BE2BB1" w:rsidP="00CF5414">
            <w:pPr>
              <w:widowControl w:val="0"/>
              <w:ind w:right="1242"/>
              <w:jc w:val="right"/>
              <w:rPr>
                <w:color w:val="000000"/>
                <w:sz w:val="21"/>
                <w:szCs w:val="21"/>
                <w:lang w:val="en-US"/>
              </w:rPr>
            </w:pPr>
            <w:r>
              <w:rPr>
                <w:color w:val="000000"/>
                <w:sz w:val="21"/>
                <w:szCs w:val="21"/>
                <w:lang w:val="en-US"/>
              </w:rPr>
              <w:t>case by case</w:t>
            </w:r>
          </w:p>
        </w:tc>
      </w:tr>
    </w:tbl>
    <w:p w14:paraId="1D239684" w14:textId="0793D1B2" w:rsidR="002E3702" w:rsidRDefault="002E3702" w:rsidP="002E3702">
      <w:pPr>
        <w:rPr>
          <w:highlight w:val="yellow"/>
        </w:rPr>
      </w:pPr>
    </w:p>
    <w:p w14:paraId="4C1845C8" w14:textId="17C9468A" w:rsidR="00642C89" w:rsidRPr="002E3702" w:rsidRDefault="00642C89" w:rsidP="00642C89">
      <w:pPr>
        <w:pStyle w:val="Heading2"/>
        <w:numPr>
          <w:ilvl w:val="1"/>
          <w:numId w:val="1"/>
        </w:numPr>
      </w:pPr>
      <w:r w:rsidRPr="002E3702">
        <w:t>To determine and provide funding for the preparation of stage I of any regional HFC phase</w:t>
      </w:r>
      <w:r w:rsidRPr="002E3702">
        <w:noBreakHyphen/>
        <w:t xml:space="preserve">down plans and those countries with an HCFC baseline consumption above </w:t>
      </w:r>
      <w:r w:rsidR="0078156E" w:rsidRPr="0078156E">
        <w:t>2</w:t>
      </w:r>
      <w:r w:rsidR="00A70F54">
        <w:t>,</w:t>
      </w:r>
      <w:r w:rsidR="0078156E" w:rsidRPr="0078156E">
        <w:t>000</w:t>
      </w:r>
      <w:r w:rsidRPr="0078156E">
        <w:t> ODP tonnes</w:t>
      </w:r>
      <w:r w:rsidRPr="002E3702">
        <w:t xml:space="preserve"> on a case-by-case basis; </w:t>
      </w:r>
    </w:p>
    <w:p w14:paraId="5A39DC4D" w14:textId="345FFE72" w:rsidR="00642C89" w:rsidRPr="00402CB3" w:rsidRDefault="00642C89" w:rsidP="00642C89">
      <w:pPr>
        <w:pStyle w:val="Heading2"/>
        <w:numPr>
          <w:ilvl w:val="1"/>
          <w:numId w:val="1"/>
        </w:numPr>
      </w:pPr>
      <w:r>
        <w:lastRenderedPageBreak/>
        <w:t>T</w:t>
      </w:r>
      <w:r w:rsidRPr="00402CB3">
        <w:t xml:space="preserve">o provide funding for any Article 5 country with a manufacturing sector using HFCs according to the number of manufacturing enterprises to be converted </w:t>
      </w:r>
      <w:r>
        <w:t xml:space="preserve">in line with </w:t>
      </w:r>
      <w:r w:rsidRPr="00402CB3">
        <w:t>decision</w:t>
      </w:r>
      <w:r>
        <w:t> </w:t>
      </w:r>
      <w:r w:rsidRPr="00402CB3">
        <w:t>56/16(d) and (f), as follows:</w:t>
      </w:r>
    </w:p>
    <w:p w14:paraId="78C55D38" w14:textId="77777777" w:rsidR="00642C89" w:rsidRPr="00402CB3" w:rsidRDefault="00642C89" w:rsidP="00642C89">
      <w:pPr>
        <w:pStyle w:val="Heading3"/>
        <w:numPr>
          <w:ilvl w:val="2"/>
          <w:numId w:val="1"/>
        </w:numPr>
        <w:tabs>
          <w:tab w:val="clear" w:pos="0"/>
          <w:tab w:val="num" w:pos="-270"/>
        </w:tabs>
      </w:pPr>
      <w:r w:rsidRPr="00402CB3">
        <w:t xml:space="preserve">One enterprise to be converted in a manufacturing sector: </w:t>
      </w:r>
      <w:r>
        <w:t>US $</w:t>
      </w:r>
      <w:r w:rsidRPr="00402CB3">
        <w:t xml:space="preserve">30,000; </w:t>
      </w:r>
    </w:p>
    <w:p w14:paraId="46963916" w14:textId="77777777" w:rsidR="00642C89" w:rsidRPr="00402CB3" w:rsidRDefault="00642C89" w:rsidP="00642C89">
      <w:pPr>
        <w:pStyle w:val="Heading3"/>
        <w:numPr>
          <w:ilvl w:val="2"/>
          <w:numId w:val="1"/>
        </w:numPr>
        <w:tabs>
          <w:tab w:val="clear" w:pos="0"/>
          <w:tab w:val="num" w:pos="-270"/>
        </w:tabs>
      </w:pPr>
      <w:r w:rsidRPr="00402CB3">
        <w:t xml:space="preserve">Two enterprises to be converted in a manufacturing sector: </w:t>
      </w:r>
      <w:r>
        <w:t>US $</w:t>
      </w:r>
      <w:r w:rsidRPr="00402CB3">
        <w:t xml:space="preserve">60,000; </w:t>
      </w:r>
    </w:p>
    <w:p w14:paraId="0C18D1B2" w14:textId="77777777" w:rsidR="00642C89" w:rsidRPr="00402CB3" w:rsidRDefault="00642C89" w:rsidP="00642C89">
      <w:pPr>
        <w:pStyle w:val="Heading3"/>
        <w:numPr>
          <w:ilvl w:val="2"/>
          <w:numId w:val="1"/>
        </w:numPr>
        <w:tabs>
          <w:tab w:val="clear" w:pos="0"/>
          <w:tab w:val="num" w:pos="-270"/>
        </w:tabs>
      </w:pPr>
      <w:r w:rsidRPr="00402CB3">
        <w:t>Three to 14 enterprises</w:t>
      </w:r>
      <w:r w:rsidRPr="00402CB3" w:rsidDel="003C01EE">
        <w:t xml:space="preserve"> </w:t>
      </w:r>
      <w:r w:rsidRPr="00402CB3">
        <w:t xml:space="preserve">to be converted in a manufacturing sector: </w:t>
      </w:r>
      <w:r>
        <w:t>US $</w:t>
      </w:r>
      <w:r w:rsidRPr="00402CB3">
        <w:t>80,000;</w:t>
      </w:r>
    </w:p>
    <w:p w14:paraId="2F313ED4" w14:textId="77777777" w:rsidR="00642C89" w:rsidRPr="00402CB3" w:rsidRDefault="00642C89" w:rsidP="00642C89">
      <w:pPr>
        <w:pStyle w:val="Heading3"/>
        <w:numPr>
          <w:ilvl w:val="2"/>
          <w:numId w:val="1"/>
        </w:numPr>
        <w:tabs>
          <w:tab w:val="clear" w:pos="0"/>
          <w:tab w:val="num" w:pos="-270"/>
        </w:tabs>
      </w:pPr>
      <w:r w:rsidRPr="00402CB3">
        <w:t>Fifteen or more enterprises</w:t>
      </w:r>
      <w:r w:rsidRPr="00402CB3" w:rsidDel="003C01EE">
        <w:t xml:space="preserve"> </w:t>
      </w:r>
      <w:r w:rsidRPr="00402CB3">
        <w:t xml:space="preserve">to be converted in a manufacturing sector: </w:t>
      </w:r>
      <w:r>
        <w:t>US $</w:t>
      </w:r>
      <w:r w:rsidRPr="00402CB3">
        <w:t xml:space="preserve">150,000; and </w:t>
      </w:r>
    </w:p>
    <w:p w14:paraId="0F442874" w14:textId="77777777" w:rsidR="00642C89" w:rsidRPr="00402CB3" w:rsidRDefault="00642C89" w:rsidP="00642C89">
      <w:pPr>
        <w:pStyle w:val="Heading3"/>
        <w:numPr>
          <w:ilvl w:val="2"/>
          <w:numId w:val="1"/>
        </w:numPr>
        <w:tabs>
          <w:tab w:val="clear" w:pos="0"/>
          <w:tab w:val="num" w:pos="-270"/>
        </w:tabs>
      </w:pPr>
      <w:r w:rsidRPr="00402CB3">
        <w:t>To limit the maximum funding provided for the preparation of the investment component for any country according to the table below:</w:t>
      </w:r>
    </w:p>
    <w:tbl>
      <w:tblPr>
        <w:tblStyle w:val="TableGrid"/>
        <w:tblW w:w="7200" w:type="dxa"/>
        <w:tblInd w:w="2155" w:type="dxa"/>
        <w:tblLook w:val="01E0" w:firstRow="1" w:lastRow="1" w:firstColumn="1" w:lastColumn="1" w:noHBand="0" w:noVBand="0"/>
      </w:tblPr>
      <w:tblGrid>
        <w:gridCol w:w="3983"/>
        <w:gridCol w:w="3217"/>
      </w:tblGrid>
      <w:tr w:rsidR="00642C89" w:rsidRPr="00402CB3" w14:paraId="221D159D" w14:textId="77777777" w:rsidTr="00C35F74">
        <w:tc>
          <w:tcPr>
            <w:tcW w:w="3983" w:type="dxa"/>
          </w:tcPr>
          <w:p w14:paraId="44D0B106" w14:textId="77777777" w:rsidR="00642C89" w:rsidRPr="0052205E" w:rsidRDefault="00642C89" w:rsidP="00C35F74">
            <w:pPr>
              <w:rPr>
                <w:bCs/>
                <w:sz w:val="21"/>
                <w:szCs w:val="21"/>
              </w:rPr>
            </w:pPr>
            <w:r w:rsidRPr="00991AB3">
              <w:rPr>
                <w:b/>
                <w:bCs/>
                <w:sz w:val="21"/>
                <w:szCs w:val="21"/>
              </w:rPr>
              <w:t>HCFC baseline (ODP tonnes)</w:t>
            </w:r>
          </w:p>
        </w:tc>
        <w:tc>
          <w:tcPr>
            <w:tcW w:w="3217" w:type="dxa"/>
          </w:tcPr>
          <w:p w14:paraId="15240694" w14:textId="77777777" w:rsidR="00642C89" w:rsidRPr="001155FB" w:rsidRDefault="00642C89" w:rsidP="00C35F74">
            <w:pPr>
              <w:jc w:val="center"/>
              <w:rPr>
                <w:b/>
                <w:bCs/>
                <w:sz w:val="21"/>
                <w:szCs w:val="21"/>
              </w:rPr>
            </w:pPr>
            <w:r w:rsidRPr="001155FB">
              <w:rPr>
                <w:b/>
                <w:bCs/>
                <w:sz w:val="21"/>
                <w:szCs w:val="21"/>
              </w:rPr>
              <w:t>Funding limit (US $)</w:t>
            </w:r>
          </w:p>
        </w:tc>
      </w:tr>
      <w:tr w:rsidR="00642C89" w:rsidRPr="00402CB3" w14:paraId="4517990C" w14:textId="77777777" w:rsidTr="00C35F74">
        <w:tc>
          <w:tcPr>
            <w:tcW w:w="3983" w:type="dxa"/>
          </w:tcPr>
          <w:p w14:paraId="50D2E434" w14:textId="77777777" w:rsidR="00642C89" w:rsidRPr="0052205E" w:rsidRDefault="00642C89" w:rsidP="00C35F74">
            <w:pPr>
              <w:rPr>
                <w:sz w:val="21"/>
                <w:szCs w:val="21"/>
              </w:rPr>
            </w:pPr>
            <w:r w:rsidRPr="0052205E">
              <w:rPr>
                <w:sz w:val="21"/>
                <w:szCs w:val="21"/>
              </w:rPr>
              <w:t xml:space="preserve">Up to 100 </w:t>
            </w:r>
          </w:p>
        </w:tc>
        <w:tc>
          <w:tcPr>
            <w:tcW w:w="3217" w:type="dxa"/>
          </w:tcPr>
          <w:p w14:paraId="45897343" w14:textId="77777777" w:rsidR="00642C89" w:rsidRPr="0052205E" w:rsidRDefault="00642C89" w:rsidP="00C35F74">
            <w:pPr>
              <w:ind w:right="976"/>
              <w:jc w:val="right"/>
              <w:rPr>
                <w:sz w:val="21"/>
                <w:szCs w:val="21"/>
              </w:rPr>
            </w:pPr>
            <w:r w:rsidRPr="0052205E">
              <w:rPr>
                <w:sz w:val="21"/>
                <w:szCs w:val="21"/>
              </w:rPr>
              <w:t>100,000</w:t>
            </w:r>
          </w:p>
        </w:tc>
      </w:tr>
      <w:tr w:rsidR="00642C89" w:rsidRPr="00402CB3" w14:paraId="4E25B26E" w14:textId="77777777" w:rsidTr="00C35F74">
        <w:tc>
          <w:tcPr>
            <w:tcW w:w="3983" w:type="dxa"/>
          </w:tcPr>
          <w:p w14:paraId="355734AE" w14:textId="77777777" w:rsidR="00642C89" w:rsidRPr="0052205E" w:rsidRDefault="00642C89" w:rsidP="00C35F74">
            <w:pPr>
              <w:rPr>
                <w:sz w:val="21"/>
                <w:szCs w:val="21"/>
              </w:rPr>
            </w:pPr>
            <w:r w:rsidRPr="0052205E">
              <w:rPr>
                <w:sz w:val="21"/>
                <w:szCs w:val="21"/>
              </w:rPr>
              <w:t xml:space="preserve">101–300 </w:t>
            </w:r>
          </w:p>
        </w:tc>
        <w:tc>
          <w:tcPr>
            <w:tcW w:w="3217" w:type="dxa"/>
          </w:tcPr>
          <w:p w14:paraId="6D8CD073" w14:textId="77777777" w:rsidR="00642C89" w:rsidRPr="0052205E" w:rsidRDefault="00642C89" w:rsidP="00C35F74">
            <w:pPr>
              <w:ind w:right="976"/>
              <w:jc w:val="right"/>
              <w:rPr>
                <w:sz w:val="21"/>
                <w:szCs w:val="21"/>
              </w:rPr>
            </w:pPr>
            <w:r w:rsidRPr="0052205E">
              <w:rPr>
                <w:sz w:val="21"/>
                <w:szCs w:val="21"/>
              </w:rPr>
              <w:t>200,000</w:t>
            </w:r>
          </w:p>
        </w:tc>
      </w:tr>
      <w:tr w:rsidR="00642C89" w:rsidRPr="00402CB3" w14:paraId="400D4E24" w14:textId="77777777" w:rsidTr="00C35F74">
        <w:trPr>
          <w:trHeight w:val="179"/>
        </w:trPr>
        <w:tc>
          <w:tcPr>
            <w:tcW w:w="3983" w:type="dxa"/>
          </w:tcPr>
          <w:p w14:paraId="173AFA1C" w14:textId="77777777" w:rsidR="00642C89" w:rsidRPr="0052205E" w:rsidRDefault="00642C89" w:rsidP="00C35F74">
            <w:pPr>
              <w:rPr>
                <w:sz w:val="21"/>
                <w:szCs w:val="21"/>
              </w:rPr>
            </w:pPr>
            <w:r w:rsidRPr="0052205E">
              <w:rPr>
                <w:sz w:val="21"/>
                <w:szCs w:val="21"/>
              </w:rPr>
              <w:t>301-500</w:t>
            </w:r>
          </w:p>
        </w:tc>
        <w:tc>
          <w:tcPr>
            <w:tcW w:w="3217" w:type="dxa"/>
          </w:tcPr>
          <w:p w14:paraId="4C99B6F9" w14:textId="77777777" w:rsidR="00642C89" w:rsidRPr="0052205E" w:rsidRDefault="00642C89" w:rsidP="00C35F74">
            <w:pPr>
              <w:ind w:right="976"/>
              <w:jc w:val="right"/>
              <w:rPr>
                <w:sz w:val="21"/>
                <w:szCs w:val="21"/>
              </w:rPr>
            </w:pPr>
            <w:r w:rsidRPr="0052205E">
              <w:rPr>
                <w:sz w:val="21"/>
                <w:szCs w:val="21"/>
              </w:rPr>
              <w:t>250,000</w:t>
            </w:r>
          </w:p>
        </w:tc>
      </w:tr>
      <w:tr w:rsidR="00642C89" w:rsidRPr="00402CB3" w14:paraId="1ECF74E7" w14:textId="77777777" w:rsidTr="00753883">
        <w:tc>
          <w:tcPr>
            <w:tcW w:w="3983" w:type="dxa"/>
            <w:tcBorders>
              <w:bottom w:val="single" w:sz="2" w:space="0" w:color="auto"/>
            </w:tcBorders>
          </w:tcPr>
          <w:p w14:paraId="597B9331" w14:textId="77777777" w:rsidR="00642C89" w:rsidRPr="0052205E" w:rsidRDefault="00642C89" w:rsidP="00C35F74">
            <w:pPr>
              <w:rPr>
                <w:sz w:val="21"/>
                <w:szCs w:val="21"/>
              </w:rPr>
            </w:pPr>
            <w:r w:rsidRPr="0052205E">
              <w:rPr>
                <w:sz w:val="21"/>
                <w:szCs w:val="21"/>
              </w:rPr>
              <w:t xml:space="preserve">501–1,000 </w:t>
            </w:r>
          </w:p>
        </w:tc>
        <w:tc>
          <w:tcPr>
            <w:tcW w:w="3217" w:type="dxa"/>
            <w:tcBorders>
              <w:bottom w:val="single" w:sz="2" w:space="0" w:color="auto"/>
            </w:tcBorders>
          </w:tcPr>
          <w:p w14:paraId="74CAB004" w14:textId="77777777" w:rsidR="00642C89" w:rsidRPr="0052205E" w:rsidRDefault="00642C89" w:rsidP="00C35F74">
            <w:pPr>
              <w:ind w:right="976"/>
              <w:jc w:val="right"/>
              <w:rPr>
                <w:sz w:val="21"/>
                <w:szCs w:val="21"/>
              </w:rPr>
            </w:pPr>
            <w:r w:rsidRPr="0052205E">
              <w:rPr>
                <w:sz w:val="21"/>
                <w:szCs w:val="21"/>
              </w:rPr>
              <w:t>300,000</w:t>
            </w:r>
          </w:p>
        </w:tc>
      </w:tr>
      <w:tr w:rsidR="00642C89" w:rsidRPr="00402CB3" w14:paraId="3438377F" w14:textId="77777777" w:rsidTr="00753883">
        <w:tc>
          <w:tcPr>
            <w:tcW w:w="3983" w:type="dxa"/>
            <w:tcBorders>
              <w:top w:val="single" w:sz="2" w:space="0" w:color="auto"/>
              <w:left w:val="single" w:sz="2" w:space="0" w:color="auto"/>
              <w:bottom w:val="single" w:sz="2" w:space="0" w:color="auto"/>
              <w:right w:val="single" w:sz="2" w:space="0" w:color="auto"/>
            </w:tcBorders>
          </w:tcPr>
          <w:p w14:paraId="17C487AE" w14:textId="77777777" w:rsidR="00642C89" w:rsidRPr="0052205E" w:rsidRDefault="00642C89" w:rsidP="00C35F74">
            <w:pPr>
              <w:rPr>
                <w:sz w:val="21"/>
                <w:szCs w:val="21"/>
              </w:rPr>
            </w:pPr>
            <w:r w:rsidRPr="0052205E">
              <w:rPr>
                <w:sz w:val="21"/>
                <w:szCs w:val="21"/>
              </w:rPr>
              <w:t>1,001 and above</w:t>
            </w:r>
          </w:p>
        </w:tc>
        <w:tc>
          <w:tcPr>
            <w:tcW w:w="3217" w:type="dxa"/>
            <w:tcBorders>
              <w:top w:val="single" w:sz="2" w:space="0" w:color="auto"/>
              <w:left w:val="single" w:sz="2" w:space="0" w:color="auto"/>
              <w:bottom w:val="single" w:sz="2" w:space="0" w:color="auto"/>
              <w:right w:val="single" w:sz="2" w:space="0" w:color="auto"/>
            </w:tcBorders>
          </w:tcPr>
          <w:p w14:paraId="6995D5CE" w14:textId="77777777" w:rsidR="00642C89" w:rsidRPr="0052205E" w:rsidRDefault="00642C89" w:rsidP="00C35F74">
            <w:pPr>
              <w:ind w:right="976"/>
              <w:jc w:val="right"/>
              <w:rPr>
                <w:sz w:val="21"/>
                <w:szCs w:val="21"/>
              </w:rPr>
            </w:pPr>
            <w:r w:rsidRPr="0052205E">
              <w:rPr>
                <w:sz w:val="21"/>
                <w:szCs w:val="21"/>
              </w:rPr>
              <w:t>400,000</w:t>
            </w:r>
          </w:p>
        </w:tc>
      </w:tr>
    </w:tbl>
    <w:p w14:paraId="6BB5E00C" w14:textId="77777777" w:rsidR="00642C89" w:rsidRPr="00402CB3" w:rsidRDefault="00642C89" w:rsidP="00642C89">
      <w:pPr>
        <w:keepNext/>
        <w:keepLines/>
        <w:ind w:left="1644"/>
      </w:pPr>
    </w:p>
    <w:p w14:paraId="3B610F31" w14:textId="77813E8A" w:rsidR="00642C89" w:rsidRPr="00EB4FB1" w:rsidRDefault="00642C89" w:rsidP="00642C89">
      <w:pPr>
        <w:pStyle w:val="Heading2"/>
        <w:numPr>
          <w:ilvl w:val="1"/>
          <w:numId w:val="1"/>
        </w:numPr>
        <w:rPr>
          <w:lang w:val="en-US"/>
        </w:rPr>
      </w:pPr>
      <w:r w:rsidRPr="00EB4FB1">
        <w:rPr>
          <w:lang w:val="en-US"/>
        </w:rPr>
        <w:t>To r</w:t>
      </w:r>
      <w:r w:rsidRPr="00EB4FB1">
        <w:t>e</w:t>
      </w:r>
      <w:r w:rsidRPr="00EB4FB1">
        <w:rPr>
          <w:lang w:val="en-US"/>
        </w:rPr>
        <w:t>quest bilateral and implementing agencies</w:t>
      </w:r>
      <w:r>
        <w:rPr>
          <w:lang w:val="en-US"/>
        </w:rPr>
        <w:t xml:space="preserve">, when submitting </w:t>
      </w:r>
      <w:r w:rsidR="002E3702">
        <w:rPr>
          <w:lang w:val="en-US"/>
        </w:rPr>
        <w:t>stage</w:t>
      </w:r>
      <w:r>
        <w:rPr>
          <w:lang w:val="en-US"/>
        </w:rPr>
        <w:t xml:space="preserve"> I of the HFC phase</w:t>
      </w:r>
      <w:r>
        <w:rPr>
          <w:lang w:val="en-US"/>
        </w:rPr>
        <w:noBreakHyphen/>
        <w:t>down plans on behalf of Article 5 countries, to include</w:t>
      </w:r>
      <w:r w:rsidRPr="00EB4FB1">
        <w:rPr>
          <w:lang w:val="en-US"/>
        </w:rPr>
        <w:t>:</w:t>
      </w:r>
    </w:p>
    <w:p w14:paraId="159094C2" w14:textId="4E61994A" w:rsidR="00642C89" w:rsidRPr="00737E42" w:rsidRDefault="00642C89" w:rsidP="00737E42">
      <w:pPr>
        <w:pStyle w:val="Heading3"/>
        <w:numPr>
          <w:ilvl w:val="2"/>
          <w:numId w:val="1"/>
        </w:numPr>
        <w:tabs>
          <w:tab w:val="clear" w:pos="0"/>
          <w:tab w:val="num" w:pos="-270"/>
        </w:tabs>
      </w:pPr>
      <w:r w:rsidRPr="00737E42">
        <w:t xml:space="preserve">Confirmation that the country has an established and </w:t>
      </w:r>
      <w:r w:rsidR="00341D72" w:rsidRPr="00341D72">
        <w:t xml:space="preserve">enforceable national system of licensing and quotas </w:t>
      </w:r>
      <w:r w:rsidRPr="00737E42">
        <w:t xml:space="preserve">for monitoring HFC imports/exports in place, consistent with decision 63/17; </w:t>
      </w:r>
    </w:p>
    <w:p w14:paraId="66A794AA" w14:textId="77777777" w:rsidR="00642C89" w:rsidRPr="00737E42" w:rsidRDefault="00642C89" w:rsidP="00737E42">
      <w:pPr>
        <w:pStyle w:val="Heading3"/>
        <w:numPr>
          <w:ilvl w:val="2"/>
          <w:numId w:val="1"/>
        </w:numPr>
        <w:tabs>
          <w:tab w:val="clear" w:pos="0"/>
          <w:tab w:val="num" w:pos="-270"/>
        </w:tabs>
      </w:pPr>
      <w:r w:rsidRPr="00737E42">
        <w:t>The Government’s commitment to ensure limits on growth in HFC consumption and to sustained over time the phase-out of HFCs achieved; and</w:t>
      </w:r>
    </w:p>
    <w:p w14:paraId="45FF34D2" w14:textId="77777777" w:rsidR="00642C89" w:rsidRPr="00EB4FB1" w:rsidRDefault="00642C89" w:rsidP="00642C89">
      <w:pPr>
        <w:pStyle w:val="Heading2"/>
        <w:numPr>
          <w:ilvl w:val="1"/>
          <w:numId w:val="1"/>
        </w:numPr>
        <w:rPr>
          <w:lang w:val="en-US"/>
        </w:rPr>
      </w:pPr>
      <w:r w:rsidRPr="00EB4FB1">
        <w:rPr>
          <w:lang w:val="en-US"/>
        </w:rPr>
        <w:t>To request the Secretariat to prepare, with the assistance of the bilateral and implementing agencies, a Guide for preparation of stage I of HFC phase-</w:t>
      </w:r>
      <w:r>
        <w:rPr>
          <w:lang w:val="en-US"/>
        </w:rPr>
        <w:t xml:space="preserve">down </w:t>
      </w:r>
      <w:r w:rsidRPr="00EB4FB1">
        <w:rPr>
          <w:lang w:val="en-US"/>
        </w:rPr>
        <w:t>plans</w:t>
      </w:r>
      <w:r>
        <w:rPr>
          <w:lang w:val="en-US"/>
        </w:rPr>
        <w:t xml:space="preserve"> that could be used by Article 5 countries.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BB2764" w14:paraId="5B8252FE" w14:textId="77777777" w:rsidTr="003C6B4C">
        <w:tc>
          <w:tcPr>
            <w:tcW w:w="1871" w:type="dxa"/>
          </w:tcPr>
          <w:p w14:paraId="1BDF89DF" w14:textId="77777777" w:rsidR="00E85409" w:rsidRPr="00BB2764" w:rsidRDefault="00E85409" w:rsidP="00FB077C"/>
        </w:tc>
        <w:tc>
          <w:tcPr>
            <w:tcW w:w="1872" w:type="dxa"/>
          </w:tcPr>
          <w:p w14:paraId="69B8E835" w14:textId="77777777" w:rsidR="00E85409" w:rsidRPr="00BB2764" w:rsidRDefault="00E85409" w:rsidP="00FB077C"/>
        </w:tc>
        <w:tc>
          <w:tcPr>
            <w:tcW w:w="1872" w:type="dxa"/>
            <w:tcBorders>
              <w:bottom w:val="single" w:sz="4" w:space="0" w:color="auto"/>
            </w:tcBorders>
          </w:tcPr>
          <w:p w14:paraId="75B11BEE" w14:textId="77777777" w:rsidR="00E85409" w:rsidRPr="00BB2764" w:rsidRDefault="00E85409" w:rsidP="00FB077C"/>
        </w:tc>
        <w:tc>
          <w:tcPr>
            <w:tcW w:w="1872" w:type="dxa"/>
          </w:tcPr>
          <w:p w14:paraId="26898222" w14:textId="77777777" w:rsidR="00E85409" w:rsidRPr="00BB2764" w:rsidRDefault="00E85409" w:rsidP="00FB077C"/>
        </w:tc>
        <w:tc>
          <w:tcPr>
            <w:tcW w:w="1873" w:type="dxa"/>
          </w:tcPr>
          <w:p w14:paraId="045211D2" w14:textId="77777777" w:rsidR="00E85409" w:rsidRPr="00BB2764" w:rsidRDefault="00E85409" w:rsidP="00FB077C"/>
        </w:tc>
      </w:tr>
    </w:tbl>
    <w:p w14:paraId="31B6D2D6" w14:textId="77777777" w:rsidR="00E85409" w:rsidRPr="00BB2764" w:rsidRDefault="00E85409" w:rsidP="004E7F9C">
      <w:pPr>
        <w:rPr>
          <w:lang w:val="en-CA"/>
        </w:rPr>
      </w:pPr>
    </w:p>
    <w:sectPr w:rsidR="00E85409" w:rsidRPr="00BB2764"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3F3C82" w14:textId="77777777" w:rsidR="003E5DC5" w:rsidRDefault="003E5DC5" w:rsidP="004A504B">
      <w:r>
        <w:separator/>
      </w:r>
    </w:p>
  </w:endnote>
  <w:endnote w:type="continuationSeparator" w:id="0">
    <w:p w14:paraId="1530B3F1" w14:textId="77777777" w:rsidR="003E5DC5" w:rsidRDefault="003E5DC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D85AA" w14:textId="34ADBB57" w:rsidR="00DC6A10" w:rsidRPr="0033525D" w:rsidRDefault="00BC2495">
    <w:pPr>
      <w:jc w:val="center"/>
    </w:pPr>
    <w:r>
      <w:fldChar w:fldCharType="begin"/>
    </w:r>
    <w:r w:rsidR="00851352">
      <w:instrText xml:space="preserve"> PAGE </w:instrText>
    </w:r>
    <w:r>
      <w:fldChar w:fldCharType="separate"/>
    </w:r>
    <w:r w:rsidR="008A7DFE">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8ECB7" w14:textId="6B52E343" w:rsidR="00DC6A10" w:rsidRPr="0033525D" w:rsidRDefault="00BC2495">
    <w:pPr>
      <w:jc w:val="center"/>
    </w:pPr>
    <w:r>
      <w:fldChar w:fldCharType="begin"/>
    </w:r>
    <w:r w:rsidR="00851352">
      <w:instrText xml:space="preserve"> PAGE </w:instrText>
    </w:r>
    <w:r>
      <w:fldChar w:fldCharType="separate"/>
    </w:r>
    <w:r w:rsidR="008A7DFE">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95703" w14:textId="77777777" w:rsidR="004E7F9C" w:rsidRDefault="004E7F9C" w:rsidP="00642C89">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BAE73C" w14:textId="77777777" w:rsidR="003E5DC5" w:rsidRDefault="003E5DC5" w:rsidP="004A504B">
      <w:r>
        <w:separator/>
      </w:r>
    </w:p>
  </w:footnote>
  <w:footnote w:type="continuationSeparator" w:id="0">
    <w:p w14:paraId="239FCE8F" w14:textId="77777777" w:rsidR="003E5DC5" w:rsidRDefault="003E5DC5" w:rsidP="004A504B">
      <w:r>
        <w:continuationSeparator/>
      </w:r>
    </w:p>
  </w:footnote>
  <w:footnote w:id="1">
    <w:p w14:paraId="54691937" w14:textId="77777777" w:rsidR="006E126D" w:rsidRPr="006E126D" w:rsidRDefault="006E126D">
      <w:pPr>
        <w:pStyle w:val="FootnoteText"/>
        <w:rPr>
          <w:lang w:val="en-CA"/>
        </w:rPr>
      </w:pPr>
      <w:r>
        <w:rPr>
          <w:rStyle w:val="FootnoteReference"/>
        </w:rPr>
        <w:footnoteRef/>
      </w:r>
      <w:r>
        <w:t xml:space="preserve"> </w:t>
      </w:r>
      <w:r w:rsidRPr="00692D14">
        <w:t>Due to coronavirus disease (COVID-19)</w:t>
      </w:r>
    </w:p>
  </w:footnote>
  <w:footnote w:id="2">
    <w:p w14:paraId="5EF9300A" w14:textId="77777777" w:rsidR="00642C89" w:rsidRPr="00A513E6" w:rsidRDefault="00642C89" w:rsidP="00642C89">
      <w:pPr>
        <w:pStyle w:val="FootnoteText"/>
      </w:pPr>
      <w:r>
        <w:rPr>
          <w:rStyle w:val="FootnoteReference"/>
        </w:rPr>
        <w:footnoteRef/>
      </w:r>
      <w:r>
        <w:t xml:space="preserve"> The issue is contained in paragraphs 16 to 20 of document UNEP/OzL.Pro/ExCom/84/32, “Overview of issues identified during project review”.</w:t>
      </w:r>
    </w:p>
  </w:footnote>
  <w:footnote w:id="3">
    <w:p w14:paraId="18B4E067" w14:textId="77777777" w:rsidR="00642C89" w:rsidRPr="00B012BE" w:rsidRDefault="00642C89" w:rsidP="00642C89">
      <w:pPr>
        <w:pStyle w:val="FootnoteText"/>
        <w:rPr>
          <w:lang w:val="en-US"/>
        </w:rPr>
      </w:pPr>
      <w:r>
        <w:rPr>
          <w:rStyle w:val="FootnoteReference"/>
        </w:rPr>
        <w:footnoteRef/>
      </w:r>
      <w:r>
        <w:t xml:space="preserve"> In response to </w:t>
      </w:r>
      <w:r w:rsidRPr="00826B0B">
        <w:t>decision 84/54(b)</w:t>
      </w:r>
      <w:r>
        <w:t xml:space="preserve">, </w:t>
      </w:r>
      <w:r w:rsidRPr="00B012BE">
        <w:t>document UNEP/OzL.Pro/ExCom/8</w:t>
      </w:r>
      <w:r>
        <w:t>6</w:t>
      </w:r>
      <w:r w:rsidRPr="00B012BE">
        <w:t>/</w:t>
      </w:r>
      <w:r>
        <w:t>87 has been submitted to the 86</w:t>
      </w:r>
      <w:r w:rsidRPr="00826B0B">
        <w:rPr>
          <w:vertAlign w:val="superscript"/>
        </w:rPr>
        <w:t>th</w:t>
      </w:r>
      <w:r>
        <w:t xml:space="preserve"> meeting.</w:t>
      </w:r>
    </w:p>
  </w:footnote>
  <w:footnote w:id="4">
    <w:p w14:paraId="6E11910D" w14:textId="77777777" w:rsidR="00642C89" w:rsidRPr="00B409E4" w:rsidRDefault="00642C89" w:rsidP="00642C89">
      <w:pPr>
        <w:pStyle w:val="FootnoteText"/>
        <w:rPr>
          <w:lang w:val="en-CA"/>
        </w:rPr>
      </w:pPr>
      <w:r>
        <w:rPr>
          <w:rStyle w:val="FootnoteReference"/>
        </w:rPr>
        <w:footnoteRef/>
      </w:r>
      <w:r>
        <w:t xml:space="preserve"> The present document should have been submitted to the 85</w:t>
      </w:r>
      <w:r w:rsidRPr="00B409E4">
        <w:rPr>
          <w:vertAlign w:val="superscript"/>
        </w:rPr>
        <w:t>th</w:t>
      </w:r>
      <w:r>
        <w:t xml:space="preserve"> meeting. </w:t>
      </w:r>
      <w:r w:rsidRPr="00791CFA">
        <w:t>In light of the COVID-19 pandemic, the Executive Committee agreed to postpone its 85</w:t>
      </w:r>
      <w:r w:rsidRPr="00791CFA">
        <w:rPr>
          <w:vertAlign w:val="superscript"/>
        </w:rPr>
        <w:t>th</w:t>
      </w:r>
      <w:r>
        <w:t xml:space="preserve"> </w:t>
      </w:r>
      <w:r w:rsidRPr="00791CFA">
        <w:t>meeting, originally scheduled from 25 to 29 May 2020, and to hold it back-to-back with the 86</w:t>
      </w:r>
      <w:r w:rsidRPr="00791CFA">
        <w:rPr>
          <w:vertAlign w:val="superscript"/>
        </w:rPr>
        <w:t>th</w:t>
      </w:r>
      <w:r>
        <w:t xml:space="preserve"> </w:t>
      </w:r>
      <w:r w:rsidRPr="00791CFA">
        <w:t>meeting in November 2020. In order to ensure continuity of compliance-related activities in Article 5 countries, and to reduce its workload when convened, the Executive Committee decided to implement an intersessional approval process for projects and activities that were to be submitted to the 85</w:t>
      </w:r>
      <w:r w:rsidRPr="00791CFA">
        <w:rPr>
          <w:vertAlign w:val="superscript"/>
        </w:rPr>
        <w:t>th</w:t>
      </w:r>
      <w:r>
        <w:t xml:space="preserve"> </w:t>
      </w:r>
      <w:r w:rsidRPr="00791CFA">
        <w:t>meeting; agenda items that were not considered intersessionally would be included in the agenda of the 86</w:t>
      </w:r>
      <w:r w:rsidRPr="00791CFA">
        <w:rPr>
          <w:vertAlign w:val="superscript"/>
        </w:rPr>
        <w:t>th</w:t>
      </w:r>
      <w:r>
        <w:t xml:space="preserve"> </w:t>
      </w:r>
      <w:r w:rsidRPr="00791CFA">
        <w:t xml:space="preserve">meeting. Given the evolution of the pandemic, the Executive Committee further deferred </w:t>
      </w:r>
      <w:r w:rsidRPr="00031EC6">
        <w:t>both meetings to March 2021.</w:t>
      </w:r>
    </w:p>
  </w:footnote>
  <w:footnote w:id="5">
    <w:p w14:paraId="32F6A46C" w14:textId="77777777" w:rsidR="00642C89" w:rsidRPr="007179C3" w:rsidRDefault="00642C89" w:rsidP="00642C89">
      <w:pPr>
        <w:pStyle w:val="FootnoteText"/>
        <w:rPr>
          <w:lang w:val="en-CA"/>
        </w:rPr>
      </w:pPr>
      <w:r>
        <w:rPr>
          <w:rStyle w:val="FootnoteReference"/>
        </w:rPr>
        <w:footnoteRef/>
      </w:r>
      <w:r>
        <w:t xml:space="preserve"> </w:t>
      </w:r>
      <w:r w:rsidRPr="007179C3">
        <w:t>UNEP/OzL.Pro/ExCom/54/53</w:t>
      </w:r>
      <w:r>
        <w:t>.</w:t>
      </w:r>
    </w:p>
  </w:footnote>
  <w:footnote w:id="6">
    <w:p w14:paraId="3B0E9116" w14:textId="77777777" w:rsidR="00642C89" w:rsidRPr="00F71124" w:rsidRDefault="00642C89" w:rsidP="00642C89">
      <w:pPr>
        <w:pStyle w:val="FootnoteText"/>
      </w:pPr>
      <w:r>
        <w:rPr>
          <w:rStyle w:val="FootnoteReference"/>
        </w:rPr>
        <w:footnoteRef/>
      </w:r>
      <w:r>
        <w:t xml:space="preserve"> </w:t>
      </w:r>
      <w:r w:rsidRPr="00F71124">
        <w:t>UNEP/OzL.Pro/ExCom/56/13</w:t>
      </w:r>
      <w:r>
        <w:t>.</w:t>
      </w:r>
    </w:p>
  </w:footnote>
  <w:footnote w:id="7">
    <w:p w14:paraId="38E0C844" w14:textId="77777777" w:rsidR="00642C89" w:rsidRPr="007179C3" w:rsidRDefault="00642C89" w:rsidP="00642C89">
      <w:pPr>
        <w:pStyle w:val="FootnoteText"/>
      </w:pPr>
      <w:r>
        <w:rPr>
          <w:rStyle w:val="FootnoteReference"/>
        </w:rPr>
        <w:footnoteRef/>
      </w:r>
      <w:r>
        <w:t xml:space="preserve"> </w:t>
      </w:r>
      <w:r w:rsidRPr="007179C3">
        <w:t>UNEP/OzL.Pro/ExCom/71/55</w:t>
      </w:r>
      <w:r>
        <w:t>.</w:t>
      </w:r>
    </w:p>
  </w:footnote>
  <w:footnote w:id="8">
    <w:p w14:paraId="226FB94A" w14:textId="77777777" w:rsidR="00642C89" w:rsidRPr="002D76C3" w:rsidRDefault="00642C89" w:rsidP="00642C89">
      <w:pPr>
        <w:pStyle w:val="FootnoteText"/>
      </w:pPr>
      <w:r>
        <w:rPr>
          <w:rStyle w:val="FootnoteReference"/>
        </w:rPr>
        <w:footnoteRef/>
      </w:r>
      <w:r>
        <w:t xml:space="preserve"> The draft guidelines are contained in document </w:t>
      </w:r>
      <w:r w:rsidRPr="002D76C3">
        <w:t>UNEP/OzL.Pro/ExCom/79/47</w:t>
      </w:r>
      <w:r>
        <w:t>.</w:t>
      </w:r>
    </w:p>
  </w:footnote>
  <w:footnote w:id="9">
    <w:p w14:paraId="33240488" w14:textId="77777777" w:rsidR="00642C89" w:rsidRPr="00327276" w:rsidRDefault="00642C89" w:rsidP="00642C89">
      <w:pPr>
        <w:pStyle w:val="FootnoteText"/>
      </w:pPr>
      <w:r>
        <w:rPr>
          <w:rStyle w:val="FootnoteReference"/>
        </w:rPr>
        <w:footnoteRef/>
      </w:r>
      <w:r>
        <w:t xml:space="preserve"> </w:t>
      </w:r>
      <w:r w:rsidRPr="00327276">
        <w:t>UNEP/OzL.Pro/ExCom/83/8</w:t>
      </w:r>
      <w:r>
        <w:t>.</w:t>
      </w:r>
    </w:p>
  </w:footnote>
  <w:footnote w:id="10">
    <w:p w14:paraId="07CE952D" w14:textId="77777777" w:rsidR="00642C89" w:rsidRPr="00C61C9D" w:rsidRDefault="00642C89" w:rsidP="00642C89">
      <w:pPr>
        <w:pStyle w:val="FootnoteText"/>
        <w:rPr>
          <w:lang w:val="en-CA"/>
        </w:rPr>
      </w:pPr>
      <w:r>
        <w:rPr>
          <w:rStyle w:val="FootnoteReference"/>
        </w:rPr>
        <w:footnoteRef/>
      </w:r>
      <w:r>
        <w:t xml:space="preserve"> </w:t>
      </w:r>
      <w:r w:rsidRPr="00C61C9D">
        <w:t>At its 74</w:t>
      </w:r>
      <w:r w:rsidRPr="00C61C9D">
        <w:rPr>
          <w:vertAlign w:val="superscript"/>
        </w:rPr>
        <w:t>th</w:t>
      </w:r>
      <w:r>
        <w:t xml:space="preserve"> </w:t>
      </w:r>
      <w:r w:rsidRPr="00C61C9D">
        <w:t>meeting, the Executive Committee agreed on the funding modalities for undertak</w:t>
      </w:r>
      <w:r>
        <w:t>ing</w:t>
      </w:r>
      <w:r w:rsidRPr="00C61C9D">
        <w:t xml:space="preserve"> national surveys of alternatives to ODS, approved the requests for funding surveys of ODS alternatives submitted by Article 5 countries to that meeting, and allowed the submission of funding requests for surveys from countries that had not submitted a request to the 74</w:t>
      </w:r>
      <w:r w:rsidRPr="00C61C9D">
        <w:rPr>
          <w:vertAlign w:val="superscript"/>
        </w:rPr>
        <w:t>th</w:t>
      </w:r>
      <w:r>
        <w:t xml:space="preserve"> </w:t>
      </w:r>
      <w:r w:rsidRPr="00C61C9D">
        <w:t>meeting (decision 74/53)</w:t>
      </w:r>
      <w:r>
        <w:t>.</w:t>
      </w:r>
    </w:p>
  </w:footnote>
  <w:footnote w:id="11">
    <w:p w14:paraId="1B3D8291" w14:textId="77777777" w:rsidR="00642C89" w:rsidRPr="00845FB3" w:rsidRDefault="00642C89" w:rsidP="00642C89">
      <w:pPr>
        <w:pStyle w:val="FootnoteText"/>
      </w:pPr>
      <w:r>
        <w:rPr>
          <w:rStyle w:val="FootnoteReference"/>
        </w:rPr>
        <w:footnoteRef/>
      </w:r>
      <w:r>
        <w:t xml:space="preserve"> </w:t>
      </w:r>
      <w:r w:rsidRPr="00845FB3">
        <w:t>UNEP/OzL.Pro/ExCom/80/54</w:t>
      </w:r>
      <w:r>
        <w:t>.</w:t>
      </w:r>
    </w:p>
  </w:footnote>
  <w:footnote w:id="12">
    <w:p w14:paraId="21C6B664" w14:textId="77777777" w:rsidR="00642C89" w:rsidRPr="00BC1C65" w:rsidRDefault="00642C89" w:rsidP="00642C89">
      <w:pPr>
        <w:pStyle w:val="FootnoteText"/>
      </w:pPr>
      <w:r>
        <w:rPr>
          <w:rStyle w:val="FootnoteReference"/>
        </w:rPr>
        <w:footnoteRef/>
      </w:r>
      <w:r>
        <w:t xml:space="preserve"> The Governments of Antigua and Barbuda, </w:t>
      </w:r>
      <w:r w:rsidRPr="00BC1C65">
        <w:t>Central African Republic and India</w:t>
      </w:r>
      <w:r>
        <w:t xml:space="preserve"> had submitted, under the 2021-2023 business plans of relevant agencies, a request for assistance for enabling activities for the phase-out of HFCs, including the mandatory official letter, with the </w:t>
      </w:r>
      <w:r w:rsidRPr="00BC1C65">
        <w:t>intent to make best efforts to ratify the Kigali Amendment as early as possible</w:t>
      </w:r>
      <w:r>
        <w:t>.</w:t>
      </w:r>
    </w:p>
  </w:footnote>
  <w:footnote w:id="13">
    <w:p w14:paraId="5F4FD944" w14:textId="77777777" w:rsidR="00642C89" w:rsidRPr="003668CF" w:rsidRDefault="00642C89" w:rsidP="00642C89">
      <w:pPr>
        <w:pStyle w:val="FootnoteText"/>
        <w:rPr>
          <w:lang w:val="en-US"/>
        </w:rPr>
      </w:pPr>
      <w:r>
        <w:rPr>
          <w:rStyle w:val="FootnoteReference"/>
        </w:rPr>
        <w:footnoteRef/>
      </w:r>
      <w:r>
        <w:t xml:space="preserve"> In addition to </w:t>
      </w:r>
      <w:r w:rsidRPr="008E2914">
        <w:t>implement</w:t>
      </w:r>
      <w:r>
        <w:t>ing</w:t>
      </w:r>
      <w:r w:rsidRPr="008E2914">
        <w:t xml:space="preserve"> a</w:t>
      </w:r>
      <w:r>
        <w:t xml:space="preserve">n HFC </w:t>
      </w:r>
      <w:r w:rsidRPr="008E2914">
        <w:t>import</w:t>
      </w:r>
      <w:r>
        <w:t>/</w:t>
      </w:r>
      <w:r w:rsidRPr="008E2914">
        <w:t xml:space="preserve">export licensing </w:t>
      </w:r>
      <w:r>
        <w:t xml:space="preserve">system, and HFC data reporting under Article 7 of the Montreal Protocol, the first compliance targets are the </w:t>
      </w:r>
      <w:r w:rsidRPr="008E2914">
        <w:t xml:space="preserve">freeze </w:t>
      </w:r>
      <w:r>
        <w:rPr>
          <w:lang w:val="en-US"/>
        </w:rPr>
        <w:t>in HFC consumption by 2024 and 10 per cent reduction in 2029 for Article 5 group 1 countries; the freeze in 2026 and 10 per cent reduction in 2032 for Article 5 group 2 countries.</w:t>
      </w:r>
    </w:p>
  </w:footnote>
  <w:footnote w:id="14">
    <w:p w14:paraId="154EF5B9" w14:textId="1E4D2A97" w:rsidR="00642C89" w:rsidRPr="00814550" w:rsidRDefault="00642C89" w:rsidP="00642C89">
      <w:pPr>
        <w:pStyle w:val="FootnoteText"/>
      </w:pPr>
      <w:r>
        <w:rPr>
          <w:rStyle w:val="FootnoteReference"/>
        </w:rPr>
        <w:footnoteRef/>
      </w:r>
      <w:r>
        <w:t xml:space="preserve"> These activities </w:t>
      </w:r>
      <w:r w:rsidRPr="00814550">
        <w:t xml:space="preserve">include </w:t>
      </w:r>
      <w:r w:rsidRPr="00814550">
        <w:rPr>
          <w:i/>
        </w:rPr>
        <w:t>inter alia</w:t>
      </w:r>
      <w:r w:rsidRPr="00814550">
        <w:t xml:space="preserve"> country</w:t>
      </w:r>
      <w:r>
        <w:t>-</w:t>
      </w:r>
      <w:r w:rsidRPr="00814550">
        <w:t>specific activities aimed at supporting institutional arrangements, the review of licensing systems, data reporting on HFC consumption and production, and demonstration of non</w:t>
      </w:r>
      <w:r w:rsidR="000E0A58">
        <w:noBreakHyphen/>
      </w:r>
      <w:r w:rsidRPr="00814550">
        <w:t>investment activities; development and enforcement of policies and regulations to avo</w:t>
      </w:r>
      <w:r>
        <w:t>id market penetration of energy</w:t>
      </w:r>
      <w:r>
        <w:noBreakHyphen/>
      </w:r>
      <w:r w:rsidRPr="00814550">
        <w:t>inefficient refrigeration, air-conditioning and heat-pump equipment; promotion of access to energy-efficient technologies in those sectors; and targeted training on certification, safety and standards, awareness-raising and capacity building aimed at maintaining and enhancing the energy efficiency.</w:t>
      </w:r>
    </w:p>
  </w:footnote>
  <w:footnote w:id="15">
    <w:p w14:paraId="113582E4" w14:textId="77777777" w:rsidR="00642C89" w:rsidRPr="00CE2D74" w:rsidRDefault="00642C89" w:rsidP="00642C89">
      <w:pPr>
        <w:pStyle w:val="FootnoteText"/>
      </w:pPr>
      <w:r>
        <w:rPr>
          <w:rStyle w:val="FootnoteReference"/>
        </w:rPr>
        <w:footnoteRef/>
      </w:r>
      <w:r>
        <w:t xml:space="preserve"> </w:t>
      </w:r>
      <w:r w:rsidRPr="00CE2D74">
        <w:t>As reported in document UNEP/OzL.Pro/ExCom/83/8,</w:t>
      </w:r>
      <w:r>
        <w:t xml:space="preserve"> e</w:t>
      </w:r>
      <w:r w:rsidRPr="00CE2D74">
        <w:t xml:space="preserve">ngagement from the HCFC user sectors and other stakeholders to implement the agreed overarching strategy was ensured </w:t>
      </w:r>
      <w:r>
        <w:t>through</w:t>
      </w:r>
      <w:r w:rsidRPr="00CE2D74">
        <w:t xml:space="preserve"> an extensive consultation process </w:t>
      </w:r>
      <w:r>
        <w:t>carried out</w:t>
      </w:r>
      <w:r w:rsidRPr="00CE2D74">
        <w:t xml:space="preserve"> during HPMP preparation. There were consultations with the NOU and relevant stakeholders (e.g., the industry and trade associations) for the identification of key inputs for the preparation of the HPMP.</w:t>
      </w:r>
    </w:p>
  </w:footnote>
  <w:footnote w:id="16">
    <w:p w14:paraId="4CEB1FA5" w14:textId="77777777" w:rsidR="00642C89" w:rsidRPr="002C057F" w:rsidRDefault="00642C89" w:rsidP="00642C89">
      <w:pPr>
        <w:pStyle w:val="FootnoteText"/>
      </w:pPr>
      <w:r>
        <w:rPr>
          <w:rStyle w:val="FootnoteReference"/>
        </w:rPr>
        <w:footnoteRef/>
      </w:r>
      <w:r>
        <w:t xml:space="preserve"> </w:t>
      </w:r>
      <w:r w:rsidRPr="00CE2D74">
        <w:t xml:space="preserve">As reported in document UNEP/OzL.Pro/ExCom/83/8, </w:t>
      </w:r>
      <w:r>
        <w:t>a</w:t>
      </w:r>
      <w:r w:rsidRPr="002C057F">
        <w:t>ctivities in the refrigeration servicing sector will have synergies between HCFC phase</w:t>
      </w:r>
      <w:r>
        <w:t>-</w:t>
      </w:r>
      <w:r w:rsidRPr="002C057F">
        <w:t>out and HFC phase-down, as many of those activities (e.g., training of technicians, recovery and reclamation of refrigerant, development of standards for the installation and operation of low-GWP equipment) have an impact on all refrigerants and alternatives use</w:t>
      </w:r>
      <w:r>
        <w:t>d</w:t>
      </w:r>
      <w:r w:rsidRPr="002C057F">
        <w:t xml:space="preserve"> in the countries. Therefore, the preparatory funding for HFC phase-down plans must give due consideration to the existing activities already being implemented in the sector under HCFC phase-out.</w:t>
      </w:r>
    </w:p>
  </w:footnote>
  <w:footnote w:id="17">
    <w:p w14:paraId="7329ED55" w14:textId="77777777" w:rsidR="00642C89" w:rsidRPr="00055277" w:rsidRDefault="00642C89" w:rsidP="00642C89">
      <w:pPr>
        <w:pStyle w:val="FootnoteText"/>
      </w:pPr>
      <w:r>
        <w:rPr>
          <w:rStyle w:val="FootnoteReference"/>
        </w:rPr>
        <w:footnoteRef/>
      </w:r>
      <w:r>
        <w:t xml:space="preserve"> </w:t>
      </w:r>
      <w:r w:rsidRPr="00055277">
        <w:t xml:space="preserve">For example, in the residential </w:t>
      </w:r>
      <w:r>
        <w:t xml:space="preserve">air-conditioning </w:t>
      </w:r>
      <w:r w:rsidRPr="00055277">
        <w:t>sector</w:t>
      </w:r>
      <w:r>
        <w:t>,</w:t>
      </w:r>
      <w:r w:rsidRPr="00055277">
        <w:t xml:space="preserve"> R-410A is </w:t>
      </w:r>
      <w:r>
        <w:t xml:space="preserve">currently </w:t>
      </w:r>
      <w:r w:rsidRPr="00055277">
        <w:t xml:space="preserve">the main alternative to HCFC-22 </w:t>
      </w:r>
      <w:r>
        <w:t xml:space="preserve">while </w:t>
      </w:r>
      <w:r w:rsidRPr="00055277">
        <w:t>R-404A is an alternative to HCFC</w:t>
      </w:r>
      <w:r>
        <w:t>-</w:t>
      </w:r>
      <w:r w:rsidRPr="00055277">
        <w:t>22 in several commercial refrigeration applications; and HFC</w:t>
      </w:r>
      <w:r>
        <w:t>-</w:t>
      </w:r>
      <w:r w:rsidRPr="00055277">
        <w:t>245fa is a well</w:t>
      </w:r>
      <w:r>
        <w:noBreakHyphen/>
      </w:r>
      <w:r w:rsidRPr="00055277">
        <w:t xml:space="preserve">known alternative to HCFC-141b in </w:t>
      </w:r>
      <w:r>
        <w:t>spray foam applications.</w:t>
      </w:r>
    </w:p>
  </w:footnote>
  <w:footnote w:id="18">
    <w:p w14:paraId="2A82C167" w14:textId="77777777" w:rsidR="00642C89" w:rsidRPr="005E1588" w:rsidRDefault="00642C89" w:rsidP="00642C89">
      <w:pPr>
        <w:pStyle w:val="FootnoteText"/>
      </w:pPr>
      <w:r>
        <w:rPr>
          <w:rStyle w:val="FootnoteReference"/>
        </w:rPr>
        <w:footnoteRef/>
      </w:r>
      <w:r>
        <w:t xml:space="preserve"> </w:t>
      </w:r>
      <w:r w:rsidRPr="005E1588">
        <w:t>Currently, implementation and monitoring of overlapping stages I and II of HPMPs has proven challenging in several countries; adding HFC phase</w:t>
      </w:r>
      <w:r>
        <w:t>-</w:t>
      </w:r>
      <w:r w:rsidRPr="005E1588">
        <w:t xml:space="preserve">down plans will increase the administrative burden even though in many countries most of the activities in these plans </w:t>
      </w:r>
      <w:r>
        <w:t xml:space="preserve">are </w:t>
      </w:r>
      <w:r w:rsidRPr="005E1588">
        <w:t>in the same sector (i.e., refrigeration servicing sector in LVC countries)</w:t>
      </w:r>
      <w:r>
        <w:t>.</w:t>
      </w:r>
    </w:p>
  </w:footnote>
  <w:footnote w:id="19">
    <w:p w14:paraId="75425911" w14:textId="77777777" w:rsidR="00642C89" w:rsidRPr="00885F8F" w:rsidRDefault="00642C89" w:rsidP="00642C89">
      <w:pPr>
        <w:pStyle w:val="FootnoteText"/>
      </w:pPr>
      <w:r>
        <w:rPr>
          <w:rStyle w:val="FootnoteReference"/>
        </w:rPr>
        <w:footnoteRef/>
      </w:r>
      <w:r>
        <w:t xml:space="preserve"> </w:t>
      </w:r>
      <w:r w:rsidRPr="000B2C5F">
        <w:rPr>
          <w:lang w:val="en-CA"/>
        </w:rPr>
        <w:t xml:space="preserve">When the Parties </w:t>
      </w:r>
      <w:r>
        <w:rPr>
          <w:lang w:val="en-CA"/>
        </w:rPr>
        <w:t xml:space="preserve">to the Montreal Protocol </w:t>
      </w:r>
      <w:r w:rsidRPr="000B2C5F">
        <w:rPr>
          <w:lang w:val="en-CA"/>
        </w:rPr>
        <w:t xml:space="preserve">adopted decision XIX/6 on the acceleration of the HCFC phase-out, the Executive Committee decided </w:t>
      </w:r>
      <w:r>
        <w:rPr>
          <w:lang w:val="en-CA"/>
        </w:rPr>
        <w:t xml:space="preserve">that a staged approach to phase </w:t>
      </w:r>
      <w:r w:rsidRPr="000B2C5F">
        <w:rPr>
          <w:lang w:val="en-CA"/>
        </w:rPr>
        <w:t xml:space="preserve">out HCFCs would allow Article 5 countries </w:t>
      </w:r>
      <w:r>
        <w:rPr>
          <w:lang w:val="en-CA"/>
        </w:rPr>
        <w:t xml:space="preserve">to </w:t>
      </w:r>
      <w:r w:rsidRPr="000B2C5F">
        <w:rPr>
          <w:lang w:val="en-CA"/>
        </w:rPr>
        <w:t xml:space="preserve">prioritize some uses where substitute technologies were readily available and economically viable, while giving more time to address uncertainties related to </w:t>
      </w:r>
      <w:r>
        <w:rPr>
          <w:lang w:val="en-CA"/>
        </w:rPr>
        <w:t>alternatives</w:t>
      </w:r>
      <w:r w:rsidRPr="000B2C5F">
        <w:rPr>
          <w:lang w:val="en-CA"/>
        </w:rPr>
        <w:t xml:space="preserve"> </w:t>
      </w:r>
      <w:r>
        <w:rPr>
          <w:lang w:val="en-CA"/>
        </w:rPr>
        <w:t xml:space="preserve">to </w:t>
      </w:r>
      <w:r w:rsidRPr="000B2C5F">
        <w:rPr>
          <w:lang w:val="en-CA"/>
        </w:rPr>
        <w:t>HCFC</w:t>
      </w:r>
      <w:r>
        <w:rPr>
          <w:lang w:val="en-CA"/>
        </w:rPr>
        <w:t>s</w:t>
      </w:r>
      <w:r w:rsidRPr="000B2C5F">
        <w:rPr>
          <w:lang w:val="en-CA"/>
        </w:rPr>
        <w:t xml:space="preserve"> in other applications (i.e.,</w:t>
      </w:r>
      <w:r>
        <w:t> </w:t>
      </w:r>
      <w:r w:rsidRPr="000B2C5F">
        <w:rPr>
          <w:lang w:val="en-CA"/>
        </w:rPr>
        <w:t>availability, maturity, cost</w:t>
      </w:r>
      <w:r>
        <w:rPr>
          <w:lang w:val="en-CA"/>
        </w:rPr>
        <w:noBreakHyphen/>
      </w:r>
      <w:r w:rsidRPr="000B2C5F">
        <w:rPr>
          <w:lang w:val="en-CA"/>
        </w:rPr>
        <w:t>effectiveness and other environmental considerations).</w:t>
      </w:r>
    </w:p>
  </w:footnote>
  <w:footnote w:id="20">
    <w:p w14:paraId="0D5FDA6A" w14:textId="77777777" w:rsidR="00642C89" w:rsidRPr="00CE2D74" w:rsidRDefault="00642C89" w:rsidP="00642C89">
      <w:pPr>
        <w:pStyle w:val="FootnoteText"/>
      </w:pPr>
      <w:r>
        <w:rPr>
          <w:rStyle w:val="FootnoteReference"/>
        </w:rPr>
        <w:footnoteRef/>
      </w:r>
      <w:r>
        <w:t xml:space="preserve"> As reported in document </w:t>
      </w:r>
      <w:r w:rsidRPr="00F111BF">
        <w:t>UNEP/OzL.Pro/ExCom/83/8</w:t>
      </w:r>
      <w:r>
        <w:t>,</w:t>
      </w:r>
      <w:r w:rsidRPr="00F111BF">
        <w:t xml:space="preserve"> </w:t>
      </w:r>
      <w:r>
        <w:t>i</w:t>
      </w:r>
      <w:r w:rsidRPr="00CE2D74">
        <w:t xml:space="preserve">n several countries it </w:t>
      </w:r>
      <w:r>
        <w:t xml:space="preserve">was </w:t>
      </w:r>
      <w:r w:rsidRPr="00CE2D74">
        <w:t xml:space="preserve">found that the estimated HCFC baselines for compliance were not accurate due to different reasons such as large stockpiles or lack of knowledge about the real demand for HCFCs in the user sectors. In consequence, starting points </w:t>
      </w:r>
      <w:r>
        <w:t xml:space="preserve">for aggregate reductions in HCFCs </w:t>
      </w:r>
      <w:r w:rsidRPr="00CE2D74">
        <w:t>had to be reviewed during the implementation of HPMPs. Therefore, to prevent major readjustment of the estimated consumption data, a review of the historical consumption of CFCs and HCFCs, together with an analys</w:t>
      </w:r>
      <w:r>
        <w:t>is</w:t>
      </w:r>
      <w:r w:rsidRPr="00CE2D74">
        <w:t xml:space="preserve"> of key socio-economic parameters of the countries (e.g., distribution of the population in urban and rural areas; location of economic activities demanding refrigeration and air</w:t>
      </w:r>
      <w:r>
        <w:t>-</w:t>
      </w:r>
      <w:r w:rsidRPr="00CE2D74">
        <w:t>conditioning equipment; population connected to the electricity grid) could be undertaken during the preparatory phases for HFC phase-down</w:t>
      </w:r>
      <w:r>
        <w:t>.</w:t>
      </w:r>
    </w:p>
  </w:footnote>
  <w:footnote w:id="21">
    <w:p w14:paraId="314AC417" w14:textId="77777777" w:rsidR="00642C89" w:rsidRPr="00F111BF" w:rsidRDefault="00642C89" w:rsidP="00642C89">
      <w:pPr>
        <w:pStyle w:val="FootnoteText"/>
      </w:pPr>
      <w:r>
        <w:rPr>
          <w:rStyle w:val="FootnoteReference"/>
        </w:rPr>
        <w:footnoteRef/>
      </w:r>
      <w:r>
        <w:t xml:space="preserve"> As reported in document </w:t>
      </w:r>
      <w:r w:rsidRPr="00F111BF">
        <w:t>UNEP/OzL.Pro/ExCom/83/8</w:t>
      </w:r>
      <w:r>
        <w:t>,</w:t>
      </w:r>
      <w:r w:rsidRPr="00F111BF">
        <w:t xml:space="preserve"> during the implementation of the HPMPs, </w:t>
      </w:r>
      <w:r>
        <w:t xml:space="preserve">it has been noticed </w:t>
      </w:r>
      <w:r w:rsidRPr="00F111BF">
        <w:t>that initial estimations and recording of HCFC consumption during the base years were not always accurate and that the licensing and quota systems had deficiencies in their design (e.g., licenses with a duration of longer than a year) or in their implementation (e.g., incorrect use of codes for import, or use of the same codes for different substances).</w:t>
      </w:r>
      <w:r w:rsidRPr="00CE2D74">
        <w:t xml:space="preserve"> These issues have been gradually identified and corrected by the Governments.</w:t>
      </w:r>
    </w:p>
  </w:footnote>
  <w:footnote w:id="22">
    <w:p w14:paraId="1C5166F2" w14:textId="77777777" w:rsidR="00642C89" w:rsidRPr="002136D6" w:rsidRDefault="00642C89" w:rsidP="00642C89">
      <w:pPr>
        <w:pStyle w:val="FootnoteText"/>
      </w:pPr>
      <w:r>
        <w:rPr>
          <w:rStyle w:val="FootnoteReference"/>
        </w:rPr>
        <w:footnoteRef/>
      </w:r>
      <w:r>
        <w:t xml:space="preserve"> </w:t>
      </w:r>
      <w:r w:rsidRPr="002136D6">
        <w:t>The 84 Article 5 countries consist of 53 LVC countries, accounting for 66.8 per cent of all LVC countries and 68.8</w:t>
      </w:r>
      <w:r>
        <w:t> </w:t>
      </w:r>
      <w:r w:rsidRPr="002136D6">
        <w:t>per cent of their aggregated HCFC baselines, and 31 non-LVC countries, accounti</w:t>
      </w:r>
      <w:r>
        <w:t>ng for 33.2 per cent of all non</w:t>
      </w:r>
      <w:r>
        <w:noBreakHyphen/>
      </w:r>
      <w:r w:rsidRPr="002136D6">
        <w:t>LVC countries and 14.3 per cent of their aggregated HCFC baselines.</w:t>
      </w:r>
    </w:p>
  </w:footnote>
  <w:footnote w:id="23">
    <w:p w14:paraId="79E71B6A" w14:textId="77777777" w:rsidR="00642C89" w:rsidRPr="002136D6" w:rsidRDefault="00642C89" w:rsidP="00642C89">
      <w:pPr>
        <w:pStyle w:val="FootnoteText"/>
      </w:pPr>
      <w:r>
        <w:rPr>
          <w:rStyle w:val="FootnoteReference"/>
        </w:rPr>
        <w:footnoteRef/>
      </w:r>
      <w:r>
        <w:t xml:space="preserve"> </w:t>
      </w:r>
      <w:r w:rsidRPr="002136D6">
        <w:t>Country programme data and prospects for compliance</w:t>
      </w:r>
      <w:r>
        <w:t xml:space="preserve"> (UNEP/OzL.Pro/ExCom/86/8).</w:t>
      </w:r>
    </w:p>
  </w:footnote>
  <w:footnote w:id="24">
    <w:p w14:paraId="3213B8FB" w14:textId="77777777" w:rsidR="00642C89" w:rsidRPr="00F111BF" w:rsidRDefault="00642C89" w:rsidP="00642C89">
      <w:pPr>
        <w:pStyle w:val="FootnoteText"/>
      </w:pPr>
      <w:r>
        <w:rPr>
          <w:rStyle w:val="FootnoteReference"/>
        </w:rPr>
        <w:footnoteRef/>
      </w:r>
      <w:r>
        <w:t xml:space="preserve"> As reported in document </w:t>
      </w:r>
      <w:r w:rsidRPr="00F111BF">
        <w:t>UNEP/OzL.Pro/ExCom/83/8</w:t>
      </w:r>
      <w:r>
        <w:t xml:space="preserve">, while </w:t>
      </w:r>
      <w:r w:rsidRPr="00F111BF">
        <w:t xml:space="preserve">some countries encountered delays in adopting HCFC import/export licensing and quota system, having </w:t>
      </w:r>
      <w:r>
        <w:t>such a system</w:t>
      </w:r>
      <w:r w:rsidRPr="00F111BF">
        <w:t xml:space="preserve"> as a precondition for the approval of funds helped to expedite the process. No indication </w:t>
      </w:r>
      <w:r>
        <w:t xml:space="preserve">was </w:t>
      </w:r>
      <w:r w:rsidRPr="00F111BF">
        <w:t>found that the establishment of these systems suffered delays due to insufficient funding in the preparatory process.</w:t>
      </w:r>
    </w:p>
  </w:footnote>
  <w:footnote w:id="25">
    <w:p w14:paraId="39AC383F" w14:textId="77777777" w:rsidR="00642C89" w:rsidRPr="00F111BF" w:rsidRDefault="00642C89" w:rsidP="00642C89">
      <w:pPr>
        <w:pStyle w:val="FootnoteText"/>
      </w:pPr>
      <w:r>
        <w:rPr>
          <w:rStyle w:val="FootnoteReference"/>
        </w:rPr>
        <w:footnoteRef/>
      </w:r>
      <w:r>
        <w:t xml:space="preserve"> As reported in document </w:t>
      </w:r>
      <w:r w:rsidRPr="00F111BF">
        <w:t>UNEP/OzL.Pro/ExCom/83/8</w:t>
      </w:r>
      <w:r>
        <w:t>, d</w:t>
      </w:r>
      <w:r w:rsidRPr="00F111BF">
        <w:t xml:space="preserve">uring the preparatory process, Article 5 countries identified other relevant policies for consideration during the implementation of their HPMPS, </w:t>
      </w:r>
      <w:r>
        <w:rPr>
          <w:i/>
        </w:rPr>
        <w:t>inter alia</w:t>
      </w:r>
      <w:r w:rsidRPr="00F111BF">
        <w:t xml:space="preserve">: amending regulations for controlling </w:t>
      </w:r>
      <w:r>
        <w:t xml:space="preserve">the </w:t>
      </w:r>
      <w:r w:rsidRPr="00F111BF">
        <w:t xml:space="preserve">use, imports, manufacturing, assembly and installation of products containing HCFCs; prohibiting the establishment and expansion of new HCFC-based manufacturing capacities, establishing an incentive system for promoting the use of alternatives to HCFCs; the certification of technicians for handling HCFCs; prohibiting the manufacturing, assembly and import of HCFC-based air-conditioners once local manufacturers have been converted; standards and labelling programmes; </w:t>
      </w:r>
      <w:r>
        <w:t xml:space="preserve">and </w:t>
      </w:r>
      <w:r w:rsidRPr="00F111BF">
        <w:t>mandatory leak detection and containment of all controlled substances used in in refrigeration and air-conditioning systems.</w:t>
      </w:r>
    </w:p>
  </w:footnote>
  <w:footnote w:id="26">
    <w:p w14:paraId="1EF6922B" w14:textId="77777777" w:rsidR="00642C89" w:rsidRPr="00081717" w:rsidRDefault="00642C89" w:rsidP="00642C89">
      <w:pPr>
        <w:pStyle w:val="FootnoteText"/>
      </w:pPr>
      <w:r>
        <w:rPr>
          <w:rStyle w:val="FootnoteReference"/>
        </w:rPr>
        <w:footnoteRef/>
      </w:r>
      <w:r>
        <w:t xml:space="preserve"> It is to be noted that surveys on ODS alternatives were not submitted by the largest consuming countries, including Brazil, China and India. </w:t>
      </w:r>
    </w:p>
  </w:footnote>
  <w:footnote w:id="27">
    <w:p w14:paraId="745247D2" w14:textId="7924A908" w:rsidR="00642C89" w:rsidRPr="00786A20" w:rsidRDefault="00642C89" w:rsidP="00642C89">
      <w:pPr>
        <w:pStyle w:val="FootnoteText"/>
        <w:rPr>
          <w:lang w:val="en-US"/>
        </w:rPr>
      </w:pPr>
      <w:r>
        <w:rPr>
          <w:rStyle w:val="FootnoteReference"/>
        </w:rPr>
        <w:footnoteRef/>
      </w:r>
      <w:r>
        <w:t xml:space="preserve"> A similar approach was taken when analysing the funding requirements for enabling activities as described in doc</w:t>
      </w:r>
      <w:r w:rsidR="008B6E14">
        <w:t xml:space="preserve">ument UNEP/OzL.Pro/ExCom/79/49, </w:t>
      </w:r>
      <w:r w:rsidRPr="00786A20">
        <w:t xml:space="preserve">Draft procedures for </w:t>
      </w:r>
      <w:r>
        <w:t>A</w:t>
      </w:r>
      <w:r w:rsidRPr="00786A20">
        <w:t>rticle 5 countries that have HFC consumption baseline years from 2020 to 2022 in accessing additional contributions for enabling activities</w:t>
      </w:r>
      <w:r>
        <w:t>.</w:t>
      </w:r>
    </w:p>
  </w:footnote>
  <w:footnote w:id="28">
    <w:p w14:paraId="139A3914" w14:textId="77777777" w:rsidR="00642C89" w:rsidRPr="00A85828" w:rsidRDefault="00642C89" w:rsidP="00642C89">
      <w:pPr>
        <w:pStyle w:val="FootnoteText"/>
        <w:rPr>
          <w:lang w:val="en-US"/>
        </w:rPr>
      </w:pPr>
      <w:r>
        <w:rPr>
          <w:rStyle w:val="FootnoteReference"/>
        </w:rPr>
        <w:footnoteRef/>
      </w:r>
      <w:r>
        <w:t xml:space="preserve"> </w:t>
      </w:r>
      <w:r>
        <w:rPr>
          <w:lang w:val="en-US"/>
        </w:rPr>
        <w:t>“</w:t>
      </w:r>
      <w:r w:rsidRPr="0046701D">
        <w:t>That, for all submissions from the 68</w:t>
      </w:r>
      <w:r w:rsidRPr="00B13466">
        <w:rPr>
          <w:vertAlign w:val="superscript"/>
        </w:rPr>
        <w:t>th</w:t>
      </w:r>
      <w:r>
        <w:t xml:space="preserve"> m</w:t>
      </w:r>
      <w:r w:rsidRPr="0046701D">
        <w:t>eeting onwards, confirmation has been received from the Government that an enforceable national system of licensing and quotas for HCFC imports and, where applicable, production and exports</w:t>
      </w:r>
      <w:r>
        <w:t>,</w:t>
      </w:r>
      <w:r w:rsidRPr="0046701D">
        <w:t xml:space="preserve"> is in place</w:t>
      </w:r>
      <w:r>
        <w:t>, and that the system is capable of ensuring the country's compliance with the Montreal Protocol HCFC phase-out schedule for the duration of this agreement.”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43F1E" w14:textId="77777777" w:rsidR="00DC6A10" w:rsidRPr="0033525D" w:rsidRDefault="003E5DC5">
    <w:fldSimple w:instr=" DOCPROPERTY &quot;Document number&quot;  \* MERGEFORMAT ">
      <w:r w:rsidR="00642C89">
        <w:t>UNEP/OzL.Pro/ExCom/86/88</w:t>
      </w:r>
    </w:fldSimple>
  </w:p>
  <w:p w14:paraId="665617EB" w14:textId="77777777" w:rsidR="00DC6A10" w:rsidRPr="0033525D" w:rsidRDefault="00DC6A10"/>
  <w:p w14:paraId="0FE09127"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14D5F" w14:textId="77777777" w:rsidR="00DC6A10" w:rsidRPr="0033525D" w:rsidRDefault="003E5DC5">
    <w:pPr>
      <w:jc w:val="right"/>
    </w:pPr>
    <w:fldSimple w:instr=" DOCPROPERTY &quot;Document number&quot;  \* MERGEFORMAT ">
      <w:r w:rsidR="00642C89">
        <w:t>UNEP/OzL.Pro/ExCom/86/88</w:t>
      </w:r>
    </w:fldSimple>
  </w:p>
  <w:p w14:paraId="0C91FC9F" w14:textId="77777777" w:rsidR="00DC6A10" w:rsidRPr="0033525D" w:rsidRDefault="00DC6A10"/>
  <w:p w14:paraId="579521B3"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903DD6"/>
    <w:multiLevelType w:val="hybridMultilevel"/>
    <w:tmpl w:val="E0362002"/>
    <w:lvl w:ilvl="0" w:tplc="4B1833EA">
      <w:start w:val="1"/>
      <w:numFmt w:val="lowerLetter"/>
      <w:lvlText w:val="%1."/>
      <w:lvlJc w:val="left"/>
      <w:pPr>
        <w:ind w:left="2790" w:hanging="720"/>
      </w:pPr>
      <w:rPr>
        <w:rFonts w:ascii="Times New Roman" w:eastAsia="Times New Roman" w:hAnsi="Times New Roman" w:cs="Times New Roman"/>
      </w:rPr>
    </w:lvl>
    <w:lvl w:ilvl="1" w:tplc="10090019">
      <w:start w:val="1"/>
      <w:numFmt w:val="lowerLetter"/>
      <w:lvlText w:val="%2."/>
      <w:lvlJc w:val="left"/>
      <w:pPr>
        <w:ind w:left="3150" w:hanging="360"/>
      </w:pPr>
    </w:lvl>
    <w:lvl w:ilvl="2" w:tplc="1009001B" w:tentative="1">
      <w:start w:val="1"/>
      <w:numFmt w:val="lowerRoman"/>
      <w:lvlText w:val="%3."/>
      <w:lvlJc w:val="right"/>
      <w:pPr>
        <w:ind w:left="3870" w:hanging="180"/>
      </w:pPr>
    </w:lvl>
    <w:lvl w:ilvl="3" w:tplc="C5D2ACC8">
      <w:start w:val="1"/>
      <w:numFmt w:val="lowerLetter"/>
      <w:lvlText w:val="%4."/>
      <w:lvlJc w:val="left"/>
      <w:pPr>
        <w:ind w:left="4590" w:hanging="360"/>
      </w:pPr>
      <w:rPr>
        <w:rFonts w:ascii="Times New Roman" w:eastAsia="Times New Roman" w:hAnsi="Times New Roman" w:cs="Times New Roman"/>
      </w:rPr>
    </w:lvl>
    <w:lvl w:ilvl="4" w:tplc="10090019">
      <w:start w:val="1"/>
      <w:numFmt w:val="lowerLetter"/>
      <w:lvlText w:val="%5."/>
      <w:lvlJc w:val="left"/>
      <w:pPr>
        <w:ind w:left="5310" w:hanging="360"/>
      </w:pPr>
    </w:lvl>
    <w:lvl w:ilvl="5" w:tplc="1009001B" w:tentative="1">
      <w:start w:val="1"/>
      <w:numFmt w:val="lowerRoman"/>
      <w:lvlText w:val="%6."/>
      <w:lvlJc w:val="right"/>
      <w:pPr>
        <w:ind w:left="6030" w:hanging="180"/>
      </w:pPr>
    </w:lvl>
    <w:lvl w:ilvl="6" w:tplc="1009000F" w:tentative="1">
      <w:start w:val="1"/>
      <w:numFmt w:val="decimal"/>
      <w:lvlText w:val="%7."/>
      <w:lvlJc w:val="left"/>
      <w:pPr>
        <w:ind w:left="6750" w:hanging="360"/>
      </w:pPr>
    </w:lvl>
    <w:lvl w:ilvl="7" w:tplc="10090019" w:tentative="1">
      <w:start w:val="1"/>
      <w:numFmt w:val="lowerLetter"/>
      <w:lvlText w:val="%8."/>
      <w:lvlJc w:val="left"/>
      <w:pPr>
        <w:ind w:left="7470" w:hanging="360"/>
      </w:pPr>
    </w:lvl>
    <w:lvl w:ilvl="8" w:tplc="1009001B" w:tentative="1">
      <w:start w:val="1"/>
      <w:numFmt w:val="lowerRoman"/>
      <w:lvlText w:val="%9."/>
      <w:lvlJc w:val="right"/>
      <w:pPr>
        <w:ind w:left="8190" w:hanging="180"/>
      </w:pPr>
    </w:lvl>
  </w:abstractNum>
  <w:abstractNum w:abstractNumId="12" w15:restartNumberingAfterBreak="0">
    <w:nsid w:val="12672DA2"/>
    <w:multiLevelType w:val="multilevel"/>
    <w:tmpl w:val="0060DEF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1CDD0018"/>
    <w:multiLevelType w:val="hybridMultilevel"/>
    <w:tmpl w:val="17C64D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EE18CE"/>
    <w:multiLevelType w:val="hybridMultilevel"/>
    <w:tmpl w:val="863648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465D92"/>
    <w:multiLevelType w:val="hybridMultilevel"/>
    <w:tmpl w:val="ABDA55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9BB7236"/>
    <w:multiLevelType w:val="multilevel"/>
    <w:tmpl w:val="BB2C3286"/>
    <w:lvl w:ilvl="0">
      <w:start w:val="1"/>
      <w:numFmt w:val="decimal"/>
      <w:lvlText w:val="%1."/>
      <w:lvlJc w:val="left"/>
      <w:pPr>
        <w:tabs>
          <w:tab w:val="num" w:pos="0"/>
        </w:tabs>
        <w:ind w:left="0" w:firstLine="0"/>
      </w:pPr>
    </w:lvl>
    <w:lvl w:ilvl="1">
      <w:start w:val="4"/>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rPr>
        <w:rFonts w:ascii="Times New Roman" w:hAnsi="Times New Roman" w:cs="Times New Roman" w:hint="default"/>
        <w:i w:val="0"/>
      </w:r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3A1B7031"/>
    <w:multiLevelType w:val="hybridMultilevel"/>
    <w:tmpl w:val="A5227A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E343F0"/>
    <w:multiLevelType w:val="multilevel"/>
    <w:tmpl w:val="BB2C3286"/>
    <w:lvl w:ilvl="0">
      <w:start w:val="1"/>
      <w:numFmt w:val="decimal"/>
      <w:lvlText w:val="%1."/>
      <w:lvlJc w:val="left"/>
      <w:pPr>
        <w:tabs>
          <w:tab w:val="num" w:pos="0"/>
        </w:tabs>
        <w:ind w:left="0" w:firstLine="0"/>
      </w:pPr>
    </w:lvl>
    <w:lvl w:ilvl="1">
      <w:start w:val="4"/>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rPr>
        <w:rFonts w:ascii="Times New Roman" w:hAnsi="Times New Roman" w:cs="Times New Roman" w:hint="default"/>
        <w:i w:val="0"/>
      </w:r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27D42FE"/>
    <w:multiLevelType w:val="multilevel"/>
    <w:tmpl w:val="BB2C3286"/>
    <w:lvl w:ilvl="0">
      <w:start w:val="1"/>
      <w:numFmt w:val="decimal"/>
      <w:lvlText w:val="%1."/>
      <w:lvlJc w:val="left"/>
      <w:pPr>
        <w:tabs>
          <w:tab w:val="num" w:pos="0"/>
        </w:tabs>
        <w:ind w:left="0" w:firstLine="0"/>
      </w:pPr>
    </w:lvl>
    <w:lvl w:ilvl="1">
      <w:start w:val="4"/>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rPr>
        <w:rFonts w:ascii="Times New Roman" w:hAnsi="Times New Roman" w:cs="Times New Roman" w:hint="default"/>
        <w:i w:val="0"/>
      </w:r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4" w15:restartNumberingAfterBreak="0">
    <w:nsid w:val="57895F62"/>
    <w:multiLevelType w:val="multilevel"/>
    <w:tmpl w:val="DA96640C"/>
    <w:lvl w:ilvl="0">
      <w:start w:val="1"/>
      <w:numFmt w:val="bullet"/>
      <w:lvlText w:val=""/>
      <w:lvlJc w:val="left"/>
      <w:pPr>
        <w:tabs>
          <w:tab w:val="num" w:pos="0"/>
        </w:tabs>
        <w:ind w:left="0" w:firstLine="0"/>
      </w:pPr>
      <w:rPr>
        <w:rFonts w:ascii="Symbol" w:hAnsi="Symbol" w:hint="default"/>
        <w:b w:val="0"/>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0"/>
        </w:tabs>
        <w:ind w:left="2866" w:hanging="706"/>
      </w:pPr>
      <w:rPr>
        <w:rFonts w:hint="default"/>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5" w15:restartNumberingAfterBreak="0">
    <w:nsid w:val="7A864935"/>
    <w:multiLevelType w:val="hybridMultilevel"/>
    <w:tmpl w:val="F96E94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1"/>
  </w:num>
  <w:num w:numId="18">
    <w:abstractNumId w:val="22"/>
  </w:num>
  <w:num w:numId="19">
    <w:abstractNumId w:val="26"/>
  </w:num>
  <w:num w:numId="20">
    <w:abstractNumId w:val="17"/>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10"/>
    <w:lvlOverride w:ilvl="0">
      <w:startOverride w:val="6"/>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num>
  <w:num w:numId="27">
    <w:abstractNumId w:val="23"/>
  </w:num>
  <w:num w:numId="28">
    <w:abstractNumId w:val="18"/>
  </w:num>
  <w:num w:numId="29">
    <w:abstractNumId w:val="24"/>
  </w:num>
  <w:num w:numId="30">
    <w:abstractNumId w:val="25"/>
  </w:num>
  <w:num w:numId="31">
    <w:abstractNumId w:val="19"/>
  </w:num>
  <w:num w:numId="32">
    <w:abstractNumId w:val="15"/>
  </w:num>
  <w:num w:numId="33">
    <w:abstractNumId w:val="13"/>
  </w:num>
  <w:num w:numId="34">
    <w:abstractNumId w:val="14"/>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num>
  <w:num w:numId="38">
    <w:abstractNumId w:val="10"/>
  </w:num>
  <w:num w:numId="39">
    <w:abstractNumId w:val="10"/>
  </w:num>
  <w:num w:numId="40">
    <w:abstractNumId w:val="10"/>
  </w:num>
  <w:num w:numId="41">
    <w:abstractNumId w:val="10"/>
  </w:num>
  <w:num w:numId="42">
    <w:abstractNumId w:val="10"/>
  </w:num>
  <w:num w:numId="4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B93E6D"/>
    <w:rsid w:val="00000FED"/>
    <w:rsid w:val="0000434E"/>
    <w:rsid w:val="00015658"/>
    <w:rsid w:val="00017415"/>
    <w:rsid w:val="000211A9"/>
    <w:rsid w:val="00023B35"/>
    <w:rsid w:val="00025481"/>
    <w:rsid w:val="00031260"/>
    <w:rsid w:val="0003681A"/>
    <w:rsid w:val="000372B7"/>
    <w:rsid w:val="00050F6E"/>
    <w:rsid w:val="00061EC2"/>
    <w:rsid w:val="00070D17"/>
    <w:rsid w:val="00080ED0"/>
    <w:rsid w:val="00085B8F"/>
    <w:rsid w:val="00090481"/>
    <w:rsid w:val="00097481"/>
    <w:rsid w:val="000A3826"/>
    <w:rsid w:val="000A6C26"/>
    <w:rsid w:val="000C1127"/>
    <w:rsid w:val="000D52A4"/>
    <w:rsid w:val="000E07BC"/>
    <w:rsid w:val="000E0A58"/>
    <w:rsid w:val="000F1CD4"/>
    <w:rsid w:val="000F4103"/>
    <w:rsid w:val="000F70A7"/>
    <w:rsid w:val="00113CCA"/>
    <w:rsid w:val="00122F25"/>
    <w:rsid w:val="00135980"/>
    <w:rsid w:val="0016321A"/>
    <w:rsid w:val="00164719"/>
    <w:rsid w:val="00166FC4"/>
    <w:rsid w:val="001677AC"/>
    <w:rsid w:val="00172078"/>
    <w:rsid w:val="00175A6B"/>
    <w:rsid w:val="001804EA"/>
    <w:rsid w:val="00190A61"/>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24FCD"/>
    <w:rsid w:val="00253222"/>
    <w:rsid w:val="00262847"/>
    <w:rsid w:val="00281BB2"/>
    <w:rsid w:val="002B254E"/>
    <w:rsid w:val="002B72E9"/>
    <w:rsid w:val="002C7998"/>
    <w:rsid w:val="002E3702"/>
    <w:rsid w:val="002F1E53"/>
    <w:rsid w:val="002F2CAA"/>
    <w:rsid w:val="0030052C"/>
    <w:rsid w:val="00307ADB"/>
    <w:rsid w:val="003306E1"/>
    <w:rsid w:val="003320E4"/>
    <w:rsid w:val="0033525D"/>
    <w:rsid w:val="003414F3"/>
    <w:rsid w:val="00341D72"/>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C6B4C"/>
    <w:rsid w:val="003D42A6"/>
    <w:rsid w:val="003D4F21"/>
    <w:rsid w:val="003D4FAC"/>
    <w:rsid w:val="003E5DC5"/>
    <w:rsid w:val="003E7906"/>
    <w:rsid w:val="003F3C50"/>
    <w:rsid w:val="00406A6A"/>
    <w:rsid w:val="00406B22"/>
    <w:rsid w:val="004320F8"/>
    <w:rsid w:val="004328A7"/>
    <w:rsid w:val="00434C74"/>
    <w:rsid w:val="00442BD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220ED"/>
    <w:rsid w:val="00533796"/>
    <w:rsid w:val="00537343"/>
    <w:rsid w:val="005479A6"/>
    <w:rsid w:val="00555D75"/>
    <w:rsid w:val="00560DF0"/>
    <w:rsid w:val="0056759C"/>
    <w:rsid w:val="00571EB3"/>
    <w:rsid w:val="0059513E"/>
    <w:rsid w:val="005A6D9F"/>
    <w:rsid w:val="005B48FF"/>
    <w:rsid w:val="005C0D0D"/>
    <w:rsid w:val="005D363F"/>
    <w:rsid w:val="005E0394"/>
    <w:rsid w:val="005E75BA"/>
    <w:rsid w:val="0060048D"/>
    <w:rsid w:val="00604C15"/>
    <w:rsid w:val="006158D5"/>
    <w:rsid w:val="0062345C"/>
    <w:rsid w:val="00625D83"/>
    <w:rsid w:val="00642C89"/>
    <w:rsid w:val="006441DB"/>
    <w:rsid w:val="006623E7"/>
    <w:rsid w:val="00662B80"/>
    <w:rsid w:val="00670F6C"/>
    <w:rsid w:val="006852C7"/>
    <w:rsid w:val="006852CE"/>
    <w:rsid w:val="00692D14"/>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303A5"/>
    <w:rsid w:val="00730B3E"/>
    <w:rsid w:val="0073420B"/>
    <w:rsid w:val="00737E42"/>
    <w:rsid w:val="0074760E"/>
    <w:rsid w:val="00750C95"/>
    <w:rsid w:val="00753883"/>
    <w:rsid w:val="00754ABA"/>
    <w:rsid w:val="0078156E"/>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7077"/>
    <w:rsid w:val="00863230"/>
    <w:rsid w:val="00865BD0"/>
    <w:rsid w:val="008717D8"/>
    <w:rsid w:val="0087215C"/>
    <w:rsid w:val="00875D25"/>
    <w:rsid w:val="00880E35"/>
    <w:rsid w:val="008875FE"/>
    <w:rsid w:val="00887F8E"/>
    <w:rsid w:val="00891100"/>
    <w:rsid w:val="00896234"/>
    <w:rsid w:val="00897E43"/>
    <w:rsid w:val="008A7DFE"/>
    <w:rsid w:val="008B6E14"/>
    <w:rsid w:val="008C5738"/>
    <w:rsid w:val="008C7EAD"/>
    <w:rsid w:val="008D0CFE"/>
    <w:rsid w:val="008D6152"/>
    <w:rsid w:val="008F0F81"/>
    <w:rsid w:val="008F1C17"/>
    <w:rsid w:val="008F27BF"/>
    <w:rsid w:val="009142EC"/>
    <w:rsid w:val="009154C3"/>
    <w:rsid w:val="00923540"/>
    <w:rsid w:val="00926767"/>
    <w:rsid w:val="009361D5"/>
    <w:rsid w:val="009428A4"/>
    <w:rsid w:val="009659F4"/>
    <w:rsid w:val="00970D60"/>
    <w:rsid w:val="0099390E"/>
    <w:rsid w:val="009960E5"/>
    <w:rsid w:val="009A7ADC"/>
    <w:rsid w:val="009C19B7"/>
    <w:rsid w:val="009C5ABB"/>
    <w:rsid w:val="009D7C51"/>
    <w:rsid w:val="009E196C"/>
    <w:rsid w:val="009F36BF"/>
    <w:rsid w:val="009F5C91"/>
    <w:rsid w:val="00A111B6"/>
    <w:rsid w:val="00A26D27"/>
    <w:rsid w:val="00A376EE"/>
    <w:rsid w:val="00A42A99"/>
    <w:rsid w:val="00A5151A"/>
    <w:rsid w:val="00A57E0A"/>
    <w:rsid w:val="00A70F54"/>
    <w:rsid w:val="00A823F6"/>
    <w:rsid w:val="00A8719E"/>
    <w:rsid w:val="00AA0A89"/>
    <w:rsid w:val="00AA6429"/>
    <w:rsid w:val="00AC01AA"/>
    <w:rsid w:val="00AC4F72"/>
    <w:rsid w:val="00AF4E52"/>
    <w:rsid w:val="00AF741A"/>
    <w:rsid w:val="00B01ADB"/>
    <w:rsid w:val="00B04161"/>
    <w:rsid w:val="00B056F9"/>
    <w:rsid w:val="00B101C8"/>
    <w:rsid w:val="00B11E3D"/>
    <w:rsid w:val="00B17E82"/>
    <w:rsid w:val="00B4575A"/>
    <w:rsid w:val="00B575BA"/>
    <w:rsid w:val="00B71608"/>
    <w:rsid w:val="00B76429"/>
    <w:rsid w:val="00B93E6D"/>
    <w:rsid w:val="00B956D4"/>
    <w:rsid w:val="00B97446"/>
    <w:rsid w:val="00BA7432"/>
    <w:rsid w:val="00BB2764"/>
    <w:rsid w:val="00BC1AA0"/>
    <w:rsid w:val="00BC2495"/>
    <w:rsid w:val="00BC7EB9"/>
    <w:rsid w:val="00BD2643"/>
    <w:rsid w:val="00BD56B1"/>
    <w:rsid w:val="00BD6558"/>
    <w:rsid w:val="00BE2BB1"/>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F41EC"/>
    <w:rsid w:val="00CF5414"/>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5655"/>
    <w:rsid w:val="00DC6A10"/>
    <w:rsid w:val="00DE657E"/>
    <w:rsid w:val="00DF4704"/>
    <w:rsid w:val="00E024AA"/>
    <w:rsid w:val="00E15C77"/>
    <w:rsid w:val="00E250F1"/>
    <w:rsid w:val="00E3550D"/>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5211B"/>
    <w:rsid w:val="00F554A9"/>
    <w:rsid w:val="00F716FD"/>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717AD"/>
  <w15:docId w15:val="{CB9349FE-51B8-4661-9199-33004F1CF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3702"/>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642C89"/>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642C89"/>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642C89"/>
    <w:rPr>
      <w:sz w:val="22"/>
      <w:szCs w:val="22"/>
      <w:lang w:val="en-GB"/>
    </w:rPr>
  </w:style>
  <w:style w:type="character" w:customStyle="1" w:styleId="Heading5Char">
    <w:name w:val="Heading 5 Char"/>
    <w:basedOn w:val="DefaultParagraphFont"/>
    <w:link w:val="Heading5"/>
    <w:rsid w:val="00642C89"/>
    <w:rPr>
      <w:sz w:val="22"/>
      <w:szCs w:val="22"/>
      <w:lang w:val="en-GB"/>
    </w:rPr>
  </w:style>
  <w:style w:type="character" w:customStyle="1" w:styleId="Heading6Char">
    <w:name w:val="Heading 6 Char"/>
    <w:basedOn w:val="DefaultParagraphFont"/>
    <w:link w:val="Heading6"/>
    <w:rsid w:val="00642C89"/>
    <w:rPr>
      <w:rFonts w:ascii="Arial" w:hAnsi="Arial"/>
      <w:i/>
      <w:sz w:val="22"/>
      <w:szCs w:val="22"/>
      <w:lang w:val="en-GB"/>
    </w:rPr>
  </w:style>
  <w:style w:type="character" w:customStyle="1" w:styleId="Heading7Char">
    <w:name w:val="Heading 7 Char"/>
    <w:basedOn w:val="DefaultParagraphFont"/>
    <w:link w:val="Heading7"/>
    <w:rsid w:val="00642C89"/>
    <w:rPr>
      <w:rFonts w:ascii="Arial" w:hAnsi="Arial"/>
      <w:sz w:val="22"/>
      <w:szCs w:val="22"/>
      <w:lang w:val="en-GB"/>
    </w:rPr>
  </w:style>
  <w:style w:type="character" w:customStyle="1" w:styleId="Heading8Char">
    <w:name w:val="Heading 8 Char"/>
    <w:basedOn w:val="DefaultParagraphFont"/>
    <w:link w:val="Heading8"/>
    <w:rsid w:val="00642C89"/>
    <w:rPr>
      <w:b/>
      <w:sz w:val="22"/>
      <w:szCs w:val="22"/>
      <w:lang w:val="en-GB"/>
    </w:rPr>
  </w:style>
  <w:style w:type="character" w:customStyle="1" w:styleId="Heading9Char">
    <w:name w:val="Heading 9 Char"/>
    <w:basedOn w:val="DefaultParagraphFont"/>
    <w:link w:val="Heading9"/>
    <w:rsid w:val="00642C89"/>
    <w:rPr>
      <w:rFonts w:ascii="Arial" w:hAnsi="Arial"/>
      <w:i/>
      <w:sz w:val="18"/>
      <w:szCs w:val="22"/>
      <w:lang w:val="en-GB"/>
    </w:rPr>
  </w:style>
  <w:style w:type="character" w:customStyle="1" w:styleId="HeaderChar">
    <w:name w:val="Header Char"/>
    <w:basedOn w:val="DefaultParagraphFont"/>
    <w:link w:val="Header"/>
    <w:rsid w:val="00642C89"/>
    <w:rPr>
      <w:sz w:val="22"/>
      <w:szCs w:val="22"/>
      <w:lang w:val="en-GB"/>
    </w:rPr>
  </w:style>
  <w:style w:type="character" w:customStyle="1" w:styleId="FooterChar">
    <w:name w:val="Footer Char"/>
    <w:basedOn w:val="DefaultParagraphFont"/>
    <w:link w:val="Footer"/>
    <w:semiHidden/>
    <w:rsid w:val="00642C89"/>
    <w:rPr>
      <w:sz w:val="22"/>
      <w:szCs w:val="22"/>
      <w:lang w:val="en-GB"/>
    </w:rPr>
  </w:style>
  <w:style w:type="character" w:customStyle="1" w:styleId="BodyText3Char">
    <w:name w:val="Body Text 3 Char"/>
    <w:basedOn w:val="DefaultParagraphFont"/>
    <w:link w:val="BodyText3"/>
    <w:semiHidden/>
    <w:rsid w:val="00642C89"/>
    <w:rPr>
      <w:sz w:val="16"/>
      <w:szCs w:val="16"/>
      <w:lang w:val="en-GB"/>
    </w:rPr>
  </w:style>
  <w:style w:type="character" w:customStyle="1" w:styleId="BodyTextIndent3Char">
    <w:name w:val="Body Text Indent 3 Char"/>
    <w:basedOn w:val="DefaultParagraphFont"/>
    <w:link w:val="BodyTextIndent3"/>
    <w:semiHidden/>
    <w:rsid w:val="00642C89"/>
    <w:rPr>
      <w:sz w:val="16"/>
      <w:szCs w:val="16"/>
      <w:lang w:val="en-GB"/>
    </w:rPr>
  </w:style>
  <w:style w:type="character" w:customStyle="1" w:styleId="PlainTextChar">
    <w:name w:val="Plain Text Char"/>
    <w:basedOn w:val="DefaultParagraphFont"/>
    <w:link w:val="PlainText"/>
    <w:semiHidden/>
    <w:rsid w:val="00642C89"/>
    <w:rPr>
      <w:rFonts w:ascii="Courier New" w:hAnsi="Courier New" w:cs="Courier New"/>
      <w:szCs w:val="22"/>
      <w:lang w:val="en-GB"/>
    </w:rPr>
  </w:style>
  <w:style w:type="character" w:customStyle="1" w:styleId="SubtitleChar">
    <w:name w:val="Subtitle Char"/>
    <w:basedOn w:val="DefaultParagraphFont"/>
    <w:link w:val="Subtitle"/>
    <w:rsid w:val="00642C89"/>
    <w:rPr>
      <w:rFonts w:ascii="Arial" w:hAnsi="Arial" w:cs="Arial"/>
      <w:sz w:val="22"/>
      <w:szCs w:val="22"/>
      <w:lang w:val="en-GB"/>
    </w:rPr>
  </w:style>
  <w:style w:type="character" w:customStyle="1" w:styleId="TitleChar">
    <w:name w:val="Title Char"/>
    <w:basedOn w:val="DefaultParagraphFont"/>
    <w:link w:val="Title"/>
    <w:rsid w:val="00642C89"/>
    <w:rPr>
      <w:rFonts w:ascii="Arial" w:hAnsi="Arial" w:cs="Arial"/>
      <w:b/>
      <w:bCs/>
      <w:kern w:val="28"/>
      <w:sz w:val="22"/>
      <w:szCs w:val="22"/>
      <w:lang w:val="en-GB"/>
    </w:rPr>
  </w:style>
  <w:style w:type="character" w:customStyle="1" w:styleId="DateChar">
    <w:name w:val="Date Char"/>
    <w:basedOn w:val="DefaultParagraphFont"/>
    <w:link w:val="Date"/>
    <w:rsid w:val="00642C89"/>
    <w:rPr>
      <w:sz w:val="22"/>
      <w:szCs w:val="22"/>
      <w:lang w:val="en-GB"/>
    </w:rPr>
  </w:style>
  <w:style w:type="paragraph" w:styleId="ListParagraph">
    <w:name w:val="List Paragraph"/>
    <w:basedOn w:val="Normal"/>
    <w:uiPriority w:val="34"/>
    <w:qFormat/>
    <w:rsid w:val="00642C89"/>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42C89"/>
    <w:pPr>
      <w:spacing w:after="160" w:line="240" w:lineRule="exact"/>
    </w:pPr>
    <w:rPr>
      <w:sz w:val="20"/>
      <w:szCs w:val="20"/>
      <w:vertAlign w:val="superscript"/>
      <w:lang w:val="en-US"/>
    </w:rPr>
  </w:style>
  <w:style w:type="paragraph" w:styleId="Revision">
    <w:name w:val="Revision"/>
    <w:hidden/>
    <w:uiPriority w:val="99"/>
    <w:semiHidden/>
    <w:rsid w:val="0075388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364087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UNEP/OzL.Pro/ExCom/86/88</Document_x0020_Number>
    <Posted_x0020_after_x0020_IAP xmlns="abaacac7-de29-4bd9-9df9-38435041f724">true</Posted_x0020_after_x0020_IAP>
    <DocumentType xmlns="64e33b30-101d-41de-b951-961aab25ea29">Pre-session</DocumentType>
  </documentManagement>
</p:properties>
</file>

<file path=customXml/itemProps1.xml><?xml version="1.0" encoding="utf-8"?>
<ds:datastoreItem xmlns:ds="http://schemas.openxmlformats.org/officeDocument/2006/customXml" ds:itemID="{F4A3534F-34E8-407A-8A25-EC029CA80B08}"/>
</file>

<file path=customXml/itemProps2.xml><?xml version="1.0" encoding="utf-8"?>
<ds:datastoreItem xmlns:ds="http://schemas.openxmlformats.org/officeDocument/2006/customXml" ds:itemID="{5F8DB270-67E3-4988-B01A-5EDD1B07A993}"/>
</file>

<file path=customXml/itemProps3.xml><?xml version="1.0" encoding="utf-8"?>
<ds:datastoreItem xmlns:ds="http://schemas.openxmlformats.org/officeDocument/2006/customXml" ds:itemID="{789EA722-FA20-4217-BC22-BB92E576FC95}"/>
</file>

<file path=customXml/itemProps4.xml><?xml version="1.0" encoding="utf-8"?>
<ds:datastoreItem xmlns:ds="http://schemas.openxmlformats.org/officeDocument/2006/customXml" ds:itemID="{CA846430-9FDC-4240-8C7D-1B0D8BE8F5A5}"/>
</file>

<file path=docProps/app.xml><?xml version="1.0" encoding="utf-8"?>
<Properties xmlns="http://schemas.openxmlformats.org/officeDocument/2006/extended-properties" xmlns:vt="http://schemas.openxmlformats.org/officeDocument/2006/docPropsVTypes">
  <Template>Eec86G</Template>
  <TotalTime>0</TotalTime>
  <Pages>13</Pages>
  <Words>5467</Words>
  <Characters>30889</Characters>
  <Application>Microsoft Office Word</Application>
  <DocSecurity>0</DocSecurity>
  <Lines>541</Lines>
  <Paragraphs>234</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guidelines for the preparation of HFC phase-down plans for Article 5 countries (decision 84/54(a))</dc:title>
  <dc:creator>Kaleen  McNamara</dc:creator>
  <cp:lastModifiedBy>Kaleen  McNamara</cp:lastModifiedBy>
  <cp:revision>2</cp:revision>
  <cp:lastPrinted>2001-05-26T16:40:00Z</cp:lastPrinted>
  <dcterms:created xsi:type="dcterms:W3CDTF">2021-03-11T18:00:00Z</dcterms:created>
  <dcterms:modified xsi:type="dcterms:W3CDTF">2021-03-11T18:00:00Z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UNEP/OzL.Pro/ExCom/86/88</vt:lpwstr>
  </property>
  <property fmtid="{D5CDD505-2E9C-101B-9397-08002B2CF9AE}" pid="3" name="Revision date">
    <vt:lpwstr>03/11/2020</vt:lpwstr>
  </property>
  <property fmtid="{D5CDD505-2E9C-101B-9397-08002B2CF9AE}" pid="4" name="ContentTypeId">
    <vt:lpwstr>0x0101005AF33A4CB358354C9EC302DF0A113603</vt:lpwstr>
  </property>
</Properties>
</file>