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903B63" w14:paraId="6007BD8B" w14:textId="77777777" w:rsidTr="00022111">
        <w:trPr>
          <w:trHeight w:val="720"/>
        </w:trPr>
        <w:tc>
          <w:tcPr>
            <w:tcW w:w="4410" w:type="dxa"/>
            <w:gridSpan w:val="2"/>
            <w:tcBorders>
              <w:bottom w:val="single" w:sz="18" w:space="0" w:color="auto"/>
            </w:tcBorders>
          </w:tcPr>
          <w:p w14:paraId="0AEBCCA4" w14:textId="77777777" w:rsidR="00903B63" w:rsidRDefault="00903B63" w:rsidP="00022111">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3167809" w14:textId="77777777" w:rsidR="00903B63" w:rsidRDefault="00903B63" w:rsidP="00022111">
            <w:pPr>
              <w:pStyle w:val="Heading3"/>
              <w:numPr>
                <w:ilvl w:val="0"/>
                <w:numId w:val="0"/>
              </w:numPr>
              <w:bidi/>
              <w:ind w:left="270" w:right="1384"/>
              <w:rPr>
                <w:b/>
                <w:bCs/>
                <w:sz w:val="48"/>
                <w:szCs w:val="48"/>
              </w:rPr>
            </w:pPr>
            <w:r>
              <w:rPr>
                <w:b/>
                <w:bCs/>
                <w:sz w:val="48"/>
                <w:szCs w:val="48"/>
                <w:rtl/>
              </w:rPr>
              <w:t>الأمم المتحدة</w:t>
            </w:r>
          </w:p>
        </w:tc>
      </w:tr>
      <w:tr w:rsidR="00903B63" w14:paraId="1302DD48" w14:textId="77777777" w:rsidTr="008E3F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23FF7A41" w14:textId="77777777" w:rsidR="00903B63" w:rsidRPr="00021A8E" w:rsidRDefault="00903B63" w:rsidP="00022111">
            <w:pPr>
              <w:jc w:val="left"/>
              <w:rPr>
                <w:sz w:val="24"/>
                <w:szCs w:val="24"/>
                <w:lang w:val="en-US"/>
              </w:rPr>
            </w:pPr>
            <w:r w:rsidRPr="00021A8E">
              <w:rPr>
                <w:sz w:val="24"/>
                <w:szCs w:val="24"/>
                <w:lang w:val="en-US"/>
              </w:rPr>
              <w:t>Distr.</w:t>
            </w:r>
          </w:p>
          <w:p w14:paraId="1B01D3A7" w14:textId="77777777" w:rsidR="00903B63" w:rsidRPr="00021A8E" w:rsidRDefault="00903B63" w:rsidP="00022111">
            <w:pPr>
              <w:jc w:val="left"/>
              <w:rPr>
                <w:sz w:val="24"/>
                <w:szCs w:val="24"/>
                <w:lang w:val="en-US"/>
              </w:rPr>
            </w:pPr>
            <w:r w:rsidRPr="00021A8E">
              <w:rPr>
                <w:sz w:val="24"/>
                <w:szCs w:val="24"/>
                <w:lang w:val="en-US"/>
              </w:rPr>
              <w:t>GENERAL</w:t>
            </w:r>
          </w:p>
          <w:p w14:paraId="30215E73" w14:textId="77777777" w:rsidR="00903B63" w:rsidRPr="00021A8E" w:rsidRDefault="00903B63" w:rsidP="00022111">
            <w:pPr>
              <w:jc w:val="left"/>
              <w:rPr>
                <w:sz w:val="24"/>
                <w:szCs w:val="24"/>
                <w:lang w:val="en-US"/>
              </w:rPr>
            </w:pPr>
          </w:p>
          <w:p w14:paraId="0B311EC6" w14:textId="4C2BC6D9" w:rsidR="00903B63" w:rsidRPr="00021A8E" w:rsidRDefault="00903B63" w:rsidP="00022111">
            <w:pPr>
              <w:rPr>
                <w:rFonts w:asciiTheme="majorBidi" w:hAnsiTheme="majorBidi" w:cstheme="majorBidi"/>
                <w:sz w:val="24"/>
                <w:szCs w:val="24"/>
                <w:rtl/>
              </w:rPr>
            </w:pPr>
            <w:r w:rsidRPr="00021A8E">
              <w:rPr>
                <w:rFonts w:asciiTheme="majorBidi" w:hAnsiTheme="majorBidi" w:cstheme="majorBidi"/>
                <w:sz w:val="24"/>
                <w:szCs w:val="24"/>
              </w:rPr>
              <w:fldChar w:fldCharType="begin"/>
            </w:r>
            <w:r w:rsidRPr="00021A8E">
              <w:rPr>
                <w:rFonts w:asciiTheme="majorBidi" w:hAnsiTheme="majorBidi" w:cstheme="majorBidi"/>
                <w:sz w:val="24"/>
                <w:szCs w:val="24"/>
              </w:rPr>
              <w:instrText xml:space="preserve"> DOCPROPERTY "Document number"  \* MERGEFORMAT </w:instrText>
            </w:r>
            <w:r w:rsidRPr="00021A8E">
              <w:rPr>
                <w:rFonts w:asciiTheme="majorBidi" w:hAnsiTheme="majorBidi" w:cstheme="majorBidi"/>
                <w:sz w:val="24"/>
                <w:szCs w:val="24"/>
              </w:rPr>
              <w:fldChar w:fldCharType="separate"/>
            </w:r>
            <w:r w:rsidRPr="00021A8E">
              <w:rPr>
                <w:rFonts w:asciiTheme="majorBidi" w:hAnsiTheme="majorBidi" w:cstheme="majorBidi"/>
                <w:sz w:val="24"/>
                <w:szCs w:val="24"/>
              </w:rPr>
              <w:t>UNEP/</w:t>
            </w:r>
            <w:proofErr w:type="spellStart"/>
            <w:r w:rsidRPr="00021A8E">
              <w:rPr>
                <w:rFonts w:asciiTheme="majorBidi" w:hAnsiTheme="majorBidi" w:cstheme="majorBidi"/>
                <w:sz w:val="24"/>
                <w:szCs w:val="24"/>
              </w:rPr>
              <w:t>OzL.Pro</w:t>
            </w:r>
            <w:proofErr w:type="spellEnd"/>
            <w:r w:rsidRPr="00021A8E">
              <w:rPr>
                <w:rFonts w:asciiTheme="majorBidi" w:hAnsiTheme="majorBidi" w:cstheme="majorBidi"/>
                <w:sz w:val="24"/>
                <w:szCs w:val="24"/>
              </w:rPr>
              <w:t>/ExCom/96/</w:t>
            </w:r>
            <w:r w:rsidR="00214218" w:rsidRPr="00021A8E">
              <w:rPr>
                <w:rFonts w:asciiTheme="majorBidi" w:hAnsiTheme="majorBidi" w:cstheme="majorBidi"/>
                <w:sz w:val="24"/>
                <w:szCs w:val="24"/>
                <w:lang w:val="en-US"/>
              </w:rPr>
              <w:t>59</w:t>
            </w:r>
            <w:r w:rsidRPr="00021A8E">
              <w:rPr>
                <w:rFonts w:asciiTheme="majorBidi" w:hAnsiTheme="majorBidi" w:cstheme="majorBidi"/>
                <w:sz w:val="24"/>
                <w:szCs w:val="24"/>
              </w:rPr>
              <w:fldChar w:fldCharType="end"/>
            </w:r>
          </w:p>
          <w:p w14:paraId="76763FDC" w14:textId="28ED6A48" w:rsidR="00903B63" w:rsidRPr="00021A8E" w:rsidRDefault="0021613A" w:rsidP="00022111">
            <w:pPr>
              <w:rPr>
                <w:sz w:val="24"/>
                <w:szCs w:val="24"/>
                <w:lang w:val="en-US"/>
              </w:rPr>
            </w:pPr>
            <w:r w:rsidRPr="00021A8E">
              <w:rPr>
                <w:sz w:val="24"/>
                <w:szCs w:val="24"/>
                <w:lang w:val="en-US"/>
              </w:rPr>
              <w:t>21</w:t>
            </w:r>
            <w:r w:rsidR="00903B63" w:rsidRPr="00021A8E">
              <w:rPr>
                <w:sz w:val="24"/>
                <w:szCs w:val="24"/>
                <w:lang w:val="en-US"/>
              </w:rPr>
              <w:t xml:space="preserve"> </w:t>
            </w:r>
            <w:r w:rsidRPr="00021A8E">
              <w:rPr>
                <w:sz w:val="24"/>
                <w:szCs w:val="24"/>
                <w:lang w:val="en-US"/>
              </w:rPr>
              <w:t>April</w:t>
            </w:r>
            <w:r w:rsidR="00903B63" w:rsidRPr="00021A8E">
              <w:rPr>
                <w:sz w:val="24"/>
                <w:szCs w:val="24"/>
                <w:lang w:val="en-US"/>
              </w:rPr>
              <w:t xml:space="preserve"> 2025</w:t>
            </w:r>
          </w:p>
          <w:p w14:paraId="317CC206" w14:textId="77777777" w:rsidR="00903B63" w:rsidRPr="00021A8E" w:rsidRDefault="00903B63" w:rsidP="00022111">
            <w:pPr>
              <w:jc w:val="left"/>
              <w:rPr>
                <w:sz w:val="24"/>
                <w:szCs w:val="24"/>
                <w:rtl/>
                <w:lang w:val="en-US"/>
              </w:rPr>
            </w:pPr>
          </w:p>
          <w:p w14:paraId="1A2C37A0" w14:textId="77777777" w:rsidR="00903B63" w:rsidRPr="00021A8E" w:rsidRDefault="00903B63" w:rsidP="00022111">
            <w:pPr>
              <w:jc w:val="left"/>
              <w:rPr>
                <w:sz w:val="24"/>
                <w:szCs w:val="24"/>
                <w:lang w:val="en-US"/>
              </w:rPr>
            </w:pPr>
            <w:r w:rsidRPr="00021A8E">
              <w:rPr>
                <w:sz w:val="24"/>
                <w:szCs w:val="24"/>
                <w:lang w:val="en-US"/>
              </w:rPr>
              <w:t>ARABIC</w:t>
            </w:r>
          </w:p>
          <w:p w14:paraId="2D5EA7A1" w14:textId="77777777" w:rsidR="00903B63" w:rsidRDefault="00903B63" w:rsidP="00022111">
            <w:pPr>
              <w:jc w:val="left"/>
              <w:rPr>
                <w:lang w:val="en-US"/>
              </w:rPr>
            </w:pPr>
            <w:r w:rsidRPr="00021A8E">
              <w:rPr>
                <w:sz w:val="24"/>
                <w:szCs w:val="24"/>
                <w:lang w:val="en-US"/>
              </w:rPr>
              <w:t>ORIGINAL: ENGLISH</w:t>
            </w:r>
          </w:p>
        </w:tc>
        <w:tc>
          <w:tcPr>
            <w:tcW w:w="3402" w:type="dxa"/>
            <w:gridSpan w:val="2"/>
            <w:tcBorders>
              <w:top w:val="nil"/>
              <w:left w:val="nil"/>
              <w:bottom w:val="single" w:sz="36" w:space="0" w:color="auto"/>
              <w:right w:val="nil"/>
            </w:tcBorders>
          </w:tcPr>
          <w:p w14:paraId="23518F4D" w14:textId="77777777" w:rsidR="00903B63" w:rsidRDefault="00903B63" w:rsidP="0002211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AF33F36" w14:textId="77777777" w:rsidR="00903B63" w:rsidRDefault="00903B63" w:rsidP="0002211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0CCC3F9" w14:textId="77777777" w:rsidR="00903B63" w:rsidRDefault="00903B63" w:rsidP="00022111">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A86FAA1" w14:textId="77777777" w:rsidR="00903B63" w:rsidRDefault="00903B63" w:rsidP="00022111">
            <w:pPr>
              <w:rPr>
                <w:caps/>
                <w:lang w:val="en-US"/>
              </w:rPr>
            </w:pPr>
            <w:r>
              <w:rPr>
                <w:noProof/>
                <w:lang w:eastAsia="en-CA" w:bidi="ar-SA"/>
              </w:rPr>
              <w:drawing>
                <wp:anchor distT="0" distB="0" distL="114300" distR="114300" simplePos="0" relativeHeight="251659264" behindDoc="1" locked="0" layoutInCell="0" allowOverlap="1" wp14:anchorId="73EAAF35" wp14:editId="0D508B47">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49BDCA" w14:textId="77777777" w:rsidR="00903B63" w:rsidRDefault="00903B63" w:rsidP="00022111">
            <w:pPr>
              <w:rPr>
                <w:lang w:val="en-US"/>
              </w:rPr>
            </w:pPr>
            <w:r>
              <w:rPr>
                <w:noProof/>
                <w:lang w:eastAsia="en-CA" w:bidi="ar-SA"/>
              </w:rPr>
              <w:drawing>
                <wp:anchor distT="0" distB="0" distL="114300" distR="114300" simplePos="0" relativeHeight="251660288" behindDoc="0" locked="0" layoutInCell="0" allowOverlap="1" wp14:anchorId="65FBE28E" wp14:editId="0B2F5188">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FEFC009" w14:textId="77777777" w:rsidR="00903B63" w:rsidRDefault="00903B63" w:rsidP="00903B63">
      <w:pPr>
        <w:pStyle w:val="Caption"/>
        <w:spacing w:line="200" w:lineRule="exact"/>
        <w:ind w:left="187" w:right="187" w:hanging="187"/>
        <w:jc w:val="both"/>
        <w:rPr>
          <w:rFonts w:cs="Akhbar MT"/>
          <w:b/>
          <w:bCs/>
          <w:sz w:val="28"/>
          <w:szCs w:val="28"/>
          <w:rtl/>
        </w:rPr>
      </w:pPr>
    </w:p>
    <w:p w14:paraId="5BA711E7" w14:textId="77777777" w:rsidR="00903B63" w:rsidRPr="00392DDC" w:rsidRDefault="00903B63" w:rsidP="00903B63">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366B5D7" w14:textId="77777777" w:rsidR="00903B63" w:rsidRPr="00392DDC" w:rsidRDefault="00903B63" w:rsidP="00903B63">
      <w:pPr>
        <w:bidi/>
        <w:ind w:left="180" w:hanging="180"/>
        <w:jc w:val="lowKashida"/>
        <w:rPr>
          <w:b/>
          <w:sz w:val="28"/>
          <w:szCs w:val="28"/>
          <w:lang w:val="en-US"/>
        </w:rPr>
      </w:pPr>
      <w:r w:rsidRPr="00392DDC">
        <w:rPr>
          <w:b/>
          <w:sz w:val="28"/>
          <w:szCs w:val="28"/>
          <w:rtl/>
        </w:rPr>
        <w:t xml:space="preserve">لتنفيـــذ بروتوكـول مونتريــال </w:t>
      </w:r>
    </w:p>
    <w:p w14:paraId="065ADAAA" w14:textId="77777777" w:rsidR="00903B63" w:rsidRDefault="00903B63" w:rsidP="00903B63">
      <w:pPr>
        <w:bidi/>
        <w:ind w:left="180" w:hanging="180"/>
        <w:jc w:val="lowKashida"/>
        <w:rPr>
          <w:sz w:val="28"/>
          <w:szCs w:val="28"/>
        </w:rPr>
      </w:pPr>
      <w:proofErr w:type="spellStart"/>
      <w:r w:rsidRPr="00A62048">
        <w:rPr>
          <w:sz w:val="28"/>
          <w:szCs w:val="28"/>
        </w:rPr>
        <w:t>الاجتماع</w:t>
      </w:r>
      <w:proofErr w:type="spellEnd"/>
      <w:r w:rsidRPr="0002642B">
        <w:rPr>
          <w:sz w:val="28"/>
          <w:szCs w:val="28"/>
        </w:rPr>
        <w:t xml:space="preserve"> </w:t>
      </w:r>
      <w:proofErr w:type="spellStart"/>
      <w:r w:rsidRPr="0002642B">
        <w:rPr>
          <w:sz w:val="28"/>
          <w:szCs w:val="28"/>
        </w:rPr>
        <w:t>السادس</w:t>
      </w:r>
      <w:proofErr w:type="spellEnd"/>
      <w:r w:rsidRPr="0002642B">
        <w:rPr>
          <w:sz w:val="28"/>
          <w:szCs w:val="28"/>
        </w:rPr>
        <w:t xml:space="preserve"> </w:t>
      </w:r>
      <w:proofErr w:type="spellStart"/>
      <w:r w:rsidRPr="0002642B">
        <w:rPr>
          <w:sz w:val="28"/>
          <w:szCs w:val="28"/>
        </w:rPr>
        <w:t>والتسعون</w:t>
      </w:r>
      <w:proofErr w:type="spellEnd"/>
    </w:p>
    <w:p w14:paraId="66837243" w14:textId="2B1B5D09" w:rsidR="00903B63" w:rsidRPr="0002642B" w:rsidRDefault="00903B63" w:rsidP="00903B63">
      <w:pPr>
        <w:bidi/>
        <w:ind w:left="180" w:hanging="180"/>
        <w:jc w:val="lowKashida"/>
        <w:rPr>
          <w:sz w:val="28"/>
          <w:szCs w:val="28"/>
          <w:lang w:val="en-US"/>
        </w:rPr>
      </w:pPr>
      <w:proofErr w:type="spellStart"/>
      <w:r w:rsidRPr="0002642B">
        <w:rPr>
          <w:sz w:val="28"/>
          <w:szCs w:val="28"/>
        </w:rPr>
        <w:t>مونتريال</w:t>
      </w:r>
      <w:proofErr w:type="spellEnd"/>
      <w:r w:rsidRPr="0002642B">
        <w:rPr>
          <w:sz w:val="28"/>
          <w:szCs w:val="28"/>
        </w:rPr>
        <w:t xml:space="preserve">، 26-30 </w:t>
      </w:r>
      <w:proofErr w:type="spellStart"/>
      <w:r w:rsidRPr="0002642B">
        <w:rPr>
          <w:sz w:val="28"/>
          <w:szCs w:val="28"/>
        </w:rPr>
        <w:t>مایو</w:t>
      </w:r>
      <w:proofErr w:type="spellEnd"/>
      <w:r w:rsidRPr="0002642B">
        <w:rPr>
          <w:sz w:val="28"/>
          <w:szCs w:val="28"/>
        </w:rPr>
        <w:t>/</w:t>
      </w:r>
      <w:proofErr w:type="spellStart"/>
      <w:r w:rsidRPr="0002642B">
        <w:rPr>
          <w:sz w:val="28"/>
          <w:szCs w:val="28"/>
        </w:rPr>
        <w:t>أیار</w:t>
      </w:r>
      <w:proofErr w:type="spellEnd"/>
      <w:r w:rsidRPr="0002642B">
        <w:rPr>
          <w:sz w:val="28"/>
          <w:szCs w:val="28"/>
        </w:rPr>
        <w:t xml:space="preserve"> 2025</w:t>
      </w:r>
    </w:p>
    <w:p w14:paraId="35CC8CB8" w14:textId="068EC8DB" w:rsidR="00C15867" w:rsidRPr="00A3214A" w:rsidRDefault="00903B63" w:rsidP="00903B63">
      <w:pPr>
        <w:bidi/>
        <w:jc w:val="left"/>
        <w:rPr>
          <w:sz w:val="20"/>
          <w:szCs w:val="20"/>
        </w:rPr>
      </w:pPr>
      <w:proofErr w:type="spellStart"/>
      <w:r w:rsidRPr="006106BD">
        <w:rPr>
          <w:sz w:val="28"/>
          <w:szCs w:val="28"/>
        </w:rPr>
        <w:t>البند</w:t>
      </w:r>
      <w:proofErr w:type="spellEnd"/>
      <w:r w:rsidR="0021613A">
        <w:rPr>
          <w:rFonts w:hint="cs"/>
          <w:sz w:val="28"/>
          <w:szCs w:val="28"/>
          <w:rtl/>
        </w:rPr>
        <w:t xml:space="preserve"> 10(</w:t>
      </w:r>
      <w:proofErr w:type="gramStart"/>
      <w:r w:rsidR="0021613A">
        <w:rPr>
          <w:rFonts w:hint="cs"/>
          <w:sz w:val="28"/>
          <w:szCs w:val="28"/>
          <w:rtl/>
        </w:rPr>
        <w:t xml:space="preserve">ج) </w:t>
      </w:r>
      <w:r w:rsidRPr="006106BD">
        <w:rPr>
          <w:sz w:val="28"/>
          <w:szCs w:val="28"/>
        </w:rPr>
        <w:t xml:space="preserve"> </w:t>
      </w:r>
      <w:proofErr w:type="spellStart"/>
      <w:r w:rsidRPr="006106BD">
        <w:rPr>
          <w:sz w:val="28"/>
          <w:szCs w:val="28"/>
        </w:rPr>
        <w:t>من</w:t>
      </w:r>
      <w:proofErr w:type="spellEnd"/>
      <w:proofErr w:type="gramEnd"/>
      <w:r w:rsidRPr="006106BD">
        <w:rPr>
          <w:sz w:val="28"/>
          <w:szCs w:val="28"/>
        </w:rPr>
        <w:t xml:space="preserve"> </w:t>
      </w:r>
      <w:proofErr w:type="spellStart"/>
      <w:r w:rsidRPr="006106BD">
        <w:rPr>
          <w:sz w:val="28"/>
          <w:szCs w:val="28"/>
        </w:rPr>
        <w:t>جدول</w:t>
      </w:r>
      <w:proofErr w:type="spellEnd"/>
      <w:r w:rsidRPr="006106BD">
        <w:rPr>
          <w:sz w:val="28"/>
          <w:szCs w:val="28"/>
        </w:rPr>
        <w:t xml:space="preserve"> </w:t>
      </w:r>
      <w:proofErr w:type="spellStart"/>
      <w:r w:rsidRPr="006106BD">
        <w:rPr>
          <w:sz w:val="28"/>
          <w:szCs w:val="28"/>
        </w:rPr>
        <w:t>الأعمال</w:t>
      </w:r>
      <w:proofErr w:type="spellEnd"/>
      <w:r w:rsidRPr="006106BD">
        <w:rPr>
          <w:sz w:val="28"/>
          <w:szCs w:val="28"/>
        </w:rPr>
        <w:t xml:space="preserve"> </w:t>
      </w:r>
      <w:proofErr w:type="spellStart"/>
      <w:r w:rsidRPr="006106BD">
        <w:rPr>
          <w:sz w:val="28"/>
          <w:szCs w:val="28"/>
        </w:rPr>
        <w:t>المؤقت</w:t>
      </w:r>
      <w:proofErr w:type="spellEnd"/>
      <w:r w:rsidR="00B34FEA">
        <w:rPr>
          <w:rStyle w:val="FootnoteReference"/>
          <w:sz w:val="28"/>
          <w:szCs w:val="28"/>
        </w:rPr>
        <w:footnoteReference w:id="2"/>
      </w:r>
    </w:p>
    <w:p w14:paraId="033F45B1" w14:textId="77777777" w:rsidR="009145E4" w:rsidRPr="00A3214A" w:rsidRDefault="009145E4" w:rsidP="00A3214A">
      <w:pPr>
        <w:pStyle w:val="Heading1"/>
        <w:numPr>
          <w:ilvl w:val="0"/>
          <w:numId w:val="0"/>
        </w:numPr>
        <w:jc w:val="center"/>
        <w:rPr>
          <w:sz w:val="20"/>
          <w:szCs w:val="20"/>
        </w:rPr>
      </w:pPr>
    </w:p>
    <w:p w14:paraId="0CEDE01C" w14:textId="33E93793" w:rsidR="008C5738" w:rsidRPr="003440E5" w:rsidRDefault="00BE6626" w:rsidP="0056184C">
      <w:pPr>
        <w:pStyle w:val="StyleHeader4Para4Left0Firstline0"/>
        <w:numPr>
          <w:ilvl w:val="0"/>
          <w:numId w:val="0"/>
        </w:numPr>
        <w:bidi/>
        <w:spacing w:before="240"/>
        <w:jc w:val="center"/>
        <w:rPr>
          <w:b/>
          <w:sz w:val="26"/>
          <w:szCs w:val="26"/>
          <w:rtl/>
        </w:rPr>
      </w:pPr>
      <w:r w:rsidRPr="003440E5">
        <w:rPr>
          <w:rFonts w:hint="cs"/>
          <w:b/>
          <w:bCs/>
          <w:caps/>
          <w:sz w:val="26"/>
          <w:szCs w:val="26"/>
          <w:rtl/>
        </w:rPr>
        <w:t>تحليل إضافي لقضية المواد الهيدروفلوروكربونية الموجودة في البوليولات الممزوجة مسبقاً المستوردة والمستخدمة في قطاع رغوة البولي يوريثان في الدول المصنفة طرفاً عاملاً بموجب المادة 5 (المقرر 95/88 (ب))</w:t>
      </w:r>
    </w:p>
    <w:p w14:paraId="247F4AFE" w14:textId="78937B1F" w:rsidR="007E482B" w:rsidRPr="003440E5" w:rsidRDefault="00513D69" w:rsidP="00EC2B41">
      <w:pPr>
        <w:bidi/>
        <w:spacing w:before="360" w:after="240"/>
        <w:rPr>
          <w:b/>
          <w:bCs/>
          <w:sz w:val="26"/>
          <w:szCs w:val="26"/>
          <w:rtl/>
        </w:rPr>
      </w:pPr>
      <w:r w:rsidRPr="003440E5">
        <w:rPr>
          <w:rFonts w:hint="cs"/>
          <w:b/>
          <w:bCs/>
          <w:sz w:val="26"/>
          <w:szCs w:val="26"/>
          <w:rtl/>
        </w:rPr>
        <w:t>مقدمة</w:t>
      </w:r>
    </w:p>
    <w:p w14:paraId="2FE7E734" w14:textId="79041BA5" w:rsidR="007E482B" w:rsidRPr="003440E5" w:rsidRDefault="007E482B" w:rsidP="00597EBA">
      <w:pPr>
        <w:pStyle w:val="Heading1"/>
        <w:bidi/>
        <w:rPr>
          <w:sz w:val="26"/>
          <w:szCs w:val="26"/>
          <w:rtl/>
        </w:rPr>
      </w:pPr>
      <w:r w:rsidRPr="003440E5">
        <w:rPr>
          <w:rFonts w:hint="cs"/>
          <w:sz w:val="26"/>
          <w:szCs w:val="26"/>
          <w:rtl/>
        </w:rPr>
        <w:t>خلال الاجتماع الثالث والتسعين، طلبت اللجنة التنفيذية من الأمانة إعداد مذكرة موجزة حول قضية المواد الهيدروفلوروكربونية الموجودة في البوليولات الممزوجة مسبقاً المستوردة والمستخدمة في إنتاج رغوة البولي يوريثان في الدول المصنفة طرفاً عاملاً بالمادة 5، ليتم التناقش بها خلال الاجتماع الخامس والتسعين.</w:t>
      </w:r>
    </w:p>
    <w:p w14:paraId="4EBB20A9" w14:textId="67E94390" w:rsidR="00E56005" w:rsidRPr="003440E5" w:rsidRDefault="007E482B" w:rsidP="002D6F78">
      <w:pPr>
        <w:pStyle w:val="Heading1"/>
        <w:shd w:val="clear" w:color="auto" w:fill="FFFFFF" w:themeFill="background1"/>
        <w:bidi/>
        <w:rPr>
          <w:sz w:val="26"/>
          <w:szCs w:val="26"/>
          <w:rtl/>
        </w:rPr>
      </w:pPr>
      <w:r w:rsidRPr="003440E5">
        <w:rPr>
          <w:rFonts w:hint="cs"/>
          <w:sz w:val="26"/>
          <w:szCs w:val="26"/>
          <w:rtl/>
        </w:rPr>
        <w:t>وفي الاجتماع الخامس والتسعين، قُدمت الوثيقة المطلوبة</w:t>
      </w:r>
      <w:r w:rsidRPr="003440E5">
        <w:rPr>
          <w:rStyle w:val="FootnoteReference"/>
          <w:sz w:val="26"/>
          <w:szCs w:val="26"/>
        </w:rPr>
        <w:footnoteReference w:id="3"/>
      </w:r>
      <w:r w:rsidRPr="003440E5">
        <w:rPr>
          <w:rFonts w:hint="cs"/>
          <w:sz w:val="26"/>
          <w:szCs w:val="26"/>
          <w:rtl/>
        </w:rPr>
        <w:t xml:space="preserve">، والتي تُعتبر أيضاً وثيقة أساسية لهذا الاجتماع، مقترحة استخدام الأعوام 2020–2022 كسنوات مرجعية لجميع الدول المصنفة طرفاً عاملاً بالمادة 5 لأغراض حساب حصص استيراد وتصدير البوليولات الممزوجة مسبقاً التي تحتوي على مواد هيدروفلوروكربونية وحساب التمويل الخاص بالمؤسسات المؤهلة التي تستخدم البوليولات الممزوجة مسبقاً المستوردة التي تحتوي على مواد هيدروفلوروكربونية. وعند النظر في الوثيقة، أشار عدة أعضاء من اللجنة التنفيذية، </w:t>
      </w:r>
      <w:r w:rsidRPr="003440E5">
        <w:rPr>
          <w:rFonts w:hint="cs"/>
          <w:i/>
          <w:iCs/>
          <w:sz w:val="26"/>
          <w:szCs w:val="26"/>
          <w:rtl/>
        </w:rPr>
        <w:t>بين جملة أمور أخرى،</w:t>
      </w:r>
      <w:r w:rsidRPr="003440E5">
        <w:rPr>
          <w:rFonts w:hint="cs"/>
          <w:sz w:val="26"/>
          <w:szCs w:val="26"/>
          <w:rtl/>
        </w:rPr>
        <w:t xml:space="preserve"> إلى أن دول المجموعة 2 ستواجه صعوبات في جمع البيانات حول كمية ونوع المواد الهيدروفلوروكربونية المستوردة في البوليولات الممزوجة مسبقاً للفترة 2020-2022 أو إعداد قائمة بمؤسسات رغوة البولي يوريثان التي تأسست قبل 1 يناير/ كانون الثاني 2020 والتي استخدمت أنظمة بوليول مستوردة. كما تم الإعراب عن قلق إضافي مفاده أن السنوات المرجعية المقترحة </w:t>
      </w:r>
      <w:bookmarkStart w:id="0" w:name="_Hlk195132730"/>
      <w:r w:rsidRPr="003440E5">
        <w:rPr>
          <w:rFonts w:hint="cs"/>
          <w:sz w:val="26"/>
          <w:szCs w:val="26"/>
          <w:rtl/>
        </w:rPr>
        <w:t xml:space="preserve"> ستستثني المؤسسات المؤهلة في المجموعة 2 التي تم تأسيسها بعد سنة 2022 ولكن قبل التاريخ النهائي اي 1 يناير/ كانون الثاني 2024. وفي حين تم تقدير جهود الأمانة لتكييف المبادئ المطبقة للبوليولات الممزوجة مسبقاً خلال مرحلة إزالة المواد الهيدروكلوروفلوروكربونية، تم الاعتراف بوجود مشكلات محتملة على مستوى البيانات بالنسبة لبعض الدول. وشملت التعليقات الأخرى دعم النظر في الاعتبارات الخاصة بقطاعات محددة في التذييل 8-أ من الاتفاقات، وأسئلة حول مدى ملاءمة مبادئ التمويل للبوليولات الممزوجة مسبقاً التي تحتوي على المادة </w:t>
      </w:r>
      <w:r w:rsidRPr="003440E5">
        <w:rPr>
          <w:sz w:val="26"/>
          <w:szCs w:val="26"/>
        </w:rPr>
        <w:t>HCFC-141b</w:t>
      </w:r>
      <w:r w:rsidRPr="003440E5">
        <w:rPr>
          <w:rFonts w:hint="cs"/>
          <w:sz w:val="26"/>
          <w:szCs w:val="26"/>
          <w:rtl/>
        </w:rPr>
        <w:t xml:space="preserve"> بالنظر إلى التغييرات العالمية الناتجة عن جائحة فيروس كورونا، كما أوردت طلباً لتعزيز الوثيقة بهدف معالجة التحديات التي تواجهها الأطراف العاملة بموجب المادة 5 المنتمية إلى المجموعة 2.</w:t>
      </w:r>
    </w:p>
    <w:bookmarkEnd w:id="0"/>
    <w:p w14:paraId="31A700C0" w14:textId="3E92A017" w:rsidR="00935531" w:rsidRPr="003440E5" w:rsidRDefault="00935531" w:rsidP="00272E0D">
      <w:pPr>
        <w:pStyle w:val="Heading1"/>
        <w:widowControl w:val="0"/>
        <w:bidi/>
        <w:rPr>
          <w:sz w:val="26"/>
          <w:szCs w:val="26"/>
          <w:rtl/>
        </w:rPr>
      </w:pPr>
      <w:r w:rsidRPr="003440E5">
        <w:rPr>
          <w:rFonts w:hint="cs"/>
          <w:sz w:val="26"/>
          <w:szCs w:val="26"/>
          <w:rtl/>
        </w:rPr>
        <w:t xml:space="preserve">وعُقدت مناقشات غير رسمية على هامش الاجتماع لتوجيه الأمانة حول المجالات التي ستتطلب تحليلاً إضافياً </w:t>
      </w:r>
      <w:r w:rsidRPr="003440E5">
        <w:rPr>
          <w:rFonts w:hint="cs"/>
          <w:sz w:val="26"/>
          <w:szCs w:val="26"/>
          <w:rtl/>
        </w:rPr>
        <w:lastRenderedPageBreak/>
        <w:t>لتسهيل النظر المستمر في الوثيقة. وعليه، طلبت اللجنة التنفيذية من الأمانة تقديم تحليل إضافي خلال الاجتماع السادس والتسعين بشأن تأثير استخدام سنوات غير 2020-2022</w:t>
      </w:r>
      <w:bookmarkStart w:id="1" w:name="_Hlk195132314"/>
      <w:bookmarkStart w:id="2" w:name="_Hlk194943673"/>
      <w:r w:rsidRPr="003440E5">
        <w:rPr>
          <w:rFonts w:hint="cs"/>
          <w:sz w:val="26"/>
          <w:szCs w:val="26"/>
          <w:rtl/>
        </w:rPr>
        <w:t xml:space="preserve"> كسنوات مرجعية لاستيراد وتصدير البوليولات الممزوجة مسبقاً التي تحتوي على مواد هيدروفلوروكربونية لدول المجموعة 1 والمجموعة 2 المصنفة طرفاً عاملاً بموجب المادة 5،</w:t>
      </w:r>
      <w:bookmarkEnd w:id="1"/>
      <w:bookmarkEnd w:id="2"/>
      <w:r w:rsidRPr="003440E5">
        <w:rPr>
          <w:rFonts w:hint="cs"/>
          <w:sz w:val="26"/>
          <w:szCs w:val="26"/>
          <w:rtl/>
        </w:rPr>
        <w:t xml:space="preserve"> بما في ذلك بشأن التاريخ النهائي للمؤسسات، مع مراعاة المبادئ المذكورة في الفقرتين 15 و16 من الوثيقة </w:t>
      </w:r>
      <w:r w:rsidRPr="003440E5">
        <w:rPr>
          <w:sz w:val="26"/>
          <w:szCs w:val="26"/>
        </w:rPr>
        <w:t>UNEP/</w:t>
      </w:r>
      <w:proofErr w:type="spellStart"/>
      <w:r w:rsidRPr="003440E5">
        <w:rPr>
          <w:sz w:val="26"/>
          <w:szCs w:val="26"/>
        </w:rPr>
        <w:t>OzL.Pro</w:t>
      </w:r>
      <w:proofErr w:type="spellEnd"/>
      <w:r w:rsidRPr="003440E5">
        <w:rPr>
          <w:sz w:val="26"/>
          <w:szCs w:val="26"/>
        </w:rPr>
        <w:t>/ExCom/95/88</w:t>
      </w:r>
      <w:r w:rsidRPr="003440E5">
        <w:rPr>
          <w:rFonts w:hint="cs"/>
          <w:sz w:val="26"/>
          <w:szCs w:val="26"/>
          <w:rtl/>
        </w:rPr>
        <w:t>.</w:t>
      </w:r>
    </w:p>
    <w:p w14:paraId="16CEFA31" w14:textId="1EB54108" w:rsidR="007E482B" w:rsidRPr="003440E5" w:rsidRDefault="00672896" w:rsidP="00026A9B">
      <w:pPr>
        <w:pStyle w:val="Heading1"/>
        <w:numPr>
          <w:ilvl w:val="0"/>
          <w:numId w:val="0"/>
        </w:numPr>
        <w:bidi/>
        <w:rPr>
          <w:b/>
          <w:bCs/>
          <w:sz w:val="26"/>
          <w:szCs w:val="26"/>
          <w:rtl/>
        </w:rPr>
      </w:pPr>
      <w:r w:rsidRPr="003440E5">
        <w:rPr>
          <w:rFonts w:hint="cs"/>
          <w:b/>
          <w:bCs/>
          <w:sz w:val="26"/>
          <w:szCs w:val="26"/>
          <w:rtl/>
        </w:rPr>
        <w:t>سنوات مرجعية بديلة لاستيراد وتصدير البوليولات الممزوجة مسبقاً التي تحتوي على مواد هيدروفلوروكربونية</w:t>
      </w:r>
    </w:p>
    <w:p w14:paraId="1E6B760A" w14:textId="04D7184B" w:rsidR="00051676" w:rsidRPr="003440E5" w:rsidRDefault="00AA45FB" w:rsidP="00B62788">
      <w:pPr>
        <w:pStyle w:val="Heading1"/>
        <w:bidi/>
        <w:rPr>
          <w:sz w:val="26"/>
          <w:szCs w:val="26"/>
          <w:rtl/>
        </w:rPr>
      </w:pPr>
      <w:r w:rsidRPr="003440E5">
        <w:rPr>
          <w:rFonts w:hint="cs"/>
          <w:sz w:val="26"/>
          <w:szCs w:val="26"/>
          <w:rtl/>
        </w:rPr>
        <w:t xml:space="preserve">عندما نظرت اللجنة التنفيذية في تمويل إزالة المادة </w:t>
      </w:r>
      <w:r w:rsidRPr="003440E5">
        <w:rPr>
          <w:sz w:val="26"/>
          <w:szCs w:val="26"/>
        </w:rPr>
        <w:t>HCFC-141b</w:t>
      </w:r>
      <w:r w:rsidRPr="003440E5">
        <w:rPr>
          <w:rFonts w:hint="cs"/>
          <w:sz w:val="26"/>
          <w:szCs w:val="26"/>
          <w:rtl/>
        </w:rPr>
        <w:t xml:space="preserve"> الموجودة في البوليولات الممزوجة مسبقاً المستوردة والمستخدمة في قطاع رغوة البولي يوريثان، نظراً لأن المادة </w:t>
      </w:r>
      <w:r w:rsidRPr="003440E5">
        <w:rPr>
          <w:sz w:val="26"/>
          <w:szCs w:val="26"/>
        </w:rPr>
        <w:t>HCFC-141b</w:t>
      </w:r>
      <w:r w:rsidRPr="003440E5">
        <w:rPr>
          <w:rFonts w:hint="cs"/>
          <w:sz w:val="26"/>
          <w:szCs w:val="26"/>
          <w:rtl/>
        </w:rPr>
        <w:t xml:space="preserve"> الموجودة في البوليولات تُعتبر منتجاً ولا يتم خصم صادراتها من استهلاك المواد الهيدروكلوروفلوروكربونية الخاص بالبلد، حيث كان هناك خطر من تمويل مزدوج لإزالة المادة </w:t>
      </w:r>
      <w:r w:rsidRPr="003440E5">
        <w:rPr>
          <w:sz w:val="26"/>
          <w:szCs w:val="26"/>
        </w:rPr>
        <w:t>HCFC-141b</w:t>
      </w:r>
      <w:r w:rsidRPr="003440E5">
        <w:rPr>
          <w:rFonts w:hint="cs"/>
          <w:sz w:val="26"/>
          <w:szCs w:val="26"/>
          <w:rtl/>
        </w:rPr>
        <w:t xml:space="preserve"> في البوليولات الممزوجة مسبقاً في كل من البلد المصدّر والبلد المستورد على حد سواء. ولتجنب ذلك، تم استخدام مبدأ أساسي يتمثل في اعتماد نفس السنوات (2007–2009) كمرجع لجميع الدول. وبالنسبة للدول التي تستورد المادة </w:t>
      </w:r>
      <w:r w:rsidRPr="003440E5">
        <w:rPr>
          <w:sz w:val="26"/>
          <w:szCs w:val="26"/>
        </w:rPr>
        <w:t>HCFC-141b</w:t>
      </w:r>
      <w:r w:rsidRPr="003440E5">
        <w:rPr>
          <w:rFonts w:hint="cs"/>
          <w:sz w:val="26"/>
          <w:szCs w:val="26"/>
          <w:rtl/>
        </w:rPr>
        <w:t xml:space="preserve"> في البوليولات الممزوجة مسبقاً، أضيف متوسط الاستهلاك خلال السنوات المرجعية إلى نقطة البداية الخاصة بها، بينما طُلب من الدول المصدرة للمادة </w:t>
      </w:r>
      <w:r w:rsidRPr="003440E5">
        <w:rPr>
          <w:sz w:val="26"/>
          <w:szCs w:val="26"/>
        </w:rPr>
        <w:t>HCFC-141b</w:t>
      </w:r>
      <w:r w:rsidRPr="003440E5">
        <w:rPr>
          <w:rFonts w:hint="cs"/>
          <w:sz w:val="26"/>
          <w:szCs w:val="26"/>
          <w:rtl/>
        </w:rPr>
        <w:t xml:space="preserve"> الموجودة في البوليولات أن تخصم من نقطة بدايتها متوسط الصادرات خلال نفس السنوات.</w:t>
      </w:r>
    </w:p>
    <w:p w14:paraId="7E6C4DB0" w14:textId="7AD1D389" w:rsidR="00B3684E" w:rsidRPr="003440E5" w:rsidRDefault="004645A4" w:rsidP="00636C8E">
      <w:pPr>
        <w:pStyle w:val="Heading1"/>
        <w:bidi/>
        <w:rPr>
          <w:sz w:val="26"/>
          <w:szCs w:val="26"/>
          <w:rtl/>
        </w:rPr>
      </w:pPr>
      <w:r w:rsidRPr="003440E5">
        <w:rPr>
          <w:rFonts w:hint="cs"/>
          <w:sz w:val="26"/>
          <w:szCs w:val="26"/>
          <w:rtl/>
        </w:rPr>
        <w:t xml:space="preserve">يكمن أحد الاختلافات الرئيسية بين إزالة المواد الهيدروكلوروفلوروكربونية والتخفيض التدريجي من المواد الهيدروفلوروكربونية في تقسيم الدول المصنفة طرفاً عاملاً بالمادة 5 إلى مجموعتين، مع سنوات خط أساس مختلفة للاستهلاك وجداول زمنية مختلفة للتخفيض. ومع ذلك، قد يؤدي استخدام سنوات مرجعية مختلفة لاستيراد وتصدير المواد الهيدروفلوروكربونية في البوليولات الممزوجة مسبقاً إلى تمويل زائد أو ناقص، لا سيما في الحالات التي تصدّر فيها دولة من المجموعة 1 بوليولات تحتوي على مواد هيدروفلوروكربونية إلى دولة من المجموعة 2، أو العكس. بالتالي، ولضمان المساواة بين الدول وتجنب التمويل المزدوج للمواد الهيدروفلوروكربونية في البوليولات الممزوجة مسبقاً، يوصى باستخدام نفس السنوات المرجعية لجميع الدول (سواء أكانت تنتمي إلى المجموعة 1 أو 2)، على النحو المتبع للمادة </w:t>
      </w:r>
      <w:r w:rsidRPr="003440E5">
        <w:rPr>
          <w:sz w:val="26"/>
          <w:szCs w:val="26"/>
        </w:rPr>
        <w:t>HCFC-141b</w:t>
      </w:r>
      <w:r w:rsidRPr="003440E5">
        <w:rPr>
          <w:rFonts w:hint="cs"/>
          <w:sz w:val="26"/>
          <w:szCs w:val="26"/>
          <w:rtl/>
        </w:rPr>
        <w:t xml:space="preserve"> في البوليولات الممزوجة مسبقاً.</w:t>
      </w:r>
    </w:p>
    <w:p w14:paraId="7E04B4C3" w14:textId="1A55AFA6" w:rsidR="00B3684E" w:rsidRPr="003440E5" w:rsidRDefault="00AA45FB" w:rsidP="00B62788">
      <w:pPr>
        <w:pStyle w:val="Heading1"/>
        <w:bidi/>
        <w:rPr>
          <w:sz w:val="26"/>
          <w:szCs w:val="26"/>
          <w:rtl/>
        </w:rPr>
      </w:pPr>
      <w:r w:rsidRPr="003440E5">
        <w:rPr>
          <w:rFonts w:hint="cs"/>
          <w:sz w:val="26"/>
          <w:szCs w:val="26"/>
          <w:rtl/>
        </w:rPr>
        <w:t xml:space="preserve">وثمة مبدأ آخر تم أخذه بعين الاعتبار لتحديد السنوات المرجعية الخاصة بالمادة </w:t>
      </w:r>
      <w:r w:rsidRPr="003440E5">
        <w:rPr>
          <w:sz w:val="26"/>
          <w:szCs w:val="26"/>
        </w:rPr>
        <w:t>HCFC-141b</w:t>
      </w:r>
      <w:r w:rsidRPr="003440E5">
        <w:rPr>
          <w:rFonts w:hint="cs"/>
          <w:sz w:val="26"/>
          <w:szCs w:val="26"/>
          <w:rtl/>
        </w:rPr>
        <w:t xml:space="preserve"> الموجودة في البوليولات الممزوجة مسبقاً المستوردة يقضي باستخدام السنوات الماضية بدلاً من السنوات المستقبلية لتجنب التحفيز المحتمل لزيادة الاستهلاك إذا تم تحديد السنوات في المستقبل. لكن لم يكن من الممكن اتباع هذا المبدأ للمواد الهيدروفلوروكربونية، باستخدام سنوات خط الأساس لدول المجموعة 2، نظراً لأن اثنتين على الأقل من تلك السنوات (2025 و2026) هي سنوات مستقبلية.</w:t>
      </w:r>
    </w:p>
    <w:p w14:paraId="1BD44548" w14:textId="66314C7A" w:rsidR="00B3684E" w:rsidRPr="003440E5" w:rsidRDefault="008A085D" w:rsidP="00B62788">
      <w:pPr>
        <w:pStyle w:val="Heading1"/>
        <w:bidi/>
        <w:rPr>
          <w:sz w:val="26"/>
          <w:szCs w:val="26"/>
          <w:rtl/>
        </w:rPr>
      </w:pPr>
      <w:r w:rsidRPr="003440E5">
        <w:rPr>
          <w:rFonts w:hint="cs"/>
          <w:sz w:val="26"/>
          <w:szCs w:val="26"/>
          <w:rtl/>
        </w:rPr>
        <w:t>عند اختيار سنوات مرجعية غير 2020–2022 لواردات وصادرات البوليولات الممزوجة مسبقاً التي تحتوي على مواد هيدروفلوروكربونية لدول المجموعة 1 والمجموعة 2 من الدول المصنفة طرفاً عاملاً بموجب المادة 5، ومع الاستمرار في الالتزام بمبدأ اختيار نفس السنوات السابقة لجميع الدول، يمكن اعتبار السنوات 2022 إلى 2024 مرجعاً منصفاً لجميع الدول، حيث إنها سنوات ماضية وتشمل سنة واحدة على الأقل من سنوات خط الأساس لكل من دول المجموعة 1 والمجموعة 2 (2022 و2024 على التوالي).</w:t>
      </w:r>
      <w:r w:rsidRPr="003440E5">
        <w:rPr>
          <w:rFonts w:hint="cs"/>
          <w:sz w:val="26"/>
          <w:szCs w:val="26"/>
          <w:rtl/>
        </w:rPr>
        <w:br/>
      </w:r>
    </w:p>
    <w:p w14:paraId="67BF14D9" w14:textId="5A33FE04" w:rsidR="0073794B" w:rsidRPr="003440E5" w:rsidRDefault="00561325" w:rsidP="00976E5B">
      <w:pPr>
        <w:pStyle w:val="Heading1"/>
        <w:bidi/>
        <w:rPr>
          <w:sz w:val="26"/>
          <w:szCs w:val="26"/>
          <w:rtl/>
        </w:rPr>
      </w:pPr>
      <w:r w:rsidRPr="003440E5">
        <w:rPr>
          <w:rFonts w:hint="cs"/>
          <w:sz w:val="26"/>
          <w:szCs w:val="26"/>
          <w:rtl/>
        </w:rPr>
        <w:t>وبالمثل، فإن اعتماد السنوات المرجعية المعدّلة 2022 إلى 2024 سيسمح باحتساب وتمويل جميع المؤسسات المؤهلة والسعة المركبة قبل 1 يناير/ كانون الثاني 2020 بالنسبة لدول المجموعة 1، وقبل 1 يناير/ كانون الثاني 2024 بالنسبة لدول المجموعة 2، كما أنه سيعالج القلق من أن فترة 2020 إلى 2022 لن تسمح بإدراج المؤسسات المؤهلة في دول المجموعة 2 التي تأسست بعد عام 2022 ولكن قبل التاريخ النهائي أي 1 يناير/ كانون الثاني 2024.</w:t>
      </w:r>
    </w:p>
    <w:p w14:paraId="6E3DA81B" w14:textId="39AB91BC" w:rsidR="00026A9B" w:rsidRPr="003440E5" w:rsidRDefault="007916C3" w:rsidP="00B62788">
      <w:pPr>
        <w:pStyle w:val="Heading1"/>
        <w:bidi/>
        <w:rPr>
          <w:sz w:val="26"/>
          <w:szCs w:val="26"/>
          <w:rtl/>
        </w:rPr>
      </w:pPr>
      <w:r w:rsidRPr="003440E5">
        <w:rPr>
          <w:rFonts w:hint="cs"/>
          <w:sz w:val="26"/>
          <w:szCs w:val="26"/>
          <w:rtl/>
        </w:rPr>
        <w:t xml:space="preserve">لهذه الأسباب، يبدو أن استخدام السنوات المرجعية من 2022 إلى 2024 هو الأمثل للحفاظ على العدالة بين دول المجموعة 1 و2 المصنفة طرفاً عاملاً بموجب المادة 5. وفقًا لذلك، تم الحفاظ على المبادئ المحددة في الوثيقة </w:t>
      </w:r>
      <w:r w:rsidRPr="003440E5">
        <w:rPr>
          <w:sz w:val="26"/>
          <w:szCs w:val="26"/>
        </w:rPr>
        <w:lastRenderedPageBreak/>
        <w:t>UNEP/</w:t>
      </w:r>
      <w:proofErr w:type="spellStart"/>
      <w:r w:rsidRPr="003440E5">
        <w:rPr>
          <w:sz w:val="26"/>
          <w:szCs w:val="26"/>
        </w:rPr>
        <w:t>OzL.Pro</w:t>
      </w:r>
      <w:proofErr w:type="spellEnd"/>
      <w:r w:rsidRPr="003440E5">
        <w:rPr>
          <w:sz w:val="26"/>
          <w:szCs w:val="26"/>
        </w:rPr>
        <w:t>/ExCom/95/88</w:t>
      </w:r>
      <w:r w:rsidRPr="003440E5">
        <w:rPr>
          <w:rFonts w:hint="cs"/>
          <w:sz w:val="26"/>
          <w:szCs w:val="26"/>
          <w:rtl/>
        </w:rPr>
        <w:t>، بما في ذلك التحديثات ذات الصلة على السنوات المرجعية التي قُدمت في الفقرتين 13 و14 من هذه الوثيقة.</w:t>
      </w:r>
    </w:p>
    <w:p w14:paraId="2AC1B27A" w14:textId="50BF63C8" w:rsidR="005210E4" w:rsidRPr="003440E5" w:rsidRDefault="005210E4" w:rsidP="00991105">
      <w:pPr>
        <w:pStyle w:val="Heading1"/>
        <w:keepNext/>
        <w:numPr>
          <w:ilvl w:val="0"/>
          <w:numId w:val="0"/>
        </w:numPr>
        <w:bidi/>
        <w:rPr>
          <w:b/>
          <w:bCs/>
          <w:sz w:val="26"/>
          <w:szCs w:val="26"/>
          <w:rtl/>
        </w:rPr>
      </w:pPr>
      <w:r w:rsidRPr="003440E5">
        <w:rPr>
          <w:rFonts w:hint="cs"/>
          <w:b/>
          <w:bCs/>
          <w:sz w:val="26"/>
          <w:szCs w:val="26"/>
          <w:rtl/>
        </w:rPr>
        <w:t>تحديث على استخدام المواد الهيدروفلوروكربونية الموجودة في البوليولات الممزوجة مسبقاً المستوردة خلال السنوات المرجعية المقترحة</w:t>
      </w:r>
    </w:p>
    <w:p w14:paraId="63E8C078" w14:textId="0E99F0AD" w:rsidR="005210E4" w:rsidRPr="003440E5" w:rsidRDefault="005210E4" w:rsidP="005210E4">
      <w:pPr>
        <w:pStyle w:val="Heading1"/>
        <w:bidi/>
        <w:rPr>
          <w:sz w:val="26"/>
          <w:szCs w:val="26"/>
          <w:rtl/>
        </w:rPr>
      </w:pPr>
      <w:r w:rsidRPr="003440E5">
        <w:rPr>
          <w:rFonts w:hint="cs"/>
          <w:sz w:val="26"/>
          <w:szCs w:val="26"/>
          <w:rtl/>
        </w:rPr>
        <w:t>حتى تاريخ إصدار هذا الوثيقة، كان عدد الدول التي قدمت تقارير تنفيذ البرنامج القطري الخاصة بها لعام 2024 محدوداً جداً. وقد كشف تحليل لبيانات البرنامج القطري للفترة 2022-2023 أنه من بين الدول الـ 119 التي قدمت بيانات عن المواد الهيدروفلوروكربونية، أفادت 30 دولة باستخدام المواد الهيدروفلوروكربونية في قطاع إنتاج رغوة البولي يوريثان. ومن بينها أبلغت 22 دولة كلها من المجموعة 1 عن استخدام المواد الهيدروفلوروكربونية الموجودة في البوليولات المستوردة الممزوجة مسبقاً في قطاع إنتاج قطاع إنتاج رغوة البولي يوريثان.</w:t>
      </w:r>
    </w:p>
    <w:p w14:paraId="732CA6BD" w14:textId="15BE9DFA" w:rsidR="005210E4" w:rsidRPr="003440E5" w:rsidRDefault="005210E4" w:rsidP="005210E4">
      <w:pPr>
        <w:pStyle w:val="Heading1"/>
        <w:bidi/>
        <w:rPr>
          <w:sz w:val="26"/>
          <w:szCs w:val="26"/>
          <w:rtl/>
        </w:rPr>
      </w:pPr>
      <w:r w:rsidRPr="003440E5">
        <w:rPr>
          <w:rFonts w:hint="cs"/>
          <w:sz w:val="26"/>
          <w:szCs w:val="26"/>
          <w:rtl/>
        </w:rPr>
        <w:t xml:space="preserve">بلغ متوسط استخدام المواد الهيدروفلوروكربونية في البوليولات الممزوجة مسبقاً المستوردة في قطاع إنتاج رغوة البولي يوريثان بين عامي 2022 و2023 ما قيمته 818.07 أطنان مترية، أي ما يمثل 6.5 في المائة من متوسط 12,677 طناً مترياً من جميع المواد الهيدروفلوروكربونية المستخدمة في قطاع إنتاج رغوة البولي يوريثان خلال نفس الفترة. وقد يُعزى انخفاض نسبة المواد الهيدروفلوروكربونية في البوليولات المستوردة الممزوجة مسبقاً التي تستخدمها الدول المصنفة طرفاً عاملاً بالمادة 5، إلى نقص الإبلاغ بسبب عدم رصد المواد الهيدروفلوروكربونية الموجودة في البوليولات، إضافة إلى أن العديد من شركات إنتاج رغوة البولي يوريثان والشركات المعنية بالنظم التي تتلقى مساعدة من الصندوق المتعدد الأطراف لإزالة المادة </w:t>
      </w:r>
      <w:r w:rsidRPr="003440E5">
        <w:rPr>
          <w:sz w:val="26"/>
          <w:szCs w:val="26"/>
        </w:rPr>
        <w:t>HCFC-141b</w:t>
      </w:r>
      <w:r w:rsidRPr="003440E5">
        <w:rPr>
          <w:rFonts w:hint="cs"/>
          <w:sz w:val="26"/>
          <w:szCs w:val="26"/>
          <w:rtl/>
        </w:rPr>
        <w:t xml:space="preserve"> النقية والموجودة في البوليولات الممزوجة مسبقاً، قد تحولت مباشرة إلى تقنيات بديلة ذات قدرة منخفضة على إحداث الاحترار العالمي. وعلى الرغم من أن الوضع في معظم دول المجموعة 2 لا يزال غير معروف، فمن المتوقع أن يكون مماثلاً للنتائج التي لوحظت في عينة الدول الـ 120 التي تم تحليلها.</w:t>
      </w:r>
    </w:p>
    <w:p w14:paraId="13059720" w14:textId="4FEAA18F" w:rsidR="005210E4" w:rsidRPr="003440E5" w:rsidRDefault="005210E4" w:rsidP="005210E4">
      <w:pPr>
        <w:pStyle w:val="Heading1"/>
        <w:bidi/>
        <w:rPr>
          <w:sz w:val="26"/>
          <w:szCs w:val="26"/>
          <w:rtl/>
        </w:rPr>
      </w:pPr>
      <w:r w:rsidRPr="003440E5">
        <w:rPr>
          <w:rFonts w:hint="cs"/>
          <w:sz w:val="26"/>
          <w:szCs w:val="26"/>
          <w:rtl/>
        </w:rPr>
        <w:t>يبلغ متوسط كمية المواد الهيدروفلوروكربونية المصدرة في البوليولات الممزوجة مسبقاً من قبل الدول المصنفة طرفاً عاملاً بالمادة 5 للفترة 2022-2023 ما قيمته 128.16 طناً مترياً. ويمكن أن يُعزى الفرق بين هذه القيمة ومتوسط واردات الدول المصنفة طرفاً عاملاً بالمادة 5 من المواد الهيدروفلوروكربونية في البوليولات الممزوجة مسبقاً خلال نفس الفترة، إلى الواردات من الدول غير المصنفة طرفاً عاملاً بالمادة 5، أو إلى الواردات من الدول المصنفة طرفاً عاملاً بالمادة 5 التي لم تقدم تقارير تنفيذ البرنامج القطري الخاصة بها، أو إلى الواردات من الدول المصنفة طرفاً عاملاً بالمادة 5 التي تفتقر إلى نظام لرصد صادرات المواد الهيدروفلوروكربونية الموجودة في البوليولات الممزوجة مسبقاً.</w:t>
      </w:r>
    </w:p>
    <w:p w14:paraId="5A49AD71" w14:textId="77777777" w:rsidR="00672896" w:rsidRPr="003440E5" w:rsidRDefault="00672896" w:rsidP="00672896">
      <w:pPr>
        <w:pStyle w:val="Heading2"/>
        <w:numPr>
          <w:ilvl w:val="0"/>
          <w:numId w:val="0"/>
        </w:numPr>
        <w:bidi/>
        <w:rPr>
          <w:b/>
          <w:bCs/>
          <w:sz w:val="26"/>
          <w:szCs w:val="26"/>
          <w:rtl/>
        </w:rPr>
      </w:pPr>
      <w:r w:rsidRPr="003440E5">
        <w:rPr>
          <w:rFonts w:hint="cs"/>
          <w:b/>
          <w:bCs/>
          <w:sz w:val="26"/>
          <w:szCs w:val="26"/>
          <w:rtl/>
        </w:rPr>
        <w:t>تمويل إزالة المواد الهيدروفلوروكربونية الموجودة في البوليولات الممزوجة مسبقاً المستوردة</w:t>
      </w:r>
    </w:p>
    <w:p w14:paraId="578F9C45" w14:textId="7CB5573A" w:rsidR="00672896" w:rsidRPr="003440E5" w:rsidRDefault="005D243D" w:rsidP="005B78B1">
      <w:pPr>
        <w:pStyle w:val="Heading1"/>
        <w:bidi/>
        <w:rPr>
          <w:sz w:val="26"/>
          <w:szCs w:val="26"/>
          <w:rtl/>
        </w:rPr>
      </w:pPr>
      <w:r w:rsidRPr="003440E5">
        <w:rPr>
          <w:rFonts w:hint="cs"/>
          <w:sz w:val="26"/>
          <w:szCs w:val="26"/>
          <w:rtl/>
        </w:rPr>
        <w:t xml:space="preserve">كانت المبادئ الرئيسية التي اتبعت في السياسات الموضوعة لتمويل إزالة المادة </w:t>
      </w:r>
      <w:r w:rsidRPr="003440E5">
        <w:rPr>
          <w:sz w:val="26"/>
          <w:szCs w:val="26"/>
        </w:rPr>
        <w:t>HCFC-141b</w:t>
      </w:r>
      <w:r w:rsidRPr="003440E5">
        <w:rPr>
          <w:rFonts w:hint="cs"/>
          <w:sz w:val="26"/>
          <w:szCs w:val="26"/>
          <w:rtl/>
        </w:rPr>
        <w:t xml:space="preserve"> الموجودة في البوليولات المستوردة الممزوجة مسبقاً هي التالية: ضمان الإزالة الفعالة للمادة </w:t>
      </w:r>
      <w:r w:rsidRPr="003440E5">
        <w:rPr>
          <w:sz w:val="26"/>
          <w:szCs w:val="26"/>
        </w:rPr>
        <w:t>HCFC-141b</w:t>
      </w:r>
      <w:r w:rsidRPr="003440E5">
        <w:rPr>
          <w:rFonts w:hint="cs"/>
          <w:sz w:val="26"/>
          <w:szCs w:val="26"/>
          <w:rtl/>
        </w:rPr>
        <w:t xml:space="preserve"> سواء كانت نقية أو ممزوجة مسبقاً، عن طريق تقديم الدعم للشركات المؤهلة لإنتاج رغوة البولي يوريثان؛ دعم استدامة الإزالة من خلال اعتماد الدول المصنفة طرفاً عاملاً بالمادة 5 تدابير تنظيمية مناسبة عند اكتمال المشاريع؛ منع الازدواجية في تمويل إزالة المادة </w:t>
      </w:r>
      <w:r w:rsidRPr="003440E5">
        <w:rPr>
          <w:sz w:val="26"/>
          <w:szCs w:val="26"/>
        </w:rPr>
        <w:t>HCFC-141b</w:t>
      </w:r>
      <w:r w:rsidRPr="003440E5">
        <w:rPr>
          <w:rFonts w:hint="cs"/>
          <w:sz w:val="26"/>
          <w:szCs w:val="26"/>
          <w:rtl/>
        </w:rPr>
        <w:t xml:space="preserve"> عن طريق مطالبة الدول المصدرة بخصم صادراتها من نقطة البداية؛ تعزيز رصد واردات وصادرات المادة </w:t>
      </w:r>
      <w:r w:rsidRPr="003440E5">
        <w:rPr>
          <w:sz w:val="26"/>
          <w:szCs w:val="26"/>
        </w:rPr>
        <w:t>HCFC-141b</w:t>
      </w:r>
      <w:r w:rsidRPr="003440E5">
        <w:rPr>
          <w:rFonts w:hint="cs"/>
          <w:sz w:val="26"/>
          <w:szCs w:val="26"/>
          <w:rtl/>
        </w:rPr>
        <w:t xml:space="preserve"> عن طريق تشجيع الدول المصنفة طرفاً عاملاً بالمادة 5 على وضع نظم وطنية لتسجيل هذه الكميات.</w:t>
      </w:r>
    </w:p>
    <w:p w14:paraId="3B6AE333" w14:textId="4AC905A1" w:rsidR="00672896" w:rsidRPr="003440E5" w:rsidRDefault="00672896" w:rsidP="00B417A2">
      <w:pPr>
        <w:pStyle w:val="Heading1"/>
        <w:bidi/>
        <w:rPr>
          <w:sz w:val="26"/>
          <w:szCs w:val="26"/>
          <w:rtl/>
        </w:rPr>
      </w:pPr>
      <w:r w:rsidRPr="003440E5">
        <w:rPr>
          <w:rFonts w:hint="cs"/>
          <w:sz w:val="26"/>
          <w:szCs w:val="26"/>
          <w:rtl/>
        </w:rPr>
        <w:t xml:space="preserve">في ضوء هذه المبادئ والملاحظات والمعلومات ذات الصلة بالمواد الهيدروفلوروكربونية التي قدمتها الأمانة في هذه الوثيقة وفي الوثيقة </w:t>
      </w:r>
      <w:r w:rsidRPr="003440E5">
        <w:rPr>
          <w:sz w:val="26"/>
          <w:szCs w:val="26"/>
        </w:rPr>
        <w:t>UNEP/</w:t>
      </w:r>
      <w:proofErr w:type="spellStart"/>
      <w:r w:rsidRPr="003440E5">
        <w:rPr>
          <w:sz w:val="26"/>
          <w:szCs w:val="26"/>
        </w:rPr>
        <w:t>OzL.Pro</w:t>
      </w:r>
      <w:proofErr w:type="spellEnd"/>
      <w:r w:rsidRPr="003440E5">
        <w:rPr>
          <w:sz w:val="26"/>
          <w:szCs w:val="26"/>
        </w:rPr>
        <w:t>/ExCom/95/88</w:t>
      </w:r>
      <w:r w:rsidRPr="003440E5">
        <w:rPr>
          <w:rFonts w:hint="cs"/>
          <w:sz w:val="26"/>
          <w:szCs w:val="26"/>
          <w:rtl/>
        </w:rPr>
        <w:t>، قد ترغب اللجنة التنفيذية في النظر في ما يلي:</w:t>
      </w:r>
    </w:p>
    <w:p w14:paraId="0E9AF718" w14:textId="6049F188" w:rsidR="00672896" w:rsidRPr="003440E5" w:rsidRDefault="00672896" w:rsidP="009A132B">
      <w:pPr>
        <w:pStyle w:val="Heading2"/>
        <w:bidi/>
        <w:ind w:left="1440" w:hanging="720"/>
        <w:rPr>
          <w:sz w:val="26"/>
          <w:szCs w:val="26"/>
          <w:rtl/>
        </w:rPr>
      </w:pPr>
      <w:r w:rsidRPr="003440E5">
        <w:rPr>
          <w:rFonts w:hint="cs"/>
          <w:sz w:val="26"/>
          <w:szCs w:val="26"/>
          <w:rtl/>
        </w:rPr>
        <w:t>بالنسبة للواردات من المواد الهيدروفلوروكربونية الموجودة في البوليولات الممزوجة مسبقاً، التي لم تحتسب تحت بند الاستهلاك بموجب المادة 7، أن يُطلب من الدول المصنفة طرفاً عاملاً بالمادة 5 التي ترغب في طلب المساعدة لإزالة هذه الواردات ما يلي:</w:t>
      </w:r>
    </w:p>
    <w:p w14:paraId="318C51F5" w14:textId="786BAEAD" w:rsidR="00970AB7" w:rsidRPr="003440E5" w:rsidRDefault="00672896" w:rsidP="00B417A2">
      <w:pPr>
        <w:pStyle w:val="Heading3"/>
        <w:bidi/>
        <w:rPr>
          <w:sz w:val="26"/>
          <w:szCs w:val="26"/>
          <w:rtl/>
        </w:rPr>
      </w:pPr>
      <w:r w:rsidRPr="003440E5">
        <w:rPr>
          <w:rFonts w:hint="cs"/>
          <w:sz w:val="26"/>
          <w:szCs w:val="26"/>
          <w:rtl/>
        </w:rPr>
        <w:lastRenderedPageBreak/>
        <w:t xml:space="preserve">أن تورد، في الاستراتيجية الشاملة لخطط تنفيذ تعديل كيغالي للمواد الهيدروفلوروكربونية الخاصة بها، كمية ونوع المواد الهيدروفلوروكربونية المستوردة في البوليولات الممزوجة مسبقاً للأعوام 2022 إلى 2024 كما ورد في تقارير تنفيذ البرنامج القطري، إضافة </w:t>
      </w:r>
      <w:r w:rsidR="001512EE" w:rsidRPr="003440E5">
        <w:rPr>
          <w:rFonts w:hint="cs"/>
          <w:sz w:val="26"/>
          <w:szCs w:val="26"/>
          <w:rtl/>
        </w:rPr>
        <w:t>إلى</w:t>
      </w:r>
      <w:r w:rsidRPr="003440E5">
        <w:rPr>
          <w:rFonts w:hint="cs"/>
          <w:sz w:val="26"/>
          <w:szCs w:val="26"/>
          <w:rtl/>
        </w:rPr>
        <w:t xml:space="preserve"> الدول التي تم استيرادها منها، و:</w:t>
      </w:r>
    </w:p>
    <w:p w14:paraId="591BEB0B" w14:textId="03338D8A" w:rsidR="00970AB7" w:rsidRPr="003440E5" w:rsidRDefault="00137395" w:rsidP="00942872">
      <w:pPr>
        <w:pStyle w:val="Heading3"/>
        <w:numPr>
          <w:ilvl w:val="0"/>
          <w:numId w:val="0"/>
        </w:numPr>
        <w:bidi/>
        <w:spacing w:after="120"/>
        <w:ind w:left="2880" w:hanging="754"/>
        <w:rPr>
          <w:sz w:val="26"/>
          <w:szCs w:val="26"/>
          <w:rtl/>
        </w:rPr>
      </w:pPr>
      <w:r w:rsidRPr="003440E5">
        <w:rPr>
          <w:rFonts w:hint="cs"/>
          <w:sz w:val="26"/>
          <w:szCs w:val="26"/>
          <w:rtl/>
        </w:rPr>
        <w:t>أ.</w:t>
      </w:r>
      <w:r w:rsidR="00942872">
        <w:rPr>
          <w:sz w:val="26"/>
          <w:szCs w:val="26"/>
          <w:lang w:val="en-US"/>
        </w:rPr>
        <w:tab/>
      </w:r>
      <w:r w:rsidRPr="003440E5">
        <w:rPr>
          <w:rFonts w:hint="cs"/>
          <w:sz w:val="26"/>
          <w:szCs w:val="26"/>
          <w:rtl/>
        </w:rPr>
        <w:t xml:space="preserve"> بالنسبة لدول المجموعة 1، قائمة توضيحية بجميع مؤسسات رغوة البولي يوريثان التي تأسست قبل 1 يناير/ كانون الثاني 2020 والتي استخدمت أنظمة بوليول مستوردة، بما في ذلك كمية ونوع المواد الهيدروفلوروكربونية الموجودة فيها؛</w:t>
      </w:r>
    </w:p>
    <w:p w14:paraId="0E63103C" w14:textId="6BC99CB4" w:rsidR="00422202" w:rsidRPr="003440E5" w:rsidRDefault="00422202" w:rsidP="00422202">
      <w:pPr>
        <w:pStyle w:val="Heading3"/>
        <w:numPr>
          <w:ilvl w:val="0"/>
          <w:numId w:val="0"/>
        </w:numPr>
        <w:bidi/>
        <w:ind w:left="2835" w:hanging="708"/>
        <w:rPr>
          <w:sz w:val="26"/>
          <w:szCs w:val="26"/>
          <w:rtl/>
        </w:rPr>
      </w:pPr>
      <w:r w:rsidRPr="003440E5">
        <w:rPr>
          <w:rFonts w:hint="cs"/>
          <w:sz w:val="26"/>
          <w:szCs w:val="26"/>
          <w:rtl/>
        </w:rPr>
        <w:t>ب.</w:t>
      </w:r>
      <w:r w:rsidR="00942872">
        <w:rPr>
          <w:sz w:val="26"/>
          <w:szCs w:val="26"/>
          <w:lang w:val="en-US"/>
        </w:rPr>
        <w:tab/>
      </w:r>
      <w:r w:rsidRPr="003440E5">
        <w:rPr>
          <w:rFonts w:hint="cs"/>
          <w:sz w:val="26"/>
          <w:szCs w:val="26"/>
          <w:rtl/>
        </w:rPr>
        <w:t xml:space="preserve"> بالنسبة لدول المجموعة 2، قائمة توضيحية بجميع مؤسسات رغوة البولي يوريثان التي تأسست قبل 1 يناير/ كانون الثاني 2024 والتي استخدمت أنظمة بوليول مستوردة، بما في ذلك الكمية ونوع المواد الهيدروفلوروكربونية الموجودة فيها؛</w:t>
      </w:r>
    </w:p>
    <w:p w14:paraId="1E954639" w14:textId="358CEE26" w:rsidR="00780E2A" w:rsidRPr="003440E5" w:rsidRDefault="00780E2A" w:rsidP="00A3214A">
      <w:pPr>
        <w:pStyle w:val="Heading3"/>
        <w:bidi/>
        <w:spacing w:after="0"/>
        <w:rPr>
          <w:sz w:val="26"/>
          <w:szCs w:val="26"/>
          <w:rtl/>
        </w:rPr>
      </w:pPr>
      <w:r w:rsidRPr="003440E5">
        <w:rPr>
          <w:rFonts w:hint="cs"/>
          <w:sz w:val="26"/>
          <w:szCs w:val="26"/>
          <w:rtl/>
        </w:rPr>
        <w:t>في حال كان لدى الدولة بالفعل خطة تنفيذ تعديل كيغالي موافق عليها، أن تقدم المعلومات المشار إليها في الفقرة الفرعية (أ)(</w:t>
      </w:r>
      <w:proofErr w:type="spellStart"/>
      <w:r w:rsidRPr="003440E5">
        <w:rPr>
          <w:sz w:val="26"/>
          <w:szCs w:val="26"/>
        </w:rPr>
        <w:t>i</w:t>
      </w:r>
      <w:proofErr w:type="spellEnd"/>
      <w:r w:rsidRPr="003440E5">
        <w:rPr>
          <w:rFonts w:hint="cs"/>
          <w:sz w:val="26"/>
          <w:szCs w:val="26"/>
          <w:rtl/>
        </w:rPr>
        <w:t>) أعلاه مع طلب الشريحة التالية من خطة تنفيذ تعديل كيغالي الخاصة بها؛</w:t>
      </w:r>
    </w:p>
    <w:p w14:paraId="041B1D2B" w14:textId="3C7E388E" w:rsidR="00672896" w:rsidRPr="003440E5" w:rsidRDefault="00672896" w:rsidP="00A3214A">
      <w:pPr>
        <w:pStyle w:val="Heading3"/>
        <w:widowControl/>
        <w:bidi/>
        <w:spacing w:before="240"/>
        <w:rPr>
          <w:sz w:val="26"/>
          <w:szCs w:val="26"/>
          <w:rtl/>
        </w:rPr>
      </w:pPr>
      <w:r w:rsidRPr="003440E5">
        <w:rPr>
          <w:rFonts w:hint="cs"/>
          <w:sz w:val="26"/>
          <w:szCs w:val="26"/>
          <w:rtl/>
        </w:rPr>
        <w:t>أن تورد خطة قطاعية للإزالة التامة لاستخدام المواد الهيدروفلوروكربونية الموجودة في البوليولات المستوردة الممزوجة مسبقاً، في خطط تنفيذ تعديل كيغالي الخاصة بها أو في طلب الشريحة التالية بالنسبة للدول التي لديها خطة تنفيذ تعديل كيغالي موافق عليها، بما في ذلك التكلفة وجدول التمويل، على أساس أن كميات المواد الهيدروفلوروكربونية الموجودة في البوليولات المستوردة الممزوجة مسبقاً التي لم تُدرج في الاستراتيجية الشاملة لخطة تنفيذ تعديل كيغالي، أو طلب الشريحة التالية بالنسبة للدول التي لديها خطة تنفيذ تعديل كيغالي موافق عليها، لن تكون مؤهلة للتمويل. وفي الحالات التي تقرر فيها الدولة عدم طلب التمويل للخطة القطاعية لإزالة استخدام المواد الهيدروفلوروكربونية الموجودة في البوليولات المستوردة الممزوجة مسبقاً بسبب ظروف وطنية، يمكن للدولة، بشكل استثنائي وعلى أساس كل حالة على حدة، أن تطلب تمويل لتلك الخطة القطاعية أثناء تنفيذ المرحلة الأولى أو مرحلة مقبلة من خطة تنفيذ تعديل كيغالي على أساس أن أهلية شركات إنتاج رغوة البولي يوريثان ستحدد تاريخ تقديم المشروع، وأن الحد الأقصى لمستوى التمويل سيستند إلى كمية المواد الهيدروفلوروكربونية الموجودة في البوليولات الممزوجة المستوردة على النحو المحدد في الفقرة الفرعية (أ)(</w:t>
      </w:r>
      <w:proofErr w:type="spellStart"/>
      <w:r w:rsidRPr="003440E5">
        <w:rPr>
          <w:sz w:val="26"/>
          <w:szCs w:val="26"/>
        </w:rPr>
        <w:t>i</w:t>
      </w:r>
      <w:proofErr w:type="spellEnd"/>
      <w:r w:rsidRPr="003440E5">
        <w:rPr>
          <w:rFonts w:hint="cs"/>
          <w:sz w:val="26"/>
          <w:szCs w:val="26"/>
          <w:rtl/>
        </w:rPr>
        <w:t>) أعلاه؛</w:t>
      </w:r>
    </w:p>
    <w:p w14:paraId="1F3AAB1A" w14:textId="5FF21EA0" w:rsidR="00672896" w:rsidRPr="003440E5" w:rsidRDefault="00672896" w:rsidP="00672896">
      <w:pPr>
        <w:pStyle w:val="Heading3"/>
        <w:bidi/>
        <w:rPr>
          <w:sz w:val="26"/>
          <w:szCs w:val="26"/>
          <w:rtl/>
        </w:rPr>
      </w:pPr>
      <w:r w:rsidRPr="003440E5">
        <w:rPr>
          <w:rFonts w:hint="cs"/>
          <w:sz w:val="26"/>
          <w:szCs w:val="26"/>
          <w:rtl/>
        </w:rPr>
        <w:t>أن تورد في الخطة القطاعية التزاماً من الدولة بوضع لوائح أو سياسات تحظر استيراد و/أو استخدام المواد الهيدروفلوروكربونية، سواء كانت نقية أو موجودة في البوليولات الممزوجة مسبقاً في قطاع إنتاج رغوة البولي يوريثان بحلول التاريخ الذي يتم فيه تحويل آخر مصنع لإنتاج رغوة البولي يوريثان إلى تقنية غير قائمة على المواد الهيدروفلوروكربونية؛</w:t>
      </w:r>
    </w:p>
    <w:p w14:paraId="28C2CBEE" w14:textId="3DCDB7AE" w:rsidR="00672896" w:rsidRPr="003440E5" w:rsidRDefault="00672896" w:rsidP="00463471">
      <w:pPr>
        <w:pStyle w:val="Heading2"/>
        <w:bidi/>
        <w:ind w:left="1440" w:hanging="720"/>
        <w:rPr>
          <w:sz w:val="26"/>
          <w:szCs w:val="26"/>
          <w:rtl/>
        </w:rPr>
      </w:pPr>
      <w:r w:rsidRPr="003440E5">
        <w:rPr>
          <w:rFonts w:hint="cs"/>
          <w:sz w:val="26"/>
          <w:szCs w:val="26"/>
          <w:rtl/>
        </w:rPr>
        <w:t>أن يكون الحد الأقصى لمستوى التمويل الذي ستتم الموافقة عليه لكل دولة من الدول المصنفة طرفاً عاملاً بالمادة 5 لإزالة استيراد المواد الهيدروفلوروكربونية الموجودة في البوليولات الممزوجة مسبقاً، بناءً على متوسط كميات المواد الهيدروفلوروكربونية الموجودة في البوليولات الممزوجة مسبقاً المستوردة خلال الفترة 2022-2024، على أساس أن هذه القيمة منفصلة عن نقطة البداية للتخفيض المستدام في استهلاك المواد الهيدروفلوروكربونية وستنعكس بشكل منفصل عن نقطة البداية في الاتفاق بين الدولة واللجنة التنفيذية؛</w:t>
      </w:r>
    </w:p>
    <w:p w14:paraId="541627E0" w14:textId="0B2F6712" w:rsidR="00672896" w:rsidRPr="003440E5" w:rsidRDefault="00672896" w:rsidP="00463471">
      <w:pPr>
        <w:pStyle w:val="Heading2"/>
        <w:bidi/>
        <w:ind w:left="1440" w:hanging="720"/>
        <w:rPr>
          <w:sz w:val="26"/>
          <w:szCs w:val="26"/>
          <w:rtl/>
        </w:rPr>
      </w:pPr>
      <w:r w:rsidRPr="003440E5">
        <w:rPr>
          <w:rFonts w:hint="cs"/>
          <w:sz w:val="26"/>
          <w:szCs w:val="26"/>
          <w:rtl/>
        </w:rPr>
        <w:t xml:space="preserve">أن تحصل الدول المصنفة طرفاً عاملاً بالمادة 5 التي لديها شركات مؤهلة تقوم بتصنيع البوليولات الممزوجة مسبقاً التي تحتوي على مواد </w:t>
      </w:r>
      <w:r w:rsidR="0074393A" w:rsidRPr="003440E5">
        <w:rPr>
          <w:rFonts w:hint="cs"/>
          <w:sz w:val="26"/>
          <w:szCs w:val="26"/>
          <w:rtl/>
        </w:rPr>
        <w:t>ه</w:t>
      </w:r>
      <w:r w:rsidRPr="003440E5">
        <w:rPr>
          <w:rFonts w:hint="cs"/>
          <w:sz w:val="26"/>
          <w:szCs w:val="26"/>
          <w:rtl/>
        </w:rPr>
        <w:t xml:space="preserve">يدروفلوروكربونية على مساعدة محسوبة بناءً على استهلاك </w:t>
      </w:r>
      <w:r w:rsidRPr="003440E5">
        <w:rPr>
          <w:rFonts w:hint="cs"/>
          <w:sz w:val="26"/>
          <w:szCs w:val="26"/>
          <w:rtl/>
        </w:rPr>
        <w:lastRenderedPageBreak/>
        <w:t>المواد الهيدروفلوروكربونية التي تباع محلياً لاستخدامها من قبل شركات إنتاج رغوة البولي يوريثان في الفترة من 2022 إلى 2024، على أساس أن تصدير المواد الهيدروفلوروكربونية الموجودة في البوليولات الممزوجة مسبقاً من 2022 إلى 2024 مع خصم الصادرات من نقطة البداية للتخفيضات الإجمالية في استهلاكها من المواد الهيدروفلوروكربونية وقت تقديم خطة تنفيذ تعديل كيغالي الخاصة بها أو وقت تقديم طلب الشريحة التالية بالنسبة للدول التي لديها بالفعل خطة تنفيذ تعديل كيغالي موافق عليها؛</w:t>
      </w:r>
    </w:p>
    <w:p w14:paraId="7104A1FA" w14:textId="70D0774D" w:rsidR="00672896" w:rsidRPr="003440E5" w:rsidRDefault="00672896" w:rsidP="00463471">
      <w:pPr>
        <w:pStyle w:val="Heading2"/>
        <w:bidi/>
        <w:ind w:left="1440" w:hanging="720"/>
        <w:rPr>
          <w:sz w:val="26"/>
          <w:szCs w:val="26"/>
          <w:rtl/>
        </w:rPr>
      </w:pPr>
      <w:r w:rsidRPr="003440E5">
        <w:rPr>
          <w:rFonts w:hint="cs"/>
          <w:sz w:val="26"/>
          <w:szCs w:val="26"/>
          <w:rtl/>
        </w:rPr>
        <w:t>أن تطلب من الدول المصنفة طرفاً عاملاً بالمادة 5 والتي تصدّر المواد الهيدروفلوروكربونية في البوليولات الممزوجة مسبقاً، إبلاغ صادراتها للأعوام 2022–2024 عند تقديم خطة تنفيذ تعديل كيغالي الخاصة بها أو وقت تقديم طلب الشريحة التالية بالنسبة للدول التي لديها بالفعل خطة تنفيذ تعديل كيغالي موافق عليها، أو عند طلب التمويل لإزالة المواد الهيدروفلوروكربونية المستخدمة في قطاع رغوة البولي يوريثان؛ و</w:t>
      </w:r>
    </w:p>
    <w:p w14:paraId="59C6D959" w14:textId="42611F21" w:rsidR="00672896" w:rsidRPr="003440E5" w:rsidRDefault="00672896" w:rsidP="00463471">
      <w:pPr>
        <w:pStyle w:val="Heading2"/>
        <w:widowControl/>
        <w:bidi/>
        <w:ind w:left="1440" w:hanging="720"/>
        <w:rPr>
          <w:sz w:val="26"/>
          <w:szCs w:val="26"/>
          <w:rtl/>
        </w:rPr>
      </w:pPr>
      <w:r w:rsidRPr="003440E5">
        <w:rPr>
          <w:rFonts w:hint="cs"/>
          <w:sz w:val="26"/>
          <w:szCs w:val="26"/>
          <w:rtl/>
        </w:rPr>
        <w:t>أن تطلب من الدول المصنفة طرفاً عاملاً بالمادة 5 التي تستخدم المواد الهيدروفلوروكربونية، سواء كانت نقية أو موجودة في بوليولات الممزوجة مسبقاً، في قطاع إنتاج رغوة البولي يوريثان أن تنظر في وضع نظام وطني لتسجيل ورصد كميات المواد الهيدروفلوروكربونية الموجودة في البوليولات الممزوجة مسبقاً المستوردة و/أو المصدرة (حيثما ينطبق الامر) لدعم حظر واردات المواد الهيدروفلوروكربونية النقية والمواد الهيدروفلوروكربونية الموجودة في البوليولات الممزوجة مسبقاً، التي ستصدر بمجرد تحويل جميع شركات إنتاج رغوة البولي يوريثان، ولتيسير رصد هذه الشركات من أجل مواصلة عملية إزالة المواد الهيدروفلوروكربونية.</w:t>
      </w:r>
    </w:p>
    <w:p w14:paraId="54EC5C27" w14:textId="77777777" w:rsidR="002D6F78" w:rsidRPr="003440E5" w:rsidRDefault="002D6F78" w:rsidP="002D6F78">
      <w:pPr>
        <w:jc w:val="center"/>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3440E5" w14:paraId="717287EF" w14:textId="77777777" w:rsidTr="00413897">
        <w:trPr>
          <w:trHeight w:val="53"/>
        </w:trPr>
        <w:tc>
          <w:tcPr>
            <w:tcW w:w="1871" w:type="dxa"/>
          </w:tcPr>
          <w:p w14:paraId="7EA2458F" w14:textId="77777777" w:rsidR="003D5312" w:rsidRPr="003440E5" w:rsidRDefault="003D5312" w:rsidP="00BA156D">
            <w:pPr>
              <w:jc w:val="center"/>
              <w:rPr>
                <w:sz w:val="26"/>
                <w:szCs w:val="26"/>
              </w:rPr>
            </w:pPr>
          </w:p>
        </w:tc>
        <w:tc>
          <w:tcPr>
            <w:tcW w:w="1872" w:type="dxa"/>
          </w:tcPr>
          <w:p w14:paraId="32537676" w14:textId="77777777" w:rsidR="003D5312" w:rsidRPr="003440E5" w:rsidRDefault="003D5312" w:rsidP="00BA156D">
            <w:pPr>
              <w:jc w:val="center"/>
              <w:rPr>
                <w:sz w:val="26"/>
                <w:szCs w:val="26"/>
              </w:rPr>
            </w:pPr>
          </w:p>
        </w:tc>
        <w:tc>
          <w:tcPr>
            <w:tcW w:w="1872" w:type="dxa"/>
            <w:tcBorders>
              <w:bottom w:val="single" w:sz="4" w:space="0" w:color="auto"/>
            </w:tcBorders>
          </w:tcPr>
          <w:p w14:paraId="46F45BEB" w14:textId="77777777" w:rsidR="003D5312" w:rsidRPr="003440E5" w:rsidRDefault="003D5312" w:rsidP="00BA156D">
            <w:pPr>
              <w:jc w:val="center"/>
              <w:rPr>
                <w:sz w:val="26"/>
                <w:szCs w:val="26"/>
              </w:rPr>
            </w:pPr>
          </w:p>
        </w:tc>
        <w:tc>
          <w:tcPr>
            <w:tcW w:w="1872" w:type="dxa"/>
          </w:tcPr>
          <w:p w14:paraId="2777120D" w14:textId="77777777" w:rsidR="003D5312" w:rsidRPr="003440E5" w:rsidRDefault="003D5312" w:rsidP="00BA156D">
            <w:pPr>
              <w:jc w:val="center"/>
              <w:rPr>
                <w:sz w:val="26"/>
                <w:szCs w:val="26"/>
              </w:rPr>
            </w:pPr>
          </w:p>
        </w:tc>
        <w:tc>
          <w:tcPr>
            <w:tcW w:w="1873" w:type="dxa"/>
          </w:tcPr>
          <w:p w14:paraId="1DFC41BC" w14:textId="77777777" w:rsidR="003D5312" w:rsidRPr="003440E5" w:rsidRDefault="003D5312" w:rsidP="00BA156D">
            <w:pPr>
              <w:jc w:val="center"/>
              <w:rPr>
                <w:sz w:val="26"/>
                <w:szCs w:val="26"/>
              </w:rPr>
            </w:pPr>
          </w:p>
        </w:tc>
      </w:tr>
    </w:tbl>
    <w:p w14:paraId="33BA8A6D" w14:textId="77777777" w:rsidR="005210E4" w:rsidRPr="003440E5" w:rsidRDefault="005210E4" w:rsidP="00BA156D">
      <w:pPr>
        <w:pStyle w:val="Heading1"/>
        <w:numPr>
          <w:ilvl w:val="0"/>
          <w:numId w:val="0"/>
        </w:numPr>
        <w:jc w:val="center"/>
        <w:rPr>
          <w:sz w:val="26"/>
          <w:szCs w:val="26"/>
        </w:rPr>
      </w:pPr>
    </w:p>
    <w:sectPr w:rsidR="005210E4" w:rsidRPr="003440E5"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8D461" w14:textId="77777777" w:rsidR="00677561" w:rsidRDefault="00677561" w:rsidP="004A504B">
      <w:r>
        <w:separator/>
      </w:r>
    </w:p>
  </w:endnote>
  <w:endnote w:type="continuationSeparator" w:id="0">
    <w:p w14:paraId="5DACDAA5" w14:textId="77777777" w:rsidR="00677561" w:rsidRDefault="00677561" w:rsidP="004A504B">
      <w:r>
        <w:continuationSeparator/>
      </w:r>
    </w:p>
  </w:endnote>
  <w:endnote w:type="continuationNotice" w:id="1">
    <w:p w14:paraId="5DEA1D32" w14:textId="77777777" w:rsidR="00677561" w:rsidRDefault="006775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3659"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2</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508"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FD94" w14:textId="77777777" w:rsidR="0053550F" w:rsidRPr="007009C7" w:rsidRDefault="0053550F" w:rsidP="0053550F">
    <w:pPr>
      <w:pBdr>
        <w:top w:val="single" w:sz="4" w:space="1" w:color="auto"/>
        <w:left w:val="single" w:sz="4" w:space="0" w:color="auto"/>
        <w:bottom w:val="single" w:sz="4" w:space="1" w:color="auto"/>
        <w:right w:val="single" w:sz="4" w:space="0" w:color="auto"/>
      </w:pBdr>
      <w:bidi/>
      <w:jc w:val="center"/>
      <w:rPr>
        <w:rFonts w:cs="Arabic Transparent"/>
        <w:b/>
        <w:bCs/>
        <w:rtl/>
      </w:rPr>
    </w:pPr>
    <w:r>
      <w:rPr>
        <w:rFonts w:hint="cs"/>
        <w:rtl/>
      </w:rPr>
      <w:t>إن</w:t>
    </w:r>
    <w:r>
      <w:rPr>
        <w:rFonts w:cs="Arabic Transparent" w:hint="cs"/>
        <w:rtl/>
      </w:rPr>
      <w:t xml:space="preserve"> </w:t>
    </w:r>
    <w:r>
      <w:rPr>
        <w:rFonts w:hint="cs"/>
        <w:rtl/>
      </w:rPr>
      <w:t>وثائق</w:t>
    </w:r>
    <w:r>
      <w:rPr>
        <w:rFonts w:cs="Arabic Transparent" w:hint="cs"/>
        <w:rtl/>
      </w:rPr>
      <w:t xml:space="preserve"> </w:t>
    </w:r>
    <w:r>
      <w:rPr>
        <w:rFonts w:hint="cs"/>
        <w:rtl/>
      </w:rPr>
      <w:t>ما</w:t>
    </w:r>
    <w:r>
      <w:rPr>
        <w:rFonts w:cs="Arabic Transparent" w:hint="cs"/>
        <w:rtl/>
      </w:rPr>
      <w:t xml:space="preserve"> </w:t>
    </w:r>
    <w:r>
      <w:rPr>
        <w:rFonts w:hint="cs"/>
        <w:rtl/>
      </w:rPr>
      <w:t>قبل</w:t>
    </w:r>
    <w:r>
      <w:rPr>
        <w:rFonts w:cs="Arabic Transparent" w:hint="cs"/>
        <w:rtl/>
      </w:rPr>
      <w:t xml:space="preserve"> </w:t>
    </w:r>
    <w:r>
      <w:rPr>
        <w:rFonts w:hint="cs"/>
        <w:rtl/>
      </w:rPr>
      <w:t>دورات</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للصندوق</w:t>
    </w:r>
    <w:r>
      <w:rPr>
        <w:rFonts w:cs="Arabic Transparent" w:hint="cs"/>
        <w:rtl/>
      </w:rPr>
      <w:t xml:space="preserve"> </w:t>
    </w:r>
    <w:r>
      <w:rPr>
        <w:rFonts w:hint="cs"/>
        <w:rtl/>
      </w:rPr>
      <w:t>المتعدد</w:t>
    </w:r>
    <w:r>
      <w:rPr>
        <w:rFonts w:cs="Arabic Transparent" w:hint="cs"/>
        <w:rtl/>
      </w:rPr>
      <w:t xml:space="preserve"> </w:t>
    </w:r>
    <w:r>
      <w:rPr>
        <w:rFonts w:hint="cs"/>
        <w:rtl/>
      </w:rPr>
      <w:t>الأطراف</w:t>
    </w:r>
    <w:r>
      <w:rPr>
        <w:rFonts w:cs="Arabic Transparent" w:hint="cs"/>
        <w:rtl/>
      </w:rPr>
      <w:t xml:space="preserve"> </w:t>
    </w:r>
    <w:r>
      <w:rPr>
        <w:rFonts w:hint="cs"/>
        <w:rtl/>
      </w:rPr>
      <w:t>لتنفيذ</w:t>
    </w:r>
    <w:r>
      <w:rPr>
        <w:rFonts w:cs="Arabic Transparent" w:hint="cs"/>
        <w:rtl/>
      </w:rPr>
      <w:t xml:space="preserve"> </w:t>
    </w:r>
    <w:r>
      <w:rPr>
        <w:rFonts w:hint="cs"/>
        <w:rtl/>
      </w:rPr>
      <w:t>بروتوكول</w:t>
    </w:r>
    <w:r>
      <w:rPr>
        <w:rFonts w:cs="Arabic Transparent" w:hint="cs"/>
        <w:rtl/>
      </w:rPr>
      <w:t xml:space="preserve"> </w:t>
    </w:r>
    <w:r>
      <w:rPr>
        <w:rFonts w:hint="cs"/>
        <w:rtl/>
      </w:rPr>
      <w:t>مونتريال</w:t>
    </w:r>
    <w:r>
      <w:rPr>
        <w:rFonts w:cs="Arabic Transparent"/>
      </w:rPr>
      <w:t xml:space="preserve"> </w:t>
    </w:r>
  </w:p>
  <w:p w14:paraId="21BE08CF" w14:textId="77777777" w:rsidR="0053550F" w:rsidRPr="009B7808" w:rsidRDefault="0053550F" w:rsidP="0053550F">
    <w:pPr>
      <w:pBdr>
        <w:top w:val="single" w:sz="4" w:space="1" w:color="auto"/>
        <w:left w:val="single" w:sz="4" w:space="0" w:color="auto"/>
        <w:bottom w:val="single" w:sz="4" w:space="1" w:color="auto"/>
        <w:right w:val="single" w:sz="4" w:space="0" w:color="auto"/>
      </w:pBdr>
      <w:bidi/>
      <w:jc w:val="center"/>
      <w:rPr>
        <w:rFonts w:cs="Arabic Transparent"/>
      </w:rPr>
    </w:pPr>
    <w:r>
      <w:rPr>
        <w:rFonts w:hint="cs"/>
        <w:rtl/>
      </w:rPr>
      <w:t>قد</w:t>
    </w:r>
    <w:r>
      <w:rPr>
        <w:rFonts w:cs="Arabic Transparent" w:hint="cs"/>
        <w:rtl/>
      </w:rPr>
      <w:t xml:space="preserve"> </w:t>
    </w:r>
    <w:r>
      <w:rPr>
        <w:rFonts w:hint="cs"/>
        <w:rtl/>
      </w:rPr>
      <w:t>تصدر</w:t>
    </w:r>
    <w:r>
      <w:rPr>
        <w:rFonts w:cs="Arabic Transparent" w:hint="cs"/>
        <w:rtl/>
      </w:rPr>
      <w:t xml:space="preserve"> </w:t>
    </w:r>
    <w:r>
      <w:rPr>
        <w:rFonts w:hint="cs"/>
        <w:rtl/>
      </w:rPr>
      <w:t>دون</w:t>
    </w:r>
    <w:r>
      <w:rPr>
        <w:rFonts w:cs="Arabic Transparent" w:hint="cs"/>
        <w:rtl/>
      </w:rPr>
      <w:t xml:space="preserve"> </w:t>
    </w:r>
    <w:r>
      <w:rPr>
        <w:rFonts w:hint="cs"/>
        <w:rtl/>
      </w:rPr>
      <w:t>إخلال</w:t>
    </w:r>
    <w:r>
      <w:rPr>
        <w:rFonts w:cs="Arabic Transparent" w:hint="cs"/>
        <w:rtl/>
      </w:rPr>
      <w:t xml:space="preserve"> </w:t>
    </w:r>
    <w:r>
      <w:rPr>
        <w:rFonts w:hint="cs"/>
        <w:rtl/>
      </w:rPr>
      <w:t>بأي</w:t>
    </w:r>
    <w:r>
      <w:rPr>
        <w:rFonts w:cs="Arabic Transparent" w:hint="cs"/>
        <w:rtl/>
      </w:rPr>
      <w:t xml:space="preserve"> </w:t>
    </w:r>
    <w:r>
      <w:rPr>
        <w:rFonts w:hint="cs"/>
        <w:rtl/>
      </w:rPr>
      <w:t>قرار</w:t>
    </w:r>
    <w:r>
      <w:rPr>
        <w:rFonts w:cs="Arabic Transparent" w:hint="cs"/>
        <w:rtl/>
      </w:rPr>
      <w:t xml:space="preserve"> </w:t>
    </w:r>
    <w:r>
      <w:rPr>
        <w:rFonts w:hint="cs"/>
        <w:rtl/>
      </w:rPr>
      <w:t>تتخذه</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بعد</w:t>
    </w:r>
    <w:r>
      <w:rPr>
        <w:rFonts w:cs="Arabic Transparent" w:hint="cs"/>
        <w:rtl/>
      </w:rPr>
      <w:t xml:space="preserve"> </w:t>
    </w:r>
    <w:r>
      <w:rPr>
        <w:rFonts w:hint="cs"/>
        <w:rtl/>
      </w:rPr>
      <w:t>صدورها</w:t>
    </w:r>
    <w:r>
      <w:rPr>
        <w:rFonts w:cs="Arabic Transparent" w:hint="cs"/>
        <w:rtl/>
      </w:rPr>
      <w:t>.</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46582" w14:textId="77777777" w:rsidR="00677561" w:rsidRDefault="00677561" w:rsidP="00590F5E">
      <w:pPr>
        <w:jc w:val="right"/>
      </w:pPr>
      <w:r>
        <w:separator/>
      </w:r>
    </w:p>
  </w:footnote>
  <w:footnote w:type="continuationSeparator" w:id="0">
    <w:p w14:paraId="58E4030D" w14:textId="77777777" w:rsidR="00677561" w:rsidRDefault="00677561" w:rsidP="004A504B">
      <w:r>
        <w:continuationSeparator/>
      </w:r>
    </w:p>
  </w:footnote>
  <w:footnote w:type="continuationNotice" w:id="1">
    <w:p w14:paraId="03F5EFB9" w14:textId="77777777" w:rsidR="00677561" w:rsidRDefault="00677561"/>
  </w:footnote>
  <w:footnote w:id="2">
    <w:p w14:paraId="2EBC385A" w14:textId="6D14AD3C" w:rsidR="00B34FEA" w:rsidRDefault="00B34FEA" w:rsidP="00B34FEA">
      <w:pPr>
        <w:pStyle w:val="FootnoteText"/>
        <w:bidi/>
        <w:rPr>
          <w:rtl/>
        </w:rPr>
      </w:pPr>
      <w:r>
        <w:rPr>
          <w:rStyle w:val="FootnoteReference"/>
        </w:rPr>
        <w:footnoteRef/>
      </w:r>
      <w:r>
        <w:t xml:space="preserve"> </w:t>
      </w:r>
      <w:r w:rsidR="005E7215" w:rsidRPr="001E1147">
        <w:rPr>
          <w:lang w:val="en-US"/>
        </w:rPr>
        <w:t>UNEP/</w:t>
      </w:r>
      <w:proofErr w:type="spellStart"/>
      <w:r w:rsidR="005E7215" w:rsidRPr="001E1147">
        <w:rPr>
          <w:lang w:val="en-US"/>
        </w:rPr>
        <w:t>OzL.Pro</w:t>
      </w:r>
      <w:proofErr w:type="spellEnd"/>
      <w:r w:rsidR="005E7215" w:rsidRPr="001E1147">
        <w:rPr>
          <w:lang w:val="en-US"/>
        </w:rPr>
        <w:t>/ExCom/9</w:t>
      </w:r>
      <w:r w:rsidR="005E7215">
        <w:rPr>
          <w:lang w:val="en-US"/>
        </w:rPr>
        <w:t>6</w:t>
      </w:r>
      <w:r w:rsidR="005E7215" w:rsidRPr="001E1147">
        <w:rPr>
          <w:lang w:val="en-US"/>
        </w:rPr>
        <w:t>/1</w:t>
      </w:r>
    </w:p>
  </w:footnote>
  <w:footnote w:id="3">
    <w:p w14:paraId="0954C6DD" w14:textId="36F9DF18" w:rsidR="007E482B" w:rsidRPr="007E482B" w:rsidRDefault="007E482B" w:rsidP="0099013C">
      <w:pPr>
        <w:pStyle w:val="FootnoteText"/>
        <w:bidi/>
        <w:spacing w:after="120"/>
        <w:rPr>
          <w:rtl/>
        </w:rPr>
      </w:pPr>
      <w:r>
        <w:rPr>
          <w:rStyle w:val="FootnoteReference"/>
        </w:rPr>
        <w:footnoteRef/>
      </w:r>
      <w:r>
        <w:t xml:space="preserve"> UNEP/</w:t>
      </w:r>
      <w:proofErr w:type="spellStart"/>
      <w:r>
        <w:t>OzL.Pro</w:t>
      </w:r>
      <w:proofErr w:type="spellEnd"/>
      <w:r>
        <w:t>/ExCom/95/88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F860" w14:textId="259EB784" w:rsidR="00DC6A10" w:rsidRPr="009F294A" w:rsidRDefault="007C1DE4" w:rsidP="003440E5">
    <w:pPr>
      <w:bidi/>
      <w:jc w:val="right"/>
      <w:rPr>
        <w:sz w:val="24"/>
        <w:szCs w:val="24"/>
        <w:rtl/>
      </w:rPr>
    </w:pPr>
    <w:r w:rsidRPr="009F294A">
      <w:rPr>
        <w:sz w:val="24"/>
        <w:szCs w:val="24"/>
      </w:rPr>
      <w:fldChar w:fldCharType="begin"/>
    </w:r>
    <w:r w:rsidRPr="009F294A">
      <w:rPr>
        <w:sz w:val="24"/>
        <w:szCs w:val="24"/>
      </w:rPr>
      <w:instrText xml:space="preserve"> DOCPROPERTY "Document number"  \* MERGEFORMAT </w:instrText>
    </w:r>
    <w:r w:rsidRPr="009F294A">
      <w:rPr>
        <w:sz w:val="24"/>
        <w:szCs w:val="24"/>
      </w:rPr>
      <w:fldChar w:fldCharType="separate"/>
    </w:r>
    <w:r w:rsidR="00903B63" w:rsidRPr="009F294A">
      <w:rPr>
        <w:sz w:val="24"/>
        <w:szCs w:val="24"/>
      </w:rPr>
      <w:t>UNEP/</w:t>
    </w:r>
    <w:proofErr w:type="spellStart"/>
    <w:r w:rsidR="00903B63" w:rsidRPr="009F294A">
      <w:rPr>
        <w:sz w:val="24"/>
        <w:szCs w:val="24"/>
      </w:rPr>
      <w:t>OzL.Pro</w:t>
    </w:r>
    <w:proofErr w:type="spellEnd"/>
    <w:r w:rsidR="00903B63" w:rsidRPr="009F294A">
      <w:rPr>
        <w:sz w:val="24"/>
        <w:szCs w:val="24"/>
      </w:rPr>
      <w:t>/ExCom/96/59</w:t>
    </w:r>
    <w:r w:rsidRPr="009F294A">
      <w:rPr>
        <w:sz w:val="24"/>
        <w:szCs w:val="24"/>
      </w:rPr>
      <w:fldChar w:fldCharType="end"/>
    </w:r>
  </w:p>
  <w:p w14:paraId="3AE6626D" w14:textId="77777777" w:rsidR="00DC6A10" w:rsidRPr="0033525D" w:rsidRDefault="00DC6A10"/>
  <w:p w14:paraId="335ACA7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3048" w14:textId="0B4024F8" w:rsidR="00DC6A10" w:rsidRPr="009F294A" w:rsidRDefault="000E00D7" w:rsidP="00327BFB">
    <w:pPr>
      <w:bidi/>
      <w:jc w:val="left"/>
      <w:rPr>
        <w:sz w:val="24"/>
        <w:szCs w:val="24"/>
        <w:rtl/>
      </w:rPr>
    </w:pPr>
    <w:r w:rsidRPr="009F294A">
      <w:rPr>
        <w:sz w:val="24"/>
        <w:szCs w:val="24"/>
      </w:rPr>
      <w:fldChar w:fldCharType="begin"/>
    </w:r>
    <w:r w:rsidRPr="009F294A">
      <w:rPr>
        <w:sz w:val="24"/>
        <w:szCs w:val="24"/>
      </w:rPr>
      <w:instrText xml:space="preserve"> DOCPROPERTY "Document number"  \* MERGEFORMAT </w:instrText>
    </w:r>
    <w:r w:rsidRPr="009F294A">
      <w:rPr>
        <w:sz w:val="24"/>
        <w:szCs w:val="24"/>
      </w:rPr>
      <w:fldChar w:fldCharType="separate"/>
    </w:r>
    <w:r w:rsidR="00903B63" w:rsidRPr="009F294A">
      <w:rPr>
        <w:sz w:val="24"/>
        <w:szCs w:val="24"/>
      </w:rPr>
      <w:t>UNEP/</w:t>
    </w:r>
    <w:proofErr w:type="spellStart"/>
    <w:r w:rsidR="00903B63" w:rsidRPr="009F294A">
      <w:rPr>
        <w:sz w:val="24"/>
        <w:szCs w:val="24"/>
      </w:rPr>
      <w:t>OzL.Pro</w:t>
    </w:r>
    <w:proofErr w:type="spellEnd"/>
    <w:r w:rsidR="00903B63" w:rsidRPr="009F294A">
      <w:rPr>
        <w:sz w:val="24"/>
        <w:szCs w:val="24"/>
      </w:rPr>
      <w:t>/ExCom/96/59</w:t>
    </w:r>
    <w:r w:rsidRPr="009F294A">
      <w:rPr>
        <w:sz w:val="24"/>
        <w:szCs w:val="24"/>
      </w:rPr>
      <w:fldChar w:fldCharType="end"/>
    </w:r>
  </w:p>
  <w:p w14:paraId="39CF0DA1" w14:textId="77777777" w:rsidR="00DC6A10" w:rsidRPr="0033525D" w:rsidRDefault="00DC6A10" w:rsidP="000E00D7">
    <w:pPr>
      <w:jc w:val="right"/>
    </w:pPr>
  </w:p>
  <w:p w14:paraId="574A9A4D"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CE0FCEE"/>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489832122">
    <w:abstractNumId w:val="12"/>
  </w:num>
  <w:num w:numId="22" w16cid:durableId="5614117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158C0"/>
    <w:rsid w:val="000211A9"/>
    <w:rsid w:val="00021238"/>
    <w:rsid w:val="00021A8E"/>
    <w:rsid w:val="00022071"/>
    <w:rsid w:val="00023963"/>
    <w:rsid w:val="00026A9B"/>
    <w:rsid w:val="00031260"/>
    <w:rsid w:val="0003681A"/>
    <w:rsid w:val="000372B7"/>
    <w:rsid w:val="000441F0"/>
    <w:rsid w:val="00044AE3"/>
    <w:rsid w:val="00050F6E"/>
    <w:rsid w:val="00051676"/>
    <w:rsid w:val="00054A92"/>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12EE"/>
    <w:rsid w:val="00157D56"/>
    <w:rsid w:val="00164719"/>
    <w:rsid w:val="00165B76"/>
    <w:rsid w:val="00166CE2"/>
    <w:rsid w:val="00166FC4"/>
    <w:rsid w:val="001677AC"/>
    <w:rsid w:val="00171705"/>
    <w:rsid w:val="00175437"/>
    <w:rsid w:val="001804EA"/>
    <w:rsid w:val="001824EF"/>
    <w:rsid w:val="0018253E"/>
    <w:rsid w:val="00183656"/>
    <w:rsid w:val="00190A61"/>
    <w:rsid w:val="0019438F"/>
    <w:rsid w:val="00197179"/>
    <w:rsid w:val="001A2215"/>
    <w:rsid w:val="001A2271"/>
    <w:rsid w:val="001A3342"/>
    <w:rsid w:val="001A3E3D"/>
    <w:rsid w:val="001A48B6"/>
    <w:rsid w:val="001A7049"/>
    <w:rsid w:val="001B1E40"/>
    <w:rsid w:val="001B351E"/>
    <w:rsid w:val="001B42CD"/>
    <w:rsid w:val="001B74FB"/>
    <w:rsid w:val="001B7BD5"/>
    <w:rsid w:val="001C32B2"/>
    <w:rsid w:val="001C4D6F"/>
    <w:rsid w:val="001C764E"/>
    <w:rsid w:val="001D3F73"/>
    <w:rsid w:val="001D448A"/>
    <w:rsid w:val="001D61C4"/>
    <w:rsid w:val="001E1052"/>
    <w:rsid w:val="001E21B1"/>
    <w:rsid w:val="001E2F93"/>
    <w:rsid w:val="001E41AA"/>
    <w:rsid w:val="001E4554"/>
    <w:rsid w:val="001E61E5"/>
    <w:rsid w:val="001F2159"/>
    <w:rsid w:val="001F53FD"/>
    <w:rsid w:val="001F7512"/>
    <w:rsid w:val="00204325"/>
    <w:rsid w:val="002055A1"/>
    <w:rsid w:val="00210B8B"/>
    <w:rsid w:val="00214218"/>
    <w:rsid w:val="00214863"/>
    <w:rsid w:val="002156B4"/>
    <w:rsid w:val="0021613A"/>
    <w:rsid w:val="002164C6"/>
    <w:rsid w:val="00224FCD"/>
    <w:rsid w:val="002300E6"/>
    <w:rsid w:val="00231A83"/>
    <w:rsid w:val="00241703"/>
    <w:rsid w:val="00246BF7"/>
    <w:rsid w:val="00253222"/>
    <w:rsid w:val="00257453"/>
    <w:rsid w:val="00261C13"/>
    <w:rsid w:val="002621FE"/>
    <w:rsid w:val="00262847"/>
    <w:rsid w:val="00272E0D"/>
    <w:rsid w:val="0027344F"/>
    <w:rsid w:val="0027363B"/>
    <w:rsid w:val="002741B1"/>
    <w:rsid w:val="00281BB2"/>
    <w:rsid w:val="0028294A"/>
    <w:rsid w:val="0028746E"/>
    <w:rsid w:val="00297B64"/>
    <w:rsid w:val="002A03C3"/>
    <w:rsid w:val="002A1329"/>
    <w:rsid w:val="002A45E8"/>
    <w:rsid w:val="002A5E8F"/>
    <w:rsid w:val="002B254E"/>
    <w:rsid w:val="002B4CE8"/>
    <w:rsid w:val="002B72E9"/>
    <w:rsid w:val="002C4520"/>
    <w:rsid w:val="002C7178"/>
    <w:rsid w:val="002C7998"/>
    <w:rsid w:val="002D6F78"/>
    <w:rsid w:val="002F1E53"/>
    <w:rsid w:val="002F2CAA"/>
    <w:rsid w:val="002F4CD1"/>
    <w:rsid w:val="002F7645"/>
    <w:rsid w:val="0030052C"/>
    <w:rsid w:val="003023A2"/>
    <w:rsid w:val="0030404A"/>
    <w:rsid w:val="00307457"/>
    <w:rsid w:val="00316AB5"/>
    <w:rsid w:val="00327BFB"/>
    <w:rsid w:val="003306E1"/>
    <w:rsid w:val="003320E4"/>
    <w:rsid w:val="00332D1C"/>
    <w:rsid w:val="0033525D"/>
    <w:rsid w:val="003414F3"/>
    <w:rsid w:val="00341984"/>
    <w:rsid w:val="003440E5"/>
    <w:rsid w:val="0035613E"/>
    <w:rsid w:val="0035713E"/>
    <w:rsid w:val="00362342"/>
    <w:rsid w:val="003628C2"/>
    <w:rsid w:val="00363EE9"/>
    <w:rsid w:val="00376128"/>
    <w:rsid w:val="0037742E"/>
    <w:rsid w:val="003777D3"/>
    <w:rsid w:val="00377D56"/>
    <w:rsid w:val="00380F60"/>
    <w:rsid w:val="0038245A"/>
    <w:rsid w:val="003840E6"/>
    <w:rsid w:val="00385CFC"/>
    <w:rsid w:val="003907B3"/>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6202"/>
    <w:rsid w:val="00406A6A"/>
    <w:rsid w:val="00406B22"/>
    <w:rsid w:val="00407147"/>
    <w:rsid w:val="004078FA"/>
    <w:rsid w:val="00411F3C"/>
    <w:rsid w:val="0041212A"/>
    <w:rsid w:val="00417B3D"/>
    <w:rsid w:val="00417B82"/>
    <w:rsid w:val="00422202"/>
    <w:rsid w:val="0042702D"/>
    <w:rsid w:val="00430E13"/>
    <w:rsid w:val="00431E08"/>
    <w:rsid w:val="004328A7"/>
    <w:rsid w:val="0043416E"/>
    <w:rsid w:val="00434C74"/>
    <w:rsid w:val="00437368"/>
    <w:rsid w:val="00447B4E"/>
    <w:rsid w:val="00456EB4"/>
    <w:rsid w:val="00457410"/>
    <w:rsid w:val="00457827"/>
    <w:rsid w:val="00463471"/>
    <w:rsid w:val="004645A4"/>
    <w:rsid w:val="00470027"/>
    <w:rsid w:val="004718F3"/>
    <w:rsid w:val="00475040"/>
    <w:rsid w:val="00490C06"/>
    <w:rsid w:val="00493D40"/>
    <w:rsid w:val="00493EE3"/>
    <w:rsid w:val="004967B6"/>
    <w:rsid w:val="004A504B"/>
    <w:rsid w:val="004A6911"/>
    <w:rsid w:val="004B08AF"/>
    <w:rsid w:val="004B1EFB"/>
    <w:rsid w:val="004B3652"/>
    <w:rsid w:val="004B54E0"/>
    <w:rsid w:val="004B7384"/>
    <w:rsid w:val="004B7D77"/>
    <w:rsid w:val="004C4269"/>
    <w:rsid w:val="004C66C6"/>
    <w:rsid w:val="004D17F3"/>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550F"/>
    <w:rsid w:val="00537343"/>
    <w:rsid w:val="005424FA"/>
    <w:rsid w:val="005516F3"/>
    <w:rsid w:val="00552239"/>
    <w:rsid w:val="00555D75"/>
    <w:rsid w:val="00560DF0"/>
    <w:rsid w:val="00561325"/>
    <w:rsid w:val="0056184C"/>
    <w:rsid w:val="00562D83"/>
    <w:rsid w:val="0056759C"/>
    <w:rsid w:val="00584E1E"/>
    <w:rsid w:val="0058702C"/>
    <w:rsid w:val="00590F5E"/>
    <w:rsid w:val="0059513E"/>
    <w:rsid w:val="005A6AA4"/>
    <w:rsid w:val="005A6D9F"/>
    <w:rsid w:val="005B48FF"/>
    <w:rsid w:val="005B50A5"/>
    <w:rsid w:val="005B6F65"/>
    <w:rsid w:val="005C1E32"/>
    <w:rsid w:val="005C670D"/>
    <w:rsid w:val="005D15E9"/>
    <w:rsid w:val="005D243D"/>
    <w:rsid w:val="005D363F"/>
    <w:rsid w:val="005D42D4"/>
    <w:rsid w:val="005D7C29"/>
    <w:rsid w:val="005E0B67"/>
    <w:rsid w:val="005E0ECB"/>
    <w:rsid w:val="005E40E6"/>
    <w:rsid w:val="005E7215"/>
    <w:rsid w:val="005F2A75"/>
    <w:rsid w:val="006025C3"/>
    <w:rsid w:val="0060309E"/>
    <w:rsid w:val="006037A9"/>
    <w:rsid w:val="00604C15"/>
    <w:rsid w:val="00613EEF"/>
    <w:rsid w:val="0061450A"/>
    <w:rsid w:val="00614A35"/>
    <w:rsid w:val="006158D5"/>
    <w:rsid w:val="00615DCE"/>
    <w:rsid w:val="00625D83"/>
    <w:rsid w:val="00630B89"/>
    <w:rsid w:val="006310DF"/>
    <w:rsid w:val="00633E6B"/>
    <w:rsid w:val="0064605E"/>
    <w:rsid w:val="00651984"/>
    <w:rsid w:val="006623E7"/>
    <w:rsid w:val="00662B80"/>
    <w:rsid w:val="0066768F"/>
    <w:rsid w:val="00670B5A"/>
    <w:rsid w:val="00670F6C"/>
    <w:rsid w:val="00671364"/>
    <w:rsid w:val="00672896"/>
    <w:rsid w:val="00673577"/>
    <w:rsid w:val="00674E0D"/>
    <w:rsid w:val="00676E58"/>
    <w:rsid w:val="00677561"/>
    <w:rsid w:val="00680A19"/>
    <w:rsid w:val="00680B9E"/>
    <w:rsid w:val="00682253"/>
    <w:rsid w:val="006824FD"/>
    <w:rsid w:val="00682E5E"/>
    <w:rsid w:val="006852C7"/>
    <w:rsid w:val="006852CE"/>
    <w:rsid w:val="00692D14"/>
    <w:rsid w:val="00693B79"/>
    <w:rsid w:val="006A016D"/>
    <w:rsid w:val="006A7A3B"/>
    <w:rsid w:val="006B42D9"/>
    <w:rsid w:val="006B65C7"/>
    <w:rsid w:val="006C081D"/>
    <w:rsid w:val="006C1727"/>
    <w:rsid w:val="006C32FD"/>
    <w:rsid w:val="006C39CE"/>
    <w:rsid w:val="006C5F8A"/>
    <w:rsid w:val="006C65D1"/>
    <w:rsid w:val="006D0CE1"/>
    <w:rsid w:val="006D0FCC"/>
    <w:rsid w:val="006D21F5"/>
    <w:rsid w:val="006D27DA"/>
    <w:rsid w:val="006D3089"/>
    <w:rsid w:val="006D69CE"/>
    <w:rsid w:val="006D7D83"/>
    <w:rsid w:val="006E126D"/>
    <w:rsid w:val="006E1FC3"/>
    <w:rsid w:val="006E3B9C"/>
    <w:rsid w:val="006F3C11"/>
    <w:rsid w:val="006F446A"/>
    <w:rsid w:val="007009C7"/>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BC7"/>
    <w:rsid w:val="0074393A"/>
    <w:rsid w:val="0074558B"/>
    <w:rsid w:val="007458DA"/>
    <w:rsid w:val="00745970"/>
    <w:rsid w:val="0074760E"/>
    <w:rsid w:val="007548C4"/>
    <w:rsid w:val="00754ABA"/>
    <w:rsid w:val="007636EE"/>
    <w:rsid w:val="007656D6"/>
    <w:rsid w:val="0077013A"/>
    <w:rsid w:val="00773F2D"/>
    <w:rsid w:val="00775121"/>
    <w:rsid w:val="007772DA"/>
    <w:rsid w:val="00780E2A"/>
    <w:rsid w:val="00781807"/>
    <w:rsid w:val="007825E9"/>
    <w:rsid w:val="00782B0D"/>
    <w:rsid w:val="00787AFC"/>
    <w:rsid w:val="007916C3"/>
    <w:rsid w:val="00792168"/>
    <w:rsid w:val="00792F39"/>
    <w:rsid w:val="0079378C"/>
    <w:rsid w:val="007947E1"/>
    <w:rsid w:val="00795039"/>
    <w:rsid w:val="0079781A"/>
    <w:rsid w:val="007A1546"/>
    <w:rsid w:val="007A228C"/>
    <w:rsid w:val="007A368E"/>
    <w:rsid w:val="007A5868"/>
    <w:rsid w:val="007A6B1F"/>
    <w:rsid w:val="007B04CE"/>
    <w:rsid w:val="007B2497"/>
    <w:rsid w:val="007B329D"/>
    <w:rsid w:val="007B6871"/>
    <w:rsid w:val="007B7A2F"/>
    <w:rsid w:val="007C1DE4"/>
    <w:rsid w:val="007C2B69"/>
    <w:rsid w:val="007C32EE"/>
    <w:rsid w:val="007C33BF"/>
    <w:rsid w:val="007C3D33"/>
    <w:rsid w:val="007C5C72"/>
    <w:rsid w:val="007D294A"/>
    <w:rsid w:val="007D47D2"/>
    <w:rsid w:val="007D6EC0"/>
    <w:rsid w:val="007D7E1D"/>
    <w:rsid w:val="007E0D34"/>
    <w:rsid w:val="007E482B"/>
    <w:rsid w:val="007E503C"/>
    <w:rsid w:val="007E5A5F"/>
    <w:rsid w:val="007E77BD"/>
    <w:rsid w:val="007F1CAD"/>
    <w:rsid w:val="007F3718"/>
    <w:rsid w:val="007F469E"/>
    <w:rsid w:val="00801D16"/>
    <w:rsid w:val="0080345C"/>
    <w:rsid w:val="008040F4"/>
    <w:rsid w:val="00805B9B"/>
    <w:rsid w:val="008067F4"/>
    <w:rsid w:val="00812A2B"/>
    <w:rsid w:val="00813914"/>
    <w:rsid w:val="00820B6C"/>
    <w:rsid w:val="008216BF"/>
    <w:rsid w:val="00823DBE"/>
    <w:rsid w:val="00824FDC"/>
    <w:rsid w:val="0082522F"/>
    <w:rsid w:val="00831979"/>
    <w:rsid w:val="00832415"/>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3F6A"/>
    <w:rsid w:val="008E5C0D"/>
    <w:rsid w:val="008E61C4"/>
    <w:rsid w:val="008E7BA9"/>
    <w:rsid w:val="008F0F81"/>
    <w:rsid w:val="008F19C4"/>
    <w:rsid w:val="008F27BF"/>
    <w:rsid w:val="008F2E64"/>
    <w:rsid w:val="008F41FA"/>
    <w:rsid w:val="008F7986"/>
    <w:rsid w:val="009016A8"/>
    <w:rsid w:val="00901AC7"/>
    <w:rsid w:val="00902BF1"/>
    <w:rsid w:val="00903B63"/>
    <w:rsid w:val="00906016"/>
    <w:rsid w:val="009142EC"/>
    <w:rsid w:val="009145E4"/>
    <w:rsid w:val="009154C3"/>
    <w:rsid w:val="009231A2"/>
    <w:rsid w:val="009234D8"/>
    <w:rsid w:val="00923540"/>
    <w:rsid w:val="00926767"/>
    <w:rsid w:val="0092781F"/>
    <w:rsid w:val="0093449F"/>
    <w:rsid w:val="00935531"/>
    <w:rsid w:val="009361D5"/>
    <w:rsid w:val="00937710"/>
    <w:rsid w:val="00941559"/>
    <w:rsid w:val="00941D92"/>
    <w:rsid w:val="00942872"/>
    <w:rsid w:val="009428A4"/>
    <w:rsid w:val="009519FB"/>
    <w:rsid w:val="00962C50"/>
    <w:rsid w:val="00964A36"/>
    <w:rsid w:val="0096506D"/>
    <w:rsid w:val="00965928"/>
    <w:rsid w:val="009659F4"/>
    <w:rsid w:val="009672CD"/>
    <w:rsid w:val="00970AB7"/>
    <w:rsid w:val="00970D60"/>
    <w:rsid w:val="00971330"/>
    <w:rsid w:val="009743E3"/>
    <w:rsid w:val="00983B27"/>
    <w:rsid w:val="009874D0"/>
    <w:rsid w:val="0099013C"/>
    <w:rsid w:val="00991105"/>
    <w:rsid w:val="0099390E"/>
    <w:rsid w:val="0099437D"/>
    <w:rsid w:val="00994774"/>
    <w:rsid w:val="009960E5"/>
    <w:rsid w:val="0099710F"/>
    <w:rsid w:val="009972A4"/>
    <w:rsid w:val="009A0C1C"/>
    <w:rsid w:val="009A132B"/>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696E"/>
    <w:rsid w:val="009E6A0A"/>
    <w:rsid w:val="009F1EC7"/>
    <w:rsid w:val="009F294A"/>
    <w:rsid w:val="009F36BF"/>
    <w:rsid w:val="009F5D3A"/>
    <w:rsid w:val="00A111B6"/>
    <w:rsid w:val="00A13416"/>
    <w:rsid w:val="00A257D8"/>
    <w:rsid w:val="00A26D27"/>
    <w:rsid w:val="00A3214A"/>
    <w:rsid w:val="00A376EE"/>
    <w:rsid w:val="00A4251A"/>
    <w:rsid w:val="00A42A99"/>
    <w:rsid w:val="00A50B8D"/>
    <w:rsid w:val="00A5151A"/>
    <w:rsid w:val="00A550A3"/>
    <w:rsid w:val="00A57634"/>
    <w:rsid w:val="00A57E0A"/>
    <w:rsid w:val="00A63C3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4FEA"/>
    <w:rsid w:val="00B3684E"/>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7432"/>
    <w:rsid w:val="00BB2764"/>
    <w:rsid w:val="00BB35BC"/>
    <w:rsid w:val="00BB52C0"/>
    <w:rsid w:val="00BC1AA0"/>
    <w:rsid w:val="00BC2495"/>
    <w:rsid w:val="00BC314A"/>
    <w:rsid w:val="00BC7EB9"/>
    <w:rsid w:val="00BD2643"/>
    <w:rsid w:val="00BD3606"/>
    <w:rsid w:val="00BD56B1"/>
    <w:rsid w:val="00BD6558"/>
    <w:rsid w:val="00BE178B"/>
    <w:rsid w:val="00BE6626"/>
    <w:rsid w:val="00BF2AD7"/>
    <w:rsid w:val="00BF2F76"/>
    <w:rsid w:val="00BF3022"/>
    <w:rsid w:val="00BF3214"/>
    <w:rsid w:val="00BF49B9"/>
    <w:rsid w:val="00BF5573"/>
    <w:rsid w:val="00C02305"/>
    <w:rsid w:val="00C0487F"/>
    <w:rsid w:val="00C05FAB"/>
    <w:rsid w:val="00C109AF"/>
    <w:rsid w:val="00C10C22"/>
    <w:rsid w:val="00C15867"/>
    <w:rsid w:val="00C17F3F"/>
    <w:rsid w:val="00C2176F"/>
    <w:rsid w:val="00C2186E"/>
    <w:rsid w:val="00C22398"/>
    <w:rsid w:val="00C2296D"/>
    <w:rsid w:val="00C23155"/>
    <w:rsid w:val="00C241E5"/>
    <w:rsid w:val="00C27B06"/>
    <w:rsid w:val="00C33E3A"/>
    <w:rsid w:val="00C3404E"/>
    <w:rsid w:val="00C40C41"/>
    <w:rsid w:val="00C42945"/>
    <w:rsid w:val="00C429FF"/>
    <w:rsid w:val="00C45885"/>
    <w:rsid w:val="00C4609E"/>
    <w:rsid w:val="00C50E5C"/>
    <w:rsid w:val="00C50F22"/>
    <w:rsid w:val="00C556FF"/>
    <w:rsid w:val="00C57860"/>
    <w:rsid w:val="00C57971"/>
    <w:rsid w:val="00C61308"/>
    <w:rsid w:val="00C61C32"/>
    <w:rsid w:val="00C646BC"/>
    <w:rsid w:val="00C65BD7"/>
    <w:rsid w:val="00C670FA"/>
    <w:rsid w:val="00C70CE8"/>
    <w:rsid w:val="00C70F76"/>
    <w:rsid w:val="00C736E1"/>
    <w:rsid w:val="00C76493"/>
    <w:rsid w:val="00C768B3"/>
    <w:rsid w:val="00C76BA4"/>
    <w:rsid w:val="00C83A48"/>
    <w:rsid w:val="00C85865"/>
    <w:rsid w:val="00C85E85"/>
    <w:rsid w:val="00C926C8"/>
    <w:rsid w:val="00C96CDA"/>
    <w:rsid w:val="00CA2EAE"/>
    <w:rsid w:val="00CA4AC1"/>
    <w:rsid w:val="00CA59FB"/>
    <w:rsid w:val="00CA5AFE"/>
    <w:rsid w:val="00CB0316"/>
    <w:rsid w:val="00CB0B11"/>
    <w:rsid w:val="00CB1DBA"/>
    <w:rsid w:val="00CB2497"/>
    <w:rsid w:val="00CB31AD"/>
    <w:rsid w:val="00CB3C7A"/>
    <w:rsid w:val="00CB426A"/>
    <w:rsid w:val="00CB44C6"/>
    <w:rsid w:val="00CB527F"/>
    <w:rsid w:val="00CB5354"/>
    <w:rsid w:val="00CB704B"/>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11735"/>
    <w:rsid w:val="00D1197D"/>
    <w:rsid w:val="00D14B70"/>
    <w:rsid w:val="00D14F22"/>
    <w:rsid w:val="00D16973"/>
    <w:rsid w:val="00D20B01"/>
    <w:rsid w:val="00D22C42"/>
    <w:rsid w:val="00D25267"/>
    <w:rsid w:val="00D25DB9"/>
    <w:rsid w:val="00D30ED3"/>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90C70"/>
    <w:rsid w:val="00D90E49"/>
    <w:rsid w:val="00D96ADE"/>
    <w:rsid w:val="00D973EE"/>
    <w:rsid w:val="00DA0CE2"/>
    <w:rsid w:val="00DA19B0"/>
    <w:rsid w:val="00DA2387"/>
    <w:rsid w:val="00DB1682"/>
    <w:rsid w:val="00DB4C52"/>
    <w:rsid w:val="00DC2E03"/>
    <w:rsid w:val="00DC6A10"/>
    <w:rsid w:val="00DD0DED"/>
    <w:rsid w:val="00DD46A4"/>
    <w:rsid w:val="00DE657E"/>
    <w:rsid w:val="00DF4704"/>
    <w:rsid w:val="00E02391"/>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1226"/>
    <w:rsid w:val="00E73F7F"/>
    <w:rsid w:val="00E753E8"/>
    <w:rsid w:val="00E76A7A"/>
    <w:rsid w:val="00E80778"/>
    <w:rsid w:val="00E84E63"/>
    <w:rsid w:val="00E85409"/>
    <w:rsid w:val="00E92807"/>
    <w:rsid w:val="00E9339B"/>
    <w:rsid w:val="00EA429F"/>
    <w:rsid w:val="00EA4F9E"/>
    <w:rsid w:val="00EA63CA"/>
    <w:rsid w:val="00EA6D3B"/>
    <w:rsid w:val="00EB00AD"/>
    <w:rsid w:val="00EB136C"/>
    <w:rsid w:val="00EB480E"/>
    <w:rsid w:val="00EB5EC6"/>
    <w:rsid w:val="00EB7FC9"/>
    <w:rsid w:val="00EC15D1"/>
    <w:rsid w:val="00EC2B41"/>
    <w:rsid w:val="00EC3B63"/>
    <w:rsid w:val="00EC557D"/>
    <w:rsid w:val="00ED0B01"/>
    <w:rsid w:val="00ED27E8"/>
    <w:rsid w:val="00ED4942"/>
    <w:rsid w:val="00ED52F4"/>
    <w:rsid w:val="00ED671C"/>
    <w:rsid w:val="00ED7137"/>
    <w:rsid w:val="00EE2FA2"/>
    <w:rsid w:val="00EE436D"/>
    <w:rsid w:val="00EE43EF"/>
    <w:rsid w:val="00EE4FD2"/>
    <w:rsid w:val="00EF06EA"/>
    <w:rsid w:val="00EF391E"/>
    <w:rsid w:val="00EF4C1F"/>
    <w:rsid w:val="00F00580"/>
    <w:rsid w:val="00F0447D"/>
    <w:rsid w:val="00F07604"/>
    <w:rsid w:val="00F10225"/>
    <w:rsid w:val="00F21088"/>
    <w:rsid w:val="00F23117"/>
    <w:rsid w:val="00F326BF"/>
    <w:rsid w:val="00F327E7"/>
    <w:rsid w:val="00F337E8"/>
    <w:rsid w:val="00F35746"/>
    <w:rsid w:val="00F4155F"/>
    <w:rsid w:val="00F447C7"/>
    <w:rsid w:val="00F459B4"/>
    <w:rsid w:val="00F45EB0"/>
    <w:rsid w:val="00F5211B"/>
    <w:rsid w:val="00F52649"/>
    <w:rsid w:val="00F554A9"/>
    <w:rsid w:val="00F5658A"/>
    <w:rsid w:val="00F716FD"/>
    <w:rsid w:val="00F7418F"/>
    <w:rsid w:val="00F751B9"/>
    <w:rsid w:val="00F802B0"/>
    <w:rsid w:val="00F80355"/>
    <w:rsid w:val="00F80ED7"/>
    <w:rsid w:val="00F84C3C"/>
    <w:rsid w:val="00F87C43"/>
    <w:rsid w:val="00F911FE"/>
    <w:rsid w:val="00F945D0"/>
    <w:rsid w:val="00FA1A3E"/>
    <w:rsid w:val="00FA4349"/>
    <w:rsid w:val="00FA5722"/>
    <w:rsid w:val="00FA58B1"/>
    <w:rsid w:val="00FA6781"/>
    <w:rsid w:val="00FA6889"/>
    <w:rsid w:val="00FB0C81"/>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Caption">
    <w:name w:val="caption"/>
    <w:basedOn w:val="Normal"/>
    <w:next w:val="Normal"/>
    <w:qFormat/>
    <w:rsid w:val="00903B63"/>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20</TotalTime>
  <Pages>5</Pages>
  <Words>2106</Words>
  <Characters>12010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Additional analysis of the issue of HFCs contained in imported pre-blended polyols</vt:lpstr>
    </vt:vector>
  </TitlesOfParts>
  <Company>UNMFS</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analysis of the issue of HFCs contained in imported pre-blended polyols</dc:title>
  <dc:creator>Alejandro Ramirez-Pabon</dc:creator>
  <cp:keywords>96th ExCom</cp:keywords>
  <dc:description>Source doc. 9588</dc:description>
  <cp:lastModifiedBy>Angela Xue He Yan</cp:lastModifiedBy>
  <cp:revision>23</cp:revision>
  <cp:lastPrinted>2001-05-26T16:40:00Z</cp:lastPrinted>
  <dcterms:created xsi:type="dcterms:W3CDTF">2025-04-21T19:52:00Z</dcterms:created>
  <dcterms:modified xsi:type="dcterms:W3CDTF">2025-04-28T18:12:00Z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UNEP/OzL.Pro/ExCom/96/59</vt:lpwstr>
  </property>
  <property fmtid="{D5CDD505-2E9C-101B-9397-08002B2CF9AE}" pid="3" name="Revision date">
    <vt:lpwstr>4/21/2025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