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3762"/>
        <w:gridCol w:w="4320"/>
      </w:tblGrid>
      <w:tr w:rsidR="00C15867" w:rsidRPr="009B0D30" w14:paraId="6C3791E8" w14:textId="77777777" w:rsidTr="002753C6">
        <w:trPr>
          <w:trHeight w:val="720"/>
        </w:trPr>
        <w:tc>
          <w:tcPr>
            <w:tcW w:w="5832" w:type="dxa"/>
            <w:gridSpan w:val="2"/>
            <w:tcBorders>
              <w:bottom w:val="single" w:sz="18" w:space="0" w:color="auto"/>
            </w:tcBorders>
          </w:tcPr>
          <w:p w14:paraId="793EAB01" w14:textId="77777777" w:rsidR="00C15867" w:rsidRPr="009B0D30" w:rsidRDefault="00C15867" w:rsidP="00681E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NATIONS</w:t>
            </w:r>
            <w:r>
              <w:rPr>
                <w:rFonts w:ascii="Univers" w:hAnsi="Univers"/>
                <w:b/>
                <w:sz w:val="28"/>
              </w:rPr>
              <w:br/>
              <w:t>UNIES</w:t>
            </w:r>
          </w:p>
        </w:tc>
        <w:tc>
          <w:tcPr>
            <w:tcW w:w="4320" w:type="dxa"/>
            <w:tcBorders>
              <w:bottom w:val="single" w:sz="18" w:space="0" w:color="auto"/>
            </w:tcBorders>
          </w:tcPr>
          <w:p w14:paraId="743339A6" w14:textId="77777777" w:rsidR="00C15867" w:rsidRPr="009B0D30" w:rsidRDefault="00C15867" w:rsidP="00681E74">
            <w:pPr>
              <w:jc w:val="right"/>
              <w:rPr>
                <w:sz w:val="52"/>
                <w:szCs w:val="52"/>
              </w:rPr>
            </w:pPr>
            <w:r>
              <w:rPr>
                <w:rFonts w:ascii="Univers Bold" w:hAnsi="Univers Bold"/>
                <w:b/>
                <w:sz w:val="72"/>
              </w:rPr>
              <w:t>EP</w:t>
            </w:r>
          </w:p>
        </w:tc>
      </w:tr>
      <w:tr w:rsidR="00C15867" w:rsidRPr="009B0D30" w14:paraId="66F0811C" w14:textId="77777777" w:rsidTr="002753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2070" w:type="dxa"/>
            <w:tcBorders>
              <w:top w:val="nil"/>
              <w:left w:val="nil"/>
              <w:bottom w:val="single" w:sz="36" w:space="0" w:color="auto"/>
              <w:right w:val="nil"/>
            </w:tcBorders>
          </w:tcPr>
          <w:p w14:paraId="2AE5742F" w14:textId="27E28113" w:rsidR="00C15867" w:rsidRPr="009B0D30" w:rsidRDefault="00221914" w:rsidP="00681E74">
            <w:pPr>
              <w:spacing w:before="120"/>
            </w:pPr>
            <w:r>
              <w:rPr>
                <w:noProof/>
                <w:lang w:eastAsia="en-CA"/>
              </w:rPr>
              <w:drawing>
                <wp:anchor distT="0" distB="0" distL="114300" distR="114300" simplePos="0" relativeHeight="251660288" behindDoc="0" locked="0" layoutInCell="1" allowOverlap="1" wp14:anchorId="1DCAFDC7" wp14:editId="70879844">
                  <wp:simplePos x="0" y="0"/>
                  <wp:positionH relativeFrom="column">
                    <wp:posOffset>5715</wp:posOffset>
                  </wp:positionH>
                  <wp:positionV relativeFrom="paragraph">
                    <wp:posOffset>849630</wp:posOffset>
                  </wp:positionV>
                  <wp:extent cx="746760" cy="68770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6760" cy="68770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59264" behindDoc="0" locked="0" layoutInCell="0" allowOverlap="1" wp14:anchorId="6CCD6C1B" wp14:editId="6A8E34CF">
                  <wp:simplePos x="0" y="0"/>
                  <wp:positionH relativeFrom="column">
                    <wp:posOffset>-3810</wp:posOffset>
                  </wp:positionH>
                  <wp:positionV relativeFrom="paragraph">
                    <wp:posOffset>140887</wp:posOffset>
                  </wp:positionV>
                  <wp:extent cx="770890"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0890"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762" w:type="dxa"/>
            <w:tcBorders>
              <w:top w:val="nil"/>
              <w:left w:val="nil"/>
              <w:bottom w:val="single" w:sz="36" w:space="0" w:color="auto"/>
              <w:right w:val="nil"/>
            </w:tcBorders>
          </w:tcPr>
          <w:p w14:paraId="4E5CA5B6" w14:textId="77777777" w:rsidR="00434457" w:rsidRDefault="00434457" w:rsidP="00681E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46C1BA08" w14:textId="77777777" w:rsidR="00221914" w:rsidRDefault="00C15867" w:rsidP="00681E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Programme des</w:t>
            </w:r>
          </w:p>
          <w:p w14:paraId="23263F09" w14:textId="4C4EF50F" w:rsidR="00221914" w:rsidRDefault="00C15867" w:rsidP="00681E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Nations Unies pour</w:t>
            </w:r>
          </w:p>
          <w:p w14:paraId="75B9726B" w14:textId="52EA88A1" w:rsidR="00C15867" w:rsidRPr="009B0D30" w:rsidRDefault="00C15867" w:rsidP="0022191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pPr>
            <w:r>
              <w:rPr>
                <w:rFonts w:ascii="Univers" w:hAnsi="Univers"/>
                <w:b/>
                <w:sz w:val="32"/>
              </w:rPr>
              <w:t>l’environnement</w:t>
            </w:r>
          </w:p>
        </w:tc>
        <w:tc>
          <w:tcPr>
            <w:tcW w:w="4320" w:type="dxa"/>
            <w:tcBorders>
              <w:top w:val="nil"/>
              <w:left w:val="nil"/>
              <w:bottom w:val="single" w:sz="36" w:space="0" w:color="auto"/>
              <w:right w:val="nil"/>
            </w:tcBorders>
          </w:tcPr>
          <w:p w14:paraId="13745315" w14:textId="77777777" w:rsidR="00434457" w:rsidRDefault="00434457" w:rsidP="00681E74"/>
          <w:p w14:paraId="66676BCE" w14:textId="66A64364" w:rsidR="00C15867" w:rsidRPr="009B0D30" w:rsidRDefault="00C15867" w:rsidP="00681E74">
            <w:r>
              <w:t>Distr.</w:t>
            </w:r>
          </w:p>
          <w:p w14:paraId="289F9E45" w14:textId="77777777" w:rsidR="00923540" w:rsidRPr="009B0D30" w:rsidRDefault="00923540" w:rsidP="00923540">
            <w:r>
              <w:t>GÉNÉRALE</w:t>
            </w:r>
          </w:p>
          <w:p w14:paraId="0E878E24" w14:textId="7C16D054" w:rsidR="00C15867" w:rsidRPr="009B0D30" w:rsidDel="00434457" w:rsidRDefault="00C15867" w:rsidP="00681E74"/>
          <w:p w14:paraId="119CEBD3" w14:textId="29418587" w:rsidR="00C15867" w:rsidRPr="009B0D30" w:rsidRDefault="00B86F2F" w:rsidP="00681E74">
            <w:fldSimple w:instr=" DOCPROPERTY &quot;Document number&quot;  \* MERGEFORMAT ">
              <w:r w:rsidR="007A260B">
                <w:t>UNEP/OzL.Pro/ExCom/97/79</w:t>
              </w:r>
            </w:fldSimple>
            <w:r w:rsidR="006E4503">
              <w:t>*</w:t>
            </w:r>
          </w:p>
          <w:p w14:paraId="4C0FC669" w14:textId="0C1C2F92" w:rsidR="00C15867" w:rsidRPr="009B0D30" w:rsidRDefault="00BC2495" w:rsidP="00681E74">
            <w:r w:rsidRPr="009B0D30">
              <w:fldChar w:fldCharType="begin"/>
            </w:r>
            <w:r w:rsidR="00851352" w:rsidRPr="009B0D30">
              <w:instrText xml:space="preserve"> DOCPROPERTY "Revision date" \@ "d MMMM YYYY"  \* MERGEFORMAT </w:instrText>
            </w:r>
            <w:r w:rsidRPr="009B0D30">
              <w:fldChar w:fldCharType="separate"/>
            </w:r>
            <w:r w:rsidR="00221914">
              <w:t>13 novembre 2025</w:t>
            </w:r>
            <w:r w:rsidRPr="009B0D30">
              <w:fldChar w:fldCharType="end"/>
            </w:r>
          </w:p>
          <w:p w14:paraId="143B7770" w14:textId="77777777" w:rsidR="00C15867" w:rsidRPr="009B0D30" w:rsidRDefault="00C15867" w:rsidP="00681E74">
            <w:pPr>
              <w:rPr>
                <w:caps/>
              </w:rPr>
            </w:pPr>
          </w:p>
          <w:p w14:paraId="5B64E556" w14:textId="77777777" w:rsidR="00221914" w:rsidRDefault="00221914" w:rsidP="00221914">
            <w:pPr>
              <w:rPr>
                <w:caps/>
              </w:rPr>
            </w:pPr>
            <w:r>
              <w:rPr>
                <w:caps/>
              </w:rPr>
              <w:t>FRANÇAIS</w:t>
            </w:r>
          </w:p>
          <w:p w14:paraId="4861B1D8" w14:textId="77777777" w:rsidR="00C15867" w:rsidRPr="009B0D30" w:rsidRDefault="00C15867" w:rsidP="00681E74">
            <w:r>
              <w:t>ORIGINAL: ANGLAIS</w:t>
            </w:r>
          </w:p>
        </w:tc>
      </w:tr>
    </w:tbl>
    <w:p w14:paraId="3396009D" w14:textId="77777777" w:rsidR="00CA59FB" w:rsidRDefault="00C15867" w:rsidP="00CA59FB">
      <w:pPr>
        <w:jc w:val="left"/>
      </w:pPr>
      <w:r>
        <w:t>COMITÉ EXÉCUTIF</w:t>
      </w:r>
      <w:r>
        <w:br/>
        <w:t xml:space="preserve"> DU FONDS MULTILATÉRAL AUX FINS</w:t>
      </w:r>
      <w:r>
        <w:br/>
        <w:t xml:space="preserve"> D’APPLICATION DU PROTOCOLE DE MONTRÉAL</w:t>
      </w:r>
      <w:r>
        <w:br/>
        <w:t>Quatre-vingt-dix-septième réunion</w:t>
      </w:r>
    </w:p>
    <w:p w14:paraId="1CA26107" w14:textId="77777777" w:rsidR="00CA59FB" w:rsidRDefault="00CA59FB" w:rsidP="00CA59FB">
      <w:pPr>
        <w:jc w:val="left"/>
      </w:pPr>
      <w:r>
        <w:t>Montréal, 1-5 décembre 2025</w:t>
      </w:r>
    </w:p>
    <w:p w14:paraId="1C7102CA" w14:textId="02ABE67B" w:rsidR="0079781A" w:rsidRDefault="0079781A" w:rsidP="0079781A">
      <w:pPr>
        <w:jc w:val="left"/>
      </w:pPr>
      <w:r>
        <w:t>Point 9 d) de l’ordre du jour provisoire</w:t>
      </w:r>
      <w:r w:rsidRPr="00512BEF">
        <w:rPr>
          <w:rStyle w:val="FootnoteReference"/>
        </w:rPr>
        <w:footnoteReference w:id="1"/>
      </w:r>
    </w:p>
    <w:p w14:paraId="3684D088" w14:textId="77777777" w:rsidR="00C15867" w:rsidRPr="009B0D30" w:rsidRDefault="00C15867" w:rsidP="00CA59FB">
      <w:pPr>
        <w:jc w:val="left"/>
      </w:pPr>
    </w:p>
    <w:p w14:paraId="2040C062" w14:textId="77777777" w:rsidR="002024B6" w:rsidRPr="002024B6" w:rsidRDefault="002024B6" w:rsidP="002024B6"/>
    <w:p w14:paraId="6F21344F" w14:textId="77777777" w:rsidR="002024B6" w:rsidRPr="002024B6" w:rsidRDefault="002024B6" w:rsidP="002024B6"/>
    <w:p w14:paraId="67E0AA31" w14:textId="77777777" w:rsidR="004E7F9C" w:rsidRPr="007A260B" w:rsidRDefault="004E7F9C" w:rsidP="005C670D">
      <w:pPr>
        <w:pStyle w:val="Title1"/>
        <w:jc w:val="right"/>
        <w:rPr>
          <w:b w:val="0"/>
        </w:rPr>
      </w:pPr>
    </w:p>
    <w:p w14:paraId="1A6642D7" w14:textId="00B9D16F" w:rsidR="00DC185C" w:rsidRPr="00DC185C" w:rsidRDefault="007A260B" w:rsidP="00DC185C">
      <w:pPr>
        <w:jc w:val="center"/>
        <w:rPr>
          <w:b/>
        </w:rPr>
      </w:pPr>
      <w:bookmarkStart w:id="0" w:name="_Hlk213949392"/>
      <w:r>
        <w:rPr>
          <w:b/>
        </w:rPr>
        <w:t>PROPOSITIONS DE PROJET : TOGO</w:t>
      </w:r>
      <w:r w:rsidR="002753C6">
        <w:rPr>
          <w:b/>
        </w:rPr>
        <w:t xml:space="preserve"> (LE)</w:t>
      </w:r>
    </w:p>
    <w:bookmarkEnd w:id="0"/>
    <w:p w14:paraId="601EFE3B" w14:textId="77777777" w:rsidR="00DC185C" w:rsidRPr="007A260B" w:rsidRDefault="00DC185C" w:rsidP="00DC185C">
      <w:pPr>
        <w:rPr>
          <w:highlight w:val="yellow"/>
        </w:rPr>
      </w:pPr>
    </w:p>
    <w:p w14:paraId="200C0C41" w14:textId="77777777" w:rsidR="00DC185C" w:rsidRPr="007A260B" w:rsidRDefault="00DC185C" w:rsidP="00DC185C">
      <w:pPr>
        <w:rPr>
          <w:highlight w:val="yellow"/>
        </w:rPr>
      </w:pPr>
    </w:p>
    <w:p w14:paraId="093EE5E5" w14:textId="52CE0651" w:rsidR="00DC185C" w:rsidRPr="00DC185C" w:rsidRDefault="00DC185C" w:rsidP="00DC185C">
      <w:pPr>
        <w:ind w:firstLine="720"/>
      </w:pPr>
      <w:r>
        <w:t>Le présent document comprend les observations et la recommandation du Secrétariat sur la proposition de projet suivante :</w:t>
      </w:r>
    </w:p>
    <w:p w14:paraId="4D063238" w14:textId="77777777" w:rsidR="00DC185C" w:rsidRPr="00DC185C" w:rsidRDefault="00DC185C" w:rsidP="00DC185C">
      <w:pPr>
        <w:spacing w:before="240" w:after="240"/>
        <w:rPr>
          <w:u w:val="single"/>
        </w:rPr>
      </w:pPr>
      <w:r>
        <w:rPr>
          <w:u w:val="single"/>
        </w:rPr>
        <w:t>Efficacité énergétique</w:t>
      </w:r>
    </w:p>
    <w:tbl>
      <w:tblPr>
        <w:tblStyle w:val="TableGrid"/>
        <w:tblW w:w="9493" w:type="dxa"/>
        <w:tblLook w:val="04A0" w:firstRow="1" w:lastRow="0" w:firstColumn="1" w:lastColumn="0" w:noHBand="0" w:noVBand="1"/>
      </w:tblPr>
      <w:tblGrid>
        <w:gridCol w:w="5940"/>
        <w:gridCol w:w="2136"/>
        <w:gridCol w:w="1417"/>
      </w:tblGrid>
      <w:tr w:rsidR="00DC185C" w:rsidRPr="00DC185C" w14:paraId="63F75068" w14:textId="77777777" w:rsidTr="002753C6">
        <w:trPr>
          <w:trHeight w:val="300"/>
        </w:trPr>
        <w:tc>
          <w:tcPr>
            <w:tcW w:w="5940" w:type="dxa"/>
            <w:hideMark/>
          </w:tcPr>
          <w:p w14:paraId="01C178BF" w14:textId="698252BA" w:rsidR="00DC185C" w:rsidRPr="00DC185C" w:rsidRDefault="00DC185C" w:rsidP="002753C6">
            <w:pPr>
              <w:numPr>
                <w:ilvl w:val="0"/>
                <w:numId w:val="27"/>
              </w:numPr>
              <w:ind w:hanging="830"/>
              <w:contextualSpacing/>
            </w:pPr>
            <w:r>
              <w:t>Projet pilote visant à améliorer l’efficacité énergétique des technologies et équipements de remplacement dans le contexte de la réduction des HFC (activités non liées à des investissements) : démonstration de la technologie de climatisation à base de R</w:t>
            </w:r>
            <w:r>
              <w:noBreakHyphen/>
              <w:t>290 et des avantages que présentent la manipulation et la gestion correctes des frigorigènes et les bonnes pratiques de maintenance des équipements de climatisation</w:t>
            </w:r>
          </w:p>
        </w:tc>
        <w:tc>
          <w:tcPr>
            <w:tcW w:w="2136" w:type="dxa"/>
            <w:hideMark/>
          </w:tcPr>
          <w:p w14:paraId="7641E829" w14:textId="079AD23D" w:rsidR="00DC185C" w:rsidRPr="00DC185C" w:rsidRDefault="006E4503" w:rsidP="00DC185C">
            <w:pPr>
              <w:jc w:val="center"/>
            </w:pPr>
            <w:r w:rsidRPr="006E4503">
              <w:t>Royaume-Uni de Grande-Bretagne et d'Irlande du Nord</w:t>
            </w:r>
          </w:p>
        </w:tc>
        <w:tc>
          <w:tcPr>
            <w:tcW w:w="1417" w:type="dxa"/>
          </w:tcPr>
          <w:p w14:paraId="5974769D" w14:textId="77777777" w:rsidR="00DC185C" w:rsidRPr="00DC185C" w:rsidRDefault="00DC185C" w:rsidP="00DC185C">
            <w:pPr>
              <w:ind w:right="-251"/>
              <w:jc w:val="center"/>
            </w:pPr>
            <w:r>
              <w:t>Examen individuel</w:t>
            </w:r>
          </w:p>
        </w:tc>
      </w:tr>
    </w:tbl>
    <w:p w14:paraId="10AF8B1C" w14:textId="77777777" w:rsidR="006E4503" w:rsidRDefault="006E4503" w:rsidP="00DC185C">
      <w:pPr>
        <w:jc w:val="left"/>
      </w:pPr>
    </w:p>
    <w:p w14:paraId="5D240A2C" w14:textId="77777777" w:rsidR="006E4503" w:rsidRDefault="006E4503" w:rsidP="00DC185C">
      <w:pPr>
        <w:jc w:val="left"/>
      </w:pPr>
    </w:p>
    <w:p w14:paraId="06123E71" w14:textId="77777777" w:rsidR="006E4503" w:rsidRDefault="006E4503" w:rsidP="00DC185C">
      <w:pPr>
        <w:jc w:val="left"/>
      </w:pPr>
    </w:p>
    <w:p w14:paraId="58713B91" w14:textId="77777777" w:rsidR="006E4503" w:rsidRDefault="006E4503" w:rsidP="00DC185C">
      <w:pPr>
        <w:jc w:val="left"/>
      </w:pPr>
    </w:p>
    <w:p w14:paraId="2B09E37E" w14:textId="77777777" w:rsidR="006E4503" w:rsidRDefault="006E4503" w:rsidP="00DC185C">
      <w:pPr>
        <w:jc w:val="left"/>
      </w:pPr>
    </w:p>
    <w:p w14:paraId="1CE4C3F2" w14:textId="77777777" w:rsidR="006E4503" w:rsidRDefault="006E4503" w:rsidP="00DC185C">
      <w:pPr>
        <w:jc w:val="left"/>
      </w:pPr>
    </w:p>
    <w:p w14:paraId="6DA345D9" w14:textId="77777777" w:rsidR="006E4503" w:rsidRDefault="006E4503" w:rsidP="00DC185C">
      <w:pPr>
        <w:jc w:val="left"/>
      </w:pPr>
    </w:p>
    <w:p w14:paraId="545C9526" w14:textId="77777777" w:rsidR="006E4503" w:rsidRDefault="006E4503" w:rsidP="00DC185C">
      <w:pPr>
        <w:jc w:val="left"/>
      </w:pPr>
    </w:p>
    <w:p w14:paraId="75806D3A" w14:textId="77777777" w:rsidR="006E4503" w:rsidRDefault="006E4503" w:rsidP="00DC185C">
      <w:pPr>
        <w:jc w:val="left"/>
      </w:pPr>
    </w:p>
    <w:p w14:paraId="10002C02" w14:textId="77777777" w:rsidR="006E4503" w:rsidRDefault="006E4503" w:rsidP="00DC185C">
      <w:pPr>
        <w:jc w:val="left"/>
      </w:pPr>
    </w:p>
    <w:p w14:paraId="60B150F8" w14:textId="77777777" w:rsidR="006E4503" w:rsidRDefault="006E4503" w:rsidP="00DC185C">
      <w:pPr>
        <w:jc w:val="left"/>
      </w:pPr>
    </w:p>
    <w:p w14:paraId="51C05F55" w14:textId="77777777" w:rsidR="006E4503" w:rsidRDefault="006E4503" w:rsidP="00DC185C">
      <w:pPr>
        <w:jc w:val="left"/>
      </w:pPr>
    </w:p>
    <w:p w14:paraId="21D48AC9" w14:textId="2AA3D1E5" w:rsidR="00DC185C" w:rsidRPr="006E4503" w:rsidRDefault="006E4503" w:rsidP="006E4503">
      <w:pPr>
        <w:rPr>
          <w:sz w:val="20"/>
          <w:szCs w:val="20"/>
        </w:rPr>
      </w:pPr>
      <w:r>
        <w:rPr>
          <w:sz w:val="20"/>
          <w:szCs w:val="20"/>
        </w:rPr>
        <w:t>* </w:t>
      </w:r>
      <w:r w:rsidRPr="006E4503">
        <w:rPr>
          <w:sz w:val="20"/>
          <w:szCs w:val="20"/>
        </w:rPr>
        <w:t>Document ré-édité le 17 novembre 2025 pour raisons techniques.</w:t>
      </w:r>
      <w:r w:rsidR="00DC185C">
        <w:br w:type="page"/>
      </w:r>
    </w:p>
    <w:p w14:paraId="71DD1529" w14:textId="77777777" w:rsidR="00DC185C" w:rsidRPr="00DC185C" w:rsidRDefault="00DC185C" w:rsidP="00DC185C">
      <w:pPr>
        <w:jc w:val="center"/>
        <w:rPr>
          <w:b/>
        </w:rPr>
      </w:pPr>
      <w:r>
        <w:rPr>
          <w:b/>
        </w:rPr>
        <w:lastRenderedPageBreak/>
        <w:t>FICHE D’ÉVALUATION DE PROJET – PROJET NON-PLURIANNUEL</w:t>
      </w:r>
    </w:p>
    <w:p w14:paraId="4981C56C" w14:textId="77777777" w:rsidR="00DC185C" w:rsidRPr="007A260B" w:rsidRDefault="00DC185C" w:rsidP="00DC185C">
      <w:pPr>
        <w:jc w:val="center"/>
        <w:rPr>
          <w:b/>
        </w:rPr>
      </w:pPr>
    </w:p>
    <w:p w14:paraId="127FA012" w14:textId="4A8A2D20" w:rsidR="00DC185C" w:rsidRPr="00DC185C" w:rsidRDefault="00EA4E1A" w:rsidP="00DC185C">
      <w:pPr>
        <w:ind w:left="142"/>
        <w:jc w:val="center"/>
        <w:rPr>
          <w:b/>
        </w:rPr>
      </w:pPr>
      <w:r>
        <w:rPr>
          <w:b/>
        </w:rPr>
        <w:t>Togo (le)</w:t>
      </w:r>
    </w:p>
    <w:p w14:paraId="452C923A" w14:textId="77777777" w:rsidR="00DC185C" w:rsidRPr="007A260B" w:rsidRDefault="00DC185C" w:rsidP="00DC185C">
      <w:pPr>
        <w:ind w:left="142"/>
        <w:jc w:val="center"/>
        <w:rPr>
          <w:b/>
        </w:rPr>
      </w:pPr>
    </w:p>
    <w:p w14:paraId="59F2A40B" w14:textId="5D4EC95F" w:rsidR="00DC185C" w:rsidRPr="00DC185C" w:rsidRDefault="00DC185C" w:rsidP="00DC185C">
      <w:pPr>
        <w:tabs>
          <w:tab w:val="left" w:pos="5580"/>
        </w:tabs>
        <w:ind w:right="-450" w:hanging="450"/>
        <w:rPr>
          <w:b/>
          <w:sz w:val="20"/>
        </w:rPr>
      </w:pPr>
      <w:bookmarkStart w:id="1" w:name="_Hlk149308122"/>
      <w:r>
        <w:rPr>
          <w:b/>
          <w:caps/>
          <w:sz w:val="20"/>
        </w:rPr>
        <w:t>TITRE DU PROJET</w:t>
      </w:r>
      <w:bookmarkEnd w:id="1"/>
      <w:r>
        <w:rPr>
          <w:b/>
          <w:sz w:val="20"/>
        </w:rPr>
        <w:tab/>
      </w:r>
      <w:r w:rsidR="00221914">
        <w:rPr>
          <w:b/>
          <w:sz w:val="20"/>
        </w:rPr>
        <w:t xml:space="preserve">         </w:t>
      </w:r>
      <w:r>
        <w:rPr>
          <w:b/>
          <w:caps/>
          <w:sz w:val="20"/>
        </w:rPr>
        <w:t>Agence bilatérale/d’exécution</w:t>
      </w:r>
    </w:p>
    <w:tbl>
      <w:tblPr>
        <w:tblStyle w:val="TableGrid"/>
        <w:tblpPr w:leftFromText="180" w:rightFromText="180" w:vertAnchor="text" w:horzAnchor="margin" w:tblpXSpec="center" w:tblpY="62"/>
        <w:tblW w:w="1016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217"/>
        <w:gridCol w:w="1949"/>
      </w:tblGrid>
      <w:tr w:rsidR="00DC185C" w:rsidRPr="00DC185C" w14:paraId="5E82751C" w14:textId="77777777" w:rsidTr="006E4503">
        <w:trPr>
          <w:trHeight w:val="251"/>
        </w:trPr>
        <w:tc>
          <w:tcPr>
            <w:tcW w:w="8217" w:type="dxa"/>
            <w:tcBorders>
              <w:right w:val="single" w:sz="4" w:space="0" w:color="auto"/>
            </w:tcBorders>
          </w:tcPr>
          <w:p w14:paraId="4C8C2631" w14:textId="5B5129BF" w:rsidR="00DC185C" w:rsidRPr="00DC185C" w:rsidRDefault="00DC185C" w:rsidP="00DC185C">
            <w:pPr>
              <w:tabs>
                <w:tab w:val="left" w:pos="383"/>
              </w:tabs>
              <w:rPr>
                <w:sz w:val="20"/>
                <w:szCs w:val="20"/>
                <w:highlight w:val="yellow"/>
              </w:rPr>
            </w:pPr>
            <w:bookmarkStart w:id="2" w:name="_Hlk183010580"/>
            <w:r>
              <w:rPr>
                <w:sz w:val="20"/>
              </w:rPr>
              <w:t>Projet pilote visant à améliorer l’efficacité énergétique des technologies et équipements de remplacement dans le contexte de la réduction des HFC (activités non liées à des investissements)</w:t>
            </w:r>
            <w:r w:rsidR="004242B4">
              <w:rPr>
                <w:sz w:val="20"/>
              </w:rPr>
              <w:t>, consistant en la</w:t>
            </w:r>
            <w:r>
              <w:t xml:space="preserve"> </w:t>
            </w:r>
            <w:r>
              <w:rPr>
                <w:sz w:val="20"/>
              </w:rPr>
              <w:t>démonstration de la technologie de climatisation à base de R</w:t>
            </w:r>
            <w:r>
              <w:rPr>
                <w:sz w:val="20"/>
              </w:rPr>
              <w:noBreakHyphen/>
              <w:t>290 et des avantages que présentent la manipulation et la gestion correctes des frigorigènes et les bonnes pratiques de maintenance des équipements de climatisation.</w:t>
            </w:r>
            <w:bookmarkEnd w:id="2"/>
          </w:p>
        </w:tc>
        <w:tc>
          <w:tcPr>
            <w:tcW w:w="1949" w:type="dxa"/>
            <w:tcBorders>
              <w:top w:val="single" w:sz="4" w:space="0" w:color="auto"/>
              <w:left w:val="single" w:sz="4" w:space="0" w:color="auto"/>
              <w:bottom w:val="single" w:sz="4" w:space="0" w:color="auto"/>
            </w:tcBorders>
          </w:tcPr>
          <w:p w14:paraId="37A20ABB" w14:textId="7B2B7315" w:rsidR="00DC185C" w:rsidRPr="00DC185C" w:rsidRDefault="006E4503" w:rsidP="006E4503">
            <w:pPr>
              <w:jc w:val="center"/>
              <w:rPr>
                <w:sz w:val="20"/>
                <w:szCs w:val="20"/>
              </w:rPr>
            </w:pPr>
            <w:r w:rsidRPr="006E4503">
              <w:rPr>
                <w:sz w:val="20"/>
              </w:rPr>
              <w:t>Royaume-Uni de Grande-Bretagne et d'Irlande du Nord</w:t>
            </w:r>
          </w:p>
        </w:tc>
      </w:tr>
    </w:tbl>
    <w:p w14:paraId="4DD39075" w14:textId="77777777" w:rsidR="00DC185C" w:rsidRPr="007A260B" w:rsidRDefault="00DC185C" w:rsidP="00DC185C">
      <w:pPr>
        <w:rPr>
          <w:sz w:val="20"/>
          <w:highlight w:val="yellow"/>
        </w:rPr>
      </w:pPr>
    </w:p>
    <w:p w14:paraId="4859B7D0" w14:textId="77777777" w:rsidR="00DC185C" w:rsidRPr="00DC185C" w:rsidRDefault="00DC185C" w:rsidP="00DC185C">
      <w:pPr>
        <w:ind w:hanging="426"/>
        <w:rPr>
          <w:sz w:val="20"/>
        </w:rPr>
      </w:pPr>
      <w:r>
        <w:rPr>
          <w:b/>
          <w:caps/>
          <w:sz w:val="20"/>
        </w:rPr>
        <w:t>OBJECTIF DU PROJET</w:t>
      </w: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65"/>
      </w:tblGrid>
      <w:tr w:rsidR="00DC185C" w:rsidRPr="00DC185C" w14:paraId="16A8BDFD" w14:textId="77777777" w:rsidTr="00BC5F9A">
        <w:trPr>
          <w:trHeight w:val="1350"/>
          <w:jc w:val="center"/>
        </w:trPr>
        <w:tc>
          <w:tcPr>
            <w:tcW w:w="10165" w:type="dxa"/>
            <w:vAlign w:val="center"/>
          </w:tcPr>
          <w:p w14:paraId="34ED8233" w14:textId="70F482E7" w:rsidR="00DC185C" w:rsidRPr="00270B8A" w:rsidRDefault="00270B8A" w:rsidP="00DC185C">
            <w:pPr>
              <w:spacing w:after="120"/>
              <w:outlineLvl w:val="0"/>
              <w:rPr>
                <w:color w:val="000000" w:themeColor="text1"/>
                <w:sz w:val="20"/>
                <w:szCs w:val="20"/>
              </w:rPr>
            </w:pPr>
            <w:r>
              <w:rPr>
                <w:sz w:val="20"/>
              </w:rPr>
              <w:t>Le projet pilote a pour but d’apporter la preuve de l’efficacité et du bien-fondé de la technologie de climatisation à base de R</w:t>
            </w:r>
            <w:r>
              <w:rPr>
                <w:sz w:val="20"/>
              </w:rPr>
              <w:noBreakHyphen/>
              <w:t>290 à faible potentiel de réchauffement de la planète et à haut rendement énergétique, en remplaçant 211 équipements réparties dans trois hôpitaux publics du Togo, et en présentant les avantages qu’il y a appliquer de bonnes techniques de manipulation et de gestion des frigorigènes et de bonnes pratiques d’entretien en réfrigération et climatisation, en termes d’énergie, d’émissions et d’économies financières, pour faciliter l’acceptation du marché.</w:t>
            </w:r>
          </w:p>
        </w:tc>
      </w:tr>
    </w:tbl>
    <w:p w14:paraId="628D561E" w14:textId="77777777" w:rsidR="00DC185C" w:rsidRPr="007A260B" w:rsidRDefault="00DC185C" w:rsidP="00DC185C">
      <w:pPr>
        <w:rPr>
          <w:sz w:val="20"/>
          <w:highlight w:val="yellow"/>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7193"/>
      </w:tblGrid>
      <w:tr w:rsidR="00DC185C" w:rsidRPr="008C40C3" w14:paraId="7E1FBE1C" w14:textId="77777777" w:rsidTr="001C6123">
        <w:trPr>
          <w:jc w:val="center"/>
        </w:trPr>
        <w:tc>
          <w:tcPr>
            <w:tcW w:w="2972" w:type="dxa"/>
          </w:tcPr>
          <w:p w14:paraId="632DBA7A" w14:textId="77777777" w:rsidR="00DC185C" w:rsidRPr="008C40C3" w:rsidRDefault="00DC185C" w:rsidP="001C6123">
            <w:pPr>
              <w:jc w:val="left"/>
              <w:rPr>
                <w:sz w:val="20"/>
                <w:szCs w:val="20"/>
              </w:rPr>
            </w:pPr>
            <w:r>
              <w:rPr>
                <w:b/>
                <w:caps/>
                <w:sz w:val="20"/>
              </w:rPr>
              <w:t>Organisme national de coordination</w:t>
            </w:r>
          </w:p>
        </w:tc>
        <w:tc>
          <w:tcPr>
            <w:tcW w:w="7193" w:type="dxa"/>
          </w:tcPr>
          <w:p w14:paraId="6C57C4A4" w14:textId="761D8D77" w:rsidR="00DC185C" w:rsidRPr="008C40C3" w:rsidRDefault="00DC185C" w:rsidP="001C6123">
            <w:pPr>
              <w:jc w:val="right"/>
              <w:rPr>
                <w:sz w:val="20"/>
                <w:szCs w:val="20"/>
              </w:rPr>
            </w:pPr>
            <w:r>
              <w:rPr>
                <w:sz w:val="20"/>
              </w:rPr>
              <w:t>Unité nationale de l’ozone,</w:t>
            </w:r>
            <w:r w:rsidR="001C6123">
              <w:rPr>
                <w:sz w:val="20"/>
              </w:rPr>
              <w:t xml:space="preserve"> </w:t>
            </w:r>
            <w:r>
              <w:rPr>
                <w:sz w:val="20"/>
              </w:rPr>
              <w:t>Ministère de l’environnement et des ressources forestières</w:t>
            </w:r>
          </w:p>
        </w:tc>
      </w:tr>
    </w:tbl>
    <w:p w14:paraId="22CD462A" w14:textId="77777777" w:rsidR="00DC185C" w:rsidRPr="008C40C3" w:rsidRDefault="00DC185C" w:rsidP="00DC185C">
      <w:pPr>
        <w:tabs>
          <w:tab w:val="left" w:pos="4248"/>
        </w:tabs>
        <w:ind w:left="113"/>
        <w:jc w:val="left"/>
        <w:rPr>
          <w:sz w:val="20"/>
          <w:szCs w:val="20"/>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23"/>
        <w:gridCol w:w="1117"/>
        <w:gridCol w:w="2655"/>
        <w:gridCol w:w="2270"/>
      </w:tblGrid>
      <w:tr w:rsidR="00DC185C" w:rsidRPr="00DC185C" w14:paraId="0C20940A" w14:textId="77777777" w:rsidTr="001C6123">
        <w:trPr>
          <w:jc w:val="center"/>
        </w:trPr>
        <w:tc>
          <w:tcPr>
            <w:tcW w:w="4123" w:type="dxa"/>
          </w:tcPr>
          <w:p w14:paraId="380974D4" w14:textId="77777777" w:rsidR="00DC185C" w:rsidRPr="00DC185C" w:rsidRDefault="00DC185C" w:rsidP="001C6123">
            <w:pPr>
              <w:jc w:val="left"/>
              <w:rPr>
                <w:b/>
                <w:caps/>
                <w:sz w:val="20"/>
                <w:szCs w:val="20"/>
              </w:rPr>
            </w:pPr>
            <w:r>
              <w:rPr>
                <w:b/>
                <w:sz w:val="20"/>
              </w:rPr>
              <w:t>DERNIÈRES DONNÉES RELATIVES À L’ARTICLE 7 (annexe F)</w:t>
            </w:r>
          </w:p>
        </w:tc>
        <w:tc>
          <w:tcPr>
            <w:tcW w:w="1117" w:type="dxa"/>
          </w:tcPr>
          <w:p w14:paraId="5DD3AC00" w14:textId="6BA24758" w:rsidR="00DC185C" w:rsidRPr="00B5775F" w:rsidRDefault="00DC185C" w:rsidP="00DC185C">
            <w:pPr>
              <w:jc w:val="left"/>
              <w:rPr>
                <w:sz w:val="20"/>
                <w:szCs w:val="20"/>
              </w:rPr>
            </w:pPr>
            <w:r>
              <w:rPr>
                <w:b/>
                <w:sz w:val="20"/>
              </w:rPr>
              <w:t>Année :</w:t>
            </w:r>
            <w:r>
              <w:rPr>
                <w:sz w:val="20"/>
              </w:rPr>
              <w:t xml:space="preserve"> </w:t>
            </w:r>
            <w:r>
              <w:rPr>
                <w:color w:val="000000" w:themeColor="text1"/>
                <w:sz w:val="20"/>
              </w:rPr>
              <w:t>2024</w:t>
            </w:r>
          </w:p>
        </w:tc>
        <w:tc>
          <w:tcPr>
            <w:tcW w:w="2655" w:type="dxa"/>
          </w:tcPr>
          <w:p w14:paraId="1C7A64AD" w14:textId="508D8834" w:rsidR="00DC185C" w:rsidRPr="00B5775F" w:rsidRDefault="00E53305" w:rsidP="00DC185C">
            <w:pPr>
              <w:jc w:val="center"/>
              <w:rPr>
                <w:sz w:val="20"/>
                <w:szCs w:val="20"/>
              </w:rPr>
            </w:pPr>
            <w:r>
              <w:rPr>
                <w:color w:val="000000" w:themeColor="text1"/>
                <w:sz w:val="20"/>
              </w:rPr>
              <w:t>584,13</w:t>
            </w:r>
            <w:r>
              <w:rPr>
                <w:sz w:val="20"/>
              </w:rPr>
              <w:t> tonnes métriques (tm)</w:t>
            </w:r>
          </w:p>
        </w:tc>
        <w:tc>
          <w:tcPr>
            <w:tcW w:w="2270" w:type="dxa"/>
          </w:tcPr>
          <w:p w14:paraId="1E75112C" w14:textId="2855FD92" w:rsidR="00DC185C" w:rsidRPr="00B5775F" w:rsidRDefault="00B5775F" w:rsidP="00DC185C">
            <w:pPr>
              <w:jc w:val="left"/>
              <w:rPr>
                <w:sz w:val="20"/>
                <w:szCs w:val="20"/>
              </w:rPr>
            </w:pPr>
            <w:r>
              <w:rPr>
                <w:color w:val="000000" w:themeColor="text1"/>
                <w:sz w:val="20"/>
              </w:rPr>
              <w:t>1 116 869</w:t>
            </w:r>
            <w:r>
              <w:rPr>
                <w:sz w:val="20"/>
              </w:rPr>
              <w:t> tonnes éq. CO</w:t>
            </w:r>
            <w:r>
              <w:rPr>
                <w:sz w:val="20"/>
                <w:vertAlign w:val="subscript"/>
              </w:rPr>
              <w:t>2</w:t>
            </w:r>
          </w:p>
        </w:tc>
      </w:tr>
    </w:tbl>
    <w:p w14:paraId="58DBE8F2" w14:textId="77777777" w:rsidR="00DC185C" w:rsidRPr="00DC185C" w:rsidRDefault="00DC185C" w:rsidP="00DC185C">
      <w:pPr>
        <w:jc w:val="center"/>
        <w:rPr>
          <w:sz w:val="10"/>
          <w:szCs w:val="10"/>
          <w:highlight w:val="yellow"/>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85"/>
        <w:gridCol w:w="2880"/>
      </w:tblGrid>
      <w:tr w:rsidR="00DC185C" w:rsidRPr="00DC185C" w14:paraId="7843B8D2" w14:textId="77777777" w:rsidTr="00E46C4A">
        <w:trPr>
          <w:trHeight w:val="250"/>
          <w:jc w:val="center"/>
        </w:trPr>
        <w:tc>
          <w:tcPr>
            <w:tcW w:w="7285" w:type="dxa"/>
            <w:tcBorders>
              <w:top w:val="single" w:sz="4" w:space="0" w:color="auto"/>
              <w:left w:val="single" w:sz="4" w:space="0" w:color="auto"/>
              <w:right w:val="single" w:sz="4" w:space="0" w:color="auto"/>
            </w:tcBorders>
          </w:tcPr>
          <w:p w14:paraId="0784774A"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Pr>
                <w:b/>
                <w:sz w:val="20"/>
              </w:rPr>
              <w:t>Détails</w:t>
            </w:r>
          </w:p>
        </w:tc>
        <w:tc>
          <w:tcPr>
            <w:tcW w:w="2880" w:type="dxa"/>
            <w:tcBorders>
              <w:top w:val="single" w:sz="4" w:space="0" w:color="auto"/>
              <w:left w:val="single" w:sz="4" w:space="0" w:color="auto"/>
              <w:bottom w:val="single" w:sz="4" w:space="0" w:color="auto"/>
              <w:right w:val="single" w:sz="4" w:space="0" w:color="auto"/>
            </w:tcBorders>
          </w:tcPr>
          <w:p w14:paraId="7FE11085" w14:textId="77777777" w:rsidR="00DC185C" w:rsidRPr="001F108A"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Pr>
                <w:sz w:val="20"/>
              </w:rPr>
              <w:t>Activités non liées à des investissements</w:t>
            </w:r>
          </w:p>
        </w:tc>
      </w:tr>
      <w:tr w:rsidR="007D051B" w:rsidRPr="00DC185C" w14:paraId="485ABF77" w14:textId="77777777" w:rsidTr="00E46C4A">
        <w:trPr>
          <w:trHeight w:val="250"/>
          <w:jc w:val="center"/>
        </w:trPr>
        <w:tc>
          <w:tcPr>
            <w:tcW w:w="7285" w:type="dxa"/>
            <w:vMerge w:val="restart"/>
            <w:tcBorders>
              <w:top w:val="single" w:sz="4" w:space="0" w:color="auto"/>
              <w:left w:val="single" w:sz="4" w:space="0" w:color="auto"/>
              <w:right w:val="single" w:sz="4" w:space="0" w:color="auto"/>
            </w:tcBorders>
            <w:vAlign w:val="center"/>
          </w:tcPr>
          <w:p w14:paraId="39912185" w14:textId="112C74B5" w:rsidR="007D051B" w:rsidRPr="00DC185C" w:rsidRDefault="007D051B" w:rsidP="007D051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Pr>
                <w:sz w:val="20"/>
              </w:rPr>
              <w:t>HFC utilisés par le secteur de l’entretien (données du programme du pays de 2024)</w:t>
            </w:r>
          </w:p>
        </w:tc>
        <w:tc>
          <w:tcPr>
            <w:tcW w:w="2880" w:type="dxa"/>
            <w:tcBorders>
              <w:top w:val="single" w:sz="4" w:space="0" w:color="auto"/>
              <w:left w:val="single" w:sz="4" w:space="0" w:color="auto"/>
              <w:bottom w:val="single" w:sz="4" w:space="0" w:color="auto"/>
              <w:right w:val="single" w:sz="4" w:space="0" w:color="auto"/>
            </w:tcBorders>
          </w:tcPr>
          <w:p w14:paraId="0FBFB3A0" w14:textId="352AC200" w:rsidR="007D051B" w:rsidRPr="001F108A" w:rsidRDefault="00C42786" w:rsidP="00C4278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color w:val="000000" w:themeColor="text1"/>
                <w:sz w:val="20"/>
              </w:rPr>
              <w:t>584,13</w:t>
            </w:r>
            <w:r>
              <w:rPr>
                <w:sz w:val="20"/>
              </w:rPr>
              <w:t xml:space="preserve"> tm </w:t>
            </w:r>
          </w:p>
        </w:tc>
      </w:tr>
      <w:tr w:rsidR="007D051B" w:rsidRPr="00DC185C" w14:paraId="0FA1EE0E" w14:textId="77777777" w:rsidTr="00E46C4A">
        <w:trPr>
          <w:trHeight w:val="250"/>
          <w:jc w:val="center"/>
        </w:trPr>
        <w:tc>
          <w:tcPr>
            <w:tcW w:w="7285" w:type="dxa"/>
            <w:vMerge/>
            <w:tcBorders>
              <w:left w:val="single" w:sz="4" w:space="0" w:color="auto"/>
              <w:right w:val="single" w:sz="4" w:space="0" w:color="auto"/>
            </w:tcBorders>
          </w:tcPr>
          <w:p w14:paraId="5F640E9C" w14:textId="77777777" w:rsidR="007D051B" w:rsidRPr="00DC185C" w:rsidRDefault="007D051B" w:rsidP="007D051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p>
        </w:tc>
        <w:tc>
          <w:tcPr>
            <w:tcW w:w="2880" w:type="dxa"/>
            <w:tcBorders>
              <w:top w:val="single" w:sz="4" w:space="0" w:color="auto"/>
              <w:left w:val="single" w:sz="4" w:space="0" w:color="auto"/>
              <w:bottom w:val="single" w:sz="4" w:space="0" w:color="auto"/>
              <w:right w:val="single" w:sz="4" w:space="0" w:color="auto"/>
            </w:tcBorders>
          </w:tcPr>
          <w:p w14:paraId="1C915CCD" w14:textId="5B9B1231" w:rsidR="007D051B" w:rsidRPr="001F108A" w:rsidRDefault="00C42786" w:rsidP="00C4278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color w:val="000000" w:themeColor="text1"/>
                <w:sz w:val="20"/>
              </w:rPr>
              <w:t>1 116 869</w:t>
            </w:r>
            <w:r>
              <w:rPr>
                <w:sz w:val="20"/>
              </w:rPr>
              <w:t> tonnes éq. CO</w:t>
            </w:r>
            <w:r>
              <w:rPr>
                <w:sz w:val="20"/>
                <w:vertAlign w:val="subscript"/>
              </w:rPr>
              <w:t>2</w:t>
            </w:r>
          </w:p>
        </w:tc>
      </w:tr>
      <w:tr w:rsidR="00DC185C" w:rsidRPr="00DC185C" w14:paraId="5398568C" w14:textId="77777777" w:rsidTr="00E46C4A">
        <w:trPr>
          <w:trHeight w:val="262"/>
          <w:jc w:val="center"/>
        </w:trPr>
        <w:tc>
          <w:tcPr>
            <w:tcW w:w="7285" w:type="dxa"/>
            <w:tcBorders>
              <w:top w:val="single" w:sz="4" w:space="0" w:color="auto"/>
              <w:left w:val="single" w:sz="4" w:space="0" w:color="auto"/>
              <w:bottom w:val="single" w:sz="4" w:space="0" w:color="auto"/>
              <w:right w:val="single" w:sz="4" w:space="0" w:color="auto"/>
            </w:tcBorders>
          </w:tcPr>
          <w:p w14:paraId="59164FE4"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Durée du projet (mois) :</w:t>
            </w:r>
          </w:p>
        </w:tc>
        <w:tc>
          <w:tcPr>
            <w:tcW w:w="2880" w:type="dxa"/>
            <w:tcBorders>
              <w:top w:val="single" w:sz="4" w:space="0" w:color="auto"/>
              <w:left w:val="single" w:sz="4" w:space="0" w:color="auto"/>
              <w:bottom w:val="single" w:sz="4" w:space="0" w:color="auto"/>
              <w:right w:val="single" w:sz="4" w:space="0" w:color="auto"/>
            </w:tcBorders>
          </w:tcPr>
          <w:p w14:paraId="4803C48E" w14:textId="290EF41F" w:rsidR="00DC185C" w:rsidRPr="001F108A" w:rsidRDefault="00DC185C" w:rsidP="00DC185C">
            <w:pPr>
              <w:jc w:val="right"/>
              <w:rPr>
                <w:sz w:val="20"/>
                <w:szCs w:val="20"/>
              </w:rPr>
            </w:pPr>
            <w:r>
              <w:rPr>
                <w:sz w:val="20"/>
              </w:rPr>
              <w:t>30</w:t>
            </w:r>
          </w:p>
        </w:tc>
      </w:tr>
      <w:tr w:rsidR="00DC185C" w:rsidRPr="00DC185C" w14:paraId="3133C1C6" w14:textId="77777777" w:rsidTr="00E46C4A">
        <w:trPr>
          <w:trHeight w:val="239"/>
          <w:jc w:val="center"/>
        </w:trPr>
        <w:tc>
          <w:tcPr>
            <w:tcW w:w="7285" w:type="dxa"/>
            <w:tcBorders>
              <w:top w:val="single" w:sz="4" w:space="0" w:color="auto"/>
              <w:left w:val="single" w:sz="4" w:space="0" w:color="auto"/>
              <w:bottom w:val="single" w:sz="4" w:space="0" w:color="auto"/>
              <w:right w:val="single" w:sz="4" w:space="0" w:color="auto"/>
            </w:tcBorders>
          </w:tcPr>
          <w:p w14:paraId="163D2655"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Montant initial demandé ($US) :</w:t>
            </w:r>
          </w:p>
        </w:tc>
        <w:tc>
          <w:tcPr>
            <w:tcW w:w="2880" w:type="dxa"/>
            <w:tcBorders>
              <w:top w:val="single" w:sz="4" w:space="0" w:color="auto"/>
              <w:left w:val="single" w:sz="4" w:space="0" w:color="auto"/>
              <w:bottom w:val="single" w:sz="4" w:space="0" w:color="auto"/>
              <w:right w:val="single" w:sz="4" w:space="0" w:color="auto"/>
            </w:tcBorders>
          </w:tcPr>
          <w:p w14:paraId="42F44CD1" w14:textId="45E700E1" w:rsidR="00DC185C" w:rsidRPr="00EA4E1A" w:rsidRDefault="001F108A"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rPr>
            </w:pPr>
            <w:r>
              <w:rPr>
                <w:sz w:val="20"/>
              </w:rPr>
              <w:t xml:space="preserve">360 160 </w:t>
            </w:r>
          </w:p>
        </w:tc>
      </w:tr>
      <w:tr w:rsidR="007825D0" w:rsidRPr="00DC185C" w14:paraId="0EF43236" w14:textId="77777777" w:rsidTr="00E46C4A">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299D8639" w14:textId="77777777" w:rsidR="007825D0" w:rsidRPr="00DC185C" w:rsidRDefault="007825D0" w:rsidP="007825D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highlight w:val="yellow"/>
              </w:rPr>
            </w:pPr>
            <w:r>
              <w:rPr>
                <w:sz w:val="20"/>
              </w:rPr>
              <w:t>Coûts finaux du projet ($US) :</w:t>
            </w:r>
          </w:p>
        </w:tc>
        <w:tc>
          <w:tcPr>
            <w:tcW w:w="2880" w:type="dxa"/>
            <w:tcBorders>
              <w:top w:val="single" w:sz="4" w:space="0" w:color="auto"/>
              <w:left w:val="single" w:sz="4" w:space="0" w:color="auto"/>
              <w:bottom w:val="single" w:sz="4" w:space="0" w:color="auto"/>
              <w:right w:val="single" w:sz="4" w:space="0" w:color="auto"/>
            </w:tcBorders>
          </w:tcPr>
          <w:p w14:paraId="1B330284" w14:textId="648F622B" w:rsidR="007825D0" w:rsidRPr="00EA4E1A" w:rsidRDefault="00E92675" w:rsidP="007825D0">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highlight w:val="yellow"/>
              </w:rPr>
            </w:pPr>
            <w:r>
              <w:rPr>
                <w:sz w:val="20"/>
              </w:rPr>
              <w:t xml:space="preserve">321 300 </w:t>
            </w:r>
          </w:p>
        </w:tc>
      </w:tr>
      <w:tr w:rsidR="007825D0" w:rsidRPr="00DC185C" w14:paraId="0E88BE08" w14:textId="77777777" w:rsidTr="00E46C4A">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4936F432" w14:textId="0BA30352" w:rsidR="007825D0" w:rsidRPr="00DC185C" w:rsidRDefault="007825D0" w:rsidP="007825D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Subvention demandée ($US) :</w:t>
            </w:r>
          </w:p>
        </w:tc>
        <w:tc>
          <w:tcPr>
            <w:tcW w:w="2880" w:type="dxa"/>
            <w:tcBorders>
              <w:top w:val="single" w:sz="4" w:space="0" w:color="auto"/>
              <w:left w:val="single" w:sz="4" w:space="0" w:color="auto"/>
              <w:bottom w:val="single" w:sz="4" w:space="0" w:color="auto"/>
              <w:right w:val="single" w:sz="4" w:space="0" w:color="auto"/>
            </w:tcBorders>
          </w:tcPr>
          <w:p w14:paraId="5C42ECF1" w14:textId="0595E867" w:rsidR="007825D0" w:rsidRPr="00EA4E1A" w:rsidRDefault="007825D0" w:rsidP="007825D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rPr>
            </w:pPr>
            <w:r>
              <w:rPr>
                <w:sz w:val="20"/>
              </w:rPr>
              <w:t xml:space="preserve">321 300 </w:t>
            </w:r>
          </w:p>
        </w:tc>
      </w:tr>
      <w:tr w:rsidR="007825D0" w:rsidRPr="00DC185C" w14:paraId="4ABF5959" w14:textId="77777777" w:rsidTr="00E46C4A">
        <w:trPr>
          <w:trHeight w:val="239"/>
          <w:jc w:val="center"/>
        </w:trPr>
        <w:tc>
          <w:tcPr>
            <w:tcW w:w="7285" w:type="dxa"/>
            <w:tcBorders>
              <w:top w:val="single" w:sz="4" w:space="0" w:color="auto"/>
              <w:left w:val="single" w:sz="4" w:space="0" w:color="auto"/>
              <w:bottom w:val="single" w:sz="4" w:space="0" w:color="auto"/>
              <w:right w:val="single" w:sz="4" w:space="0" w:color="auto"/>
            </w:tcBorders>
          </w:tcPr>
          <w:p w14:paraId="2EEF02A3" w14:textId="77777777" w:rsidR="007825D0" w:rsidRPr="00DC185C" w:rsidRDefault="007825D0" w:rsidP="007825D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Coûts d’appui de l’agence d’exécution ($US) :</w:t>
            </w:r>
          </w:p>
        </w:tc>
        <w:tc>
          <w:tcPr>
            <w:tcW w:w="2880" w:type="dxa"/>
            <w:tcBorders>
              <w:top w:val="single" w:sz="4" w:space="0" w:color="auto"/>
              <w:left w:val="single" w:sz="4" w:space="0" w:color="auto"/>
              <w:bottom w:val="single" w:sz="4" w:space="0" w:color="auto"/>
              <w:right w:val="single" w:sz="4" w:space="0" w:color="auto"/>
            </w:tcBorders>
          </w:tcPr>
          <w:p w14:paraId="2244F6DE" w14:textId="4A36BA19" w:rsidR="007825D0" w:rsidRPr="00EA4E1A" w:rsidRDefault="007825D0" w:rsidP="007825D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rPr>
            </w:pPr>
            <w:r>
              <w:rPr>
                <w:sz w:val="20"/>
              </w:rPr>
              <w:t>41 769</w:t>
            </w:r>
          </w:p>
        </w:tc>
      </w:tr>
      <w:tr w:rsidR="00B73328" w:rsidRPr="00DC185C" w14:paraId="516462F1" w14:textId="77777777" w:rsidTr="00E46C4A">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29D375BD" w14:textId="77777777" w:rsidR="00B73328" w:rsidRPr="00DC185C" w:rsidRDefault="00B73328" w:rsidP="00B7332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Coût total du projet pour le Fonds multilatéral ($US) :</w:t>
            </w:r>
          </w:p>
        </w:tc>
        <w:tc>
          <w:tcPr>
            <w:tcW w:w="2880" w:type="dxa"/>
            <w:tcBorders>
              <w:top w:val="single" w:sz="4" w:space="0" w:color="auto"/>
              <w:left w:val="single" w:sz="4" w:space="0" w:color="auto"/>
              <w:bottom w:val="single" w:sz="4" w:space="0" w:color="auto"/>
              <w:right w:val="single" w:sz="4" w:space="0" w:color="auto"/>
            </w:tcBorders>
          </w:tcPr>
          <w:p w14:paraId="3058954C" w14:textId="031D587E" w:rsidR="00B73328" w:rsidRPr="00EA4E1A" w:rsidRDefault="00792137" w:rsidP="00B73328">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rPr>
            </w:pPr>
            <w:r>
              <w:rPr>
                <w:sz w:val="20"/>
              </w:rPr>
              <w:t>363 069</w:t>
            </w:r>
          </w:p>
        </w:tc>
      </w:tr>
      <w:tr w:rsidR="007825D0" w:rsidRPr="00DC185C" w14:paraId="5998B803" w14:textId="77777777" w:rsidTr="00E46C4A">
        <w:trPr>
          <w:trHeight w:val="119"/>
          <w:jc w:val="center"/>
        </w:trPr>
        <w:tc>
          <w:tcPr>
            <w:tcW w:w="7285" w:type="dxa"/>
            <w:tcBorders>
              <w:top w:val="single" w:sz="4" w:space="0" w:color="auto"/>
              <w:left w:val="single" w:sz="4" w:space="0" w:color="auto"/>
              <w:bottom w:val="single" w:sz="4" w:space="0" w:color="auto"/>
              <w:right w:val="single" w:sz="4" w:space="0" w:color="auto"/>
            </w:tcBorders>
          </w:tcPr>
          <w:p w14:paraId="1334ABB1" w14:textId="77777777" w:rsidR="007825D0" w:rsidRPr="00DC185C" w:rsidRDefault="007825D0" w:rsidP="007825D0">
            <w:pPr>
              <w:rPr>
                <w:sz w:val="20"/>
                <w:szCs w:val="20"/>
              </w:rPr>
            </w:pPr>
            <w:r>
              <w:rPr>
                <w:sz w:val="20"/>
              </w:rPr>
              <w:t>Cofinancement ($US) :</w:t>
            </w:r>
          </w:p>
        </w:tc>
        <w:tc>
          <w:tcPr>
            <w:tcW w:w="2880" w:type="dxa"/>
            <w:tcBorders>
              <w:top w:val="single" w:sz="4" w:space="0" w:color="auto"/>
              <w:left w:val="single" w:sz="4" w:space="0" w:color="auto"/>
              <w:bottom w:val="single" w:sz="4" w:space="0" w:color="auto"/>
              <w:right w:val="single" w:sz="4" w:space="0" w:color="auto"/>
            </w:tcBorders>
          </w:tcPr>
          <w:p w14:paraId="66AB6D9B" w14:textId="65DE334E" w:rsidR="007825D0" w:rsidRPr="00EA4E1A" w:rsidRDefault="00F733F0" w:rsidP="007825D0">
            <w:pPr>
              <w:jc w:val="right"/>
              <w:rPr>
                <w:sz w:val="20"/>
                <w:szCs w:val="20"/>
                <w:highlight w:val="yellow"/>
              </w:rPr>
            </w:pPr>
            <w:r>
              <w:rPr>
                <w:sz w:val="20"/>
              </w:rPr>
              <w:t>s.o.</w:t>
            </w:r>
          </w:p>
        </w:tc>
      </w:tr>
      <w:tr w:rsidR="007825D0" w:rsidRPr="00DC185C" w14:paraId="39F9BABF" w14:textId="77777777" w:rsidTr="00E46C4A">
        <w:trPr>
          <w:trHeight w:val="239"/>
          <w:jc w:val="center"/>
        </w:trPr>
        <w:tc>
          <w:tcPr>
            <w:tcW w:w="7285" w:type="dxa"/>
            <w:tcBorders>
              <w:top w:val="single" w:sz="4" w:space="0" w:color="auto"/>
              <w:left w:val="single" w:sz="4" w:space="0" w:color="auto"/>
              <w:bottom w:val="single" w:sz="4" w:space="0" w:color="auto"/>
              <w:right w:val="single" w:sz="4" w:space="0" w:color="auto"/>
            </w:tcBorders>
          </w:tcPr>
          <w:p w14:paraId="52D829B9" w14:textId="77777777" w:rsidR="007825D0" w:rsidRPr="00DC185C" w:rsidRDefault="007825D0" w:rsidP="007825D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Économies liées à l’efficacité énergétique (kWh/an) :</w:t>
            </w:r>
          </w:p>
        </w:tc>
        <w:tc>
          <w:tcPr>
            <w:tcW w:w="2880" w:type="dxa"/>
            <w:tcBorders>
              <w:top w:val="single" w:sz="4" w:space="0" w:color="auto"/>
              <w:left w:val="single" w:sz="4" w:space="0" w:color="auto"/>
              <w:bottom w:val="single" w:sz="4" w:space="0" w:color="auto"/>
              <w:right w:val="single" w:sz="4" w:space="0" w:color="auto"/>
            </w:tcBorders>
          </w:tcPr>
          <w:p w14:paraId="49C587DB" w14:textId="4A336D33" w:rsidR="007825D0" w:rsidRPr="00EA4E1A" w:rsidRDefault="000B3372" w:rsidP="007825D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rPr>
            </w:pPr>
            <w:r>
              <w:rPr>
                <w:sz w:val="20"/>
              </w:rPr>
              <w:t>390 100</w:t>
            </w:r>
          </w:p>
        </w:tc>
      </w:tr>
      <w:tr w:rsidR="007825D0" w:rsidRPr="00DC185C" w14:paraId="6BE9A75A" w14:textId="77777777" w:rsidTr="00E46C4A">
        <w:trPr>
          <w:trHeight w:val="239"/>
          <w:jc w:val="center"/>
        </w:trPr>
        <w:tc>
          <w:tcPr>
            <w:tcW w:w="7285" w:type="dxa"/>
            <w:tcBorders>
              <w:top w:val="single" w:sz="4" w:space="0" w:color="auto"/>
              <w:left w:val="single" w:sz="4" w:space="0" w:color="auto"/>
              <w:bottom w:val="single" w:sz="4" w:space="0" w:color="auto"/>
              <w:right w:val="single" w:sz="4" w:space="0" w:color="auto"/>
            </w:tcBorders>
          </w:tcPr>
          <w:p w14:paraId="3C7DF13A" w14:textId="77777777" w:rsidR="007825D0" w:rsidRPr="00DC185C" w:rsidRDefault="007825D0" w:rsidP="007825D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Financement de contrepartie confirmé (Oui/Non) :</w:t>
            </w:r>
          </w:p>
        </w:tc>
        <w:tc>
          <w:tcPr>
            <w:tcW w:w="2880" w:type="dxa"/>
            <w:tcBorders>
              <w:top w:val="single" w:sz="4" w:space="0" w:color="auto"/>
              <w:left w:val="single" w:sz="4" w:space="0" w:color="auto"/>
              <w:bottom w:val="single" w:sz="4" w:space="0" w:color="auto"/>
              <w:right w:val="single" w:sz="4" w:space="0" w:color="auto"/>
            </w:tcBorders>
          </w:tcPr>
          <w:p w14:paraId="469C0E9E" w14:textId="5C1A32A9" w:rsidR="007825D0" w:rsidRPr="0085606A" w:rsidRDefault="0086049E" w:rsidP="007825D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Non</w:t>
            </w:r>
          </w:p>
        </w:tc>
      </w:tr>
      <w:tr w:rsidR="007825D0" w:rsidRPr="00DC185C" w14:paraId="271D211D" w14:textId="77777777" w:rsidTr="00E46C4A">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7DC60D5F" w14:textId="77777777" w:rsidR="007825D0" w:rsidRPr="00DC185C" w:rsidRDefault="007825D0" w:rsidP="007825D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Étapes de suivi du projet incluses (Oui/Non) :</w:t>
            </w:r>
          </w:p>
        </w:tc>
        <w:tc>
          <w:tcPr>
            <w:tcW w:w="2880" w:type="dxa"/>
            <w:tcBorders>
              <w:top w:val="single" w:sz="4" w:space="0" w:color="auto"/>
              <w:left w:val="single" w:sz="4" w:space="0" w:color="auto"/>
              <w:bottom w:val="single" w:sz="4" w:space="0" w:color="auto"/>
              <w:right w:val="single" w:sz="4" w:space="0" w:color="auto"/>
            </w:tcBorders>
          </w:tcPr>
          <w:p w14:paraId="31FBE216" w14:textId="77777777" w:rsidR="007825D0" w:rsidRPr="0085606A" w:rsidRDefault="007825D0" w:rsidP="007825D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Oui</w:t>
            </w:r>
          </w:p>
        </w:tc>
      </w:tr>
      <w:tr w:rsidR="007825D0" w:rsidRPr="00DC185C" w14:paraId="43F46FA0" w14:textId="77777777" w:rsidTr="00E46C4A">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238C1514" w14:textId="77777777" w:rsidR="007825D0" w:rsidRPr="00DC185C" w:rsidRDefault="007825D0" w:rsidP="007825D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Normes minimales de performance énergétique (NMPE) disponibles pour le secteur concerné (Oui/Non) :</w:t>
            </w:r>
          </w:p>
        </w:tc>
        <w:tc>
          <w:tcPr>
            <w:tcW w:w="2880" w:type="dxa"/>
            <w:tcBorders>
              <w:top w:val="single" w:sz="4" w:space="0" w:color="auto"/>
              <w:left w:val="single" w:sz="4" w:space="0" w:color="auto"/>
              <w:bottom w:val="single" w:sz="4" w:space="0" w:color="auto"/>
              <w:right w:val="single" w:sz="4" w:space="0" w:color="auto"/>
            </w:tcBorders>
          </w:tcPr>
          <w:p w14:paraId="501154F1" w14:textId="691BBC22" w:rsidR="007825D0" w:rsidRPr="0085606A" w:rsidRDefault="007825D0" w:rsidP="007825D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Oui</w:t>
            </w:r>
          </w:p>
        </w:tc>
      </w:tr>
    </w:tbl>
    <w:p w14:paraId="03680D83" w14:textId="77777777" w:rsidR="0085606A" w:rsidRPr="00DC185C" w:rsidRDefault="0085606A" w:rsidP="00DC185C">
      <w:pPr>
        <w:rPr>
          <w:highlight w:val="yellow"/>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DC185C" w:rsidRPr="00DC185C" w14:paraId="422E7CC3" w14:textId="77777777" w:rsidTr="00681E74">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666E3267"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highlight w:val="yellow"/>
              </w:rPr>
            </w:pPr>
            <w:r>
              <w:rPr>
                <w:b/>
                <w:sz w:val="20"/>
              </w:rPr>
              <w:t>RECOMMANDATION DU SECRÉTARIAT</w:t>
            </w:r>
          </w:p>
        </w:tc>
        <w:tc>
          <w:tcPr>
            <w:tcW w:w="3366" w:type="dxa"/>
            <w:tcBorders>
              <w:top w:val="single" w:sz="4" w:space="0" w:color="auto"/>
              <w:left w:val="single" w:sz="4" w:space="0" w:color="auto"/>
              <w:bottom w:val="single" w:sz="4" w:space="0" w:color="auto"/>
              <w:right w:val="single" w:sz="4" w:space="0" w:color="auto"/>
            </w:tcBorders>
          </w:tcPr>
          <w:p w14:paraId="2C909846" w14:textId="77777777" w:rsidR="00DC185C" w:rsidRPr="00DC185C"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highlight w:val="yellow"/>
              </w:rPr>
            </w:pPr>
            <w:r>
              <w:rPr>
                <w:sz w:val="20"/>
              </w:rPr>
              <w:t xml:space="preserve">Examen individuel </w:t>
            </w:r>
          </w:p>
        </w:tc>
      </w:tr>
    </w:tbl>
    <w:p w14:paraId="0C751BAF" w14:textId="77777777" w:rsidR="00DC185C" w:rsidRPr="00DC185C" w:rsidRDefault="00DC185C" w:rsidP="00DC185C">
      <w:pPr>
        <w:rPr>
          <w:highlight w:val="yellow"/>
          <w:lang w:val="en-GB"/>
        </w:rPr>
      </w:pPr>
    </w:p>
    <w:p w14:paraId="03B3D00F" w14:textId="77777777" w:rsidR="00DC185C" w:rsidRPr="00DC185C" w:rsidRDefault="00DC185C" w:rsidP="00DC185C">
      <w:pPr>
        <w:jc w:val="left"/>
        <w:rPr>
          <w:b/>
          <w:highlight w:val="yellow"/>
        </w:rPr>
      </w:pPr>
      <w:r>
        <w:br w:type="page"/>
      </w:r>
    </w:p>
    <w:p w14:paraId="24418DDE" w14:textId="77777777" w:rsidR="00DC185C" w:rsidRPr="00DC185C" w:rsidRDefault="00DC185C" w:rsidP="00DC185C">
      <w:pPr>
        <w:tabs>
          <w:tab w:val="left" w:pos="5530"/>
        </w:tabs>
        <w:jc w:val="center"/>
        <w:rPr>
          <w:b/>
        </w:rPr>
      </w:pPr>
      <w:r>
        <w:rPr>
          <w:b/>
        </w:rPr>
        <w:lastRenderedPageBreak/>
        <w:t>DESCRIPTION DU PROJET</w:t>
      </w:r>
    </w:p>
    <w:p w14:paraId="01EC3CE4" w14:textId="77777777" w:rsidR="00DC185C" w:rsidRPr="007A0E90" w:rsidRDefault="00DC185C" w:rsidP="00DC185C">
      <w:pPr>
        <w:spacing w:before="240" w:after="240"/>
        <w:rPr>
          <w:b/>
          <w:bCs/>
        </w:rPr>
      </w:pPr>
      <w:r>
        <w:rPr>
          <w:b/>
        </w:rPr>
        <w:t>Contexte</w:t>
      </w:r>
    </w:p>
    <w:p w14:paraId="5EE8B5FE" w14:textId="46E2EA01" w:rsidR="00DC185C" w:rsidRPr="007A0E90" w:rsidRDefault="00DC185C" w:rsidP="00DC185C">
      <w:pPr>
        <w:numPr>
          <w:ilvl w:val="0"/>
          <w:numId w:val="1"/>
        </w:numPr>
        <w:spacing w:after="240"/>
        <w:outlineLvl w:val="0"/>
      </w:pPr>
      <w:r>
        <w:t>Au nom du Gouvernement du Togo, le Gouvernement d</w:t>
      </w:r>
      <w:r w:rsidR="006E4503">
        <w:t>u</w:t>
      </w:r>
      <w:r>
        <w:t xml:space="preserve"> </w:t>
      </w:r>
      <w:r w:rsidR="006E4503" w:rsidRPr="006E4503">
        <w:t>Royaume-Uni de Grande-Bretagne et d'Irlande du Nord</w:t>
      </w:r>
      <w:r w:rsidR="00B9024E">
        <w:rPr>
          <w:rStyle w:val="FootnoteReference"/>
        </w:rPr>
        <w:footnoteReference w:id="2"/>
      </w:r>
      <w:r w:rsidR="006E4503">
        <w:t xml:space="preserve"> </w:t>
      </w:r>
      <w:r>
        <w:t xml:space="preserve">a soumis, conformément à la décision 91/65, une demande pour un </w:t>
      </w:r>
      <w:bookmarkStart w:id="3" w:name="_Hlk148535980"/>
      <w:r>
        <w:t>projet pilote visant à améliorer l’efficacité énergétique des technologies et équipements de remplacement dans le cadre de la réduction des HFC (activités non liées à des investissements)</w:t>
      </w:r>
      <w:bookmarkEnd w:id="3"/>
      <w:r>
        <w:t>, d’un montant de 360 160 $US, plus des coûts d’appui d’agence de 46 821 $US, conformément à la demande initiale</w:t>
      </w:r>
      <w:r w:rsidRPr="007A0E90">
        <w:rPr>
          <w:vertAlign w:val="superscript"/>
          <w:lang w:val="en-GB"/>
        </w:rPr>
        <w:footnoteReference w:id="3"/>
      </w:r>
      <w:r>
        <w:t>.</w:t>
      </w:r>
    </w:p>
    <w:p w14:paraId="209AAFD6" w14:textId="77777777" w:rsidR="00DC185C" w:rsidRPr="007A0E90" w:rsidRDefault="00DC185C" w:rsidP="00DC185C">
      <w:pPr>
        <w:spacing w:after="240"/>
        <w:rPr>
          <w:b/>
          <w:bCs/>
        </w:rPr>
      </w:pPr>
      <w:r>
        <w:rPr>
          <w:b/>
        </w:rPr>
        <w:t>Projet pilote sur l’efficacité énergétique</w:t>
      </w:r>
    </w:p>
    <w:p w14:paraId="25DB61E2" w14:textId="160C9CC8" w:rsidR="00790F41" w:rsidRDefault="00790F41" w:rsidP="001E3316">
      <w:pPr>
        <w:pStyle w:val="Heading1"/>
        <w:rPr>
          <w:sz w:val="24"/>
          <w:szCs w:val="24"/>
        </w:rPr>
      </w:pPr>
      <w:r>
        <w:t>À la 93</w:t>
      </w:r>
      <w:r>
        <w:rPr>
          <w:vertAlign w:val="superscript"/>
        </w:rPr>
        <w:t>e</w:t>
      </w:r>
      <w:r>
        <w:t xml:space="preserve"> réunion, le Comité exécutif a approuvé un projet de préparation destiné à faire la démonstration d’une technologie de climatisation à haut rendement énergétique et à faible potentiel de réchauffement de la planète (PRP) au Togo (décision 93/40). Au cours de l’élaboration de la proposition, le Gouvernement du Togo a fait part au Gouvernement de l’Allemagne de son intention de changer le bénéficiaire du projet, </w:t>
      </w:r>
      <w:r w:rsidR="00957B30">
        <w:t xml:space="preserve">en optant pour le secteur hospitalier à la place </w:t>
      </w:r>
      <w:r>
        <w:t>du port autonome de Lomé (bénéficiaire prévu à l’origine), en raison d’un plus grand potentiel de reproductibilité et des répercussions sociales et pour le marché</w:t>
      </w:r>
      <w:r w:rsidR="005C15CA">
        <w:rPr>
          <w:rStyle w:val="FootnoteReference"/>
          <w:lang w:val="en-US"/>
        </w:rPr>
        <w:footnoteReference w:id="4"/>
      </w:r>
      <w:r>
        <w:t>. Le projet vise toujours à remplacer des climatiseurs de piètre efficacité par des appareils fonctionnant avec un frigorigène à faible PRP (R-290) et sera accompagné de formations et de campagnes de sensibilisation ainsi que d’un renforcement de la capacité des techniciens, pour promouvoir les solutions de remplacement des HFC et améliorer la chaîne d’approvisionnement des équipements à base de R</w:t>
      </w:r>
      <w:r>
        <w:noBreakHyphen/>
        <w:t>290 au Togo.</w:t>
      </w:r>
    </w:p>
    <w:p w14:paraId="6958780F" w14:textId="32903A39" w:rsidR="00DC185C" w:rsidRPr="007A0E90" w:rsidRDefault="00EA4E1A" w:rsidP="00DC185C">
      <w:pPr>
        <w:numPr>
          <w:ilvl w:val="0"/>
          <w:numId w:val="1"/>
        </w:numPr>
        <w:spacing w:after="240"/>
        <w:outlineLvl w:val="0"/>
      </w:pPr>
      <w:r>
        <w:t>Le Togo a ratifié l’Amendement de Kigali le 8 mars 2018 et dispose d’un système de quotas pour les HFC opérationnel depuis janvier 2024. Dans le cadre de la phase I du plan de mise en œuvre de l’Amendement de Kigali relatif aux HFC (KIP) approuvé à la 95</w:t>
      </w:r>
      <w:r>
        <w:rPr>
          <w:vertAlign w:val="superscript"/>
        </w:rPr>
        <w:t>e</w:t>
      </w:r>
      <w:r>
        <w:t> réunion</w:t>
      </w:r>
      <w:r w:rsidR="00A1439E">
        <w:rPr>
          <w:rStyle w:val="FootnoteReference"/>
          <w:lang w:val="en-GB"/>
        </w:rPr>
        <w:footnoteReference w:id="5"/>
      </w:r>
      <w:r>
        <w:t>, le pays s’est engagé à réduire sa consommation de HFC de 15 pour cent d’ici 2029.</w:t>
      </w:r>
    </w:p>
    <w:p w14:paraId="0202D70E" w14:textId="77777777" w:rsidR="00DC185C" w:rsidRPr="00EA4E1A" w:rsidRDefault="00DC185C" w:rsidP="00DC185C">
      <w:pPr>
        <w:spacing w:after="240"/>
        <w:rPr>
          <w:highlight w:val="yellow"/>
          <w:u w:val="single"/>
        </w:rPr>
      </w:pPr>
      <w:r>
        <w:rPr>
          <w:u w:val="single"/>
        </w:rPr>
        <w:t>Cadres politique, réglementaire et institutionnel</w:t>
      </w:r>
    </w:p>
    <w:p w14:paraId="7FA72E6B" w14:textId="0CDC4148" w:rsidR="00B00F90" w:rsidRPr="005C2079" w:rsidRDefault="00B00F90" w:rsidP="00B00F90">
      <w:pPr>
        <w:pStyle w:val="Heading1"/>
        <w:spacing w:before="240"/>
      </w:pPr>
      <w:r>
        <w:t>Le système d’autorisation du pays pour les HFC est opérationnel depuis 2021 et le système de quotas depuis le 1er janvier 2024. Le décret interministériel n° 13/MERF/MEF/MCICL, adopté le 30 mars 2021, comprend des dispositions relatives aux autorisations, aux quotas et à la communication de données pour l’importation et la distribution des HFC, et oblige les importateurs et les distributeurs de HFC à étiqueter les conteneurs avec le code douanier, le type et la quantité d</w:t>
      </w:r>
      <w:r w:rsidR="00957B30">
        <w:t>u</w:t>
      </w:r>
      <w:r>
        <w:t xml:space="preserve"> frigorigène.</w:t>
      </w:r>
    </w:p>
    <w:p w14:paraId="4F29FA7C" w14:textId="3E4E740C" w:rsidR="00026C92" w:rsidRPr="00026C92" w:rsidRDefault="006905F1" w:rsidP="00026C92">
      <w:pPr>
        <w:pStyle w:val="Heading1"/>
      </w:pPr>
      <w:r>
        <w:t xml:space="preserve">Des normes minimales de performance énergétique (NMPE) sont en vigueur au Togo. Elles </w:t>
      </w:r>
      <w:r w:rsidR="00957B30">
        <w:t>s</w:t>
      </w:r>
      <w:r>
        <w:t>ont établies par les normes de la Communauté économique des états de l’Afrique occidentale (CEDEAO) pour</w:t>
      </w:r>
      <w:r w:rsidR="00B9024E">
        <w:t xml:space="preserve"> </w:t>
      </w:r>
      <w:r w:rsidR="00B9024E">
        <w:lastRenderedPageBreak/>
        <w:t>l</w:t>
      </w:r>
      <w:r>
        <w:t>es produits de réfrigération</w:t>
      </w:r>
      <w:r w:rsidRPr="005C2079">
        <w:rPr>
          <w:rStyle w:val="FootnoteReference"/>
        </w:rPr>
        <w:footnoteReference w:id="6"/>
      </w:r>
      <w:r>
        <w:t xml:space="preserve"> et les produits de climatisation domestiques et commerciaux</w:t>
      </w:r>
      <w:r w:rsidRPr="005C2079">
        <w:rPr>
          <w:rStyle w:val="FootnoteReference"/>
        </w:rPr>
        <w:footnoteReference w:id="7"/>
      </w:r>
      <w:r>
        <w:t>, et mises en œuvre dans le cadre du Plan d’action national pour l’efficacité énergétique (PANEE) du Togo, élaboré en 2015 et courant jusqu’à 2030. Ses principaux objectifs sont de promouvoir les énergies renouvelables, de réduire la consommation énergétique, d’améliorer l’efficacité de certains secteurs essentiels (éclairage, construction et industrie) et de renforcer le cadre réglementaire et institutionnel afin d’attirer les investissements privés vers le secteur de l’énergie.</w:t>
      </w:r>
    </w:p>
    <w:p w14:paraId="70E36C0A" w14:textId="650D2E9B" w:rsidR="00E25C5C" w:rsidRDefault="00E25C5C" w:rsidP="00084826">
      <w:pPr>
        <w:pStyle w:val="Heading1"/>
      </w:pPr>
      <w:r>
        <w:t xml:space="preserve">En tant que membre de la CEDEAO, le Togo prend part aux travaux de cette organisation, en particulier en ce qui concerne les questions de qualité. Au travers de l’Agence Togolaise de Normalisation (ATN), une instance technique de la Haute autorité de la qualité et de l’environnement (HAUQE), le pays participe à l’harmonisation des normes de la communauté (ECOSTAND). L’ATN dispose d’experts dans les 11 Comités techniques d’harmonisation de la CEDEAO et intervient activement à tous les </w:t>
      </w:r>
      <w:r w:rsidR="00E800CD">
        <w:t>stade</w:t>
      </w:r>
      <w:r>
        <w:t>s de la mise en œuvre des normes.</w:t>
      </w:r>
    </w:p>
    <w:p w14:paraId="6E45F285" w14:textId="31F83D68" w:rsidR="00520B2E" w:rsidRPr="00520B2E" w:rsidRDefault="002D09C4" w:rsidP="00BE100A">
      <w:pPr>
        <w:pStyle w:val="Heading1"/>
        <w:suppressAutoHyphens/>
        <w:spacing w:before="240"/>
        <w:rPr>
          <w:u w:val="single"/>
        </w:rPr>
      </w:pPr>
      <w:r>
        <w:t>Ce projet fait partie des politiques nationales du Togo visant à améliorer l’efficacité énergétique et à réduire les émissions de gaz à effet de serre. La mise en œuvre de ce projet soutiendra la transformation du marché vers une technologie de réfrigération et de climatisation à faible PRP et haut rendement énergétique, et l’Unité nationale de l’ozone (UNO), supervisée par le Ministère de l’environnement et des ressources forestières, collaborera avec la HAUQE pour faire adopter les lignes directrices relatives à la sécurité de l’ISO.</w:t>
      </w:r>
    </w:p>
    <w:p w14:paraId="28364C62" w14:textId="0BC70CE2" w:rsidR="00DC185C" w:rsidRPr="00520B2E" w:rsidRDefault="00DC185C" w:rsidP="00520B2E">
      <w:pPr>
        <w:pStyle w:val="Heading1"/>
        <w:keepNext/>
        <w:numPr>
          <w:ilvl w:val="0"/>
          <w:numId w:val="0"/>
        </w:numPr>
        <w:suppressAutoHyphens/>
        <w:spacing w:before="240"/>
        <w:rPr>
          <w:u w:val="single"/>
        </w:rPr>
      </w:pPr>
      <w:r>
        <w:rPr>
          <w:u w:val="single"/>
        </w:rPr>
        <w:t>Consommation de HFC et contexte sectoriel</w:t>
      </w:r>
    </w:p>
    <w:p w14:paraId="461D23CB" w14:textId="72A6DE34" w:rsidR="00DC185C" w:rsidRPr="00CE3C08" w:rsidRDefault="00DC185C" w:rsidP="00DC185C">
      <w:pPr>
        <w:numPr>
          <w:ilvl w:val="0"/>
          <w:numId w:val="1"/>
        </w:numPr>
        <w:spacing w:after="240"/>
        <w:outlineLvl w:val="0"/>
      </w:pPr>
      <w:r>
        <w:t>La valeur de référence pour la consommation de HFC du Togo a été fixée à 1 124 896 tonnes d’équivalent CO</w:t>
      </w:r>
      <w:r>
        <w:rPr>
          <w:vertAlign w:val="subscript"/>
        </w:rPr>
        <w:t>2</w:t>
      </w:r>
      <w:r>
        <w:t xml:space="preserve"> (tonnes éq CO</w:t>
      </w:r>
      <w:r>
        <w:rPr>
          <w:vertAlign w:val="subscript"/>
        </w:rPr>
        <w:t>2</w:t>
      </w:r>
      <w:r>
        <w:t>). Le tableau 1 présente la consommation de HFC du Togo.</w:t>
      </w:r>
    </w:p>
    <w:p w14:paraId="66F2F491" w14:textId="7F68D4C0" w:rsidR="00DC185C" w:rsidRPr="00EA4E1A" w:rsidRDefault="00DC185C" w:rsidP="00DC185C">
      <w:pPr>
        <w:keepNext/>
        <w:rPr>
          <w:b/>
          <w:bCs/>
          <w:highlight w:val="yellow"/>
        </w:rPr>
      </w:pPr>
      <w:r>
        <w:rPr>
          <w:b/>
        </w:rPr>
        <w:t>Tableau 1. Consommation de HFC du Togo (données au titre de l’article 7 pour la période 2020–2024)</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1276"/>
        <w:gridCol w:w="1276"/>
        <w:gridCol w:w="1276"/>
        <w:gridCol w:w="1273"/>
        <w:gridCol w:w="1273"/>
      </w:tblGrid>
      <w:tr w:rsidR="00482CAA" w:rsidRPr="00EA4E1A" w14:paraId="3943E8F0" w14:textId="68CB4A55" w:rsidTr="004B16A6">
        <w:trPr>
          <w:trHeight w:val="300"/>
          <w:tblHeader/>
        </w:trPr>
        <w:tc>
          <w:tcPr>
            <w:tcW w:w="1589" w:type="pct"/>
            <w:noWrap/>
            <w:vAlign w:val="center"/>
            <w:hideMark/>
          </w:tcPr>
          <w:p w14:paraId="119D4601" w14:textId="77777777" w:rsidR="00482CAA" w:rsidRPr="004B16A6" w:rsidRDefault="00482CAA" w:rsidP="00DC185C">
            <w:pPr>
              <w:keepNext/>
              <w:jc w:val="left"/>
              <w:rPr>
                <w:b/>
                <w:bCs/>
                <w:color w:val="000000"/>
                <w:sz w:val="20"/>
                <w:szCs w:val="20"/>
              </w:rPr>
            </w:pPr>
            <w:r>
              <w:rPr>
                <w:b/>
                <w:color w:val="000000"/>
                <w:sz w:val="20"/>
              </w:rPr>
              <w:t xml:space="preserve">Consommation de HFC </w:t>
            </w:r>
          </w:p>
        </w:tc>
        <w:tc>
          <w:tcPr>
            <w:tcW w:w="683" w:type="pct"/>
            <w:noWrap/>
            <w:vAlign w:val="center"/>
            <w:hideMark/>
          </w:tcPr>
          <w:p w14:paraId="04FDD4D6" w14:textId="77777777" w:rsidR="00482CAA" w:rsidRPr="004B16A6" w:rsidRDefault="00482CAA" w:rsidP="00DC185C">
            <w:pPr>
              <w:keepNext/>
              <w:jc w:val="center"/>
              <w:rPr>
                <w:b/>
                <w:bCs/>
                <w:color w:val="000000"/>
                <w:sz w:val="20"/>
                <w:szCs w:val="20"/>
              </w:rPr>
            </w:pPr>
            <w:r>
              <w:rPr>
                <w:b/>
                <w:color w:val="000000"/>
                <w:sz w:val="20"/>
              </w:rPr>
              <w:t>2020</w:t>
            </w:r>
          </w:p>
        </w:tc>
        <w:tc>
          <w:tcPr>
            <w:tcW w:w="683" w:type="pct"/>
            <w:noWrap/>
            <w:vAlign w:val="center"/>
            <w:hideMark/>
          </w:tcPr>
          <w:p w14:paraId="18DADAAE" w14:textId="77777777" w:rsidR="00482CAA" w:rsidRPr="004B16A6" w:rsidRDefault="00482CAA" w:rsidP="00DC185C">
            <w:pPr>
              <w:keepNext/>
              <w:jc w:val="center"/>
              <w:rPr>
                <w:b/>
                <w:bCs/>
                <w:color w:val="000000"/>
                <w:sz w:val="20"/>
                <w:szCs w:val="20"/>
              </w:rPr>
            </w:pPr>
            <w:r>
              <w:rPr>
                <w:b/>
                <w:color w:val="000000"/>
                <w:sz w:val="20"/>
              </w:rPr>
              <w:t>2021</w:t>
            </w:r>
          </w:p>
        </w:tc>
        <w:tc>
          <w:tcPr>
            <w:tcW w:w="683" w:type="pct"/>
            <w:noWrap/>
            <w:vAlign w:val="center"/>
            <w:hideMark/>
          </w:tcPr>
          <w:p w14:paraId="1F03FCE3" w14:textId="77777777" w:rsidR="00482CAA" w:rsidRPr="004B16A6" w:rsidRDefault="00482CAA" w:rsidP="00DC185C">
            <w:pPr>
              <w:keepNext/>
              <w:jc w:val="center"/>
              <w:rPr>
                <w:b/>
                <w:bCs/>
                <w:color w:val="000000"/>
                <w:sz w:val="20"/>
                <w:szCs w:val="20"/>
              </w:rPr>
            </w:pPr>
            <w:r>
              <w:rPr>
                <w:b/>
                <w:color w:val="000000"/>
                <w:sz w:val="20"/>
              </w:rPr>
              <w:t>2022</w:t>
            </w:r>
          </w:p>
        </w:tc>
        <w:tc>
          <w:tcPr>
            <w:tcW w:w="681" w:type="pct"/>
            <w:vAlign w:val="center"/>
          </w:tcPr>
          <w:p w14:paraId="7709425D" w14:textId="77777777" w:rsidR="00482CAA" w:rsidRPr="004B16A6" w:rsidRDefault="00482CAA" w:rsidP="00DC185C">
            <w:pPr>
              <w:keepNext/>
              <w:jc w:val="center"/>
              <w:rPr>
                <w:b/>
                <w:bCs/>
                <w:color w:val="000000" w:themeColor="text1"/>
                <w:sz w:val="20"/>
                <w:szCs w:val="20"/>
              </w:rPr>
            </w:pPr>
            <w:r>
              <w:rPr>
                <w:b/>
                <w:color w:val="000000" w:themeColor="text1"/>
                <w:sz w:val="20"/>
              </w:rPr>
              <w:t>2023</w:t>
            </w:r>
          </w:p>
        </w:tc>
        <w:tc>
          <w:tcPr>
            <w:tcW w:w="681" w:type="pct"/>
            <w:vAlign w:val="center"/>
          </w:tcPr>
          <w:p w14:paraId="59EF7D70" w14:textId="3EA34434" w:rsidR="00482CAA" w:rsidRPr="004B16A6" w:rsidRDefault="00482CAA" w:rsidP="00DC185C">
            <w:pPr>
              <w:keepNext/>
              <w:jc w:val="center"/>
              <w:rPr>
                <w:b/>
                <w:bCs/>
                <w:color w:val="000000" w:themeColor="text1"/>
                <w:sz w:val="20"/>
                <w:szCs w:val="20"/>
              </w:rPr>
            </w:pPr>
            <w:r>
              <w:rPr>
                <w:b/>
                <w:color w:val="000000" w:themeColor="text1"/>
                <w:sz w:val="20"/>
              </w:rPr>
              <w:t>2024</w:t>
            </w:r>
          </w:p>
        </w:tc>
      </w:tr>
      <w:tr w:rsidR="00C72D72" w:rsidRPr="00F13A90" w14:paraId="5703777C" w14:textId="1D9A13F8" w:rsidTr="004B16A6">
        <w:trPr>
          <w:trHeight w:val="300"/>
        </w:trPr>
        <w:tc>
          <w:tcPr>
            <w:tcW w:w="1589" w:type="pct"/>
            <w:noWrap/>
            <w:vAlign w:val="center"/>
            <w:hideMark/>
          </w:tcPr>
          <w:p w14:paraId="7D4C2277" w14:textId="77777777" w:rsidR="00C72D72" w:rsidRPr="00F13A90" w:rsidRDefault="00C72D72" w:rsidP="00C72D72">
            <w:pPr>
              <w:keepNext/>
              <w:jc w:val="left"/>
              <w:rPr>
                <w:color w:val="000000"/>
                <w:sz w:val="20"/>
                <w:szCs w:val="20"/>
              </w:rPr>
            </w:pPr>
            <w:r>
              <w:rPr>
                <w:color w:val="000000"/>
                <w:sz w:val="20"/>
              </w:rPr>
              <w:t xml:space="preserve">tm </w:t>
            </w:r>
          </w:p>
        </w:tc>
        <w:tc>
          <w:tcPr>
            <w:tcW w:w="683" w:type="pct"/>
            <w:tcBorders>
              <w:top w:val="single" w:sz="4" w:space="0" w:color="auto"/>
              <w:left w:val="single" w:sz="4" w:space="0" w:color="auto"/>
              <w:bottom w:val="single" w:sz="4" w:space="0" w:color="auto"/>
              <w:right w:val="single" w:sz="4" w:space="0" w:color="auto"/>
            </w:tcBorders>
            <w:noWrap/>
            <w:vAlign w:val="center"/>
            <w:hideMark/>
          </w:tcPr>
          <w:p w14:paraId="7AEF7C97" w14:textId="1D964987" w:rsidR="00C72D72" w:rsidRPr="00F13A90" w:rsidRDefault="00C72D72" w:rsidP="00C72D72">
            <w:pPr>
              <w:keepNext/>
              <w:jc w:val="center"/>
              <w:rPr>
                <w:color w:val="000000"/>
                <w:sz w:val="20"/>
                <w:szCs w:val="20"/>
              </w:rPr>
            </w:pPr>
            <w:r>
              <w:rPr>
                <w:color w:val="000000"/>
                <w:sz w:val="20"/>
              </w:rPr>
              <w:t>332,04</w:t>
            </w:r>
          </w:p>
        </w:tc>
        <w:tc>
          <w:tcPr>
            <w:tcW w:w="683" w:type="pct"/>
            <w:tcBorders>
              <w:top w:val="single" w:sz="4" w:space="0" w:color="auto"/>
              <w:left w:val="single" w:sz="4" w:space="0" w:color="auto"/>
              <w:bottom w:val="single" w:sz="4" w:space="0" w:color="auto"/>
              <w:right w:val="single" w:sz="4" w:space="0" w:color="auto"/>
            </w:tcBorders>
            <w:noWrap/>
            <w:vAlign w:val="center"/>
            <w:hideMark/>
          </w:tcPr>
          <w:p w14:paraId="508BAA5C" w14:textId="7FC561AF" w:rsidR="00C72D72" w:rsidRPr="00F41491" w:rsidRDefault="00C72D72" w:rsidP="00C72D72">
            <w:pPr>
              <w:keepNext/>
              <w:jc w:val="center"/>
              <w:rPr>
                <w:color w:val="000000"/>
                <w:sz w:val="20"/>
                <w:szCs w:val="20"/>
              </w:rPr>
            </w:pPr>
            <w:r>
              <w:rPr>
                <w:color w:val="000000"/>
                <w:sz w:val="20"/>
              </w:rPr>
              <w:t>358,94</w:t>
            </w:r>
          </w:p>
        </w:tc>
        <w:tc>
          <w:tcPr>
            <w:tcW w:w="683" w:type="pct"/>
            <w:tcBorders>
              <w:top w:val="single" w:sz="4" w:space="0" w:color="auto"/>
              <w:left w:val="single" w:sz="4" w:space="0" w:color="auto"/>
              <w:bottom w:val="single" w:sz="4" w:space="0" w:color="auto"/>
              <w:right w:val="single" w:sz="4" w:space="0" w:color="auto"/>
            </w:tcBorders>
            <w:noWrap/>
            <w:vAlign w:val="center"/>
            <w:hideMark/>
          </w:tcPr>
          <w:p w14:paraId="19136EDB" w14:textId="32123DAA" w:rsidR="00C72D72" w:rsidRPr="00F41491" w:rsidRDefault="00C72D72" w:rsidP="00C72D72">
            <w:pPr>
              <w:keepNext/>
              <w:jc w:val="center"/>
              <w:rPr>
                <w:color w:val="000000"/>
                <w:sz w:val="20"/>
                <w:szCs w:val="20"/>
              </w:rPr>
            </w:pPr>
            <w:r>
              <w:rPr>
                <w:color w:val="000000"/>
                <w:sz w:val="20"/>
              </w:rPr>
              <w:t>459,80</w:t>
            </w:r>
          </w:p>
        </w:tc>
        <w:tc>
          <w:tcPr>
            <w:tcW w:w="681" w:type="pct"/>
            <w:tcBorders>
              <w:top w:val="single" w:sz="4" w:space="0" w:color="auto"/>
              <w:left w:val="single" w:sz="4" w:space="0" w:color="auto"/>
              <w:bottom w:val="single" w:sz="4" w:space="0" w:color="auto"/>
              <w:right w:val="single" w:sz="4" w:space="0" w:color="auto"/>
            </w:tcBorders>
            <w:vAlign w:val="center"/>
          </w:tcPr>
          <w:p w14:paraId="19907C76" w14:textId="6E531E14" w:rsidR="00C72D72" w:rsidRPr="00F13A90" w:rsidRDefault="00C72D72" w:rsidP="00C72D72">
            <w:pPr>
              <w:keepNext/>
              <w:jc w:val="center"/>
              <w:rPr>
                <w:color w:val="000000" w:themeColor="text1"/>
                <w:sz w:val="20"/>
                <w:szCs w:val="20"/>
              </w:rPr>
            </w:pPr>
            <w:r>
              <w:rPr>
                <w:sz w:val="20"/>
              </w:rPr>
              <w:t>396,50</w:t>
            </w:r>
          </w:p>
        </w:tc>
        <w:tc>
          <w:tcPr>
            <w:tcW w:w="681" w:type="pct"/>
            <w:vAlign w:val="center"/>
          </w:tcPr>
          <w:p w14:paraId="3AFCE52A" w14:textId="2214700B" w:rsidR="00C72D72" w:rsidRPr="00F13A90" w:rsidRDefault="003F5C76" w:rsidP="00C72D72">
            <w:pPr>
              <w:keepNext/>
              <w:jc w:val="center"/>
              <w:rPr>
                <w:color w:val="000000" w:themeColor="text1"/>
                <w:sz w:val="20"/>
                <w:szCs w:val="20"/>
              </w:rPr>
            </w:pPr>
            <w:r>
              <w:rPr>
                <w:color w:val="000000" w:themeColor="text1"/>
                <w:sz w:val="20"/>
              </w:rPr>
              <w:t>584,13</w:t>
            </w:r>
          </w:p>
        </w:tc>
      </w:tr>
      <w:tr w:rsidR="009823F2" w:rsidRPr="00F13A90" w14:paraId="15BDCB3F" w14:textId="6DB16AA7" w:rsidTr="00A8427B">
        <w:trPr>
          <w:trHeight w:val="300"/>
        </w:trPr>
        <w:tc>
          <w:tcPr>
            <w:tcW w:w="1589" w:type="pct"/>
            <w:noWrap/>
            <w:vAlign w:val="center"/>
          </w:tcPr>
          <w:p w14:paraId="3B0BA7DD" w14:textId="77777777" w:rsidR="009823F2" w:rsidRPr="00F13A90" w:rsidRDefault="009823F2" w:rsidP="009823F2">
            <w:pPr>
              <w:jc w:val="left"/>
              <w:rPr>
                <w:color w:val="1E1E1E"/>
                <w:sz w:val="20"/>
                <w:szCs w:val="20"/>
              </w:rPr>
            </w:pPr>
            <w:r>
              <w:rPr>
                <w:color w:val="1E1E1E"/>
                <w:sz w:val="20"/>
              </w:rPr>
              <w:t>Tonnes éq CO</w:t>
            </w:r>
            <w:r>
              <w:rPr>
                <w:color w:val="1E1E1E"/>
                <w:sz w:val="20"/>
                <w:vertAlign w:val="subscript"/>
              </w:rPr>
              <w:t>2</w:t>
            </w:r>
          </w:p>
        </w:tc>
        <w:tc>
          <w:tcPr>
            <w:tcW w:w="683" w:type="pct"/>
            <w:tcBorders>
              <w:top w:val="single" w:sz="4" w:space="0" w:color="auto"/>
              <w:left w:val="single" w:sz="4" w:space="0" w:color="auto"/>
              <w:bottom w:val="single" w:sz="4" w:space="0" w:color="auto"/>
              <w:right w:val="single" w:sz="4" w:space="0" w:color="auto"/>
            </w:tcBorders>
            <w:noWrap/>
            <w:vAlign w:val="center"/>
          </w:tcPr>
          <w:p w14:paraId="5C595C0E" w14:textId="5E9D9AA2" w:rsidR="009823F2" w:rsidRPr="00F13A90" w:rsidRDefault="009823F2" w:rsidP="009823F2">
            <w:pPr>
              <w:jc w:val="center"/>
              <w:rPr>
                <w:color w:val="000000"/>
                <w:sz w:val="20"/>
                <w:szCs w:val="20"/>
              </w:rPr>
            </w:pPr>
            <w:r>
              <w:rPr>
                <w:color w:val="000000"/>
                <w:sz w:val="20"/>
              </w:rPr>
              <w:t>607 767</w:t>
            </w:r>
          </w:p>
        </w:tc>
        <w:tc>
          <w:tcPr>
            <w:tcW w:w="683" w:type="pct"/>
            <w:tcBorders>
              <w:top w:val="single" w:sz="4" w:space="0" w:color="auto"/>
              <w:left w:val="single" w:sz="4" w:space="0" w:color="auto"/>
              <w:bottom w:val="single" w:sz="4" w:space="0" w:color="auto"/>
              <w:right w:val="single" w:sz="4" w:space="0" w:color="auto"/>
            </w:tcBorders>
            <w:noWrap/>
            <w:vAlign w:val="center"/>
          </w:tcPr>
          <w:p w14:paraId="6B2D6F8F" w14:textId="05CDF6BA" w:rsidR="009823F2" w:rsidRPr="00F13A90" w:rsidRDefault="009823F2" w:rsidP="009823F2">
            <w:pPr>
              <w:jc w:val="center"/>
              <w:rPr>
                <w:color w:val="000000"/>
                <w:sz w:val="20"/>
                <w:szCs w:val="20"/>
              </w:rPr>
            </w:pPr>
            <w:r>
              <w:rPr>
                <w:color w:val="000000"/>
                <w:sz w:val="20"/>
              </w:rPr>
              <w:t>635 045</w:t>
            </w:r>
          </w:p>
        </w:tc>
        <w:tc>
          <w:tcPr>
            <w:tcW w:w="683"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91D9F0F" w14:textId="23E422B3" w:rsidR="009823F2" w:rsidRPr="00F13A90" w:rsidRDefault="009823F2" w:rsidP="009823F2">
            <w:pPr>
              <w:jc w:val="center"/>
              <w:rPr>
                <w:color w:val="000000"/>
                <w:sz w:val="20"/>
                <w:szCs w:val="20"/>
              </w:rPr>
            </w:pPr>
            <w:r>
              <w:rPr>
                <w:color w:val="000000"/>
                <w:sz w:val="20"/>
              </w:rPr>
              <w:t>852 133</w:t>
            </w:r>
          </w:p>
        </w:tc>
        <w:tc>
          <w:tcPr>
            <w:tcW w:w="681" w:type="pct"/>
            <w:tcBorders>
              <w:top w:val="single" w:sz="4" w:space="0" w:color="auto"/>
              <w:left w:val="single" w:sz="4" w:space="0" w:color="auto"/>
              <w:bottom w:val="single" w:sz="4" w:space="0" w:color="auto"/>
              <w:right w:val="single" w:sz="4" w:space="0" w:color="auto"/>
            </w:tcBorders>
            <w:vAlign w:val="center"/>
          </w:tcPr>
          <w:p w14:paraId="106BE1B0" w14:textId="534FFBBA" w:rsidR="009823F2" w:rsidRPr="00F13A90" w:rsidRDefault="009823F2" w:rsidP="009823F2">
            <w:pPr>
              <w:jc w:val="center"/>
              <w:rPr>
                <w:color w:val="000000" w:themeColor="text1"/>
                <w:sz w:val="20"/>
                <w:szCs w:val="20"/>
              </w:rPr>
            </w:pPr>
            <w:r>
              <w:rPr>
                <w:color w:val="000000"/>
                <w:sz w:val="20"/>
              </w:rPr>
              <w:t>736 797</w:t>
            </w:r>
          </w:p>
        </w:tc>
        <w:tc>
          <w:tcPr>
            <w:tcW w:w="681" w:type="pct"/>
            <w:vAlign w:val="center"/>
          </w:tcPr>
          <w:p w14:paraId="4A557D68" w14:textId="501688E8" w:rsidR="009823F2" w:rsidRPr="00F13A90" w:rsidRDefault="00A8427B" w:rsidP="009823F2">
            <w:pPr>
              <w:jc w:val="center"/>
              <w:rPr>
                <w:color w:val="000000" w:themeColor="text1"/>
                <w:sz w:val="20"/>
                <w:szCs w:val="20"/>
              </w:rPr>
            </w:pPr>
            <w:r>
              <w:rPr>
                <w:color w:val="000000" w:themeColor="text1"/>
                <w:sz w:val="20"/>
              </w:rPr>
              <w:t>1 116 869</w:t>
            </w:r>
          </w:p>
        </w:tc>
      </w:tr>
    </w:tbl>
    <w:p w14:paraId="2D2AED1B" w14:textId="77777777" w:rsidR="00DC185C" w:rsidRPr="00F41491" w:rsidRDefault="00DC185C" w:rsidP="00DC185C">
      <w:pPr>
        <w:tabs>
          <w:tab w:val="left" w:pos="1384"/>
          <w:tab w:val="left" w:pos="2917"/>
          <w:tab w:val="left" w:pos="4289"/>
          <w:tab w:val="left" w:pos="5581"/>
          <w:tab w:val="left" w:pos="6875"/>
          <w:tab w:val="left" w:pos="8169"/>
        </w:tabs>
        <w:ind w:left="113"/>
        <w:jc w:val="left"/>
        <w:rPr>
          <w:color w:val="000000" w:themeColor="text1"/>
          <w:sz w:val="20"/>
          <w:szCs w:val="20"/>
          <w:lang w:val="en-GB" w:eastAsia="en-CA"/>
        </w:rPr>
      </w:pPr>
    </w:p>
    <w:p w14:paraId="1200AD53" w14:textId="6E34AFCB" w:rsidR="00F94449" w:rsidRPr="007A4260" w:rsidRDefault="00F94449" w:rsidP="008F56EC">
      <w:pPr>
        <w:pStyle w:val="Heading1"/>
      </w:pPr>
      <w:r>
        <w:t>On note une consommation irrégulière de HFC, due en grande partie aux répercussions de la pandémie de COVID-19, avec une baisse notable en 2020 et 2021 en raison de la réduction de l’entretien des équipements de climatisation et de réfrigération pendant la pandémie, suivie d’importations importantes en prévision d’une demande élevée en matière d’entretien en 2022. Cependant, ces quantités nécessaires ont probablement été surestimées et ont été utilisées en 2023, entra</w:t>
      </w:r>
      <w:r w:rsidR="00E800CD">
        <w:t>î</w:t>
      </w:r>
      <w:r>
        <w:t>nant une réduction des quantités importées pour cette année-là. Même si</w:t>
      </w:r>
      <w:r w:rsidR="00E800CD">
        <w:t xml:space="preserve"> </w:t>
      </w:r>
      <w:r>
        <w:t xml:space="preserve">la consommation </w:t>
      </w:r>
      <w:r w:rsidR="00E800CD">
        <w:t xml:space="preserve">de 2024 </w:t>
      </w:r>
      <w:r>
        <w:t>est nettement supérieure à celle des années précédentes, elle reste inférieure au niveau de consommation admissible au titre des mesures de contrôle du Protocole de Montréal et dans le cadre de l’Accord du KIP, et respecte le quota de 2024 déclaré par le pays pour la phase I du KIP</w:t>
      </w:r>
      <w:r w:rsidR="00B25071" w:rsidRPr="008034F5">
        <w:rPr>
          <w:rStyle w:val="FootnoteReference"/>
        </w:rPr>
        <w:footnoteReference w:id="8"/>
      </w:r>
      <w:r>
        <w:t>.</w:t>
      </w:r>
    </w:p>
    <w:p w14:paraId="586ADC32" w14:textId="0D794E18" w:rsidR="007D4867" w:rsidRPr="0041076D" w:rsidRDefault="00EA4F5A" w:rsidP="007D4867">
      <w:pPr>
        <w:numPr>
          <w:ilvl w:val="0"/>
          <w:numId w:val="1"/>
        </w:numPr>
        <w:spacing w:after="240"/>
        <w:outlineLvl w:val="0"/>
      </w:pPr>
      <w:r>
        <w:lastRenderedPageBreak/>
        <w:t xml:space="preserve">Conformément à ce qui a été communiqué dans le KIP, le second poste de consommation de HFC le plus élevé concerne les systèmes de climatisation résidentielle, qui représentent 17,4 pour cent de la consommation totale de HFC en tm </w:t>
      </w:r>
      <w:r w:rsidR="00B37610">
        <w:t>et</w:t>
      </w:r>
      <w:r>
        <w:t xml:space="preserve"> 19,2 pour cent en tonnes éq. CO</w:t>
      </w:r>
      <w:r>
        <w:rPr>
          <w:vertAlign w:val="subscript"/>
        </w:rPr>
        <w:t>2</w:t>
      </w:r>
      <w:r>
        <w:t>. On estime à 694 872 le nombre de climatiseurs de type fenêtre, split et portable consommant des HFC dans le sous-secteur de la climatisation résidentielle du pays, avec différents taux de fuite allant de 10 pour cent jusqu’à 50 pour cent. La majorité des appareils fonctionnant aux HFC de ce sous-secteur sont des appareils split à base de R</w:t>
      </w:r>
      <w:r>
        <w:noBreakHyphen/>
        <w:t>410A, même si le pays compte encore quelques vieux équipements de climatisation résidentielle au HCFC-22.</w:t>
      </w:r>
    </w:p>
    <w:p w14:paraId="69817FAD" w14:textId="4E86647E" w:rsidR="00DC185C" w:rsidRPr="00212A1D" w:rsidRDefault="004054C8" w:rsidP="000A48E1">
      <w:pPr>
        <w:numPr>
          <w:ilvl w:val="0"/>
          <w:numId w:val="1"/>
        </w:numPr>
        <w:spacing w:after="240"/>
        <w:outlineLvl w:val="0"/>
      </w:pPr>
      <w:r>
        <w:t>D’après les rapports de mise en œuvre du programme du pays, la consommation de R-410A a fortement augmenté en 2024 pour atteindre 238,02 tm (496 986 tonnes éq</w:t>
      </w:r>
      <w:r w:rsidR="00BF00E0">
        <w:t>.</w:t>
      </w:r>
      <w:r>
        <w:t> CO</w:t>
      </w:r>
      <w:r>
        <w:rPr>
          <w:vertAlign w:val="subscript"/>
        </w:rPr>
        <w:t>2</w:t>
      </w:r>
      <w:r>
        <w:t>) comparativement aux 128,82 tm (268 976 tonnes éq</w:t>
      </w:r>
      <w:r w:rsidR="00BF00E0">
        <w:t>.</w:t>
      </w:r>
      <w:r>
        <w:t> CO</w:t>
      </w:r>
      <w:r>
        <w:rPr>
          <w:vertAlign w:val="subscript"/>
        </w:rPr>
        <w:t>2</w:t>
      </w:r>
      <w:r>
        <w:t>) de 2023.</w:t>
      </w:r>
    </w:p>
    <w:p w14:paraId="172CB7F1" w14:textId="078AEC4F" w:rsidR="00DC185C" w:rsidRPr="00270B8A" w:rsidRDefault="00DC185C" w:rsidP="00DC185C">
      <w:pPr>
        <w:spacing w:after="240"/>
        <w:outlineLvl w:val="0"/>
        <w:rPr>
          <w:u w:val="single"/>
        </w:rPr>
      </w:pPr>
      <w:bookmarkStart w:id="4" w:name="_Hlk126662278"/>
      <w:bookmarkStart w:id="5" w:name="_Hlk126934445"/>
      <w:r>
        <w:rPr>
          <w:u w:val="single"/>
        </w:rPr>
        <w:t>Objectifs du projet</w:t>
      </w:r>
    </w:p>
    <w:p w14:paraId="270EC034" w14:textId="0C3ED07E" w:rsidR="00377095" w:rsidRPr="002A1BAA" w:rsidRDefault="00F03FFA">
      <w:pPr>
        <w:pStyle w:val="Heading1"/>
      </w:pPr>
      <w:r>
        <w:t>Le projet pilote a pour but d’apporter la preuve de l’efficacité et du bien-fondé de la technologie de climatisation à base de R</w:t>
      </w:r>
      <w:r>
        <w:noBreakHyphen/>
        <w:t>290 à faible PRP et à haut rendement énergétique, en remplaçant 211 climatiseurs répartis dans trois hôpitaux publics, et en présentant les avantages qu’il y a appliquer de bonnes techniques de manipulation et de gestion des frigorigènes et de bonnes pratiques d’entretien en réfrigération et climatisation, en termes d’énergie, d’émissions et d’économies financières, pour faciliter l’acceptation du marché.</w:t>
      </w:r>
    </w:p>
    <w:p w14:paraId="535ABA67" w14:textId="7160DEDD" w:rsidR="005B245B" w:rsidRPr="005A5DE4" w:rsidRDefault="005B245B" w:rsidP="003B46A7">
      <w:pPr>
        <w:pStyle w:val="Heading1"/>
      </w:pPr>
      <w:r>
        <w:t>Le projet intègrera aussi un renforcement de la capacité, avec notamment la fourniture d’équipements de mesure de la consommation énergétique adaptés aux climatiseurs utilisés dans les hôpitaux ; et des formations sur : (i) la mesure et la vérification de la performance énergétique, (ii) la surveillance en continu des équipements pour réaliser des économies d’énergie durables, (iii) la maintenance et les bonnes pratiques en matière d’entretien, et (iv) le dimensionnement, l’installation et la mise au rebut des équipements. Le renforcement de la capacité couvre également la bonne manipulation et la gestion appropriée des frigorigènes, notamment ceux qui sont inflammables, grâce à la fourniture d’équipements et d’outils ; une formation à l’utilisation correcte des équipements et l’interprétation des résultats ; ainsi qu’une formation sur les normes et la réglementation.</w:t>
      </w:r>
    </w:p>
    <w:p w14:paraId="686B66F6" w14:textId="7BFF3E09" w:rsidR="00DC185C" w:rsidRPr="005A5DE4" w:rsidRDefault="001F0F99" w:rsidP="00DC185C">
      <w:pPr>
        <w:keepNext/>
        <w:spacing w:before="240" w:after="240"/>
        <w:outlineLvl w:val="0"/>
        <w:rPr>
          <w:u w:val="single"/>
        </w:rPr>
      </w:pPr>
      <w:r>
        <w:rPr>
          <w:u w:val="single"/>
        </w:rPr>
        <w:t>Bénéficiaires</w:t>
      </w:r>
    </w:p>
    <w:p w14:paraId="3FB7C252" w14:textId="25D7B465" w:rsidR="00527469" w:rsidRPr="00527469" w:rsidRDefault="00527469" w:rsidP="00527469">
      <w:pPr>
        <w:pStyle w:val="Heading1"/>
      </w:pPr>
      <w:r>
        <w:t>Les trois hôpitaux choisis pour le projet pilote sont le Centre hospitalier universitaire (CHU) Sylvanus Olympio de Lomé (CHU de Lomé), le Centre hospitalier universitaire de Kara (CHU de Kara) et le Centre hospitalier régional de Sokodé (CHR de Sokodé), où 112, 50 et 41 équipements de climatisation seront respectivement remplacés, pour un total de 203 unités.</w:t>
      </w:r>
    </w:p>
    <w:p w14:paraId="07A6A640" w14:textId="70B6ADCE" w:rsidR="00527469" w:rsidRPr="00527469" w:rsidRDefault="00527469" w:rsidP="00527469">
      <w:pPr>
        <w:pStyle w:val="Heading1"/>
      </w:pPr>
      <w:r>
        <w:t xml:space="preserve">Le recueil de données réalisé dans les trois hôpitaux publics s’est focalisé sur le frigorigène employé dans les équipements de climatisation, leur capacité, leur usage (nombre d’heures d’utilisation par an), leurs conditions de fonctionnement et leur </w:t>
      </w:r>
      <w:r w:rsidR="00FC4F88">
        <w:t>rendement énergétique</w:t>
      </w:r>
      <w:r>
        <w:t xml:space="preserve"> par le biais du coefficient d’efficacité énergétique (EER). Les émissions exprimées en équivalent CO</w:t>
      </w:r>
      <w:r>
        <w:rPr>
          <w:vertAlign w:val="subscript"/>
        </w:rPr>
        <w:t>2</w:t>
      </w:r>
      <w:r>
        <w:t xml:space="preserve"> sont quantifiées par le biais de l’effet total équivalent de réchauffement de la planète (TEWI)</w:t>
      </w:r>
      <w:r w:rsidR="00E049C8">
        <w:rPr>
          <w:rStyle w:val="FootnoteReference"/>
          <w:lang w:val="en-GB"/>
        </w:rPr>
        <w:footnoteReference w:id="9"/>
      </w:r>
      <w:r>
        <w:t xml:space="preserve">. </w:t>
      </w:r>
      <w:r w:rsidR="00FC4F88" w:rsidRPr="00FC4F88">
        <w:t>Les résultats de cette activité ont permis d’effectuer le calcul du TEWI de chaque appareil et de la valeur globale de l’échantillon</w:t>
      </w:r>
      <w:r>
        <w:t>.</w:t>
      </w:r>
    </w:p>
    <w:p w14:paraId="7B59E5A6" w14:textId="79EA9CF3" w:rsidR="00DC185C" w:rsidRPr="005A5DE4" w:rsidRDefault="00A10D0F" w:rsidP="00DC185C">
      <w:pPr>
        <w:keepNext/>
        <w:numPr>
          <w:ilvl w:val="0"/>
          <w:numId w:val="1"/>
        </w:numPr>
        <w:spacing w:before="240" w:after="240"/>
        <w:outlineLvl w:val="0"/>
      </w:pPr>
      <w:r>
        <w:t>Il a été montré que l’emploi du frigorigène R-290 dans les petits climatiseurs de pièce a un effet positif sur la réduction des émissions aussi bien directes qu’indirectes, entraînant une hausse du rendement énergétique. Le remplacement des 203 climatiseurs sur l’ensemble des trois hôpitaux bénéficiaires nécessite 211 unités des modèles disponibles de 12 000 et 18 000 Btu/h</w:t>
      </w:r>
      <w:r w:rsidR="00D82753">
        <w:rPr>
          <w:rStyle w:val="FootnoteReference"/>
          <w:lang w:val="en-GB"/>
        </w:rPr>
        <w:footnoteReference w:id="10"/>
      </w:r>
      <w:r>
        <w:t xml:space="preserve"> pour </w:t>
      </w:r>
      <w:r w:rsidR="00FC4F88">
        <w:t>atteindre</w:t>
      </w:r>
      <w:r>
        <w:t xml:space="preserve"> le même </w:t>
      </w:r>
      <w:r>
        <w:lastRenderedPageBreak/>
        <w:t>refroidissement. Les nouveaux climatiseurs seront répartis entre les différents hôpitaux de manière assez similaire à la situation actuelle, le CHU de Lomé accueillant 55 pour cent des appareils, le CHU de Kara 25 pour cent et le CHR de Sokodé 20 pour cent.</w:t>
      </w:r>
    </w:p>
    <w:p w14:paraId="268C9F39" w14:textId="5B816F45" w:rsidR="00DC185C" w:rsidRPr="00FA5504" w:rsidRDefault="00DC185C" w:rsidP="00DC185C">
      <w:pPr>
        <w:keepNext/>
        <w:spacing w:before="240" w:after="240"/>
      </w:pPr>
      <w:r>
        <w:rPr>
          <w:u w:val="single"/>
        </w:rPr>
        <w:t>Activités proposées</w:t>
      </w:r>
    </w:p>
    <w:p w14:paraId="7BC5054D" w14:textId="77777777" w:rsidR="00DC185C" w:rsidRPr="005A42E2" w:rsidRDefault="00DC185C" w:rsidP="005E73F9">
      <w:pPr>
        <w:numPr>
          <w:ilvl w:val="0"/>
          <w:numId w:val="1"/>
        </w:numPr>
        <w:spacing w:after="240"/>
        <w:outlineLvl w:val="0"/>
      </w:pPr>
      <w:r>
        <w:t>Les activités, ainsi que la ventilation de leurs coûts (conformément à la demande initiale), sont décrites ci-dessous :</w:t>
      </w:r>
    </w:p>
    <w:p w14:paraId="506952A2" w14:textId="1E5131C0" w:rsidR="00DC185C" w:rsidRPr="006F3283" w:rsidRDefault="004C2226" w:rsidP="00864479">
      <w:pPr>
        <w:pStyle w:val="Heading2"/>
      </w:pPr>
      <w:r>
        <w:t>Démonstration d’équipements de climatisation fonctionnant au R-290 et mesure et suivi de leur consommation d’énergie (201 160 $US) : achat, livraison et installation de 128 climatiseurs au R-290 de 12 000 Btu/h (76 800</w:t>
      </w:r>
      <w:r w:rsidR="007A260B">
        <w:t xml:space="preserve"> </w:t>
      </w:r>
      <w:r>
        <w:t>$US) et de 83 climatiseurs au R</w:t>
      </w:r>
      <w:r>
        <w:noBreakHyphen/>
        <w:t>290 de 18 000 Btu/h (59 760 $US) ; achat et installation de 20 appareils de mesure d’énergie avec un enregistreur de données pour suivre l’efficacité et la consommation d’énergie des équipements installés (11 000 $US) ; configuration, recueil de données, suivi et remise de rapports sur les mesures d’énergie réalisées sur les sites de démonstration pendant deux ans (33 600 $US) ; et imprévus (20 000 $US) ;</w:t>
      </w:r>
    </w:p>
    <w:p w14:paraId="0B118C67" w14:textId="2329AA20" w:rsidR="005A42E2" w:rsidRPr="00073897" w:rsidRDefault="00337906" w:rsidP="00337906">
      <w:pPr>
        <w:pStyle w:val="Heading2"/>
      </w:pPr>
      <w:r>
        <w:rPr>
          <w:i/>
        </w:rPr>
        <w:t>Formation des techniciens, des installateurs et des entreprises chargées de l’entretien (134 500 $US)</w:t>
      </w:r>
      <w:r>
        <w:t xml:space="preserve"> : </w:t>
      </w:r>
      <w:r w:rsidR="00FC4F88">
        <w:t>f</w:t>
      </w:r>
      <w:r>
        <w:t xml:space="preserve">ormation à la mise en œuvre et au suivi du projet de démonstration (17 000 $US) ; formation à la manipulation et à la gestion des frigorigènes inflammables (32 300 $US) ; embauche d’un consultant international pour définir une méthode de </w:t>
      </w:r>
      <w:r>
        <w:rPr>
          <w:rStyle w:val="CommentReference"/>
          <w:sz w:val="22"/>
        </w:rPr>
        <w:t>mesure de l’énergie</w:t>
      </w:r>
      <w:r>
        <w:t>, organiser la supervision à distance et remettre des rapports (43 200 $US) ; fourniture de 12 climatiseurs fonctionnant au R-290, ainsi que d’équipements et d’outils nécessaires à la manipulation et à la récupération des frigorigènes pour un centre de formation (42 000 $US) ; et</w:t>
      </w:r>
    </w:p>
    <w:p w14:paraId="539051E8" w14:textId="2FEA2F00" w:rsidR="00380041" w:rsidRPr="00073897" w:rsidRDefault="00380041" w:rsidP="005E73F9">
      <w:pPr>
        <w:numPr>
          <w:ilvl w:val="1"/>
          <w:numId w:val="1"/>
        </w:numPr>
        <w:spacing w:after="240"/>
        <w:outlineLvl w:val="1"/>
      </w:pPr>
      <w:r>
        <w:rPr>
          <w:i/>
        </w:rPr>
        <w:t>Communication, vulgarisation et normes (24 500 $US)</w:t>
      </w:r>
      <w:r>
        <w:t> : campagnes de vulgarisation (9 000 $US) ; visites de site (1 500 $US) ; présentation des résultats à plusieurs conférences, notamment à des réunions en lien avec le Protocole de Montréal (4 000 $US) ; soutien à l’adoption de normes de sécurité pertinentes par le marché local, incluant la mise à jour des normes locales et une étude sur les besoins du marché en matière d’utilisation des normes (10 000 $US).</w:t>
      </w:r>
    </w:p>
    <w:p w14:paraId="139EB878" w14:textId="0F96937E" w:rsidR="00DA0FD2" w:rsidRPr="0089302B" w:rsidRDefault="00DA0FD2" w:rsidP="001E3316">
      <w:pPr>
        <w:keepNext/>
        <w:keepLines/>
        <w:spacing w:before="240" w:after="240"/>
        <w:rPr>
          <w:u w:val="single"/>
        </w:rPr>
      </w:pPr>
      <w:r>
        <w:rPr>
          <w:u w:val="single"/>
        </w:rPr>
        <w:t>Améliorations de l’efficacité énergétique et estimation préliminaire des économies d’électricité</w:t>
      </w:r>
    </w:p>
    <w:p w14:paraId="43F3B6B1" w14:textId="55BFB973" w:rsidR="00A1562C" w:rsidRPr="00D77897" w:rsidRDefault="00FB3E3E" w:rsidP="00E507B8">
      <w:pPr>
        <w:numPr>
          <w:ilvl w:val="0"/>
          <w:numId w:val="1"/>
        </w:numPr>
        <w:spacing w:after="240"/>
        <w:outlineLvl w:val="0"/>
      </w:pPr>
      <w:r>
        <w:t>La proposition de projet contenait une analyse détaillée des résultats attendus à l’avenir, exprimés sous la forme du TEWI et de l’EER moyen des équipements, montrant la consommation d’énergie totale sur une période de dix ans, durée de vie moyenne des climatiseurs split au Togo. La consommation d’énergie de référence donne un total de 9 900 MWh</w:t>
      </w:r>
      <w:r w:rsidR="00526C15">
        <w:rPr>
          <w:rStyle w:val="FootnoteReference"/>
        </w:rPr>
        <w:footnoteReference w:id="11"/>
      </w:r>
      <w:r>
        <w:t>/10 ans et des émissions estimées à 4 729 tonnes d’équivalent CO</w:t>
      </w:r>
      <w:r>
        <w:rPr>
          <w:vertAlign w:val="subscript"/>
        </w:rPr>
        <w:t>2</w:t>
      </w:r>
      <w:r>
        <w:t>/10 ans pour les capacités actuelles et avec les climatiseurs à base de HFC actuels présentant un faible EER de 2,8. En utilisant des climatiseurs au R</w:t>
      </w:r>
      <w:r>
        <w:noBreakHyphen/>
        <w:t xml:space="preserve">290 avec un EER supérieur de 3,5 et en améliorant les pratiques de manipulation des frigorigènes et de maintenance des équipements, on aboutirait à une consommation totale d’énergie de 5,999 MWh/10 ans et </w:t>
      </w:r>
      <w:r w:rsidR="00FC4F88">
        <w:t xml:space="preserve">à </w:t>
      </w:r>
      <w:r>
        <w:t>des émissions estimées à 2 496 tonnes d’équivalent CO</w:t>
      </w:r>
      <w:r>
        <w:rPr>
          <w:vertAlign w:val="subscript"/>
        </w:rPr>
        <w:t>2</w:t>
      </w:r>
      <w:r>
        <w:t xml:space="preserve">/10 ans. Le Gouvernement de l’Allemagne a fourni pour les trois sites sélectionnés des calculs détaillés </w:t>
      </w:r>
      <w:r w:rsidR="00FC4F88">
        <w:t>sur</w:t>
      </w:r>
      <w:r>
        <w:t xml:space="preserve"> la capacité de refroidissement, l’emplacement, la charge, </w:t>
      </w:r>
      <w:r w:rsidR="00FC4F88">
        <w:t>le</w:t>
      </w:r>
      <w:r>
        <w:t xml:space="preserve"> niveau de consommation d’énergie et </w:t>
      </w:r>
      <w:r w:rsidR="00FC4F88">
        <w:t>l</w:t>
      </w:r>
      <w:r>
        <w:t>es émissions indirectes.</w:t>
      </w:r>
    </w:p>
    <w:p w14:paraId="6DD34192" w14:textId="5328167E" w:rsidR="00DC185C" w:rsidRPr="00A1562C" w:rsidRDefault="00DC185C" w:rsidP="00652D10">
      <w:pPr>
        <w:keepNext/>
        <w:keepLines/>
        <w:spacing w:after="240"/>
        <w:outlineLvl w:val="0"/>
      </w:pPr>
      <w:r>
        <w:rPr>
          <w:u w:val="single"/>
        </w:rPr>
        <w:lastRenderedPageBreak/>
        <w:t>Coût total du projet pilote</w:t>
      </w:r>
    </w:p>
    <w:p w14:paraId="25DD50AC" w14:textId="66B9A84F" w:rsidR="00DC185C" w:rsidRPr="00FE343E" w:rsidRDefault="00DC185C" w:rsidP="00D21171">
      <w:pPr>
        <w:keepNext/>
        <w:keepLines/>
        <w:numPr>
          <w:ilvl w:val="0"/>
          <w:numId w:val="1"/>
        </w:numPr>
        <w:spacing w:after="240"/>
        <w:outlineLvl w:val="0"/>
        <w:rPr>
          <w:b/>
          <w:bCs/>
        </w:rPr>
      </w:pPr>
      <w:r>
        <w:t>Le projet devrait être achevé 30 mois après son approbation, entre janvier 2026 et juin 2028, pour un montant total de 360 160 $US, conformément à la demande initiale.</w:t>
      </w:r>
      <w:bookmarkEnd w:id="4"/>
      <w:bookmarkEnd w:id="5"/>
    </w:p>
    <w:p w14:paraId="366C97E6" w14:textId="77777777" w:rsidR="00DC185C" w:rsidRPr="00711F4E" w:rsidRDefault="00DC185C" w:rsidP="00DC185C">
      <w:pPr>
        <w:keepNext/>
        <w:jc w:val="center"/>
        <w:rPr>
          <w:b/>
          <w:bCs/>
        </w:rPr>
      </w:pPr>
      <w:r>
        <w:rPr>
          <w:b/>
        </w:rPr>
        <w:t>OBSERVATIONS ET RECOMMANDATIONS DU SECRÉTARIAT</w:t>
      </w:r>
    </w:p>
    <w:p w14:paraId="7F0C32FC" w14:textId="77777777" w:rsidR="00DC185C" w:rsidRPr="007A260B" w:rsidRDefault="00DC185C" w:rsidP="00DC185C">
      <w:pPr>
        <w:keepNext/>
        <w:rPr>
          <w:b/>
          <w:bCs/>
        </w:rPr>
      </w:pPr>
    </w:p>
    <w:p w14:paraId="120CE4FC" w14:textId="77777777" w:rsidR="00DC185C" w:rsidRPr="00711F4E" w:rsidRDefault="00DC185C" w:rsidP="00DC185C">
      <w:pPr>
        <w:keepNext/>
        <w:rPr>
          <w:b/>
          <w:bCs/>
        </w:rPr>
      </w:pPr>
      <w:r>
        <w:rPr>
          <w:b/>
        </w:rPr>
        <w:t>OBSERVATIONS</w:t>
      </w:r>
    </w:p>
    <w:p w14:paraId="13B95FB5" w14:textId="77777777" w:rsidR="00DC185C" w:rsidRPr="00711F4E" w:rsidRDefault="00DC185C" w:rsidP="00DC185C">
      <w:pPr>
        <w:numPr>
          <w:ilvl w:val="0"/>
          <w:numId w:val="1"/>
        </w:numPr>
        <w:spacing w:before="240" w:after="240"/>
        <w:outlineLvl w:val="0"/>
      </w:pPr>
      <w:r>
        <w:t>Le Secrétariat a examiné la proposition de projet à la lumière des activités décrites dans le cadre des décisions 89/6 et 91/65 et de celles en cours de mise en œuvre au titre de la phase I du KIP.</w:t>
      </w:r>
    </w:p>
    <w:p w14:paraId="49995328" w14:textId="7B7AD05D" w:rsidR="00DC185C" w:rsidRPr="00711F4E" w:rsidRDefault="00DC185C" w:rsidP="00DC185C">
      <w:pPr>
        <w:keepNext/>
        <w:spacing w:before="240" w:after="240"/>
        <w:rPr>
          <w:u w:val="single"/>
        </w:rPr>
      </w:pPr>
      <w:r>
        <w:rPr>
          <w:u w:val="single"/>
        </w:rPr>
        <w:t>Recevabilité au titre de la décision 91/65</w:t>
      </w:r>
    </w:p>
    <w:p w14:paraId="27A0DAAF" w14:textId="4162A318" w:rsidR="00DC185C" w:rsidRPr="00586FD7" w:rsidRDefault="00DC185C" w:rsidP="00DC185C">
      <w:pPr>
        <w:numPr>
          <w:ilvl w:val="0"/>
          <w:numId w:val="1"/>
        </w:numPr>
        <w:spacing w:after="240"/>
        <w:outlineLvl w:val="0"/>
      </w:pPr>
      <w:r>
        <w:t>Conformément à la décision 91/65 b) iv), le Gouvernement du Togo a confirmé que si le Togo décide de mobiliser des fonds provenant d’autres sources que le Fonds multilatéral pour les volets liés à l’efficacité énergétique lors de l’élimination des HFC, le projet n’entraînera pas de duplication des activités entre celles financées par le Fonds multilatéral et celles financées par d’autres sources ; que les informations sur l’état d’avancement du projet, les résultats et les principaux enseignements seront rendus disponibles, le cas échéant ; que la date d’achèvement du projet sera fixée à 30 mois au maximum après la date d’approbation par le Comité exécutif et qu’un rapport de projet détaillé sera remis au Comité exécutif dans les six mois suivant la date d’achèvement du projet.</w:t>
      </w:r>
    </w:p>
    <w:p w14:paraId="60F22A70" w14:textId="77777777" w:rsidR="00DC185C" w:rsidRPr="00586FD7" w:rsidRDefault="00DC185C" w:rsidP="00DC185C">
      <w:pPr>
        <w:keepNext/>
        <w:rPr>
          <w:u w:val="single"/>
        </w:rPr>
      </w:pPr>
      <w:r>
        <w:rPr>
          <w:u w:val="single"/>
        </w:rPr>
        <w:t>Lien avec la réduction des HFC et le plan de mise en œuvre de l’Amendement de Kigali concernant les HFC</w:t>
      </w:r>
    </w:p>
    <w:p w14:paraId="4552F3BD" w14:textId="77777777" w:rsidR="00DC185C" w:rsidRPr="007A260B" w:rsidRDefault="00DC185C" w:rsidP="00DC185C">
      <w:pPr>
        <w:keepNext/>
        <w:rPr>
          <w:highlight w:val="yellow"/>
        </w:rPr>
      </w:pPr>
    </w:p>
    <w:p w14:paraId="088A04C2" w14:textId="26FD76C1" w:rsidR="007A191A" w:rsidRPr="006D1FBE" w:rsidRDefault="00252A3B" w:rsidP="00C01432">
      <w:pPr>
        <w:pStyle w:val="Heading1"/>
        <w:rPr>
          <w:color w:val="000000" w:themeColor="text1"/>
        </w:rPr>
      </w:pPr>
      <w:r>
        <w:t>En réponse à la demande du Secrétariat concernant les activités incluses dans la phase I du KIP</w:t>
      </w:r>
      <w:r w:rsidR="008F714E">
        <w:rPr>
          <w:rStyle w:val="FootnoteReference"/>
          <w:color w:val="000000" w:themeColor="text1"/>
        </w:rPr>
        <w:footnoteReference w:id="12"/>
      </w:r>
      <w:r>
        <w:t>, le Gouvernement d</w:t>
      </w:r>
      <w:r w:rsidR="0068463B">
        <w:t>u Royaume-Uni</w:t>
      </w:r>
      <w:r>
        <w:t xml:space="preserve"> a expliqué que ce projet permettra d’introduire des équipements à faible PRP, ce qui aidera à atteindre les objectifs du KIP visant à éliminer progressivement les HFC et à accélérer la transition vers des technologies conformes au KIP. Le projet montrera également les économies d’énergie et les avantages pour le climat que procurera la réduction des HFC dans un secteur de consommation essentiel du Togo. Avec la mise en œuvre du projet pilote et les </w:t>
      </w:r>
      <w:r>
        <w:rPr>
          <w:color w:val="000000" w:themeColor="text1"/>
        </w:rPr>
        <w:t>activités du KIP, le Gouvernement du Togo surveillera les besoins du marché local, l’adoption des solutions de remplacement et les résultats de la démonstration pilote et envisagera d’interdire les équipements à base de HFC à fort PRP en 2030. Une analyse détaillée devrait être remise au cours de la deuxième tranche de la phase I du KIP.</w:t>
      </w:r>
    </w:p>
    <w:p w14:paraId="3F23192E" w14:textId="69F3A907" w:rsidR="00C57A48" w:rsidRDefault="004B22C4" w:rsidP="00C01432">
      <w:pPr>
        <w:pStyle w:val="Heading1"/>
      </w:pPr>
      <w:r>
        <w:t xml:space="preserve">En ce qui concerne le lien avec la formation à la sécurité sur les installations de réfrigération et </w:t>
      </w:r>
      <w:r w:rsidR="00BA1161">
        <w:t xml:space="preserve">de </w:t>
      </w:r>
      <w:r>
        <w:t xml:space="preserve">climatisation, ce projet complète les actions déjà menées dans le cadre du PGEH et la formation prévue au titre du KIP. Le Gouvernement </w:t>
      </w:r>
      <w:r w:rsidR="0068463B">
        <w:t>du Royaume-Uni</w:t>
      </w:r>
      <w:r>
        <w:t xml:space="preserve"> a précisé que le PGEH renforce la capacité des techniciens concernant les bonnes pratiques de manipulation des frigorigènes et la réduction des émissions durant les opérations de maintenance, tandis que le KIP mettra l’accent sur la transition vers des technologies à faible PRP. La formation proposée dans le cadre du projet pilote permettra de renforcer la capacité, en mettant l’accent sur les risques spécifiquement associés aux frigorigènes de remplacement inflammables durant l’installation et sur la sécurité des locaux et des équipements.</w:t>
      </w:r>
    </w:p>
    <w:p w14:paraId="612A3089" w14:textId="77777777" w:rsidR="00E759CA" w:rsidRDefault="00E759CA" w:rsidP="00E759CA"/>
    <w:p w14:paraId="2A0661AC" w14:textId="77777777" w:rsidR="00E759CA" w:rsidRDefault="00E759CA" w:rsidP="00E759CA"/>
    <w:p w14:paraId="470D8FFF" w14:textId="77777777" w:rsidR="00E759CA" w:rsidRDefault="00E759CA" w:rsidP="00E759CA"/>
    <w:p w14:paraId="0FE7DE1D" w14:textId="77777777" w:rsidR="00E759CA" w:rsidRPr="00E759CA" w:rsidRDefault="00E759CA" w:rsidP="00E759CA"/>
    <w:p w14:paraId="40A809A3" w14:textId="14D4AE9F" w:rsidR="008950D4" w:rsidRDefault="008950D4" w:rsidP="00DC185C">
      <w:pPr>
        <w:spacing w:after="240"/>
        <w:outlineLvl w:val="0"/>
        <w:rPr>
          <w:u w:val="single"/>
        </w:rPr>
      </w:pPr>
      <w:r>
        <w:rPr>
          <w:u w:val="single"/>
        </w:rPr>
        <w:lastRenderedPageBreak/>
        <w:t>Cadres politique, réglementaire et institutionnel</w:t>
      </w:r>
    </w:p>
    <w:p w14:paraId="7791678C" w14:textId="77777777" w:rsidR="00763D6B" w:rsidRPr="00370C71" w:rsidRDefault="00763D6B" w:rsidP="00763D6B">
      <w:pPr>
        <w:keepNext/>
        <w:spacing w:after="240"/>
        <w:outlineLvl w:val="0"/>
        <w:rPr>
          <w:i/>
          <w:iCs/>
        </w:rPr>
      </w:pPr>
      <w:r>
        <w:rPr>
          <w:i/>
        </w:rPr>
        <w:t>Normes minimales de performance énergétique</w:t>
      </w:r>
    </w:p>
    <w:p w14:paraId="2501E767" w14:textId="09DB66BC" w:rsidR="00B40E86" w:rsidRPr="00AD7F9B" w:rsidRDefault="006D1387" w:rsidP="00AD7F9B">
      <w:pPr>
        <w:numPr>
          <w:ilvl w:val="0"/>
          <w:numId w:val="1"/>
        </w:numPr>
        <w:spacing w:after="240"/>
        <w:outlineLvl w:val="0"/>
      </w:pPr>
      <w:r>
        <w:t xml:space="preserve">En réponse à la demande du Secrétariat concernant le </w:t>
      </w:r>
      <w:r>
        <w:rPr>
          <w:rFonts w:asciiTheme="majorBidi" w:hAnsiTheme="majorBidi"/>
        </w:rPr>
        <w:t xml:space="preserve">cadre politique national régissant actuellement l’efficacité énergétique et l’état de la mise en œuvre de la </w:t>
      </w:r>
      <w:r>
        <w:t>NMPE d</w:t>
      </w:r>
      <w:r w:rsidR="005544F4">
        <w:t>e la</w:t>
      </w:r>
      <w:r>
        <w:t xml:space="preserve"> CEDEAO (ECOSTAND 071-2:2017), le Gouvernement </w:t>
      </w:r>
      <w:r w:rsidR="0068463B">
        <w:t>du Royaume-Uni</w:t>
      </w:r>
      <w:r>
        <w:t xml:space="preserve"> a expliqué que le PANEE du Togo a pour but de mettre en œuvre </w:t>
      </w:r>
      <w:r w:rsidR="005544F4">
        <w:t>l</w:t>
      </w:r>
      <w:r>
        <w:t>es lignes directrices d</w:t>
      </w:r>
      <w:r w:rsidR="005544F4">
        <w:t xml:space="preserve">e la </w:t>
      </w:r>
      <w:r>
        <w:t>CEDEAO sur l’efficacité énergétique. De plus, l</w:t>
      </w:r>
      <w:r w:rsidR="005544F4">
        <w:t>a</w:t>
      </w:r>
      <w:r>
        <w:t xml:space="preserve"> CEDEAO envisage d’aider chaque état à vulgariser les normes ECOSTAND ; cela contribuera à vulgariser les normes d</w:t>
      </w:r>
      <w:r w:rsidR="005544F4">
        <w:t>e la</w:t>
      </w:r>
      <w:r>
        <w:t xml:space="preserve"> CEDEAO. Les normes harmonisées de la communauté sont mises à la disposition de chaque état membre. </w:t>
      </w:r>
      <w:r w:rsidR="00BA7F0A" w:rsidRPr="00BA7F0A">
        <w:t>En outre, la HAUQE, par le biais de l’Agence togolaise de promotion de la qualité, mène actuellement des activités de sensibilisation aux diverses normes avec des ateliers de sensibilisation, une formation, des comités et en participant à des forums</w:t>
      </w:r>
      <w:r>
        <w:t>.</w:t>
      </w:r>
    </w:p>
    <w:p w14:paraId="2810BD11" w14:textId="77777777" w:rsidR="003C23C6" w:rsidRPr="003C23C6" w:rsidRDefault="003C23C6" w:rsidP="003C23C6">
      <w:pPr>
        <w:spacing w:after="240"/>
        <w:outlineLvl w:val="0"/>
        <w:rPr>
          <w:i/>
          <w:iCs/>
        </w:rPr>
      </w:pPr>
      <w:r>
        <w:rPr>
          <w:i/>
        </w:rPr>
        <w:t>Cadre institutionnel</w:t>
      </w:r>
    </w:p>
    <w:p w14:paraId="0A3DB7BC" w14:textId="5003547C" w:rsidR="003C23C6" w:rsidRPr="00D77897" w:rsidRDefault="00AB66B1" w:rsidP="006052D0">
      <w:pPr>
        <w:pStyle w:val="Heading1"/>
      </w:pPr>
      <w:r>
        <w:t xml:space="preserve">Le Secrétariat s’est renseigné sur les autorités du pays impliquées dans l’efficacité énergétique et sur la manière dont l’UNO coordonnera ses efforts avec ces autorités pour </w:t>
      </w:r>
      <w:r w:rsidR="00BE5CDF">
        <w:t>mettre</w:t>
      </w:r>
      <w:r>
        <w:t xml:space="preserve"> en œuvre du projet. Le Gouvernement </w:t>
      </w:r>
      <w:r w:rsidR="0068463B">
        <w:t xml:space="preserve">du Royaume-Uni </w:t>
      </w:r>
      <w:r>
        <w:t xml:space="preserve">a confirmé que le projet s’efforcera d’impliquer la HAUQE et le Ministère des mines et des ressources énergétiques, qui est l’autorité de surveillance responsable de définir et de mettre en œuvre les politiques énergétiques nationales, notamment celles relatives à l’efficacité énergétique, ainsi que certains services tels que la Direction générale de l’énergie, qui est la structure technique du ministère qui élabore et supervise les programmes sur l’efficacité énergétique. L’Association des frigoristes du Togo, un autre partenaire crucial de l’UNO, apportera son expertise lors de l’assemblage et de la mise en service des climatiseurs, surveillera les équipements après leur installation, et recevra une formation sur les nouvelles technologies et les meilleures pratiques en matière de gestion des frigorigènes. Le Ministère de la santé et de l’hygiène publique, qui est le bénéficiaire direct des équipements, est responsable de garantir le </w:t>
      </w:r>
      <w:r w:rsidR="00BE5CDF">
        <w:t xml:space="preserve">bon </w:t>
      </w:r>
      <w:r>
        <w:t>fonctionnement sur le long terme des appareils installés ; et le Ministère de l’enseignement technique, de la formation professionnelle et de l’apprentissage, est le ministère responsable des centres de formation technique dont les formateurs formeront et sensibiliseront les techniciens travaillant dans les centres bénéficiaires à la maintenance des climatiseurs à faible PRP.</w:t>
      </w:r>
    </w:p>
    <w:p w14:paraId="6A03DA45" w14:textId="0857047C" w:rsidR="003C23C6" w:rsidRPr="003B3AA2" w:rsidRDefault="003C23C6" w:rsidP="003B3AA2">
      <w:pPr>
        <w:pStyle w:val="Heading1"/>
      </w:pPr>
      <w:r>
        <w:t>En pratique, et pour assurer une coordination efficace, l’UNO constituera un comité technique ad hoc qui rassemblera ces différentes institutions selon les besoins ou se reposera sur les membres du comité national de l’ozone provenant de ces différentes structures pour garantir la cohérence des actions, surveiller la conformité réglementaire et normative, et renforcer les capacités des techniciens et des responsables des équipements hospitaliers.</w:t>
      </w:r>
    </w:p>
    <w:p w14:paraId="401A9296" w14:textId="51D004B4" w:rsidR="0049752D" w:rsidRPr="00F175EE" w:rsidRDefault="0049752D" w:rsidP="0049752D">
      <w:pPr>
        <w:spacing w:after="240"/>
        <w:outlineLvl w:val="0"/>
      </w:pPr>
      <w:r>
        <w:rPr>
          <w:u w:val="single"/>
        </w:rPr>
        <w:t>Questions techniques et questions liées aux coûts</w:t>
      </w:r>
    </w:p>
    <w:p w14:paraId="50DDF9D1" w14:textId="4F22A730" w:rsidR="00DC185C" w:rsidRPr="00FA1B34" w:rsidRDefault="00FA1B34" w:rsidP="003C23C6">
      <w:pPr>
        <w:spacing w:after="240"/>
        <w:outlineLvl w:val="0"/>
        <w:rPr>
          <w:i/>
          <w:iCs/>
        </w:rPr>
      </w:pPr>
      <w:r>
        <w:rPr>
          <w:i/>
        </w:rPr>
        <w:t>Choix des bénéficiaires et du nombre d’équipements à remplacer</w:t>
      </w:r>
    </w:p>
    <w:p w14:paraId="01B879C0" w14:textId="15496C39" w:rsidR="00563370" w:rsidRPr="008034F5" w:rsidRDefault="00D36BA0" w:rsidP="00B53F0D">
      <w:pPr>
        <w:pStyle w:val="Heading1"/>
      </w:pPr>
      <w:r>
        <w:t xml:space="preserve">Concernant la sélection des trois hôpitaux publics, le Secrétariat s’est renseigné sur l’âge des équipements à remplacer, </w:t>
      </w:r>
      <w:r w:rsidR="000408EF">
        <w:t xml:space="preserve">sur </w:t>
      </w:r>
      <w:r>
        <w:t xml:space="preserve">le pourcentage des équipements à remplacer par rapport au nombre total d’équipements installés sur les trois sites, et </w:t>
      </w:r>
      <w:r w:rsidR="000408EF">
        <w:t xml:space="preserve">sur </w:t>
      </w:r>
      <w:r>
        <w:t xml:space="preserve">la taille du secteur des soins de santé au Togo. Le Gouvernement </w:t>
      </w:r>
      <w:r w:rsidR="0068463B">
        <w:t xml:space="preserve">du Royaume-Uni </w:t>
      </w:r>
      <w:r>
        <w:t xml:space="preserve">a indiqué que les équipements devant être remplacés allaient des appareils tout juste installés à des appareils de 10 ans d’âge. Les trois hôpitaux choisis possèdent au total 720 équipements, les équipements à remplacer représentent donc environ 30 pour cent du parc total. On estime que le secteur </w:t>
      </w:r>
      <w:r w:rsidR="000408EF">
        <w:t xml:space="preserve">togolais </w:t>
      </w:r>
      <w:r>
        <w:t>des soins de santé compte 207 hôpitaux</w:t>
      </w:r>
      <w:r w:rsidR="008A24EB" w:rsidRPr="00233CBD">
        <w:rPr>
          <w:rStyle w:val="FootnoteReference"/>
          <w:lang w:val="en-GB"/>
        </w:rPr>
        <w:footnoteReference w:id="13"/>
      </w:r>
      <w:r>
        <w:t xml:space="preserve">, les trois hôpitaux bénéficiaires choisis faisant partie des plus gros du pays et tous utilisant des applications de climatisation unitaires. Les climatiseurs qui seront installés en remplacement permettront de déterminer les économies résultant du </w:t>
      </w:r>
      <w:r>
        <w:lastRenderedPageBreak/>
        <w:t>projet et feront la démonstration du déploiement en toute sécurité d’une telle technologie à grande échelle, ce qui facilitera l’adoption de cette technologie par d’autres acteurs du même secteur ou d’autres secteurs publics.</w:t>
      </w:r>
    </w:p>
    <w:p w14:paraId="6BB4448C" w14:textId="0E45F10C" w:rsidR="00624D1C" w:rsidRPr="00874B7F" w:rsidRDefault="00624D1C" w:rsidP="00DC158A">
      <w:pPr>
        <w:pStyle w:val="Heading1"/>
        <w:keepNext/>
        <w:numPr>
          <w:ilvl w:val="0"/>
          <w:numId w:val="0"/>
        </w:numPr>
        <w:rPr>
          <w:i/>
          <w:iCs/>
        </w:rPr>
      </w:pPr>
      <w:r>
        <w:rPr>
          <w:i/>
        </w:rPr>
        <w:t>Activités</w:t>
      </w:r>
    </w:p>
    <w:p w14:paraId="60FE51F9" w14:textId="1AF09143" w:rsidR="00E913AC" w:rsidRPr="00603055" w:rsidRDefault="008C40C8" w:rsidP="00E913AC">
      <w:pPr>
        <w:pStyle w:val="Heading1"/>
        <w:rPr>
          <w:rFonts w:asciiTheme="majorBidi" w:hAnsiTheme="majorBidi" w:cstheme="majorBidi"/>
          <w:color w:val="000000" w:themeColor="text1"/>
        </w:rPr>
      </w:pPr>
      <w:r>
        <w:rPr>
          <w:rFonts w:asciiTheme="majorBidi" w:hAnsiTheme="majorBidi"/>
        </w:rPr>
        <w:t xml:space="preserve">Le </w:t>
      </w:r>
      <w:r>
        <w:rPr>
          <w:rFonts w:asciiTheme="majorBidi" w:hAnsiTheme="majorBidi"/>
          <w:color w:val="000000" w:themeColor="text1"/>
        </w:rPr>
        <w:t xml:space="preserve">Secrétariat s’est renseigné sur les activités particulières que le projet mènera pour soutenir la normalisation nationale et faire adopter les lignes directrices de sécurité applicables, comme indiqué dans la proposition. Le Gouvernement </w:t>
      </w:r>
      <w:r w:rsidR="0068463B">
        <w:t xml:space="preserve">du Royaume-Uni </w:t>
      </w:r>
      <w:r>
        <w:rPr>
          <w:rFonts w:asciiTheme="majorBidi" w:hAnsiTheme="majorBidi"/>
          <w:color w:val="000000" w:themeColor="text1"/>
        </w:rPr>
        <w:t>a précisé</w:t>
      </w:r>
      <w:r>
        <w:rPr>
          <w:color w:val="000000" w:themeColor="text1"/>
        </w:rPr>
        <w:t xml:space="preserve"> que le projet aidera à faire traduire les normes de sécurité en français, organisera des consultations avec les principales parties prenantes pour assurer l’applicabilité des normes, et facilitera l’intégration des normes aux processus de normalisation nationaux en cours qui seront menés de manière coordonnée avec l’UNO et le Bureau national de normalisation.</w:t>
      </w:r>
    </w:p>
    <w:p w14:paraId="1A0509E4" w14:textId="4645C4C0" w:rsidR="0057121E" w:rsidRDefault="000E5B90" w:rsidP="001207C4">
      <w:pPr>
        <w:pStyle w:val="Heading1"/>
      </w:pPr>
      <w:r>
        <w:t xml:space="preserve">En ce qui concerne le champ d’application, la teneur et les publics visés des activités de vulgarisation et de sensibilisation proposées, le Gouvernement </w:t>
      </w:r>
      <w:r w:rsidR="0068463B">
        <w:t xml:space="preserve">du Royaume-Uni </w:t>
      </w:r>
      <w:r>
        <w:t xml:space="preserve">a expliqué que ces activités cibleront à la fois le grand public et les parties prenantes techniques de la chaîne d’entretien des équipements de réfrigération et </w:t>
      </w:r>
      <w:r w:rsidR="00203295">
        <w:t xml:space="preserve">de </w:t>
      </w:r>
      <w:r>
        <w:t>climatisation, pour garantir un effet large et durable. Concernant les professionnels (techniciens, installateurs et entreprises d’entretien), les activités incluront des séminaires et des ateliers sur la manipulation en toute sécurité du R-290, mettant l’accent sur les similitudes et les différences par rapport aux frigorigènes conventionnels et sur l’alignement avec les meilleures pratiques internationales. Les campagnes de sensibilisation destinées au grand public et aux utilisateurs finaux souligneront les avantages des climatiseurs à faible PRP, notamment leur haut rendement énergétique, leurs bienfaits pour le climat et leur sécurité pour faciliter l’adoption à grande échelle de cette technologie par le marché.</w:t>
      </w:r>
    </w:p>
    <w:p w14:paraId="2E84D1EE" w14:textId="0FA22D30" w:rsidR="001207C4" w:rsidRDefault="001207C4" w:rsidP="001E3316">
      <w:pPr>
        <w:pStyle w:val="Heading1"/>
        <w:rPr>
          <w:sz w:val="24"/>
          <w:szCs w:val="24"/>
        </w:rPr>
      </w:pPr>
      <w:r>
        <w:t>Le Secrétariat a également demandé comment les activités de vulgarisation aideront à développer la chaîne d’approvisionnement des équipements à base de R</w:t>
      </w:r>
      <w:r>
        <w:noBreakHyphen/>
        <w:t xml:space="preserve">290 dans le pays. Le Gouvernement </w:t>
      </w:r>
      <w:r w:rsidR="0068463B">
        <w:t xml:space="preserve">du Royaume-Uni </w:t>
      </w:r>
      <w:r>
        <w:t>a précisé que les activités de communication et de vulgarisation du projet au sujet des avantages que procure le remplacement d’un climatiseur par ce genre de technologie seront élargies au secteur du commerce de détail. Cela devrait contribuer à améliorer l’adoption de la technologie tant du côté de l’offre que du côté de la demande sur le marché local.</w:t>
      </w:r>
    </w:p>
    <w:p w14:paraId="5F78930E" w14:textId="2C37DED7" w:rsidR="00DC185C" w:rsidRDefault="00DC185C" w:rsidP="00624D1C">
      <w:pPr>
        <w:keepNext/>
        <w:spacing w:after="240"/>
        <w:contextualSpacing/>
        <w:outlineLvl w:val="0"/>
        <w:rPr>
          <w:i/>
          <w:iCs/>
        </w:rPr>
      </w:pPr>
      <w:r>
        <w:rPr>
          <w:i/>
        </w:rPr>
        <w:t>Suivi</w:t>
      </w:r>
    </w:p>
    <w:p w14:paraId="57330EBE" w14:textId="4DAAA280" w:rsidR="00334A4B" w:rsidRDefault="002D457C" w:rsidP="00604F4D">
      <w:pPr>
        <w:pStyle w:val="Heading1"/>
      </w:pPr>
      <w:r>
        <w:t xml:space="preserve">Le Secrétariat s’est également renseigné sur la manière dont les données seront recueillies, surveillées et partagées, sur la durée de ces activités et sur l’entité qui sera responsable de la qualité de ce processus. Le Gouvernement </w:t>
      </w:r>
      <w:r w:rsidR="0068463B">
        <w:t xml:space="preserve">du Royaume-Uni </w:t>
      </w:r>
      <w:r>
        <w:t xml:space="preserve">a expliqué que les données seront régulièrement collectées et surveillées grâce aux enregistreurs de données, aux cartes mémoire mises en place, à la connectivité Wi-Fi et au personnel formé par le projet, ce qui fournira un retour d’information sur le fonctionnement et l’efficacité des équipements installés. Un consultant supervisera le processus et interviendra </w:t>
      </w:r>
      <w:r w:rsidR="00203295">
        <w:t>au niveau local</w:t>
      </w:r>
      <w:r>
        <w:t xml:space="preserve"> seulement en cas de problème, en particulier au début. Entre-temps, le Gouvernement </w:t>
      </w:r>
      <w:r w:rsidR="0068463B">
        <w:t xml:space="preserve">du Royaume-Uni </w:t>
      </w:r>
      <w:r>
        <w:t>tirera profit d’autres projets bénéficiant de plate-formes en ligne, pour façonner le processus de suivi au Togo : soit les données seront capturées et communiquées à intervalles réguliers par les hôpitaux, soit le tout sera fait automatiquement. L’UNO servira d’autorité centrale pour coordonner la mise en œuvre avec les bénéficiaires, notamment la gestion des données et leur communication.</w:t>
      </w:r>
    </w:p>
    <w:p w14:paraId="4EF34850" w14:textId="2479CAE1" w:rsidR="00DC185C" w:rsidRPr="001250E5" w:rsidRDefault="00DC185C" w:rsidP="00DC185C">
      <w:pPr>
        <w:rPr>
          <w:u w:val="single"/>
        </w:rPr>
      </w:pPr>
      <w:r>
        <w:rPr>
          <w:u w:val="single"/>
        </w:rPr>
        <w:t>Coût convenu pour le projet pilote</w:t>
      </w:r>
    </w:p>
    <w:p w14:paraId="6629FCE0" w14:textId="77777777" w:rsidR="00DC185C" w:rsidRPr="007A260B" w:rsidRDefault="00DC185C" w:rsidP="00DC185C">
      <w:pPr>
        <w:rPr>
          <w:u w:val="single"/>
        </w:rPr>
      </w:pPr>
    </w:p>
    <w:p w14:paraId="73D71914" w14:textId="081E6530" w:rsidR="00DC185C" w:rsidRPr="00647F37" w:rsidRDefault="00203295" w:rsidP="00647F37">
      <w:pPr>
        <w:numPr>
          <w:ilvl w:val="0"/>
          <w:numId w:val="1"/>
        </w:numPr>
        <w:spacing w:after="240"/>
        <w:outlineLvl w:val="0"/>
      </w:pPr>
      <w:r w:rsidRPr="00203295">
        <w:t xml:space="preserve">À la suite d’un échange détaillé avec le Gouvernement </w:t>
      </w:r>
      <w:r w:rsidR="0068463B">
        <w:t xml:space="preserve">du Royaume-Uni </w:t>
      </w:r>
      <w:r w:rsidRPr="00203295">
        <w:t>au sujet du coût proposé pour les activités, notamment celui des climatiseurs, de l’installation et de la configuration, de l’embauche d’un consultant et de l’assistance technique, ainsi que des imprévus, des ajustements sont apportés aux éléments mentionnés précédemment sans toucher aux objectifs qui restent ceux présentés dans la proposition</w:t>
      </w:r>
      <w:r w:rsidR="00B96CCA">
        <w:t xml:space="preserve">. Le coût convenu pour la mise en œuvre du projet pilote visant à améliorer l’efficacité </w:t>
      </w:r>
      <w:r w:rsidR="00B96CCA">
        <w:lastRenderedPageBreak/>
        <w:t>énergétique avec le remplacement de climatiseurs dans trois hôpitaux publics par des technologies et des appareils à faible PRP et haut rendement énergétique s’élève à 321 300 $US, comme indiqué dans le tableau 2.</w:t>
      </w:r>
    </w:p>
    <w:p w14:paraId="1DEA1033" w14:textId="51927024" w:rsidR="00DC185C" w:rsidRPr="00604F4D" w:rsidRDefault="00DC185C" w:rsidP="00EC643B">
      <w:pPr>
        <w:keepNext/>
        <w:rPr>
          <w:b/>
          <w:bCs/>
        </w:rPr>
      </w:pPr>
      <w:r>
        <w:rPr>
          <w:b/>
        </w:rPr>
        <w:t>Tableau 2. Budget total du projet et ventilation des coûts, conformément à ce qui a été convenu</w:t>
      </w:r>
    </w:p>
    <w:tbl>
      <w:tblPr>
        <w:tblW w:w="9693" w:type="dxa"/>
        <w:tblCellMar>
          <w:top w:w="15" w:type="dxa"/>
        </w:tblCellMar>
        <w:tblLook w:val="04A0" w:firstRow="1" w:lastRow="0" w:firstColumn="1" w:lastColumn="0" w:noHBand="0" w:noVBand="1"/>
      </w:tblPr>
      <w:tblGrid>
        <w:gridCol w:w="6205"/>
        <w:gridCol w:w="1587"/>
        <w:gridCol w:w="1559"/>
        <w:gridCol w:w="330"/>
        <w:gridCol w:w="12"/>
      </w:tblGrid>
      <w:tr w:rsidR="0030007A" w:rsidRPr="0030007A" w14:paraId="42DCB0E3" w14:textId="77777777" w:rsidTr="00693F5C">
        <w:trPr>
          <w:gridAfter w:val="2"/>
          <w:wAfter w:w="342" w:type="dxa"/>
          <w:trHeight w:val="20"/>
          <w:tblHeader/>
        </w:trPr>
        <w:tc>
          <w:tcPr>
            <w:tcW w:w="6205" w:type="dxa"/>
            <w:tcBorders>
              <w:top w:val="single" w:sz="4" w:space="0" w:color="auto"/>
              <w:left w:val="single" w:sz="4" w:space="0" w:color="auto"/>
              <w:bottom w:val="single" w:sz="4" w:space="0" w:color="auto"/>
              <w:right w:val="single" w:sz="4" w:space="0" w:color="auto"/>
            </w:tcBorders>
            <w:vAlign w:val="center"/>
            <w:hideMark/>
          </w:tcPr>
          <w:p w14:paraId="410BE6C6" w14:textId="77777777" w:rsidR="0030007A" w:rsidRPr="00D15FF8" w:rsidRDefault="0030007A" w:rsidP="00EC643B">
            <w:pPr>
              <w:keepNext/>
              <w:jc w:val="center"/>
              <w:rPr>
                <w:b/>
                <w:bCs/>
                <w:color w:val="000000"/>
                <w:sz w:val="20"/>
                <w:szCs w:val="20"/>
              </w:rPr>
            </w:pPr>
            <w:r>
              <w:rPr>
                <w:b/>
                <w:color w:val="000000"/>
                <w:sz w:val="20"/>
              </w:rPr>
              <w:t>Rubrique</w:t>
            </w:r>
          </w:p>
        </w:tc>
        <w:tc>
          <w:tcPr>
            <w:tcW w:w="1587" w:type="dxa"/>
            <w:tcBorders>
              <w:top w:val="single" w:sz="4" w:space="0" w:color="auto"/>
              <w:left w:val="nil"/>
              <w:bottom w:val="single" w:sz="4" w:space="0" w:color="auto"/>
              <w:right w:val="single" w:sz="4" w:space="0" w:color="auto"/>
            </w:tcBorders>
            <w:vAlign w:val="center"/>
            <w:hideMark/>
          </w:tcPr>
          <w:p w14:paraId="00A121EF" w14:textId="66F9A5C5" w:rsidR="0030007A" w:rsidRPr="00D15FF8" w:rsidRDefault="005249B5" w:rsidP="0030007A">
            <w:pPr>
              <w:jc w:val="center"/>
              <w:rPr>
                <w:b/>
                <w:bCs/>
                <w:color w:val="000000"/>
                <w:sz w:val="20"/>
                <w:szCs w:val="20"/>
              </w:rPr>
            </w:pPr>
            <w:r>
              <w:rPr>
                <w:b/>
                <w:color w:val="000000"/>
                <w:sz w:val="20"/>
              </w:rPr>
              <w:t xml:space="preserve">Coûts présentés </w:t>
            </w:r>
          </w:p>
        </w:tc>
        <w:tc>
          <w:tcPr>
            <w:tcW w:w="1559" w:type="dxa"/>
            <w:tcBorders>
              <w:top w:val="single" w:sz="4" w:space="0" w:color="auto"/>
              <w:left w:val="nil"/>
              <w:bottom w:val="single" w:sz="4" w:space="0" w:color="auto"/>
              <w:right w:val="single" w:sz="4" w:space="0" w:color="auto"/>
            </w:tcBorders>
            <w:vAlign w:val="center"/>
            <w:hideMark/>
          </w:tcPr>
          <w:p w14:paraId="409F85CC" w14:textId="0BC9C547" w:rsidR="0030007A" w:rsidRPr="00D15FF8" w:rsidRDefault="005249B5" w:rsidP="0030007A">
            <w:pPr>
              <w:jc w:val="center"/>
              <w:rPr>
                <w:b/>
                <w:bCs/>
                <w:color w:val="000000"/>
                <w:sz w:val="20"/>
                <w:szCs w:val="20"/>
              </w:rPr>
            </w:pPr>
            <w:r>
              <w:rPr>
                <w:b/>
                <w:color w:val="000000"/>
                <w:sz w:val="20"/>
              </w:rPr>
              <w:t xml:space="preserve">Coûts convenus </w:t>
            </w:r>
          </w:p>
        </w:tc>
      </w:tr>
      <w:tr w:rsidR="0044452B" w:rsidRPr="0030007A" w14:paraId="38370FCB" w14:textId="77777777" w:rsidTr="00D15FF8">
        <w:trPr>
          <w:gridAfter w:val="2"/>
          <w:wAfter w:w="342" w:type="dxa"/>
          <w:trHeight w:val="20"/>
        </w:trPr>
        <w:tc>
          <w:tcPr>
            <w:tcW w:w="9351" w:type="dxa"/>
            <w:gridSpan w:val="3"/>
            <w:tcBorders>
              <w:top w:val="single" w:sz="4" w:space="0" w:color="auto"/>
              <w:left w:val="single" w:sz="4" w:space="0" w:color="auto"/>
              <w:bottom w:val="single" w:sz="4" w:space="0" w:color="auto"/>
              <w:right w:val="single" w:sz="4" w:space="0" w:color="auto"/>
            </w:tcBorders>
            <w:vAlign w:val="center"/>
            <w:hideMark/>
          </w:tcPr>
          <w:p w14:paraId="6C73F97D" w14:textId="4F56C8D3" w:rsidR="0030007A" w:rsidRPr="00D15FF8" w:rsidRDefault="0030007A" w:rsidP="00EC643B">
            <w:pPr>
              <w:keepNext/>
              <w:jc w:val="left"/>
              <w:rPr>
                <w:b/>
                <w:bCs/>
                <w:color w:val="000000"/>
                <w:sz w:val="20"/>
                <w:szCs w:val="20"/>
              </w:rPr>
            </w:pPr>
            <w:r>
              <w:rPr>
                <w:b/>
                <w:color w:val="000000"/>
                <w:sz w:val="20"/>
              </w:rPr>
              <w:t>Démonstration d’équipements de climatisation fonctionnant au R-290 et mesure et suivi de leur consommation d’énergie</w:t>
            </w:r>
          </w:p>
        </w:tc>
      </w:tr>
      <w:tr w:rsidR="0030007A" w:rsidRPr="0030007A" w14:paraId="002DFE76" w14:textId="77777777" w:rsidTr="00693F5C">
        <w:trPr>
          <w:gridAfter w:val="2"/>
          <w:wAfter w:w="342" w:type="dxa"/>
          <w:trHeight w:val="20"/>
        </w:trPr>
        <w:tc>
          <w:tcPr>
            <w:tcW w:w="6205" w:type="dxa"/>
            <w:tcBorders>
              <w:top w:val="nil"/>
              <w:left w:val="single" w:sz="4" w:space="0" w:color="auto"/>
              <w:bottom w:val="single" w:sz="4" w:space="0" w:color="auto"/>
              <w:right w:val="single" w:sz="4" w:space="0" w:color="auto"/>
            </w:tcBorders>
            <w:vAlign w:val="center"/>
            <w:hideMark/>
          </w:tcPr>
          <w:p w14:paraId="3365C16E" w14:textId="0C1EA35A" w:rsidR="0030007A" w:rsidRPr="00D15FF8" w:rsidRDefault="0030007A" w:rsidP="00EC643B">
            <w:pPr>
              <w:keepNext/>
              <w:jc w:val="left"/>
              <w:rPr>
                <w:color w:val="000000"/>
                <w:sz w:val="20"/>
                <w:szCs w:val="20"/>
              </w:rPr>
            </w:pPr>
            <w:r>
              <w:rPr>
                <w:color w:val="000000"/>
                <w:sz w:val="20"/>
              </w:rPr>
              <w:t>128 climatiseurs à base de R-290 (d’une capacité de 12 000 Btu/h), installation comprise</w:t>
            </w:r>
          </w:p>
        </w:tc>
        <w:tc>
          <w:tcPr>
            <w:tcW w:w="1587" w:type="dxa"/>
            <w:tcBorders>
              <w:top w:val="nil"/>
              <w:left w:val="nil"/>
              <w:bottom w:val="single" w:sz="4" w:space="0" w:color="auto"/>
              <w:right w:val="single" w:sz="4" w:space="0" w:color="auto"/>
            </w:tcBorders>
            <w:vAlign w:val="center"/>
            <w:hideMark/>
          </w:tcPr>
          <w:p w14:paraId="61BA54E7" w14:textId="162D83DD" w:rsidR="0030007A" w:rsidRPr="00D15FF8" w:rsidRDefault="0030007A" w:rsidP="005249B5">
            <w:pPr>
              <w:jc w:val="right"/>
              <w:rPr>
                <w:color w:val="000000"/>
                <w:sz w:val="20"/>
                <w:szCs w:val="20"/>
              </w:rPr>
            </w:pPr>
            <w:r>
              <w:rPr>
                <w:color w:val="000000"/>
                <w:sz w:val="20"/>
              </w:rPr>
              <w:t>76 800</w:t>
            </w:r>
          </w:p>
        </w:tc>
        <w:tc>
          <w:tcPr>
            <w:tcW w:w="1559" w:type="dxa"/>
            <w:tcBorders>
              <w:top w:val="nil"/>
              <w:left w:val="nil"/>
              <w:bottom w:val="single" w:sz="4" w:space="0" w:color="auto"/>
              <w:right w:val="single" w:sz="4" w:space="0" w:color="auto"/>
            </w:tcBorders>
            <w:vAlign w:val="center"/>
            <w:hideMark/>
          </w:tcPr>
          <w:p w14:paraId="445807BF" w14:textId="0A2ABCCA" w:rsidR="0030007A" w:rsidRPr="00D15FF8" w:rsidRDefault="0030007A" w:rsidP="005249B5">
            <w:pPr>
              <w:jc w:val="right"/>
              <w:rPr>
                <w:color w:val="000000"/>
                <w:sz w:val="20"/>
                <w:szCs w:val="20"/>
              </w:rPr>
            </w:pPr>
            <w:r>
              <w:rPr>
                <w:color w:val="000000"/>
                <w:sz w:val="20"/>
              </w:rPr>
              <w:t>70 400</w:t>
            </w:r>
          </w:p>
        </w:tc>
      </w:tr>
      <w:tr w:rsidR="0030007A" w:rsidRPr="0030007A" w14:paraId="61A037CE" w14:textId="77777777" w:rsidTr="00693F5C">
        <w:trPr>
          <w:gridAfter w:val="2"/>
          <w:wAfter w:w="342" w:type="dxa"/>
          <w:trHeight w:val="20"/>
        </w:trPr>
        <w:tc>
          <w:tcPr>
            <w:tcW w:w="6205" w:type="dxa"/>
            <w:tcBorders>
              <w:top w:val="nil"/>
              <w:left w:val="single" w:sz="4" w:space="0" w:color="auto"/>
              <w:bottom w:val="single" w:sz="4" w:space="0" w:color="auto"/>
              <w:right w:val="single" w:sz="4" w:space="0" w:color="auto"/>
            </w:tcBorders>
            <w:vAlign w:val="center"/>
            <w:hideMark/>
          </w:tcPr>
          <w:p w14:paraId="7F87A0B2" w14:textId="22AFDDEC" w:rsidR="0030007A" w:rsidRPr="00843324" w:rsidRDefault="0030007A" w:rsidP="0030007A">
            <w:pPr>
              <w:jc w:val="left"/>
              <w:rPr>
                <w:color w:val="000000"/>
                <w:sz w:val="20"/>
                <w:szCs w:val="20"/>
              </w:rPr>
            </w:pPr>
            <w:r>
              <w:rPr>
                <w:color w:val="000000"/>
                <w:sz w:val="20"/>
              </w:rPr>
              <w:t>83 climatiseurs à base de R-290 (d’une capacité de 18 000 Btu/h), installation comprise</w:t>
            </w:r>
          </w:p>
        </w:tc>
        <w:tc>
          <w:tcPr>
            <w:tcW w:w="1587" w:type="dxa"/>
            <w:tcBorders>
              <w:top w:val="nil"/>
              <w:left w:val="nil"/>
              <w:bottom w:val="single" w:sz="4" w:space="0" w:color="auto"/>
              <w:right w:val="single" w:sz="4" w:space="0" w:color="auto"/>
            </w:tcBorders>
            <w:vAlign w:val="center"/>
            <w:hideMark/>
          </w:tcPr>
          <w:p w14:paraId="112CD6D6" w14:textId="249942C3" w:rsidR="0030007A" w:rsidRPr="00D15FF8" w:rsidRDefault="0030007A" w:rsidP="005249B5">
            <w:pPr>
              <w:jc w:val="right"/>
              <w:rPr>
                <w:color w:val="000000"/>
                <w:sz w:val="20"/>
                <w:szCs w:val="20"/>
              </w:rPr>
            </w:pPr>
            <w:r>
              <w:rPr>
                <w:color w:val="000000"/>
                <w:sz w:val="20"/>
              </w:rPr>
              <w:t>59 760</w:t>
            </w:r>
          </w:p>
        </w:tc>
        <w:tc>
          <w:tcPr>
            <w:tcW w:w="1559" w:type="dxa"/>
            <w:tcBorders>
              <w:top w:val="nil"/>
              <w:left w:val="nil"/>
              <w:bottom w:val="single" w:sz="4" w:space="0" w:color="auto"/>
              <w:right w:val="single" w:sz="4" w:space="0" w:color="auto"/>
            </w:tcBorders>
            <w:vAlign w:val="center"/>
            <w:hideMark/>
          </w:tcPr>
          <w:p w14:paraId="003A8F83" w14:textId="26A30137" w:rsidR="0030007A" w:rsidRPr="00D15FF8" w:rsidRDefault="0030007A" w:rsidP="005249B5">
            <w:pPr>
              <w:jc w:val="right"/>
              <w:rPr>
                <w:color w:val="000000"/>
                <w:sz w:val="20"/>
                <w:szCs w:val="20"/>
              </w:rPr>
            </w:pPr>
            <w:r>
              <w:rPr>
                <w:color w:val="000000"/>
                <w:sz w:val="20"/>
              </w:rPr>
              <w:t>58 100</w:t>
            </w:r>
          </w:p>
        </w:tc>
      </w:tr>
      <w:tr w:rsidR="0030007A" w:rsidRPr="0030007A" w14:paraId="0A46D797" w14:textId="77777777" w:rsidTr="00693F5C">
        <w:trPr>
          <w:gridAfter w:val="2"/>
          <w:wAfter w:w="342" w:type="dxa"/>
          <w:trHeight w:val="253"/>
        </w:trPr>
        <w:tc>
          <w:tcPr>
            <w:tcW w:w="6205" w:type="dxa"/>
            <w:vMerge w:val="restart"/>
            <w:tcBorders>
              <w:top w:val="nil"/>
              <w:left w:val="single" w:sz="4" w:space="0" w:color="auto"/>
              <w:bottom w:val="single" w:sz="4" w:space="0" w:color="auto"/>
              <w:right w:val="single" w:sz="4" w:space="0" w:color="auto"/>
            </w:tcBorders>
            <w:vAlign w:val="center"/>
            <w:hideMark/>
          </w:tcPr>
          <w:p w14:paraId="5A89C1E9" w14:textId="75CE869B" w:rsidR="0030007A" w:rsidRPr="00843324" w:rsidRDefault="0030007A" w:rsidP="0030007A">
            <w:pPr>
              <w:jc w:val="left"/>
              <w:rPr>
                <w:color w:val="000000"/>
                <w:sz w:val="20"/>
                <w:szCs w:val="20"/>
              </w:rPr>
            </w:pPr>
            <w:r>
              <w:rPr>
                <w:color w:val="000000"/>
                <w:sz w:val="20"/>
              </w:rPr>
              <w:t>20 appareils de mesure munis d’une fonctionnalité d’enregistrement des données et trois appareils de mesure de température et d’humidité relative/d’enregistrement de données</w:t>
            </w:r>
          </w:p>
        </w:tc>
        <w:tc>
          <w:tcPr>
            <w:tcW w:w="1587" w:type="dxa"/>
            <w:vMerge w:val="restart"/>
            <w:tcBorders>
              <w:top w:val="nil"/>
              <w:left w:val="single" w:sz="4" w:space="0" w:color="auto"/>
              <w:bottom w:val="single" w:sz="4" w:space="0" w:color="auto"/>
              <w:right w:val="single" w:sz="4" w:space="0" w:color="auto"/>
            </w:tcBorders>
            <w:vAlign w:val="center"/>
            <w:hideMark/>
          </w:tcPr>
          <w:p w14:paraId="71E0FB55" w14:textId="567274AB" w:rsidR="0030007A" w:rsidRPr="00D15FF8" w:rsidRDefault="0030007A" w:rsidP="005249B5">
            <w:pPr>
              <w:jc w:val="right"/>
              <w:rPr>
                <w:color w:val="000000"/>
                <w:sz w:val="20"/>
                <w:szCs w:val="20"/>
              </w:rPr>
            </w:pPr>
            <w:r>
              <w:rPr>
                <w:color w:val="000000"/>
                <w:sz w:val="20"/>
              </w:rPr>
              <w:t>11 000</w:t>
            </w:r>
          </w:p>
        </w:tc>
        <w:tc>
          <w:tcPr>
            <w:tcW w:w="1559" w:type="dxa"/>
            <w:vMerge w:val="restart"/>
            <w:tcBorders>
              <w:top w:val="nil"/>
              <w:left w:val="single" w:sz="4" w:space="0" w:color="auto"/>
              <w:bottom w:val="single" w:sz="4" w:space="0" w:color="auto"/>
              <w:right w:val="single" w:sz="4" w:space="0" w:color="auto"/>
            </w:tcBorders>
            <w:vAlign w:val="center"/>
            <w:hideMark/>
          </w:tcPr>
          <w:p w14:paraId="5F16D71A" w14:textId="7FF2AE37" w:rsidR="0030007A" w:rsidRPr="00D15FF8" w:rsidRDefault="0030007A" w:rsidP="005249B5">
            <w:pPr>
              <w:jc w:val="right"/>
              <w:rPr>
                <w:color w:val="000000"/>
                <w:sz w:val="20"/>
                <w:szCs w:val="20"/>
              </w:rPr>
            </w:pPr>
            <w:r>
              <w:rPr>
                <w:color w:val="000000"/>
                <w:sz w:val="20"/>
              </w:rPr>
              <w:t>2 000</w:t>
            </w:r>
          </w:p>
        </w:tc>
      </w:tr>
      <w:tr w:rsidR="0030007A" w:rsidRPr="0030007A" w14:paraId="217E3DF5" w14:textId="77777777" w:rsidTr="00693F5C">
        <w:trPr>
          <w:gridAfter w:val="1"/>
          <w:wAfter w:w="12" w:type="dxa"/>
          <w:trHeight w:val="20"/>
        </w:trPr>
        <w:tc>
          <w:tcPr>
            <w:tcW w:w="6205" w:type="dxa"/>
            <w:vMerge/>
            <w:tcBorders>
              <w:top w:val="nil"/>
              <w:left w:val="single" w:sz="4" w:space="0" w:color="auto"/>
              <w:bottom w:val="single" w:sz="4" w:space="0" w:color="auto"/>
              <w:right w:val="single" w:sz="4" w:space="0" w:color="auto"/>
            </w:tcBorders>
            <w:vAlign w:val="center"/>
            <w:hideMark/>
          </w:tcPr>
          <w:p w14:paraId="5AC978D9" w14:textId="77777777" w:rsidR="0030007A" w:rsidRPr="00D15FF8" w:rsidRDefault="0030007A" w:rsidP="0030007A">
            <w:pPr>
              <w:jc w:val="left"/>
              <w:rPr>
                <w:color w:val="000000"/>
                <w:sz w:val="20"/>
                <w:szCs w:val="20"/>
                <w:lang w:eastAsia="en-CA"/>
              </w:rPr>
            </w:pPr>
          </w:p>
        </w:tc>
        <w:tc>
          <w:tcPr>
            <w:tcW w:w="1587" w:type="dxa"/>
            <w:vMerge/>
            <w:tcBorders>
              <w:top w:val="nil"/>
              <w:left w:val="single" w:sz="4" w:space="0" w:color="auto"/>
              <w:bottom w:val="single" w:sz="4" w:space="0" w:color="auto"/>
              <w:right w:val="single" w:sz="4" w:space="0" w:color="auto"/>
            </w:tcBorders>
            <w:vAlign w:val="center"/>
            <w:hideMark/>
          </w:tcPr>
          <w:p w14:paraId="7E2DF11F" w14:textId="77777777" w:rsidR="0030007A" w:rsidRPr="00D15FF8" w:rsidRDefault="0030007A" w:rsidP="005249B5">
            <w:pPr>
              <w:jc w:val="right"/>
              <w:rPr>
                <w:color w:val="000000"/>
                <w:sz w:val="20"/>
                <w:szCs w:val="20"/>
                <w:lang w:eastAsia="en-CA"/>
              </w:rPr>
            </w:pPr>
          </w:p>
        </w:tc>
        <w:tc>
          <w:tcPr>
            <w:tcW w:w="1559" w:type="dxa"/>
            <w:vMerge/>
            <w:tcBorders>
              <w:top w:val="nil"/>
              <w:left w:val="single" w:sz="4" w:space="0" w:color="auto"/>
              <w:bottom w:val="single" w:sz="4" w:space="0" w:color="auto"/>
              <w:right w:val="single" w:sz="4" w:space="0" w:color="auto"/>
            </w:tcBorders>
            <w:vAlign w:val="center"/>
            <w:hideMark/>
          </w:tcPr>
          <w:p w14:paraId="43883FBA" w14:textId="77777777" w:rsidR="0030007A" w:rsidRPr="00D15FF8" w:rsidRDefault="0030007A" w:rsidP="005249B5">
            <w:pPr>
              <w:jc w:val="right"/>
              <w:rPr>
                <w:color w:val="000000"/>
                <w:sz w:val="20"/>
                <w:szCs w:val="20"/>
                <w:lang w:eastAsia="en-CA"/>
              </w:rPr>
            </w:pPr>
          </w:p>
        </w:tc>
        <w:tc>
          <w:tcPr>
            <w:tcW w:w="330" w:type="dxa"/>
            <w:tcBorders>
              <w:top w:val="nil"/>
              <w:left w:val="nil"/>
              <w:bottom w:val="nil"/>
              <w:right w:val="nil"/>
            </w:tcBorders>
            <w:noWrap/>
            <w:vAlign w:val="bottom"/>
            <w:hideMark/>
          </w:tcPr>
          <w:p w14:paraId="5D019A03" w14:textId="77777777" w:rsidR="0030007A" w:rsidRPr="0030007A" w:rsidRDefault="0030007A" w:rsidP="0030007A">
            <w:pPr>
              <w:jc w:val="center"/>
              <w:rPr>
                <w:rFonts w:asciiTheme="majorBidi" w:hAnsiTheme="majorBidi" w:cstheme="majorBidi"/>
                <w:color w:val="000000"/>
                <w:lang w:eastAsia="en-CA"/>
              </w:rPr>
            </w:pPr>
          </w:p>
        </w:tc>
      </w:tr>
      <w:tr w:rsidR="0030007A" w:rsidRPr="0030007A" w14:paraId="1F7811EE" w14:textId="77777777" w:rsidTr="00693F5C">
        <w:trPr>
          <w:gridAfter w:val="1"/>
          <w:wAfter w:w="12" w:type="dxa"/>
          <w:trHeight w:val="20"/>
        </w:trPr>
        <w:tc>
          <w:tcPr>
            <w:tcW w:w="6205" w:type="dxa"/>
            <w:vMerge w:val="restart"/>
            <w:tcBorders>
              <w:top w:val="nil"/>
              <w:left w:val="single" w:sz="4" w:space="0" w:color="auto"/>
              <w:bottom w:val="single" w:sz="4" w:space="0" w:color="auto"/>
              <w:right w:val="single" w:sz="4" w:space="0" w:color="auto"/>
            </w:tcBorders>
            <w:vAlign w:val="center"/>
            <w:hideMark/>
          </w:tcPr>
          <w:p w14:paraId="031BA3D1" w14:textId="402DCF60" w:rsidR="0030007A" w:rsidRPr="00D15FF8" w:rsidRDefault="005C45ED" w:rsidP="0030007A">
            <w:pPr>
              <w:jc w:val="left"/>
              <w:rPr>
                <w:color w:val="000000"/>
                <w:sz w:val="20"/>
                <w:szCs w:val="20"/>
              </w:rPr>
            </w:pPr>
            <w:r>
              <w:rPr>
                <w:color w:val="000000"/>
                <w:sz w:val="20"/>
              </w:rPr>
              <w:t>Configuration, recueil de données, suivi et remise de rapports sur les mesures d’énergie réalisées sur les sites de démonstration pendant deux ans</w:t>
            </w:r>
          </w:p>
        </w:tc>
        <w:tc>
          <w:tcPr>
            <w:tcW w:w="1587" w:type="dxa"/>
            <w:vMerge w:val="restart"/>
            <w:tcBorders>
              <w:top w:val="nil"/>
              <w:left w:val="single" w:sz="4" w:space="0" w:color="auto"/>
              <w:bottom w:val="single" w:sz="4" w:space="0" w:color="auto"/>
              <w:right w:val="single" w:sz="4" w:space="0" w:color="auto"/>
            </w:tcBorders>
            <w:vAlign w:val="center"/>
            <w:hideMark/>
          </w:tcPr>
          <w:p w14:paraId="56684B29" w14:textId="0C2AF360" w:rsidR="0030007A" w:rsidRPr="00D15FF8" w:rsidRDefault="0030007A" w:rsidP="005249B5">
            <w:pPr>
              <w:jc w:val="right"/>
              <w:rPr>
                <w:color w:val="000000"/>
                <w:sz w:val="20"/>
                <w:szCs w:val="20"/>
              </w:rPr>
            </w:pPr>
            <w:r>
              <w:rPr>
                <w:color w:val="000000"/>
                <w:sz w:val="20"/>
              </w:rPr>
              <w:t>33 600</w:t>
            </w:r>
          </w:p>
        </w:tc>
        <w:tc>
          <w:tcPr>
            <w:tcW w:w="1559" w:type="dxa"/>
            <w:vMerge w:val="restart"/>
            <w:tcBorders>
              <w:top w:val="nil"/>
              <w:left w:val="single" w:sz="4" w:space="0" w:color="auto"/>
              <w:bottom w:val="single" w:sz="4" w:space="0" w:color="auto"/>
              <w:right w:val="single" w:sz="4" w:space="0" w:color="auto"/>
            </w:tcBorders>
            <w:vAlign w:val="center"/>
            <w:hideMark/>
          </w:tcPr>
          <w:p w14:paraId="7A18539D" w14:textId="66C75D46" w:rsidR="0030007A" w:rsidRPr="00D15FF8" w:rsidRDefault="0030007A" w:rsidP="005249B5">
            <w:pPr>
              <w:jc w:val="right"/>
              <w:rPr>
                <w:color w:val="000000"/>
                <w:sz w:val="20"/>
                <w:szCs w:val="20"/>
              </w:rPr>
            </w:pPr>
            <w:r>
              <w:rPr>
                <w:color w:val="000000"/>
                <w:sz w:val="20"/>
              </w:rPr>
              <w:t>30 000</w:t>
            </w:r>
          </w:p>
        </w:tc>
        <w:tc>
          <w:tcPr>
            <w:tcW w:w="330" w:type="dxa"/>
            <w:vAlign w:val="center"/>
            <w:hideMark/>
          </w:tcPr>
          <w:p w14:paraId="124C9836" w14:textId="77777777" w:rsidR="0030007A" w:rsidRPr="0030007A" w:rsidRDefault="0030007A" w:rsidP="0030007A">
            <w:pPr>
              <w:jc w:val="left"/>
              <w:rPr>
                <w:rFonts w:asciiTheme="majorBidi" w:hAnsiTheme="majorBidi" w:cstheme="majorBidi"/>
                <w:lang w:eastAsia="en-CA"/>
              </w:rPr>
            </w:pPr>
          </w:p>
        </w:tc>
      </w:tr>
      <w:tr w:rsidR="0030007A" w:rsidRPr="0030007A" w14:paraId="532431C6" w14:textId="77777777" w:rsidTr="00693F5C">
        <w:trPr>
          <w:gridAfter w:val="1"/>
          <w:wAfter w:w="12" w:type="dxa"/>
          <w:trHeight w:val="20"/>
        </w:trPr>
        <w:tc>
          <w:tcPr>
            <w:tcW w:w="6205" w:type="dxa"/>
            <w:vMerge/>
            <w:tcBorders>
              <w:top w:val="nil"/>
              <w:left w:val="single" w:sz="4" w:space="0" w:color="auto"/>
              <w:bottom w:val="single" w:sz="4" w:space="0" w:color="auto"/>
              <w:right w:val="single" w:sz="4" w:space="0" w:color="auto"/>
            </w:tcBorders>
            <w:vAlign w:val="center"/>
            <w:hideMark/>
          </w:tcPr>
          <w:p w14:paraId="5C54A7C8" w14:textId="77777777" w:rsidR="0030007A" w:rsidRPr="00D15FF8" w:rsidRDefault="0030007A" w:rsidP="0030007A">
            <w:pPr>
              <w:jc w:val="left"/>
              <w:rPr>
                <w:color w:val="000000"/>
                <w:sz w:val="20"/>
                <w:szCs w:val="20"/>
                <w:lang w:eastAsia="en-CA"/>
              </w:rPr>
            </w:pPr>
          </w:p>
        </w:tc>
        <w:tc>
          <w:tcPr>
            <w:tcW w:w="1587" w:type="dxa"/>
            <w:vMerge/>
            <w:tcBorders>
              <w:top w:val="nil"/>
              <w:left w:val="single" w:sz="4" w:space="0" w:color="auto"/>
              <w:bottom w:val="single" w:sz="4" w:space="0" w:color="auto"/>
              <w:right w:val="single" w:sz="4" w:space="0" w:color="auto"/>
            </w:tcBorders>
            <w:vAlign w:val="center"/>
            <w:hideMark/>
          </w:tcPr>
          <w:p w14:paraId="36B59912" w14:textId="77777777" w:rsidR="0030007A" w:rsidRPr="00D15FF8" w:rsidRDefault="0030007A" w:rsidP="005249B5">
            <w:pPr>
              <w:jc w:val="right"/>
              <w:rPr>
                <w:color w:val="000000"/>
                <w:sz w:val="20"/>
                <w:szCs w:val="20"/>
                <w:lang w:eastAsia="en-CA"/>
              </w:rPr>
            </w:pPr>
          </w:p>
        </w:tc>
        <w:tc>
          <w:tcPr>
            <w:tcW w:w="1559" w:type="dxa"/>
            <w:vMerge/>
            <w:tcBorders>
              <w:top w:val="nil"/>
              <w:left w:val="single" w:sz="4" w:space="0" w:color="auto"/>
              <w:bottom w:val="single" w:sz="4" w:space="0" w:color="auto"/>
              <w:right w:val="single" w:sz="4" w:space="0" w:color="auto"/>
            </w:tcBorders>
            <w:vAlign w:val="center"/>
            <w:hideMark/>
          </w:tcPr>
          <w:p w14:paraId="6FBE1337" w14:textId="77777777" w:rsidR="0030007A" w:rsidRPr="00D15FF8" w:rsidRDefault="0030007A" w:rsidP="005249B5">
            <w:pPr>
              <w:jc w:val="right"/>
              <w:rPr>
                <w:color w:val="000000"/>
                <w:sz w:val="20"/>
                <w:szCs w:val="20"/>
                <w:lang w:eastAsia="en-CA"/>
              </w:rPr>
            </w:pPr>
          </w:p>
        </w:tc>
        <w:tc>
          <w:tcPr>
            <w:tcW w:w="330" w:type="dxa"/>
            <w:tcBorders>
              <w:top w:val="nil"/>
              <w:left w:val="nil"/>
              <w:bottom w:val="nil"/>
              <w:right w:val="nil"/>
            </w:tcBorders>
            <w:noWrap/>
            <w:vAlign w:val="bottom"/>
            <w:hideMark/>
          </w:tcPr>
          <w:p w14:paraId="69F4105A" w14:textId="77777777" w:rsidR="0030007A" w:rsidRPr="0030007A" w:rsidRDefault="0030007A" w:rsidP="0030007A">
            <w:pPr>
              <w:jc w:val="center"/>
              <w:rPr>
                <w:rFonts w:asciiTheme="majorBidi" w:hAnsiTheme="majorBidi" w:cstheme="majorBidi"/>
                <w:color w:val="000000"/>
                <w:lang w:eastAsia="en-CA"/>
              </w:rPr>
            </w:pPr>
          </w:p>
        </w:tc>
      </w:tr>
      <w:tr w:rsidR="0030007A" w:rsidRPr="0030007A" w14:paraId="482971CD" w14:textId="77777777" w:rsidTr="00693F5C">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hideMark/>
          </w:tcPr>
          <w:p w14:paraId="2E96540B" w14:textId="77777777" w:rsidR="0030007A" w:rsidRPr="00D15FF8" w:rsidRDefault="0030007A" w:rsidP="0030007A">
            <w:pPr>
              <w:jc w:val="left"/>
              <w:rPr>
                <w:color w:val="000000"/>
                <w:sz w:val="20"/>
                <w:szCs w:val="20"/>
              </w:rPr>
            </w:pPr>
            <w:r>
              <w:rPr>
                <w:color w:val="000000"/>
                <w:sz w:val="20"/>
              </w:rPr>
              <w:t>Imprévus</w:t>
            </w:r>
          </w:p>
        </w:tc>
        <w:tc>
          <w:tcPr>
            <w:tcW w:w="1587" w:type="dxa"/>
            <w:tcBorders>
              <w:top w:val="nil"/>
              <w:left w:val="nil"/>
              <w:bottom w:val="single" w:sz="4" w:space="0" w:color="auto"/>
              <w:right w:val="single" w:sz="4" w:space="0" w:color="auto"/>
            </w:tcBorders>
            <w:vAlign w:val="center"/>
            <w:hideMark/>
          </w:tcPr>
          <w:p w14:paraId="5822FF0A" w14:textId="3227E0A6" w:rsidR="0030007A" w:rsidRPr="00D15FF8" w:rsidRDefault="0030007A" w:rsidP="005249B5">
            <w:pPr>
              <w:jc w:val="right"/>
              <w:rPr>
                <w:color w:val="000000"/>
                <w:sz w:val="20"/>
                <w:szCs w:val="20"/>
              </w:rPr>
            </w:pPr>
            <w:r>
              <w:rPr>
                <w:color w:val="000000"/>
                <w:sz w:val="20"/>
              </w:rPr>
              <w:t>20 000</w:t>
            </w:r>
          </w:p>
        </w:tc>
        <w:tc>
          <w:tcPr>
            <w:tcW w:w="1559" w:type="dxa"/>
            <w:tcBorders>
              <w:top w:val="nil"/>
              <w:left w:val="nil"/>
              <w:bottom w:val="single" w:sz="4" w:space="0" w:color="auto"/>
              <w:right w:val="single" w:sz="4" w:space="0" w:color="auto"/>
            </w:tcBorders>
            <w:vAlign w:val="center"/>
            <w:hideMark/>
          </w:tcPr>
          <w:p w14:paraId="519F02B1" w14:textId="0145E3CF" w:rsidR="0030007A" w:rsidRPr="00D15FF8" w:rsidRDefault="0030007A" w:rsidP="005249B5">
            <w:pPr>
              <w:jc w:val="right"/>
              <w:rPr>
                <w:color w:val="000000"/>
                <w:sz w:val="20"/>
                <w:szCs w:val="20"/>
              </w:rPr>
            </w:pPr>
            <w:r>
              <w:rPr>
                <w:color w:val="000000"/>
                <w:sz w:val="20"/>
              </w:rPr>
              <w:t>15 000</w:t>
            </w:r>
          </w:p>
        </w:tc>
        <w:tc>
          <w:tcPr>
            <w:tcW w:w="330" w:type="dxa"/>
            <w:vAlign w:val="center"/>
            <w:hideMark/>
          </w:tcPr>
          <w:p w14:paraId="5C3714E5" w14:textId="77777777" w:rsidR="0030007A" w:rsidRPr="0030007A" w:rsidRDefault="0030007A" w:rsidP="0030007A">
            <w:pPr>
              <w:jc w:val="left"/>
              <w:rPr>
                <w:rFonts w:asciiTheme="majorBidi" w:hAnsiTheme="majorBidi" w:cstheme="majorBidi"/>
                <w:lang w:eastAsia="en-CA"/>
              </w:rPr>
            </w:pPr>
          </w:p>
        </w:tc>
      </w:tr>
      <w:tr w:rsidR="0030007A" w:rsidRPr="0030007A" w14:paraId="6C061EE1" w14:textId="77777777" w:rsidTr="00693F5C">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hideMark/>
          </w:tcPr>
          <w:p w14:paraId="78FFB2CA" w14:textId="77777777" w:rsidR="0030007A" w:rsidRPr="00D15FF8" w:rsidRDefault="0030007A" w:rsidP="0030007A">
            <w:pPr>
              <w:jc w:val="right"/>
              <w:rPr>
                <w:b/>
                <w:bCs/>
                <w:i/>
                <w:iCs/>
                <w:color w:val="000000"/>
                <w:sz w:val="20"/>
                <w:szCs w:val="20"/>
              </w:rPr>
            </w:pPr>
            <w:r>
              <w:rPr>
                <w:b/>
                <w:i/>
                <w:color w:val="000000"/>
                <w:sz w:val="20"/>
              </w:rPr>
              <w:t>Total partiel</w:t>
            </w:r>
          </w:p>
        </w:tc>
        <w:tc>
          <w:tcPr>
            <w:tcW w:w="1587" w:type="dxa"/>
            <w:tcBorders>
              <w:top w:val="nil"/>
              <w:left w:val="nil"/>
              <w:bottom w:val="single" w:sz="4" w:space="0" w:color="auto"/>
              <w:right w:val="single" w:sz="4" w:space="0" w:color="auto"/>
            </w:tcBorders>
            <w:vAlign w:val="center"/>
            <w:hideMark/>
          </w:tcPr>
          <w:p w14:paraId="047AF01D" w14:textId="0170B64E" w:rsidR="0030007A" w:rsidRPr="00D15FF8" w:rsidRDefault="0030007A" w:rsidP="005249B5">
            <w:pPr>
              <w:jc w:val="right"/>
              <w:rPr>
                <w:b/>
                <w:bCs/>
                <w:i/>
                <w:iCs/>
                <w:color w:val="000000"/>
                <w:sz w:val="20"/>
                <w:szCs w:val="20"/>
              </w:rPr>
            </w:pPr>
            <w:r>
              <w:rPr>
                <w:b/>
                <w:i/>
                <w:color w:val="000000"/>
                <w:sz w:val="20"/>
              </w:rPr>
              <w:t xml:space="preserve">201 160 </w:t>
            </w:r>
          </w:p>
        </w:tc>
        <w:tc>
          <w:tcPr>
            <w:tcW w:w="1559" w:type="dxa"/>
            <w:tcBorders>
              <w:top w:val="nil"/>
              <w:left w:val="nil"/>
              <w:bottom w:val="single" w:sz="4" w:space="0" w:color="auto"/>
              <w:right w:val="single" w:sz="4" w:space="0" w:color="auto"/>
            </w:tcBorders>
            <w:vAlign w:val="center"/>
            <w:hideMark/>
          </w:tcPr>
          <w:p w14:paraId="7B5A3E68" w14:textId="2AB631A0" w:rsidR="0030007A" w:rsidRPr="00D15FF8" w:rsidRDefault="0030007A" w:rsidP="005249B5">
            <w:pPr>
              <w:jc w:val="right"/>
              <w:rPr>
                <w:b/>
                <w:bCs/>
                <w:i/>
                <w:iCs/>
                <w:color w:val="000000"/>
                <w:sz w:val="20"/>
                <w:szCs w:val="20"/>
              </w:rPr>
            </w:pPr>
            <w:r>
              <w:rPr>
                <w:b/>
                <w:i/>
                <w:color w:val="000000"/>
                <w:sz w:val="20"/>
              </w:rPr>
              <w:t xml:space="preserve">175 500 </w:t>
            </w:r>
          </w:p>
        </w:tc>
        <w:tc>
          <w:tcPr>
            <w:tcW w:w="330" w:type="dxa"/>
            <w:vAlign w:val="center"/>
            <w:hideMark/>
          </w:tcPr>
          <w:p w14:paraId="50190C9F" w14:textId="77777777" w:rsidR="0030007A" w:rsidRPr="0030007A" w:rsidRDefault="0030007A" w:rsidP="0030007A">
            <w:pPr>
              <w:jc w:val="left"/>
              <w:rPr>
                <w:rFonts w:asciiTheme="majorBidi" w:hAnsiTheme="majorBidi" w:cstheme="majorBidi"/>
                <w:lang w:eastAsia="en-CA"/>
              </w:rPr>
            </w:pPr>
          </w:p>
        </w:tc>
      </w:tr>
      <w:tr w:rsidR="0030007A" w:rsidRPr="0030007A" w14:paraId="746874EF" w14:textId="77777777" w:rsidTr="00D15FF8">
        <w:trPr>
          <w:trHeight w:val="20"/>
        </w:trPr>
        <w:tc>
          <w:tcPr>
            <w:tcW w:w="9351" w:type="dxa"/>
            <w:gridSpan w:val="3"/>
            <w:tcBorders>
              <w:top w:val="single" w:sz="4" w:space="0" w:color="auto"/>
              <w:left w:val="single" w:sz="4" w:space="0" w:color="auto"/>
              <w:bottom w:val="single" w:sz="4" w:space="0" w:color="auto"/>
              <w:right w:val="single" w:sz="4" w:space="0" w:color="auto"/>
            </w:tcBorders>
            <w:vAlign w:val="center"/>
            <w:hideMark/>
          </w:tcPr>
          <w:p w14:paraId="41DB85E4" w14:textId="77777777" w:rsidR="0030007A" w:rsidRPr="00D15FF8" w:rsidRDefault="0030007A" w:rsidP="005249B5">
            <w:pPr>
              <w:jc w:val="left"/>
              <w:rPr>
                <w:b/>
                <w:bCs/>
                <w:color w:val="000000"/>
                <w:sz w:val="20"/>
                <w:szCs w:val="20"/>
              </w:rPr>
            </w:pPr>
            <w:r>
              <w:rPr>
                <w:b/>
                <w:color w:val="000000"/>
                <w:sz w:val="20"/>
              </w:rPr>
              <w:t>Formation des techniciens, des installateurs et des entreprises chargées de l’entretien</w:t>
            </w:r>
          </w:p>
        </w:tc>
        <w:tc>
          <w:tcPr>
            <w:tcW w:w="342" w:type="dxa"/>
            <w:gridSpan w:val="2"/>
            <w:vAlign w:val="center"/>
            <w:hideMark/>
          </w:tcPr>
          <w:p w14:paraId="1DAC41E3" w14:textId="77777777" w:rsidR="0030007A" w:rsidRPr="0030007A" w:rsidRDefault="0030007A" w:rsidP="0030007A">
            <w:pPr>
              <w:jc w:val="left"/>
              <w:rPr>
                <w:rFonts w:asciiTheme="majorBidi" w:hAnsiTheme="majorBidi" w:cstheme="majorBidi"/>
                <w:lang w:eastAsia="en-CA"/>
              </w:rPr>
            </w:pPr>
          </w:p>
        </w:tc>
      </w:tr>
      <w:tr w:rsidR="0030007A" w:rsidRPr="0030007A" w14:paraId="72FF7D71" w14:textId="77777777" w:rsidTr="00693F5C">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hideMark/>
          </w:tcPr>
          <w:p w14:paraId="665ADC00" w14:textId="4715E592" w:rsidR="0030007A" w:rsidRPr="00D15FF8" w:rsidRDefault="0030007A" w:rsidP="00F63D90">
            <w:pPr>
              <w:jc w:val="left"/>
              <w:rPr>
                <w:color w:val="000000"/>
                <w:sz w:val="20"/>
                <w:szCs w:val="20"/>
              </w:rPr>
            </w:pPr>
            <w:r>
              <w:rPr>
                <w:color w:val="000000"/>
                <w:sz w:val="20"/>
              </w:rPr>
              <w:t>Formation à la mesure et au suivi de l’énergie (160 personnes)</w:t>
            </w:r>
          </w:p>
        </w:tc>
        <w:tc>
          <w:tcPr>
            <w:tcW w:w="1587" w:type="dxa"/>
            <w:tcBorders>
              <w:top w:val="nil"/>
              <w:left w:val="nil"/>
              <w:bottom w:val="single" w:sz="4" w:space="0" w:color="auto"/>
              <w:right w:val="single" w:sz="4" w:space="0" w:color="auto"/>
            </w:tcBorders>
            <w:vAlign w:val="center"/>
            <w:hideMark/>
          </w:tcPr>
          <w:p w14:paraId="46B6CA7C" w14:textId="67EC3399" w:rsidR="0030007A" w:rsidRPr="00D15FF8" w:rsidRDefault="0030007A" w:rsidP="005249B5">
            <w:pPr>
              <w:jc w:val="right"/>
              <w:rPr>
                <w:color w:val="000000"/>
                <w:sz w:val="20"/>
                <w:szCs w:val="20"/>
              </w:rPr>
            </w:pPr>
            <w:r>
              <w:rPr>
                <w:color w:val="000000"/>
                <w:sz w:val="20"/>
              </w:rPr>
              <w:t xml:space="preserve">17 000 </w:t>
            </w:r>
          </w:p>
        </w:tc>
        <w:tc>
          <w:tcPr>
            <w:tcW w:w="1559" w:type="dxa"/>
            <w:tcBorders>
              <w:top w:val="nil"/>
              <w:left w:val="nil"/>
              <w:bottom w:val="single" w:sz="4" w:space="0" w:color="auto"/>
              <w:right w:val="single" w:sz="4" w:space="0" w:color="auto"/>
            </w:tcBorders>
            <w:vAlign w:val="center"/>
            <w:hideMark/>
          </w:tcPr>
          <w:p w14:paraId="6D82D2C2" w14:textId="6B84547D" w:rsidR="0030007A" w:rsidRPr="00D15FF8" w:rsidRDefault="0030007A" w:rsidP="005249B5">
            <w:pPr>
              <w:jc w:val="right"/>
              <w:rPr>
                <w:color w:val="000000"/>
                <w:sz w:val="20"/>
                <w:szCs w:val="20"/>
              </w:rPr>
            </w:pPr>
            <w:r>
              <w:rPr>
                <w:color w:val="000000"/>
                <w:sz w:val="20"/>
              </w:rPr>
              <w:t xml:space="preserve">17 000 </w:t>
            </w:r>
          </w:p>
        </w:tc>
        <w:tc>
          <w:tcPr>
            <w:tcW w:w="330" w:type="dxa"/>
            <w:vAlign w:val="center"/>
            <w:hideMark/>
          </w:tcPr>
          <w:p w14:paraId="4EDC42E7" w14:textId="77777777" w:rsidR="0030007A" w:rsidRPr="0030007A" w:rsidRDefault="0030007A" w:rsidP="00256F99">
            <w:pPr>
              <w:jc w:val="left"/>
              <w:rPr>
                <w:rFonts w:asciiTheme="majorBidi" w:hAnsiTheme="majorBidi" w:cstheme="majorBidi"/>
                <w:lang w:eastAsia="en-CA"/>
              </w:rPr>
            </w:pPr>
          </w:p>
        </w:tc>
      </w:tr>
      <w:tr w:rsidR="0030007A" w:rsidRPr="0030007A" w14:paraId="2428236B" w14:textId="77777777" w:rsidTr="00693F5C">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hideMark/>
          </w:tcPr>
          <w:p w14:paraId="4E7C5CF9" w14:textId="77777777" w:rsidR="0030007A" w:rsidRPr="00D15FF8" w:rsidRDefault="0030007A" w:rsidP="00F63D90">
            <w:pPr>
              <w:jc w:val="left"/>
              <w:rPr>
                <w:color w:val="000000"/>
                <w:sz w:val="20"/>
                <w:szCs w:val="20"/>
              </w:rPr>
            </w:pPr>
            <w:r>
              <w:rPr>
                <w:color w:val="000000"/>
                <w:sz w:val="20"/>
              </w:rPr>
              <w:t>Formation à la sécurité des frigorigènes et à l’entretien (300 personnes)</w:t>
            </w:r>
          </w:p>
        </w:tc>
        <w:tc>
          <w:tcPr>
            <w:tcW w:w="1587" w:type="dxa"/>
            <w:tcBorders>
              <w:top w:val="nil"/>
              <w:left w:val="nil"/>
              <w:bottom w:val="single" w:sz="4" w:space="0" w:color="auto"/>
              <w:right w:val="single" w:sz="4" w:space="0" w:color="auto"/>
            </w:tcBorders>
            <w:vAlign w:val="center"/>
            <w:hideMark/>
          </w:tcPr>
          <w:p w14:paraId="14079F4A" w14:textId="4EAA2C6E" w:rsidR="0030007A" w:rsidRPr="00D15FF8" w:rsidRDefault="0030007A" w:rsidP="005249B5">
            <w:pPr>
              <w:jc w:val="right"/>
              <w:rPr>
                <w:color w:val="000000"/>
                <w:sz w:val="20"/>
                <w:szCs w:val="20"/>
              </w:rPr>
            </w:pPr>
            <w:r>
              <w:rPr>
                <w:color w:val="000000"/>
                <w:sz w:val="20"/>
              </w:rPr>
              <w:t xml:space="preserve">32 300 </w:t>
            </w:r>
          </w:p>
        </w:tc>
        <w:tc>
          <w:tcPr>
            <w:tcW w:w="1559" w:type="dxa"/>
            <w:tcBorders>
              <w:top w:val="nil"/>
              <w:left w:val="nil"/>
              <w:bottom w:val="single" w:sz="4" w:space="0" w:color="auto"/>
              <w:right w:val="single" w:sz="4" w:space="0" w:color="auto"/>
            </w:tcBorders>
            <w:vAlign w:val="center"/>
            <w:hideMark/>
          </w:tcPr>
          <w:p w14:paraId="0376A3C4" w14:textId="71775CE3" w:rsidR="0030007A" w:rsidRPr="00D15FF8" w:rsidRDefault="0030007A" w:rsidP="005249B5">
            <w:pPr>
              <w:jc w:val="right"/>
              <w:rPr>
                <w:color w:val="000000"/>
                <w:sz w:val="20"/>
                <w:szCs w:val="20"/>
              </w:rPr>
            </w:pPr>
            <w:r>
              <w:rPr>
                <w:color w:val="000000"/>
                <w:sz w:val="20"/>
              </w:rPr>
              <w:t xml:space="preserve">32 300 </w:t>
            </w:r>
          </w:p>
        </w:tc>
        <w:tc>
          <w:tcPr>
            <w:tcW w:w="330" w:type="dxa"/>
            <w:vAlign w:val="center"/>
            <w:hideMark/>
          </w:tcPr>
          <w:p w14:paraId="79754D6C" w14:textId="77777777" w:rsidR="0030007A" w:rsidRPr="0030007A" w:rsidRDefault="0030007A" w:rsidP="00256F99">
            <w:pPr>
              <w:jc w:val="left"/>
              <w:rPr>
                <w:rFonts w:asciiTheme="majorBidi" w:hAnsiTheme="majorBidi" w:cstheme="majorBidi"/>
                <w:lang w:eastAsia="en-CA"/>
              </w:rPr>
            </w:pPr>
          </w:p>
        </w:tc>
      </w:tr>
      <w:tr w:rsidR="0030007A" w:rsidRPr="0030007A" w14:paraId="4D9821F6" w14:textId="77777777" w:rsidTr="00693F5C">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hideMark/>
          </w:tcPr>
          <w:p w14:paraId="32E38B06" w14:textId="77777777" w:rsidR="0030007A" w:rsidRPr="00D15FF8" w:rsidRDefault="0030007A" w:rsidP="00F63D90">
            <w:pPr>
              <w:jc w:val="left"/>
              <w:rPr>
                <w:color w:val="000000"/>
                <w:sz w:val="20"/>
                <w:szCs w:val="20"/>
              </w:rPr>
            </w:pPr>
            <w:r>
              <w:rPr>
                <w:color w:val="000000"/>
                <w:sz w:val="20"/>
              </w:rPr>
              <w:t xml:space="preserve">Consultant international </w:t>
            </w:r>
          </w:p>
        </w:tc>
        <w:tc>
          <w:tcPr>
            <w:tcW w:w="1587" w:type="dxa"/>
            <w:tcBorders>
              <w:top w:val="nil"/>
              <w:left w:val="nil"/>
              <w:bottom w:val="single" w:sz="4" w:space="0" w:color="auto"/>
              <w:right w:val="single" w:sz="4" w:space="0" w:color="auto"/>
            </w:tcBorders>
            <w:vAlign w:val="center"/>
            <w:hideMark/>
          </w:tcPr>
          <w:p w14:paraId="5E594623" w14:textId="4D9057CC" w:rsidR="0030007A" w:rsidRPr="00D15FF8" w:rsidRDefault="0030007A" w:rsidP="005249B5">
            <w:pPr>
              <w:jc w:val="right"/>
              <w:rPr>
                <w:color w:val="000000"/>
                <w:sz w:val="20"/>
                <w:szCs w:val="20"/>
              </w:rPr>
            </w:pPr>
            <w:r>
              <w:rPr>
                <w:color w:val="000000"/>
                <w:sz w:val="20"/>
              </w:rPr>
              <w:t xml:space="preserve">43 200 </w:t>
            </w:r>
          </w:p>
        </w:tc>
        <w:tc>
          <w:tcPr>
            <w:tcW w:w="1559" w:type="dxa"/>
            <w:tcBorders>
              <w:top w:val="nil"/>
              <w:left w:val="nil"/>
              <w:bottom w:val="single" w:sz="4" w:space="0" w:color="auto"/>
              <w:right w:val="single" w:sz="4" w:space="0" w:color="auto"/>
            </w:tcBorders>
            <w:vAlign w:val="center"/>
            <w:hideMark/>
          </w:tcPr>
          <w:p w14:paraId="21E48834" w14:textId="35851A5B" w:rsidR="0030007A" w:rsidRPr="00D15FF8" w:rsidRDefault="0030007A" w:rsidP="005249B5">
            <w:pPr>
              <w:jc w:val="right"/>
              <w:rPr>
                <w:sz w:val="20"/>
                <w:szCs w:val="20"/>
              </w:rPr>
            </w:pPr>
            <w:r>
              <w:rPr>
                <w:sz w:val="20"/>
              </w:rPr>
              <w:t xml:space="preserve">30 000 </w:t>
            </w:r>
          </w:p>
        </w:tc>
        <w:tc>
          <w:tcPr>
            <w:tcW w:w="330" w:type="dxa"/>
            <w:vAlign w:val="center"/>
            <w:hideMark/>
          </w:tcPr>
          <w:p w14:paraId="574A0469" w14:textId="77777777" w:rsidR="0030007A" w:rsidRPr="0030007A" w:rsidRDefault="0030007A" w:rsidP="00256F99">
            <w:pPr>
              <w:jc w:val="left"/>
              <w:rPr>
                <w:rFonts w:asciiTheme="majorBidi" w:hAnsiTheme="majorBidi" w:cstheme="majorBidi"/>
                <w:lang w:eastAsia="en-CA"/>
              </w:rPr>
            </w:pPr>
          </w:p>
        </w:tc>
      </w:tr>
      <w:tr w:rsidR="0030007A" w:rsidRPr="0030007A" w14:paraId="1F8DE55D" w14:textId="77777777" w:rsidTr="00693F5C">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hideMark/>
          </w:tcPr>
          <w:p w14:paraId="605BB0D5" w14:textId="709FF21F" w:rsidR="0030007A" w:rsidRPr="00D15FF8" w:rsidRDefault="00E45544" w:rsidP="00F63D90">
            <w:pPr>
              <w:jc w:val="left"/>
              <w:rPr>
                <w:color w:val="000000"/>
                <w:sz w:val="20"/>
                <w:szCs w:val="20"/>
              </w:rPr>
            </w:pPr>
            <w:r>
              <w:rPr>
                <w:color w:val="000000"/>
                <w:sz w:val="20"/>
              </w:rPr>
              <w:t>12 climatiseurs à base de R-290, et équipements et outils nécessaires à la manipulation et à la récupération des frigorigènes pour le centre de formation</w:t>
            </w:r>
          </w:p>
        </w:tc>
        <w:tc>
          <w:tcPr>
            <w:tcW w:w="1587" w:type="dxa"/>
            <w:tcBorders>
              <w:top w:val="nil"/>
              <w:left w:val="nil"/>
              <w:bottom w:val="single" w:sz="4" w:space="0" w:color="auto"/>
              <w:right w:val="single" w:sz="4" w:space="0" w:color="auto"/>
            </w:tcBorders>
            <w:vAlign w:val="center"/>
            <w:hideMark/>
          </w:tcPr>
          <w:p w14:paraId="389BCCBF" w14:textId="4E50E874" w:rsidR="0030007A" w:rsidRPr="00D15FF8" w:rsidRDefault="0030007A" w:rsidP="005249B5">
            <w:pPr>
              <w:jc w:val="right"/>
              <w:rPr>
                <w:color w:val="000000"/>
                <w:sz w:val="20"/>
                <w:szCs w:val="20"/>
              </w:rPr>
            </w:pPr>
            <w:r>
              <w:rPr>
                <w:color w:val="000000"/>
                <w:sz w:val="20"/>
              </w:rPr>
              <w:t xml:space="preserve">42 000 </w:t>
            </w:r>
          </w:p>
        </w:tc>
        <w:tc>
          <w:tcPr>
            <w:tcW w:w="1559" w:type="dxa"/>
            <w:tcBorders>
              <w:top w:val="nil"/>
              <w:left w:val="nil"/>
              <w:bottom w:val="single" w:sz="4" w:space="0" w:color="auto"/>
              <w:right w:val="single" w:sz="4" w:space="0" w:color="auto"/>
            </w:tcBorders>
            <w:vAlign w:val="center"/>
            <w:hideMark/>
          </w:tcPr>
          <w:p w14:paraId="4C0A8E68" w14:textId="10F28A5A" w:rsidR="0030007A" w:rsidRPr="00D15FF8" w:rsidRDefault="0030007A" w:rsidP="005249B5">
            <w:pPr>
              <w:jc w:val="right"/>
              <w:rPr>
                <w:color w:val="000000"/>
                <w:sz w:val="20"/>
                <w:szCs w:val="20"/>
              </w:rPr>
            </w:pPr>
            <w:r>
              <w:rPr>
                <w:color w:val="000000"/>
                <w:sz w:val="20"/>
              </w:rPr>
              <w:t xml:space="preserve">42 000 </w:t>
            </w:r>
          </w:p>
        </w:tc>
        <w:tc>
          <w:tcPr>
            <w:tcW w:w="330" w:type="dxa"/>
            <w:vAlign w:val="center"/>
            <w:hideMark/>
          </w:tcPr>
          <w:p w14:paraId="4C060F83" w14:textId="77777777" w:rsidR="0030007A" w:rsidRPr="0030007A" w:rsidRDefault="0030007A" w:rsidP="00256F99">
            <w:pPr>
              <w:jc w:val="left"/>
              <w:rPr>
                <w:rFonts w:asciiTheme="majorBidi" w:hAnsiTheme="majorBidi" w:cstheme="majorBidi"/>
                <w:lang w:eastAsia="en-CA"/>
              </w:rPr>
            </w:pPr>
          </w:p>
        </w:tc>
      </w:tr>
      <w:tr w:rsidR="0030007A" w:rsidRPr="0030007A" w14:paraId="1348D950" w14:textId="77777777" w:rsidTr="00693F5C">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hideMark/>
          </w:tcPr>
          <w:p w14:paraId="21A4F349" w14:textId="77777777" w:rsidR="0030007A" w:rsidRPr="00D15FF8" w:rsidRDefault="0030007A" w:rsidP="00F63D90">
            <w:pPr>
              <w:jc w:val="right"/>
              <w:rPr>
                <w:b/>
                <w:bCs/>
                <w:i/>
                <w:iCs/>
                <w:color w:val="000000"/>
                <w:sz w:val="20"/>
                <w:szCs w:val="20"/>
              </w:rPr>
            </w:pPr>
            <w:r>
              <w:rPr>
                <w:b/>
                <w:i/>
                <w:color w:val="000000"/>
                <w:sz w:val="20"/>
              </w:rPr>
              <w:t>Total partiel</w:t>
            </w:r>
          </w:p>
        </w:tc>
        <w:tc>
          <w:tcPr>
            <w:tcW w:w="1587" w:type="dxa"/>
            <w:tcBorders>
              <w:top w:val="nil"/>
              <w:left w:val="nil"/>
              <w:bottom w:val="single" w:sz="4" w:space="0" w:color="auto"/>
              <w:right w:val="single" w:sz="4" w:space="0" w:color="auto"/>
            </w:tcBorders>
            <w:noWrap/>
            <w:vAlign w:val="bottom"/>
            <w:hideMark/>
          </w:tcPr>
          <w:p w14:paraId="5015EA78" w14:textId="4C10DC57" w:rsidR="0030007A" w:rsidRPr="00D15FF8" w:rsidRDefault="0030007A" w:rsidP="005249B5">
            <w:pPr>
              <w:jc w:val="right"/>
              <w:rPr>
                <w:b/>
                <w:bCs/>
                <w:i/>
                <w:iCs/>
                <w:color w:val="000000"/>
                <w:sz w:val="20"/>
                <w:szCs w:val="20"/>
              </w:rPr>
            </w:pPr>
            <w:r>
              <w:rPr>
                <w:b/>
                <w:i/>
                <w:color w:val="000000"/>
                <w:sz w:val="20"/>
              </w:rPr>
              <w:t xml:space="preserve">134 500 </w:t>
            </w:r>
          </w:p>
        </w:tc>
        <w:tc>
          <w:tcPr>
            <w:tcW w:w="1559" w:type="dxa"/>
            <w:tcBorders>
              <w:top w:val="nil"/>
              <w:left w:val="nil"/>
              <w:bottom w:val="single" w:sz="4" w:space="0" w:color="auto"/>
              <w:right w:val="single" w:sz="4" w:space="0" w:color="auto"/>
            </w:tcBorders>
            <w:noWrap/>
            <w:vAlign w:val="bottom"/>
            <w:hideMark/>
          </w:tcPr>
          <w:p w14:paraId="73D0EB36" w14:textId="2C765613" w:rsidR="0030007A" w:rsidRPr="00D15FF8" w:rsidRDefault="0030007A" w:rsidP="005249B5">
            <w:pPr>
              <w:jc w:val="right"/>
              <w:rPr>
                <w:b/>
                <w:bCs/>
                <w:i/>
                <w:iCs/>
                <w:color w:val="000000"/>
                <w:sz w:val="20"/>
                <w:szCs w:val="20"/>
              </w:rPr>
            </w:pPr>
            <w:r>
              <w:rPr>
                <w:b/>
                <w:i/>
                <w:color w:val="000000"/>
                <w:sz w:val="20"/>
              </w:rPr>
              <w:t xml:space="preserve">121 300 </w:t>
            </w:r>
          </w:p>
        </w:tc>
        <w:tc>
          <w:tcPr>
            <w:tcW w:w="330" w:type="dxa"/>
            <w:vAlign w:val="center"/>
            <w:hideMark/>
          </w:tcPr>
          <w:p w14:paraId="30DC6CDB" w14:textId="77777777" w:rsidR="0030007A" w:rsidRPr="0030007A" w:rsidRDefault="0030007A" w:rsidP="00256F99">
            <w:pPr>
              <w:jc w:val="left"/>
              <w:rPr>
                <w:rFonts w:asciiTheme="majorBidi" w:hAnsiTheme="majorBidi" w:cstheme="majorBidi"/>
                <w:lang w:eastAsia="en-CA"/>
              </w:rPr>
            </w:pPr>
          </w:p>
        </w:tc>
      </w:tr>
      <w:tr w:rsidR="0030007A" w:rsidRPr="0030007A" w14:paraId="40688A8C" w14:textId="77777777" w:rsidTr="00D15FF8">
        <w:trPr>
          <w:trHeight w:val="20"/>
        </w:trPr>
        <w:tc>
          <w:tcPr>
            <w:tcW w:w="9351" w:type="dxa"/>
            <w:gridSpan w:val="3"/>
            <w:tcBorders>
              <w:top w:val="single" w:sz="4" w:space="0" w:color="auto"/>
              <w:left w:val="single" w:sz="4" w:space="0" w:color="auto"/>
              <w:bottom w:val="single" w:sz="4" w:space="0" w:color="auto"/>
              <w:right w:val="single" w:sz="4" w:space="0" w:color="auto"/>
            </w:tcBorders>
            <w:vAlign w:val="center"/>
            <w:hideMark/>
          </w:tcPr>
          <w:p w14:paraId="6CC59E0A" w14:textId="77777777" w:rsidR="0030007A" w:rsidRPr="00D15FF8" w:rsidRDefault="0030007A" w:rsidP="005249B5">
            <w:pPr>
              <w:jc w:val="left"/>
              <w:rPr>
                <w:b/>
                <w:bCs/>
                <w:color w:val="000000"/>
                <w:sz w:val="20"/>
                <w:szCs w:val="20"/>
              </w:rPr>
            </w:pPr>
            <w:r>
              <w:rPr>
                <w:b/>
                <w:color w:val="000000"/>
                <w:sz w:val="20"/>
              </w:rPr>
              <w:t xml:space="preserve">Communication, vulgarisation et normes </w:t>
            </w:r>
          </w:p>
        </w:tc>
        <w:tc>
          <w:tcPr>
            <w:tcW w:w="342" w:type="dxa"/>
            <w:gridSpan w:val="2"/>
            <w:vAlign w:val="center"/>
            <w:hideMark/>
          </w:tcPr>
          <w:p w14:paraId="744CC683" w14:textId="77777777" w:rsidR="0030007A" w:rsidRPr="0030007A" w:rsidRDefault="0030007A" w:rsidP="00256F99">
            <w:pPr>
              <w:jc w:val="left"/>
              <w:rPr>
                <w:rFonts w:asciiTheme="majorBidi" w:hAnsiTheme="majorBidi" w:cstheme="majorBidi"/>
                <w:lang w:eastAsia="en-CA"/>
              </w:rPr>
            </w:pPr>
          </w:p>
        </w:tc>
      </w:tr>
      <w:tr w:rsidR="0030007A" w:rsidRPr="0030007A" w14:paraId="4966B3DB" w14:textId="77777777" w:rsidTr="00693F5C">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hideMark/>
          </w:tcPr>
          <w:p w14:paraId="0597F98D" w14:textId="77777777" w:rsidR="0030007A" w:rsidRPr="00D15FF8" w:rsidRDefault="0030007A" w:rsidP="00F63D90">
            <w:pPr>
              <w:jc w:val="left"/>
              <w:rPr>
                <w:color w:val="000000"/>
                <w:sz w:val="20"/>
                <w:szCs w:val="20"/>
              </w:rPr>
            </w:pPr>
            <w:r>
              <w:rPr>
                <w:color w:val="000000"/>
                <w:sz w:val="20"/>
              </w:rPr>
              <w:t>Campagnes de vulgarisation</w:t>
            </w:r>
          </w:p>
        </w:tc>
        <w:tc>
          <w:tcPr>
            <w:tcW w:w="1587" w:type="dxa"/>
            <w:tcBorders>
              <w:top w:val="nil"/>
              <w:left w:val="nil"/>
              <w:bottom w:val="single" w:sz="4" w:space="0" w:color="auto"/>
              <w:right w:val="single" w:sz="4" w:space="0" w:color="auto"/>
            </w:tcBorders>
            <w:vAlign w:val="center"/>
            <w:hideMark/>
          </w:tcPr>
          <w:p w14:paraId="324D3DC9" w14:textId="06C7DD82" w:rsidR="0030007A" w:rsidRPr="00D15FF8" w:rsidRDefault="0030007A" w:rsidP="005249B5">
            <w:pPr>
              <w:jc w:val="right"/>
              <w:rPr>
                <w:color w:val="000000"/>
                <w:sz w:val="20"/>
                <w:szCs w:val="20"/>
              </w:rPr>
            </w:pPr>
            <w:r>
              <w:rPr>
                <w:color w:val="000000"/>
                <w:sz w:val="20"/>
              </w:rPr>
              <w:t xml:space="preserve">9 000 </w:t>
            </w:r>
          </w:p>
        </w:tc>
        <w:tc>
          <w:tcPr>
            <w:tcW w:w="1559" w:type="dxa"/>
            <w:tcBorders>
              <w:top w:val="nil"/>
              <w:left w:val="nil"/>
              <w:bottom w:val="single" w:sz="4" w:space="0" w:color="auto"/>
              <w:right w:val="single" w:sz="4" w:space="0" w:color="auto"/>
            </w:tcBorders>
            <w:vAlign w:val="center"/>
            <w:hideMark/>
          </w:tcPr>
          <w:p w14:paraId="58481E43" w14:textId="271E85EA" w:rsidR="0030007A" w:rsidRPr="00D15FF8" w:rsidRDefault="0030007A" w:rsidP="005249B5">
            <w:pPr>
              <w:jc w:val="right"/>
              <w:rPr>
                <w:color w:val="000000"/>
                <w:sz w:val="20"/>
                <w:szCs w:val="20"/>
              </w:rPr>
            </w:pPr>
            <w:r>
              <w:rPr>
                <w:color w:val="000000"/>
                <w:sz w:val="20"/>
              </w:rPr>
              <w:t xml:space="preserve">9 000 </w:t>
            </w:r>
          </w:p>
        </w:tc>
        <w:tc>
          <w:tcPr>
            <w:tcW w:w="330" w:type="dxa"/>
            <w:vAlign w:val="center"/>
            <w:hideMark/>
          </w:tcPr>
          <w:p w14:paraId="61BDCCCD" w14:textId="77777777" w:rsidR="0030007A" w:rsidRPr="0030007A" w:rsidRDefault="0030007A" w:rsidP="00256F99">
            <w:pPr>
              <w:jc w:val="left"/>
              <w:rPr>
                <w:rFonts w:asciiTheme="majorBidi" w:hAnsiTheme="majorBidi" w:cstheme="majorBidi"/>
                <w:lang w:eastAsia="en-CA"/>
              </w:rPr>
            </w:pPr>
          </w:p>
        </w:tc>
      </w:tr>
      <w:tr w:rsidR="0030007A" w:rsidRPr="0030007A" w14:paraId="715D6C24" w14:textId="77777777" w:rsidTr="00693F5C">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hideMark/>
          </w:tcPr>
          <w:p w14:paraId="040EBB2B" w14:textId="77777777" w:rsidR="0030007A" w:rsidRPr="00D15FF8" w:rsidRDefault="0030007A" w:rsidP="00F63D90">
            <w:pPr>
              <w:jc w:val="left"/>
              <w:rPr>
                <w:color w:val="000000"/>
                <w:sz w:val="20"/>
                <w:szCs w:val="20"/>
              </w:rPr>
            </w:pPr>
            <w:r>
              <w:rPr>
                <w:color w:val="000000"/>
                <w:sz w:val="20"/>
              </w:rPr>
              <w:t>Visites de site</w:t>
            </w:r>
          </w:p>
        </w:tc>
        <w:tc>
          <w:tcPr>
            <w:tcW w:w="1587" w:type="dxa"/>
            <w:tcBorders>
              <w:top w:val="nil"/>
              <w:left w:val="nil"/>
              <w:bottom w:val="single" w:sz="4" w:space="0" w:color="auto"/>
              <w:right w:val="single" w:sz="4" w:space="0" w:color="auto"/>
            </w:tcBorders>
            <w:vAlign w:val="center"/>
            <w:hideMark/>
          </w:tcPr>
          <w:p w14:paraId="442F1598" w14:textId="52AF8042" w:rsidR="0030007A" w:rsidRPr="00D15FF8" w:rsidRDefault="0030007A" w:rsidP="005249B5">
            <w:pPr>
              <w:jc w:val="right"/>
              <w:rPr>
                <w:color w:val="000000"/>
                <w:sz w:val="20"/>
                <w:szCs w:val="20"/>
              </w:rPr>
            </w:pPr>
            <w:r>
              <w:rPr>
                <w:color w:val="000000"/>
                <w:sz w:val="20"/>
              </w:rPr>
              <w:t xml:space="preserve">1 500 </w:t>
            </w:r>
          </w:p>
        </w:tc>
        <w:tc>
          <w:tcPr>
            <w:tcW w:w="1559" w:type="dxa"/>
            <w:tcBorders>
              <w:top w:val="nil"/>
              <w:left w:val="nil"/>
              <w:bottom w:val="single" w:sz="4" w:space="0" w:color="auto"/>
              <w:right w:val="single" w:sz="4" w:space="0" w:color="auto"/>
            </w:tcBorders>
            <w:vAlign w:val="center"/>
            <w:hideMark/>
          </w:tcPr>
          <w:p w14:paraId="5D5C522A" w14:textId="72E55B07" w:rsidR="0030007A" w:rsidRPr="00D15FF8" w:rsidRDefault="0030007A" w:rsidP="005249B5">
            <w:pPr>
              <w:jc w:val="right"/>
              <w:rPr>
                <w:color w:val="000000"/>
                <w:sz w:val="20"/>
                <w:szCs w:val="20"/>
              </w:rPr>
            </w:pPr>
            <w:r>
              <w:rPr>
                <w:color w:val="000000"/>
                <w:sz w:val="20"/>
              </w:rPr>
              <w:t xml:space="preserve">1 500 </w:t>
            </w:r>
          </w:p>
        </w:tc>
        <w:tc>
          <w:tcPr>
            <w:tcW w:w="330" w:type="dxa"/>
            <w:vAlign w:val="center"/>
            <w:hideMark/>
          </w:tcPr>
          <w:p w14:paraId="39C90F51" w14:textId="77777777" w:rsidR="0030007A" w:rsidRPr="0030007A" w:rsidRDefault="0030007A" w:rsidP="00256F99">
            <w:pPr>
              <w:jc w:val="left"/>
              <w:rPr>
                <w:rFonts w:asciiTheme="majorBidi" w:hAnsiTheme="majorBidi" w:cstheme="majorBidi"/>
                <w:lang w:eastAsia="en-CA"/>
              </w:rPr>
            </w:pPr>
          </w:p>
        </w:tc>
      </w:tr>
      <w:tr w:rsidR="0030007A" w:rsidRPr="0030007A" w14:paraId="76DAC44E" w14:textId="77777777" w:rsidTr="00693F5C">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hideMark/>
          </w:tcPr>
          <w:p w14:paraId="280A997D" w14:textId="77777777" w:rsidR="0030007A" w:rsidRPr="00D15FF8" w:rsidRDefault="0030007A" w:rsidP="00F63D90">
            <w:pPr>
              <w:jc w:val="left"/>
              <w:rPr>
                <w:color w:val="000000"/>
                <w:sz w:val="20"/>
                <w:szCs w:val="20"/>
              </w:rPr>
            </w:pPr>
            <w:r>
              <w:rPr>
                <w:color w:val="000000"/>
                <w:sz w:val="20"/>
              </w:rPr>
              <w:t>Présentation à des conférences, notamment à la Réunion des Parties/aux réunions du Groupe de travail à composition non limitée des Parties au Protocole de Montréal</w:t>
            </w:r>
          </w:p>
        </w:tc>
        <w:tc>
          <w:tcPr>
            <w:tcW w:w="1587" w:type="dxa"/>
            <w:tcBorders>
              <w:top w:val="nil"/>
              <w:left w:val="nil"/>
              <w:bottom w:val="single" w:sz="4" w:space="0" w:color="auto"/>
              <w:right w:val="single" w:sz="4" w:space="0" w:color="auto"/>
            </w:tcBorders>
            <w:vAlign w:val="center"/>
            <w:hideMark/>
          </w:tcPr>
          <w:p w14:paraId="39AF265B" w14:textId="63E2196C" w:rsidR="0030007A" w:rsidRPr="00D15FF8" w:rsidRDefault="0030007A" w:rsidP="005249B5">
            <w:pPr>
              <w:jc w:val="right"/>
              <w:rPr>
                <w:color w:val="000000"/>
                <w:sz w:val="20"/>
                <w:szCs w:val="20"/>
              </w:rPr>
            </w:pPr>
            <w:r>
              <w:rPr>
                <w:color w:val="000000"/>
                <w:sz w:val="20"/>
              </w:rPr>
              <w:t xml:space="preserve">4 000 </w:t>
            </w:r>
          </w:p>
        </w:tc>
        <w:tc>
          <w:tcPr>
            <w:tcW w:w="1559" w:type="dxa"/>
            <w:tcBorders>
              <w:top w:val="nil"/>
              <w:left w:val="nil"/>
              <w:bottom w:val="single" w:sz="4" w:space="0" w:color="auto"/>
              <w:right w:val="single" w:sz="4" w:space="0" w:color="auto"/>
            </w:tcBorders>
            <w:vAlign w:val="center"/>
            <w:hideMark/>
          </w:tcPr>
          <w:p w14:paraId="0F5F31A6" w14:textId="73F62411" w:rsidR="0030007A" w:rsidRPr="00D15FF8" w:rsidRDefault="0030007A" w:rsidP="005249B5">
            <w:pPr>
              <w:jc w:val="right"/>
              <w:rPr>
                <w:color w:val="000000"/>
                <w:sz w:val="20"/>
                <w:szCs w:val="20"/>
              </w:rPr>
            </w:pPr>
            <w:r>
              <w:rPr>
                <w:color w:val="000000"/>
                <w:sz w:val="20"/>
              </w:rPr>
              <w:t xml:space="preserve">4 000 </w:t>
            </w:r>
          </w:p>
        </w:tc>
        <w:tc>
          <w:tcPr>
            <w:tcW w:w="330" w:type="dxa"/>
            <w:vAlign w:val="center"/>
            <w:hideMark/>
          </w:tcPr>
          <w:p w14:paraId="520076CF" w14:textId="77777777" w:rsidR="0030007A" w:rsidRPr="0030007A" w:rsidRDefault="0030007A" w:rsidP="00256F99">
            <w:pPr>
              <w:jc w:val="left"/>
              <w:rPr>
                <w:rFonts w:asciiTheme="majorBidi" w:hAnsiTheme="majorBidi" w:cstheme="majorBidi"/>
                <w:lang w:eastAsia="en-CA"/>
              </w:rPr>
            </w:pPr>
          </w:p>
        </w:tc>
      </w:tr>
      <w:tr w:rsidR="0030007A" w:rsidRPr="0030007A" w14:paraId="0187F965" w14:textId="77777777" w:rsidTr="00693F5C">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hideMark/>
          </w:tcPr>
          <w:p w14:paraId="41A9CDC3" w14:textId="66EE591F" w:rsidR="0030007A" w:rsidRPr="00D15FF8" w:rsidRDefault="00693F5C" w:rsidP="00F63D90">
            <w:pPr>
              <w:jc w:val="left"/>
              <w:rPr>
                <w:color w:val="000000"/>
                <w:sz w:val="20"/>
                <w:szCs w:val="20"/>
              </w:rPr>
            </w:pPr>
            <w:r w:rsidRPr="00693F5C">
              <w:rPr>
                <w:color w:val="000000"/>
                <w:sz w:val="20"/>
              </w:rPr>
              <w:t>Soutien à l’adoption des normes de sécurité applicables par le marché local</w:t>
            </w:r>
            <w:r w:rsidR="0030007A">
              <w:rPr>
                <w:color w:val="000000"/>
                <w:sz w:val="20"/>
              </w:rPr>
              <w:br/>
              <w:t>- Soutien à la mise à jour des normes locales</w:t>
            </w:r>
            <w:r w:rsidR="0030007A">
              <w:rPr>
                <w:color w:val="000000"/>
                <w:sz w:val="20"/>
              </w:rPr>
              <w:br/>
              <w:t>- Étude des besoins du marché en matière d’utilisation des normes</w:t>
            </w:r>
          </w:p>
        </w:tc>
        <w:tc>
          <w:tcPr>
            <w:tcW w:w="1587" w:type="dxa"/>
            <w:tcBorders>
              <w:top w:val="nil"/>
              <w:left w:val="nil"/>
              <w:bottom w:val="single" w:sz="4" w:space="0" w:color="auto"/>
              <w:right w:val="single" w:sz="4" w:space="0" w:color="auto"/>
            </w:tcBorders>
            <w:vAlign w:val="center"/>
            <w:hideMark/>
          </w:tcPr>
          <w:p w14:paraId="2A477B32" w14:textId="28EE4C44" w:rsidR="0030007A" w:rsidRPr="00D15FF8" w:rsidRDefault="0030007A" w:rsidP="005249B5">
            <w:pPr>
              <w:jc w:val="right"/>
              <w:rPr>
                <w:color w:val="000000"/>
                <w:sz w:val="20"/>
                <w:szCs w:val="20"/>
              </w:rPr>
            </w:pPr>
            <w:r>
              <w:rPr>
                <w:color w:val="000000"/>
                <w:sz w:val="20"/>
              </w:rPr>
              <w:t xml:space="preserve">10 000 </w:t>
            </w:r>
          </w:p>
        </w:tc>
        <w:tc>
          <w:tcPr>
            <w:tcW w:w="1559" w:type="dxa"/>
            <w:tcBorders>
              <w:top w:val="nil"/>
              <w:left w:val="nil"/>
              <w:bottom w:val="single" w:sz="4" w:space="0" w:color="auto"/>
              <w:right w:val="single" w:sz="4" w:space="0" w:color="auto"/>
            </w:tcBorders>
            <w:vAlign w:val="center"/>
            <w:hideMark/>
          </w:tcPr>
          <w:p w14:paraId="134E0056" w14:textId="58F08CB1" w:rsidR="0030007A" w:rsidRPr="00D15FF8" w:rsidRDefault="0030007A" w:rsidP="005249B5">
            <w:pPr>
              <w:jc w:val="right"/>
              <w:rPr>
                <w:sz w:val="20"/>
                <w:szCs w:val="20"/>
              </w:rPr>
            </w:pPr>
            <w:r>
              <w:rPr>
                <w:sz w:val="20"/>
              </w:rPr>
              <w:t xml:space="preserve">10 000 </w:t>
            </w:r>
          </w:p>
        </w:tc>
        <w:tc>
          <w:tcPr>
            <w:tcW w:w="330" w:type="dxa"/>
            <w:vAlign w:val="center"/>
            <w:hideMark/>
          </w:tcPr>
          <w:p w14:paraId="326FAE8C" w14:textId="77777777" w:rsidR="0030007A" w:rsidRPr="0030007A" w:rsidRDefault="0030007A" w:rsidP="00256F99">
            <w:pPr>
              <w:jc w:val="left"/>
              <w:rPr>
                <w:rFonts w:asciiTheme="majorBidi" w:hAnsiTheme="majorBidi" w:cstheme="majorBidi"/>
                <w:lang w:eastAsia="en-CA"/>
              </w:rPr>
            </w:pPr>
          </w:p>
        </w:tc>
      </w:tr>
      <w:tr w:rsidR="0030007A" w:rsidRPr="0030007A" w14:paraId="7CA7FA57" w14:textId="77777777" w:rsidTr="00693F5C">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hideMark/>
          </w:tcPr>
          <w:p w14:paraId="58774493" w14:textId="77777777" w:rsidR="0030007A" w:rsidRPr="00D15FF8" w:rsidRDefault="0030007A" w:rsidP="00F63D90">
            <w:pPr>
              <w:jc w:val="right"/>
              <w:rPr>
                <w:b/>
                <w:bCs/>
                <w:i/>
                <w:iCs/>
                <w:color w:val="000000"/>
                <w:sz w:val="20"/>
                <w:szCs w:val="20"/>
              </w:rPr>
            </w:pPr>
            <w:r>
              <w:rPr>
                <w:b/>
                <w:i/>
                <w:color w:val="000000"/>
                <w:sz w:val="20"/>
              </w:rPr>
              <w:t>Total partiel</w:t>
            </w:r>
          </w:p>
        </w:tc>
        <w:tc>
          <w:tcPr>
            <w:tcW w:w="1587" w:type="dxa"/>
            <w:tcBorders>
              <w:top w:val="nil"/>
              <w:left w:val="nil"/>
              <w:bottom w:val="single" w:sz="4" w:space="0" w:color="auto"/>
              <w:right w:val="single" w:sz="4" w:space="0" w:color="auto"/>
            </w:tcBorders>
            <w:vAlign w:val="center"/>
            <w:hideMark/>
          </w:tcPr>
          <w:p w14:paraId="728E8DAC" w14:textId="1BFA4652" w:rsidR="0030007A" w:rsidRPr="00D15FF8" w:rsidRDefault="0030007A" w:rsidP="005249B5">
            <w:pPr>
              <w:jc w:val="right"/>
              <w:rPr>
                <w:b/>
                <w:bCs/>
                <w:i/>
                <w:iCs/>
                <w:color w:val="000000"/>
                <w:sz w:val="20"/>
                <w:szCs w:val="20"/>
              </w:rPr>
            </w:pPr>
            <w:r>
              <w:rPr>
                <w:b/>
                <w:i/>
                <w:color w:val="000000"/>
                <w:sz w:val="20"/>
              </w:rPr>
              <w:t xml:space="preserve">24 500 </w:t>
            </w:r>
          </w:p>
        </w:tc>
        <w:tc>
          <w:tcPr>
            <w:tcW w:w="1559" w:type="dxa"/>
            <w:tcBorders>
              <w:top w:val="nil"/>
              <w:left w:val="nil"/>
              <w:bottom w:val="single" w:sz="4" w:space="0" w:color="auto"/>
              <w:right w:val="single" w:sz="4" w:space="0" w:color="auto"/>
            </w:tcBorders>
            <w:vAlign w:val="center"/>
            <w:hideMark/>
          </w:tcPr>
          <w:p w14:paraId="61DDF5B8" w14:textId="67E587D0" w:rsidR="0030007A" w:rsidRPr="00D15FF8" w:rsidRDefault="0030007A" w:rsidP="005249B5">
            <w:pPr>
              <w:jc w:val="right"/>
              <w:rPr>
                <w:b/>
                <w:bCs/>
                <w:i/>
                <w:iCs/>
                <w:color w:val="000000"/>
                <w:sz w:val="20"/>
                <w:szCs w:val="20"/>
              </w:rPr>
            </w:pPr>
            <w:r>
              <w:rPr>
                <w:b/>
                <w:i/>
                <w:color w:val="000000"/>
                <w:sz w:val="20"/>
              </w:rPr>
              <w:t xml:space="preserve">24 500 </w:t>
            </w:r>
          </w:p>
        </w:tc>
        <w:tc>
          <w:tcPr>
            <w:tcW w:w="330" w:type="dxa"/>
            <w:vAlign w:val="center"/>
            <w:hideMark/>
          </w:tcPr>
          <w:p w14:paraId="1B2885F6" w14:textId="77777777" w:rsidR="0030007A" w:rsidRPr="0030007A" w:rsidRDefault="0030007A" w:rsidP="00256F99">
            <w:pPr>
              <w:jc w:val="left"/>
              <w:rPr>
                <w:rFonts w:asciiTheme="majorBidi" w:hAnsiTheme="majorBidi" w:cstheme="majorBidi"/>
                <w:lang w:eastAsia="en-CA"/>
              </w:rPr>
            </w:pPr>
          </w:p>
        </w:tc>
      </w:tr>
      <w:tr w:rsidR="00793B33" w:rsidRPr="0030007A" w14:paraId="6ED6F1AC" w14:textId="77777777" w:rsidTr="00693F5C">
        <w:trPr>
          <w:gridAfter w:val="1"/>
          <w:wAfter w:w="12" w:type="dxa"/>
          <w:trHeight w:val="20"/>
        </w:trPr>
        <w:tc>
          <w:tcPr>
            <w:tcW w:w="6205" w:type="dxa"/>
            <w:tcBorders>
              <w:top w:val="nil"/>
              <w:left w:val="single" w:sz="4" w:space="0" w:color="auto"/>
              <w:bottom w:val="single" w:sz="4" w:space="0" w:color="auto"/>
              <w:right w:val="single" w:sz="4" w:space="0" w:color="auto"/>
            </w:tcBorders>
            <w:vAlign w:val="center"/>
          </w:tcPr>
          <w:p w14:paraId="6CF6CFF5" w14:textId="03EAF9EF" w:rsidR="00793B33" w:rsidRPr="00DF0183" w:rsidRDefault="00793B33" w:rsidP="00F63D90">
            <w:pPr>
              <w:jc w:val="right"/>
              <w:rPr>
                <w:b/>
                <w:bCs/>
                <w:color w:val="000000"/>
                <w:sz w:val="20"/>
                <w:szCs w:val="20"/>
              </w:rPr>
            </w:pPr>
            <w:r>
              <w:rPr>
                <w:b/>
                <w:color w:val="000000"/>
                <w:sz w:val="20"/>
              </w:rPr>
              <w:t>TOTAL</w:t>
            </w:r>
          </w:p>
        </w:tc>
        <w:tc>
          <w:tcPr>
            <w:tcW w:w="1587" w:type="dxa"/>
            <w:tcBorders>
              <w:top w:val="nil"/>
              <w:left w:val="nil"/>
              <w:bottom w:val="single" w:sz="4" w:space="0" w:color="auto"/>
              <w:right w:val="single" w:sz="4" w:space="0" w:color="auto"/>
            </w:tcBorders>
            <w:vAlign w:val="center"/>
          </w:tcPr>
          <w:p w14:paraId="5394CACF" w14:textId="014A1595" w:rsidR="00793B33" w:rsidRPr="00DF0183" w:rsidDel="001109B6" w:rsidRDefault="00793B33" w:rsidP="00DF0183">
            <w:pPr>
              <w:jc w:val="right"/>
              <w:rPr>
                <w:b/>
                <w:bCs/>
                <w:color w:val="000000"/>
                <w:sz w:val="20"/>
                <w:szCs w:val="20"/>
              </w:rPr>
            </w:pPr>
            <w:r>
              <w:rPr>
                <w:b/>
                <w:color w:val="000000"/>
                <w:sz w:val="20"/>
              </w:rPr>
              <w:t>360 160</w:t>
            </w:r>
          </w:p>
        </w:tc>
        <w:tc>
          <w:tcPr>
            <w:tcW w:w="1559" w:type="dxa"/>
            <w:tcBorders>
              <w:top w:val="nil"/>
              <w:left w:val="nil"/>
              <w:bottom w:val="single" w:sz="4" w:space="0" w:color="auto"/>
              <w:right w:val="single" w:sz="4" w:space="0" w:color="auto"/>
            </w:tcBorders>
            <w:vAlign w:val="center"/>
          </w:tcPr>
          <w:p w14:paraId="0E355B1E" w14:textId="62E8A68C" w:rsidR="00793B33" w:rsidRPr="00DF0183" w:rsidDel="001109B6" w:rsidRDefault="00793B33" w:rsidP="00DF0183">
            <w:pPr>
              <w:jc w:val="right"/>
              <w:rPr>
                <w:b/>
                <w:bCs/>
                <w:color w:val="000000"/>
                <w:sz w:val="20"/>
                <w:szCs w:val="20"/>
              </w:rPr>
            </w:pPr>
            <w:r>
              <w:rPr>
                <w:b/>
                <w:color w:val="000000"/>
                <w:sz w:val="20"/>
              </w:rPr>
              <w:t>321 300</w:t>
            </w:r>
          </w:p>
        </w:tc>
        <w:tc>
          <w:tcPr>
            <w:tcW w:w="330" w:type="dxa"/>
            <w:vAlign w:val="center"/>
          </w:tcPr>
          <w:p w14:paraId="2FF5414D" w14:textId="77777777" w:rsidR="00793B33" w:rsidRPr="0030007A" w:rsidRDefault="00793B33" w:rsidP="00256F99">
            <w:pPr>
              <w:jc w:val="left"/>
              <w:rPr>
                <w:rFonts w:asciiTheme="majorBidi" w:hAnsiTheme="majorBidi" w:cstheme="majorBidi"/>
                <w:lang w:eastAsia="en-CA"/>
              </w:rPr>
            </w:pPr>
          </w:p>
        </w:tc>
      </w:tr>
    </w:tbl>
    <w:p w14:paraId="379864DE" w14:textId="510DE931" w:rsidR="005D7A6C" w:rsidDel="008C5D53" w:rsidRDefault="005D7A6C" w:rsidP="00DC185C">
      <w:pPr>
        <w:spacing w:before="240" w:after="240"/>
        <w:rPr>
          <w:i/>
          <w:iCs/>
        </w:rPr>
      </w:pPr>
      <w:r>
        <w:rPr>
          <w:i/>
        </w:rPr>
        <w:t>Co-financement</w:t>
      </w:r>
    </w:p>
    <w:p w14:paraId="6E8D055C" w14:textId="11D8165D" w:rsidR="005D7A6C" w:rsidDel="008C5D53" w:rsidRDefault="005A6D42" w:rsidP="005D7A6C">
      <w:pPr>
        <w:pStyle w:val="Heading1"/>
      </w:pPr>
      <w:r>
        <w:t>Le Secrétariat a demandé des précisions sur les questions de co-financement, puisqu’un co-financement était mentionné dans la proposition de projet. L</w:t>
      </w:r>
      <w:r w:rsidR="00F01244">
        <w:t>e</w:t>
      </w:r>
      <w:r>
        <w:t xml:space="preserve"> Gouvernement </w:t>
      </w:r>
      <w:r w:rsidR="0068463B">
        <w:t xml:space="preserve">du Royaume-Uni </w:t>
      </w:r>
      <w:r>
        <w:t xml:space="preserve">a indiqué que le Ministère de la santé et de l’hygiène publique, qui est le bénéficiaire direct des équipements, sera responsable du bon fonctionnement sur le long terme des appareils installés, de leur maintenance et des frais d’entretien. Le Ministère de l’enseignement technique, de la formation professionnelle et de l’apprentissage mobilisera les formateurs de ces centres pour former et sensibiliser les techniciens des centres bénéficiaires à la maintenance des climatiseurs à faible PRP, qui ne rentre </w:t>
      </w:r>
      <w:r w:rsidR="00BE2E48">
        <w:t xml:space="preserve">pas </w:t>
      </w:r>
      <w:r>
        <w:t>dans le champ d’application des formations dispensées au titre du projet. Ces coûts seront pris en charge par les partenaires gouvernementaux.</w:t>
      </w:r>
    </w:p>
    <w:p w14:paraId="374A48C5" w14:textId="5C6D3E0E" w:rsidR="000469FA" w:rsidRDefault="000469FA" w:rsidP="000469FA">
      <w:pPr>
        <w:pStyle w:val="Heading1"/>
        <w:keepNext/>
        <w:rPr>
          <w:i/>
          <w:iCs/>
        </w:rPr>
      </w:pPr>
      <w:r>
        <w:t>Le Secrétariat, prenant note des potentielles économies que le projet pilote pourrait apporter, a également demandé si les bénéficiaires s’étaient éventuellement engagé</w:t>
      </w:r>
      <w:r w:rsidR="00864479">
        <w:t>s</w:t>
      </w:r>
      <w:r>
        <w:t xml:space="preserve"> à co-financer les activités </w:t>
      </w:r>
      <w:r>
        <w:lastRenderedPageBreak/>
        <w:t xml:space="preserve">proposées. Le Gouvernement </w:t>
      </w:r>
      <w:r w:rsidR="0068463B">
        <w:t xml:space="preserve">du Royaume-Uni </w:t>
      </w:r>
      <w:r>
        <w:t>a répondu que, lorsque le projet aura montré, comme prévu, que les climatiseurs à faible PRP ont un meilleur rendement énergétique que les appareils conventionnels, les deux ministères concernés étudieront la possibilité d’intégrer ces critères de performance énergétique à leurs futurs marchés publics, et qu’ils remplaceront les climatiseurs restants des trois hôpitaux qui n’entrent pas dans le champ d’application du projet. Cette approche promouvra l’adoption de technologies respectueuses de l’environnement et à meilleur rendement énergétique au-delà du champ d’application du projet pilote.</w:t>
      </w:r>
    </w:p>
    <w:p w14:paraId="69F238D6" w14:textId="5DD60A14" w:rsidR="00DC185C" w:rsidRPr="00972ACF" w:rsidRDefault="00DC185C" w:rsidP="00DC185C">
      <w:pPr>
        <w:spacing w:before="240" w:after="240"/>
        <w:rPr>
          <w:u w:val="single"/>
        </w:rPr>
      </w:pPr>
      <w:r>
        <w:rPr>
          <w:u w:val="single"/>
        </w:rPr>
        <w:t>Améliorations de l’efficacité énergétique et estimation préliminaire des économies d’électricité</w:t>
      </w:r>
    </w:p>
    <w:p w14:paraId="1DBD2D07" w14:textId="5A10C05E" w:rsidR="0084565C" w:rsidRPr="00D212BC" w:rsidRDefault="009D34B9" w:rsidP="0084565C">
      <w:pPr>
        <w:pStyle w:val="Heading1"/>
      </w:pPr>
      <w:r>
        <w:t>Faisant référence aux économies d’énergie présentées dans la proposition et mentionnées au paragraphe 18 ci-dessus, et notant l’économie d’environ 6 000 MWh de consommation d’énergie globale sur une durée de 10 ans et le tarif local actuel de l’électricité</w:t>
      </w:r>
      <w:r w:rsidR="003D7012" w:rsidRPr="00972ACF">
        <w:rPr>
          <w:rStyle w:val="FootnoteReference"/>
        </w:rPr>
        <w:footnoteReference w:id="14"/>
      </w:r>
      <w:r>
        <w:t xml:space="preserve">, le Gouvernement </w:t>
      </w:r>
      <w:r w:rsidR="006A57F0">
        <w:t xml:space="preserve">du Royaume-Uni </w:t>
      </w:r>
      <w:r>
        <w:t>a estimé que les économies annuelles d’électricité s’élèveront à 62 900 $US, et que le retour sur investissement total s’étalera sur environ 5 ans.</w:t>
      </w:r>
    </w:p>
    <w:p w14:paraId="733AD600" w14:textId="77777777" w:rsidR="00DC185C" w:rsidRPr="009D34B9" w:rsidRDefault="00DC185C" w:rsidP="00F30FEA">
      <w:pPr>
        <w:pStyle w:val="Heading1"/>
        <w:numPr>
          <w:ilvl w:val="0"/>
          <w:numId w:val="0"/>
        </w:numPr>
        <w:rPr>
          <w:u w:val="single"/>
        </w:rPr>
      </w:pPr>
      <w:r>
        <w:rPr>
          <w:u w:val="single"/>
        </w:rPr>
        <w:t>Pérennité, reproductibilité et évaluation des risques</w:t>
      </w:r>
    </w:p>
    <w:p w14:paraId="5DAB8CFA" w14:textId="4767F993" w:rsidR="00CE0C36" w:rsidRPr="006052D0" w:rsidRDefault="009442B3" w:rsidP="00CE0C36">
      <w:pPr>
        <w:pStyle w:val="Heading1"/>
        <w:rPr>
          <w:color w:val="000000" w:themeColor="text1"/>
        </w:rPr>
      </w:pPr>
      <w:r>
        <w:rPr>
          <w:color w:val="000000" w:themeColor="text1"/>
        </w:rPr>
        <w:t xml:space="preserve">Le Secrétariat a demandé comment le pays allait garantir la reproductibilité des résultats du projet au sein du même secteur ou dans d’autres secteurs. Le Gouvernement </w:t>
      </w:r>
      <w:r w:rsidR="006A57F0">
        <w:t xml:space="preserve">du Royaume-Uni </w:t>
      </w:r>
      <w:r>
        <w:rPr>
          <w:color w:val="000000" w:themeColor="text1"/>
        </w:rPr>
        <w:t>a expliqué que le Gouvernement du Togo prévoit d’utiliser les conclusions et les enseignements de ce projet pour encourager à l’avenir l’élaboration de plans sectoriels dans le domaine de la santé et pour promouvoir une approche similaire dans d’autres secteurs commerciaux tels que les centres commerciaux, les supermarchés, les établissements d’enseignement, les bâtiments publics, etc. La reproductibilité sera promue par le biais de l’élargissement progressif du marché vers des appareils à faible PRP et par le biais de la démonstration de la faisabilité à la fois technique et commerciale des systèmes fonctionnant au R-290, tout en orientant les mesures politiques nationales et en renforçant la capacité des techniciens et des fournisseurs de services d’entretien. Ensemble, tous ces éléments créeront un socle robuste pour reproduire les résultats obtenus dans d’autres secteurs, permettant ainsi d’opérer une transition plus vaste vers des technologies de réfrigération et de climatisation sans danger, efficaces et sans incidence sur le climat.</w:t>
      </w:r>
    </w:p>
    <w:p w14:paraId="22CC3057" w14:textId="77777777" w:rsidR="00DC185C" w:rsidRPr="006052D0" w:rsidRDefault="00DC185C" w:rsidP="00DC185C">
      <w:pPr>
        <w:keepNext/>
        <w:spacing w:before="360" w:after="240"/>
      </w:pPr>
      <w:r>
        <w:rPr>
          <w:b/>
        </w:rPr>
        <w:t>RECOMMANDATION</w:t>
      </w:r>
    </w:p>
    <w:p w14:paraId="0E673015" w14:textId="62647517" w:rsidR="00DC185C" w:rsidRPr="006052D0" w:rsidRDefault="00DC185C" w:rsidP="00DC185C">
      <w:pPr>
        <w:numPr>
          <w:ilvl w:val="0"/>
          <w:numId w:val="1"/>
        </w:numPr>
        <w:spacing w:after="240"/>
        <w:outlineLvl w:val="0"/>
      </w:pPr>
      <w:r>
        <w:t>Le Comité exécutif pourrait souhaiter envisager d’approuver le projet pilote visant à maintenir et/ou améliorer l’efficacité énergétique des technologies et équipements de remplacement dans le contexte de la réduction des HFC (activités non liées à des investissements)</w:t>
      </w:r>
      <w:r w:rsidR="00BE2E48">
        <w:t xml:space="preserve">, consistant en la </w:t>
      </w:r>
      <w:r>
        <w:t xml:space="preserve">démonstration de la technologie de climatisation à base de R-290 et des avantages que présentent la manipulation et la gestion correctes des frigorigènes et les bonnes pratiques de maintenance des équipements de climatisation, pour un montant de 321 300 $US, plus des coûts d’appui d’agence de 41 769 $US, pour le Gouvernement </w:t>
      </w:r>
      <w:r w:rsidR="006A57F0">
        <w:t xml:space="preserve">du </w:t>
      </w:r>
      <w:r w:rsidR="006A57F0" w:rsidRPr="006E4503">
        <w:t>Royaume-Uni de Grande-Bretagne et d'Irlande du Nord</w:t>
      </w:r>
      <w:r>
        <w:t>, en prenant note du fait :</w:t>
      </w:r>
    </w:p>
    <w:p w14:paraId="27AC4B21" w14:textId="7247AEAD" w:rsidR="00DC185C" w:rsidRDefault="00DC185C" w:rsidP="00DE7082">
      <w:pPr>
        <w:pStyle w:val="Heading2"/>
      </w:pPr>
      <w:r>
        <w:t>Que le Gouvernement du Togo s’est engagé à respecter les conditions visées dans la décision 91/65 b) iv) b. à b) iv) d. ;</w:t>
      </w:r>
    </w:p>
    <w:p w14:paraId="289FC6D4" w14:textId="43051C02" w:rsidR="00A101A9" w:rsidRPr="00F04CDE" w:rsidRDefault="0072245A" w:rsidP="00DE7082">
      <w:pPr>
        <w:pStyle w:val="Heading2"/>
      </w:pPr>
      <w:r>
        <w:t>Que le Gouvernement du Togo mettra à jour ses normes minimales de performance énergétique et adoptera celles actuellement en cours de mise à jour par la Communauté économique des états de l’Afrique occidentale une fois le projet achevé ; et</w:t>
      </w:r>
    </w:p>
    <w:p w14:paraId="17CAFEFE" w14:textId="361047A1" w:rsidR="00DC185C" w:rsidRPr="006C028F" w:rsidRDefault="00DC185C" w:rsidP="007A260B">
      <w:pPr>
        <w:pStyle w:val="Heading2"/>
        <w:keepNext/>
        <w:keepLines/>
      </w:pPr>
      <w:r>
        <w:lastRenderedPageBreak/>
        <w:t>Que le projet sera achevé sur le plan opérationnel au plus tard le 30 juin 2028 et qu’un rapport de projet détaillé sera soumis au Comité exécutif dans les six mois suivant la date d’achèvement du projet.</w:t>
      </w:r>
    </w:p>
    <w:tbl>
      <w:tblPr>
        <w:tblStyle w:val="TableGrid"/>
        <w:tblW w:w="0" w:type="auto"/>
        <w:tblLook w:val="04A0" w:firstRow="1" w:lastRow="0" w:firstColumn="1" w:lastColumn="0" w:noHBand="0" w:noVBand="1"/>
      </w:tblPr>
      <w:tblGrid>
        <w:gridCol w:w="1870"/>
        <w:gridCol w:w="1870"/>
        <w:gridCol w:w="1870"/>
        <w:gridCol w:w="1870"/>
        <w:gridCol w:w="1870"/>
      </w:tblGrid>
      <w:tr w:rsidR="00DC185C" w:rsidRPr="00DC185C" w14:paraId="10C8BE8C" w14:textId="77777777" w:rsidTr="00681E74">
        <w:tc>
          <w:tcPr>
            <w:tcW w:w="1870" w:type="dxa"/>
          </w:tcPr>
          <w:p w14:paraId="61A50D1F" w14:textId="77777777" w:rsidR="00DC185C" w:rsidRPr="007A260B" w:rsidRDefault="00DC185C" w:rsidP="00DC185C"/>
        </w:tc>
        <w:tc>
          <w:tcPr>
            <w:tcW w:w="1870" w:type="dxa"/>
          </w:tcPr>
          <w:p w14:paraId="13F5369B" w14:textId="77777777" w:rsidR="00DC185C" w:rsidRPr="007A260B" w:rsidRDefault="00DC185C" w:rsidP="00DC185C"/>
        </w:tc>
        <w:tc>
          <w:tcPr>
            <w:tcW w:w="1870" w:type="dxa"/>
            <w:tcBorders>
              <w:bottom w:val="single" w:sz="4" w:space="0" w:color="auto"/>
            </w:tcBorders>
          </w:tcPr>
          <w:p w14:paraId="413C91B4" w14:textId="77777777" w:rsidR="00DC185C" w:rsidRPr="007A260B" w:rsidRDefault="00DC185C" w:rsidP="00DC185C"/>
        </w:tc>
        <w:tc>
          <w:tcPr>
            <w:tcW w:w="1870" w:type="dxa"/>
          </w:tcPr>
          <w:p w14:paraId="4BAE8579" w14:textId="77777777" w:rsidR="00DC185C" w:rsidRPr="007A260B" w:rsidRDefault="00DC185C" w:rsidP="00DC185C"/>
        </w:tc>
        <w:tc>
          <w:tcPr>
            <w:tcW w:w="1870" w:type="dxa"/>
          </w:tcPr>
          <w:p w14:paraId="0143600F" w14:textId="77777777" w:rsidR="00DC185C" w:rsidRPr="007A260B" w:rsidRDefault="00DC185C" w:rsidP="00DC185C"/>
        </w:tc>
      </w:tr>
    </w:tbl>
    <w:p w14:paraId="0042C2F4" w14:textId="77777777" w:rsidR="00DC185C" w:rsidRPr="007A260B" w:rsidRDefault="00DC185C" w:rsidP="00F04CDE"/>
    <w:sectPr w:rsidR="00DC185C" w:rsidRPr="007A260B"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F3FC7" w14:textId="77777777" w:rsidR="002622CC" w:rsidRDefault="002622CC" w:rsidP="004A504B">
      <w:r>
        <w:separator/>
      </w:r>
    </w:p>
  </w:endnote>
  <w:endnote w:type="continuationSeparator" w:id="0">
    <w:p w14:paraId="722069E6" w14:textId="77777777" w:rsidR="002622CC" w:rsidRDefault="002622C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9BB71"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D5655"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7D57C" w14:textId="77777777" w:rsidR="00221914" w:rsidRDefault="00221914" w:rsidP="00221914">
    <w:pPr>
      <w:pBdr>
        <w:top w:val="single" w:sz="4" w:space="1" w:color="auto"/>
        <w:left w:val="single" w:sz="4" w:space="4" w:color="auto"/>
        <w:bottom w:val="single" w:sz="4" w:space="1" w:color="auto"/>
        <w:right w:val="single" w:sz="4" w:space="4" w:color="auto"/>
      </w:pBdr>
      <w:jc w:val="center"/>
      <w:rPr>
        <w:sz w:val="18"/>
      </w:rPr>
    </w:pPr>
    <w:r>
      <w:rPr>
        <w:sz w:val="18"/>
      </w:rPr>
      <w:t>Les documents de présession du Comité exécutif du Fonds multilatéral aux fins d’application du Protocole de Montréal</w:t>
    </w:r>
  </w:p>
  <w:p w14:paraId="4D8C66D1" w14:textId="30DFD423" w:rsidR="007A260B" w:rsidRPr="00594BE3" w:rsidRDefault="00221914" w:rsidP="00221914">
    <w:pPr>
      <w:pBdr>
        <w:top w:val="single" w:sz="4" w:space="1" w:color="auto"/>
        <w:left w:val="single" w:sz="4" w:space="4" w:color="auto"/>
        <w:bottom w:val="single" w:sz="4" w:space="1" w:color="auto"/>
        <w:right w:val="single" w:sz="4" w:space="4" w:color="auto"/>
      </w:pBdr>
      <w:jc w:val="center"/>
      <w:rPr>
        <w:sz w:val="18"/>
        <w:szCs w:val="18"/>
      </w:rPr>
    </w:pPr>
    <w:r>
      <w:rPr>
        <w:sz w:val="18"/>
      </w:rPr>
      <w:t>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96C24" w14:textId="77777777" w:rsidR="002622CC" w:rsidRDefault="002622CC" w:rsidP="004A504B">
      <w:r>
        <w:separator/>
      </w:r>
    </w:p>
  </w:footnote>
  <w:footnote w:type="continuationSeparator" w:id="0">
    <w:p w14:paraId="61E76A81" w14:textId="77777777" w:rsidR="002622CC" w:rsidRDefault="002622CC" w:rsidP="004A504B">
      <w:r>
        <w:continuationSeparator/>
      </w:r>
    </w:p>
  </w:footnote>
  <w:footnote w:id="1">
    <w:p w14:paraId="64356227" w14:textId="77777777" w:rsidR="0079781A" w:rsidRPr="001E1147" w:rsidRDefault="0079781A" w:rsidP="0079781A">
      <w:pPr>
        <w:pStyle w:val="FootnoteText"/>
      </w:pPr>
      <w:r>
        <w:rPr>
          <w:rStyle w:val="FootnoteReference"/>
        </w:rPr>
        <w:footnoteRef/>
      </w:r>
      <w:r>
        <w:t> UNEP/OzL.Pro/ExCom/97/1</w:t>
      </w:r>
    </w:p>
  </w:footnote>
  <w:footnote w:id="2">
    <w:p w14:paraId="0A3812C4" w14:textId="649DE833" w:rsidR="00B9024E" w:rsidRDefault="00B9024E">
      <w:pPr>
        <w:pStyle w:val="FootnoteText"/>
      </w:pPr>
      <w:r>
        <w:rPr>
          <w:rStyle w:val="FootnoteReference"/>
        </w:rPr>
        <w:footnoteRef/>
      </w:r>
      <w:r>
        <w:t xml:space="preserve"> </w:t>
      </w:r>
      <w:r w:rsidRPr="00B9024E">
        <w:t>Le projet proposé doit être soutenu par le biais d’une assistance bilatérale de la part du Gouvernement du Royaume-Uni et mis en œuvre par le Gouvernement de l’</w:t>
      </w:r>
      <w:r>
        <w:t>Allemagne.</w:t>
      </w:r>
    </w:p>
  </w:footnote>
  <w:footnote w:id="3">
    <w:p w14:paraId="1C3DAB33" w14:textId="0938A125" w:rsidR="00DC185C" w:rsidRPr="008A2345" w:rsidRDefault="00DC185C" w:rsidP="00DC185C">
      <w:pPr>
        <w:pStyle w:val="FootnoteText"/>
      </w:pPr>
      <w:r>
        <w:rPr>
          <w:rStyle w:val="FootnoteReference"/>
          <w:lang w:val="en-GB"/>
        </w:rPr>
        <w:footnoteRef/>
      </w:r>
      <w:r>
        <w:t> Selon la lettre adressée au Secrétariat le 26 août 2025 par le Ministère de l’environnement et des ressources forestières du Togo.</w:t>
      </w:r>
    </w:p>
  </w:footnote>
  <w:footnote w:id="4">
    <w:p w14:paraId="73E5F5CE" w14:textId="4E09FAA4" w:rsidR="005C15CA" w:rsidRPr="001E3316" w:rsidRDefault="005C15CA">
      <w:pPr>
        <w:pStyle w:val="FootnoteText"/>
      </w:pPr>
      <w:r>
        <w:rPr>
          <w:rStyle w:val="FootnoteReference"/>
        </w:rPr>
        <w:footnoteRef/>
      </w:r>
      <w:r>
        <w:t xml:space="preserve"> Selon la lettre adressée le 3 septembre 2024 par le Ministère de l’environnement et des ressources forestières du Togo au Gouvernement de l’Allemagne, qui a ensuite informé le Secrétariat du changement en décembre 2024 avec le document UNEP/OzL.Pro/ExCom/95/78, paragraphe 39. </w:t>
      </w:r>
    </w:p>
  </w:footnote>
  <w:footnote w:id="5">
    <w:p w14:paraId="1607705F" w14:textId="23B2CDEF" w:rsidR="00A1439E" w:rsidRPr="00A1439E" w:rsidRDefault="00A1439E">
      <w:pPr>
        <w:pStyle w:val="FootnoteText"/>
      </w:pPr>
      <w:r>
        <w:rPr>
          <w:rStyle w:val="FootnoteReference"/>
        </w:rPr>
        <w:footnoteRef/>
      </w:r>
      <w:r>
        <w:t> Décision 95/73</w:t>
      </w:r>
    </w:p>
  </w:footnote>
  <w:footnote w:id="6">
    <w:p w14:paraId="5074D31D" w14:textId="77777777" w:rsidR="006905F1" w:rsidRDefault="006905F1" w:rsidP="006905F1">
      <w:pPr>
        <w:pStyle w:val="FootnoteText"/>
      </w:pPr>
      <w:r>
        <w:rPr>
          <w:rStyle w:val="FootnoteReference"/>
        </w:rPr>
        <w:footnoteRef/>
      </w:r>
      <w:r>
        <w:t> La norme ECOSTAND 071-1:2017 de la CEDEAO définit des NMPE pour les appareils de réfrigération d’un volume de stockage inférieur ou égal à 1 500 litres appartenant aux catégories suivantes : réfrigérateur muni d’un ou plusieurs compartiments de stockage pour produits frais ; cave, cellier et appareil de stockage de vin ; appareil de refroidissement et réfrigérateur avec un compartiment à 0 étoile, 1 étoile, 2 étoiles ou 3 étoiles ; congélateur vertical, congélateur coffre, équipement de réfrigération multi-usages et autres appareils de réfrigération.</w:t>
      </w:r>
    </w:p>
  </w:footnote>
  <w:footnote w:id="7">
    <w:p w14:paraId="2CD3DFF8" w14:textId="77777777" w:rsidR="006905F1" w:rsidRDefault="006905F1" w:rsidP="006905F1">
      <w:pPr>
        <w:pStyle w:val="FootnoteText"/>
      </w:pPr>
      <w:r>
        <w:rPr>
          <w:rStyle w:val="FootnoteReference"/>
        </w:rPr>
        <w:footnoteRef/>
      </w:r>
      <w:r>
        <w:t> Les normes ECOSTAND 071-2:2017 de la CEDEAO définissent des NMPE pour les produits de climatisation à usage domestique et commercial, notamment les climatiseurs portatifs, unitaires et de type split, et les systèmes de climatisation centralisée.</w:t>
      </w:r>
    </w:p>
  </w:footnote>
  <w:footnote w:id="8">
    <w:p w14:paraId="5C9D07DA" w14:textId="2FB32B25" w:rsidR="00B25071" w:rsidRPr="007A260B" w:rsidRDefault="00B25071">
      <w:pPr>
        <w:pStyle w:val="FootnoteText"/>
        <w:rPr>
          <w:lang w:val="en-US"/>
        </w:rPr>
      </w:pPr>
      <w:r>
        <w:rPr>
          <w:rStyle w:val="FootnoteReference"/>
        </w:rPr>
        <w:footnoteRef/>
      </w:r>
      <w:r w:rsidRPr="007A260B">
        <w:rPr>
          <w:lang w:val="en-US"/>
        </w:rPr>
        <w:t> UNEP/OzL.Pro/ExCom/95/78, paragraphe 34.</w:t>
      </w:r>
    </w:p>
  </w:footnote>
  <w:footnote w:id="9">
    <w:p w14:paraId="270D4C68" w14:textId="47E7A6A0" w:rsidR="00E049C8" w:rsidRPr="00E049C8" w:rsidRDefault="00E049C8">
      <w:pPr>
        <w:pStyle w:val="FootnoteText"/>
      </w:pPr>
      <w:r>
        <w:rPr>
          <w:rStyle w:val="FootnoteReference"/>
        </w:rPr>
        <w:footnoteRef/>
      </w:r>
      <w:r>
        <w:t> Le TEWI est une mesure de l’effet de l’utilisation et de l’élimination d’un équipement de réfrigération donné sur le réchauffement de la planète. Il est calculé en ajoutant les émissions d’équivalent CO</w:t>
      </w:r>
      <w:r>
        <w:rPr>
          <w:vertAlign w:val="subscript"/>
        </w:rPr>
        <w:t>2</w:t>
      </w:r>
      <w:r>
        <w:t xml:space="preserve"> directes et les émissions d ‘équivalent CO</w:t>
      </w:r>
      <w:r>
        <w:rPr>
          <w:vertAlign w:val="subscript"/>
        </w:rPr>
        <w:t>2</w:t>
      </w:r>
      <w:r>
        <w:t xml:space="preserve"> indirectes.</w:t>
      </w:r>
    </w:p>
  </w:footnote>
  <w:footnote w:id="10">
    <w:p w14:paraId="0AC4A977" w14:textId="5B6C5A9C" w:rsidR="00D82753" w:rsidRPr="00D82753" w:rsidRDefault="00D82753">
      <w:pPr>
        <w:pStyle w:val="FootnoteText"/>
      </w:pPr>
      <w:r>
        <w:rPr>
          <w:rStyle w:val="FootnoteReference"/>
        </w:rPr>
        <w:footnoteRef/>
      </w:r>
      <w:r>
        <w:t> Unités thermiques britanniques (Btu) par heure.</w:t>
      </w:r>
    </w:p>
  </w:footnote>
  <w:footnote w:id="11">
    <w:p w14:paraId="6C55CC79" w14:textId="2D583381" w:rsidR="00526C15" w:rsidRPr="00526C15" w:rsidRDefault="00526C15">
      <w:pPr>
        <w:pStyle w:val="FootnoteText"/>
      </w:pPr>
      <w:r>
        <w:rPr>
          <w:rStyle w:val="FootnoteReference"/>
        </w:rPr>
        <w:footnoteRef/>
      </w:r>
      <w:r>
        <w:t> Mégawatt-heures.</w:t>
      </w:r>
    </w:p>
  </w:footnote>
  <w:footnote w:id="12">
    <w:p w14:paraId="7B02A794" w14:textId="224A0D10" w:rsidR="008F714E" w:rsidRPr="005D160F" w:rsidRDefault="008F714E" w:rsidP="008F714E">
      <w:pPr>
        <w:pStyle w:val="FootnoteText"/>
      </w:pPr>
      <w:r>
        <w:rPr>
          <w:rStyle w:val="FootnoteReference"/>
        </w:rPr>
        <w:footnoteRef/>
      </w:r>
      <w:r>
        <w:t> </w:t>
      </w:r>
      <w:r w:rsidR="00BA1161" w:rsidRPr="00BA1161">
        <w:t xml:space="preserve">Comprenant un projet de démonstration d’une technologie visant à remplacer deux installations à base de </w:t>
      </w:r>
      <w:r>
        <w:t>R-404A par des solutions de remplacement à faible PRP et la remise d’un rapport final sur la mise en œuvre du projet, incluant la quantité de HFC éliminés et les gains d’efficacité énergétique réalisés (décision 95/73).</w:t>
      </w:r>
    </w:p>
  </w:footnote>
  <w:footnote w:id="13">
    <w:p w14:paraId="79CE7337" w14:textId="46952886" w:rsidR="008A24EB" w:rsidRPr="008A24EB" w:rsidRDefault="008A24EB">
      <w:pPr>
        <w:pStyle w:val="FootnoteText"/>
      </w:pPr>
      <w:r>
        <w:rPr>
          <w:rStyle w:val="FootnoteReference"/>
        </w:rPr>
        <w:footnoteRef/>
      </w:r>
      <w:r>
        <w:t> D’après les statistiques de 2019 de l’Organisation mondiale de la santé.</w:t>
      </w:r>
    </w:p>
  </w:footnote>
  <w:footnote w:id="14">
    <w:p w14:paraId="0BD3BD75" w14:textId="59B2C996" w:rsidR="003D7012" w:rsidRPr="006052D0" w:rsidRDefault="003D7012" w:rsidP="003D7012">
      <w:pPr>
        <w:pStyle w:val="FootnoteText"/>
        <w:rPr>
          <w:color w:val="000000" w:themeColor="text1"/>
        </w:rPr>
      </w:pPr>
      <w:r>
        <w:rPr>
          <w:rStyle w:val="FootnoteReference"/>
        </w:rPr>
        <w:footnoteRef/>
      </w:r>
      <w:r>
        <w:t xml:space="preserve"> Le tarif togolais de l’électricité varie en fonction du type d’alimentation : </w:t>
      </w:r>
      <w:r>
        <w:rPr>
          <w:color w:val="000000" w:themeColor="text1"/>
        </w:rPr>
        <w:t>les petits hôpitaux utilisant de l’électricité basse tension payent 143 XOF (0,26 $US) par kWh alors que les gros hôpitaux consommant de l’électricité haute tension déboursent 91 XOF (0,16 $US) par kWh.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8B5F1" w14:textId="681B3419" w:rsidR="00DC6A10" w:rsidRPr="0033525D" w:rsidRDefault="00400C3A">
    <w:fldSimple w:instr=" DOCPROPERTY &quot;Document number&quot;  \* MERGEFORMAT ">
      <w:r w:rsidR="007A260B">
        <w:t>UNEP/OzL.Pro/ExCom/97/79</w:t>
      </w:r>
    </w:fldSimple>
  </w:p>
  <w:p w14:paraId="77E8DE13" w14:textId="77777777" w:rsidR="00DC6A10" w:rsidRPr="0033525D" w:rsidRDefault="00DC6A10"/>
  <w:p w14:paraId="3B9C851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43F31" w14:textId="5CDF9D1C" w:rsidR="00DC6A10" w:rsidRPr="0033525D" w:rsidRDefault="00400C3A">
    <w:pPr>
      <w:jc w:val="right"/>
    </w:pPr>
    <w:fldSimple w:instr=" DOCPROPERTY &quot;Document number&quot;  \* MERGEFORMAT ">
      <w:r w:rsidR="007A260B">
        <w:t>UNEP/OzL.Pro/ExCom/97/79</w:t>
      </w:r>
    </w:fldSimple>
  </w:p>
  <w:p w14:paraId="40E94964" w14:textId="77777777" w:rsidR="00DC6A10" w:rsidRPr="0033525D" w:rsidRDefault="00DC6A10"/>
  <w:p w14:paraId="50B14E47"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0084920"/>
    <w:lvl w:ilvl="0">
      <w:start w:val="1"/>
      <w:numFmt w:val="decimal"/>
      <w:pStyle w:val="Heading1"/>
      <w:lvlText w:val="%1."/>
      <w:lvlJc w:val="left"/>
      <w:pPr>
        <w:tabs>
          <w:tab w:val="num" w:pos="0"/>
        </w:tabs>
        <w:ind w:left="0" w:firstLine="0"/>
      </w:pPr>
      <w:rPr>
        <w:rFonts w:hint="default"/>
        <w:b w:val="0"/>
        <w:bCs w:val="0"/>
        <w:i w:val="0"/>
        <w:iCs w:val="0"/>
        <w:sz w:val="22"/>
        <w:szCs w:val="22"/>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449494C"/>
    <w:multiLevelType w:val="hybridMultilevel"/>
    <w:tmpl w:val="788AC0CC"/>
    <w:lvl w:ilvl="0" w:tplc="4148E00C">
      <w:start w:val="1"/>
      <w:numFmt w:val="decimal"/>
      <w:lvlText w:val="%1."/>
      <w:lvlJc w:val="left"/>
      <w:pPr>
        <w:ind w:left="720" w:hanging="360"/>
      </w:pPr>
    </w:lvl>
    <w:lvl w:ilvl="1" w:tplc="DC8679C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2"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5C012F"/>
    <w:multiLevelType w:val="hybridMultilevel"/>
    <w:tmpl w:val="699277B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1DDF1F40"/>
    <w:multiLevelType w:val="multilevel"/>
    <w:tmpl w:val="333AA892"/>
    <w:lvl w:ilvl="0">
      <w:start w:val="8"/>
      <w:numFmt w:val="decimal"/>
      <w:lvlText w:val="%1."/>
      <w:lvlJc w:val="left"/>
      <w:pPr>
        <w:tabs>
          <w:tab w:val="num" w:pos="0"/>
        </w:tabs>
        <w:ind w:left="0" w:firstLine="0"/>
      </w:pPr>
      <w:rPr>
        <w:rFonts w:hint="default"/>
        <w:b w:val="0"/>
        <w:bCs w:val="0"/>
        <w:i w:val="0"/>
        <w:i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19" w15:restartNumberingAfterBreak="0">
    <w:nsid w:val="42FE50C1"/>
    <w:multiLevelType w:val="multilevel"/>
    <w:tmpl w:val="9CE2F82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0BE36CB"/>
    <w:multiLevelType w:val="hybridMultilevel"/>
    <w:tmpl w:val="7930B61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27" w15:restartNumberingAfterBreak="0">
    <w:nsid w:val="6CD8714B"/>
    <w:multiLevelType w:val="hybridMultilevel"/>
    <w:tmpl w:val="2F94CD3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0" w15:restartNumberingAfterBreak="0">
    <w:nsid w:val="7F9961D1"/>
    <w:multiLevelType w:val="hybridMultilevel"/>
    <w:tmpl w:val="920087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6"/>
  </w:num>
  <w:num w:numId="17" w16cid:durableId="299306927">
    <w:abstractNumId w:val="20"/>
  </w:num>
  <w:num w:numId="18" w16cid:durableId="559828470">
    <w:abstractNumId w:val="21"/>
  </w:num>
  <w:num w:numId="19" w16cid:durableId="1488010068">
    <w:abstractNumId w:val="29"/>
  </w:num>
  <w:num w:numId="20" w16cid:durableId="444007775">
    <w:abstractNumId w:val="17"/>
  </w:num>
  <w:num w:numId="21" w16cid:durableId="2137481371">
    <w:abstractNumId w:val="17"/>
    <w:lvlOverride w:ilvl="0">
      <w:startOverride w:val="1"/>
    </w:lvlOverride>
  </w:num>
  <w:num w:numId="22" w16cid:durableId="275909297">
    <w:abstractNumId w:val="22"/>
  </w:num>
  <w:num w:numId="23" w16cid:durableId="598296029">
    <w:abstractNumId w:val="11"/>
  </w:num>
  <w:num w:numId="24" w16cid:durableId="1074813681">
    <w:abstractNumId w:val="23"/>
  </w:num>
  <w:num w:numId="25" w16cid:durableId="1725564835">
    <w:abstractNumId w:val="18"/>
  </w:num>
  <w:num w:numId="26" w16cid:durableId="1269001707">
    <w:abstractNumId w:val="26"/>
  </w:num>
  <w:num w:numId="27" w16cid:durableId="527648014">
    <w:abstractNumId w:val="24"/>
  </w:num>
  <w:num w:numId="28"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51778373">
    <w:abstractNumId w:val="15"/>
  </w:num>
  <w:num w:numId="30" w16cid:durableId="1364675030">
    <w:abstractNumId w:val="28"/>
  </w:num>
  <w:num w:numId="31" w16cid:durableId="1971327864">
    <w:abstractNumId w:val="12"/>
  </w:num>
  <w:num w:numId="32" w16cid:durableId="2128234140">
    <w:abstractNumId w:val="10"/>
  </w:num>
  <w:num w:numId="33" w16cid:durableId="512261701">
    <w:abstractNumId w:val="10"/>
  </w:num>
  <w:num w:numId="34" w16cid:durableId="1827279144">
    <w:abstractNumId w:val="25"/>
  </w:num>
  <w:num w:numId="35" w16cid:durableId="1577714456">
    <w:abstractNumId w:val="27"/>
  </w:num>
  <w:num w:numId="36" w16cid:durableId="1268732089">
    <w:abstractNumId w:val="30"/>
  </w:num>
  <w:num w:numId="37" w16cid:durableId="633869773">
    <w:abstractNumId w:val="14"/>
  </w:num>
  <w:num w:numId="38" w16cid:durableId="745492775">
    <w:abstractNumId w:val="13"/>
  </w:num>
  <w:num w:numId="39" w16cid:durableId="1347513696">
    <w:abstractNumId w:val="19"/>
  </w:num>
  <w:num w:numId="40" w16cid:durableId="131079246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F0D6C"/>
    <w:rsid w:val="00000FED"/>
    <w:rsid w:val="00001336"/>
    <w:rsid w:val="000026C0"/>
    <w:rsid w:val="000031EC"/>
    <w:rsid w:val="00003B35"/>
    <w:rsid w:val="0000434E"/>
    <w:rsid w:val="000044DD"/>
    <w:rsid w:val="0000464A"/>
    <w:rsid w:val="00004C4B"/>
    <w:rsid w:val="0000514E"/>
    <w:rsid w:val="00007710"/>
    <w:rsid w:val="00007D50"/>
    <w:rsid w:val="00010DB4"/>
    <w:rsid w:val="00012C01"/>
    <w:rsid w:val="00014EE6"/>
    <w:rsid w:val="00014FB7"/>
    <w:rsid w:val="0002118C"/>
    <w:rsid w:val="000211A9"/>
    <w:rsid w:val="00021238"/>
    <w:rsid w:val="00021D27"/>
    <w:rsid w:val="00022071"/>
    <w:rsid w:val="00022B68"/>
    <w:rsid w:val="00025075"/>
    <w:rsid w:val="00025705"/>
    <w:rsid w:val="0002690D"/>
    <w:rsid w:val="00026C92"/>
    <w:rsid w:val="00030136"/>
    <w:rsid w:val="00030388"/>
    <w:rsid w:val="00031260"/>
    <w:rsid w:val="00032C2D"/>
    <w:rsid w:val="0003366D"/>
    <w:rsid w:val="0003681A"/>
    <w:rsid w:val="000372B7"/>
    <w:rsid w:val="00037393"/>
    <w:rsid w:val="00037C76"/>
    <w:rsid w:val="000408EF"/>
    <w:rsid w:val="000410AE"/>
    <w:rsid w:val="0004567B"/>
    <w:rsid w:val="000469FA"/>
    <w:rsid w:val="00046EFD"/>
    <w:rsid w:val="000472FA"/>
    <w:rsid w:val="00050182"/>
    <w:rsid w:val="00050752"/>
    <w:rsid w:val="00050E31"/>
    <w:rsid w:val="00050F6E"/>
    <w:rsid w:val="00051F6D"/>
    <w:rsid w:val="00052DAB"/>
    <w:rsid w:val="00052F45"/>
    <w:rsid w:val="0005301C"/>
    <w:rsid w:val="00054A06"/>
    <w:rsid w:val="00055CEC"/>
    <w:rsid w:val="000568B1"/>
    <w:rsid w:val="00056A55"/>
    <w:rsid w:val="0005785A"/>
    <w:rsid w:val="00061A5E"/>
    <w:rsid w:val="00061EC2"/>
    <w:rsid w:val="00063869"/>
    <w:rsid w:val="00064B69"/>
    <w:rsid w:val="00065317"/>
    <w:rsid w:val="00065F29"/>
    <w:rsid w:val="00066CE8"/>
    <w:rsid w:val="000678E6"/>
    <w:rsid w:val="00067D82"/>
    <w:rsid w:val="000719C3"/>
    <w:rsid w:val="00073897"/>
    <w:rsid w:val="000747D1"/>
    <w:rsid w:val="0008047B"/>
    <w:rsid w:val="00080ED0"/>
    <w:rsid w:val="00083D53"/>
    <w:rsid w:val="000847F8"/>
    <w:rsid w:val="00084826"/>
    <w:rsid w:val="00085B8F"/>
    <w:rsid w:val="00085BFE"/>
    <w:rsid w:val="00086263"/>
    <w:rsid w:val="000863D1"/>
    <w:rsid w:val="000870D3"/>
    <w:rsid w:val="00090481"/>
    <w:rsid w:val="000906A1"/>
    <w:rsid w:val="00090B47"/>
    <w:rsid w:val="00092E57"/>
    <w:rsid w:val="000936C5"/>
    <w:rsid w:val="00095390"/>
    <w:rsid w:val="00095468"/>
    <w:rsid w:val="000954F7"/>
    <w:rsid w:val="000958B6"/>
    <w:rsid w:val="00095D94"/>
    <w:rsid w:val="00096AE1"/>
    <w:rsid w:val="00097044"/>
    <w:rsid w:val="00097080"/>
    <w:rsid w:val="00097FCE"/>
    <w:rsid w:val="000A0100"/>
    <w:rsid w:val="000A1549"/>
    <w:rsid w:val="000A1577"/>
    <w:rsid w:val="000A3826"/>
    <w:rsid w:val="000A41CE"/>
    <w:rsid w:val="000A4878"/>
    <w:rsid w:val="000A48E1"/>
    <w:rsid w:val="000A575F"/>
    <w:rsid w:val="000A5C6F"/>
    <w:rsid w:val="000A6C26"/>
    <w:rsid w:val="000A718A"/>
    <w:rsid w:val="000A74F4"/>
    <w:rsid w:val="000A7C05"/>
    <w:rsid w:val="000B1F31"/>
    <w:rsid w:val="000B3372"/>
    <w:rsid w:val="000B36C8"/>
    <w:rsid w:val="000B6149"/>
    <w:rsid w:val="000B6582"/>
    <w:rsid w:val="000B6CC8"/>
    <w:rsid w:val="000B70EB"/>
    <w:rsid w:val="000C08B5"/>
    <w:rsid w:val="000C2223"/>
    <w:rsid w:val="000C35CA"/>
    <w:rsid w:val="000C4E0D"/>
    <w:rsid w:val="000C778C"/>
    <w:rsid w:val="000D1049"/>
    <w:rsid w:val="000D2477"/>
    <w:rsid w:val="000D26BE"/>
    <w:rsid w:val="000D3A9D"/>
    <w:rsid w:val="000D52A4"/>
    <w:rsid w:val="000D55CC"/>
    <w:rsid w:val="000D6DEF"/>
    <w:rsid w:val="000E07BC"/>
    <w:rsid w:val="000E25E1"/>
    <w:rsid w:val="000E2E21"/>
    <w:rsid w:val="000E5B90"/>
    <w:rsid w:val="000E6063"/>
    <w:rsid w:val="000F1CD4"/>
    <w:rsid w:val="000F3214"/>
    <w:rsid w:val="000F4103"/>
    <w:rsid w:val="000F70A7"/>
    <w:rsid w:val="000F7149"/>
    <w:rsid w:val="00100539"/>
    <w:rsid w:val="00101426"/>
    <w:rsid w:val="00102CA5"/>
    <w:rsid w:val="001044F7"/>
    <w:rsid w:val="001053B3"/>
    <w:rsid w:val="001069D8"/>
    <w:rsid w:val="00107A3F"/>
    <w:rsid w:val="00107EF1"/>
    <w:rsid w:val="001102DE"/>
    <w:rsid w:val="001109B6"/>
    <w:rsid w:val="0011115E"/>
    <w:rsid w:val="00111E16"/>
    <w:rsid w:val="00112463"/>
    <w:rsid w:val="00112CD2"/>
    <w:rsid w:val="00112EF3"/>
    <w:rsid w:val="00113C6B"/>
    <w:rsid w:val="00113CCA"/>
    <w:rsid w:val="00115FBC"/>
    <w:rsid w:val="001165FA"/>
    <w:rsid w:val="001207C4"/>
    <w:rsid w:val="00122F25"/>
    <w:rsid w:val="001250E5"/>
    <w:rsid w:val="00132127"/>
    <w:rsid w:val="00135980"/>
    <w:rsid w:val="00135F0E"/>
    <w:rsid w:val="00136447"/>
    <w:rsid w:val="0013786F"/>
    <w:rsid w:val="00137C89"/>
    <w:rsid w:val="00140FE2"/>
    <w:rsid w:val="001411D0"/>
    <w:rsid w:val="00141381"/>
    <w:rsid w:val="00141451"/>
    <w:rsid w:val="00146376"/>
    <w:rsid w:val="00150FB3"/>
    <w:rsid w:val="00151AD7"/>
    <w:rsid w:val="00154B9D"/>
    <w:rsid w:val="00157112"/>
    <w:rsid w:val="0016065C"/>
    <w:rsid w:val="0016096E"/>
    <w:rsid w:val="001627DD"/>
    <w:rsid w:val="00163341"/>
    <w:rsid w:val="00163AFD"/>
    <w:rsid w:val="00164719"/>
    <w:rsid w:val="0016557C"/>
    <w:rsid w:val="00166872"/>
    <w:rsid w:val="00166FC4"/>
    <w:rsid w:val="001677AC"/>
    <w:rsid w:val="001711F1"/>
    <w:rsid w:val="00171842"/>
    <w:rsid w:val="00172400"/>
    <w:rsid w:val="001726A0"/>
    <w:rsid w:val="00176B46"/>
    <w:rsid w:val="001804EA"/>
    <w:rsid w:val="001838F0"/>
    <w:rsid w:val="00183C19"/>
    <w:rsid w:val="00185718"/>
    <w:rsid w:val="00185D5C"/>
    <w:rsid w:val="00187E12"/>
    <w:rsid w:val="00190A61"/>
    <w:rsid w:val="00193070"/>
    <w:rsid w:val="001966AA"/>
    <w:rsid w:val="00197179"/>
    <w:rsid w:val="0019728E"/>
    <w:rsid w:val="00197E15"/>
    <w:rsid w:val="00197F02"/>
    <w:rsid w:val="001A0799"/>
    <w:rsid w:val="001A089A"/>
    <w:rsid w:val="001A1E15"/>
    <w:rsid w:val="001A1E9B"/>
    <w:rsid w:val="001A2215"/>
    <w:rsid w:val="001A3342"/>
    <w:rsid w:val="001A3E3D"/>
    <w:rsid w:val="001A6567"/>
    <w:rsid w:val="001A7049"/>
    <w:rsid w:val="001B1C79"/>
    <w:rsid w:val="001B1DC2"/>
    <w:rsid w:val="001B1E40"/>
    <w:rsid w:val="001B21DC"/>
    <w:rsid w:val="001B4D8F"/>
    <w:rsid w:val="001B7C1B"/>
    <w:rsid w:val="001C0ECB"/>
    <w:rsid w:val="001C1ABC"/>
    <w:rsid w:val="001C2671"/>
    <w:rsid w:val="001C2F90"/>
    <w:rsid w:val="001C40C8"/>
    <w:rsid w:val="001C43EC"/>
    <w:rsid w:val="001C455F"/>
    <w:rsid w:val="001C6123"/>
    <w:rsid w:val="001C764E"/>
    <w:rsid w:val="001D1579"/>
    <w:rsid w:val="001D176A"/>
    <w:rsid w:val="001D1B0A"/>
    <w:rsid w:val="001D1DFC"/>
    <w:rsid w:val="001D2BCF"/>
    <w:rsid w:val="001D7924"/>
    <w:rsid w:val="001E0B61"/>
    <w:rsid w:val="001E1052"/>
    <w:rsid w:val="001E1478"/>
    <w:rsid w:val="001E1DD8"/>
    <w:rsid w:val="001E21B1"/>
    <w:rsid w:val="001E2F93"/>
    <w:rsid w:val="001E3316"/>
    <w:rsid w:val="001E3FB9"/>
    <w:rsid w:val="001E4554"/>
    <w:rsid w:val="001E61E5"/>
    <w:rsid w:val="001F0F99"/>
    <w:rsid w:val="001F108A"/>
    <w:rsid w:val="001F2159"/>
    <w:rsid w:val="001F263E"/>
    <w:rsid w:val="001F316D"/>
    <w:rsid w:val="001F410F"/>
    <w:rsid w:val="001F53FD"/>
    <w:rsid w:val="00200DF3"/>
    <w:rsid w:val="00202326"/>
    <w:rsid w:val="002024B6"/>
    <w:rsid w:val="00202D6F"/>
    <w:rsid w:val="00203295"/>
    <w:rsid w:val="00206ADB"/>
    <w:rsid w:val="00206BF0"/>
    <w:rsid w:val="00207F09"/>
    <w:rsid w:val="00210B18"/>
    <w:rsid w:val="00210B8B"/>
    <w:rsid w:val="00212A1D"/>
    <w:rsid w:val="00213560"/>
    <w:rsid w:val="00214863"/>
    <w:rsid w:val="002156B4"/>
    <w:rsid w:val="00215735"/>
    <w:rsid w:val="002166DE"/>
    <w:rsid w:val="00216C07"/>
    <w:rsid w:val="00217A52"/>
    <w:rsid w:val="00221914"/>
    <w:rsid w:val="00223D0D"/>
    <w:rsid w:val="00224E4B"/>
    <w:rsid w:val="00224FCD"/>
    <w:rsid w:val="002254C9"/>
    <w:rsid w:val="00225A0C"/>
    <w:rsid w:val="00225C65"/>
    <w:rsid w:val="00225EE0"/>
    <w:rsid w:val="00226482"/>
    <w:rsid w:val="00227097"/>
    <w:rsid w:val="0022792C"/>
    <w:rsid w:val="00231CFE"/>
    <w:rsid w:val="00233CBD"/>
    <w:rsid w:val="00233E35"/>
    <w:rsid w:val="00237A20"/>
    <w:rsid w:val="00237B5A"/>
    <w:rsid w:val="00244532"/>
    <w:rsid w:val="00246130"/>
    <w:rsid w:val="00247A0C"/>
    <w:rsid w:val="002502B8"/>
    <w:rsid w:val="002516A5"/>
    <w:rsid w:val="00252104"/>
    <w:rsid w:val="00252A3B"/>
    <w:rsid w:val="00253222"/>
    <w:rsid w:val="00253DA3"/>
    <w:rsid w:val="002551BE"/>
    <w:rsid w:val="00256F99"/>
    <w:rsid w:val="00257FE5"/>
    <w:rsid w:val="00260CF5"/>
    <w:rsid w:val="00260E6D"/>
    <w:rsid w:val="00261415"/>
    <w:rsid w:val="002615D3"/>
    <w:rsid w:val="00261C13"/>
    <w:rsid w:val="002622CC"/>
    <w:rsid w:val="00262847"/>
    <w:rsid w:val="00262A0F"/>
    <w:rsid w:val="00263F0C"/>
    <w:rsid w:val="00266656"/>
    <w:rsid w:val="0027006E"/>
    <w:rsid w:val="00270B8A"/>
    <w:rsid w:val="002711AF"/>
    <w:rsid w:val="00272D19"/>
    <w:rsid w:val="00273207"/>
    <w:rsid w:val="00274100"/>
    <w:rsid w:val="00274BEC"/>
    <w:rsid w:val="0027525B"/>
    <w:rsid w:val="002753C6"/>
    <w:rsid w:val="00276DA6"/>
    <w:rsid w:val="00281BB2"/>
    <w:rsid w:val="00282449"/>
    <w:rsid w:val="00283407"/>
    <w:rsid w:val="002847A7"/>
    <w:rsid w:val="00286B2B"/>
    <w:rsid w:val="00287F27"/>
    <w:rsid w:val="0029050D"/>
    <w:rsid w:val="002905FE"/>
    <w:rsid w:val="00290D8B"/>
    <w:rsid w:val="0029156D"/>
    <w:rsid w:val="00293F87"/>
    <w:rsid w:val="00296529"/>
    <w:rsid w:val="002978ED"/>
    <w:rsid w:val="00297B07"/>
    <w:rsid w:val="002A03C3"/>
    <w:rsid w:val="002A1BAA"/>
    <w:rsid w:val="002A1F76"/>
    <w:rsid w:val="002A21B9"/>
    <w:rsid w:val="002A43CF"/>
    <w:rsid w:val="002A6580"/>
    <w:rsid w:val="002A6C6B"/>
    <w:rsid w:val="002A7742"/>
    <w:rsid w:val="002B07E6"/>
    <w:rsid w:val="002B0F63"/>
    <w:rsid w:val="002B1B91"/>
    <w:rsid w:val="002B1EB4"/>
    <w:rsid w:val="002B254E"/>
    <w:rsid w:val="002B3130"/>
    <w:rsid w:val="002B37FC"/>
    <w:rsid w:val="002B3F48"/>
    <w:rsid w:val="002B42FC"/>
    <w:rsid w:val="002B4C0D"/>
    <w:rsid w:val="002B4CE8"/>
    <w:rsid w:val="002B72E9"/>
    <w:rsid w:val="002C035F"/>
    <w:rsid w:val="002C2073"/>
    <w:rsid w:val="002C32FC"/>
    <w:rsid w:val="002C7998"/>
    <w:rsid w:val="002D09C4"/>
    <w:rsid w:val="002D2848"/>
    <w:rsid w:val="002D3936"/>
    <w:rsid w:val="002D457C"/>
    <w:rsid w:val="002D47D5"/>
    <w:rsid w:val="002D5A85"/>
    <w:rsid w:val="002E0183"/>
    <w:rsid w:val="002E01C7"/>
    <w:rsid w:val="002E09A8"/>
    <w:rsid w:val="002E1FAB"/>
    <w:rsid w:val="002E3BB5"/>
    <w:rsid w:val="002E499C"/>
    <w:rsid w:val="002E554A"/>
    <w:rsid w:val="002E55A0"/>
    <w:rsid w:val="002E6251"/>
    <w:rsid w:val="002E6A86"/>
    <w:rsid w:val="002F1183"/>
    <w:rsid w:val="002F1E53"/>
    <w:rsid w:val="002F2CAA"/>
    <w:rsid w:val="002F5D58"/>
    <w:rsid w:val="002F76ED"/>
    <w:rsid w:val="002F7F20"/>
    <w:rsid w:val="0030007A"/>
    <w:rsid w:val="0030052C"/>
    <w:rsid w:val="00300933"/>
    <w:rsid w:val="003009C9"/>
    <w:rsid w:val="00302A57"/>
    <w:rsid w:val="0030623F"/>
    <w:rsid w:val="003072D4"/>
    <w:rsid w:val="00311E25"/>
    <w:rsid w:val="00312546"/>
    <w:rsid w:val="00314172"/>
    <w:rsid w:val="00314C99"/>
    <w:rsid w:val="00316A01"/>
    <w:rsid w:val="00317569"/>
    <w:rsid w:val="00317FEC"/>
    <w:rsid w:val="00322ADD"/>
    <w:rsid w:val="003232B3"/>
    <w:rsid w:val="00324803"/>
    <w:rsid w:val="003258BF"/>
    <w:rsid w:val="00325CFC"/>
    <w:rsid w:val="00327390"/>
    <w:rsid w:val="00327E9C"/>
    <w:rsid w:val="003304AE"/>
    <w:rsid w:val="003306E1"/>
    <w:rsid w:val="003320E4"/>
    <w:rsid w:val="003327DA"/>
    <w:rsid w:val="003346F8"/>
    <w:rsid w:val="00334A4B"/>
    <w:rsid w:val="0033525D"/>
    <w:rsid w:val="003369B5"/>
    <w:rsid w:val="00336C6F"/>
    <w:rsid w:val="00336EDC"/>
    <w:rsid w:val="00337906"/>
    <w:rsid w:val="003413B8"/>
    <w:rsid w:val="003414F3"/>
    <w:rsid w:val="00342301"/>
    <w:rsid w:val="003432AB"/>
    <w:rsid w:val="003453DD"/>
    <w:rsid w:val="00350006"/>
    <w:rsid w:val="003505FB"/>
    <w:rsid w:val="003509C4"/>
    <w:rsid w:val="0035202B"/>
    <w:rsid w:val="0035613E"/>
    <w:rsid w:val="00357DF1"/>
    <w:rsid w:val="003620DB"/>
    <w:rsid w:val="00363EE9"/>
    <w:rsid w:val="003649BE"/>
    <w:rsid w:val="00365522"/>
    <w:rsid w:val="00365FCB"/>
    <w:rsid w:val="00367262"/>
    <w:rsid w:val="003674CA"/>
    <w:rsid w:val="0037030D"/>
    <w:rsid w:val="0037061B"/>
    <w:rsid w:val="00370912"/>
    <w:rsid w:val="00370FE7"/>
    <w:rsid w:val="00371252"/>
    <w:rsid w:val="00371CB6"/>
    <w:rsid w:val="0037363A"/>
    <w:rsid w:val="00374C24"/>
    <w:rsid w:val="00376128"/>
    <w:rsid w:val="00377095"/>
    <w:rsid w:val="00377416"/>
    <w:rsid w:val="0037742E"/>
    <w:rsid w:val="00377D56"/>
    <w:rsid w:val="00377FEE"/>
    <w:rsid w:val="00380041"/>
    <w:rsid w:val="003814CB"/>
    <w:rsid w:val="0038157B"/>
    <w:rsid w:val="0038245A"/>
    <w:rsid w:val="003835FB"/>
    <w:rsid w:val="003840E6"/>
    <w:rsid w:val="00384C4E"/>
    <w:rsid w:val="00385CFC"/>
    <w:rsid w:val="003862C3"/>
    <w:rsid w:val="00386321"/>
    <w:rsid w:val="00390CA7"/>
    <w:rsid w:val="00392BE6"/>
    <w:rsid w:val="0039337A"/>
    <w:rsid w:val="00394172"/>
    <w:rsid w:val="003942A3"/>
    <w:rsid w:val="00394EFE"/>
    <w:rsid w:val="0039764E"/>
    <w:rsid w:val="00397908"/>
    <w:rsid w:val="00397B77"/>
    <w:rsid w:val="00397F98"/>
    <w:rsid w:val="003A142D"/>
    <w:rsid w:val="003A2927"/>
    <w:rsid w:val="003A3189"/>
    <w:rsid w:val="003A34BE"/>
    <w:rsid w:val="003A3904"/>
    <w:rsid w:val="003A3CA7"/>
    <w:rsid w:val="003A3D7D"/>
    <w:rsid w:val="003A47AA"/>
    <w:rsid w:val="003A6A67"/>
    <w:rsid w:val="003A70CB"/>
    <w:rsid w:val="003B14C2"/>
    <w:rsid w:val="003B33BD"/>
    <w:rsid w:val="003B3AA2"/>
    <w:rsid w:val="003B46A7"/>
    <w:rsid w:val="003B569D"/>
    <w:rsid w:val="003B673F"/>
    <w:rsid w:val="003B7752"/>
    <w:rsid w:val="003C04FF"/>
    <w:rsid w:val="003C0B21"/>
    <w:rsid w:val="003C0B7B"/>
    <w:rsid w:val="003C0EF3"/>
    <w:rsid w:val="003C1847"/>
    <w:rsid w:val="003C1BE5"/>
    <w:rsid w:val="003C23C6"/>
    <w:rsid w:val="003C2AFA"/>
    <w:rsid w:val="003C3C0E"/>
    <w:rsid w:val="003C5A3C"/>
    <w:rsid w:val="003C6E14"/>
    <w:rsid w:val="003C7AF2"/>
    <w:rsid w:val="003D02CB"/>
    <w:rsid w:val="003D03F8"/>
    <w:rsid w:val="003D1373"/>
    <w:rsid w:val="003D2065"/>
    <w:rsid w:val="003D2510"/>
    <w:rsid w:val="003D42A6"/>
    <w:rsid w:val="003D4F21"/>
    <w:rsid w:val="003D4FAC"/>
    <w:rsid w:val="003D55EF"/>
    <w:rsid w:val="003D6100"/>
    <w:rsid w:val="003D68B7"/>
    <w:rsid w:val="003D7012"/>
    <w:rsid w:val="003E0738"/>
    <w:rsid w:val="003E15FF"/>
    <w:rsid w:val="003E1885"/>
    <w:rsid w:val="003E2AC3"/>
    <w:rsid w:val="003E3849"/>
    <w:rsid w:val="003E4F89"/>
    <w:rsid w:val="003E5421"/>
    <w:rsid w:val="003E55C1"/>
    <w:rsid w:val="003E5FA9"/>
    <w:rsid w:val="003E7906"/>
    <w:rsid w:val="003F000F"/>
    <w:rsid w:val="003F1013"/>
    <w:rsid w:val="003F360A"/>
    <w:rsid w:val="003F3C50"/>
    <w:rsid w:val="003F4CC9"/>
    <w:rsid w:val="003F4FBA"/>
    <w:rsid w:val="003F5059"/>
    <w:rsid w:val="003F5498"/>
    <w:rsid w:val="003F5C76"/>
    <w:rsid w:val="003F62DA"/>
    <w:rsid w:val="003F72D5"/>
    <w:rsid w:val="00400736"/>
    <w:rsid w:val="00400C3A"/>
    <w:rsid w:val="004031A6"/>
    <w:rsid w:val="004054C8"/>
    <w:rsid w:val="004055EF"/>
    <w:rsid w:val="00406202"/>
    <w:rsid w:val="00406816"/>
    <w:rsid w:val="00406A6A"/>
    <w:rsid w:val="00406B22"/>
    <w:rsid w:val="00406E42"/>
    <w:rsid w:val="00407147"/>
    <w:rsid w:val="004078FA"/>
    <w:rsid w:val="0041076D"/>
    <w:rsid w:val="00410A71"/>
    <w:rsid w:val="00412E2A"/>
    <w:rsid w:val="00413763"/>
    <w:rsid w:val="00414B6F"/>
    <w:rsid w:val="004203DE"/>
    <w:rsid w:val="00420E0D"/>
    <w:rsid w:val="004215C1"/>
    <w:rsid w:val="0042190F"/>
    <w:rsid w:val="004242B4"/>
    <w:rsid w:val="00425132"/>
    <w:rsid w:val="00427487"/>
    <w:rsid w:val="00431A2F"/>
    <w:rsid w:val="00431DB3"/>
    <w:rsid w:val="00431E08"/>
    <w:rsid w:val="004328A7"/>
    <w:rsid w:val="004341F5"/>
    <w:rsid w:val="00434457"/>
    <w:rsid w:val="00434A66"/>
    <w:rsid w:val="00434C74"/>
    <w:rsid w:val="004361E9"/>
    <w:rsid w:val="0043646D"/>
    <w:rsid w:val="00437EBD"/>
    <w:rsid w:val="0044096A"/>
    <w:rsid w:val="004427FC"/>
    <w:rsid w:val="00442868"/>
    <w:rsid w:val="00442925"/>
    <w:rsid w:val="0044356B"/>
    <w:rsid w:val="0044452B"/>
    <w:rsid w:val="004448D3"/>
    <w:rsid w:val="004457FA"/>
    <w:rsid w:val="0044614E"/>
    <w:rsid w:val="00446BC2"/>
    <w:rsid w:val="004478E4"/>
    <w:rsid w:val="0045146B"/>
    <w:rsid w:val="00452385"/>
    <w:rsid w:val="004532C0"/>
    <w:rsid w:val="004538B3"/>
    <w:rsid w:val="00456EB4"/>
    <w:rsid w:val="00457827"/>
    <w:rsid w:val="00457C86"/>
    <w:rsid w:val="0046435B"/>
    <w:rsid w:val="00465813"/>
    <w:rsid w:val="00466C03"/>
    <w:rsid w:val="00467C32"/>
    <w:rsid w:val="004713BE"/>
    <w:rsid w:val="004718F3"/>
    <w:rsid w:val="0047367D"/>
    <w:rsid w:val="00473E5E"/>
    <w:rsid w:val="00474592"/>
    <w:rsid w:val="00475040"/>
    <w:rsid w:val="00477D9A"/>
    <w:rsid w:val="00482CAA"/>
    <w:rsid w:val="00484E4D"/>
    <w:rsid w:val="00484FBB"/>
    <w:rsid w:val="004863F5"/>
    <w:rsid w:val="00487DDB"/>
    <w:rsid w:val="004901EC"/>
    <w:rsid w:val="00490460"/>
    <w:rsid w:val="004904BA"/>
    <w:rsid w:val="00490C06"/>
    <w:rsid w:val="0049102E"/>
    <w:rsid w:val="00492362"/>
    <w:rsid w:val="004939E0"/>
    <w:rsid w:val="00493D40"/>
    <w:rsid w:val="00493EE3"/>
    <w:rsid w:val="004942E2"/>
    <w:rsid w:val="00495555"/>
    <w:rsid w:val="004967B6"/>
    <w:rsid w:val="00497310"/>
    <w:rsid w:val="0049752D"/>
    <w:rsid w:val="00497F79"/>
    <w:rsid w:val="004A08BD"/>
    <w:rsid w:val="004A3AD4"/>
    <w:rsid w:val="004A504B"/>
    <w:rsid w:val="004A6911"/>
    <w:rsid w:val="004B16A6"/>
    <w:rsid w:val="004B22C4"/>
    <w:rsid w:val="004B319F"/>
    <w:rsid w:val="004B3652"/>
    <w:rsid w:val="004B54E0"/>
    <w:rsid w:val="004B7384"/>
    <w:rsid w:val="004B742F"/>
    <w:rsid w:val="004C01EA"/>
    <w:rsid w:val="004C0CBD"/>
    <w:rsid w:val="004C1360"/>
    <w:rsid w:val="004C1BFA"/>
    <w:rsid w:val="004C2226"/>
    <w:rsid w:val="004C2A58"/>
    <w:rsid w:val="004C4269"/>
    <w:rsid w:val="004D000E"/>
    <w:rsid w:val="004D0191"/>
    <w:rsid w:val="004D0B7F"/>
    <w:rsid w:val="004D230C"/>
    <w:rsid w:val="004D300A"/>
    <w:rsid w:val="004D4618"/>
    <w:rsid w:val="004D48B6"/>
    <w:rsid w:val="004D620F"/>
    <w:rsid w:val="004D6236"/>
    <w:rsid w:val="004D6498"/>
    <w:rsid w:val="004D7589"/>
    <w:rsid w:val="004D7E77"/>
    <w:rsid w:val="004D7F90"/>
    <w:rsid w:val="004E483D"/>
    <w:rsid w:val="004E4DBB"/>
    <w:rsid w:val="004E4E41"/>
    <w:rsid w:val="004E73DB"/>
    <w:rsid w:val="004E7F9C"/>
    <w:rsid w:val="004F0911"/>
    <w:rsid w:val="004F0EF3"/>
    <w:rsid w:val="004F3493"/>
    <w:rsid w:val="004F3A55"/>
    <w:rsid w:val="004F5143"/>
    <w:rsid w:val="004F58B3"/>
    <w:rsid w:val="004F7153"/>
    <w:rsid w:val="00500511"/>
    <w:rsid w:val="00500629"/>
    <w:rsid w:val="005037E2"/>
    <w:rsid w:val="005051E5"/>
    <w:rsid w:val="00505459"/>
    <w:rsid w:val="00507627"/>
    <w:rsid w:val="00511533"/>
    <w:rsid w:val="0051280B"/>
    <w:rsid w:val="00512B09"/>
    <w:rsid w:val="00514EF3"/>
    <w:rsid w:val="00516D7C"/>
    <w:rsid w:val="005206DC"/>
    <w:rsid w:val="00520B2E"/>
    <w:rsid w:val="005220ED"/>
    <w:rsid w:val="00523C41"/>
    <w:rsid w:val="00523F17"/>
    <w:rsid w:val="0052471B"/>
    <w:rsid w:val="005249B5"/>
    <w:rsid w:val="00526C15"/>
    <w:rsid w:val="00527469"/>
    <w:rsid w:val="00527A9E"/>
    <w:rsid w:val="0053279E"/>
    <w:rsid w:val="00533796"/>
    <w:rsid w:val="0053638F"/>
    <w:rsid w:val="00537343"/>
    <w:rsid w:val="005407E3"/>
    <w:rsid w:val="0054144F"/>
    <w:rsid w:val="005423C7"/>
    <w:rsid w:val="005436B6"/>
    <w:rsid w:val="00543EA6"/>
    <w:rsid w:val="005466E2"/>
    <w:rsid w:val="00546882"/>
    <w:rsid w:val="0054757D"/>
    <w:rsid w:val="00550208"/>
    <w:rsid w:val="00550D08"/>
    <w:rsid w:val="005516F3"/>
    <w:rsid w:val="00552DA7"/>
    <w:rsid w:val="005544F4"/>
    <w:rsid w:val="0055455A"/>
    <w:rsid w:val="0055581F"/>
    <w:rsid w:val="00555D75"/>
    <w:rsid w:val="00557DB0"/>
    <w:rsid w:val="00560BC9"/>
    <w:rsid w:val="00560DF0"/>
    <w:rsid w:val="00563270"/>
    <w:rsid w:val="00563370"/>
    <w:rsid w:val="005635F7"/>
    <w:rsid w:val="0056759C"/>
    <w:rsid w:val="00570B60"/>
    <w:rsid w:val="0057121E"/>
    <w:rsid w:val="00572FE7"/>
    <w:rsid w:val="00574B71"/>
    <w:rsid w:val="00581B42"/>
    <w:rsid w:val="005829EB"/>
    <w:rsid w:val="00582DE3"/>
    <w:rsid w:val="00583767"/>
    <w:rsid w:val="00584803"/>
    <w:rsid w:val="00584F8A"/>
    <w:rsid w:val="005853F9"/>
    <w:rsid w:val="0058593F"/>
    <w:rsid w:val="00585A27"/>
    <w:rsid w:val="005869E0"/>
    <w:rsid w:val="00586FD7"/>
    <w:rsid w:val="0058708F"/>
    <w:rsid w:val="005915F4"/>
    <w:rsid w:val="0059374C"/>
    <w:rsid w:val="0059513E"/>
    <w:rsid w:val="005A327D"/>
    <w:rsid w:val="005A363C"/>
    <w:rsid w:val="005A37AE"/>
    <w:rsid w:val="005A3800"/>
    <w:rsid w:val="005A42E2"/>
    <w:rsid w:val="005A5DE4"/>
    <w:rsid w:val="005A6AA4"/>
    <w:rsid w:val="005A6C53"/>
    <w:rsid w:val="005A6D42"/>
    <w:rsid w:val="005A6D9F"/>
    <w:rsid w:val="005A7F81"/>
    <w:rsid w:val="005B176F"/>
    <w:rsid w:val="005B19E6"/>
    <w:rsid w:val="005B23E4"/>
    <w:rsid w:val="005B2416"/>
    <w:rsid w:val="005B245B"/>
    <w:rsid w:val="005B48FF"/>
    <w:rsid w:val="005B741D"/>
    <w:rsid w:val="005B76C4"/>
    <w:rsid w:val="005B7D60"/>
    <w:rsid w:val="005C049B"/>
    <w:rsid w:val="005C15CA"/>
    <w:rsid w:val="005C1A87"/>
    <w:rsid w:val="005C1E32"/>
    <w:rsid w:val="005C226A"/>
    <w:rsid w:val="005C37FA"/>
    <w:rsid w:val="005C45ED"/>
    <w:rsid w:val="005C51B5"/>
    <w:rsid w:val="005C5BF5"/>
    <w:rsid w:val="005C6281"/>
    <w:rsid w:val="005C670D"/>
    <w:rsid w:val="005C6968"/>
    <w:rsid w:val="005C6B0E"/>
    <w:rsid w:val="005C7E2C"/>
    <w:rsid w:val="005D160F"/>
    <w:rsid w:val="005D16C6"/>
    <w:rsid w:val="005D1F2D"/>
    <w:rsid w:val="005D212F"/>
    <w:rsid w:val="005D3433"/>
    <w:rsid w:val="005D363F"/>
    <w:rsid w:val="005D5CC6"/>
    <w:rsid w:val="005D6856"/>
    <w:rsid w:val="005D6EA4"/>
    <w:rsid w:val="005D7156"/>
    <w:rsid w:val="005D75CD"/>
    <w:rsid w:val="005D7A6C"/>
    <w:rsid w:val="005D7B0E"/>
    <w:rsid w:val="005D7F62"/>
    <w:rsid w:val="005E2BFB"/>
    <w:rsid w:val="005E4463"/>
    <w:rsid w:val="005E4513"/>
    <w:rsid w:val="005E5560"/>
    <w:rsid w:val="005E73F9"/>
    <w:rsid w:val="005F2DF0"/>
    <w:rsid w:val="005F3628"/>
    <w:rsid w:val="005F499C"/>
    <w:rsid w:val="005F4E81"/>
    <w:rsid w:val="005F6FEB"/>
    <w:rsid w:val="005F709C"/>
    <w:rsid w:val="005F7A70"/>
    <w:rsid w:val="005F7B5D"/>
    <w:rsid w:val="00600D8C"/>
    <w:rsid w:val="00600D91"/>
    <w:rsid w:val="00603055"/>
    <w:rsid w:val="006031F2"/>
    <w:rsid w:val="006039AB"/>
    <w:rsid w:val="0060407A"/>
    <w:rsid w:val="00604C15"/>
    <w:rsid w:val="00604F4D"/>
    <w:rsid w:val="006052D0"/>
    <w:rsid w:val="00606ADF"/>
    <w:rsid w:val="0060776E"/>
    <w:rsid w:val="00611F3F"/>
    <w:rsid w:val="00613A53"/>
    <w:rsid w:val="006144D5"/>
    <w:rsid w:val="006158D5"/>
    <w:rsid w:val="00616CF4"/>
    <w:rsid w:val="00624D1C"/>
    <w:rsid w:val="00625B9F"/>
    <w:rsid w:val="00625D83"/>
    <w:rsid w:val="00626A87"/>
    <w:rsid w:val="00627BE5"/>
    <w:rsid w:val="00631568"/>
    <w:rsid w:val="00632F26"/>
    <w:rsid w:val="0063370F"/>
    <w:rsid w:val="00633C78"/>
    <w:rsid w:val="0063544B"/>
    <w:rsid w:val="006356D1"/>
    <w:rsid w:val="00637E3F"/>
    <w:rsid w:val="006405AE"/>
    <w:rsid w:val="00642239"/>
    <w:rsid w:val="006425E6"/>
    <w:rsid w:val="00643B2F"/>
    <w:rsid w:val="00644435"/>
    <w:rsid w:val="0064462D"/>
    <w:rsid w:val="00644857"/>
    <w:rsid w:val="00644E5D"/>
    <w:rsid w:val="00647DEF"/>
    <w:rsid w:val="00647F37"/>
    <w:rsid w:val="00651984"/>
    <w:rsid w:val="00652241"/>
    <w:rsid w:val="00652363"/>
    <w:rsid w:val="00652A92"/>
    <w:rsid w:val="00652D10"/>
    <w:rsid w:val="0065360E"/>
    <w:rsid w:val="00654B82"/>
    <w:rsid w:val="00655CA6"/>
    <w:rsid w:val="00656CF3"/>
    <w:rsid w:val="00656DD4"/>
    <w:rsid w:val="00660E2B"/>
    <w:rsid w:val="006623E7"/>
    <w:rsid w:val="00662B80"/>
    <w:rsid w:val="00664FB5"/>
    <w:rsid w:val="0066768F"/>
    <w:rsid w:val="006701C8"/>
    <w:rsid w:val="00670568"/>
    <w:rsid w:val="00670F6C"/>
    <w:rsid w:val="006730F4"/>
    <w:rsid w:val="00676A76"/>
    <w:rsid w:val="00676E58"/>
    <w:rsid w:val="00677A2B"/>
    <w:rsid w:val="00681E74"/>
    <w:rsid w:val="006822CB"/>
    <w:rsid w:val="0068463B"/>
    <w:rsid w:val="006852C7"/>
    <w:rsid w:val="006852CE"/>
    <w:rsid w:val="0068592A"/>
    <w:rsid w:val="00685C4B"/>
    <w:rsid w:val="006905F1"/>
    <w:rsid w:val="00692170"/>
    <w:rsid w:val="006922E1"/>
    <w:rsid w:val="00692D14"/>
    <w:rsid w:val="00693A6D"/>
    <w:rsid w:val="00693F5C"/>
    <w:rsid w:val="00694027"/>
    <w:rsid w:val="00694607"/>
    <w:rsid w:val="00694DA2"/>
    <w:rsid w:val="006A05FF"/>
    <w:rsid w:val="006A0CFA"/>
    <w:rsid w:val="006A32CF"/>
    <w:rsid w:val="006A3ACD"/>
    <w:rsid w:val="006A57F0"/>
    <w:rsid w:val="006A7A3B"/>
    <w:rsid w:val="006B0346"/>
    <w:rsid w:val="006B3DDB"/>
    <w:rsid w:val="006B41C1"/>
    <w:rsid w:val="006B578C"/>
    <w:rsid w:val="006B57D2"/>
    <w:rsid w:val="006B65C7"/>
    <w:rsid w:val="006B703D"/>
    <w:rsid w:val="006B7C39"/>
    <w:rsid w:val="006C028F"/>
    <w:rsid w:val="006C0D10"/>
    <w:rsid w:val="006C1727"/>
    <w:rsid w:val="006C1EA1"/>
    <w:rsid w:val="006C32C6"/>
    <w:rsid w:val="006C32FD"/>
    <w:rsid w:val="006C39CE"/>
    <w:rsid w:val="006C4CF8"/>
    <w:rsid w:val="006C4D97"/>
    <w:rsid w:val="006C512E"/>
    <w:rsid w:val="006C6918"/>
    <w:rsid w:val="006D0ACA"/>
    <w:rsid w:val="006D0FCC"/>
    <w:rsid w:val="006D1387"/>
    <w:rsid w:val="006D1FBE"/>
    <w:rsid w:val="006D21F5"/>
    <w:rsid w:val="006D263F"/>
    <w:rsid w:val="006D3089"/>
    <w:rsid w:val="006D3A67"/>
    <w:rsid w:val="006D4337"/>
    <w:rsid w:val="006D7B40"/>
    <w:rsid w:val="006E126D"/>
    <w:rsid w:val="006E1372"/>
    <w:rsid w:val="006E1FC3"/>
    <w:rsid w:val="006E238C"/>
    <w:rsid w:val="006E2F7A"/>
    <w:rsid w:val="006E3650"/>
    <w:rsid w:val="006E4503"/>
    <w:rsid w:val="006E56CD"/>
    <w:rsid w:val="006E6E9C"/>
    <w:rsid w:val="006F1672"/>
    <w:rsid w:val="006F2422"/>
    <w:rsid w:val="006F3283"/>
    <w:rsid w:val="006F4EE8"/>
    <w:rsid w:val="006F55AC"/>
    <w:rsid w:val="006F6EFA"/>
    <w:rsid w:val="0070008E"/>
    <w:rsid w:val="0070067F"/>
    <w:rsid w:val="007019EC"/>
    <w:rsid w:val="0070470D"/>
    <w:rsid w:val="00704951"/>
    <w:rsid w:val="00704CE9"/>
    <w:rsid w:val="0070616B"/>
    <w:rsid w:val="00706295"/>
    <w:rsid w:val="007065F7"/>
    <w:rsid w:val="00706FDA"/>
    <w:rsid w:val="007077D7"/>
    <w:rsid w:val="00710F07"/>
    <w:rsid w:val="00711F4E"/>
    <w:rsid w:val="00711F9A"/>
    <w:rsid w:val="0071266C"/>
    <w:rsid w:val="00712895"/>
    <w:rsid w:val="0071301F"/>
    <w:rsid w:val="007131D2"/>
    <w:rsid w:val="00713201"/>
    <w:rsid w:val="00713810"/>
    <w:rsid w:val="007139E2"/>
    <w:rsid w:val="007148A0"/>
    <w:rsid w:val="007171FD"/>
    <w:rsid w:val="0071731C"/>
    <w:rsid w:val="00717FAA"/>
    <w:rsid w:val="00720C28"/>
    <w:rsid w:val="0072245A"/>
    <w:rsid w:val="0072297B"/>
    <w:rsid w:val="007230AE"/>
    <w:rsid w:val="007230B0"/>
    <w:rsid w:val="007303A5"/>
    <w:rsid w:val="00730B3E"/>
    <w:rsid w:val="00730BEE"/>
    <w:rsid w:val="007312E3"/>
    <w:rsid w:val="0073169E"/>
    <w:rsid w:val="00731FBB"/>
    <w:rsid w:val="0073420B"/>
    <w:rsid w:val="00735247"/>
    <w:rsid w:val="0073540A"/>
    <w:rsid w:val="00736367"/>
    <w:rsid w:val="0073690E"/>
    <w:rsid w:val="00736E1D"/>
    <w:rsid w:val="00740C66"/>
    <w:rsid w:val="00740D43"/>
    <w:rsid w:val="00744615"/>
    <w:rsid w:val="00744C4A"/>
    <w:rsid w:val="007469FA"/>
    <w:rsid w:val="0074760E"/>
    <w:rsid w:val="00747B89"/>
    <w:rsid w:val="00752307"/>
    <w:rsid w:val="00753F81"/>
    <w:rsid w:val="007548C4"/>
    <w:rsid w:val="00754ABA"/>
    <w:rsid w:val="007567A5"/>
    <w:rsid w:val="0075703A"/>
    <w:rsid w:val="007613C8"/>
    <w:rsid w:val="007624A2"/>
    <w:rsid w:val="007632EF"/>
    <w:rsid w:val="00763D6B"/>
    <w:rsid w:val="00764631"/>
    <w:rsid w:val="00764B9C"/>
    <w:rsid w:val="00765DFA"/>
    <w:rsid w:val="00765F07"/>
    <w:rsid w:val="00767FDC"/>
    <w:rsid w:val="007708D1"/>
    <w:rsid w:val="00775315"/>
    <w:rsid w:val="00776CE6"/>
    <w:rsid w:val="007778E4"/>
    <w:rsid w:val="00777F3A"/>
    <w:rsid w:val="0078093A"/>
    <w:rsid w:val="007825D0"/>
    <w:rsid w:val="00782B0D"/>
    <w:rsid w:val="007874E9"/>
    <w:rsid w:val="00787C32"/>
    <w:rsid w:val="00790F41"/>
    <w:rsid w:val="00792137"/>
    <w:rsid w:val="007935E2"/>
    <w:rsid w:val="00793B33"/>
    <w:rsid w:val="00794742"/>
    <w:rsid w:val="00794A86"/>
    <w:rsid w:val="00795744"/>
    <w:rsid w:val="00795B6D"/>
    <w:rsid w:val="007967B7"/>
    <w:rsid w:val="00796F98"/>
    <w:rsid w:val="0079781A"/>
    <w:rsid w:val="007A0E90"/>
    <w:rsid w:val="007A1546"/>
    <w:rsid w:val="007A191A"/>
    <w:rsid w:val="007A228C"/>
    <w:rsid w:val="007A260B"/>
    <w:rsid w:val="007A368E"/>
    <w:rsid w:val="007A4260"/>
    <w:rsid w:val="007A4A70"/>
    <w:rsid w:val="007A5868"/>
    <w:rsid w:val="007A5FAC"/>
    <w:rsid w:val="007A7C4B"/>
    <w:rsid w:val="007B013F"/>
    <w:rsid w:val="007B04CE"/>
    <w:rsid w:val="007B0B34"/>
    <w:rsid w:val="007B18DF"/>
    <w:rsid w:val="007B2497"/>
    <w:rsid w:val="007B2527"/>
    <w:rsid w:val="007B357A"/>
    <w:rsid w:val="007B40A4"/>
    <w:rsid w:val="007B6871"/>
    <w:rsid w:val="007B79D8"/>
    <w:rsid w:val="007B7A2F"/>
    <w:rsid w:val="007C156B"/>
    <w:rsid w:val="007C2B69"/>
    <w:rsid w:val="007C30C2"/>
    <w:rsid w:val="007C32EE"/>
    <w:rsid w:val="007C3D33"/>
    <w:rsid w:val="007C5396"/>
    <w:rsid w:val="007C5EFB"/>
    <w:rsid w:val="007C7DEC"/>
    <w:rsid w:val="007D024E"/>
    <w:rsid w:val="007D051B"/>
    <w:rsid w:val="007D15C0"/>
    <w:rsid w:val="007D1BBB"/>
    <w:rsid w:val="007D294A"/>
    <w:rsid w:val="007D35AA"/>
    <w:rsid w:val="007D3CE2"/>
    <w:rsid w:val="007D47D2"/>
    <w:rsid w:val="007D4867"/>
    <w:rsid w:val="007D67A7"/>
    <w:rsid w:val="007D6B5E"/>
    <w:rsid w:val="007D6DDB"/>
    <w:rsid w:val="007D6EC0"/>
    <w:rsid w:val="007D7E1D"/>
    <w:rsid w:val="007E0AB4"/>
    <w:rsid w:val="007E3467"/>
    <w:rsid w:val="007E38DC"/>
    <w:rsid w:val="007E503C"/>
    <w:rsid w:val="007E65FF"/>
    <w:rsid w:val="007E6B5A"/>
    <w:rsid w:val="007F1B3E"/>
    <w:rsid w:val="007F2C26"/>
    <w:rsid w:val="007F40E4"/>
    <w:rsid w:val="007F45D8"/>
    <w:rsid w:val="007F51BC"/>
    <w:rsid w:val="007F622F"/>
    <w:rsid w:val="007F6681"/>
    <w:rsid w:val="007F790B"/>
    <w:rsid w:val="0080060C"/>
    <w:rsid w:val="00800BBB"/>
    <w:rsid w:val="008018B5"/>
    <w:rsid w:val="00802469"/>
    <w:rsid w:val="00802E4F"/>
    <w:rsid w:val="0080345C"/>
    <w:rsid w:val="008034F5"/>
    <w:rsid w:val="00803952"/>
    <w:rsid w:val="00803AB0"/>
    <w:rsid w:val="00804053"/>
    <w:rsid w:val="008058F6"/>
    <w:rsid w:val="00806F6F"/>
    <w:rsid w:val="008108EF"/>
    <w:rsid w:val="00811401"/>
    <w:rsid w:val="00812942"/>
    <w:rsid w:val="00813815"/>
    <w:rsid w:val="00814E05"/>
    <w:rsid w:val="00815115"/>
    <w:rsid w:val="008152D4"/>
    <w:rsid w:val="00821899"/>
    <w:rsid w:val="00824D6D"/>
    <w:rsid w:val="0082522F"/>
    <w:rsid w:val="00825682"/>
    <w:rsid w:val="00825813"/>
    <w:rsid w:val="008276AA"/>
    <w:rsid w:val="00830E09"/>
    <w:rsid w:val="00831979"/>
    <w:rsid w:val="008341A4"/>
    <w:rsid w:val="0083502E"/>
    <w:rsid w:val="00836173"/>
    <w:rsid w:val="00836776"/>
    <w:rsid w:val="008368AB"/>
    <w:rsid w:val="008409BE"/>
    <w:rsid w:val="00842603"/>
    <w:rsid w:val="00843324"/>
    <w:rsid w:val="0084334A"/>
    <w:rsid w:val="00843524"/>
    <w:rsid w:val="00845309"/>
    <w:rsid w:val="0084565C"/>
    <w:rsid w:val="008459E5"/>
    <w:rsid w:val="0084755D"/>
    <w:rsid w:val="00851352"/>
    <w:rsid w:val="00852003"/>
    <w:rsid w:val="00853ADB"/>
    <w:rsid w:val="00853C5D"/>
    <w:rsid w:val="00854D30"/>
    <w:rsid w:val="0085606A"/>
    <w:rsid w:val="00857077"/>
    <w:rsid w:val="0086049E"/>
    <w:rsid w:val="00860E2A"/>
    <w:rsid w:val="008613DA"/>
    <w:rsid w:val="00862BC2"/>
    <w:rsid w:val="00863230"/>
    <w:rsid w:val="00864479"/>
    <w:rsid w:val="00865BD0"/>
    <w:rsid w:val="00866A0B"/>
    <w:rsid w:val="00867480"/>
    <w:rsid w:val="00867A88"/>
    <w:rsid w:val="008717D8"/>
    <w:rsid w:val="0087215C"/>
    <w:rsid w:val="008744E5"/>
    <w:rsid w:val="00874B0D"/>
    <w:rsid w:val="00874B7F"/>
    <w:rsid w:val="00875343"/>
    <w:rsid w:val="00875D25"/>
    <w:rsid w:val="008767B4"/>
    <w:rsid w:val="00880E35"/>
    <w:rsid w:val="008819AC"/>
    <w:rsid w:val="00882F32"/>
    <w:rsid w:val="0088459F"/>
    <w:rsid w:val="008848BF"/>
    <w:rsid w:val="0088565A"/>
    <w:rsid w:val="00886987"/>
    <w:rsid w:val="008871E5"/>
    <w:rsid w:val="008875FE"/>
    <w:rsid w:val="008879F2"/>
    <w:rsid w:val="00887F8E"/>
    <w:rsid w:val="00890C4A"/>
    <w:rsid w:val="008928A1"/>
    <w:rsid w:val="0089442F"/>
    <w:rsid w:val="008950D4"/>
    <w:rsid w:val="00896234"/>
    <w:rsid w:val="0089774C"/>
    <w:rsid w:val="00897E43"/>
    <w:rsid w:val="008A1310"/>
    <w:rsid w:val="008A24EB"/>
    <w:rsid w:val="008A6656"/>
    <w:rsid w:val="008B0013"/>
    <w:rsid w:val="008B0D6A"/>
    <w:rsid w:val="008B23B4"/>
    <w:rsid w:val="008B2497"/>
    <w:rsid w:val="008B34FF"/>
    <w:rsid w:val="008B3D58"/>
    <w:rsid w:val="008B42F8"/>
    <w:rsid w:val="008B470A"/>
    <w:rsid w:val="008C222B"/>
    <w:rsid w:val="008C40C3"/>
    <w:rsid w:val="008C40C8"/>
    <w:rsid w:val="008C41BB"/>
    <w:rsid w:val="008C420E"/>
    <w:rsid w:val="008C435A"/>
    <w:rsid w:val="008C4D54"/>
    <w:rsid w:val="008C5738"/>
    <w:rsid w:val="008C5D53"/>
    <w:rsid w:val="008C66DB"/>
    <w:rsid w:val="008C68C1"/>
    <w:rsid w:val="008C7EAD"/>
    <w:rsid w:val="008D037B"/>
    <w:rsid w:val="008D0CFE"/>
    <w:rsid w:val="008D0E67"/>
    <w:rsid w:val="008D29C3"/>
    <w:rsid w:val="008D47CF"/>
    <w:rsid w:val="008D4B21"/>
    <w:rsid w:val="008D525D"/>
    <w:rsid w:val="008D6152"/>
    <w:rsid w:val="008D7298"/>
    <w:rsid w:val="008E301E"/>
    <w:rsid w:val="008E4905"/>
    <w:rsid w:val="008E6D1D"/>
    <w:rsid w:val="008E7354"/>
    <w:rsid w:val="008E7BA9"/>
    <w:rsid w:val="008F0EE7"/>
    <w:rsid w:val="008F0F81"/>
    <w:rsid w:val="008F1E06"/>
    <w:rsid w:val="008F27BF"/>
    <w:rsid w:val="008F29E8"/>
    <w:rsid w:val="008F2E64"/>
    <w:rsid w:val="008F30E3"/>
    <w:rsid w:val="008F4AA3"/>
    <w:rsid w:val="008F4D91"/>
    <w:rsid w:val="008F56EC"/>
    <w:rsid w:val="008F5869"/>
    <w:rsid w:val="008F714E"/>
    <w:rsid w:val="008F71B3"/>
    <w:rsid w:val="00900FAC"/>
    <w:rsid w:val="0090188F"/>
    <w:rsid w:val="0090330E"/>
    <w:rsid w:val="00903D7C"/>
    <w:rsid w:val="00904D6F"/>
    <w:rsid w:val="009055BA"/>
    <w:rsid w:val="009118EF"/>
    <w:rsid w:val="00911AC4"/>
    <w:rsid w:val="009142EC"/>
    <w:rsid w:val="009145E4"/>
    <w:rsid w:val="00915045"/>
    <w:rsid w:val="009154C3"/>
    <w:rsid w:val="0091651D"/>
    <w:rsid w:val="00916DCE"/>
    <w:rsid w:val="0092069D"/>
    <w:rsid w:val="0092135A"/>
    <w:rsid w:val="009213D8"/>
    <w:rsid w:val="00921B72"/>
    <w:rsid w:val="0092353F"/>
    <w:rsid w:val="00923540"/>
    <w:rsid w:val="00924BA0"/>
    <w:rsid w:val="00925388"/>
    <w:rsid w:val="009259B9"/>
    <w:rsid w:val="00926767"/>
    <w:rsid w:val="00927E96"/>
    <w:rsid w:val="009300DF"/>
    <w:rsid w:val="00932E6A"/>
    <w:rsid w:val="00933272"/>
    <w:rsid w:val="009361D5"/>
    <w:rsid w:val="00937E63"/>
    <w:rsid w:val="009428A4"/>
    <w:rsid w:val="00942958"/>
    <w:rsid w:val="00942A1E"/>
    <w:rsid w:val="00942D4F"/>
    <w:rsid w:val="0094417E"/>
    <w:rsid w:val="009442B3"/>
    <w:rsid w:val="00945079"/>
    <w:rsid w:val="00946E9E"/>
    <w:rsid w:val="009503F1"/>
    <w:rsid w:val="009520B5"/>
    <w:rsid w:val="0095219B"/>
    <w:rsid w:val="009541DD"/>
    <w:rsid w:val="00957B30"/>
    <w:rsid w:val="00961469"/>
    <w:rsid w:val="00964204"/>
    <w:rsid w:val="00965106"/>
    <w:rsid w:val="00965898"/>
    <w:rsid w:val="009659F4"/>
    <w:rsid w:val="009661A0"/>
    <w:rsid w:val="00967580"/>
    <w:rsid w:val="00970A1E"/>
    <w:rsid w:val="00970D60"/>
    <w:rsid w:val="00971D33"/>
    <w:rsid w:val="00972ACF"/>
    <w:rsid w:val="0097346A"/>
    <w:rsid w:val="00974BAB"/>
    <w:rsid w:val="0097505B"/>
    <w:rsid w:val="00981A64"/>
    <w:rsid w:val="00981E97"/>
    <w:rsid w:val="009823F2"/>
    <w:rsid w:val="00982EA1"/>
    <w:rsid w:val="0098567E"/>
    <w:rsid w:val="0098594A"/>
    <w:rsid w:val="00985B22"/>
    <w:rsid w:val="009874D0"/>
    <w:rsid w:val="00992E48"/>
    <w:rsid w:val="00993261"/>
    <w:rsid w:val="00993379"/>
    <w:rsid w:val="0099390E"/>
    <w:rsid w:val="009939DC"/>
    <w:rsid w:val="009946A0"/>
    <w:rsid w:val="009955D1"/>
    <w:rsid w:val="00995C3D"/>
    <w:rsid w:val="009960E5"/>
    <w:rsid w:val="00997018"/>
    <w:rsid w:val="009A29D6"/>
    <w:rsid w:val="009A30AA"/>
    <w:rsid w:val="009A3ECE"/>
    <w:rsid w:val="009A47A4"/>
    <w:rsid w:val="009A4E3E"/>
    <w:rsid w:val="009A7ADC"/>
    <w:rsid w:val="009B0D30"/>
    <w:rsid w:val="009B18F7"/>
    <w:rsid w:val="009B6DDD"/>
    <w:rsid w:val="009B6E18"/>
    <w:rsid w:val="009B73B5"/>
    <w:rsid w:val="009C12F9"/>
    <w:rsid w:val="009C19B7"/>
    <w:rsid w:val="009C207B"/>
    <w:rsid w:val="009C24A7"/>
    <w:rsid w:val="009C2F44"/>
    <w:rsid w:val="009C4892"/>
    <w:rsid w:val="009C5ABB"/>
    <w:rsid w:val="009D005B"/>
    <w:rsid w:val="009D09CA"/>
    <w:rsid w:val="009D0C17"/>
    <w:rsid w:val="009D1547"/>
    <w:rsid w:val="009D1847"/>
    <w:rsid w:val="009D2923"/>
    <w:rsid w:val="009D29BB"/>
    <w:rsid w:val="009D34B9"/>
    <w:rsid w:val="009D3F2C"/>
    <w:rsid w:val="009D798E"/>
    <w:rsid w:val="009D7C51"/>
    <w:rsid w:val="009E196C"/>
    <w:rsid w:val="009E254A"/>
    <w:rsid w:val="009E2EB0"/>
    <w:rsid w:val="009E3E02"/>
    <w:rsid w:val="009E47E1"/>
    <w:rsid w:val="009E481D"/>
    <w:rsid w:val="009E5C31"/>
    <w:rsid w:val="009E6A0A"/>
    <w:rsid w:val="009E7460"/>
    <w:rsid w:val="009E7F41"/>
    <w:rsid w:val="009F02F0"/>
    <w:rsid w:val="009F0D6C"/>
    <w:rsid w:val="009F1C3F"/>
    <w:rsid w:val="009F36BF"/>
    <w:rsid w:val="009F3FB9"/>
    <w:rsid w:val="009F7E50"/>
    <w:rsid w:val="00A000D4"/>
    <w:rsid w:val="00A00CE0"/>
    <w:rsid w:val="00A01B97"/>
    <w:rsid w:val="00A02B59"/>
    <w:rsid w:val="00A05932"/>
    <w:rsid w:val="00A05AE9"/>
    <w:rsid w:val="00A05F42"/>
    <w:rsid w:val="00A101A9"/>
    <w:rsid w:val="00A10D0F"/>
    <w:rsid w:val="00A111B6"/>
    <w:rsid w:val="00A11EE5"/>
    <w:rsid w:val="00A13ED0"/>
    <w:rsid w:val="00A1439E"/>
    <w:rsid w:val="00A149D5"/>
    <w:rsid w:val="00A1505D"/>
    <w:rsid w:val="00A154AA"/>
    <w:rsid w:val="00A1562C"/>
    <w:rsid w:val="00A16310"/>
    <w:rsid w:val="00A20773"/>
    <w:rsid w:val="00A22988"/>
    <w:rsid w:val="00A258CC"/>
    <w:rsid w:val="00A26D27"/>
    <w:rsid w:val="00A272FD"/>
    <w:rsid w:val="00A27AD6"/>
    <w:rsid w:val="00A27F38"/>
    <w:rsid w:val="00A3219F"/>
    <w:rsid w:val="00A33FEB"/>
    <w:rsid w:val="00A346B8"/>
    <w:rsid w:val="00A34B92"/>
    <w:rsid w:val="00A34CDB"/>
    <w:rsid w:val="00A3629D"/>
    <w:rsid w:val="00A376EE"/>
    <w:rsid w:val="00A41665"/>
    <w:rsid w:val="00A42A99"/>
    <w:rsid w:val="00A4749B"/>
    <w:rsid w:val="00A5065B"/>
    <w:rsid w:val="00A5151A"/>
    <w:rsid w:val="00A52B4B"/>
    <w:rsid w:val="00A52FA7"/>
    <w:rsid w:val="00A55B21"/>
    <w:rsid w:val="00A57E0A"/>
    <w:rsid w:val="00A6063B"/>
    <w:rsid w:val="00A6081B"/>
    <w:rsid w:val="00A612EF"/>
    <w:rsid w:val="00A62693"/>
    <w:rsid w:val="00A62E72"/>
    <w:rsid w:val="00A63449"/>
    <w:rsid w:val="00A67493"/>
    <w:rsid w:val="00A71A12"/>
    <w:rsid w:val="00A71ABE"/>
    <w:rsid w:val="00A73A4A"/>
    <w:rsid w:val="00A74F6B"/>
    <w:rsid w:val="00A77919"/>
    <w:rsid w:val="00A80E9E"/>
    <w:rsid w:val="00A81682"/>
    <w:rsid w:val="00A81ECF"/>
    <w:rsid w:val="00A823F6"/>
    <w:rsid w:val="00A8427B"/>
    <w:rsid w:val="00A84365"/>
    <w:rsid w:val="00A85A65"/>
    <w:rsid w:val="00A86227"/>
    <w:rsid w:val="00A8719E"/>
    <w:rsid w:val="00A90514"/>
    <w:rsid w:val="00A924FC"/>
    <w:rsid w:val="00A927A0"/>
    <w:rsid w:val="00AA0A89"/>
    <w:rsid w:val="00AA2A73"/>
    <w:rsid w:val="00AA32DE"/>
    <w:rsid w:val="00AA5368"/>
    <w:rsid w:val="00AA6429"/>
    <w:rsid w:val="00AB1646"/>
    <w:rsid w:val="00AB273C"/>
    <w:rsid w:val="00AB66B1"/>
    <w:rsid w:val="00AC01AA"/>
    <w:rsid w:val="00AC05B7"/>
    <w:rsid w:val="00AC0CEA"/>
    <w:rsid w:val="00AC0D0E"/>
    <w:rsid w:val="00AC25E1"/>
    <w:rsid w:val="00AC29BB"/>
    <w:rsid w:val="00AC29D8"/>
    <w:rsid w:val="00AC3EE9"/>
    <w:rsid w:val="00AC4D29"/>
    <w:rsid w:val="00AC4F72"/>
    <w:rsid w:val="00AC5041"/>
    <w:rsid w:val="00AC76DE"/>
    <w:rsid w:val="00AD7F9B"/>
    <w:rsid w:val="00AE0A16"/>
    <w:rsid w:val="00AE0AD4"/>
    <w:rsid w:val="00AE190D"/>
    <w:rsid w:val="00AE19ED"/>
    <w:rsid w:val="00AE3EF4"/>
    <w:rsid w:val="00AE482E"/>
    <w:rsid w:val="00AE5EC4"/>
    <w:rsid w:val="00AE6281"/>
    <w:rsid w:val="00AE6D05"/>
    <w:rsid w:val="00AE7916"/>
    <w:rsid w:val="00AF1368"/>
    <w:rsid w:val="00AF1B39"/>
    <w:rsid w:val="00AF1F0B"/>
    <w:rsid w:val="00AF4A6C"/>
    <w:rsid w:val="00AF70AE"/>
    <w:rsid w:val="00AF741A"/>
    <w:rsid w:val="00B00F90"/>
    <w:rsid w:val="00B01ADB"/>
    <w:rsid w:val="00B01E67"/>
    <w:rsid w:val="00B022D6"/>
    <w:rsid w:val="00B02FE5"/>
    <w:rsid w:val="00B03929"/>
    <w:rsid w:val="00B04161"/>
    <w:rsid w:val="00B05386"/>
    <w:rsid w:val="00B056F9"/>
    <w:rsid w:val="00B06B52"/>
    <w:rsid w:val="00B06CE4"/>
    <w:rsid w:val="00B0786C"/>
    <w:rsid w:val="00B07DE8"/>
    <w:rsid w:val="00B11E3D"/>
    <w:rsid w:val="00B13048"/>
    <w:rsid w:val="00B14BA0"/>
    <w:rsid w:val="00B14D2C"/>
    <w:rsid w:val="00B15E0D"/>
    <w:rsid w:val="00B160DB"/>
    <w:rsid w:val="00B167B9"/>
    <w:rsid w:val="00B17E82"/>
    <w:rsid w:val="00B204CE"/>
    <w:rsid w:val="00B21507"/>
    <w:rsid w:val="00B21E58"/>
    <w:rsid w:val="00B22431"/>
    <w:rsid w:val="00B25071"/>
    <w:rsid w:val="00B252B0"/>
    <w:rsid w:val="00B25D47"/>
    <w:rsid w:val="00B2671A"/>
    <w:rsid w:val="00B301E5"/>
    <w:rsid w:val="00B302C8"/>
    <w:rsid w:val="00B32FE2"/>
    <w:rsid w:val="00B33170"/>
    <w:rsid w:val="00B334B8"/>
    <w:rsid w:val="00B33B28"/>
    <w:rsid w:val="00B34AAB"/>
    <w:rsid w:val="00B3543C"/>
    <w:rsid w:val="00B35FCB"/>
    <w:rsid w:val="00B37610"/>
    <w:rsid w:val="00B4004C"/>
    <w:rsid w:val="00B407A0"/>
    <w:rsid w:val="00B40E86"/>
    <w:rsid w:val="00B42066"/>
    <w:rsid w:val="00B43750"/>
    <w:rsid w:val="00B441D3"/>
    <w:rsid w:val="00B44245"/>
    <w:rsid w:val="00B44305"/>
    <w:rsid w:val="00B4575A"/>
    <w:rsid w:val="00B51D38"/>
    <w:rsid w:val="00B52AE4"/>
    <w:rsid w:val="00B53F0D"/>
    <w:rsid w:val="00B56D5F"/>
    <w:rsid w:val="00B56FA1"/>
    <w:rsid w:val="00B575BA"/>
    <w:rsid w:val="00B5775F"/>
    <w:rsid w:val="00B61B41"/>
    <w:rsid w:val="00B6207F"/>
    <w:rsid w:val="00B641B9"/>
    <w:rsid w:val="00B6599C"/>
    <w:rsid w:val="00B65E4C"/>
    <w:rsid w:val="00B65FD8"/>
    <w:rsid w:val="00B666EC"/>
    <w:rsid w:val="00B671D7"/>
    <w:rsid w:val="00B67F30"/>
    <w:rsid w:val="00B71608"/>
    <w:rsid w:val="00B71787"/>
    <w:rsid w:val="00B731D2"/>
    <w:rsid w:val="00B73328"/>
    <w:rsid w:val="00B7490C"/>
    <w:rsid w:val="00B74C9B"/>
    <w:rsid w:val="00B76429"/>
    <w:rsid w:val="00B769E9"/>
    <w:rsid w:val="00B772A8"/>
    <w:rsid w:val="00B77967"/>
    <w:rsid w:val="00B816D9"/>
    <w:rsid w:val="00B82936"/>
    <w:rsid w:val="00B8299C"/>
    <w:rsid w:val="00B83DC3"/>
    <w:rsid w:val="00B83FB9"/>
    <w:rsid w:val="00B86471"/>
    <w:rsid w:val="00B86DEF"/>
    <w:rsid w:val="00B86F2F"/>
    <w:rsid w:val="00B9024E"/>
    <w:rsid w:val="00B91AB6"/>
    <w:rsid w:val="00B922DC"/>
    <w:rsid w:val="00B95523"/>
    <w:rsid w:val="00B956D4"/>
    <w:rsid w:val="00B96CCA"/>
    <w:rsid w:val="00B96E42"/>
    <w:rsid w:val="00B97446"/>
    <w:rsid w:val="00BA0FAE"/>
    <w:rsid w:val="00BA1161"/>
    <w:rsid w:val="00BA1E56"/>
    <w:rsid w:val="00BA2A9B"/>
    <w:rsid w:val="00BA472F"/>
    <w:rsid w:val="00BA7432"/>
    <w:rsid w:val="00BA7863"/>
    <w:rsid w:val="00BA7F0A"/>
    <w:rsid w:val="00BB1A43"/>
    <w:rsid w:val="00BB2139"/>
    <w:rsid w:val="00BB2764"/>
    <w:rsid w:val="00BB2E50"/>
    <w:rsid w:val="00BB4751"/>
    <w:rsid w:val="00BB4B61"/>
    <w:rsid w:val="00BB548A"/>
    <w:rsid w:val="00BB75FE"/>
    <w:rsid w:val="00BC1AA0"/>
    <w:rsid w:val="00BC2318"/>
    <w:rsid w:val="00BC2495"/>
    <w:rsid w:val="00BC314A"/>
    <w:rsid w:val="00BC4F2A"/>
    <w:rsid w:val="00BC5F9A"/>
    <w:rsid w:val="00BC73CB"/>
    <w:rsid w:val="00BC7EB9"/>
    <w:rsid w:val="00BD1326"/>
    <w:rsid w:val="00BD1359"/>
    <w:rsid w:val="00BD196B"/>
    <w:rsid w:val="00BD2643"/>
    <w:rsid w:val="00BD367D"/>
    <w:rsid w:val="00BD56B1"/>
    <w:rsid w:val="00BD5800"/>
    <w:rsid w:val="00BD5ABE"/>
    <w:rsid w:val="00BD62B2"/>
    <w:rsid w:val="00BD6558"/>
    <w:rsid w:val="00BD7AD7"/>
    <w:rsid w:val="00BE011F"/>
    <w:rsid w:val="00BE0541"/>
    <w:rsid w:val="00BE100A"/>
    <w:rsid w:val="00BE1E11"/>
    <w:rsid w:val="00BE2E48"/>
    <w:rsid w:val="00BE45B7"/>
    <w:rsid w:val="00BE4A69"/>
    <w:rsid w:val="00BE5CDF"/>
    <w:rsid w:val="00BE5EC5"/>
    <w:rsid w:val="00BE6CF1"/>
    <w:rsid w:val="00BE7492"/>
    <w:rsid w:val="00BF00E0"/>
    <w:rsid w:val="00BF0AEC"/>
    <w:rsid w:val="00BF143B"/>
    <w:rsid w:val="00BF24EE"/>
    <w:rsid w:val="00BF2AD7"/>
    <w:rsid w:val="00BF2F76"/>
    <w:rsid w:val="00BF3022"/>
    <w:rsid w:val="00BF3214"/>
    <w:rsid w:val="00BF4AEA"/>
    <w:rsid w:val="00BF4F54"/>
    <w:rsid w:val="00BF5573"/>
    <w:rsid w:val="00C01432"/>
    <w:rsid w:val="00C023BA"/>
    <w:rsid w:val="00C05C15"/>
    <w:rsid w:val="00C0702B"/>
    <w:rsid w:val="00C0746C"/>
    <w:rsid w:val="00C0775E"/>
    <w:rsid w:val="00C104C0"/>
    <w:rsid w:val="00C11D79"/>
    <w:rsid w:val="00C12B41"/>
    <w:rsid w:val="00C15867"/>
    <w:rsid w:val="00C22398"/>
    <w:rsid w:val="00C223EF"/>
    <w:rsid w:val="00C2292D"/>
    <w:rsid w:val="00C2296D"/>
    <w:rsid w:val="00C23155"/>
    <w:rsid w:val="00C241EB"/>
    <w:rsid w:val="00C247A5"/>
    <w:rsid w:val="00C2517A"/>
    <w:rsid w:val="00C275AC"/>
    <w:rsid w:val="00C279F0"/>
    <w:rsid w:val="00C345D3"/>
    <w:rsid w:val="00C3475F"/>
    <w:rsid w:val="00C35CA8"/>
    <w:rsid w:val="00C40C41"/>
    <w:rsid w:val="00C418AF"/>
    <w:rsid w:val="00C42786"/>
    <w:rsid w:val="00C44183"/>
    <w:rsid w:val="00C45885"/>
    <w:rsid w:val="00C45D7F"/>
    <w:rsid w:val="00C47D48"/>
    <w:rsid w:val="00C50F22"/>
    <w:rsid w:val="00C5255F"/>
    <w:rsid w:val="00C53CEB"/>
    <w:rsid w:val="00C554E3"/>
    <w:rsid w:val="00C55772"/>
    <w:rsid w:val="00C55894"/>
    <w:rsid w:val="00C57971"/>
    <w:rsid w:val="00C57A48"/>
    <w:rsid w:val="00C60F4B"/>
    <w:rsid w:val="00C62D35"/>
    <w:rsid w:val="00C63B83"/>
    <w:rsid w:val="00C64EBE"/>
    <w:rsid w:val="00C656DB"/>
    <w:rsid w:val="00C65BD7"/>
    <w:rsid w:val="00C66A2D"/>
    <w:rsid w:val="00C67596"/>
    <w:rsid w:val="00C72D72"/>
    <w:rsid w:val="00C750C8"/>
    <w:rsid w:val="00C76092"/>
    <w:rsid w:val="00C76229"/>
    <w:rsid w:val="00C76BA4"/>
    <w:rsid w:val="00C76EEA"/>
    <w:rsid w:val="00C81788"/>
    <w:rsid w:val="00C81F32"/>
    <w:rsid w:val="00C8241B"/>
    <w:rsid w:val="00C82890"/>
    <w:rsid w:val="00C83A48"/>
    <w:rsid w:val="00C851CA"/>
    <w:rsid w:val="00C85865"/>
    <w:rsid w:val="00C859F6"/>
    <w:rsid w:val="00C85E85"/>
    <w:rsid w:val="00C90408"/>
    <w:rsid w:val="00C9099D"/>
    <w:rsid w:val="00C92129"/>
    <w:rsid w:val="00C926C8"/>
    <w:rsid w:val="00C9448F"/>
    <w:rsid w:val="00C9489E"/>
    <w:rsid w:val="00C95CF0"/>
    <w:rsid w:val="00CA1D0E"/>
    <w:rsid w:val="00CA2EAE"/>
    <w:rsid w:val="00CA2F25"/>
    <w:rsid w:val="00CA4AC1"/>
    <w:rsid w:val="00CA59FB"/>
    <w:rsid w:val="00CA614F"/>
    <w:rsid w:val="00CA61BD"/>
    <w:rsid w:val="00CB0316"/>
    <w:rsid w:val="00CB0B11"/>
    <w:rsid w:val="00CB1C49"/>
    <w:rsid w:val="00CB1DBA"/>
    <w:rsid w:val="00CB426A"/>
    <w:rsid w:val="00CB49BE"/>
    <w:rsid w:val="00CB49F4"/>
    <w:rsid w:val="00CB5354"/>
    <w:rsid w:val="00CB71F0"/>
    <w:rsid w:val="00CC094D"/>
    <w:rsid w:val="00CC0A00"/>
    <w:rsid w:val="00CC176C"/>
    <w:rsid w:val="00CC2C79"/>
    <w:rsid w:val="00CC3C9E"/>
    <w:rsid w:val="00CC40B1"/>
    <w:rsid w:val="00CC5276"/>
    <w:rsid w:val="00CC61C1"/>
    <w:rsid w:val="00CC6A14"/>
    <w:rsid w:val="00CC6C68"/>
    <w:rsid w:val="00CC70A3"/>
    <w:rsid w:val="00CD0655"/>
    <w:rsid w:val="00CD0FA8"/>
    <w:rsid w:val="00CD3F93"/>
    <w:rsid w:val="00CD4442"/>
    <w:rsid w:val="00CD53C3"/>
    <w:rsid w:val="00CD573D"/>
    <w:rsid w:val="00CD574E"/>
    <w:rsid w:val="00CD746F"/>
    <w:rsid w:val="00CE0C36"/>
    <w:rsid w:val="00CE0EFE"/>
    <w:rsid w:val="00CE2716"/>
    <w:rsid w:val="00CE3C08"/>
    <w:rsid w:val="00CE479C"/>
    <w:rsid w:val="00CE4C22"/>
    <w:rsid w:val="00CE5297"/>
    <w:rsid w:val="00CE5A73"/>
    <w:rsid w:val="00CE69DE"/>
    <w:rsid w:val="00CE76E5"/>
    <w:rsid w:val="00CE7983"/>
    <w:rsid w:val="00CF1D7D"/>
    <w:rsid w:val="00CF41EC"/>
    <w:rsid w:val="00CF4C63"/>
    <w:rsid w:val="00CF5AC8"/>
    <w:rsid w:val="00CF5D04"/>
    <w:rsid w:val="00D00358"/>
    <w:rsid w:val="00D00AC3"/>
    <w:rsid w:val="00D01FD6"/>
    <w:rsid w:val="00D028AC"/>
    <w:rsid w:val="00D03A17"/>
    <w:rsid w:val="00D03B06"/>
    <w:rsid w:val="00D03D5C"/>
    <w:rsid w:val="00D04DE4"/>
    <w:rsid w:val="00D061F8"/>
    <w:rsid w:val="00D063F1"/>
    <w:rsid w:val="00D10239"/>
    <w:rsid w:val="00D1168A"/>
    <w:rsid w:val="00D11735"/>
    <w:rsid w:val="00D13380"/>
    <w:rsid w:val="00D14F22"/>
    <w:rsid w:val="00D15B40"/>
    <w:rsid w:val="00D15FF8"/>
    <w:rsid w:val="00D21171"/>
    <w:rsid w:val="00D212BC"/>
    <w:rsid w:val="00D2283D"/>
    <w:rsid w:val="00D22B0A"/>
    <w:rsid w:val="00D24820"/>
    <w:rsid w:val="00D26D68"/>
    <w:rsid w:val="00D30300"/>
    <w:rsid w:val="00D30373"/>
    <w:rsid w:val="00D30B6D"/>
    <w:rsid w:val="00D32999"/>
    <w:rsid w:val="00D33161"/>
    <w:rsid w:val="00D33414"/>
    <w:rsid w:val="00D352AA"/>
    <w:rsid w:val="00D36BA0"/>
    <w:rsid w:val="00D40932"/>
    <w:rsid w:val="00D41184"/>
    <w:rsid w:val="00D41C65"/>
    <w:rsid w:val="00D42C70"/>
    <w:rsid w:val="00D45CA3"/>
    <w:rsid w:val="00D46D1C"/>
    <w:rsid w:val="00D4720C"/>
    <w:rsid w:val="00D4741C"/>
    <w:rsid w:val="00D4778C"/>
    <w:rsid w:val="00D52B29"/>
    <w:rsid w:val="00D5557A"/>
    <w:rsid w:val="00D56C76"/>
    <w:rsid w:val="00D57918"/>
    <w:rsid w:val="00D61C61"/>
    <w:rsid w:val="00D6367B"/>
    <w:rsid w:val="00D64B3E"/>
    <w:rsid w:val="00D64F8B"/>
    <w:rsid w:val="00D65A22"/>
    <w:rsid w:val="00D65F60"/>
    <w:rsid w:val="00D66C7A"/>
    <w:rsid w:val="00D67391"/>
    <w:rsid w:val="00D70623"/>
    <w:rsid w:val="00D7158D"/>
    <w:rsid w:val="00D72407"/>
    <w:rsid w:val="00D727A1"/>
    <w:rsid w:val="00D73DC6"/>
    <w:rsid w:val="00D74C1A"/>
    <w:rsid w:val="00D754C1"/>
    <w:rsid w:val="00D76612"/>
    <w:rsid w:val="00D77393"/>
    <w:rsid w:val="00D77897"/>
    <w:rsid w:val="00D77A35"/>
    <w:rsid w:val="00D77BAC"/>
    <w:rsid w:val="00D80AE7"/>
    <w:rsid w:val="00D81042"/>
    <w:rsid w:val="00D81B3E"/>
    <w:rsid w:val="00D81C59"/>
    <w:rsid w:val="00D81D67"/>
    <w:rsid w:val="00D81E53"/>
    <w:rsid w:val="00D82753"/>
    <w:rsid w:val="00D847B3"/>
    <w:rsid w:val="00D84CCE"/>
    <w:rsid w:val="00D85CB7"/>
    <w:rsid w:val="00D86964"/>
    <w:rsid w:val="00D87CE2"/>
    <w:rsid w:val="00D87F41"/>
    <w:rsid w:val="00D90C70"/>
    <w:rsid w:val="00D90E49"/>
    <w:rsid w:val="00D9200D"/>
    <w:rsid w:val="00D94BCF"/>
    <w:rsid w:val="00D95775"/>
    <w:rsid w:val="00D96ADE"/>
    <w:rsid w:val="00D9756D"/>
    <w:rsid w:val="00DA0CE2"/>
    <w:rsid w:val="00DA0FD2"/>
    <w:rsid w:val="00DA2387"/>
    <w:rsid w:val="00DA294C"/>
    <w:rsid w:val="00DA49C9"/>
    <w:rsid w:val="00DA7484"/>
    <w:rsid w:val="00DB05CE"/>
    <w:rsid w:val="00DB10F9"/>
    <w:rsid w:val="00DB13D6"/>
    <w:rsid w:val="00DB194D"/>
    <w:rsid w:val="00DB344D"/>
    <w:rsid w:val="00DB61A3"/>
    <w:rsid w:val="00DB7D10"/>
    <w:rsid w:val="00DC1556"/>
    <w:rsid w:val="00DC158A"/>
    <w:rsid w:val="00DC185C"/>
    <w:rsid w:val="00DC2AAF"/>
    <w:rsid w:val="00DC4DA9"/>
    <w:rsid w:val="00DC590B"/>
    <w:rsid w:val="00DC6A10"/>
    <w:rsid w:val="00DC7A08"/>
    <w:rsid w:val="00DD3C43"/>
    <w:rsid w:val="00DD4A2F"/>
    <w:rsid w:val="00DD5B33"/>
    <w:rsid w:val="00DD7E95"/>
    <w:rsid w:val="00DE0508"/>
    <w:rsid w:val="00DE2094"/>
    <w:rsid w:val="00DE27CD"/>
    <w:rsid w:val="00DE4A72"/>
    <w:rsid w:val="00DE61B8"/>
    <w:rsid w:val="00DE657E"/>
    <w:rsid w:val="00DE6625"/>
    <w:rsid w:val="00DE7082"/>
    <w:rsid w:val="00DF0183"/>
    <w:rsid w:val="00DF38CA"/>
    <w:rsid w:val="00DF4704"/>
    <w:rsid w:val="00DF7E04"/>
    <w:rsid w:val="00DF7F2E"/>
    <w:rsid w:val="00E024AA"/>
    <w:rsid w:val="00E04370"/>
    <w:rsid w:val="00E049C8"/>
    <w:rsid w:val="00E0568C"/>
    <w:rsid w:val="00E069A2"/>
    <w:rsid w:val="00E100E4"/>
    <w:rsid w:val="00E104BB"/>
    <w:rsid w:val="00E10C57"/>
    <w:rsid w:val="00E112C7"/>
    <w:rsid w:val="00E123FC"/>
    <w:rsid w:val="00E12861"/>
    <w:rsid w:val="00E130BB"/>
    <w:rsid w:val="00E14515"/>
    <w:rsid w:val="00E1461D"/>
    <w:rsid w:val="00E1588E"/>
    <w:rsid w:val="00E15C77"/>
    <w:rsid w:val="00E1693E"/>
    <w:rsid w:val="00E16B67"/>
    <w:rsid w:val="00E242F6"/>
    <w:rsid w:val="00E250F1"/>
    <w:rsid w:val="00E2570B"/>
    <w:rsid w:val="00E25C5C"/>
    <w:rsid w:val="00E25CFE"/>
    <w:rsid w:val="00E269C5"/>
    <w:rsid w:val="00E27873"/>
    <w:rsid w:val="00E27C02"/>
    <w:rsid w:val="00E306EA"/>
    <w:rsid w:val="00E31066"/>
    <w:rsid w:val="00E315A2"/>
    <w:rsid w:val="00E31860"/>
    <w:rsid w:val="00E33CF5"/>
    <w:rsid w:val="00E33D97"/>
    <w:rsid w:val="00E3550D"/>
    <w:rsid w:val="00E35A65"/>
    <w:rsid w:val="00E35B7A"/>
    <w:rsid w:val="00E37CD8"/>
    <w:rsid w:val="00E40A7E"/>
    <w:rsid w:val="00E40F15"/>
    <w:rsid w:val="00E45544"/>
    <w:rsid w:val="00E467AB"/>
    <w:rsid w:val="00E46C4A"/>
    <w:rsid w:val="00E50546"/>
    <w:rsid w:val="00E507B8"/>
    <w:rsid w:val="00E52293"/>
    <w:rsid w:val="00E52838"/>
    <w:rsid w:val="00E53305"/>
    <w:rsid w:val="00E54D18"/>
    <w:rsid w:val="00E60662"/>
    <w:rsid w:val="00E613D4"/>
    <w:rsid w:val="00E614E0"/>
    <w:rsid w:val="00E62BAA"/>
    <w:rsid w:val="00E62C44"/>
    <w:rsid w:val="00E63155"/>
    <w:rsid w:val="00E669EA"/>
    <w:rsid w:val="00E674CF"/>
    <w:rsid w:val="00E70313"/>
    <w:rsid w:val="00E704F2"/>
    <w:rsid w:val="00E70760"/>
    <w:rsid w:val="00E73721"/>
    <w:rsid w:val="00E73953"/>
    <w:rsid w:val="00E73A9E"/>
    <w:rsid w:val="00E73AA9"/>
    <w:rsid w:val="00E73E96"/>
    <w:rsid w:val="00E73F7F"/>
    <w:rsid w:val="00E753E8"/>
    <w:rsid w:val="00E759CA"/>
    <w:rsid w:val="00E76D65"/>
    <w:rsid w:val="00E800CD"/>
    <w:rsid w:val="00E83A01"/>
    <w:rsid w:val="00E84080"/>
    <w:rsid w:val="00E85409"/>
    <w:rsid w:val="00E8546D"/>
    <w:rsid w:val="00E85A20"/>
    <w:rsid w:val="00E87167"/>
    <w:rsid w:val="00E907C2"/>
    <w:rsid w:val="00E913AC"/>
    <w:rsid w:val="00E92675"/>
    <w:rsid w:val="00E9339B"/>
    <w:rsid w:val="00E95B6F"/>
    <w:rsid w:val="00E9601D"/>
    <w:rsid w:val="00E97BB4"/>
    <w:rsid w:val="00EA15EA"/>
    <w:rsid w:val="00EA19B8"/>
    <w:rsid w:val="00EA2726"/>
    <w:rsid w:val="00EA3BEB"/>
    <w:rsid w:val="00EA429F"/>
    <w:rsid w:val="00EA4A0C"/>
    <w:rsid w:val="00EA4E1A"/>
    <w:rsid w:val="00EA4F5A"/>
    <w:rsid w:val="00EA4F9E"/>
    <w:rsid w:val="00EA63CA"/>
    <w:rsid w:val="00EA65A6"/>
    <w:rsid w:val="00EA6D3B"/>
    <w:rsid w:val="00EA7456"/>
    <w:rsid w:val="00EB00AD"/>
    <w:rsid w:val="00EB012B"/>
    <w:rsid w:val="00EB1027"/>
    <w:rsid w:val="00EB136C"/>
    <w:rsid w:val="00EB14E7"/>
    <w:rsid w:val="00EB3E73"/>
    <w:rsid w:val="00EB3F76"/>
    <w:rsid w:val="00EB480E"/>
    <w:rsid w:val="00EB4981"/>
    <w:rsid w:val="00EB52BF"/>
    <w:rsid w:val="00EB5EC6"/>
    <w:rsid w:val="00EB763A"/>
    <w:rsid w:val="00EB7FC9"/>
    <w:rsid w:val="00EC049D"/>
    <w:rsid w:val="00EC2612"/>
    <w:rsid w:val="00EC2F70"/>
    <w:rsid w:val="00EC454E"/>
    <w:rsid w:val="00EC458A"/>
    <w:rsid w:val="00EC643B"/>
    <w:rsid w:val="00EC6EC1"/>
    <w:rsid w:val="00EC7C8A"/>
    <w:rsid w:val="00ED0364"/>
    <w:rsid w:val="00ED27E8"/>
    <w:rsid w:val="00ED2CCA"/>
    <w:rsid w:val="00ED6133"/>
    <w:rsid w:val="00ED7137"/>
    <w:rsid w:val="00ED7698"/>
    <w:rsid w:val="00ED76D0"/>
    <w:rsid w:val="00EE24E5"/>
    <w:rsid w:val="00EE2FA2"/>
    <w:rsid w:val="00EE33DB"/>
    <w:rsid w:val="00EE3D35"/>
    <w:rsid w:val="00EE4AA4"/>
    <w:rsid w:val="00EE72F0"/>
    <w:rsid w:val="00EE75FD"/>
    <w:rsid w:val="00EE7ED5"/>
    <w:rsid w:val="00EF003C"/>
    <w:rsid w:val="00EF06EA"/>
    <w:rsid w:val="00EF0EB4"/>
    <w:rsid w:val="00EF3AA4"/>
    <w:rsid w:val="00EF3D23"/>
    <w:rsid w:val="00F01244"/>
    <w:rsid w:val="00F02AE9"/>
    <w:rsid w:val="00F03821"/>
    <w:rsid w:val="00F03FFA"/>
    <w:rsid w:val="00F04CDE"/>
    <w:rsid w:val="00F05044"/>
    <w:rsid w:val="00F055F2"/>
    <w:rsid w:val="00F07604"/>
    <w:rsid w:val="00F07B7B"/>
    <w:rsid w:val="00F100DE"/>
    <w:rsid w:val="00F10452"/>
    <w:rsid w:val="00F105C7"/>
    <w:rsid w:val="00F1099D"/>
    <w:rsid w:val="00F12200"/>
    <w:rsid w:val="00F12974"/>
    <w:rsid w:val="00F12A6E"/>
    <w:rsid w:val="00F12ACF"/>
    <w:rsid w:val="00F13A90"/>
    <w:rsid w:val="00F1445D"/>
    <w:rsid w:val="00F14732"/>
    <w:rsid w:val="00F16415"/>
    <w:rsid w:val="00F175EE"/>
    <w:rsid w:val="00F17D11"/>
    <w:rsid w:val="00F20172"/>
    <w:rsid w:val="00F21088"/>
    <w:rsid w:val="00F21CDC"/>
    <w:rsid w:val="00F2224F"/>
    <w:rsid w:val="00F2382A"/>
    <w:rsid w:val="00F23E61"/>
    <w:rsid w:val="00F26E65"/>
    <w:rsid w:val="00F276B7"/>
    <w:rsid w:val="00F27F89"/>
    <w:rsid w:val="00F30ECC"/>
    <w:rsid w:val="00F30F1B"/>
    <w:rsid w:val="00F30FEA"/>
    <w:rsid w:val="00F321B3"/>
    <w:rsid w:val="00F32660"/>
    <w:rsid w:val="00F326BF"/>
    <w:rsid w:val="00F327E7"/>
    <w:rsid w:val="00F32C22"/>
    <w:rsid w:val="00F34220"/>
    <w:rsid w:val="00F349DE"/>
    <w:rsid w:val="00F35439"/>
    <w:rsid w:val="00F35746"/>
    <w:rsid w:val="00F35946"/>
    <w:rsid w:val="00F3747D"/>
    <w:rsid w:val="00F40B41"/>
    <w:rsid w:val="00F4134B"/>
    <w:rsid w:val="00F41480"/>
    <w:rsid w:val="00F41491"/>
    <w:rsid w:val="00F4201D"/>
    <w:rsid w:val="00F4363B"/>
    <w:rsid w:val="00F447C7"/>
    <w:rsid w:val="00F459B4"/>
    <w:rsid w:val="00F47157"/>
    <w:rsid w:val="00F4794A"/>
    <w:rsid w:val="00F50395"/>
    <w:rsid w:val="00F508CC"/>
    <w:rsid w:val="00F50E49"/>
    <w:rsid w:val="00F511B9"/>
    <w:rsid w:val="00F51BD4"/>
    <w:rsid w:val="00F5211B"/>
    <w:rsid w:val="00F5239B"/>
    <w:rsid w:val="00F54E3F"/>
    <w:rsid w:val="00F554A9"/>
    <w:rsid w:val="00F61FC3"/>
    <w:rsid w:val="00F6369D"/>
    <w:rsid w:val="00F63789"/>
    <w:rsid w:val="00F63D90"/>
    <w:rsid w:val="00F6581F"/>
    <w:rsid w:val="00F6594B"/>
    <w:rsid w:val="00F6681B"/>
    <w:rsid w:val="00F66FE9"/>
    <w:rsid w:val="00F70D78"/>
    <w:rsid w:val="00F71582"/>
    <w:rsid w:val="00F716FD"/>
    <w:rsid w:val="00F733F0"/>
    <w:rsid w:val="00F73961"/>
    <w:rsid w:val="00F74E43"/>
    <w:rsid w:val="00F75494"/>
    <w:rsid w:val="00F769FA"/>
    <w:rsid w:val="00F77685"/>
    <w:rsid w:val="00F80355"/>
    <w:rsid w:val="00F80D04"/>
    <w:rsid w:val="00F8154E"/>
    <w:rsid w:val="00F81DA7"/>
    <w:rsid w:val="00F82A19"/>
    <w:rsid w:val="00F83E62"/>
    <w:rsid w:val="00F83EC3"/>
    <w:rsid w:val="00F870BF"/>
    <w:rsid w:val="00F87536"/>
    <w:rsid w:val="00F87C43"/>
    <w:rsid w:val="00F94449"/>
    <w:rsid w:val="00F94ABD"/>
    <w:rsid w:val="00FA05E6"/>
    <w:rsid w:val="00FA0CCD"/>
    <w:rsid w:val="00FA0EE3"/>
    <w:rsid w:val="00FA1B34"/>
    <w:rsid w:val="00FA2218"/>
    <w:rsid w:val="00FA3B5A"/>
    <w:rsid w:val="00FA5504"/>
    <w:rsid w:val="00FA5722"/>
    <w:rsid w:val="00FA620F"/>
    <w:rsid w:val="00FA7971"/>
    <w:rsid w:val="00FB0C81"/>
    <w:rsid w:val="00FB3208"/>
    <w:rsid w:val="00FB34CB"/>
    <w:rsid w:val="00FB3E3E"/>
    <w:rsid w:val="00FB51ED"/>
    <w:rsid w:val="00FB581C"/>
    <w:rsid w:val="00FB5B3B"/>
    <w:rsid w:val="00FB5F8F"/>
    <w:rsid w:val="00FC07B9"/>
    <w:rsid w:val="00FC1015"/>
    <w:rsid w:val="00FC15BE"/>
    <w:rsid w:val="00FC2200"/>
    <w:rsid w:val="00FC2540"/>
    <w:rsid w:val="00FC3DB4"/>
    <w:rsid w:val="00FC3E5F"/>
    <w:rsid w:val="00FC4626"/>
    <w:rsid w:val="00FC4F88"/>
    <w:rsid w:val="00FC57D5"/>
    <w:rsid w:val="00FC5DA3"/>
    <w:rsid w:val="00FD23C5"/>
    <w:rsid w:val="00FD41DB"/>
    <w:rsid w:val="00FD5AA7"/>
    <w:rsid w:val="00FD67F0"/>
    <w:rsid w:val="00FD73D5"/>
    <w:rsid w:val="00FE076E"/>
    <w:rsid w:val="00FE0D7F"/>
    <w:rsid w:val="00FE1C30"/>
    <w:rsid w:val="00FE3019"/>
    <w:rsid w:val="00FE343E"/>
    <w:rsid w:val="00FE45E6"/>
    <w:rsid w:val="00FE48CB"/>
    <w:rsid w:val="00FF0204"/>
    <w:rsid w:val="00FF1BFE"/>
    <w:rsid w:val="00FF3AED"/>
    <w:rsid w:val="00FF557A"/>
    <w:rsid w:val="00FF6594"/>
    <w:rsid w:val="00FF6ADD"/>
    <w:rsid w:val="00FF715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19E54"/>
  <w15:docId w15:val="{05AB511F-1DD5-4EA0-852C-EFE114877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tcBorders>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ntemporary">
    <w:name w:val="Table Contemporary"/>
    <w:basedOn w:val="TableNormal"/>
    <w:semiHidden/>
    <w:rsid w:val="00493D40"/>
    <w:pPr>
      <w:jc w:val="both"/>
    </w:p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semiHidden/>
    <w:rsid w:val="00493D40"/>
    <w:pPr>
      <w:jc w:val="both"/>
    </w:pPr>
    <w:tblPr/>
    <w:tblStylePr w:type="firstRow">
      <w:rPr>
        <w:caps/>
        <w:color w:val="auto"/>
      </w:rPr>
    </w:tblStylePr>
  </w:style>
  <w:style w:type="table" w:styleId="TableGrid">
    <w:name w:val="Table Grid"/>
    <w:aliases w:val="学术论文的三线表"/>
    <w:basedOn w:val="TableNormal"/>
    <w:uiPriority w:val="39"/>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styleId="TableGrid4">
    <w:name w:val="Table Grid 4"/>
    <w:basedOn w:val="TableNormal"/>
    <w:semiHidden/>
    <w:rsid w:val="00493D40"/>
    <w:pPr>
      <w:jc w:val="both"/>
    </w:p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styleId="TableGrid5">
    <w:name w:val="Table Grid 5"/>
    <w:basedOn w:val="TableNormal"/>
    <w:semiHidden/>
    <w:rsid w:val="00493D40"/>
    <w:pPr>
      <w:jc w:val="both"/>
    </w:pPr>
    <w:tblPr/>
    <w:tblStylePr w:type="lastRow">
      <w:rPr>
        <w:b/>
        <w:bCs/>
      </w:rPr>
    </w:tblStylePr>
    <w:tblStylePr w:type="lastCol">
      <w:rPr>
        <w:b/>
        <w:bCs/>
      </w:r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tcBorders>
        <w:top w:val="single" w:sz="6" w:space="0" w:color="000000"/>
      </w:tcBorders>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tcBorders>
        <w:top w:val="single" w:sz="6" w:space="0" w:color="000000"/>
      </w:tcBorders>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StylePr w:type="firstRow">
      <w:rPr>
        <w:b/>
        <w:bCs/>
        <w:color w:val="FFFFFF"/>
      </w:rPr>
    </w:tblStylePr>
  </w:style>
  <w:style w:type="table" w:styleId="TableList5">
    <w:name w:val="Table List 5"/>
    <w:basedOn w:val="TableNormal"/>
    <w:semiHidden/>
    <w:rsid w:val="00493D40"/>
    <w:pPr>
      <w:jc w:val="both"/>
    </w:pPr>
    <w:tbl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StylePr>
  </w:style>
  <w:style w:type="table" w:styleId="TableSubtle1">
    <w:name w:val="Table Subtle 1"/>
    <w:basedOn w:val="TableNormal"/>
    <w:semiHidden/>
    <w:rsid w:val="00493D40"/>
    <w:pPr>
      <w:jc w:val="both"/>
    </w:pPr>
    <w:tblPr>
      <w:tblStyleRowBandSize w:val="1"/>
    </w:tblPr>
    <w:tcPr>
      <w:tcBorders>
        <w:left w:val="single" w:sz="12" w:space="0" w:color="000000"/>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bottom w:val="single" w:sz="12" w:space="0" w:color="000000"/>
        <w:right w:val="single" w:sz="12" w:space="0" w:color="000000"/>
      </w:tcBorders>
      <w:shd w:val="pct25" w:color="808000" w:fill="FFFFFF"/>
    </w:tc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qFormat/>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numbering" w:customStyle="1" w:styleId="1111111">
    <w:name w:val="1 / 1.1 / 1.1.11"/>
    <w:basedOn w:val="NoList"/>
    <w:next w:val="111111"/>
    <w:semiHidden/>
    <w:rsid w:val="00DC185C"/>
    <w:pPr>
      <w:numPr>
        <w:numId w:val="24"/>
      </w:numPr>
    </w:pPr>
  </w:style>
  <w:style w:type="numbering" w:customStyle="1" w:styleId="1ai1">
    <w:name w:val="1 / a / i1"/>
    <w:basedOn w:val="NoList"/>
    <w:next w:val="1ai"/>
    <w:semiHidden/>
    <w:rsid w:val="00DC185C"/>
    <w:pPr>
      <w:numPr>
        <w:numId w:val="25"/>
      </w:numPr>
    </w:pPr>
  </w:style>
  <w:style w:type="numbering" w:customStyle="1" w:styleId="ArticleSection1">
    <w:name w:val="Article / Section1"/>
    <w:basedOn w:val="NoList"/>
    <w:next w:val="ArticleSection"/>
    <w:semiHidden/>
    <w:rsid w:val="00DC185C"/>
    <w:pPr>
      <w:numPr>
        <w:numId w:val="26"/>
      </w:numPr>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DC185C"/>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DC185C"/>
    <w:rPr>
      <w:sz w:val="22"/>
      <w:szCs w:val="22"/>
      <w:lang w:val="fr-FR"/>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C185C"/>
    <w:rPr>
      <w:sz w:val="22"/>
      <w:szCs w:val="22"/>
      <w:lang w:val="fr-FR"/>
    </w:rPr>
  </w:style>
  <w:style w:type="character" w:customStyle="1" w:styleId="HeaderChar">
    <w:name w:val="Header Char"/>
    <w:basedOn w:val="DefaultParagraphFont"/>
    <w:link w:val="Header"/>
    <w:rsid w:val="00DC185C"/>
    <w:rPr>
      <w:sz w:val="22"/>
      <w:szCs w:val="22"/>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DC185C"/>
    <w:pPr>
      <w:spacing w:after="160" w:line="240" w:lineRule="exact"/>
    </w:pPr>
    <w:rPr>
      <w:sz w:val="20"/>
      <w:szCs w:val="20"/>
      <w:vertAlign w:val="superscript"/>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DC185C"/>
    <w:rPr>
      <w:sz w:val="22"/>
      <w:szCs w:val="22"/>
      <w:lang w:val="fr-FR"/>
    </w:rPr>
  </w:style>
  <w:style w:type="character" w:customStyle="1" w:styleId="normaltextrun">
    <w:name w:val="normaltextrun"/>
    <w:basedOn w:val="DefaultParagraphFont"/>
    <w:rsid w:val="00DC185C"/>
  </w:style>
  <w:style w:type="paragraph" w:styleId="NoSpacing">
    <w:name w:val="No Spacing"/>
    <w:uiPriority w:val="1"/>
    <w:qFormat/>
    <w:rsid w:val="00DC185C"/>
  </w:style>
  <w:style w:type="character" w:customStyle="1" w:styleId="FooterChar">
    <w:name w:val="Footer Char"/>
    <w:basedOn w:val="DefaultParagraphFont"/>
    <w:link w:val="Footer"/>
    <w:uiPriority w:val="99"/>
    <w:rsid w:val="00DC185C"/>
    <w:rPr>
      <w:sz w:val="22"/>
      <w:szCs w:val="22"/>
      <w:lang w:val="fr-FR"/>
    </w:rPr>
  </w:style>
  <w:style w:type="paragraph" w:styleId="Revision">
    <w:name w:val="Revision"/>
    <w:hidden/>
    <w:uiPriority w:val="99"/>
    <w:semiHidden/>
    <w:rsid w:val="00DC185C"/>
    <w:rPr>
      <w:sz w:val="22"/>
      <w:szCs w:val="22"/>
    </w:rPr>
  </w:style>
  <w:style w:type="paragraph" w:customStyle="1" w:styleId="paragraph">
    <w:name w:val="paragraph"/>
    <w:basedOn w:val="Normal"/>
    <w:rsid w:val="00DC185C"/>
    <w:pPr>
      <w:spacing w:before="100" w:beforeAutospacing="1" w:after="100" w:afterAutospacing="1"/>
      <w:jc w:val="left"/>
    </w:pPr>
    <w:rPr>
      <w:sz w:val="24"/>
      <w:szCs w:val="24"/>
      <w:lang w:eastAsia="en-CA"/>
    </w:rPr>
  </w:style>
  <w:style w:type="character" w:customStyle="1" w:styleId="eop">
    <w:name w:val="eop"/>
    <w:basedOn w:val="DefaultParagraphFont"/>
    <w:rsid w:val="00DC18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sharepoint/v3"/>
    <ds:schemaRef ds:uri="http://schemas.openxmlformats.org/package/2006/metadata/core-properties"/>
    <ds:schemaRef ds:uri="b93c647f-d63b-431a-95c8-8e00048cff23"/>
    <ds:schemaRef ds:uri="http://purl.org/dc/dcmitype/"/>
    <ds:schemaRef ds:uri="http://purl.org/dc/elements/1.1/"/>
    <ds:schemaRef ds:uri="http://schemas.microsoft.com/office/2006/documentManagement/types"/>
    <ds:schemaRef ds:uri="eb6c2e4c-3f1c-4103-a37b-37c984dbe58f"/>
    <ds:schemaRef ds:uri="http://purl.org/dc/terms/"/>
    <ds:schemaRef ds:uri="http://www.w3.org/XML/1998/namespace"/>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41FB7FC3-BC8D-4779-B0AE-EFF8C1F792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12</Pages>
  <Words>5144</Words>
  <Characters>29322</Characters>
  <Application>Microsoft Office Word</Application>
  <DocSecurity>0</DocSecurity>
  <Lines>244</Lines>
  <Paragraphs>68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Propositions de projet : Togo</vt:lpstr>
      <vt:lpstr>Togo energy efficiency 91/65</vt:lpstr>
    </vt:vector>
  </TitlesOfParts>
  <Company>UNMFS</Company>
  <LinksUpToDate>false</LinksUpToDate>
  <CharactersWithSpaces>34398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 : Togo</dc:title>
  <dc:subject/>
  <dc:creator>AET / LD</dc:creator>
  <cp:keywords/>
  <cp:lastModifiedBy>Angela Xue He Yan</cp:lastModifiedBy>
  <cp:revision>3</cp:revision>
  <cp:lastPrinted>2025-11-13T23:01:00Z</cp:lastPrinted>
  <dcterms:created xsi:type="dcterms:W3CDTF">2025-11-17T20:48:00Z</dcterms:created>
  <dcterms:modified xsi:type="dcterms:W3CDTF">2025-11-19T14:40:00Z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UNEP/OzL.Pro/ExCom/97/79</vt:lpwstr>
  </property>
  <property fmtid="{D5CDD505-2E9C-101B-9397-08002B2CF9AE}" pid="3" name="Revision date">
    <vt:lpwstr>11/13/2025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Propositions de projet : Togo</vt:lpwstr>
  </property>
</Properties>
</file>