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2" w:type="dxa"/>
        <w:tblInd w:w="-432" w:type="dxa"/>
        <w:tblLayout w:type="fixed"/>
        <w:tblLook w:val="0000" w:firstRow="0" w:lastRow="0" w:firstColumn="0" w:lastColumn="0" w:noHBand="0" w:noVBand="0"/>
      </w:tblPr>
      <w:tblGrid>
        <w:gridCol w:w="1873"/>
        <w:gridCol w:w="4005"/>
        <w:gridCol w:w="4154"/>
      </w:tblGrid>
      <w:tr w:rsidR="0087455A" w:rsidRPr="006377FA" w14:paraId="2D4811CE" w14:textId="77777777" w:rsidTr="00FF3295">
        <w:trPr>
          <w:trHeight w:val="669"/>
        </w:trPr>
        <w:tc>
          <w:tcPr>
            <w:tcW w:w="5878" w:type="dxa"/>
            <w:gridSpan w:val="2"/>
            <w:tcBorders>
              <w:bottom w:val="single" w:sz="18" w:space="0" w:color="auto"/>
            </w:tcBorders>
          </w:tcPr>
          <w:p w14:paraId="5AE58712" w14:textId="77777777" w:rsidR="0087455A" w:rsidRPr="006377FA" w:rsidRDefault="0024162E" w:rsidP="001A2DE2">
            <w:pPr>
              <w:ind w:left="720" w:hanging="720"/>
              <w:rPr>
                <w:rFonts w:ascii="Univers" w:hAnsi="Univers"/>
                <w:b/>
                <w:sz w:val="28"/>
                <w:szCs w:val="28"/>
                <w:lang w:val="es-ES"/>
              </w:rPr>
            </w:pPr>
            <w:r w:rsidRPr="006377FA">
              <w:rPr>
                <w:rFonts w:ascii="Univers" w:hAnsi="Univers"/>
                <w:b/>
                <w:sz w:val="28"/>
                <w:szCs w:val="28"/>
                <w:lang w:val="es-ES"/>
              </w:rPr>
              <w:t>NACIONES</w:t>
            </w:r>
          </w:p>
          <w:p w14:paraId="327BA072" w14:textId="77777777" w:rsidR="0087455A" w:rsidRPr="006377FA" w:rsidRDefault="0024162E">
            <w:pPr>
              <w:rPr>
                <w:rFonts w:ascii="Univers" w:hAnsi="Univers"/>
                <w:b/>
                <w:sz w:val="28"/>
                <w:szCs w:val="28"/>
                <w:lang w:val="es-ES"/>
              </w:rPr>
            </w:pPr>
            <w:r w:rsidRPr="006377FA">
              <w:rPr>
                <w:rFonts w:ascii="Univers" w:hAnsi="Univers"/>
                <w:b/>
                <w:sz w:val="28"/>
                <w:szCs w:val="28"/>
                <w:lang w:val="es-ES"/>
              </w:rPr>
              <w:t>UNIDAS</w:t>
            </w:r>
          </w:p>
        </w:tc>
        <w:tc>
          <w:tcPr>
            <w:tcW w:w="4154" w:type="dxa"/>
            <w:tcBorders>
              <w:bottom w:val="single" w:sz="18" w:space="0" w:color="auto"/>
            </w:tcBorders>
          </w:tcPr>
          <w:p w14:paraId="4BC70643" w14:textId="77777777" w:rsidR="0087455A" w:rsidRPr="006377FA" w:rsidRDefault="0024162E">
            <w:pPr>
              <w:jc w:val="right"/>
              <w:rPr>
                <w:rFonts w:asciiTheme="minorBidi" w:hAnsiTheme="minorBidi" w:cstheme="minorBidi"/>
                <w:sz w:val="52"/>
                <w:szCs w:val="52"/>
                <w:lang w:val="es-ES"/>
              </w:rPr>
            </w:pPr>
            <w:r w:rsidRPr="006377FA">
              <w:rPr>
                <w:rFonts w:asciiTheme="minorBidi" w:hAnsiTheme="minorBidi" w:cstheme="minorBidi"/>
                <w:b/>
                <w:sz w:val="72"/>
                <w:lang w:val="es-ES"/>
              </w:rPr>
              <w:t>EP</w:t>
            </w:r>
          </w:p>
        </w:tc>
      </w:tr>
      <w:tr w:rsidR="0087455A" w:rsidRPr="003F00AA" w14:paraId="131B5337" w14:textId="77777777" w:rsidTr="00FF32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8"/>
        </w:trPr>
        <w:tc>
          <w:tcPr>
            <w:tcW w:w="1873" w:type="dxa"/>
            <w:tcBorders>
              <w:top w:val="nil"/>
              <w:left w:val="nil"/>
              <w:bottom w:val="single" w:sz="36" w:space="0" w:color="auto"/>
              <w:right w:val="nil"/>
            </w:tcBorders>
          </w:tcPr>
          <w:p w14:paraId="40DFE108" w14:textId="77777777" w:rsidR="0087455A" w:rsidRPr="006377FA" w:rsidRDefault="0024162E">
            <w:pPr>
              <w:spacing w:before="120"/>
              <w:rPr>
                <w:lang w:val="es-ES"/>
              </w:rPr>
            </w:pPr>
            <w:r w:rsidRPr="006377FA">
              <w:rPr>
                <w:noProof/>
                <w:lang w:val="es-ES" w:eastAsia="en-CA"/>
              </w:rPr>
              <w:drawing>
                <wp:anchor distT="0" distB="0" distL="114300" distR="114300" simplePos="0" relativeHeight="251660288" behindDoc="0" locked="0" layoutInCell="1" allowOverlap="1" wp14:anchorId="1546186F" wp14:editId="4288DA37">
                  <wp:simplePos x="0" y="0"/>
                  <wp:positionH relativeFrom="column">
                    <wp:posOffset>300990</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377FA">
              <w:rPr>
                <w:noProof/>
                <w:lang w:val="es-ES" w:eastAsia="en-CA"/>
              </w:rPr>
              <w:drawing>
                <wp:anchor distT="0" distB="0" distL="114300" distR="114300" simplePos="0" relativeHeight="251661312" behindDoc="1" locked="0" layoutInCell="0" allowOverlap="1" wp14:anchorId="29BF73D4" wp14:editId="30CB5FF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04" w:type="dxa"/>
            <w:tcBorders>
              <w:top w:val="nil"/>
              <w:left w:val="nil"/>
              <w:bottom w:val="single" w:sz="36" w:space="0" w:color="auto"/>
              <w:right w:val="nil"/>
            </w:tcBorders>
          </w:tcPr>
          <w:p w14:paraId="50665FE7" w14:textId="77777777" w:rsidR="003F00AA" w:rsidRDefault="003F00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A35F57D" w14:textId="33E0C15A" w:rsidR="0087455A" w:rsidRPr="006377F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377FA">
              <w:rPr>
                <w:rFonts w:ascii="Univers" w:hAnsi="Univers"/>
                <w:b/>
                <w:sz w:val="32"/>
                <w:lang w:val="es-ES"/>
              </w:rPr>
              <w:t>Programa de las</w:t>
            </w:r>
          </w:p>
          <w:p w14:paraId="23177369" w14:textId="77777777" w:rsidR="0087455A" w:rsidRPr="006377F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377FA">
              <w:rPr>
                <w:rFonts w:ascii="Univers" w:hAnsi="Univers"/>
                <w:b/>
                <w:sz w:val="32"/>
                <w:lang w:val="es-ES"/>
              </w:rPr>
              <w:t>Naciones Unidas</w:t>
            </w:r>
          </w:p>
          <w:p w14:paraId="55B3430F" w14:textId="77777777" w:rsidR="0087455A" w:rsidRPr="006377F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377FA">
              <w:rPr>
                <w:rFonts w:ascii="Univers" w:hAnsi="Univers"/>
                <w:b/>
                <w:sz w:val="32"/>
                <w:lang w:val="es-ES"/>
              </w:rPr>
              <w:t>para el Medio Ambiente</w:t>
            </w:r>
          </w:p>
          <w:p w14:paraId="59206DF7" w14:textId="77777777" w:rsidR="0087455A" w:rsidRPr="006377F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C277C90" w14:textId="77777777" w:rsidR="0087455A" w:rsidRPr="006377FA" w:rsidRDefault="0087455A">
            <w:pPr>
              <w:spacing w:before="720"/>
              <w:ind w:left="158"/>
              <w:rPr>
                <w:lang w:val="es-ES"/>
              </w:rPr>
            </w:pPr>
          </w:p>
        </w:tc>
        <w:tc>
          <w:tcPr>
            <w:tcW w:w="4154" w:type="dxa"/>
            <w:tcBorders>
              <w:top w:val="nil"/>
              <w:left w:val="nil"/>
              <w:bottom w:val="single" w:sz="36" w:space="0" w:color="auto"/>
              <w:right w:val="nil"/>
            </w:tcBorders>
          </w:tcPr>
          <w:p w14:paraId="1DB80917" w14:textId="77777777" w:rsidR="003F00AA" w:rsidRDefault="003F00AA">
            <w:pPr>
              <w:rPr>
                <w:lang w:val="es-ES"/>
              </w:rPr>
            </w:pPr>
          </w:p>
          <w:p w14:paraId="0A4986C3" w14:textId="027A0254" w:rsidR="0087455A" w:rsidRPr="006377FA" w:rsidRDefault="0024162E">
            <w:pPr>
              <w:rPr>
                <w:lang w:val="es-ES"/>
              </w:rPr>
            </w:pPr>
            <w:proofErr w:type="spellStart"/>
            <w:r w:rsidRPr="006377FA">
              <w:rPr>
                <w:lang w:val="es-ES"/>
              </w:rPr>
              <w:t>Distr</w:t>
            </w:r>
            <w:proofErr w:type="spellEnd"/>
            <w:r w:rsidRPr="006377FA">
              <w:rPr>
                <w:lang w:val="es-ES"/>
              </w:rPr>
              <w:t>.</w:t>
            </w:r>
          </w:p>
          <w:p w14:paraId="41C3ACAC" w14:textId="77777777" w:rsidR="0087455A" w:rsidRPr="006377FA" w:rsidRDefault="0024162E">
            <w:pPr>
              <w:rPr>
                <w:lang w:val="es-ES"/>
              </w:rPr>
            </w:pPr>
            <w:r w:rsidRPr="006377FA">
              <w:rPr>
                <w:lang w:val="es-ES"/>
              </w:rPr>
              <w:t>GENERAL</w:t>
            </w:r>
          </w:p>
          <w:p w14:paraId="0AC4276B" w14:textId="77777777" w:rsidR="0087455A" w:rsidRPr="006377FA" w:rsidRDefault="0087455A">
            <w:pPr>
              <w:rPr>
                <w:lang w:val="es-ES"/>
              </w:rPr>
            </w:pPr>
          </w:p>
          <w:p w14:paraId="2228DAB0" w14:textId="795D2161" w:rsidR="0087455A" w:rsidRPr="003F00AA" w:rsidRDefault="0024162E">
            <w:pPr>
              <w:rPr>
                <w:lang w:val="en-CA"/>
              </w:rPr>
            </w:pPr>
            <w:r w:rsidRPr="006377FA">
              <w:rPr>
                <w:lang w:val="es-ES"/>
              </w:rPr>
              <w:fldChar w:fldCharType="begin"/>
            </w:r>
            <w:r w:rsidRPr="003F00AA">
              <w:rPr>
                <w:lang w:val="en-CA"/>
              </w:rPr>
              <w:instrText xml:space="preserve"> DOCPROPERTY "Document number"  \* MERGEFORMAT </w:instrText>
            </w:r>
            <w:r w:rsidRPr="006377FA">
              <w:rPr>
                <w:lang w:val="es-ES"/>
              </w:rPr>
              <w:fldChar w:fldCharType="separate"/>
            </w:r>
            <w:r w:rsidR="00FF3295" w:rsidRPr="003F00AA">
              <w:rPr>
                <w:lang w:val="en-CA"/>
              </w:rPr>
              <w:t>UNEP/</w:t>
            </w:r>
            <w:proofErr w:type="spellStart"/>
            <w:r w:rsidR="00FF3295" w:rsidRPr="003F00AA">
              <w:rPr>
                <w:lang w:val="en-CA"/>
              </w:rPr>
              <w:t>OzL.Pro</w:t>
            </w:r>
            <w:proofErr w:type="spellEnd"/>
            <w:r w:rsidR="00FF3295" w:rsidRPr="003F00AA">
              <w:rPr>
                <w:lang w:val="en-CA"/>
              </w:rPr>
              <w:t>/ExCom/90/9/Add.1</w:t>
            </w:r>
            <w:r w:rsidRPr="006377FA">
              <w:rPr>
                <w:lang w:val="es-ES"/>
              </w:rPr>
              <w:fldChar w:fldCharType="end"/>
            </w:r>
          </w:p>
          <w:p w14:paraId="145A48DD" w14:textId="7EA401A8" w:rsidR="002959B4" w:rsidRPr="006377FA" w:rsidRDefault="002959B4" w:rsidP="002959B4">
            <w:pPr>
              <w:rPr>
                <w:lang w:val="es-ES"/>
              </w:rPr>
            </w:pPr>
            <w:r w:rsidRPr="006377FA">
              <w:rPr>
                <w:lang w:val="es-ES"/>
              </w:rPr>
              <w:fldChar w:fldCharType="begin"/>
            </w:r>
            <w:r w:rsidRPr="006377FA">
              <w:rPr>
                <w:lang w:val="es-ES"/>
              </w:rPr>
              <w:instrText xml:space="preserve"> DOCPROPERTY "Revision date" \@ "d MMMM YYYY"  \* MERGEFORMAT </w:instrText>
            </w:r>
            <w:r w:rsidRPr="006377FA">
              <w:rPr>
                <w:lang w:val="es-ES"/>
              </w:rPr>
              <w:fldChar w:fldCharType="separate"/>
            </w:r>
            <w:r w:rsidR="006377FA" w:rsidRPr="006377FA">
              <w:rPr>
                <w:lang w:val="es-ES"/>
              </w:rPr>
              <w:t>27</w:t>
            </w:r>
            <w:r w:rsidR="00B65EA2" w:rsidRPr="006377FA">
              <w:rPr>
                <w:lang w:val="es-ES"/>
              </w:rPr>
              <w:t xml:space="preserve"> </w:t>
            </w:r>
            <w:r w:rsidR="006377FA" w:rsidRPr="006377FA">
              <w:rPr>
                <w:lang w:val="es-ES"/>
              </w:rPr>
              <w:t>de mayo</w:t>
            </w:r>
            <w:r w:rsidR="00B65EA2" w:rsidRPr="006377FA">
              <w:rPr>
                <w:lang w:val="es-ES"/>
              </w:rPr>
              <w:t xml:space="preserve"> </w:t>
            </w:r>
            <w:r w:rsidR="006377FA" w:rsidRPr="006377FA">
              <w:rPr>
                <w:lang w:val="es-ES"/>
              </w:rPr>
              <w:t xml:space="preserve">de </w:t>
            </w:r>
            <w:r w:rsidR="00B65EA2" w:rsidRPr="006377FA">
              <w:rPr>
                <w:lang w:val="es-ES"/>
              </w:rPr>
              <w:t>2022</w:t>
            </w:r>
            <w:r w:rsidRPr="006377FA">
              <w:rPr>
                <w:lang w:val="es-ES"/>
              </w:rPr>
              <w:fldChar w:fldCharType="end"/>
            </w:r>
          </w:p>
          <w:p w14:paraId="66A9FF3B" w14:textId="77777777" w:rsidR="00114CAA" w:rsidRPr="006377FA" w:rsidRDefault="00114CAA">
            <w:pPr>
              <w:rPr>
                <w:caps/>
                <w:lang w:val="es-ES"/>
              </w:rPr>
            </w:pPr>
          </w:p>
          <w:p w14:paraId="22B15613" w14:textId="77777777" w:rsidR="0087455A" w:rsidRPr="006377FA" w:rsidRDefault="0024162E">
            <w:pPr>
              <w:rPr>
                <w:lang w:val="es-ES"/>
              </w:rPr>
            </w:pPr>
            <w:r w:rsidRPr="006377FA">
              <w:rPr>
                <w:lang w:val="es-ES"/>
              </w:rPr>
              <w:t xml:space="preserve">ESPAÑOL </w:t>
            </w:r>
          </w:p>
          <w:p w14:paraId="083FD000" w14:textId="77777777" w:rsidR="0087455A" w:rsidRPr="006377FA" w:rsidRDefault="0024162E">
            <w:pPr>
              <w:rPr>
                <w:lang w:val="es-ES"/>
              </w:rPr>
            </w:pPr>
            <w:r w:rsidRPr="006377FA">
              <w:rPr>
                <w:lang w:val="es-ES"/>
              </w:rPr>
              <w:t>ORIGINAL: INGLÉS</w:t>
            </w:r>
          </w:p>
        </w:tc>
      </w:tr>
    </w:tbl>
    <w:p w14:paraId="26D676B4" w14:textId="77777777" w:rsidR="002D5A1A" w:rsidRPr="006377FA" w:rsidRDefault="002D5A1A" w:rsidP="002D5A1A">
      <w:pPr>
        <w:jc w:val="left"/>
        <w:rPr>
          <w:lang w:val="es-ES"/>
        </w:rPr>
      </w:pPr>
      <w:r w:rsidRPr="006377FA">
        <w:rPr>
          <w:lang w:val="es-ES"/>
        </w:rPr>
        <w:t>COMITÉ EJECUTIVO DEL FONDO MULTILATERAL</w:t>
      </w:r>
      <w:r w:rsidRPr="006377FA">
        <w:rPr>
          <w:lang w:val="es-ES"/>
        </w:rPr>
        <w:br/>
        <w:t xml:space="preserve"> PARA LA APLICACIÓN DEL</w:t>
      </w:r>
      <w:r w:rsidRPr="006377FA">
        <w:rPr>
          <w:lang w:val="es-ES"/>
        </w:rPr>
        <w:br/>
        <w:t xml:space="preserve"> PROTOCOLO DE MONTREAL</w:t>
      </w:r>
      <w:r w:rsidRPr="006377FA">
        <w:rPr>
          <w:lang w:val="es-ES"/>
        </w:rPr>
        <w:br/>
      </w:r>
      <w:r w:rsidR="00AA29EB" w:rsidRPr="006377FA">
        <w:rPr>
          <w:lang w:val="es-ES"/>
        </w:rPr>
        <w:t>Nonagésima reunión</w:t>
      </w:r>
    </w:p>
    <w:p w14:paraId="0C94A791" w14:textId="77777777" w:rsidR="002D5A1A" w:rsidRPr="006377FA" w:rsidRDefault="002D5A1A" w:rsidP="002D5A1A">
      <w:pPr>
        <w:jc w:val="left"/>
        <w:rPr>
          <w:lang w:val="es-ES"/>
        </w:rPr>
      </w:pPr>
      <w:r w:rsidRPr="006377FA">
        <w:rPr>
          <w:lang w:val="es-ES"/>
        </w:rPr>
        <w:t xml:space="preserve">Montreal, </w:t>
      </w:r>
      <w:r w:rsidR="00AA29EB" w:rsidRPr="006377FA">
        <w:rPr>
          <w:lang w:val="es-ES"/>
        </w:rPr>
        <w:t>20</w:t>
      </w:r>
      <w:r w:rsidRPr="006377FA">
        <w:rPr>
          <w:lang w:val="es-ES"/>
        </w:rPr>
        <w:t>-</w:t>
      </w:r>
      <w:r w:rsidR="00AA29EB" w:rsidRPr="006377FA">
        <w:rPr>
          <w:lang w:val="es-ES"/>
        </w:rPr>
        <w:t>23</w:t>
      </w:r>
      <w:r w:rsidRPr="006377FA">
        <w:rPr>
          <w:lang w:val="es-ES"/>
        </w:rPr>
        <w:t xml:space="preserve"> de </w:t>
      </w:r>
      <w:r w:rsidR="00AA29EB" w:rsidRPr="006377FA">
        <w:rPr>
          <w:lang w:val="es-ES"/>
        </w:rPr>
        <w:t>junio</w:t>
      </w:r>
      <w:r w:rsidRPr="006377FA">
        <w:rPr>
          <w:lang w:val="es-ES"/>
        </w:rPr>
        <w:t xml:space="preserve"> de 2022</w:t>
      </w:r>
    </w:p>
    <w:p w14:paraId="4657C78C" w14:textId="77777777" w:rsidR="006377FA" w:rsidRPr="006377FA" w:rsidRDefault="006377FA" w:rsidP="006377FA">
      <w:pPr>
        <w:jc w:val="left"/>
        <w:rPr>
          <w:lang w:val="es-ES"/>
        </w:rPr>
      </w:pPr>
      <w:r w:rsidRPr="006377FA">
        <w:rPr>
          <w:lang w:val="es-ES"/>
        </w:rPr>
        <w:t>Cuestión 7 a) del orden del día</w:t>
      </w:r>
      <w:r w:rsidRPr="006377FA">
        <w:rPr>
          <w:rStyle w:val="FootnoteReference"/>
          <w:lang w:val="es-ES"/>
        </w:rPr>
        <w:footnoteReference w:id="1"/>
      </w:r>
    </w:p>
    <w:p w14:paraId="308F1C2E" w14:textId="77777777" w:rsidR="006377FA" w:rsidRPr="006377FA" w:rsidRDefault="006377FA" w:rsidP="006377FA">
      <w:pPr>
        <w:jc w:val="left"/>
        <w:rPr>
          <w:lang w:val="es-ES"/>
        </w:rPr>
      </w:pPr>
    </w:p>
    <w:p w14:paraId="7D38CDC6" w14:textId="77777777" w:rsidR="006377FA" w:rsidRPr="006377FA" w:rsidRDefault="006377FA" w:rsidP="006377FA">
      <w:pPr>
        <w:jc w:val="left"/>
        <w:rPr>
          <w:lang w:val="es-ES"/>
        </w:rPr>
      </w:pPr>
    </w:p>
    <w:p w14:paraId="073B268F" w14:textId="77777777" w:rsidR="006377FA" w:rsidRPr="006377FA" w:rsidRDefault="006377FA" w:rsidP="006377FA">
      <w:pPr>
        <w:jc w:val="center"/>
        <w:rPr>
          <w:b/>
          <w:lang w:val="es-ES"/>
        </w:rPr>
      </w:pPr>
      <w:proofErr w:type="spellStart"/>
      <w:r w:rsidRPr="006377FA">
        <w:rPr>
          <w:b/>
          <w:lang w:val="es-ES"/>
        </w:rPr>
        <w:t>Addendum</w:t>
      </w:r>
      <w:proofErr w:type="spellEnd"/>
    </w:p>
    <w:p w14:paraId="0342F8B8" w14:textId="77777777" w:rsidR="006377FA" w:rsidRPr="006377FA" w:rsidRDefault="006377FA" w:rsidP="006377FA">
      <w:pPr>
        <w:jc w:val="left"/>
        <w:rPr>
          <w:lang w:val="es-ES"/>
        </w:rPr>
      </w:pPr>
    </w:p>
    <w:p w14:paraId="3B4C6A3C" w14:textId="39E138DA" w:rsidR="006377FA" w:rsidRPr="006377FA" w:rsidRDefault="00FF3295" w:rsidP="006377FA">
      <w:pPr>
        <w:pStyle w:val="Title1"/>
        <w:rPr>
          <w:lang w:val="es-ES"/>
        </w:rPr>
      </w:pPr>
      <w:r w:rsidRPr="006377FA">
        <w:rPr>
          <w:caps w:val="0"/>
          <w:lang w:val="es-ES"/>
        </w:rPr>
        <w:t xml:space="preserve">INFORMES DE SITUACIÓN E INFORMES SOBRE PROYECTOS CON REQUISITOS ESPECÍFICOS DE PRESENTACIÓN DE INFORMES </w:t>
      </w:r>
    </w:p>
    <w:p w14:paraId="7D944CE6" w14:textId="77777777" w:rsidR="006377FA" w:rsidRPr="006377FA" w:rsidRDefault="006377FA" w:rsidP="006377FA">
      <w:pPr>
        <w:pStyle w:val="Title1"/>
        <w:rPr>
          <w:lang w:val="es-ES"/>
        </w:rPr>
      </w:pPr>
    </w:p>
    <w:p w14:paraId="3D5700E0" w14:textId="77777777" w:rsidR="006377FA" w:rsidRPr="006377FA" w:rsidRDefault="006377FA" w:rsidP="006377FA">
      <w:pPr>
        <w:rPr>
          <w:lang w:val="es-ES"/>
        </w:rPr>
      </w:pPr>
    </w:p>
    <w:p w14:paraId="4DC96BD0" w14:textId="77777777" w:rsidR="006377FA" w:rsidRPr="006377FA" w:rsidRDefault="006377FA" w:rsidP="006377FA">
      <w:pPr>
        <w:pStyle w:val="Heading1"/>
        <w:rPr>
          <w:lang w:val="es-ES"/>
        </w:rPr>
      </w:pPr>
      <w:r w:rsidRPr="006377FA">
        <w:rPr>
          <w:lang w:val="es-ES"/>
        </w:rPr>
        <w:t xml:space="preserve">El presente </w:t>
      </w:r>
      <w:proofErr w:type="spellStart"/>
      <w:r w:rsidRPr="006377FA">
        <w:rPr>
          <w:lang w:val="es-ES"/>
        </w:rPr>
        <w:t>addendum</w:t>
      </w:r>
      <w:proofErr w:type="spellEnd"/>
      <w:r w:rsidRPr="006377FA">
        <w:rPr>
          <w:lang w:val="es-ES"/>
        </w:rPr>
        <w:t xml:space="preserve"> incluye informes sobre proyectos con requisitos específicos de presentación de informes relativos a China que deben presentarse en la 90ª reunión.  Dos de ellos fueron aplazados desde la 86ª reunión.</w:t>
      </w:r>
    </w:p>
    <w:p w14:paraId="4339ED9E" w14:textId="77777777" w:rsidR="006377FA" w:rsidRPr="006377FA" w:rsidRDefault="006377FA" w:rsidP="006377FA">
      <w:pPr>
        <w:pStyle w:val="Heading1"/>
        <w:rPr>
          <w:lang w:val="es-ES"/>
        </w:rPr>
      </w:pPr>
      <w:r w:rsidRPr="006377FA">
        <w:rPr>
          <w:lang w:val="es-ES"/>
        </w:rPr>
        <w:t>El documento se divide en las siguientes cuatro partes:</w:t>
      </w:r>
    </w:p>
    <w:tbl>
      <w:tblPr>
        <w:tblStyle w:val="TableGrid10"/>
        <w:tblW w:w="8635" w:type="dxa"/>
        <w:tblInd w:w="720" w:type="dxa"/>
        <w:tblLayout w:type="fixed"/>
        <w:tblLook w:val="04A0" w:firstRow="1" w:lastRow="0" w:firstColumn="1" w:lastColumn="0" w:noHBand="0" w:noVBand="1"/>
      </w:tblPr>
      <w:tblGrid>
        <w:gridCol w:w="835"/>
        <w:gridCol w:w="6455"/>
        <w:gridCol w:w="1345"/>
      </w:tblGrid>
      <w:tr w:rsidR="006377FA" w:rsidRPr="006377FA" w14:paraId="6524B22C" w14:textId="77777777" w:rsidTr="007D2C0F">
        <w:trPr>
          <w:tblHeader/>
        </w:trPr>
        <w:tc>
          <w:tcPr>
            <w:tcW w:w="835" w:type="dxa"/>
          </w:tcPr>
          <w:p w14:paraId="205DA52F" w14:textId="77777777" w:rsidR="006377FA" w:rsidRPr="006377FA" w:rsidRDefault="006377FA" w:rsidP="007D2C0F">
            <w:pPr>
              <w:widowControl w:val="0"/>
              <w:jc w:val="left"/>
              <w:rPr>
                <w:b/>
                <w:lang w:val="es-ES"/>
              </w:rPr>
            </w:pPr>
            <w:r w:rsidRPr="006377FA">
              <w:rPr>
                <w:b/>
                <w:lang w:val="es-ES"/>
              </w:rPr>
              <w:t>Parte</w:t>
            </w:r>
          </w:p>
        </w:tc>
        <w:tc>
          <w:tcPr>
            <w:tcW w:w="6455" w:type="dxa"/>
            <w:vAlign w:val="center"/>
          </w:tcPr>
          <w:p w14:paraId="4396CD4C" w14:textId="77777777" w:rsidR="006377FA" w:rsidRPr="006377FA" w:rsidRDefault="006377FA" w:rsidP="007D2C0F">
            <w:pPr>
              <w:widowControl w:val="0"/>
              <w:jc w:val="center"/>
              <w:rPr>
                <w:b/>
                <w:lang w:val="es-ES"/>
              </w:rPr>
            </w:pPr>
            <w:r w:rsidRPr="006377FA">
              <w:rPr>
                <w:b/>
                <w:lang w:val="es-ES"/>
              </w:rPr>
              <w:t>Título del informe</w:t>
            </w:r>
          </w:p>
        </w:tc>
        <w:tc>
          <w:tcPr>
            <w:tcW w:w="1345" w:type="dxa"/>
            <w:vAlign w:val="center"/>
          </w:tcPr>
          <w:p w14:paraId="0B4EB28E" w14:textId="77777777" w:rsidR="006377FA" w:rsidRPr="006377FA" w:rsidRDefault="006377FA" w:rsidP="007D2C0F">
            <w:pPr>
              <w:widowControl w:val="0"/>
              <w:jc w:val="center"/>
              <w:rPr>
                <w:b/>
                <w:lang w:val="es-ES"/>
              </w:rPr>
            </w:pPr>
            <w:r w:rsidRPr="006377FA">
              <w:rPr>
                <w:b/>
                <w:lang w:val="es-ES"/>
              </w:rPr>
              <w:t>Párrafos</w:t>
            </w:r>
          </w:p>
        </w:tc>
      </w:tr>
      <w:tr w:rsidR="006377FA" w:rsidRPr="006377FA" w14:paraId="239BBA56" w14:textId="77777777" w:rsidTr="007D2C0F">
        <w:tc>
          <w:tcPr>
            <w:tcW w:w="835" w:type="dxa"/>
            <w:vAlign w:val="center"/>
          </w:tcPr>
          <w:p w14:paraId="4BD431DA" w14:textId="77777777" w:rsidR="006377FA" w:rsidRPr="006377FA" w:rsidRDefault="006377FA" w:rsidP="007D2C0F">
            <w:pPr>
              <w:widowControl w:val="0"/>
              <w:jc w:val="center"/>
              <w:rPr>
                <w:lang w:val="es-ES"/>
              </w:rPr>
            </w:pPr>
            <w:r w:rsidRPr="006377FA">
              <w:rPr>
                <w:lang w:val="es-ES"/>
              </w:rPr>
              <w:t>I</w:t>
            </w:r>
          </w:p>
        </w:tc>
        <w:tc>
          <w:tcPr>
            <w:tcW w:w="6455" w:type="dxa"/>
            <w:vAlign w:val="center"/>
          </w:tcPr>
          <w:p w14:paraId="2689594E" w14:textId="77777777" w:rsidR="006377FA" w:rsidRPr="006377FA" w:rsidRDefault="006377FA" w:rsidP="007D2C0F">
            <w:pPr>
              <w:widowControl w:val="0"/>
              <w:jc w:val="left"/>
              <w:rPr>
                <w:highlight w:val="yellow"/>
                <w:lang w:val="es-ES"/>
              </w:rPr>
            </w:pPr>
            <w:r w:rsidRPr="006377FA">
              <w:rPr>
                <w:lang w:val="es-ES"/>
              </w:rPr>
              <w:t>Informe sobre los progresos realizados en la ejecución de las actividades enumeradas en la decisión 83/41 e)</w:t>
            </w:r>
          </w:p>
        </w:tc>
        <w:tc>
          <w:tcPr>
            <w:tcW w:w="1345" w:type="dxa"/>
            <w:vAlign w:val="center"/>
          </w:tcPr>
          <w:p w14:paraId="7E33C865" w14:textId="77777777" w:rsidR="006377FA" w:rsidRPr="006377FA" w:rsidRDefault="006377FA" w:rsidP="007D2C0F">
            <w:pPr>
              <w:widowControl w:val="0"/>
              <w:jc w:val="center"/>
              <w:rPr>
                <w:lang w:val="es-ES"/>
              </w:rPr>
            </w:pPr>
            <w:r w:rsidRPr="006377FA">
              <w:rPr>
                <w:lang w:val="es-ES"/>
              </w:rPr>
              <w:t>3 a 6</w:t>
            </w:r>
          </w:p>
        </w:tc>
      </w:tr>
      <w:tr w:rsidR="006377FA" w:rsidRPr="006377FA" w14:paraId="7605CA96" w14:textId="77777777" w:rsidTr="007D2C0F">
        <w:tc>
          <w:tcPr>
            <w:tcW w:w="835" w:type="dxa"/>
            <w:vAlign w:val="center"/>
          </w:tcPr>
          <w:p w14:paraId="28484199" w14:textId="77777777" w:rsidR="006377FA" w:rsidRPr="006377FA" w:rsidRDefault="006377FA" w:rsidP="007D2C0F">
            <w:pPr>
              <w:widowControl w:val="0"/>
              <w:jc w:val="center"/>
              <w:rPr>
                <w:lang w:val="es-ES"/>
              </w:rPr>
            </w:pPr>
            <w:r w:rsidRPr="006377FA">
              <w:rPr>
                <w:lang w:val="es-ES"/>
              </w:rPr>
              <w:t>II</w:t>
            </w:r>
          </w:p>
        </w:tc>
        <w:tc>
          <w:tcPr>
            <w:tcW w:w="6455" w:type="dxa"/>
            <w:vAlign w:val="center"/>
          </w:tcPr>
          <w:p w14:paraId="77094194" w14:textId="77777777" w:rsidR="006377FA" w:rsidRPr="006377FA" w:rsidRDefault="006377FA" w:rsidP="007D2C0F">
            <w:pPr>
              <w:widowControl w:val="0"/>
              <w:jc w:val="left"/>
              <w:rPr>
                <w:lang w:val="es-ES"/>
              </w:rPr>
            </w:pPr>
            <w:r w:rsidRPr="006377FA">
              <w:rPr>
                <w:lang w:val="es-ES"/>
              </w:rPr>
              <w:t>Estudio para determinar las circunstancias reglamentarias, de fiscalización, de políticas públicas o de mercado que pueden haber generado la producción y uso ilícitos de CFC-11 y CFC-12 (decisión 83/41 d))</w:t>
            </w:r>
          </w:p>
        </w:tc>
        <w:tc>
          <w:tcPr>
            <w:tcW w:w="1345" w:type="dxa"/>
            <w:vAlign w:val="center"/>
          </w:tcPr>
          <w:p w14:paraId="3925B10B" w14:textId="77777777" w:rsidR="006377FA" w:rsidRPr="006377FA" w:rsidRDefault="006377FA" w:rsidP="007D2C0F">
            <w:pPr>
              <w:widowControl w:val="0"/>
              <w:jc w:val="center"/>
              <w:rPr>
                <w:lang w:val="es-ES"/>
              </w:rPr>
            </w:pPr>
            <w:r w:rsidRPr="006377FA">
              <w:rPr>
                <w:lang w:val="es-ES"/>
              </w:rPr>
              <w:t>7 y 8</w:t>
            </w:r>
          </w:p>
        </w:tc>
      </w:tr>
      <w:tr w:rsidR="006377FA" w:rsidRPr="006377FA" w14:paraId="1F616657" w14:textId="77777777" w:rsidTr="007D2C0F">
        <w:tc>
          <w:tcPr>
            <w:tcW w:w="835" w:type="dxa"/>
            <w:vAlign w:val="center"/>
          </w:tcPr>
          <w:p w14:paraId="5739C34B" w14:textId="77777777" w:rsidR="006377FA" w:rsidRPr="006377FA" w:rsidRDefault="006377FA" w:rsidP="007D2C0F">
            <w:pPr>
              <w:widowControl w:val="0"/>
              <w:jc w:val="center"/>
              <w:rPr>
                <w:lang w:val="es-ES"/>
              </w:rPr>
            </w:pPr>
            <w:r w:rsidRPr="006377FA">
              <w:rPr>
                <w:lang w:val="es-ES"/>
              </w:rPr>
              <w:t>III</w:t>
            </w:r>
          </w:p>
        </w:tc>
        <w:tc>
          <w:tcPr>
            <w:tcW w:w="6455" w:type="dxa"/>
            <w:vAlign w:val="center"/>
          </w:tcPr>
          <w:p w14:paraId="5E05F62D" w14:textId="77777777" w:rsidR="006377FA" w:rsidRPr="006377FA" w:rsidRDefault="006377FA" w:rsidP="007D2C0F">
            <w:pPr>
              <w:widowControl w:val="0"/>
              <w:jc w:val="left"/>
              <w:rPr>
                <w:highlight w:val="yellow"/>
                <w:lang w:val="es-ES"/>
              </w:rPr>
            </w:pPr>
            <w:r w:rsidRPr="006377FA">
              <w:rPr>
                <w:lang w:val="es-ES"/>
              </w:rPr>
              <w:t>Informe actualizado sobre la producción de CTC y sus usos como materia prima en China (decisión 84/41 b) y c))</w:t>
            </w:r>
          </w:p>
        </w:tc>
        <w:tc>
          <w:tcPr>
            <w:tcW w:w="1345" w:type="dxa"/>
            <w:vAlign w:val="center"/>
          </w:tcPr>
          <w:p w14:paraId="25C205B3" w14:textId="77777777" w:rsidR="006377FA" w:rsidRPr="006377FA" w:rsidRDefault="006377FA" w:rsidP="007D2C0F">
            <w:pPr>
              <w:widowControl w:val="0"/>
              <w:jc w:val="center"/>
              <w:rPr>
                <w:lang w:val="es-ES"/>
              </w:rPr>
            </w:pPr>
            <w:r w:rsidRPr="006377FA">
              <w:rPr>
                <w:lang w:val="es-ES"/>
              </w:rPr>
              <w:t>9 a 34</w:t>
            </w:r>
          </w:p>
        </w:tc>
      </w:tr>
      <w:tr w:rsidR="006377FA" w:rsidRPr="006377FA" w14:paraId="520B1905" w14:textId="77777777" w:rsidTr="007D2C0F">
        <w:tc>
          <w:tcPr>
            <w:tcW w:w="835" w:type="dxa"/>
            <w:vAlign w:val="center"/>
          </w:tcPr>
          <w:p w14:paraId="769FE7ED" w14:textId="77777777" w:rsidR="006377FA" w:rsidRPr="006377FA" w:rsidRDefault="006377FA" w:rsidP="007D2C0F">
            <w:pPr>
              <w:widowControl w:val="0"/>
              <w:jc w:val="center"/>
              <w:rPr>
                <w:lang w:val="es-ES"/>
              </w:rPr>
            </w:pPr>
            <w:r w:rsidRPr="006377FA">
              <w:rPr>
                <w:lang w:val="es-ES"/>
              </w:rPr>
              <w:t>IV</w:t>
            </w:r>
          </w:p>
        </w:tc>
        <w:tc>
          <w:tcPr>
            <w:tcW w:w="6455" w:type="dxa"/>
            <w:vAlign w:val="center"/>
          </w:tcPr>
          <w:p w14:paraId="6F916482" w14:textId="77777777" w:rsidR="006377FA" w:rsidRPr="006377FA" w:rsidRDefault="006377FA" w:rsidP="007D2C0F">
            <w:pPr>
              <w:widowControl w:val="0"/>
              <w:jc w:val="left"/>
              <w:rPr>
                <w:lang w:val="es-ES"/>
              </w:rPr>
            </w:pPr>
            <w:r w:rsidRPr="006377FA">
              <w:rPr>
                <w:lang w:val="es-ES"/>
              </w:rPr>
              <w:t>Informe sobre el desembolso de los costos adicionales de explotación de la etapa I del plan sectorial de refrigeración y aire acondicionado industrial y comercial en la etapa I del plan de gestión de la eliminación de los HCFC (decisión 88/66 c))</w:t>
            </w:r>
          </w:p>
        </w:tc>
        <w:tc>
          <w:tcPr>
            <w:tcW w:w="1345" w:type="dxa"/>
            <w:vAlign w:val="center"/>
          </w:tcPr>
          <w:p w14:paraId="37C9C158" w14:textId="77777777" w:rsidR="006377FA" w:rsidRPr="006377FA" w:rsidRDefault="006377FA" w:rsidP="007D2C0F">
            <w:pPr>
              <w:widowControl w:val="0"/>
              <w:jc w:val="center"/>
              <w:rPr>
                <w:lang w:val="es-ES"/>
              </w:rPr>
            </w:pPr>
            <w:r w:rsidRPr="006377FA">
              <w:rPr>
                <w:lang w:val="es-ES"/>
              </w:rPr>
              <w:t>35 a 43</w:t>
            </w:r>
          </w:p>
        </w:tc>
      </w:tr>
    </w:tbl>
    <w:p w14:paraId="0ECBBCAC" w14:textId="77777777" w:rsidR="006377FA" w:rsidRPr="006377FA" w:rsidRDefault="006377FA" w:rsidP="006377FA">
      <w:pPr>
        <w:jc w:val="left"/>
        <w:rPr>
          <w:lang w:val="es-ES"/>
        </w:rPr>
      </w:pPr>
    </w:p>
    <w:p w14:paraId="3911BC85" w14:textId="77777777" w:rsidR="006377FA" w:rsidRPr="006377FA" w:rsidRDefault="006377FA" w:rsidP="006377FA">
      <w:pPr>
        <w:jc w:val="left"/>
        <w:rPr>
          <w:lang w:val="es-ES"/>
        </w:rPr>
      </w:pPr>
    </w:p>
    <w:p w14:paraId="2F9484F6" w14:textId="77777777" w:rsidR="003A48DC" w:rsidRDefault="003A48DC" w:rsidP="003A48DC">
      <w:pPr>
        <w:spacing w:after="840"/>
        <w:ind w:left="1440" w:hanging="1440"/>
        <w:rPr>
          <w:b/>
          <w:lang w:val="es-ES"/>
        </w:rPr>
      </w:pPr>
    </w:p>
    <w:p w14:paraId="7DD17ACC" w14:textId="78B76B19" w:rsidR="006377FA" w:rsidRPr="006377FA" w:rsidRDefault="006377FA" w:rsidP="003A48DC">
      <w:pPr>
        <w:spacing w:after="240"/>
        <w:ind w:left="1440" w:hanging="1440"/>
        <w:rPr>
          <w:lang w:val="es-ES"/>
        </w:rPr>
      </w:pPr>
      <w:r w:rsidRPr="006377FA">
        <w:rPr>
          <w:b/>
          <w:lang w:val="es-ES"/>
        </w:rPr>
        <w:lastRenderedPageBreak/>
        <w:t xml:space="preserve">PARTE I: </w:t>
      </w:r>
      <w:r w:rsidRPr="006377FA">
        <w:rPr>
          <w:b/>
          <w:lang w:val="es-ES"/>
        </w:rPr>
        <w:tab/>
        <w:t>INFORME SOBRE LOS PROGRESOS REALIZADOS EN LA EJECUCIÓN DE LAS ACTIVIDADES ENUMERADAS EN LA DECISIÓN 83/41 e)</w:t>
      </w:r>
    </w:p>
    <w:p w14:paraId="6860CFEE" w14:textId="77777777" w:rsidR="006377FA" w:rsidRPr="006377FA" w:rsidRDefault="006377FA" w:rsidP="006377FA">
      <w:pPr>
        <w:rPr>
          <w:b/>
          <w:lang w:val="es-ES"/>
        </w:rPr>
      </w:pPr>
      <w:r w:rsidRPr="006377FA">
        <w:rPr>
          <w:b/>
          <w:lang w:val="es-ES"/>
        </w:rPr>
        <w:t xml:space="preserve">Antecedentes </w:t>
      </w:r>
    </w:p>
    <w:p w14:paraId="6515C5FC" w14:textId="77777777" w:rsidR="006377FA" w:rsidRPr="006377FA" w:rsidRDefault="006377FA" w:rsidP="006377FA">
      <w:pPr>
        <w:rPr>
          <w:lang w:val="es-ES"/>
        </w:rPr>
      </w:pPr>
    </w:p>
    <w:p w14:paraId="0F593D4D" w14:textId="77777777" w:rsidR="006377FA" w:rsidRPr="006377FA" w:rsidRDefault="006377FA" w:rsidP="006377FA">
      <w:pPr>
        <w:pStyle w:val="Heading1"/>
        <w:rPr>
          <w:lang w:val="es-ES"/>
        </w:rPr>
      </w:pPr>
      <w:r w:rsidRPr="006377FA">
        <w:rPr>
          <w:lang w:val="es-ES"/>
        </w:rPr>
        <w:t>En la 83ª reunión, el Comité Ejecutivo examinó los dos documentos siguientes:</w:t>
      </w:r>
    </w:p>
    <w:p w14:paraId="6D9163E6" w14:textId="77777777" w:rsidR="006377FA" w:rsidRPr="006377FA" w:rsidRDefault="006377FA" w:rsidP="006377FA">
      <w:pPr>
        <w:pStyle w:val="Heading2"/>
        <w:rPr>
          <w:lang w:val="es-ES"/>
        </w:rPr>
      </w:pPr>
      <w:r w:rsidRPr="006377FA">
        <w:rPr>
          <w:lang w:val="es-ES"/>
        </w:rPr>
        <w:t>Examen de los sistemas de supervisión, presentación de informes, verificación y observancia actuales de conformidad con los Acuerdos para el plan de gestión de la eliminación del consumo y la producción de HCFC entre el Gobierno de China y el Comité Ejecutivo, presentado por el PNUD en nombre del Gobierno de China, de conformidad con las decisiones 82/65 y 82/71 a); y</w:t>
      </w:r>
    </w:p>
    <w:p w14:paraId="7DB25FD8" w14:textId="77777777" w:rsidR="006377FA" w:rsidRPr="006377FA" w:rsidRDefault="006377FA" w:rsidP="006377FA">
      <w:pPr>
        <w:pStyle w:val="Heading2"/>
        <w:rPr>
          <w:lang w:val="es-ES"/>
        </w:rPr>
      </w:pPr>
      <w:r w:rsidRPr="006377FA">
        <w:rPr>
          <w:lang w:val="es-ES"/>
        </w:rPr>
        <w:t xml:space="preserve">Estudio teórico sobre el sistema actual de supervisión del consumo de agentes espumantes en las empresas que recibieron asistencia en la etapa I del plan de gestión de la eliminación de los HCFC y metodología de verificación, presentado por el Banco Mundial en nombre del Gobierno de China de conformidad con la decisión 82/67 c). </w:t>
      </w:r>
    </w:p>
    <w:p w14:paraId="3F13D3E2" w14:textId="77777777" w:rsidR="006377FA" w:rsidRPr="006377FA" w:rsidRDefault="006377FA" w:rsidP="006377FA">
      <w:pPr>
        <w:pStyle w:val="Heading1"/>
        <w:rPr>
          <w:lang w:val="es-ES"/>
        </w:rPr>
      </w:pPr>
      <w:r w:rsidRPr="006377FA">
        <w:rPr>
          <w:lang w:val="es-ES"/>
        </w:rPr>
        <w:t xml:space="preserve">En sus deliberaciones, el Comité, entre otras cosas, acogió con satisfacción una serie de medidas reglamentarias y de fiscalización que tomará el Gobierno de China; tomó nota con beneplácito de que el Gobierno de China emprenderá medidas adicionales en apoyo de sus medidas reglamentarias; y tomó nota con beneplácito también de que el Gobierno de China consideraría un conjunto de sugerencias orientadas a complementar y potenciar sus medidas reglamentarias y de fiscalización. </w:t>
      </w:r>
      <w:r w:rsidRPr="006377FA">
        <w:rPr>
          <w:lang w:val="es-ES"/>
        </w:rPr>
        <w:noBreakHyphen/>
        <w:t>El Comité Ejecutivo también tomó nota de que el Gobierno de China presentaría un informe en la 84ª reunión, y nuevamente en la 86ª reunión, sobre sus progresos en la ejecución de las actividades enumeradas en los párrafos a) a d) de la decisión 83/41.</w:t>
      </w:r>
    </w:p>
    <w:p w14:paraId="76B46D06" w14:textId="77777777" w:rsidR="006377FA" w:rsidRPr="006377FA" w:rsidRDefault="006377FA" w:rsidP="006377FA">
      <w:pPr>
        <w:pStyle w:val="Heading1"/>
        <w:rPr>
          <w:lang w:val="es-ES"/>
        </w:rPr>
      </w:pPr>
      <w:r w:rsidRPr="006377FA">
        <w:rPr>
          <w:lang w:val="es-ES"/>
        </w:rPr>
        <w:t>En su 84ª reunión, el Comité Ejecutivo examinó el informe sobre la marcha de las actividades presentado por el Gobierno de China de conformidad con la decisión 83/41 e)</w:t>
      </w:r>
      <w:r w:rsidRPr="006377FA">
        <w:rPr>
          <w:rStyle w:val="FootnoteReference"/>
          <w:lang w:val="es-ES"/>
        </w:rPr>
        <w:footnoteReference w:id="2"/>
      </w:r>
      <w:r w:rsidRPr="006377FA">
        <w:rPr>
          <w:lang w:val="es-ES"/>
        </w:rPr>
        <w:t>. Tras el debate, el Comité Ejecutivo tomó nota de la información proporcionada por el representante del Gobierno de China en relación con la ejecución de las actividades enumeradas en la decisión 83/41.</w:t>
      </w:r>
    </w:p>
    <w:p w14:paraId="02C77CEA" w14:textId="77777777" w:rsidR="006377FA" w:rsidRPr="006377FA" w:rsidRDefault="006377FA" w:rsidP="006377FA">
      <w:pPr>
        <w:pStyle w:val="Heading1"/>
        <w:rPr>
          <w:lang w:val="es-ES"/>
        </w:rPr>
      </w:pPr>
      <w:r w:rsidRPr="006377FA">
        <w:rPr>
          <w:lang w:val="es-ES"/>
        </w:rPr>
        <w:t>El Gobierno de China ha presentado a la 86ª reunión un informe sobre la marcha de las actividades en cumplimiento de la decisión 83/41. El Comité Ejecutivo aplazó el examen del informe sobre la marcha de las actividades hasta las reuniones 87ª, 88ª y 90ª, de conformidad con los procedimientos acordados para la celebración de dichas reuniones. El informe sobre la marcha de las actividades se adjunta íntegramente al presente documento sin edición o revisión.</w:t>
      </w:r>
    </w:p>
    <w:p w14:paraId="3A0FC8B1" w14:textId="77777777" w:rsidR="006377FA" w:rsidRPr="006377FA" w:rsidRDefault="006377FA" w:rsidP="006377FA">
      <w:pPr>
        <w:jc w:val="left"/>
        <w:rPr>
          <w:lang w:val="es-ES"/>
        </w:rPr>
      </w:pPr>
    </w:p>
    <w:p w14:paraId="0A93042D" w14:textId="77777777" w:rsidR="006377FA" w:rsidRPr="006377FA" w:rsidRDefault="006377FA" w:rsidP="006377FA">
      <w:pPr>
        <w:rPr>
          <w:lang w:val="es-ES"/>
        </w:rPr>
      </w:pPr>
    </w:p>
    <w:p w14:paraId="4513DC9B" w14:textId="77777777" w:rsidR="006377FA" w:rsidRPr="006377FA" w:rsidRDefault="006377FA" w:rsidP="006377FA">
      <w:pPr>
        <w:rPr>
          <w:lang w:val="es-ES"/>
        </w:rPr>
      </w:pPr>
    </w:p>
    <w:p w14:paraId="2603113C" w14:textId="77777777" w:rsidR="006377FA" w:rsidRPr="006377FA" w:rsidRDefault="006377FA" w:rsidP="006377FA">
      <w:pPr>
        <w:rPr>
          <w:lang w:val="es-ES"/>
        </w:rPr>
      </w:pPr>
      <w:r w:rsidRPr="006377FA">
        <w:rPr>
          <w:lang w:val="es-ES"/>
        </w:rPr>
        <w:br w:type="page"/>
      </w:r>
    </w:p>
    <w:p w14:paraId="5EB8E5FD" w14:textId="09E336E7" w:rsidR="006377FA" w:rsidRPr="006377FA" w:rsidRDefault="006377FA" w:rsidP="006377FA">
      <w:pPr>
        <w:spacing w:after="240"/>
        <w:ind w:left="1440" w:hanging="1440"/>
        <w:rPr>
          <w:b/>
          <w:lang w:val="es-ES"/>
        </w:rPr>
      </w:pPr>
      <w:r w:rsidRPr="006377FA">
        <w:rPr>
          <w:b/>
          <w:lang w:val="es-ES"/>
        </w:rPr>
        <w:t xml:space="preserve">PARTE II: </w:t>
      </w:r>
      <w:r w:rsidRPr="006377FA">
        <w:rPr>
          <w:b/>
          <w:lang w:val="es-ES"/>
        </w:rPr>
        <w:tab/>
        <w:t>ESTUDIO PARA DETERMINAR LAS CIRCUNSTANCIAS REGLAMENTARIAS, DE FISCALIZACIÓN, DE POLÍTICAS O DE MERCADO QUE EXPLICARÍAN LA PRODUCCIÓN Y USO ILÍCITO</w:t>
      </w:r>
      <w:r w:rsidR="00CD3B76">
        <w:rPr>
          <w:b/>
          <w:lang w:val="es-ES"/>
        </w:rPr>
        <w:t>S</w:t>
      </w:r>
      <w:r w:rsidRPr="006377FA">
        <w:rPr>
          <w:b/>
          <w:lang w:val="es-ES"/>
        </w:rPr>
        <w:t xml:space="preserve"> DE CFC-11 Y CFC-12 (DECISIÓN 83/41 d))</w:t>
      </w:r>
    </w:p>
    <w:p w14:paraId="765C07C7" w14:textId="77777777" w:rsidR="006377FA" w:rsidRPr="006377FA" w:rsidRDefault="006377FA" w:rsidP="006377FA">
      <w:pPr>
        <w:rPr>
          <w:b/>
          <w:lang w:val="es-ES"/>
        </w:rPr>
      </w:pPr>
      <w:r w:rsidRPr="006377FA">
        <w:rPr>
          <w:b/>
          <w:lang w:val="es-ES"/>
        </w:rPr>
        <w:t xml:space="preserve">Antecedentes </w:t>
      </w:r>
    </w:p>
    <w:p w14:paraId="43A35A93" w14:textId="77777777" w:rsidR="006377FA" w:rsidRPr="006377FA" w:rsidRDefault="006377FA" w:rsidP="006377FA">
      <w:pPr>
        <w:rPr>
          <w:lang w:val="es-ES"/>
        </w:rPr>
      </w:pPr>
    </w:p>
    <w:p w14:paraId="6CD687DA" w14:textId="77777777" w:rsidR="006377FA" w:rsidRPr="006377FA" w:rsidRDefault="006377FA" w:rsidP="006377FA">
      <w:pPr>
        <w:pStyle w:val="Heading1"/>
        <w:rPr>
          <w:lang w:val="es-ES"/>
        </w:rPr>
      </w:pPr>
      <w:r w:rsidRPr="006377FA">
        <w:rPr>
          <w:lang w:val="es-ES"/>
        </w:rPr>
        <w:t xml:space="preserve">En el contexto de sus debates sobre los sistemas de supervisión, presentación de informes, verificación y observancia de China en su 83ª reunión, el Comité Ejecutivo decidió, entre otras cosas, tomar nota de que el Gobierno de China considerará la posibilidad de contratar a un consultor no gubernamental para llevar a cabo un estudio (que incluya datos cuantitativos, cuando estén disponibles, e información cualitativa sobre el mercado) para determinar las circunstancias reglamentarias, de fiscalización, de políticas públicas o de mercado que explicarían la producción y uso ilícitos de CFC-11 y CFC-12 (decisión 83/41 d)). </w:t>
      </w:r>
    </w:p>
    <w:p w14:paraId="7D2696D9" w14:textId="77777777" w:rsidR="006377FA" w:rsidRPr="006377FA" w:rsidRDefault="006377FA" w:rsidP="006377FA">
      <w:pPr>
        <w:pStyle w:val="Heading1"/>
        <w:rPr>
          <w:lang w:val="es-ES"/>
        </w:rPr>
      </w:pPr>
      <w:r w:rsidRPr="006377FA">
        <w:rPr>
          <w:lang w:val="es-ES"/>
        </w:rPr>
        <w:t xml:space="preserve">De conformidad con la decisión 83/41 d), el Gobierno de China presentó a la 86ª reunión el estudio titulado </w:t>
      </w:r>
      <w:proofErr w:type="spellStart"/>
      <w:r w:rsidRPr="006377FA">
        <w:rPr>
          <w:i/>
          <w:iCs/>
          <w:lang w:val="es-ES"/>
        </w:rPr>
        <w:t>Study</w:t>
      </w:r>
      <w:proofErr w:type="spellEnd"/>
      <w:r w:rsidRPr="006377FA">
        <w:rPr>
          <w:i/>
          <w:iCs/>
          <w:lang w:val="es-ES"/>
        </w:rPr>
        <w:t xml:space="preserve"> </w:t>
      </w:r>
      <w:proofErr w:type="spellStart"/>
      <w:r w:rsidRPr="006377FA">
        <w:rPr>
          <w:i/>
          <w:iCs/>
          <w:lang w:val="es-ES"/>
        </w:rPr>
        <w:t>on</w:t>
      </w:r>
      <w:proofErr w:type="spellEnd"/>
      <w:r w:rsidRPr="006377FA">
        <w:rPr>
          <w:i/>
          <w:iCs/>
          <w:lang w:val="es-ES"/>
        </w:rPr>
        <w:t xml:space="preserve"> </w:t>
      </w:r>
      <w:proofErr w:type="spellStart"/>
      <w:r w:rsidRPr="006377FA">
        <w:rPr>
          <w:i/>
          <w:iCs/>
          <w:lang w:val="es-ES"/>
        </w:rPr>
        <w:t>the</w:t>
      </w:r>
      <w:proofErr w:type="spellEnd"/>
      <w:r w:rsidRPr="006377FA">
        <w:rPr>
          <w:i/>
          <w:iCs/>
          <w:lang w:val="es-ES"/>
        </w:rPr>
        <w:t xml:space="preserve"> </w:t>
      </w:r>
      <w:proofErr w:type="spellStart"/>
      <w:r w:rsidRPr="006377FA">
        <w:rPr>
          <w:i/>
          <w:iCs/>
          <w:lang w:val="es-ES"/>
        </w:rPr>
        <w:t>Supervision</w:t>
      </w:r>
      <w:proofErr w:type="spellEnd"/>
      <w:r w:rsidRPr="006377FA">
        <w:rPr>
          <w:i/>
          <w:iCs/>
          <w:lang w:val="es-ES"/>
        </w:rPr>
        <w:t xml:space="preserve">, </w:t>
      </w:r>
      <w:proofErr w:type="spellStart"/>
      <w:r w:rsidRPr="006377FA">
        <w:rPr>
          <w:i/>
          <w:iCs/>
          <w:lang w:val="es-ES"/>
        </w:rPr>
        <w:t>Law</w:t>
      </w:r>
      <w:proofErr w:type="spellEnd"/>
      <w:r w:rsidRPr="006377FA">
        <w:rPr>
          <w:i/>
          <w:iCs/>
          <w:lang w:val="es-ES"/>
        </w:rPr>
        <w:t xml:space="preserve"> </w:t>
      </w:r>
      <w:proofErr w:type="spellStart"/>
      <w:r w:rsidRPr="006377FA">
        <w:rPr>
          <w:i/>
          <w:iCs/>
          <w:lang w:val="es-ES"/>
        </w:rPr>
        <w:t>Enforcement</w:t>
      </w:r>
      <w:proofErr w:type="spellEnd"/>
      <w:r w:rsidRPr="006377FA">
        <w:rPr>
          <w:i/>
          <w:iCs/>
          <w:lang w:val="es-ES"/>
        </w:rPr>
        <w:t xml:space="preserve">, </w:t>
      </w:r>
      <w:proofErr w:type="spellStart"/>
      <w:r w:rsidRPr="006377FA">
        <w:rPr>
          <w:i/>
          <w:iCs/>
          <w:lang w:val="es-ES"/>
        </w:rPr>
        <w:t>Policy</w:t>
      </w:r>
      <w:proofErr w:type="spellEnd"/>
      <w:r w:rsidRPr="006377FA">
        <w:rPr>
          <w:i/>
          <w:iCs/>
          <w:lang w:val="es-ES"/>
        </w:rPr>
        <w:t xml:space="preserve"> and </w:t>
      </w:r>
      <w:proofErr w:type="spellStart"/>
      <w:r w:rsidRPr="006377FA">
        <w:rPr>
          <w:i/>
          <w:iCs/>
          <w:lang w:val="es-ES"/>
        </w:rPr>
        <w:t>Market</w:t>
      </w:r>
      <w:proofErr w:type="spellEnd"/>
      <w:r w:rsidRPr="006377FA">
        <w:rPr>
          <w:i/>
          <w:iCs/>
          <w:lang w:val="es-ES"/>
        </w:rPr>
        <w:t xml:space="preserve"> </w:t>
      </w:r>
      <w:proofErr w:type="spellStart"/>
      <w:r w:rsidRPr="006377FA">
        <w:rPr>
          <w:i/>
          <w:iCs/>
          <w:lang w:val="es-ES"/>
        </w:rPr>
        <w:t>Situation</w:t>
      </w:r>
      <w:proofErr w:type="spellEnd"/>
      <w:r w:rsidRPr="006377FA">
        <w:rPr>
          <w:i/>
          <w:iCs/>
          <w:lang w:val="es-ES"/>
        </w:rPr>
        <w:t xml:space="preserve"> </w:t>
      </w:r>
      <w:proofErr w:type="spellStart"/>
      <w:r w:rsidRPr="006377FA">
        <w:rPr>
          <w:i/>
          <w:iCs/>
          <w:lang w:val="es-ES"/>
        </w:rPr>
        <w:t>of</w:t>
      </w:r>
      <w:proofErr w:type="spellEnd"/>
      <w:r w:rsidRPr="006377FA">
        <w:rPr>
          <w:i/>
          <w:iCs/>
          <w:lang w:val="es-ES"/>
        </w:rPr>
        <w:t xml:space="preserve"> Ozone </w:t>
      </w:r>
      <w:proofErr w:type="spellStart"/>
      <w:r w:rsidRPr="006377FA">
        <w:rPr>
          <w:i/>
          <w:iCs/>
          <w:lang w:val="es-ES"/>
        </w:rPr>
        <w:t>Depleting</w:t>
      </w:r>
      <w:proofErr w:type="spellEnd"/>
      <w:r w:rsidRPr="006377FA">
        <w:rPr>
          <w:i/>
          <w:iCs/>
          <w:lang w:val="es-ES"/>
        </w:rPr>
        <w:t xml:space="preserve"> </w:t>
      </w:r>
      <w:proofErr w:type="spellStart"/>
      <w:r w:rsidRPr="006377FA">
        <w:rPr>
          <w:i/>
          <w:iCs/>
          <w:lang w:val="es-ES"/>
        </w:rPr>
        <w:t>Substances</w:t>
      </w:r>
      <w:proofErr w:type="spellEnd"/>
      <w:r w:rsidRPr="006377FA">
        <w:rPr>
          <w:i/>
          <w:iCs/>
          <w:lang w:val="es-ES"/>
        </w:rPr>
        <w:t xml:space="preserve"> in China</w:t>
      </w:r>
      <w:r w:rsidRPr="006377FA">
        <w:rPr>
          <w:lang w:val="es-ES"/>
        </w:rPr>
        <w:t xml:space="preserve"> (Estudio sobre la supervisión, aplicación de la ley, políticas públicas y situación del mercado de las sustancias que agotan la capa de ozono en China), que fue preparado por un consultor no gubernamental. El Comité Ejecutivo aplazó el examen del estudio hasta las reuniones 87ª, 88ª y 90ª, de conformidad con los procedimientos acordados para la celebración de dichas reuniones. El estudio se adjunta íntegramente al presente documento sin edición o revisión.</w:t>
      </w:r>
    </w:p>
    <w:p w14:paraId="4C760F52" w14:textId="77777777" w:rsidR="006377FA" w:rsidRPr="006377FA" w:rsidRDefault="006377FA" w:rsidP="006377FA">
      <w:pPr>
        <w:rPr>
          <w:lang w:val="es-ES"/>
        </w:rPr>
      </w:pPr>
    </w:p>
    <w:p w14:paraId="6836ACCE" w14:textId="77777777" w:rsidR="006377FA" w:rsidRPr="006377FA" w:rsidRDefault="006377FA" w:rsidP="006377FA">
      <w:pPr>
        <w:jc w:val="left"/>
        <w:rPr>
          <w:lang w:val="es-ES"/>
        </w:rPr>
      </w:pPr>
      <w:r w:rsidRPr="006377FA">
        <w:rPr>
          <w:lang w:val="es-ES"/>
        </w:rPr>
        <w:br w:type="page"/>
      </w:r>
    </w:p>
    <w:p w14:paraId="149049E2" w14:textId="77777777" w:rsidR="006377FA" w:rsidRPr="006377FA" w:rsidRDefault="006377FA" w:rsidP="003A48DC">
      <w:pPr>
        <w:ind w:left="1350" w:hanging="1350"/>
        <w:rPr>
          <w:b/>
          <w:lang w:val="es-ES"/>
        </w:rPr>
      </w:pPr>
      <w:bookmarkStart w:id="0" w:name="_Hlk103687701"/>
      <w:r w:rsidRPr="006377FA">
        <w:rPr>
          <w:b/>
          <w:lang w:val="es-ES"/>
        </w:rPr>
        <w:t>PARTE III:</w:t>
      </w:r>
      <w:r w:rsidRPr="006377FA">
        <w:rPr>
          <w:b/>
          <w:lang w:val="es-ES"/>
        </w:rPr>
        <w:tab/>
        <w:t>INFORME ACTUALIZADO SOBRE LA PRODUCCIÓN DE CTC Y SUS USOS COMO MATERIA PRIMA EN CHINA (DECISIÓN 84/41 b) Y c))</w:t>
      </w:r>
    </w:p>
    <w:bookmarkEnd w:id="0"/>
    <w:p w14:paraId="7E6F1DEB" w14:textId="77777777" w:rsidR="006377FA" w:rsidRPr="006377FA" w:rsidRDefault="006377FA" w:rsidP="006377FA">
      <w:pPr>
        <w:jc w:val="left"/>
        <w:rPr>
          <w:u w:val="single"/>
          <w:lang w:val="es-ES"/>
        </w:rPr>
      </w:pPr>
    </w:p>
    <w:p w14:paraId="07DBB0C4" w14:textId="77777777" w:rsidR="006377FA" w:rsidRPr="006377FA" w:rsidRDefault="006377FA" w:rsidP="006377FA">
      <w:pPr>
        <w:rPr>
          <w:b/>
          <w:lang w:val="es-ES"/>
        </w:rPr>
      </w:pPr>
      <w:r w:rsidRPr="006377FA">
        <w:rPr>
          <w:b/>
          <w:lang w:val="es-ES"/>
        </w:rPr>
        <w:t>Antecedentes</w:t>
      </w:r>
    </w:p>
    <w:p w14:paraId="1219145D" w14:textId="77777777" w:rsidR="006377FA" w:rsidRPr="006377FA" w:rsidRDefault="006377FA" w:rsidP="006377FA">
      <w:pPr>
        <w:rPr>
          <w:u w:val="single"/>
          <w:lang w:val="es-ES"/>
        </w:rPr>
      </w:pPr>
    </w:p>
    <w:p w14:paraId="672F005C" w14:textId="77777777" w:rsidR="006377FA" w:rsidRPr="006377FA" w:rsidRDefault="006377FA" w:rsidP="006377FA">
      <w:pPr>
        <w:numPr>
          <w:ilvl w:val="0"/>
          <w:numId w:val="1"/>
        </w:numPr>
        <w:spacing w:after="240"/>
        <w:outlineLvl w:val="0"/>
        <w:rPr>
          <w:lang w:val="es-ES"/>
        </w:rPr>
      </w:pPr>
      <w:r w:rsidRPr="006377FA">
        <w:rPr>
          <w:lang w:val="es-ES"/>
        </w:rPr>
        <w:t>En su 84ª reunión, el Comité Ejecutivo examinó el informe sobre la producción de CTC y sus usos como materia prima en China (decisión 75/18 b) </w:t>
      </w:r>
      <w:proofErr w:type="spellStart"/>
      <w:r w:rsidRPr="006377FA">
        <w:rPr>
          <w:lang w:val="es-ES"/>
        </w:rPr>
        <w:t>iii</w:t>
      </w:r>
      <w:proofErr w:type="spellEnd"/>
      <w:r w:rsidRPr="006377FA">
        <w:rPr>
          <w:lang w:val="es-ES"/>
        </w:rPr>
        <w:t>)) que figuraba en los documentos UNEP/</w:t>
      </w:r>
      <w:proofErr w:type="spellStart"/>
      <w:r w:rsidRPr="006377FA">
        <w:rPr>
          <w:lang w:val="es-ES"/>
        </w:rPr>
        <w:t>OzL.Pro</w:t>
      </w:r>
      <w:proofErr w:type="spellEnd"/>
      <w:r w:rsidRPr="006377FA">
        <w:rPr>
          <w:lang w:val="es-ES"/>
        </w:rPr>
        <w:t>/</w:t>
      </w:r>
      <w:proofErr w:type="spellStart"/>
      <w:r w:rsidRPr="006377FA">
        <w:rPr>
          <w:lang w:val="es-ES"/>
        </w:rPr>
        <w:t>ExCom</w:t>
      </w:r>
      <w:proofErr w:type="spellEnd"/>
      <w:r w:rsidRPr="006377FA">
        <w:rPr>
          <w:lang w:val="es-ES"/>
        </w:rPr>
        <w:t>/84/22/Add.2 y Add.3 y, tras un debate, decidió, entre otras cosas, invitar al Gobierno de China, a través del Banco Mundial, a que presente a la 88ª reunión un informe actualizado sobre la producción de CTC y sus usos como materia prima en el país, teniendo en cuenta la información que figuraba en los documentos UNEP/</w:t>
      </w:r>
      <w:proofErr w:type="spellStart"/>
      <w:r w:rsidRPr="006377FA">
        <w:rPr>
          <w:lang w:val="es-ES"/>
        </w:rPr>
        <w:t>OzL.Pro</w:t>
      </w:r>
      <w:proofErr w:type="spellEnd"/>
      <w:r w:rsidRPr="006377FA">
        <w:rPr>
          <w:lang w:val="es-ES"/>
        </w:rPr>
        <w:t>/</w:t>
      </w:r>
      <w:proofErr w:type="spellStart"/>
      <w:r w:rsidRPr="006377FA">
        <w:rPr>
          <w:lang w:val="es-ES"/>
        </w:rPr>
        <w:t>ExCom</w:t>
      </w:r>
      <w:proofErr w:type="spellEnd"/>
      <w:r w:rsidRPr="006377FA">
        <w:rPr>
          <w:lang w:val="es-ES"/>
        </w:rPr>
        <w:t xml:space="preserve">/84/22/Add.2 y Add.3, y que incluyera: i) una actualización de los avances en la supervisión de las plantas de </w:t>
      </w:r>
      <w:proofErr w:type="spellStart"/>
      <w:r w:rsidRPr="006377FA">
        <w:rPr>
          <w:lang w:val="es-ES"/>
        </w:rPr>
        <w:t>percloroetileno</w:t>
      </w:r>
      <w:proofErr w:type="spellEnd"/>
      <w:r w:rsidRPr="006377FA">
        <w:rPr>
          <w:lang w:val="es-ES"/>
        </w:rPr>
        <w:t xml:space="preserve"> (PCE) que utilizaban el proceso de cloración con alcanos; </w:t>
      </w:r>
      <w:proofErr w:type="spellStart"/>
      <w:r w:rsidRPr="006377FA">
        <w:rPr>
          <w:lang w:val="es-ES"/>
        </w:rPr>
        <w:t>ii</w:t>
      </w:r>
      <w:proofErr w:type="spellEnd"/>
      <w:r w:rsidRPr="006377FA">
        <w:rPr>
          <w:lang w:val="es-ES"/>
        </w:rPr>
        <w:t>) cualquier información adicional pertinente en cuanto a la diferencia de emisiones descrita en el informe, y las emisiones estimadas de CTC de China incluidas en la sección 1.2.3 de la Evaluación científica del agotamiento del ozono: 2018</w:t>
      </w:r>
      <w:r w:rsidRPr="006377FA">
        <w:rPr>
          <w:rStyle w:val="FootnoteReference"/>
          <w:lang w:val="es-ES"/>
        </w:rPr>
        <w:footnoteReference w:id="3"/>
      </w:r>
      <w:r w:rsidRPr="006377FA">
        <w:rPr>
          <w:lang w:val="es-ES"/>
        </w:rPr>
        <w:t>; y tomar nota de que el Gobierno de China estaba estudiando supervisar el PCE que utilizaba el proceso de cloración con alcanos, e invitar al Gobierno a incluir en el informe actualizado las medidas adoptadas al respecto (decisión 84/41).</w:t>
      </w:r>
    </w:p>
    <w:p w14:paraId="112DBBB1" w14:textId="77777777" w:rsidR="006377FA" w:rsidRPr="006377FA" w:rsidRDefault="006377FA" w:rsidP="006377FA">
      <w:pPr>
        <w:numPr>
          <w:ilvl w:val="0"/>
          <w:numId w:val="1"/>
        </w:numPr>
        <w:spacing w:after="240"/>
        <w:outlineLvl w:val="0"/>
        <w:rPr>
          <w:lang w:val="es-ES"/>
        </w:rPr>
      </w:pPr>
      <w:r w:rsidRPr="006377FA">
        <w:rPr>
          <w:lang w:val="es-ES"/>
        </w:rPr>
        <w:t>El Gobierno de China, a través del Banco Mundial, presentó el informe actualizado sobre la producción de CTC y sus usos como materia prima en China</w:t>
      </w:r>
      <w:r w:rsidRPr="006377FA">
        <w:rPr>
          <w:rStyle w:val="FootnoteReference"/>
          <w:lang w:val="es-ES"/>
        </w:rPr>
        <w:footnoteReference w:id="4"/>
      </w:r>
      <w:r w:rsidRPr="006377FA">
        <w:rPr>
          <w:lang w:val="es-ES"/>
        </w:rPr>
        <w:t xml:space="preserve"> el 20 de septiembre de 2020. Dado el escaso tiempo disponible antes de la 88ª reunión, y de conformidad con la decisión 84/41, la Secretaría emprendió un examen preliminar del informe actualizado, que figura en la Parte IV del documento UNEP/</w:t>
      </w:r>
      <w:proofErr w:type="spellStart"/>
      <w:r w:rsidRPr="006377FA">
        <w:rPr>
          <w:lang w:val="es-ES"/>
        </w:rPr>
        <w:t>OzL.Pro</w:t>
      </w:r>
      <w:proofErr w:type="spellEnd"/>
      <w:r w:rsidRPr="006377FA">
        <w:rPr>
          <w:lang w:val="es-ES"/>
        </w:rPr>
        <w:t>/</w:t>
      </w:r>
      <w:proofErr w:type="spellStart"/>
      <w:r w:rsidRPr="006377FA">
        <w:rPr>
          <w:lang w:val="es-ES"/>
        </w:rPr>
        <w:t>ExCom</w:t>
      </w:r>
      <w:proofErr w:type="spellEnd"/>
      <w:r w:rsidRPr="006377FA">
        <w:rPr>
          <w:lang w:val="es-ES"/>
        </w:rPr>
        <w:t xml:space="preserve">/88/18/Add.1; el presente documento contiene el examen de la Secretaría del informe actualizado. </w:t>
      </w:r>
    </w:p>
    <w:p w14:paraId="228628DB" w14:textId="77777777" w:rsidR="006377FA" w:rsidRPr="006377FA" w:rsidRDefault="006377FA" w:rsidP="006377FA">
      <w:pPr>
        <w:contextualSpacing/>
        <w:jc w:val="left"/>
        <w:rPr>
          <w:b/>
          <w:lang w:val="es-ES"/>
        </w:rPr>
      </w:pPr>
      <w:r w:rsidRPr="006377FA">
        <w:rPr>
          <w:b/>
          <w:lang w:val="es-ES"/>
        </w:rPr>
        <w:t>Informe actualizado</w:t>
      </w:r>
    </w:p>
    <w:p w14:paraId="0FDA0BD7" w14:textId="77777777" w:rsidR="006377FA" w:rsidRPr="006377FA" w:rsidRDefault="006377FA" w:rsidP="006377FA">
      <w:pPr>
        <w:outlineLvl w:val="0"/>
        <w:rPr>
          <w:b/>
          <w:caps/>
          <w:lang w:val="es-ES"/>
        </w:rPr>
      </w:pPr>
    </w:p>
    <w:p w14:paraId="3B04E603" w14:textId="77777777" w:rsidR="006377FA" w:rsidRPr="006377FA" w:rsidRDefault="006377FA" w:rsidP="006377FA">
      <w:pPr>
        <w:rPr>
          <w:u w:val="single"/>
          <w:lang w:val="es-ES"/>
        </w:rPr>
      </w:pPr>
      <w:r w:rsidRPr="006377FA">
        <w:rPr>
          <w:u w:val="single"/>
          <w:lang w:val="es-ES"/>
        </w:rPr>
        <w:t xml:space="preserve">Producción de </w:t>
      </w:r>
      <w:proofErr w:type="spellStart"/>
      <w:r w:rsidRPr="006377FA">
        <w:rPr>
          <w:u w:val="single"/>
          <w:lang w:val="es-ES"/>
        </w:rPr>
        <w:t>clorometano</w:t>
      </w:r>
      <w:proofErr w:type="spellEnd"/>
      <w:r w:rsidRPr="006377FA">
        <w:rPr>
          <w:u w:val="single"/>
          <w:lang w:val="es-ES"/>
        </w:rPr>
        <w:t xml:space="preserve"> (CM) y CTC</w:t>
      </w:r>
    </w:p>
    <w:p w14:paraId="45F8CFB1" w14:textId="77777777" w:rsidR="006377FA" w:rsidRPr="006377FA" w:rsidRDefault="006377FA" w:rsidP="006377FA">
      <w:pPr>
        <w:rPr>
          <w:lang w:val="es-ES"/>
        </w:rPr>
      </w:pPr>
    </w:p>
    <w:p w14:paraId="75448187" w14:textId="77777777" w:rsidR="006377FA" w:rsidRPr="006377FA" w:rsidRDefault="006377FA" w:rsidP="006377FA">
      <w:pPr>
        <w:numPr>
          <w:ilvl w:val="0"/>
          <w:numId w:val="1"/>
        </w:numPr>
        <w:spacing w:after="240"/>
        <w:outlineLvl w:val="0"/>
        <w:rPr>
          <w:lang w:val="es-ES"/>
        </w:rPr>
      </w:pPr>
      <w:r w:rsidRPr="006377FA">
        <w:rPr>
          <w:lang w:val="es-ES"/>
        </w:rPr>
        <w:t>La producción de CM</w:t>
      </w:r>
      <w:r w:rsidRPr="006377FA">
        <w:rPr>
          <w:rStyle w:val="FootnoteReference"/>
          <w:lang w:val="es-ES"/>
        </w:rPr>
        <w:footnoteReference w:id="5"/>
      </w:r>
      <w:r w:rsidRPr="006377FA">
        <w:rPr>
          <w:lang w:val="es-ES"/>
        </w:rPr>
        <w:t xml:space="preserve"> y CTC aumentó constantemente entre 2015 y 2019. En 2019, había 16 empresas productoras de CM con una capacidad de producción total de 2 730 000 toneladas anuales. Los niveles de producción de CM y CTC se indican en el Cuadro 1.</w:t>
      </w:r>
    </w:p>
    <w:p w14:paraId="602A1C24" w14:textId="77777777" w:rsidR="006377FA" w:rsidRPr="006377FA" w:rsidRDefault="006377FA" w:rsidP="006377FA">
      <w:pPr>
        <w:rPr>
          <w:b/>
          <w:lang w:val="es-ES"/>
        </w:rPr>
      </w:pPr>
      <w:r w:rsidRPr="006377FA">
        <w:rPr>
          <w:b/>
          <w:lang w:val="es-ES"/>
        </w:rPr>
        <w:t>Cuadro 1. Producción de CM y CTC en China en toneladas métricas (</w:t>
      </w:r>
      <w:proofErr w:type="spellStart"/>
      <w:r w:rsidRPr="006377FA">
        <w:rPr>
          <w:b/>
          <w:lang w:val="es-ES"/>
        </w:rPr>
        <w:t>tm</w:t>
      </w:r>
      <w:proofErr w:type="spellEnd"/>
      <w:r w:rsidRPr="006377FA">
        <w:rPr>
          <w:b/>
          <w:lang w:val="es-ES"/>
        </w:rPr>
        <w:t>)</w:t>
      </w:r>
    </w:p>
    <w:tbl>
      <w:tblPr>
        <w:tblW w:w="5000" w:type="pct"/>
        <w:tblLook w:val="04A0" w:firstRow="1" w:lastRow="0" w:firstColumn="1" w:lastColumn="0" w:noHBand="0" w:noVBand="1"/>
      </w:tblPr>
      <w:tblGrid>
        <w:gridCol w:w="3092"/>
        <w:gridCol w:w="1327"/>
        <w:gridCol w:w="1327"/>
        <w:gridCol w:w="1325"/>
        <w:gridCol w:w="1327"/>
        <w:gridCol w:w="1178"/>
      </w:tblGrid>
      <w:tr w:rsidR="006377FA" w:rsidRPr="006377FA" w14:paraId="2BA65B9A" w14:textId="77777777" w:rsidTr="007D2C0F">
        <w:tc>
          <w:tcPr>
            <w:tcW w:w="16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8673E9" w14:textId="77777777" w:rsidR="006377FA" w:rsidRPr="006377FA" w:rsidRDefault="006377FA" w:rsidP="007D2C0F">
            <w:pPr>
              <w:jc w:val="left"/>
              <w:rPr>
                <w:b/>
                <w:sz w:val="20"/>
                <w:szCs w:val="20"/>
                <w:lang w:val="es-ES"/>
              </w:rPr>
            </w:pPr>
            <w:r w:rsidRPr="006377FA">
              <w:rPr>
                <w:b/>
                <w:sz w:val="20"/>
                <w:lang w:val="es-ES"/>
              </w:rPr>
              <w:t xml:space="preserve">Detalles específicos </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14:paraId="23197B87" w14:textId="77777777" w:rsidR="006377FA" w:rsidRPr="006377FA" w:rsidRDefault="006377FA" w:rsidP="007D2C0F">
            <w:pPr>
              <w:jc w:val="center"/>
              <w:rPr>
                <w:b/>
                <w:sz w:val="20"/>
                <w:szCs w:val="20"/>
                <w:lang w:val="es-ES"/>
              </w:rPr>
            </w:pPr>
            <w:r w:rsidRPr="006377FA">
              <w:rPr>
                <w:b/>
                <w:sz w:val="20"/>
                <w:lang w:val="es-ES"/>
              </w:rPr>
              <w:t>2015</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14:paraId="23A4A144" w14:textId="77777777" w:rsidR="006377FA" w:rsidRPr="006377FA" w:rsidRDefault="006377FA" w:rsidP="007D2C0F">
            <w:pPr>
              <w:jc w:val="center"/>
              <w:rPr>
                <w:b/>
                <w:sz w:val="20"/>
                <w:szCs w:val="20"/>
                <w:lang w:val="es-ES"/>
              </w:rPr>
            </w:pPr>
            <w:r w:rsidRPr="006377FA">
              <w:rPr>
                <w:b/>
                <w:sz w:val="20"/>
                <w:lang w:val="es-ES"/>
              </w:rPr>
              <w:t>2016</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14:paraId="7DCB8285" w14:textId="77777777" w:rsidR="006377FA" w:rsidRPr="006377FA" w:rsidRDefault="006377FA" w:rsidP="007D2C0F">
            <w:pPr>
              <w:jc w:val="center"/>
              <w:rPr>
                <w:b/>
                <w:sz w:val="20"/>
                <w:szCs w:val="20"/>
                <w:lang w:val="es-ES"/>
              </w:rPr>
            </w:pPr>
            <w:r w:rsidRPr="006377FA">
              <w:rPr>
                <w:b/>
                <w:sz w:val="20"/>
                <w:lang w:val="es-ES"/>
              </w:rPr>
              <w:t>2017</w:t>
            </w:r>
          </w:p>
        </w:tc>
        <w:tc>
          <w:tcPr>
            <w:tcW w:w="693" w:type="pct"/>
            <w:tcBorders>
              <w:top w:val="single" w:sz="4" w:space="0" w:color="auto"/>
              <w:left w:val="nil"/>
              <w:bottom w:val="single" w:sz="4" w:space="0" w:color="auto"/>
              <w:right w:val="single" w:sz="4" w:space="0" w:color="auto"/>
            </w:tcBorders>
            <w:vAlign w:val="bottom"/>
          </w:tcPr>
          <w:p w14:paraId="035B19D6" w14:textId="77777777" w:rsidR="006377FA" w:rsidRPr="006377FA" w:rsidRDefault="006377FA" w:rsidP="007D2C0F">
            <w:pPr>
              <w:jc w:val="center"/>
              <w:rPr>
                <w:b/>
                <w:sz w:val="20"/>
                <w:szCs w:val="20"/>
                <w:lang w:val="es-ES"/>
              </w:rPr>
            </w:pPr>
            <w:r w:rsidRPr="006377FA">
              <w:rPr>
                <w:b/>
                <w:sz w:val="20"/>
                <w:lang w:val="es-ES"/>
              </w:rPr>
              <w:t>2018</w:t>
            </w:r>
          </w:p>
        </w:tc>
        <w:tc>
          <w:tcPr>
            <w:tcW w:w="615" w:type="pct"/>
            <w:tcBorders>
              <w:top w:val="single" w:sz="4" w:space="0" w:color="auto"/>
              <w:left w:val="nil"/>
              <w:bottom w:val="single" w:sz="4" w:space="0" w:color="auto"/>
              <w:right w:val="single" w:sz="4" w:space="0" w:color="auto"/>
            </w:tcBorders>
            <w:vAlign w:val="bottom"/>
          </w:tcPr>
          <w:p w14:paraId="58FAE169" w14:textId="77777777" w:rsidR="006377FA" w:rsidRPr="006377FA" w:rsidRDefault="006377FA" w:rsidP="007D2C0F">
            <w:pPr>
              <w:jc w:val="center"/>
              <w:rPr>
                <w:b/>
                <w:sz w:val="20"/>
                <w:szCs w:val="20"/>
                <w:lang w:val="es-ES"/>
              </w:rPr>
            </w:pPr>
            <w:r w:rsidRPr="006377FA">
              <w:rPr>
                <w:b/>
                <w:sz w:val="20"/>
                <w:lang w:val="es-ES"/>
              </w:rPr>
              <w:t>2019</w:t>
            </w:r>
          </w:p>
        </w:tc>
      </w:tr>
      <w:tr w:rsidR="006377FA" w:rsidRPr="006377FA" w14:paraId="543B6E3C" w14:textId="77777777" w:rsidTr="007D2C0F">
        <w:tc>
          <w:tcPr>
            <w:tcW w:w="1614" w:type="pct"/>
            <w:tcBorders>
              <w:top w:val="nil"/>
              <w:left w:val="single" w:sz="4" w:space="0" w:color="auto"/>
              <w:bottom w:val="single" w:sz="4" w:space="0" w:color="auto"/>
              <w:right w:val="single" w:sz="4" w:space="0" w:color="auto"/>
            </w:tcBorders>
            <w:shd w:val="clear" w:color="auto" w:fill="auto"/>
            <w:noWrap/>
            <w:hideMark/>
          </w:tcPr>
          <w:p w14:paraId="2814F059" w14:textId="77777777" w:rsidR="006377FA" w:rsidRPr="006377FA" w:rsidRDefault="006377FA" w:rsidP="007D2C0F">
            <w:pPr>
              <w:jc w:val="left"/>
              <w:rPr>
                <w:sz w:val="20"/>
                <w:szCs w:val="20"/>
                <w:lang w:val="es-ES"/>
              </w:rPr>
            </w:pPr>
            <w:r w:rsidRPr="006377FA">
              <w:rPr>
                <w:sz w:val="20"/>
                <w:lang w:val="es-ES"/>
              </w:rPr>
              <w:t>Producción de CM</w:t>
            </w:r>
          </w:p>
        </w:tc>
        <w:tc>
          <w:tcPr>
            <w:tcW w:w="693" w:type="pct"/>
            <w:tcBorders>
              <w:top w:val="nil"/>
              <w:left w:val="nil"/>
              <w:bottom w:val="single" w:sz="4" w:space="0" w:color="auto"/>
              <w:right w:val="single" w:sz="4" w:space="0" w:color="auto"/>
            </w:tcBorders>
            <w:shd w:val="clear" w:color="auto" w:fill="auto"/>
            <w:noWrap/>
            <w:tcMar>
              <w:left w:w="115" w:type="dxa"/>
            </w:tcMar>
            <w:hideMark/>
          </w:tcPr>
          <w:p w14:paraId="46555229" w14:textId="77777777" w:rsidR="006377FA" w:rsidRPr="006377FA" w:rsidRDefault="006377FA" w:rsidP="007D2C0F">
            <w:pPr>
              <w:jc w:val="right"/>
              <w:rPr>
                <w:sz w:val="20"/>
                <w:szCs w:val="20"/>
                <w:lang w:val="es-ES"/>
              </w:rPr>
            </w:pPr>
            <w:r w:rsidRPr="006377FA">
              <w:rPr>
                <w:sz w:val="20"/>
                <w:lang w:val="es-ES"/>
              </w:rPr>
              <w:t>2 055 221</w:t>
            </w:r>
          </w:p>
        </w:tc>
        <w:tc>
          <w:tcPr>
            <w:tcW w:w="693" w:type="pct"/>
            <w:tcBorders>
              <w:top w:val="nil"/>
              <w:left w:val="nil"/>
              <w:bottom w:val="single" w:sz="4" w:space="0" w:color="auto"/>
              <w:right w:val="single" w:sz="4" w:space="0" w:color="auto"/>
            </w:tcBorders>
            <w:shd w:val="clear" w:color="auto" w:fill="auto"/>
            <w:noWrap/>
            <w:tcMar>
              <w:left w:w="115" w:type="dxa"/>
            </w:tcMar>
            <w:hideMark/>
          </w:tcPr>
          <w:p w14:paraId="523DC1D7" w14:textId="77777777" w:rsidR="006377FA" w:rsidRPr="006377FA" w:rsidRDefault="006377FA" w:rsidP="007D2C0F">
            <w:pPr>
              <w:jc w:val="right"/>
              <w:rPr>
                <w:sz w:val="20"/>
                <w:szCs w:val="20"/>
                <w:lang w:val="es-ES"/>
              </w:rPr>
            </w:pPr>
            <w:r w:rsidRPr="006377FA">
              <w:rPr>
                <w:sz w:val="20"/>
                <w:lang w:val="es-ES"/>
              </w:rPr>
              <w:t>2 264 813</w:t>
            </w:r>
          </w:p>
        </w:tc>
        <w:tc>
          <w:tcPr>
            <w:tcW w:w="692" w:type="pct"/>
            <w:tcBorders>
              <w:top w:val="nil"/>
              <w:left w:val="nil"/>
              <w:bottom w:val="single" w:sz="4" w:space="0" w:color="auto"/>
              <w:right w:val="single" w:sz="4" w:space="0" w:color="auto"/>
            </w:tcBorders>
            <w:shd w:val="clear" w:color="auto" w:fill="auto"/>
            <w:noWrap/>
            <w:tcMar>
              <w:left w:w="115" w:type="dxa"/>
            </w:tcMar>
            <w:hideMark/>
          </w:tcPr>
          <w:p w14:paraId="264231DE" w14:textId="77777777" w:rsidR="006377FA" w:rsidRPr="006377FA" w:rsidRDefault="006377FA" w:rsidP="007D2C0F">
            <w:pPr>
              <w:jc w:val="right"/>
              <w:rPr>
                <w:sz w:val="20"/>
                <w:szCs w:val="20"/>
                <w:lang w:val="es-ES"/>
              </w:rPr>
            </w:pPr>
            <w:r w:rsidRPr="006377FA">
              <w:rPr>
                <w:sz w:val="20"/>
                <w:lang w:val="es-ES"/>
              </w:rPr>
              <w:t>2 586 052</w:t>
            </w:r>
          </w:p>
        </w:tc>
        <w:tc>
          <w:tcPr>
            <w:tcW w:w="693" w:type="pct"/>
            <w:tcBorders>
              <w:top w:val="nil"/>
              <w:left w:val="nil"/>
              <w:bottom w:val="single" w:sz="4" w:space="0" w:color="auto"/>
              <w:right w:val="single" w:sz="4" w:space="0" w:color="auto"/>
            </w:tcBorders>
          </w:tcPr>
          <w:p w14:paraId="547FE68B" w14:textId="77777777" w:rsidR="006377FA" w:rsidRPr="006377FA" w:rsidRDefault="006377FA" w:rsidP="007D2C0F">
            <w:pPr>
              <w:jc w:val="right"/>
              <w:rPr>
                <w:sz w:val="20"/>
                <w:szCs w:val="20"/>
                <w:lang w:val="es-ES"/>
              </w:rPr>
            </w:pPr>
            <w:r w:rsidRPr="006377FA">
              <w:rPr>
                <w:sz w:val="20"/>
                <w:lang w:val="es-ES"/>
              </w:rPr>
              <w:t xml:space="preserve"> 2 647 676 </w:t>
            </w:r>
          </w:p>
        </w:tc>
        <w:tc>
          <w:tcPr>
            <w:tcW w:w="615" w:type="pct"/>
            <w:tcBorders>
              <w:top w:val="nil"/>
              <w:left w:val="nil"/>
              <w:bottom w:val="single" w:sz="4" w:space="0" w:color="auto"/>
              <w:right w:val="single" w:sz="4" w:space="0" w:color="auto"/>
            </w:tcBorders>
          </w:tcPr>
          <w:p w14:paraId="49BC349E" w14:textId="77777777" w:rsidR="006377FA" w:rsidRPr="006377FA" w:rsidRDefault="006377FA" w:rsidP="007D2C0F">
            <w:pPr>
              <w:jc w:val="right"/>
              <w:rPr>
                <w:sz w:val="20"/>
                <w:szCs w:val="20"/>
                <w:lang w:val="es-ES"/>
              </w:rPr>
            </w:pPr>
            <w:r w:rsidRPr="006377FA">
              <w:rPr>
                <w:sz w:val="20"/>
                <w:lang w:val="es-ES"/>
              </w:rPr>
              <w:t xml:space="preserve"> 2 927 110</w:t>
            </w:r>
            <w:r w:rsidRPr="006377FA">
              <w:rPr>
                <w:sz w:val="20"/>
                <w:vertAlign w:val="superscript"/>
                <w:lang w:val="es-ES"/>
              </w:rPr>
              <w:t>*</w:t>
            </w:r>
            <w:r w:rsidRPr="006377FA">
              <w:rPr>
                <w:sz w:val="20"/>
                <w:lang w:val="es-ES"/>
              </w:rPr>
              <w:t xml:space="preserve"> </w:t>
            </w:r>
          </w:p>
        </w:tc>
      </w:tr>
      <w:tr w:rsidR="006377FA" w:rsidRPr="006377FA" w14:paraId="36DAD156" w14:textId="77777777" w:rsidTr="007D2C0F">
        <w:tc>
          <w:tcPr>
            <w:tcW w:w="1614" w:type="pct"/>
            <w:tcBorders>
              <w:top w:val="nil"/>
              <w:left w:val="single" w:sz="4" w:space="0" w:color="auto"/>
              <w:bottom w:val="single" w:sz="4" w:space="0" w:color="auto"/>
              <w:right w:val="single" w:sz="4" w:space="0" w:color="auto"/>
            </w:tcBorders>
            <w:shd w:val="clear" w:color="auto" w:fill="auto"/>
            <w:noWrap/>
            <w:vAlign w:val="bottom"/>
            <w:hideMark/>
          </w:tcPr>
          <w:p w14:paraId="0700CFAA" w14:textId="77777777" w:rsidR="006377FA" w:rsidRPr="006377FA" w:rsidRDefault="006377FA" w:rsidP="007D2C0F">
            <w:pPr>
              <w:jc w:val="left"/>
              <w:rPr>
                <w:sz w:val="20"/>
                <w:szCs w:val="20"/>
                <w:lang w:val="es-ES"/>
              </w:rPr>
            </w:pPr>
            <w:r w:rsidRPr="006377FA">
              <w:rPr>
                <w:sz w:val="20"/>
                <w:lang w:val="es-ES"/>
              </w:rPr>
              <w:t>Producción de CTC</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14:paraId="452B5465" w14:textId="77777777" w:rsidR="006377FA" w:rsidRPr="006377FA" w:rsidRDefault="006377FA" w:rsidP="007D2C0F">
            <w:pPr>
              <w:jc w:val="right"/>
              <w:rPr>
                <w:sz w:val="20"/>
                <w:szCs w:val="20"/>
                <w:lang w:val="es-ES"/>
              </w:rPr>
            </w:pPr>
            <w:r w:rsidRPr="006377FA">
              <w:rPr>
                <w:sz w:val="20"/>
                <w:lang w:val="es-ES"/>
              </w:rPr>
              <w:t>97 161</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14:paraId="2A5183E7" w14:textId="77777777" w:rsidR="006377FA" w:rsidRPr="006377FA" w:rsidRDefault="006377FA" w:rsidP="007D2C0F">
            <w:pPr>
              <w:jc w:val="right"/>
              <w:rPr>
                <w:sz w:val="20"/>
                <w:szCs w:val="20"/>
                <w:lang w:val="es-ES"/>
              </w:rPr>
            </w:pPr>
            <w:r w:rsidRPr="006377FA">
              <w:rPr>
                <w:sz w:val="20"/>
                <w:lang w:val="es-ES"/>
              </w:rPr>
              <w:t>105 675</w:t>
            </w:r>
          </w:p>
        </w:tc>
        <w:tc>
          <w:tcPr>
            <w:tcW w:w="692" w:type="pct"/>
            <w:tcBorders>
              <w:top w:val="nil"/>
              <w:left w:val="nil"/>
              <w:bottom w:val="single" w:sz="4" w:space="0" w:color="auto"/>
              <w:right w:val="single" w:sz="4" w:space="0" w:color="auto"/>
            </w:tcBorders>
            <w:shd w:val="clear" w:color="auto" w:fill="auto"/>
            <w:noWrap/>
            <w:tcMar>
              <w:left w:w="115" w:type="dxa"/>
            </w:tcMar>
            <w:vAlign w:val="bottom"/>
            <w:hideMark/>
          </w:tcPr>
          <w:p w14:paraId="143E0D43" w14:textId="77777777" w:rsidR="006377FA" w:rsidRPr="006377FA" w:rsidRDefault="006377FA" w:rsidP="007D2C0F">
            <w:pPr>
              <w:jc w:val="right"/>
              <w:rPr>
                <w:sz w:val="20"/>
                <w:szCs w:val="20"/>
                <w:lang w:val="es-ES"/>
              </w:rPr>
            </w:pPr>
            <w:r w:rsidRPr="006377FA">
              <w:rPr>
                <w:sz w:val="20"/>
                <w:lang w:val="es-ES"/>
              </w:rPr>
              <w:t>122 759</w:t>
            </w:r>
          </w:p>
        </w:tc>
        <w:tc>
          <w:tcPr>
            <w:tcW w:w="693" w:type="pct"/>
            <w:tcBorders>
              <w:top w:val="nil"/>
              <w:left w:val="nil"/>
              <w:bottom w:val="single" w:sz="4" w:space="0" w:color="auto"/>
              <w:right w:val="single" w:sz="4" w:space="0" w:color="auto"/>
            </w:tcBorders>
          </w:tcPr>
          <w:p w14:paraId="2B8F7CBD" w14:textId="77777777" w:rsidR="006377FA" w:rsidRPr="006377FA" w:rsidRDefault="006377FA" w:rsidP="007D2C0F">
            <w:pPr>
              <w:jc w:val="right"/>
              <w:rPr>
                <w:sz w:val="20"/>
                <w:szCs w:val="20"/>
                <w:lang w:val="es-ES"/>
              </w:rPr>
            </w:pPr>
            <w:r w:rsidRPr="006377FA">
              <w:rPr>
                <w:sz w:val="20"/>
                <w:lang w:val="es-ES"/>
              </w:rPr>
              <w:t xml:space="preserve"> 140 095 </w:t>
            </w:r>
          </w:p>
        </w:tc>
        <w:tc>
          <w:tcPr>
            <w:tcW w:w="615" w:type="pct"/>
            <w:tcBorders>
              <w:top w:val="nil"/>
              <w:left w:val="nil"/>
              <w:bottom w:val="single" w:sz="4" w:space="0" w:color="auto"/>
              <w:right w:val="single" w:sz="4" w:space="0" w:color="auto"/>
            </w:tcBorders>
          </w:tcPr>
          <w:p w14:paraId="3AB11762" w14:textId="77777777" w:rsidR="006377FA" w:rsidRPr="006377FA" w:rsidRDefault="006377FA" w:rsidP="007D2C0F">
            <w:pPr>
              <w:jc w:val="right"/>
              <w:rPr>
                <w:sz w:val="20"/>
                <w:szCs w:val="20"/>
                <w:lang w:val="es-ES"/>
              </w:rPr>
            </w:pPr>
            <w:r w:rsidRPr="006377FA">
              <w:rPr>
                <w:sz w:val="20"/>
                <w:lang w:val="es-ES"/>
              </w:rPr>
              <w:t xml:space="preserve"> 155 669 </w:t>
            </w:r>
          </w:p>
        </w:tc>
      </w:tr>
      <w:tr w:rsidR="006377FA" w:rsidRPr="006377FA" w14:paraId="73468A48" w14:textId="77777777" w:rsidTr="007D2C0F">
        <w:tc>
          <w:tcPr>
            <w:tcW w:w="1614" w:type="pct"/>
            <w:tcBorders>
              <w:top w:val="nil"/>
              <w:left w:val="single" w:sz="4" w:space="0" w:color="auto"/>
              <w:bottom w:val="single" w:sz="4" w:space="0" w:color="auto"/>
              <w:right w:val="single" w:sz="4" w:space="0" w:color="auto"/>
            </w:tcBorders>
            <w:shd w:val="clear" w:color="auto" w:fill="auto"/>
            <w:noWrap/>
            <w:vAlign w:val="bottom"/>
            <w:hideMark/>
          </w:tcPr>
          <w:p w14:paraId="039D95B4" w14:textId="77777777" w:rsidR="006377FA" w:rsidRPr="006377FA" w:rsidRDefault="006377FA" w:rsidP="007D2C0F">
            <w:pPr>
              <w:jc w:val="left"/>
              <w:rPr>
                <w:sz w:val="20"/>
                <w:szCs w:val="20"/>
                <w:lang w:val="es-ES"/>
              </w:rPr>
            </w:pPr>
            <w:r w:rsidRPr="006377FA">
              <w:rPr>
                <w:sz w:val="20"/>
                <w:lang w:val="es-ES"/>
              </w:rPr>
              <w:t>Porcentaje de producción de CTC</w:t>
            </w:r>
          </w:p>
        </w:tc>
        <w:tc>
          <w:tcPr>
            <w:tcW w:w="693" w:type="pct"/>
            <w:tcBorders>
              <w:top w:val="nil"/>
              <w:left w:val="nil"/>
              <w:bottom w:val="single" w:sz="4" w:space="0" w:color="auto"/>
              <w:right w:val="single" w:sz="4" w:space="0" w:color="auto"/>
            </w:tcBorders>
            <w:shd w:val="clear" w:color="auto" w:fill="auto"/>
            <w:noWrap/>
            <w:vAlign w:val="bottom"/>
            <w:hideMark/>
          </w:tcPr>
          <w:p w14:paraId="4F84DC7A" w14:textId="77777777" w:rsidR="006377FA" w:rsidRPr="006377FA" w:rsidRDefault="006377FA" w:rsidP="007D2C0F">
            <w:pPr>
              <w:jc w:val="right"/>
              <w:rPr>
                <w:sz w:val="20"/>
                <w:szCs w:val="20"/>
                <w:lang w:val="es-ES"/>
              </w:rPr>
            </w:pPr>
            <w:r w:rsidRPr="006377FA">
              <w:rPr>
                <w:sz w:val="20"/>
                <w:lang w:val="es-ES"/>
              </w:rPr>
              <w:t>4,73 %</w:t>
            </w:r>
          </w:p>
        </w:tc>
        <w:tc>
          <w:tcPr>
            <w:tcW w:w="693" w:type="pct"/>
            <w:tcBorders>
              <w:top w:val="nil"/>
              <w:left w:val="nil"/>
              <w:bottom w:val="single" w:sz="4" w:space="0" w:color="auto"/>
              <w:right w:val="single" w:sz="4" w:space="0" w:color="auto"/>
            </w:tcBorders>
            <w:shd w:val="clear" w:color="auto" w:fill="auto"/>
            <w:noWrap/>
            <w:vAlign w:val="bottom"/>
            <w:hideMark/>
          </w:tcPr>
          <w:p w14:paraId="370B161A" w14:textId="77777777" w:rsidR="006377FA" w:rsidRPr="006377FA" w:rsidRDefault="006377FA" w:rsidP="007D2C0F">
            <w:pPr>
              <w:jc w:val="right"/>
              <w:rPr>
                <w:sz w:val="20"/>
                <w:szCs w:val="20"/>
                <w:lang w:val="es-ES"/>
              </w:rPr>
            </w:pPr>
            <w:r w:rsidRPr="006377FA">
              <w:rPr>
                <w:sz w:val="20"/>
                <w:lang w:val="es-ES"/>
              </w:rPr>
              <w:t>4,67 %</w:t>
            </w:r>
          </w:p>
        </w:tc>
        <w:tc>
          <w:tcPr>
            <w:tcW w:w="692" w:type="pct"/>
            <w:tcBorders>
              <w:top w:val="nil"/>
              <w:left w:val="nil"/>
              <w:bottom w:val="single" w:sz="4" w:space="0" w:color="auto"/>
              <w:right w:val="single" w:sz="4" w:space="0" w:color="auto"/>
            </w:tcBorders>
            <w:shd w:val="clear" w:color="auto" w:fill="auto"/>
            <w:noWrap/>
            <w:vAlign w:val="bottom"/>
            <w:hideMark/>
          </w:tcPr>
          <w:p w14:paraId="3F5BBEDC" w14:textId="77777777" w:rsidR="006377FA" w:rsidRPr="006377FA" w:rsidRDefault="006377FA" w:rsidP="007D2C0F">
            <w:pPr>
              <w:jc w:val="right"/>
              <w:rPr>
                <w:sz w:val="20"/>
                <w:szCs w:val="20"/>
                <w:lang w:val="es-ES"/>
              </w:rPr>
            </w:pPr>
            <w:r w:rsidRPr="006377FA">
              <w:rPr>
                <w:sz w:val="20"/>
                <w:lang w:val="es-ES"/>
              </w:rPr>
              <w:t>4,75 %</w:t>
            </w:r>
          </w:p>
        </w:tc>
        <w:tc>
          <w:tcPr>
            <w:tcW w:w="693" w:type="pct"/>
            <w:tcBorders>
              <w:top w:val="nil"/>
              <w:left w:val="nil"/>
              <w:bottom w:val="single" w:sz="4" w:space="0" w:color="auto"/>
              <w:right w:val="single" w:sz="4" w:space="0" w:color="auto"/>
            </w:tcBorders>
            <w:vAlign w:val="bottom"/>
          </w:tcPr>
          <w:p w14:paraId="3DB5C87A" w14:textId="77777777" w:rsidR="006377FA" w:rsidRPr="006377FA" w:rsidRDefault="006377FA" w:rsidP="007D2C0F">
            <w:pPr>
              <w:jc w:val="right"/>
              <w:rPr>
                <w:sz w:val="20"/>
                <w:szCs w:val="20"/>
                <w:lang w:val="es-ES"/>
              </w:rPr>
            </w:pPr>
            <w:r w:rsidRPr="006377FA">
              <w:rPr>
                <w:sz w:val="20"/>
                <w:lang w:val="es-ES"/>
              </w:rPr>
              <w:t>5,29 %</w:t>
            </w:r>
          </w:p>
        </w:tc>
        <w:tc>
          <w:tcPr>
            <w:tcW w:w="615" w:type="pct"/>
            <w:tcBorders>
              <w:top w:val="nil"/>
              <w:left w:val="nil"/>
              <w:bottom w:val="single" w:sz="4" w:space="0" w:color="auto"/>
              <w:right w:val="single" w:sz="4" w:space="0" w:color="auto"/>
            </w:tcBorders>
            <w:vAlign w:val="bottom"/>
          </w:tcPr>
          <w:p w14:paraId="01D8BFE6" w14:textId="77777777" w:rsidR="006377FA" w:rsidRPr="006377FA" w:rsidRDefault="006377FA" w:rsidP="007D2C0F">
            <w:pPr>
              <w:jc w:val="right"/>
              <w:rPr>
                <w:sz w:val="20"/>
                <w:szCs w:val="20"/>
                <w:lang w:val="es-ES"/>
              </w:rPr>
            </w:pPr>
            <w:r w:rsidRPr="006377FA">
              <w:rPr>
                <w:sz w:val="20"/>
                <w:lang w:val="es-ES"/>
              </w:rPr>
              <w:t>5,32 %</w:t>
            </w:r>
          </w:p>
        </w:tc>
      </w:tr>
    </w:tbl>
    <w:p w14:paraId="7433E10B" w14:textId="77777777" w:rsidR="006377FA" w:rsidRPr="006377FA" w:rsidRDefault="006377FA" w:rsidP="006377FA">
      <w:pPr>
        <w:rPr>
          <w:sz w:val="16"/>
          <w:szCs w:val="16"/>
          <w:lang w:val="es-ES"/>
        </w:rPr>
      </w:pPr>
      <w:r w:rsidRPr="006377FA">
        <w:rPr>
          <w:sz w:val="16"/>
          <w:lang w:val="es-ES"/>
        </w:rPr>
        <w:t>* La producción fue superior a la capacidad nominal para 2019.</w:t>
      </w:r>
    </w:p>
    <w:p w14:paraId="054D61B4" w14:textId="77777777" w:rsidR="006377FA" w:rsidRPr="006377FA" w:rsidRDefault="006377FA" w:rsidP="006377FA">
      <w:pPr>
        <w:rPr>
          <w:lang w:val="es-ES"/>
        </w:rPr>
      </w:pPr>
    </w:p>
    <w:p w14:paraId="04A9EFDD" w14:textId="77777777" w:rsidR="006377FA" w:rsidRPr="006377FA" w:rsidRDefault="006377FA" w:rsidP="006377FA">
      <w:pPr>
        <w:numPr>
          <w:ilvl w:val="0"/>
          <w:numId w:val="1"/>
        </w:numPr>
        <w:spacing w:after="240"/>
        <w:outlineLvl w:val="0"/>
        <w:rPr>
          <w:lang w:val="es-ES"/>
        </w:rPr>
      </w:pPr>
      <w:r w:rsidRPr="006377FA">
        <w:rPr>
          <w:lang w:val="es-ES"/>
        </w:rPr>
        <w:t>Durante el periodo de 2015 a 2019, el nivel de existencias de CTC pasó de 1 435,9 </w:t>
      </w:r>
      <w:proofErr w:type="spellStart"/>
      <w:r w:rsidRPr="006377FA">
        <w:rPr>
          <w:lang w:val="es-ES"/>
        </w:rPr>
        <w:t>tm</w:t>
      </w:r>
      <w:proofErr w:type="spellEnd"/>
      <w:r w:rsidRPr="006377FA">
        <w:rPr>
          <w:lang w:val="es-ES"/>
        </w:rPr>
        <w:t xml:space="preserve"> a comienzos de 2015 a 12 588,2 </w:t>
      </w:r>
      <w:proofErr w:type="spellStart"/>
      <w:r w:rsidRPr="006377FA">
        <w:rPr>
          <w:lang w:val="es-ES"/>
        </w:rPr>
        <w:t>tm</w:t>
      </w:r>
      <w:proofErr w:type="spellEnd"/>
      <w:r w:rsidRPr="006377FA">
        <w:rPr>
          <w:lang w:val="es-ES"/>
        </w:rPr>
        <w:t xml:space="preserve"> en diciembre de 2019. </w:t>
      </w:r>
    </w:p>
    <w:p w14:paraId="0663B0FA" w14:textId="77777777" w:rsidR="006377FA" w:rsidRPr="006377FA" w:rsidRDefault="006377FA" w:rsidP="006377FA">
      <w:pPr>
        <w:keepNext/>
        <w:keepLines/>
        <w:rPr>
          <w:u w:val="single"/>
          <w:lang w:val="es-ES"/>
        </w:rPr>
      </w:pPr>
      <w:r w:rsidRPr="006377FA">
        <w:rPr>
          <w:u w:val="single"/>
          <w:lang w:val="es-ES"/>
        </w:rPr>
        <w:t>Conversión de CTC en productos químicos sin SAO en los productores de CM</w:t>
      </w:r>
    </w:p>
    <w:p w14:paraId="3989296F" w14:textId="77777777" w:rsidR="006377FA" w:rsidRPr="006377FA" w:rsidRDefault="006377FA" w:rsidP="006377FA">
      <w:pPr>
        <w:keepNext/>
        <w:keepLines/>
        <w:rPr>
          <w:lang w:val="es-ES"/>
        </w:rPr>
      </w:pPr>
    </w:p>
    <w:p w14:paraId="5E074D28" w14:textId="77777777" w:rsidR="006377FA" w:rsidRPr="006377FA" w:rsidRDefault="006377FA" w:rsidP="006377FA">
      <w:pPr>
        <w:keepNext/>
        <w:keepLines/>
        <w:numPr>
          <w:ilvl w:val="0"/>
          <w:numId w:val="1"/>
        </w:numPr>
        <w:spacing w:after="240"/>
        <w:outlineLvl w:val="0"/>
        <w:rPr>
          <w:lang w:val="es-ES"/>
        </w:rPr>
      </w:pPr>
      <w:r w:rsidRPr="006377FA">
        <w:rPr>
          <w:lang w:val="es-ES"/>
        </w:rPr>
        <w:t>La mayor parte (68-71 %) del CTC producido en 2018-2019 fue utilizado internamente por los productores de CM para su conversión en productos químicos que no contienen SAO (PCE, cloruro de metilo y cloroformo</w:t>
      </w:r>
      <w:r w:rsidRPr="006377FA">
        <w:rPr>
          <w:rStyle w:val="FootnoteReference"/>
          <w:lang w:val="es-ES"/>
        </w:rPr>
        <w:footnoteReference w:id="6"/>
      </w:r>
      <w:r w:rsidRPr="006377FA">
        <w:rPr>
          <w:lang w:val="es-ES"/>
        </w:rPr>
        <w:t>). El CTC restante se vendió a 25 usuarios de materias primas registrados; se utilizaron cantidades menores (menos del 0,3 % de la producción de CTC) para usos analíticos y de laboratorio y como agente de procesos.</w:t>
      </w:r>
    </w:p>
    <w:p w14:paraId="5927DC75" w14:textId="77777777" w:rsidR="006377FA" w:rsidRPr="006377FA" w:rsidRDefault="006377FA" w:rsidP="006377FA">
      <w:pPr>
        <w:keepNext/>
        <w:rPr>
          <w:u w:val="single"/>
          <w:lang w:val="es-ES"/>
        </w:rPr>
      </w:pPr>
      <w:r w:rsidRPr="006377FA">
        <w:rPr>
          <w:u w:val="single"/>
          <w:lang w:val="es-ES"/>
        </w:rPr>
        <w:t>Uso de CTC como materia prima</w:t>
      </w:r>
    </w:p>
    <w:p w14:paraId="6941680B" w14:textId="77777777" w:rsidR="006377FA" w:rsidRPr="006377FA" w:rsidRDefault="006377FA" w:rsidP="006377FA">
      <w:pPr>
        <w:keepNext/>
        <w:rPr>
          <w:u w:val="single"/>
          <w:lang w:val="es-ES"/>
        </w:rPr>
      </w:pPr>
    </w:p>
    <w:p w14:paraId="0D414B49" w14:textId="6B8DD657" w:rsidR="006377FA" w:rsidRPr="006377FA" w:rsidRDefault="006377FA" w:rsidP="006377FA">
      <w:pPr>
        <w:pStyle w:val="Heading1"/>
        <w:rPr>
          <w:lang w:val="es-ES"/>
        </w:rPr>
      </w:pPr>
      <w:r w:rsidRPr="006377FA">
        <w:rPr>
          <w:lang w:val="es-ES"/>
        </w:rPr>
        <w:t>El CTC se utiliza como materia prima para la fabricación de 15 productos químicos que no contienen SAO, incluidos cuatro productos químicos</w:t>
      </w:r>
      <w:r w:rsidRPr="006377FA">
        <w:rPr>
          <w:rStyle w:val="FootnoteReference"/>
          <w:lang w:val="es-ES"/>
        </w:rPr>
        <w:footnoteReference w:id="7"/>
      </w:r>
      <w:r w:rsidRPr="006377FA">
        <w:rPr>
          <w:lang w:val="es-ES"/>
        </w:rPr>
        <w:t xml:space="preserve"> que no se habían fabricado en 2017. El número de usuarios de materias primas</w:t>
      </w:r>
      <w:r w:rsidRPr="006377FA">
        <w:rPr>
          <w:rStyle w:val="FootnoteReference"/>
          <w:lang w:val="es-ES"/>
        </w:rPr>
        <w:footnoteReference w:id="8"/>
      </w:r>
      <w:r w:rsidRPr="006377FA">
        <w:rPr>
          <w:lang w:val="es-ES"/>
        </w:rPr>
        <w:t xml:space="preserve"> en 2018-2019 aumentó a 25 en comparación con los 21 usuarios que estaban activos en 2017. La cantidad de CTC utilizada como materia prima aumentó de 29 199 </w:t>
      </w:r>
      <w:proofErr w:type="spellStart"/>
      <w:r w:rsidRPr="006377FA">
        <w:rPr>
          <w:lang w:val="es-ES"/>
        </w:rPr>
        <w:t>tm</w:t>
      </w:r>
      <w:proofErr w:type="spellEnd"/>
      <w:r w:rsidRPr="006377FA">
        <w:rPr>
          <w:lang w:val="es-ES"/>
        </w:rPr>
        <w:t xml:space="preserve"> en 2015 a 50 337 </w:t>
      </w:r>
      <w:proofErr w:type="spellStart"/>
      <w:r w:rsidRPr="006377FA">
        <w:rPr>
          <w:lang w:val="es-ES"/>
        </w:rPr>
        <w:t>tm</w:t>
      </w:r>
      <w:proofErr w:type="spellEnd"/>
      <w:r w:rsidRPr="006377FA">
        <w:rPr>
          <w:lang w:val="es-ES"/>
        </w:rPr>
        <w:t xml:space="preserve"> en 2019, principalmente debido al aumento de la fabricación de HFC-245fa, HCC</w:t>
      </w:r>
      <w:r w:rsidRPr="006377FA">
        <w:rPr>
          <w:lang w:val="es-ES"/>
        </w:rPr>
        <w:noBreakHyphen/>
        <w:t>240fa y PCE. La fabricación de tres de los nuevos productos químicos en 2018-2019 representó menos del 1 %</w:t>
      </w:r>
      <w:r w:rsidR="00FF3295">
        <w:rPr>
          <w:lang w:val="es-ES"/>
        </w:rPr>
        <w:t> </w:t>
      </w:r>
      <w:r w:rsidRPr="006377FA">
        <w:rPr>
          <w:lang w:val="es-ES"/>
        </w:rPr>
        <w:t>del CTC utilizado como materia prima, mientras que la fabricación del cuarto producto químico (HCC</w:t>
      </w:r>
      <w:r w:rsidR="00FF3295">
        <w:rPr>
          <w:lang w:val="es-ES"/>
        </w:rPr>
        <w:noBreakHyphen/>
      </w:r>
      <w:r w:rsidRPr="006377FA">
        <w:rPr>
          <w:lang w:val="es-ES"/>
        </w:rPr>
        <w:t>240fa) se convirtió en el mayor uso de materia prima en 2019, representando aproximadamente el 40 % del CTC utilizado como materia prima en 2019. El HCC-240fa se utiliza principalmente como materia prima para la fabricación de HFO y HFC-245fa.</w:t>
      </w:r>
    </w:p>
    <w:p w14:paraId="1CF1E878" w14:textId="77777777" w:rsidR="006377FA" w:rsidRPr="006377FA" w:rsidRDefault="006377FA" w:rsidP="006377FA">
      <w:pPr>
        <w:pStyle w:val="Heading1"/>
        <w:numPr>
          <w:ilvl w:val="0"/>
          <w:numId w:val="0"/>
        </w:numPr>
        <w:rPr>
          <w:u w:val="single"/>
          <w:lang w:val="es-ES"/>
        </w:rPr>
      </w:pPr>
      <w:r w:rsidRPr="006377FA">
        <w:rPr>
          <w:u w:val="single"/>
          <w:lang w:val="es-ES"/>
        </w:rPr>
        <w:t>Producción de PCE</w:t>
      </w:r>
    </w:p>
    <w:p w14:paraId="076FF8DF" w14:textId="6CBDE307" w:rsidR="006377FA" w:rsidRPr="006377FA" w:rsidRDefault="006377FA" w:rsidP="006377FA">
      <w:pPr>
        <w:numPr>
          <w:ilvl w:val="0"/>
          <w:numId w:val="1"/>
        </w:numPr>
        <w:spacing w:after="240"/>
        <w:outlineLvl w:val="0"/>
        <w:rPr>
          <w:lang w:val="es-ES"/>
        </w:rPr>
      </w:pPr>
      <w:r w:rsidRPr="006377FA">
        <w:rPr>
          <w:lang w:val="es-ES"/>
        </w:rPr>
        <w:t>En China existen dos procesos de producción de PCE: el proceso de cloración de acetileno y el proceso de cloración de alcanos C1</w:t>
      </w:r>
      <w:r w:rsidRPr="006377FA">
        <w:rPr>
          <w:lang w:val="es-ES"/>
        </w:rPr>
        <w:noBreakHyphen/>
        <w:t>C3. El primero, que es la principal vía de producción de PCE en China debido a su bajo precio y a la disponibilidad de acetileno en el país, no ocasiona la producción de CTC como subproducto, mientras que en el segundo proceso se produce CTC como subproducto. El informe actualizado confirmó que solo había una planta de PCE que utiliza el proceso de cloración con alcanos. Todo el CTC como subproducto de esa empresa se recicla directamente al reactor, junto con otros reactivos, tras la destilación del producto. El CTC se separa parcialmente en la torre de apagado y en las unidades de purificación; las corrientes procedentes de estos dos procesos, que contienen una mezcla de CTC, PCE y otros componentes que no son aptos para su venta sin purificación, se introducen en un tanque de almacenamiento. Como no hay una unidad de purificación de CTC en la empresa, el CTC de la empresa no puede venderse; el contenido del tanque de almacenamiento, incluido el CTC como subproducto, se recicla al reactor. La producción de la empresa está supervisada por la oficina local de ecología y medio ambiente, que lleva a cabo una supervisión y un control medioambiental rutinarios, así como inspecciones no regulares para garantizar que no salga CTC de la línea de producción.</w:t>
      </w:r>
    </w:p>
    <w:p w14:paraId="6DAB3C1B" w14:textId="77777777" w:rsidR="006377FA" w:rsidRPr="006377FA" w:rsidRDefault="006377FA" w:rsidP="006377FA">
      <w:pPr>
        <w:rPr>
          <w:u w:val="single"/>
          <w:lang w:val="es-ES"/>
        </w:rPr>
      </w:pPr>
      <w:r w:rsidRPr="006377FA">
        <w:rPr>
          <w:u w:val="single"/>
          <w:lang w:val="es-ES"/>
        </w:rPr>
        <w:t>Emisiones estimadas de CTC</w:t>
      </w:r>
    </w:p>
    <w:p w14:paraId="5D2DC162" w14:textId="77777777" w:rsidR="006377FA" w:rsidRPr="006377FA" w:rsidRDefault="006377FA" w:rsidP="006377FA">
      <w:pPr>
        <w:rPr>
          <w:lang w:val="es-ES"/>
        </w:rPr>
      </w:pPr>
    </w:p>
    <w:p w14:paraId="3F60A3E5" w14:textId="77777777" w:rsidR="006377FA" w:rsidRPr="006377FA" w:rsidRDefault="006377FA" w:rsidP="006377FA">
      <w:pPr>
        <w:pStyle w:val="Heading1"/>
        <w:rPr>
          <w:lang w:val="es-ES"/>
        </w:rPr>
      </w:pPr>
      <w:r w:rsidRPr="006377FA">
        <w:rPr>
          <w:lang w:val="es-ES"/>
        </w:rPr>
        <w:t>El informe actualizado proporcionó estimaciones de las emisiones de CTC para 2018-2019 basadas en el modelo descrito en el informe sobre la producción de CTC de 2015-2017 y sus usos como materia prima en China</w:t>
      </w:r>
      <w:r w:rsidRPr="006377FA">
        <w:rPr>
          <w:rStyle w:val="FootnoteReference"/>
          <w:lang w:val="es-ES"/>
        </w:rPr>
        <w:footnoteReference w:id="9"/>
      </w:r>
      <w:r w:rsidRPr="006377FA">
        <w:rPr>
          <w:lang w:val="es-ES"/>
        </w:rPr>
        <w:t>, y los datos de producción y uso de CTC de 2018</w:t>
      </w:r>
      <w:r w:rsidRPr="006377FA">
        <w:rPr>
          <w:lang w:val="es-ES"/>
        </w:rPr>
        <w:noBreakHyphen/>
        <w:t xml:space="preserve">2019. Las emisiones de CTC se calculan a partir de tres fuentes: la producción de CTC por parte de los productores de CM, la conversión de CTC en productos químicos que no contienen SAO por parte de los productores de CM y de los usuarios de materias primas de CTC. </w:t>
      </w:r>
    </w:p>
    <w:p w14:paraId="797C531E" w14:textId="77777777" w:rsidR="006377FA" w:rsidRPr="006377FA" w:rsidRDefault="006377FA" w:rsidP="006377FA">
      <w:pPr>
        <w:numPr>
          <w:ilvl w:val="0"/>
          <w:numId w:val="1"/>
        </w:numPr>
        <w:spacing w:after="240"/>
        <w:outlineLvl w:val="0"/>
        <w:rPr>
          <w:lang w:val="es-ES"/>
        </w:rPr>
      </w:pPr>
      <w:r w:rsidRPr="006377FA">
        <w:rPr>
          <w:lang w:val="es-ES"/>
        </w:rPr>
        <w:t>Se ha supuesto que las emisiones de CTC procedentes de la producción de CM son muy bajas dado que: la tecnología del proceso y la gestión y los controles del sitio en las instalaciones de producción de CM son de avanzada; las empresas han instalado condensadores criogénicos en las salidas de los tanques para reducir la emisión volátil de los gases de cola de los tanques de CTC; hay incineradores de CTC en funcionamiento en la mayoría de las empresas; hay sistemas cerrados con conexiones de avanzada entre el tanque de carga y el tanque de producto para evitar cualquier emisión de CTC en los procesos de carga/descarga y en la gestión del sitio; y los controles del proceso y el equipo utilizados para minimizar las emisiones de CTC durante el mantenimiento también son de avanzada. En 2017, las emisiones de CTC se estimaron en 25,6 </w:t>
      </w:r>
      <w:proofErr w:type="spellStart"/>
      <w:r w:rsidRPr="006377FA">
        <w:rPr>
          <w:lang w:val="es-ES"/>
        </w:rPr>
        <w:t>tm</w:t>
      </w:r>
      <w:proofErr w:type="spellEnd"/>
      <w:r w:rsidRPr="006377FA">
        <w:rPr>
          <w:lang w:val="es-ES"/>
        </w:rPr>
        <w:t>, con 365,6 </w:t>
      </w:r>
      <w:proofErr w:type="spellStart"/>
      <w:r w:rsidRPr="006377FA">
        <w:rPr>
          <w:lang w:val="es-ES"/>
        </w:rPr>
        <w:t>tm</w:t>
      </w:r>
      <w:proofErr w:type="spellEnd"/>
      <w:r w:rsidRPr="006377FA">
        <w:rPr>
          <w:lang w:val="es-ES"/>
        </w:rPr>
        <w:t xml:space="preserve"> adicionales de emisiones potenciales</w:t>
      </w:r>
      <w:r w:rsidRPr="006377FA">
        <w:rPr>
          <w:vertAlign w:val="superscript"/>
          <w:lang w:val="es-ES"/>
        </w:rPr>
        <w:footnoteReference w:id="10"/>
      </w:r>
      <w:r w:rsidRPr="006377FA">
        <w:rPr>
          <w:lang w:val="es-ES"/>
        </w:rPr>
        <w:t>, lo que dio por resultado 391,2 </w:t>
      </w:r>
      <w:proofErr w:type="spellStart"/>
      <w:r w:rsidRPr="006377FA">
        <w:rPr>
          <w:lang w:val="es-ES"/>
        </w:rPr>
        <w:t>tm</w:t>
      </w:r>
      <w:proofErr w:type="spellEnd"/>
      <w:r w:rsidRPr="006377FA">
        <w:rPr>
          <w:lang w:val="es-ES"/>
        </w:rPr>
        <w:t xml:space="preserve"> de emisiones de CTC (0,3 % de la producción de CTC); las emisiones en 2018 y 2019 aumentaron a 29,6 </w:t>
      </w:r>
      <w:proofErr w:type="spellStart"/>
      <w:r w:rsidRPr="006377FA">
        <w:rPr>
          <w:lang w:val="es-ES"/>
        </w:rPr>
        <w:t>tm</w:t>
      </w:r>
      <w:proofErr w:type="spellEnd"/>
      <w:r w:rsidRPr="006377FA">
        <w:rPr>
          <w:lang w:val="es-ES"/>
        </w:rPr>
        <w:t xml:space="preserve"> y 30,3 </w:t>
      </w:r>
      <w:proofErr w:type="spellStart"/>
      <w:r w:rsidRPr="006377FA">
        <w:rPr>
          <w:lang w:val="es-ES"/>
        </w:rPr>
        <w:t>tm</w:t>
      </w:r>
      <w:proofErr w:type="spellEnd"/>
      <w:r w:rsidRPr="006377FA">
        <w:rPr>
          <w:lang w:val="es-ES"/>
        </w:rPr>
        <w:t>, con 432,2 </w:t>
      </w:r>
      <w:proofErr w:type="spellStart"/>
      <w:r w:rsidRPr="006377FA">
        <w:rPr>
          <w:lang w:val="es-ES"/>
        </w:rPr>
        <w:t>tm</w:t>
      </w:r>
      <w:proofErr w:type="spellEnd"/>
      <w:r w:rsidRPr="006377FA">
        <w:rPr>
          <w:lang w:val="es-ES"/>
        </w:rPr>
        <w:t xml:space="preserve"> y 543,7 </w:t>
      </w:r>
      <w:proofErr w:type="spellStart"/>
      <w:r w:rsidRPr="006377FA">
        <w:rPr>
          <w:lang w:val="es-ES"/>
        </w:rPr>
        <w:t>tm</w:t>
      </w:r>
      <w:proofErr w:type="spellEnd"/>
      <w:r w:rsidRPr="006377FA">
        <w:rPr>
          <w:lang w:val="es-ES"/>
        </w:rPr>
        <w:t xml:space="preserve"> adicionales de emisión potencial, lo que dio como resultado 461,8 </w:t>
      </w:r>
      <w:proofErr w:type="spellStart"/>
      <w:r w:rsidRPr="006377FA">
        <w:rPr>
          <w:lang w:val="es-ES"/>
        </w:rPr>
        <w:t>tm</w:t>
      </w:r>
      <w:proofErr w:type="spellEnd"/>
      <w:r w:rsidRPr="006377FA">
        <w:rPr>
          <w:lang w:val="es-ES"/>
        </w:rPr>
        <w:t xml:space="preserve"> y 574 </w:t>
      </w:r>
      <w:proofErr w:type="spellStart"/>
      <w:r w:rsidRPr="006377FA">
        <w:rPr>
          <w:lang w:val="es-ES"/>
        </w:rPr>
        <w:t>tm</w:t>
      </w:r>
      <w:proofErr w:type="spellEnd"/>
      <w:r w:rsidRPr="006377FA">
        <w:rPr>
          <w:lang w:val="es-ES"/>
        </w:rPr>
        <w:t xml:space="preserve"> de emisión máxima de CTC procedente de la producción de CM (0,3 % y 0,4 % de la producción de CTC), respectivamente.</w:t>
      </w:r>
    </w:p>
    <w:p w14:paraId="318D9851" w14:textId="77777777" w:rsidR="006377FA" w:rsidRPr="006377FA" w:rsidRDefault="006377FA" w:rsidP="006377FA">
      <w:pPr>
        <w:numPr>
          <w:ilvl w:val="0"/>
          <w:numId w:val="1"/>
        </w:numPr>
        <w:spacing w:after="240"/>
        <w:outlineLvl w:val="0"/>
        <w:rPr>
          <w:lang w:val="es-ES"/>
        </w:rPr>
      </w:pPr>
      <w:r w:rsidRPr="006377FA">
        <w:rPr>
          <w:lang w:val="es-ES"/>
        </w:rPr>
        <w:t>Se supuso que las emisiones de CTC procedentes de la conversión de CTC en productos químicos que no contienen SAO por parte de los productores de CM eran muy bajas, de conformidad con la avanzada tecnología de conversión de CTC y la gestión del proceso para el proceso de producción a gran escala, continuo y altamente automatizado. Todas las empresas productoras de CM que convierten el CTC están diseñadas específicamente para convertir su CTC como subproducto; se utilizan medidas estrictas similares a las utilizadas en el proceso de producción de CM para reducir las emisiones de CTC. En 2017, la emisión de CTC de los productores de CM durante la conversión a productos químicos que no contienen SAO fue de 17,9 </w:t>
      </w:r>
      <w:proofErr w:type="spellStart"/>
      <w:r w:rsidRPr="006377FA">
        <w:rPr>
          <w:lang w:val="es-ES"/>
        </w:rPr>
        <w:t>tm</w:t>
      </w:r>
      <w:proofErr w:type="spellEnd"/>
      <w:r w:rsidRPr="006377FA">
        <w:rPr>
          <w:lang w:val="es-ES"/>
        </w:rPr>
        <w:t>, con 84,3 </w:t>
      </w:r>
      <w:proofErr w:type="spellStart"/>
      <w:r w:rsidRPr="006377FA">
        <w:rPr>
          <w:lang w:val="es-ES"/>
        </w:rPr>
        <w:t>tm</w:t>
      </w:r>
      <w:proofErr w:type="spellEnd"/>
      <w:r w:rsidRPr="006377FA">
        <w:rPr>
          <w:lang w:val="es-ES"/>
        </w:rPr>
        <w:t xml:space="preserve"> adicionales de emisión potencial, lo que dio como resultado 102,2 </w:t>
      </w:r>
      <w:proofErr w:type="spellStart"/>
      <w:r w:rsidRPr="006377FA">
        <w:rPr>
          <w:lang w:val="es-ES"/>
        </w:rPr>
        <w:t>tm</w:t>
      </w:r>
      <w:proofErr w:type="spellEnd"/>
      <w:r w:rsidRPr="006377FA">
        <w:rPr>
          <w:lang w:val="es-ES"/>
        </w:rPr>
        <w:t xml:space="preserve"> de emisión máxima. En 2018 y 2019, las emisiones disminuyeron a 13,1 </w:t>
      </w:r>
      <w:proofErr w:type="spellStart"/>
      <w:r w:rsidRPr="006377FA">
        <w:rPr>
          <w:lang w:val="es-ES"/>
        </w:rPr>
        <w:t>tm</w:t>
      </w:r>
      <w:proofErr w:type="spellEnd"/>
      <w:r w:rsidRPr="006377FA">
        <w:rPr>
          <w:lang w:val="es-ES"/>
        </w:rPr>
        <w:t xml:space="preserve"> y 14,2 </w:t>
      </w:r>
      <w:proofErr w:type="spellStart"/>
      <w:r w:rsidRPr="006377FA">
        <w:rPr>
          <w:lang w:val="es-ES"/>
        </w:rPr>
        <w:t>tm</w:t>
      </w:r>
      <w:proofErr w:type="spellEnd"/>
      <w:r w:rsidRPr="006377FA">
        <w:rPr>
          <w:lang w:val="es-ES"/>
        </w:rPr>
        <w:t>, con 86,9 </w:t>
      </w:r>
      <w:proofErr w:type="spellStart"/>
      <w:r w:rsidRPr="006377FA">
        <w:rPr>
          <w:lang w:val="es-ES"/>
        </w:rPr>
        <w:t>tm</w:t>
      </w:r>
      <w:proofErr w:type="spellEnd"/>
      <w:r w:rsidRPr="006377FA">
        <w:rPr>
          <w:lang w:val="es-ES"/>
        </w:rPr>
        <w:t xml:space="preserve"> y 75,0 </w:t>
      </w:r>
      <w:proofErr w:type="spellStart"/>
      <w:r w:rsidRPr="006377FA">
        <w:rPr>
          <w:lang w:val="es-ES"/>
        </w:rPr>
        <w:t>tm</w:t>
      </w:r>
      <w:proofErr w:type="spellEnd"/>
      <w:r w:rsidRPr="006377FA">
        <w:rPr>
          <w:lang w:val="es-ES"/>
        </w:rPr>
        <w:t xml:space="preserve"> adicionales de emisión potencial, lo que dio como resultado 100,0 </w:t>
      </w:r>
      <w:proofErr w:type="spellStart"/>
      <w:r w:rsidRPr="006377FA">
        <w:rPr>
          <w:lang w:val="es-ES"/>
        </w:rPr>
        <w:t>tm</w:t>
      </w:r>
      <w:proofErr w:type="spellEnd"/>
      <w:r w:rsidRPr="006377FA">
        <w:rPr>
          <w:lang w:val="es-ES"/>
        </w:rPr>
        <w:t xml:space="preserve"> y 89,2 </w:t>
      </w:r>
      <w:proofErr w:type="spellStart"/>
      <w:r w:rsidRPr="006377FA">
        <w:rPr>
          <w:lang w:val="es-ES"/>
        </w:rPr>
        <w:t>tm</w:t>
      </w:r>
      <w:proofErr w:type="spellEnd"/>
      <w:r w:rsidRPr="006377FA">
        <w:rPr>
          <w:lang w:val="es-ES"/>
        </w:rPr>
        <w:t xml:space="preserve"> de emisión máxima, respectivamente. Las emisiones disminuyeron a pesar del aumento de la cantidad de CTC convertido en productos químicos que no contienen SAO, debido al cambio en la proporción relativa de los productos que no contienen SAO producidos y a las diferentes emisiones asociadas a cada proceso; en particular, las emisiones más elevadas de 2017 correspondieron a la producción de cloroformo, que disminuyó en 2018 y 2019. Por el contrario, la producción de cloruro de metilo, que no genera emisiones de CTC, aumentó, al igual que la producción de PCE, cuyas emisiones de CTC son relativamente bajas. </w:t>
      </w:r>
    </w:p>
    <w:p w14:paraId="20191CFE" w14:textId="77777777" w:rsidR="006377FA" w:rsidRPr="006377FA" w:rsidRDefault="006377FA" w:rsidP="006377FA">
      <w:pPr>
        <w:numPr>
          <w:ilvl w:val="0"/>
          <w:numId w:val="1"/>
        </w:numPr>
        <w:spacing w:after="240"/>
        <w:outlineLvl w:val="0"/>
        <w:rPr>
          <w:lang w:val="es-ES"/>
        </w:rPr>
      </w:pPr>
      <w:r w:rsidRPr="006377FA">
        <w:rPr>
          <w:lang w:val="es-ES"/>
        </w:rPr>
        <w:t>Se supuso que las emisiones de CTC del uso como materia prima son bajas dada la alta tasa de utilización del CTC que se garantiza mediante el ajuste de las condiciones de reacción, el reciclaje del CTC en el proceso de producción y las avanzadas tecnologías de producción y de gestión del CTC. En 2017, las emisiones del uso del CTC como materia prima fueron de 39,4 </w:t>
      </w:r>
      <w:proofErr w:type="spellStart"/>
      <w:r w:rsidRPr="006377FA">
        <w:rPr>
          <w:lang w:val="es-ES"/>
        </w:rPr>
        <w:t>tm</w:t>
      </w:r>
      <w:proofErr w:type="spellEnd"/>
      <w:r w:rsidRPr="006377FA">
        <w:rPr>
          <w:lang w:val="es-ES"/>
        </w:rPr>
        <w:t>, con 138,6 </w:t>
      </w:r>
      <w:proofErr w:type="spellStart"/>
      <w:r w:rsidRPr="006377FA">
        <w:rPr>
          <w:lang w:val="es-ES"/>
        </w:rPr>
        <w:t>tm</w:t>
      </w:r>
      <w:proofErr w:type="spellEnd"/>
      <w:r w:rsidRPr="006377FA">
        <w:rPr>
          <w:lang w:val="es-ES"/>
        </w:rPr>
        <w:t xml:space="preserve"> adicionales de emisión potencial, lo que dio como resultado 177,9 </w:t>
      </w:r>
      <w:proofErr w:type="spellStart"/>
      <w:r w:rsidRPr="006377FA">
        <w:rPr>
          <w:lang w:val="es-ES"/>
        </w:rPr>
        <w:t>tm</w:t>
      </w:r>
      <w:proofErr w:type="spellEnd"/>
      <w:r w:rsidRPr="006377FA">
        <w:rPr>
          <w:lang w:val="es-ES"/>
        </w:rPr>
        <w:t xml:space="preserve"> de emisión máxima. En 2018 y 2019, las emisiones aumentaron a 54,3 </w:t>
      </w:r>
      <w:proofErr w:type="spellStart"/>
      <w:r w:rsidRPr="006377FA">
        <w:rPr>
          <w:lang w:val="es-ES"/>
        </w:rPr>
        <w:t>tm</w:t>
      </w:r>
      <w:proofErr w:type="spellEnd"/>
      <w:r w:rsidRPr="006377FA">
        <w:rPr>
          <w:lang w:val="es-ES"/>
        </w:rPr>
        <w:t xml:space="preserve"> y 75,2 </w:t>
      </w:r>
      <w:proofErr w:type="spellStart"/>
      <w:r w:rsidRPr="006377FA">
        <w:rPr>
          <w:lang w:val="es-ES"/>
        </w:rPr>
        <w:t>tm</w:t>
      </w:r>
      <w:proofErr w:type="spellEnd"/>
      <w:r w:rsidRPr="006377FA">
        <w:rPr>
          <w:lang w:val="es-ES"/>
        </w:rPr>
        <w:t>, con disminución a 74,4 </w:t>
      </w:r>
      <w:proofErr w:type="spellStart"/>
      <w:r w:rsidRPr="006377FA">
        <w:rPr>
          <w:lang w:val="es-ES"/>
        </w:rPr>
        <w:t>tm</w:t>
      </w:r>
      <w:proofErr w:type="spellEnd"/>
      <w:r w:rsidRPr="006377FA">
        <w:rPr>
          <w:lang w:val="es-ES"/>
        </w:rPr>
        <w:t xml:space="preserve"> y 93,8 </w:t>
      </w:r>
      <w:proofErr w:type="spellStart"/>
      <w:r w:rsidRPr="006377FA">
        <w:rPr>
          <w:lang w:val="es-ES"/>
        </w:rPr>
        <w:t>tm</w:t>
      </w:r>
      <w:proofErr w:type="spellEnd"/>
      <w:r w:rsidRPr="006377FA">
        <w:rPr>
          <w:lang w:val="es-ES"/>
        </w:rPr>
        <w:t xml:space="preserve"> adicionales de emisión potencial, lo que dio como resultado 128,7 </w:t>
      </w:r>
      <w:proofErr w:type="spellStart"/>
      <w:r w:rsidRPr="006377FA">
        <w:rPr>
          <w:lang w:val="es-ES"/>
        </w:rPr>
        <w:t>tm</w:t>
      </w:r>
      <w:proofErr w:type="spellEnd"/>
      <w:r w:rsidRPr="006377FA">
        <w:rPr>
          <w:lang w:val="es-ES"/>
        </w:rPr>
        <w:t xml:space="preserve"> y 169,0 </w:t>
      </w:r>
      <w:proofErr w:type="spellStart"/>
      <w:r w:rsidRPr="006377FA">
        <w:rPr>
          <w:lang w:val="es-ES"/>
        </w:rPr>
        <w:t>tm</w:t>
      </w:r>
      <w:proofErr w:type="spellEnd"/>
      <w:r w:rsidRPr="006377FA">
        <w:rPr>
          <w:lang w:val="es-ES"/>
        </w:rPr>
        <w:t xml:space="preserve"> de emisión máxima, respectivamente. </w:t>
      </w:r>
    </w:p>
    <w:p w14:paraId="7E79ED46" w14:textId="72ABD44A" w:rsidR="006377FA" w:rsidRPr="006377FA" w:rsidRDefault="006377FA" w:rsidP="00CD3B76">
      <w:pPr>
        <w:keepNext/>
        <w:numPr>
          <w:ilvl w:val="0"/>
          <w:numId w:val="1"/>
        </w:numPr>
        <w:spacing w:after="240"/>
        <w:outlineLvl w:val="0"/>
        <w:rPr>
          <w:lang w:val="es-ES"/>
        </w:rPr>
      </w:pPr>
      <w:r w:rsidRPr="006377FA">
        <w:rPr>
          <w:lang w:val="es-ES"/>
        </w:rPr>
        <w:t>El Cuadro 2 resume las emisiones estimadas de CTC para 2017-2019.</w:t>
      </w:r>
    </w:p>
    <w:p w14:paraId="26908EB1" w14:textId="77777777" w:rsidR="006377FA" w:rsidRPr="006377FA" w:rsidRDefault="006377FA" w:rsidP="00CD3B76">
      <w:pPr>
        <w:keepNext/>
        <w:outlineLvl w:val="0"/>
        <w:rPr>
          <w:lang w:val="es-ES"/>
        </w:rPr>
      </w:pPr>
      <w:r w:rsidRPr="006377FA">
        <w:rPr>
          <w:b/>
          <w:lang w:val="es-ES"/>
        </w:rPr>
        <w:t>Cuadro 2. Emisiones estimadas de CTC para 2017-2019 en China (</w:t>
      </w:r>
      <w:proofErr w:type="spellStart"/>
      <w:r w:rsidRPr="006377FA">
        <w:rPr>
          <w:b/>
          <w:lang w:val="es-ES"/>
        </w:rPr>
        <w:t>tm</w:t>
      </w:r>
      <w:proofErr w:type="spellEnd"/>
      <w:r w:rsidRPr="006377FA">
        <w:rPr>
          <w:b/>
          <w:lang w:val="es-ES"/>
        </w:rPr>
        <w:t>)</w:t>
      </w:r>
      <w:r w:rsidRPr="006377FA">
        <w:rPr>
          <w:lang w:val="es-ES"/>
        </w:rPr>
        <w:t xml:space="preserve"> </w:t>
      </w:r>
    </w:p>
    <w:tbl>
      <w:tblPr>
        <w:tblW w:w="9351" w:type="dxa"/>
        <w:tblLayout w:type="fixed"/>
        <w:tblLook w:val="04A0" w:firstRow="1" w:lastRow="0" w:firstColumn="1" w:lastColumn="0" w:noHBand="0" w:noVBand="1"/>
      </w:tblPr>
      <w:tblGrid>
        <w:gridCol w:w="1101"/>
        <w:gridCol w:w="916"/>
        <w:gridCol w:w="917"/>
        <w:gridCol w:w="917"/>
        <w:gridCol w:w="916"/>
        <w:gridCol w:w="917"/>
        <w:gridCol w:w="917"/>
        <w:gridCol w:w="916"/>
        <w:gridCol w:w="917"/>
        <w:gridCol w:w="917"/>
      </w:tblGrid>
      <w:tr w:rsidR="006377FA" w:rsidRPr="006377FA" w14:paraId="503B8444" w14:textId="77777777" w:rsidTr="003A48DC">
        <w:trPr>
          <w:trHeight w:val="300"/>
          <w:tblHeader/>
        </w:trPr>
        <w:tc>
          <w:tcPr>
            <w:tcW w:w="1101"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12BEE44F" w14:textId="77777777" w:rsidR="006377FA" w:rsidRPr="006377FA" w:rsidRDefault="006377FA" w:rsidP="00CD3B76">
            <w:pPr>
              <w:keepNext/>
              <w:spacing w:before="20" w:after="20"/>
              <w:jc w:val="left"/>
              <w:rPr>
                <w:b/>
                <w:bCs/>
                <w:color w:val="000000"/>
                <w:sz w:val="20"/>
                <w:szCs w:val="20"/>
                <w:lang w:val="es-ES"/>
              </w:rPr>
            </w:pPr>
            <w:r w:rsidRPr="006377FA">
              <w:rPr>
                <w:b/>
                <w:color w:val="000000"/>
                <w:sz w:val="20"/>
                <w:lang w:val="es-ES"/>
              </w:rPr>
              <w:t>Año</w:t>
            </w:r>
          </w:p>
        </w:tc>
        <w:tc>
          <w:tcPr>
            <w:tcW w:w="2750" w:type="dxa"/>
            <w:gridSpan w:val="3"/>
            <w:tcBorders>
              <w:top w:val="single" w:sz="4" w:space="0" w:color="auto"/>
              <w:left w:val="nil"/>
              <w:bottom w:val="single" w:sz="4" w:space="0" w:color="auto"/>
              <w:right w:val="single" w:sz="4" w:space="0" w:color="000000"/>
            </w:tcBorders>
            <w:shd w:val="clear" w:color="auto" w:fill="auto"/>
            <w:noWrap/>
            <w:tcMar>
              <w:left w:w="85" w:type="dxa"/>
              <w:right w:w="85" w:type="dxa"/>
            </w:tcMar>
            <w:vAlign w:val="center"/>
            <w:hideMark/>
          </w:tcPr>
          <w:p w14:paraId="40497388" w14:textId="77777777" w:rsidR="006377FA" w:rsidRPr="006377FA" w:rsidRDefault="006377FA" w:rsidP="00CD3B76">
            <w:pPr>
              <w:keepNext/>
              <w:spacing w:before="20" w:after="20"/>
              <w:jc w:val="center"/>
              <w:rPr>
                <w:b/>
                <w:bCs/>
                <w:color w:val="000000"/>
                <w:sz w:val="20"/>
                <w:szCs w:val="20"/>
                <w:lang w:val="es-ES"/>
              </w:rPr>
            </w:pPr>
            <w:r w:rsidRPr="006377FA">
              <w:rPr>
                <w:b/>
                <w:color w:val="000000"/>
                <w:sz w:val="20"/>
                <w:lang w:val="es-ES"/>
              </w:rPr>
              <w:t>2017</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CE1F129" w14:textId="77777777" w:rsidR="006377FA" w:rsidRPr="006377FA" w:rsidRDefault="006377FA" w:rsidP="00CD3B76">
            <w:pPr>
              <w:keepNext/>
              <w:spacing w:before="20" w:after="20"/>
              <w:jc w:val="center"/>
              <w:rPr>
                <w:b/>
                <w:bCs/>
                <w:color w:val="000000"/>
                <w:sz w:val="20"/>
                <w:szCs w:val="20"/>
                <w:lang w:val="es-ES"/>
              </w:rPr>
            </w:pPr>
            <w:r w:rsidRPr="006377FA">
              <w:rPr>
                <w:b/>
                <w:color w:val="000000"/>
                <w:sz w:val="20"/>
                <w:lang w:val="es-ES"/>
              </w:rPr>
              <w:t>2018</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62ED9A0B" w14:textId="77777777" w:rsidR="006377FA" w:rsidRPr="006377FA" w:rsidRDefault="006377FA" w:rsidP="00CD3B76">
            <w:pPr>
              <w:keepNext/>
              <w:spacing w:before="20" w:after="20"/>
              <w:jc w:val="center"/>
              <w:rPr>
                <w:b/>
                <w:bCs/>
                <w:color w:val="000000"/>
                <w:sz w:val="20"/>
                <w:szCs w:val="20"/>
                <w:lang w:val="es-ES"/>
              </w:rPr>
            </w:pPr>
            <w:r w:rsidRPr="006377FA">
              <w:rPr>
                <w:b/>
                <w:color w:val="000000"/>
                <w:sz w:val="20"/>
                <w:lang w:val="es-ES"/>
              </w:rPr>
              <w:t>2019</w:t>
            </w:r>
          </w:p>
        </w:tc>
      </w:tr>
      <w:tr w:rsidR="006377FA" w:rsidRPr="006377FA" w14:paraId="721D6D53" w14:textId="77777777" w:rsidTr="007D2C0F">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164E109A" w14:textId="77777777" w:rsidR="006377FA" w:rsidRPr="006377FA" w:rsidRDefault="006377FA" w:rsidP="007D2C0F">
            <w:pPr>
              <w:spacing w:before="20" w:after="20"/>
              <w:jc w:val="left"/>
              <w:rPr>
                <w:b/>
                <w:bCs/>
                <w:color w:val="000000"/>
                <w:sz w:val="20"/>
                <w:szCs w:val="20"/>
                <w:lang w:val="es-ES"/>
              </w:rPr>
            </w:pPr>
            <w:r w:rsidRPr="006377FA">
              <w:rPr>
                <w:b/>
                <w:color w:val="000000"/>
                <w:sz w:val="20"/>
                <w:lang w:val="es-ES"/>
              </w:rPr>
              <w:t xml:space="preserve">Ítem </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4BDFAD00"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real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5EFCB6A9"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potencial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1FF84D2F"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máxima</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13B5CB1C"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real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403DAC24"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potencial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1901B90C"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máxima</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7224BE46"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real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06A4771F"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potencial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6E7AA51E"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máxima</w:t>
            </w:r>
          </w:p>
        </w:tc>
      </w:tr>
      <w:tr w:rsidR="006377FA" w:rsidRPr="006377FA" w14:paraId="6F73FED9" w14:textId="77777777" w:rsidTr="007D2C0F">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DF80C0D" w14:textId="77777777" w:rsidR="006377FA" w:rsidRPr="006377FA" w:rsidRDefault="006377FA" w:rsidP="007D2C0F">
            <w:pPr>
              <w:spacing w:before="20" w:after="20"/>
              <w:jc w:val="left"/>
              <w:rPr>
                <w:color w:val="000000"/>
                <w:sz w:val="20"/>
                <w:szCs w:val="20"/>
                <w:lang w:val="es-ES"/>
              </w:rPr>
            </w:pPr>
            <w:r w:rsidRPr="006377FA">
              <w:rPr>
                <w:color w:val="000000"/>
                <w:sz w:val="20"/>
                <w:lang w:val="es-ES"/>
              </w:rPr>
              <w:t xml:space="preserve">Producción de CM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5FF33526"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25,6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104AD856"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365,6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225A1371"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391,2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74A8925D"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29,6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2040275"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432,2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EDF01F7"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461,8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7C5B5B2A"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30,3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7C54388"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543,7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45BC9A30"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574,0 </w:t>
            </w:r>
          </w:p>
        </w:tc>
      </w:tr>
      <w:tr w:rsidR="006377FA" w:rsidRPr="006377FA" w14:paraId="19B1BBE8" w14:textId="77777777" w:rsidTr="007D2C0F">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5004BBC0" w14:textId="7ED3939B" w:rsidR="006377FA" w:rsidRPr="006377FA" w:rsidRDefault="006377FA" w:rsidP="007D2C0F">
            <w:pPr>
              <w:spacing w:before="20" w:after="20"/>
              <w:jc w:val="left"/>
              <w:rPr>
                <w:color w:val="000000"/>
                <w:sz w:val="20"/>
                <w:szCs w:val="20"/>
                <w:lang w:val="es-ES"/>
              </w:rPr>
            </w:pPr>
            <w:r w:rsidRPr="006377FA">
              <w:rPr>
                <w:color w:val="000000"/>
                <w:sz w:val="20"/>
                <w:lang w:val="es-ES"/>
              </w:rPr>
              <w:t>Conversión en los producto-res de CM</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60A38466"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17,9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7C1B1A1D"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84,3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36C5BB4E"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102,2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AAF610C"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13,1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52AEEAA"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86,9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B12B96A"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100,0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085FE031"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14,2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128729E"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75,0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7C207CA"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89,2 </w:t>
            </w:r>
          </w:p>
        </w:tc>
      </w:tr>
      <w:tr w:rsidR="006377FA" w:rsidRPr="006377FA" w14:paraId="09D7955B" w14:textId="77777777" w:rsidTr="007D2C0F">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52827FDB" w14:textId="77777777" w:rsidR="006377FA" w:rsidRPr="006377FA" w:rsidRDefault="006377FA" w:rsidP="007D2C0F">
            <w:pPr>
              <w:spacing w:before="20" w:after="20"/>
              <w:jc w:val="left"/>
              <w:rPr>
                <w:color w:val="000000"/>
                <w:sz w:val="20"/>
                <w:szCs w:val="20"/>
                <w:lang w:val="es-ES"/>
              </w:rPr>
            </w:pPr>
            <w:r w:rsidRPr="006377FA">
              <w:rPr>
                <w:color w:val="000000"/>
                <w:sz w:val="20"/>
                <w:lang w:val="es-ES"/>
              </w:rPr>
              <w:t xml:space="preserve">Usos como materia prima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736FE6D2"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39,4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26F70691"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138,6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6DC3C150"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177,9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09DC15B3"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54,3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B391C6A"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74,4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903E4AD"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128,7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65689657"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75,2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85C6B1B"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93,8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C85F368"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169,0 </w:t>
            </w:r>
          </w:p>
        </w:tc>
      </w:tr>
      <w:tr w:rsidR="006377FA" w:rsidRPr="006377FA" w14:paraId="6E248FBE" w14:textId="77777777" w:rsidTr="007D2C0F">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2E897CDB" w14:textId="77777777" w:rsidR="006377FA" w:rsidRPr="006377FA" w:rsidRDefault="006377FA" w:rsidP="007D2C0F">
            <w:pPr>
              <w:spacing w:before="20" w:after="20"/>
              <w:jc w:val="left"/>
              <w:rPr>
                <w:b/>
                <w:bCs/>
                <w:color w:val="000000"/>
                <w:sz w:val="20"/>
                <w:szCs w:val="20"/>
                <w:lang w:val="es-ES"/>
              </w:rPr>
            </w:pPr>
            <w:r w:rsidRPr="006377FA">
              <w:rPr>
                <w:b/>
                <w:color w:val="000000"/>
                <w:sz w:val="20"/>
                <w:lang w:val="es-ES"/>
              </w:rPr>
              <w:t>Total</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6B87AB42"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82,9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4EC1EAAD"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588,4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054D7AD"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671,3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1E2BFBE"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97,0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2E2C933"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593,5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14D5DFA"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690,5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201B1F5C"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119,7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4B8EC73D"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712,5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F7E5F8E"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832,2 </w:t>
            </w:r>
          </w:p>
        </w:tc>
      </w:tr>
    </w:tbl>
    <w:p w14:paraId="0BAB5EF8" w14:textId="77777777" w:rsidR="006377FA" w:rsidRPr="006377FA" w:rsidRDefault="006377FA" w:rsidP="006377FA">
      <w:pPr>
        <w:keepNext/>
        <w:spacing w:before="360"/>
        <w:rPr>
          <w:b/>
          <w:lang w:val="es-ES"/>
        </w:rPr>
      </w:pPr>
      <w:r w:rsidRPr="006377FA">
        <w:rPr>
          <w:b/>
          <w:lang w:val="es-ES"/>
        </w:rPr>
        <w:t>Observaciones de la Secretaría</w:t>
      </w:r>
    </w:p>
    <w:p w14:paraId="4866F5C8" w14:textId="77777777" w:rsidR="006377FA" w:rsidRPr="006377FA" w:rsidRDefault="006377FA" w:rsidP="006377FA">
      <w:pPr>
        <w:keepNext/>
        <w:rPr>
          <w:lang w:val="es-ES"/>
        </w:rPr>
      </w:pPr>
    </w:p>
    <w:p w14:paraId="30EFE182" w14:textId="77777777" w:rsidR="006377FA" w:rsidRPr="006377FA" w:rsidRDefault="006377FA" w:rsidP="006377FA">
      <w:pPr>
        <w:keepNext/>
        <w:rPr>
          <w:u w:val="single"/>
          <w:lang w:val="es-ES"/>
        </w:rPr>
      </w:pPr>
      <w:r w:rsidRPr="006377FA">
        <w:rPr>
          <w:u w:val="single"/>
          <w:lang w:val="es-ES"/>
        </w:rPr>
        <w:t>Producción, niveles de existencias y controles de CTC</w:t>
      </w:r>
    </w:p>
    <w:p w14:paraId="7DAB089F" w14:textId="77777777" w:rsidR="006377FA" w:rsidRPr="006377FA" w:rsidRDefault="006377FA" w:rsidP="006377FA">
      <w:pPr>
        <w:keepNext/>
        <w:rPr>
          <w:lang w:val="es-ES"/>
        </w:rPr>
      </w:pPr>
    </w:p>
    <w:p w14:paraId="2576B825" w14:textId="77777777" w:rsidR="006377FA" w:rsidRPr="006377FA" w:rsidRDefault="006377FA" w:rsidP="006377FA">
      <w:pPr>
        <w:pStyle w:val="Heading1"/>
        <w:keepNext/>
        <w:rPr>
          <w:u w:val="single"/>
          <w:lang w:val="es-ES"/>
        </w:rPr>
      </w:pPr>
      <w:r w:rsidRPr="006377FA">
        <w:rPr>
          <w:lang w:val="es-ES"/>
        </w:rPr>
        <w:t xml:space="preserve">El porcentaje de producción de CTC en función de la producción de CM aumentó para satisfacer la creciente demanda del mercado de CTC como materia prima. En particular, los productores de CM pueden ajustar su proceso de producción y la cantidad de CTC como subproducto en función de la demanda de CTC para usos como materia prima. La plataforma nacional de supervisión de subproductos de CTC comenzó a funcionar en 2019; la plataforma permite la supervisión diaria de la producción en los productores de CM. </w:t>
      </w:r>
    </w:p>
    <w:p w14:paraId="56832AFF" w14:textId="77777777" w:rsidR="006377FA" w:rsidRPr="006377FA" w:rsidRDefault="006377FA" w:rsidP="006377FA">
      <w:pPr>
        <w:pStyle w:val="Heading1"/>
        <w:keepNext/>
        <w:rPr>
          <w:u w:val="single"/>
          <w:lang w:val="es-ES"/>
        </w:rPr>
      </w:pPr>
      <w:r w:rsidRPr="006377FA">
        <w:rPr>
          <w:lang w:val="es-ES"/>
        </w:rPr>
        <w:t xml:space="preserve">El aumento de los niveles de existencias de CTC en 2019 se debió principalmente a un problema operativo con el dispositivo de destrucción en un productor de CM ese año; posteriormente, el productor de CM encargó a otro productor de CM que colaborara en la eliminación de las existencias, la que fue supervisada por la oficina local de ecología y medio ambiente. El Banco Mundial hizo hincapié en que el Ministerio de Ecología y Medio Ambiente preste especial atención a las existencias de CTC de los productores de CM y los inste a completar la destrucción requerida en forma oportuna. </w:t>
      </w:r>
    </w:p>
    <w:p w14:paraId="01156463" w14:textId="77777777" w:rsidR="006377FA" w:rsidRPr="006377FA" w:rsidRDefault="006377FA" w:rsidP="006377FA">
      <w:pPr>
        <w:pStyle w:val="Heading1"/>
        <w:rPr>
          <w:lang w:val="es-ES"/>
        </w:rPr>
      </w:pPr>
      <w:r w:rsidRPr="006377FA">
        <w:rPr>
          <w:lang w:val="es-ES"/>
        </w:rPr>
        <w:t xml:space="preserve">En la 84ª reunión, el Banco Mundial había indicado que era necesario seguir investigando si las mejoras tecnológicas de los productores de CM podrían reducir aún más la concentración de CTC en el cloroformo, una fuente potencial de emisiones de CTC. El Banco Mundial informó que, desde entonces, los productores de CM no habían considerado tales mejoras tecnológicas. </w:t>
      </w:r>
    </w:p>
    <w:p w14:paraId="2CB8E516" w14:textId="77777777" w:rsidR="006377FA" w:rsidRPr="006377FA" w:rsidRDefault="006377FA" w:rsidP="006377FA">
      <w:pPr>
        <w:pStyle w:val="Heading1"/>
        <w:rPr>
          <w:lang w:val="es-ES"/>
        </w:rPr>
      </w:pPr>
      <w:r w:rsidRPr="006377FA">
        <w:rPr>
          <w:lang w:val="es-ES"/>
        </w:rPr>
        <w:t>En la 84ª reunión, la Secretaría había observado que para todos los usuarios de materias primas en el informe de 2015-2017, los coeficientes de transformación de cada una de las empresas variaban de año en año, además de hacerlo entre empresas para el mismo uso de la materia prima y entre las empresas para el mismo uso de materias primas; además, que algunos coeficientes de transformación comunicados parecían variar de año en año para la misma empresa, lo que haría que fuera difícil supervisar de forma exhaustiva el CTC. El Gobierno consideró que el sistema existente era adecuado.</w:t>
      </w:r>
    </w:p>
    <w:p w14:paraId="4C393C88" w14:textId="77777777" w:rsidR="006377FA" w:rsidRPr="006377FA" w:rsidRDefault="006377FA" w:rsidP="006377FA">
      <w:pPr>
        <w:keepNext/>
        <w:rPr>
          <w:u w:val="single"/>
          <w:lang w:val="es-ES"/>
        </w:rPr>
      </w:pPr>
      <w:r w:rsidRPr="006377FA">
        <w:rPr>
          <w:u w:val="single"/>
          <w:lang w:val="es-ES"/>
        </w:rPr>
        <w:t>Producción de PCE mediante el proceso de cloración de alcanos C1-C3</w:t>
      </w:r>
    </w:p>
    <w:p w14:paraId="4AD413F2" w14:textId="77777777" w:rsidR="006377FA" w:rsidRPr="006377FA" w:rsidRDefault="006377FA" w:rsidP="006377FA">
      <w:pPr>
        <w:keepNext/>
        <w:rPr>
          <w:u w:val="single"/>
          <w:lang w:val="es-ES"/>
        </w:rPr>
      </w:pPr>
    </w:p>
    <w:p w14:paraId="450E07AD" w14:textId="77777777" w:rsidR="006377FA" w:rsidRPr="006377FA" w:rsidRDefault="006377FA" w:rsidP="006377FA">
      <w:pPr>
        <w:pStyle w:val="Heading1"/>
        <w:rPr>
          <w:lang w:val="es-ES"/>
        </w:rPr>
      </w:pPr>
      <w:r w:rsidRPr="006377FA">
        <w:rPr>
          <w:lang w:val="es-ES"/>
        </w:rPr>
        <w:t xml:space="preserve">En la 84ª reunión, la Secretaría había solicitado una aclaración sobre la supervisión del CTC en los productores de PCE que utilizan el proceso de cloración de alcanos C1-C3. El informe actualizado indica que el único productor de PCE que utiliza el proceso de cloración de alcanos no tiene una unidad de purificación de CTC para separar el CTC de las corrientes del proceso que incluyen una mezcla de CTC, PCE y otros componentes. En consecuencia, el Gobierno consideró que el riesgo de desvío de CTC es bajo y, por lo tanto, no ha tomado ninguna medida adicional para supervisar la planta de PCE. El Banco Mundial confirmó que el productor de PCE tendría que presentar una evaluación de impacto ambiental a fin de modificar sustancialmente su proceso de producción, incluso instalando una unidad de purificación de CTC. </w:t>
      </w:r>
    </w:p>
    <w:p w14:paraId="46494CBE" w14:textId="77777777" w:rsidR="006377FA" w:rsidRPr="006377FA" w:rsidRDefault="006377FA" w:rsidP="006377FA">
      <w:pPr>
        <w:rPr>
          <w:u w:val="single"/>
          <w:lang w:val="es-ES"/>
        </w:rPr>
      </w:pPr>
      <w:r w:rsidRPr="006377FA">
        <w:rPr>
          <w:u w:val="single"/>
          <w:lang w:val="es-ES"/>
        </w:rPr>
        <w:t xml:space="preserve">Emisiones de CTC </w:t>
      </w:r>
    </w:p>
    <w:p w14:paraId="0511E726" w14:textId="77777777" w:rsidR="006377FA" w:rsidRPr="006377FA" w:rsidRDefault="006377FA" w:rsidP="006377FA">
      <w:pPr>
        <w:rPr>
          <w:u w:val="single"/>
          <w:lang w:val="es-ES"/>
        </w:rPr>
      </w:pPr>
    </w:p>
    <w:p w14:paraId="1ADD5348" w14:textId="77777777" w:rsidR="006377FA" w:rsidRPr="006377FA" w:rsidRDefault="006377FA" w:rsidP="006377FA">
      <w:pPr>
        <w:pStyle w:val="Heading1"/>
        <w:rPr>
          <w:lang w:val="es-ES"/>
        </w:rPr>
      </w:pPr>
      <w:r w:rsidRPr="006377FA">
        <w:rPr>
          <w:lang w:val="es-ES"/>
        </w:rPr>
        <w:t>En la 88ª reunión, la Secretaría observó que el informe actualizado no incluía información o análisis para abordar la diferencia en las emisiones reflejadas en la Evaluación científica del agotamiento del ozono de 2018 y en los documentos UNEP/</w:t>
      </w:r>
      <w:proofErr w:type="spellStart"/>
      <w:r w:rsidRPr="006377FA">
        <w:rPr>
          <w:lang w:val="es-ES"/>
        </w:rPr>
        <w:t>OzL.Pro</w:t>
      </w:r>
      <w:proofErr w:type="spellEnd"/>
      <w:r w:rsidRPr="006377FA">
        <w:rPr>
          <w:lang w:val="es-ES"/>
        </w:rPr>
        <w:t>/</w:t>
      </w:r>
      <w:proofErr w:type="spellStart"/>
      <w:r w:rsidRPr="006377FA">
        <w:rPr>
          <w:lang w:val="es-ES"/>
        </w:rPr>
        <w:t>ExCom</w:t>
      </w:r>
      <w:proofErr w:type="spellEnd"/>
      <w:r w:rsidRPr="006377FA">
        <w:rPr>
          <w:lang w:val="es-ES"/>
        </w:rPr>
        <w:t xml:space="preserve">/84/22/Add.2 y Add.3. En particular, el informe actualizado incluye emisiones estimadas de CTC que son inferiores en órdenes de magnitud a aquellas que figuran en el Informe de evaluación científica de 2018, así como en el artículo de </w:t>
      </w:r>
      <w:proofErr w:type="spellStart"/>
      <w:r w:rsidRPr="006377FA">
        <w:rPr>
          <w:lang w:val="es-ES"/>
        </w:rPr>
        <w:t>Lunt</w:t>
      </w:r>
      <w:proofErr w:type="spellEnd"/>
      <w:r w:rsidRPr="006377FA">
        <w:rPr>
          <w:lang w:val="es-ES"/>
        </w:rPr>
        <w:t xml:space="preserve"> </w:t>
      </w:r>
      <w:r w:rsidRPr="006377FA">
        <w:rPr>
          <w:i/>
          <w:iCs/>
          <w:lang w:val="es-ES"/>
        </w:rPr>
        <w:t>et al.</w:t>
      </w:r>
      <w:r w:rsidRPr="006377FA">
        <w:rPr>
          <w:lang w:val="es-ES"/>
        </w:rPr>
        <w:t xml:space="preserve"> (2018) en una revista científica</w:t>
      </w:r>
      <w:r w:rsidRPr="006377FA">
        <w:rPr>
          <w:rStyle w:val="FootnoteReference"/>
          <w:lang w:val="es-ES"/>
        </w:rPr>
        <w:footnoteReference w:id="11"/>
      </w:r>
      <w:r w:rsidRPr="006377FA">
        <w:rPr>
          <w:lang w:val="es-ES"/>
        </w:rPr>
        <w:t xml:space="preserve">, que se publicó demasiado tarde para ser considerado en el informe de 2018. </w:t>
      </w:r>
    </w:p>
    <w:p w14:paraId="37D0A6A8" w14:textId="33A53A89" w:rsidR="006377FA" w:rsidRPr="006377FA" w:rsidRDefault="006377FA" w:rsidP="006377FA">
      <w:pPr>
        <w:pStyle w:val="Heading1"/>
        <w:rPr>
          <w:lang w:val="es-ES"/>
        </w:rPr>
      </w:pPr>
      <w:proofErr w:type="spellStart"/>
      <w:r w:rsidRPr="006377FA">
        <w:rPr>
          <w:lang w:val="es-ES"/>
        </w:rPr>
        <w:t>Lunt</w:t>
      </w:r>
      <w:proofErr w:type="spellEnd"/>
      <w:r w:rsidRPr="006377FA">
        <w:rPr>
          <w:lang w:val="es-ES"/>
        </w:rPr>
        <w:t xml:space="preserve"> </w:t>
      </w:r>
      <w:r w:rsidRPr="006377FA">
        <w:rPr>
          <w:i/>
          <w:iCs/>
          <w:lang w:val="es-ES"/>
        </w:rPr>
        <w:t>et al.</w:t>
      </w:r>
      <w:r w:rsidRPr="006377FA">
        <w:rPr>
          <w:lang w:val="es-ES"/>
        </w:rPr>
        <w:t xml:space="preserve"> (2018) utilizaron dos métodos para estimar las emisiones de CTC de China de 17 (11</w:t>
      </w:r>
      <w:r w:rsidR="00FF3295">
        <w:rPr>
          <w:lang w:val="es-ES"/>
        </w:rPr>
        <w:noBreakHyphen/>
      </w:r>
      <w:r w:rsidRPr="006377FA">
        <w:rPr>
          <w:lang w:val="es-ES"/>
        </w:rPr>
        <w:t>24)</w:t>
      </w:r>
      <w:r w:rsidRPr="006377FA">
        <w:rPr>
          <w:rStyle w:val="FootnoteReference"/>
          <w:lang w:val="es-ES"/>
        </w:rPr>
        <w:footnoteReference w:id="12"/>
      </w:r>
      <w:r w:rsidRPr="006377FA">
        <w:rPr>
          <w:lang w:val="es-ES"/>
        </w:rPr>
        <w:t xml:space="preserve"> o 13 (7-19) </w:t>
      </w:r>
      <w:proofErr w:type="spellStart"/>
      <w:r w:rsidRPr="006377FA">
        <w:rPr>
          <w:lang w:val="es-ES"/>
        </w:rPr>
        <w:t>Gg</w:t>
      </w:r>
      <w:proofErr w:type="spellEnd"/>
      <w:r w:rsidRPr="006377FA">
        <w:rPr>
          <w:lang w:val="es-ES"/>
        </w:rPr>
        <w:t xml:space="preserve">/año para el período de 2009 a 2016. Estas estimaciones de emisiones se basan en observaciones de larga duración y alta frecuencia del CTC en la estación de medición de </w:t>
      </w:r>
      <w:proofErr w:type="spellStart"/>
      <w:r w:rsidRPr="006377FA">
        <w:rPr>
          <w:lang w:val="es-ES"/>
        </w:rPr>
        <w:t>Gosan</w:t>
      </w:r>
      <w:proofErr w:type="spellEnd"/>
      <w:r w:rsidRPr="006377FA">
        <w:rPr>
          <w:lang w:val="es-ES"/>
        </w:rPr>
        <w:t xml:space="preserve">, en la isla de </w:t>
      </w:r>
      <w:proofErr w:type="spellStart"/>
      <w:r w:rsidRPr="006377FA">
        <w:rPr>
          <w:lang w:val="es-ES"/>
        </w:rPr>
        <w:t>Jeju</w:t>
      </w:r>
      <w:proofErr w:type="spellEnd"/>
      <w:r w:rsidRPr="006377FA">
        <w:rPr>
          <w:lang w:val="es-ES"/>
        </w:rPr>
        <w:t xml:space="preserve"> (República de Corea)</w:t>
      </w:r>
      <w:r w:rsidRPr="006377FA">
        <w:rPr>
          <w:rStyle w:val="FootnoteReference"/>
          <w:lang w:val="es-ES"/>
        </w:rPr>
        <w:footnoteReference w:id="13"/>
      </w:r>
      <w:r w:rsidRPr="006377FA">
        <w:rPr>
          <w:lang w:val="es-ES"/>
        </w:rPr>
        <w:t>. Los autores también evaluaron las emisiones procedentes de China utilizando los datos de la campaña de vuelos Corea-Estados Unidos (KORUS-AQ) de mayo-junio de 2016, y descubrieron que las emisiones procedentes de China eran de 16 (13-21) </w:t>
      </w:r>
      <w:proofErr w:type="spellStart"/>
      <w:r w:rsidRPr="006377FA">
        <w:rPr>
          <w:lang w:val="es-ES"/>
        </w:rPr>
        <w:t>Gg</w:t>
      </w:r>
      <w:proofErr w:type="spellEnd"/>
      <w:r w:rsidRPr="006377FA">
        <w:rPr>
          <w:lang w:val="es-ES"/>
        </w:rPr>
        <w:t xml:space="preserve">/año, lo que coincide con las emisiones estimadas por los autores, derivadas de </w:t>
      </w:r>
      <w:proofErr w:type="spellStart"/>
      <w:r w:rsidRPr="006377FA">
        <w:rPr>
          <w:lang w:val="es-ES"/>
        </w:rPr>
        <w:t>Gosan</w:t>
      </w:r>
      <w:proofErr w:type="spellEnd"/>
      <w:r w:rsidRPr="006377FA">
        <w:rPr>
          <w:lang w:val="es-ES"/>
        </w:rPr>
        <w:t>, para 2016 de 15 (11</w:t>
      </w:r>
      <w:r w:rsidR="00FF3295">
        <w:rPr>
          <w:lang w:val="es-ES"/>
        </w:rPr>
        <w:noBreakHyphen/>
      </w:r>
      <w:r w:rsidRPr="006377FA">
        <w:rPr>
          <w:lang w:val="es-ES"/>
        </w:rPr>
        <w:t>20) </w:t>
      </w:r>
      <w:proofErr w:type="spellStart"/>
      <w:r w:rsidRPr="006377FA">
        <w:rPr>
          <w:lang w:val="es-ES"/>
        </w:rPr>
        <w:t>Gg</w:t>
      </w:r>
      <w:proofErr w:type="spellEnd"/>
      <w:r w:rsidRPr="006377FA">
        <w:rPr>
          <w:lang w:val="es-ES"/>
        </w:rPr>
        <w:t>/año. Si bien el informe sobre la producción de CTC en 2015-2017 y sus usos como materia prima en China</w:t>
      </w:r>
      <w:r w:rsidRPr="006377FA">
        <w:rPr>
          <w:rStyle w:val="FootnoteReference"/>
          <w:lang w:val="es-ES"/>
        </w:rPr>
        <w:footnoteReference w:id="14"/>
      </w:r>
      <w:r w:rsidRPr="006377FA">
        <w:rPr>
          <w:lang w:val="es-ES"/>
        </w:rPr>
        <w:t xml:space="preserve"> solo proporcionó estimaciones de emisiones para 2017, escalar el modelo basado en la producción de CTC, la conversión por parte de los productores de CM y los usos como materia prima en 2016, daría como resultado emisiones de CTC que están dos órdenes de magnitud por debajo de las estimadas por </w:t>
      </w:r>
      <w:proofErr w:type="spellStart"/>
      <w:r w:rsidRPr="006377FA">
        <w:rPr>
          <w:lang w:val="es-ES"/>
        </w:rPr>
        <w:t>Lunt</w:t>
      </w:r>
      <w:proofErr w:type="spellEnd"/>
      <w:r w:rsidRPr="006377FA">
        <w:rPr>
          <w:lang w:val="es-ES"/>
        </w:rPr>
        <w:t xml:space="preserve"> </w:t>
      </w:r>
      <w:r w:rsidRPr="006377FA">
        <w:rPr>
          <w:i/>
          <w:iCs/>
          <w:lang w:val="es-ES"/>
        </w:rPr>
        <w:t>et al.</w:t>
      </w:r>
      <w:r w:rsidRPr="006377FA">
        <w:rPr>
          <w:lang w:val="es-ES"/>
        </w:rPr>
        <w:t xml:space="preserve"> (2018); las emisiones máximas de CTC estimadas por el modelo estarían un orden de magnitud por debajo de las estimadas por </w:t>
      </w:r>
      <w:proofErr w:type="spellStart"/>
      <w:r w:rsidRPr="006377FA">
        <w:rPr>
          <w:lang w:val="es-ES"/>
        </w:rPr>
        <w:t>Lunt</w:t>
      </w:r>
      <w:proofErr w:type="spellEnd"/>
      <w:r w:rsidRPr="006377FA">
        <w:rPr>
          <w:lang w:val="es-ES"/>
        </w:rPr>
        <w:t xml:space="preserve"> </w:t>
      </w:r>
      <w:r w:rsidRPr="006377FA">
        <w:rPr>
          <w:i/>
          <w:iCs/>
          <w:lang w:val="es-ES"/>
        </w:rPr>
        <w:t>et al.</w:t>
      </w:r>
      <w:r w:rsidRPr="006377FA">
        <w:rPr>
          <w:lang w:val="es-ES"/>
        </w:rPr>
        <w:t xml:space="preserve"> (2018).</w:t>
      </w:r>
    </w:p>
    <w:p w14:paraId="5A964908" w14:textId="0296DBE9" w:rsidR="006377FA" w:rsidRPr="006377FA" w:rsidRDefault="006377FA" w:rsidP="006377FA">
      <w:pPr>
        <w:pStyle w:val="Heading1"/>
        <w:rPr>
          <w:lang w:val="es-ES"/>
        </w:rPr>
      </w:pPr>
      <w:r w:rsidRPr="006377FA">
        <w:rPr>
          <w:lang w:val="es-ES"/>
        </w:rPr>
        <w:t>Tras una solicitud de aclaración en la 88ª reunión</w:t>
      </w:r>
      <w:r w:rsidRPr="006377FA">
        <w:rPr>
          <w:rStyle w:val="FootnoteReference"/>
          <w:lang w:val="es-ES"/>
        </w:rPr>
        <w:footnoteReference w:id="15"/>
      </w:r>
      <w:r w:rsidRPr="006377FA">
        <w:rPr>
          <w:lang w:val="es-ES"/>
        </w:rPr>
        <w:t xml:space="preserve"> respecto a la diferencia en las emisiones, el Gobierno de China, a través del Banco Mundial, señaló la importancia de la discrepancia en las emisiones de CTC y que ha habido diferencias sustanciales en las estimaciones descendentes y ascendentes de los datos de emisiones de CTC durante años. El Gobierno consideró que esta discrepancia es un problema mundial que no solo involucra a China, sino también a otros países en otras regiones. El Gobierno señaló además que el Grupo de Evaluación Científica ha examinado esta cuestión durante más de diez años, y aunque la discrepancia de la emisión de CTC entre las estimaciones descendentes y ascendentes se ha reducido significativamente en el Informe de evaluación científica de 2018, las diferencias siguen existiendo y aún deben ser explicadas. El Informe de evaluación científica de 2018 señaló la necesidad de mejorar la comprensión de factores como la concentración de las muestras de aire y las condiciones meteorológicas que afectan a la evaluación. El Gobierno de China expresó su interés en hacer un seguimiento de las investigaci</w:t>
      </w:r>
      <w:r>
        <w:rPr>
          <w:lang w:val="es-ES"/>
        </w:rPr>
        <w:t>ones</w:t>
      </w:r>
      <w:r w:rsidRPr="006377FA">
        <w:rPr>
          <w:lang w:val="es-ES"/>
        </w:rPr>
        <w:t xml:space="preserve"> pertinentes al respecto. </w:t>
      </w:r>
    </w:p>
    <w:p w14:paraId="527C951E" w14:textId="77777777" w:rsidR="006377FA" w:rsidRPr="006377FA" w:rsidRDefault="006377FA" w:rsidP="006377FA">
      <w:pPr>
        <w:pStyle w:val="Heading1"/>
        <w:rPr>
          <w:lang w:val="es-ES"/>
        </w:rPr>
      </w:pPr>
      <w:r w:rsidRPr="006377FA">
        <w:rPr>
          <w:lang w:val="es-ES"/>
        </w:rPr>
        <w:t>El Gobierno de China señaló además que, sobre la base del informe actualizado y los reglamentos sobre la gestión y evaluación del CTC, las emisiones de CTC estimadas en el Informe de evaluación científica de 2018 no podían explicarse plenamente, no se encontró información sobre fuentes de emisión de CTC adicionales, e hizo hincapié en que:</w:t>
      </w:r>
    </w:p>
    <w:p w14:paraId="1071783E" w14:textId="77777777" w:rsidR="006377FA" w:rsidRPr="006377FA" w:rsidRDefault="006377FA" w:rsidP="006377FA">
      <w:pPr>
        <w:pStyle w:val="Heading2"/>
        <w:rPr>
          <w:lang w:val="es-ES"/>
        </w:rPr>
      </w:pPr>
      <w:r w:rsidRPr="006377FA">
        <w:rPr>
          <w:lang w:val="es-ES"/>
        </w:rPr>
        <w:t xml:space="preserve">Las líneas de producción de CM son un sistema altamente automatizado y cerrado con conexión perfecta entre los equipos y las unidades de incineración, por lo que las emisiones de CTC son prácticamente insignificantes; </w:t>
      </w:r>
    </w:p>
    <w:p w14:paraId="6C1E9BEB" w14:textId="77777777" w:rsidR="006377FA" w:rsidRPr="006377FA" w:rsidRDefault="006377FA" w:rsidP="006377FA">
      <w:pPr>
        <w:pStyle w:val="Heading2"/>
        <w:rPr>
          <w:lang w:val="es-ES"/>
        </w:rPr>
      </w:pPr>
      <w:r w:rsidRPr="006377FA">
        <w:rPr>
          <w:lang w:val="es-ES"/>
        </w:rPr>
        <w:t xml:space="preserve">Las empresas que utilizan CTC como materia prima hacen todo lo posible por manipular el CTC de forma rentable para reducir sus costos de producción, por lo que no existe ningún motivo para que las empresas emitan CTC deliberadamente; y </w:t>
      </w:r>
    </w:p>
    <w:p w14:paraId="6D506574" w14:textId="77777777" w:rsidR="006377FA" w:rsidRPr="006377FA" w:rsidRDefault="006377FA" w:rsidP="006377FA">
      <w:pPr>
        <w:pStyle w:val="Heading2"/>
        <w:rPr>
          <w:lang w:val="es-ES"/>
        </w:rPr>
      </w:pPr>
      <w:r w:rsidRPr="006377FA">
        <w:rPr>
          <w:lang w:val="es-ES"/>
        </w:rPr>
        <w:t xml:space="preserve">En los últimos años, el Gobierno ha ejecutado inspecciones estrictas y ha aplicado la ley para la protección del medio ambiente, en particular para esas plantas químicas. La supervisión de los compuestos orgánicos volátiles y de la demanda química de oxígeno fue muy reforzada por los organismos de ecología y protección del medio ambiente en diversos niveles. Al respecto, es poco probable que las emisiones de CTC de estas empresas sean las que se sugieren en el Informe de evaluación científica de 2018 o en el artículo de </w:t>
      </w:r>
      <w:proofErr w:type="spellStart"/>
      <w:r w:rsidRPr="006377FA">
        <w:rPr>
          <w:lang w:val="es-ES"/>
        </w:rPr>
        <w:t>Lunt</w:t>
      </w:r>
      <w:proofErr w:type="spellEnd"/>
      <w:r w:rsidRPr="006377FA">
        <w:rPr>
          <w:lang w:val="es-ES"/>
        </w:rPr>
        <w:t xml:space="preserve"> </w:t>
      </w:r>
      <w:r w:rsidRPr="006377FA">
        <w:rPr>
          <w:i/>
          <w:iCs/>
          <w:lang w:val="es-ES"/>
        </w:rPr>
        <w:t>et al.</w:t>
      </w:r>
      <w:r w:rsidRPr="006377FA">
        <w:rPr>
          <w:lang w:val="es-ES"/>
        </w:rPr>
        <w:t xml:space="preserve"> (2018).</w:t>
      </w:r>
    </w:p>
    <w:p w14:paraId="40510050" w14:textId="77777777" w:rsidR="006377FA" w:rsidRPr="006377FA" w:rsidRDefault="006377FA" w:rsidP="006377FA">
      <w:pPr>
        <w:pStyle w:val="Heading1"/>
        <w:keepNext/>
        <w:keepLines/>
        <w:rPr>
          <w:lang w:val="es-ES"/>
        </w:rPr>
      </w:pPr>
      <w:r w:rsidRPr="006377FA">
        <w:rPr>
          <w:lang w:val="es-ES"/>
        </w:rPr>
        <w:t xml:space="preserve">La Secretaría señaló que con posterioridad al artículo de </w:t>
      </w:r>
      <w:proofErr w:type="spellStart"/>
      <w:r w:rsidRPr="006377FA">
        <w:rPr>
          <w:lang w:val="es-ES"/>
        </w:rPr>
        <w:t>Lunt</w:t>
      </w:r>
      <w:proofErr w:type="spellEnd"/>
      <w:r w:rsidRPr="006377FA">
        <w:rPr>
          <w:lang w:val="es-ES"/>
        </w:rPr>
        <w:t xml:space="preserve"> </w:t>
      </w:r>
      <w:r w:rsidRPr="006377FA">
        <w:rPr>
          <w:i/>
          <w:iCs/>
          <w:lang w:val="es-ES"/>
        </w:rPr>
        <w:t>et al</w:t>
      </w:r>
      <w:r w:rsidRPr="006377FA">
        <w:rPr>
          <w:lang w:val="es-ES"/>
        </w:rPr>
        <w:t xml:space="preserve">. (2018), Park </w:t>
      </w:r>
      <w:r w:rsidRPr="006377FA">
        <w:rPr>
          <w:i/>
          <w:iCs/>
          <w:lang w:val="es-ES"/>
        </w:rPr>
        <w:t>et al.</w:t>
      </w:r>
      <w:r w:rsidRPr="006377FA">
        <w:rPr>
          <w:lang w:val="es-ES"/>
        </w:rPr>
        <w:t xml:space="preserve"> (2021)</w:t>
      </w:r>
      <w:r w:rsidRPr="006377FA">
        <w:rPr>
          <w:rStyle w:val="FootnoteReference"/>
          <w:lang w:val="es-ES"/>
        </w:rPr>
        <w:footnoteReference w:id="16"/>
      </w:r>
      <w:r w:rsidRPr="006377FA">
        <w:rPr>
          <w:lang w:val="es-ES"/>
        </w:rPr>
        <w:t xml:space="preserve"> informaron un descenso en las emisiones de CFC-11 y sustancias químicas relacionadas, incluso CTC, procedentes de la región oriental de China. En particular, Park </w:t>
      </w:r>
      <w:r w:rsidRPr="006377FA">
        <w:rPr>
          <w:i/>
          <w:iCs/>
          <w:lang w:val="es-ES"/>
        </w:rPr>
        <w:t>et al.</w:t>
      </w:r>
      <w:r w:rsidRPr="006377FA">
        <w:rPr>
          <w:lang w:val="es-ES"/>
        </w:rPr>
        <w:t xml:space="preserve"> (2021) encontraron que las emisiones de CTC de la región oriental de China fueron más altas de lo esperado después de 2013 y luego disminuyeron uno o dos años antes de 2019, cuando se observó una reducción de las emisiones de CFC-11: las emisiones de la región oriental de China crecieron de 6,0 ± 1,4 </w:t>
      </w:r>
      <w:proofErr w:type="spellStart"/>
      <w:r w:rsidRPr="006377FA">
        <w:rPr>
          <w:lang w:val="es-ES"/>
        </w:rPr>
        <w:t>Gg</w:t>
      </w:r>
      <w:proofErr w:type="spellEnd"/>
      <w:r w:rsidRPr="006377FA">
        <w:rPr>
          <w:lang w:val="es-ES"/>
        </w:rPr>
        <w:t>/año para 2011-2012 a 10,9 ± 2,0 </w:t>
      </w:r>
      <w:proofErr w:type="spellStart"/>
      <w:r w:rsidRPr="006377FA">
        <w:rPr>
          <w:lang w:val="es-ES"/>
        </w:rPr>
        <w:t>Gg</w:t>
      </w:r>
      <w:proofErr w:type="spellEnd"/>
      <w:r w:rsidRPr="006377FA">
        <w:rPr>
          <w:lang w:val="es-ES"/>
        </w:rPr>
        <w:t>/año para 2014-2017, y posteriormente disminuyeron a 6,2 ± 1,4 </w:t>
      </w:r>
      <w:proofErr w:type="spellStart"/>
      <w:r w:rsidRPr="006377FA">
        <w:rPr>
          <w:lang w:val="es-ES"/>
        </w:rPr>
        <w:t>Gg</w:t>
      </w:r>
      <w:proofErr w:type="spellEnd"/>
      <w:r w:rsidRPr="006377FA">
        <w:rPr>
          <w:lang w:val="es-ES"/>
        </w:rPr>
        <w:t xml:space="preserve">/año en 2018-2019. A pesar de estas disminuciones, las emisiones de CTC estimadas por Park </w:t>
      </w:r>
      <w:r w:rsidRPr="006377FA">
        <w:rPr>
          <w:i/>
          <w:iCs/>
          <w:lang w:val="es-ES"/>
        </w:rPr>
        <w:t>et al.</w:t>
      </w:r>
      <w:r w:rsidRPr="006377FA">
        <w:rPr>
          <w:lang w:val="es-ES"/>
        </w:rPr>
        <w:t xml:space="preserve"> (2021) para 2018-2019 son dos y un orden de magnitud superiores a las emisiones estimadas de CTC y a las emisiones máximas de CTC, respectivamente, en el informe actualizado. Además, mientras que Park </w:t>
      </w:r>
      <w:r w:rsidRPr="006377FA">
        <w:rPr>
          <w:i/>
          <w:iCs/>
          <w:lang w:val="es-ES"/>
        </w:rPr>
        <w:t>et al.</w:t>
      </w:r>
      <w:r w:rsidRPr="006377FA">
        <w:rPr>
          <w:lang w:val="es-ES"/>
        </w:rPr>
        <w:t xml:space="preserve"> (2021) informaron de una disminución sustancial (más del 40 %) de las emisiones de CTC en 2018-2019, el modelo utilizado para estimar las emisiones de CTC en los informes sobre la producción de CTC y sus usos como materia prima en China en 2015-2019 sugiere un aumento gradual de las emisiones de CTC en 2015-2019, coincidentes con el aumento de la producción de CTC, la conversión por parte de los productores de CM y el uso como materias primas, lo que sugiere que el modelo puede no estar capturando algunas fuentes de emisiones de CTC que fueron controladas en la última parte de 2015-2019.</w:t>
      </w:r>
    </w:p>
    <w:p w14:paraId="7E85C990" w14:textId="77777777" w:rsidR="006377FA" w:rsidRPr="006377FA" w:rsidRDefault="006377FA" w:rsidP="006377FA">
      <w:pPr>
        <w:pStyle w:val="Heading1"/>
        <w:rPr>
          <w:lang w:val="es-ES"/>
        </w:rPr>
      </w:pPr>
      <w:r w:rsidRPr="006377FA">
        <w:rPr>
          <w:lang w:val="es-ES"/>
        </w:rPr>
        <w:t xml:space="preserve">La Secretaría preguntó si el Gobierno tenía más opiniones sobre la diferencia entre las emisiones de CTC estimadas en el informe actualizado y aquellas de Park </w:t>
      </w:r>
      <w:r w:rsidRPr="006377FA">
        <w:rPr>
          <w:i/>
          <w:iCs/>
          <w:lang w:val="es-ES"/>
        </w:rPr>
        <w:t>et al.</w:t>
      </w:r>
      <w:r w:rsidRPr="006377FA">
        <w:rPr>
          <w:lang w:val="es-ES"/>
        </w:rPr>
        <w:t xml:space="preserve"> (2021), señalando que esas emisiones eran específicas de China y no mundiales. Además, como señalan </w:t>
      </w:r>
      <w:proofErr w:type="spellStart"/>
      <w:r w:rsidRPr="006377FA">
        <w:rPr>
          <w:lang w:val="es-ES"/>
        </w:rPr>
        <w:t>Lunt</w:t>
      </w:r>
      <w:proofErr w:type="spellEnd"/>
      <w:r w:rsidRPr="006377FA">
        <w:rPr>
          <w:lang w:val="es-ES"/>
        </w:rPr>
        <w:t xml:space="preserve"> </w:t>
      </w:r>
      <w:r w:rsidRPr="006377FA">
        <w:rPr>
          <w:i/>
          <w:iCs/>
          <w:lang w:val="es-ES"/>
        </w:rPr>
        <w:t>et al.</w:t>
      </w:r>
      <w:r w:rsidRPr="006377FA">
        <w:rPr>
          <w:lang w:val="es-ES"/>
        </w:rPr>
        <w:t xml:space="preserve"> (2018), en contraste con la estimación de las emisiones mundiales, los estudios regionales de modelización inversa pueden ayudar a abordar el origen geográfico de la discrepancia en las emisiones en los análisis descendentes y ascendentes a escala mundial, porque dichos estudios regionales son relativamente insensibles a la incertidumbre en el ciclo de vida útil del CTC. El Gobierno opinó que el modelo utilizado en los informes de 2015-2019 consideraba todos los procesos de producción importantes que pueden generar emisiones de CTC, y que la discrepancia de las emisiones de CTC era un problema mundial que requería más investigación. </w:t>
      </w:r>
    </w:p>
    <w:p w14:paraId="6D92849B" w14:textId="77777777" w:rsidR="006377FA" w:rsidRPr="006377FA" w:rsidRDefault="006377FA" w:rsidP="006377FA">
      <w:pPr>
        <w:pStyle w:val="Heading1"/>
        <w:rPr>
          <w:lang w:val="es-ES"/>
        </w:rPr>
      </w:pPr>
      <w:r w:rsidRPr="006377FA">
        <w:rPr>
          <w:lang w:val="es-ES"/>
        </w:rPr>
        <w:t>La Secretaría señaló además que un análisis de las observaciones de alta calidad de las concentraciones de CTC en la atmósfera en China podría ser útil para entender las razones de las diferencias en las emisiones informadas en la bibliografía científica y en los informes sobre la producción de CTC en 2015-2019 y sus usos como materia prima presentados por China. Sin embargo, mientras que un análisis preliminar de los datos locales</w:t>
      </w:r>
      <w:r w:rsidRPr="006377FA">
        <w:rPr>
          <w:rStyle w:val="FootnoteReference"/>
          <w:lang w:val="es-ES"/>
        </w:rPr>
        <w:footnoteReference w:id="17"/>
      </w:r>
      <w:r w:rsidRPr="006377FA">
        <w:rPr>
          <w:lang w:val="es-ES"/>
        </w:rPr>
        <w:t xml:space="preserve"> sugirió emisiones de CTC en 2009-2010 que son comparables a las informadas por </w:t>
      </w:r>
      <w:proofErr w:type="spellStart"/>
      <w:r w:rsidRPr="006377FA">
        <w:rPr>
          <w:lang w:val="es-ES"/>
        </w:rPr>
        <w:t>Lunt</w:t>
      </w:r>
      <w:proofErr w:type="spellEnd"/>
      <w:r w:rsidRPr="006377FA">
        <w:rPr>
          <w:i/>
          <w:iCs/>
          <w:lang w:val="es-ES"/>
        </w:rPr>
        <w:t xml:space="preserve"> et al.</w:t>
      </w:r>
      <w:r w:rsidRPr="006377FA">
        <w:rPr>
          <w:lang w:val="es-ES"/>
        </w:rPr>
        <w:t xml:space="preserve"> (2018) y Park </w:t>
      </w:r>
      <w:r w:rsidRPr="006377FA">
        <w:rPr>
          <w:i/>
          <w:iCs/>
          <w:lang w:val="es-ES"/>
        </w:rPr>
        <w:t>et al.</w:t>
      </w:r>
      <w:r w:rsidRPr="006377FA">
        <w:rPr>
          <w:lang w:val="es-ES"/>
        </w:rPr>
        <w:t xml:space="preserve"> (2021) para esos años, aparentemente aún no se ha llevado a cabo un análisis basado en datos más recientes, a pesar de que al menos un sitio de vigilancia atmosférica de China</w:t>
      </w:r>
      <w:r w:rsidRPr="006377FA">
        <w:rPr>
          <w:rStyle w:val="FootnoteReference"/>
          <w:lang w:val="es-ES"/>
        </w:rPr>
        <w:footnoteReference w:id="18"/>
      </w:r>
      <w:r w:rsidRPr="006377FA">
        <w:rPr>
          <w:lang w:val="es-ES"/>
        </w:rPr>
        <w:t xml:space="preserve"> incluyó observaciones de las concentraciones de CTC en la atmósfera. </w:t>
      </w:r>
    </w:p>
    <w:p w14:paraId="28F632B5" w14:textId="77777777" w:rsidR="006377FA" w:rsidRPr="006377FA" w:rsidRDefault="006377FA" w:rsidP="006377FA">
      <w:pPr>
        <w:pStyle w:val="Heading1"/>
        <w:rPr>
          <w:lang w:val="es-ES"/>
        </w:rPr>
      </w:pPr>
      <w:r w:rsidRPr="006377FA">
        <w:rPr>
          <w:lang w:val="es-ES"/>
        </w:rPr>
        <w:t>Respecto de la red de vigilancia atmosférica que el Gobierno de China tenía intención de establecer de conformidad con la decisión 83/41 b) i), el Banco Mundial informó que el Gobierno estaba llevando a cabo la construcción de las estaciones de vigilancia según lo previsto, y que la vigilancia atmosférica de las sustancias controladas comenzaría en 2022.</w:t>
      </w:r>
    </w:p>
    <w:p w14:paraId="08042219" w14:textId="77777777" w:rsidR="006377FA" w:rsidRPr="006377FA" w:rsidRDefault="006377FA" w:rsidP="006377FA">
      <w:pPr>
        <w:rPr>
          <w:b/>
          <w:lang w:val="es-ES"/>
        </w:rPr>
      </w:pPr>
      <w:r w:rsidRPr="006377FA">
        <w:rPr>
          <w:b/>
          <w:lang w:val="es-ES"/>
        </w:rPr>
        <w:t>Recomendación</w:t>
      </w:r>
    </w:p>
    <w:p w14:paraId="219CD27B" w14:textId="77777777" w:rsidR="006377FA" w:rsidRPr="006377FA" w:rsidRDefault="006377FA" w:rsidP="006377FA">
      <w:pPr>
        <w:rPr>
          <w:lang w:val="es-ES"/>
        </w:rPr>
      </w:pPr>
    </w:p>
    <w:p w14:paraId="18437168" w14:textId="77777777" w:rsidR="006377FA" w:rsidRPr="006377FA" w:rsidRDefault="006377FA" w:rsidP="006377FA">
      <w:pPr>
        <w:pStyle w:val="Heading1"/>
        <w:jc w:val="left"/>
        <w:rPr>
          <w:lang w:val="es-ES"/>
        </w:rPr>
      </w:pPr>
      <w:r w:rsidRPr="006377FA">
        <w:rPr>
          <w:lang w:val="es-ES"/>
        </w:rPr>
        <w:t>El Comité Ejecutivo tal vez desee considerar la información que contiene el informe actualizado sobre la producción de CTC y sus usos como materia prima en China (decisión 84/41 b) y c)) que figura en el documento UNEP/</w:t>
      </w:r>
      <w:proofErr w:type="spellStart"/>
      <w:r w:rsidRPr="006377FA">
        <w:rPr>
          <w:lang w:val="es-ES"/>
        </w:rPr>
        <w:t>OzL.Pro</w:t>
      </w:r>
      <w:proofErr w:type="spellEnd"/>
      <w:r w:rsidRPr="006377FA">
        <w:rPr>
          <w:lang w:val="es-ES"/>
        </w:rPr>
        <w:t>/</w:t>
      </w:r>
      <w:proofErr w:type="spellStart"/>
      <w:r w:rsidRPr="006377FA">
        <w:rPr>
          <w:lang w:val="es-ES"/>
        </w:rPr>
        <w:t>ExCom</w:t>
      </w:r>
      <w:proofErr w:type="spellEnd"/>
      <w:r w:rsidRPr="006377FA">
        <w:rPr>
          <w:lang w:val="es-ES"/>
        </w:rPr>
        <w:t>/90/9/Add.1.</w:t>
      </w:r>
      <w:r w:rsidRPr="006377FA">
        <w:rPr>
          <w:lang w:val="es-ES"/>
        </w:rPr>
        <w:br w:type="page"/>
      </w:r>
    </w:p>
    <w:p w14:paraId="6E626983" w14:textId="77777777" w:rsidR="006377FA" w:rsidRPr="006377FA" w:rsidRDefault="006377FA" w:rsidP="006377FA">
      <w:pPr>
        <w:ind w:left="1350" w:hanging="1350"/>
        <w:rPr>
          <w:b/>
          <w:lang w:val="es-ES"/>
        </w:rPr>
      </w:pPr>
      <w:r w:rsidRPr="006377FA">
        <w:rPr>
          <w:b/>
          <w:lang w:val="es-ES"/>
        </w:rPr>
        <w:t xml:space="preserve">PARTE IV: </w:t>
      </w:r>
      <w:r w:rsidRPr="006377FA">
        <w:rPr>
          <w:b/>
          <w:lang w:val="es-ES"/>
        </w:rPr>
        <w:tab/>
        <w:t>INFORME SOBRE EL DESEMBOLSO DE LOS COSTOS ADICIONALES DE EXPLOTACIÓN DE LA ETAPA I DEL PLAN SECTORIAL DE REFRIGERACIÓN Y AIRE ACONDICIONADO INDUSTRIAL Y COMERCIAL EN LA ETAPA I DEL PLAN DE GESTIÓN DE LA ELIMINACIÓN DE LOS HCFC (DECISIÓN 88/66 c))</w:t>
      </w:r>
    </w:p>
    <w:p w14:paraId="5076B269" w14:textId="77777777" w:rsidR="006377FA" w:rsidRPr="006377FA" w:rsidRDefault="006377FA" w:rsidP="006377FA">
      <w:pPr>
        <w:jc w:val="center"/>
        <w:rPr>
          <w:b/>
          <w:lang w:val="es-ES"/>
        </w:rPr>
      </w:pPr>
    </w:p>
    <w:p w14:paraId="74A74EAB" w14:textId="77777777" w:rsidR="006377FA" w:rsidRPr="006377FA" w:rsidRDefault="006377FA" w:rsidP="006377FA">
      <w:pPr>
        <w:rPr>
          <w:b/>
          <w:lang w:val="es-ES"/>
        </w:rPr>
      </w:pPr>
      <w:r w:rsidRPr="006377FA">
        <w:rPr>
          <w:b/>
          <w:lang w:val="es-ES"/>
        </w:rPr>
        <w:t>Antecedentes</w:t>
      </w:r>
    </w:p>
    <w:p w14:paraId="5181DEDF" w14:textId="77777777" w:rsidR="006377FA" w:rsidRPr="006377FA" w:rsidRDefault="006377FA" w:rsidP="006377FA">
      <w:pPr>
        <w:jc w:val="right"/>
        <w:rPr>
          <w:b/>
          <w:lang w:val="es-ES"/>
        </w:rPr>
      </w:pPr>
    </w:p>
    <w:p w14:paraId="7E4FE873" w14:textId="77777777" w:rsidR="006377FA" w:rsidRPr="006377FA" w:rsidRDefault="006377FA" w:rsidP="006377FA">
      <w:pPr>
        <w:pStyle w:val="Heading1"/>
        <w:widowControl w:val="0"/>
        <w:rPr>
          <w:lang w:val="es-ES"/>
        </w:rPr>
      </w:pPr>
      <w:r w:rsidRPr="006377FA">
        <w:rPr>
          <w:lang w:val="es-ES"/>
        </w:rPr>
        <w:t xml:space="preserve">El plan sectorial de refrigeración y aire acondicionado industrial y comercial de la etapa I del plan de gestión de la eliminación de los HCFC (PGEH) fue aprobado en la 64ª reunión con un costo total de 61 000 000 $EUA para contribuir a la reducción del 10 % del nivel básico del consumo de HCFC para 2015. El plan sectorial de refrigeración y aire acondicionado industrial y comercial se completó desde el punto de vista operacional en 2019, y se tenía previsto completar el desembolso de los costos adicionales de explotación comprometidos en 2020. El informe de terminación del proyecto se presentó a la 85ª reunión. La irrupción de la pandemia de COVID-19 a finales de 2019 desaceleró las actividades económicas y el desembolso de los costos adicionales de explotación se retrasó. En su 86ª reunión, el Comité Ejecutivo permitió la producción y venta continuas de los productos convertidos y el desembolso de los costos adicionales de explotación hasta finales de 2021. En su 88ª reunión, el Comité Ejecutivo pidió al Gobierno de China y al PNUD que presentaran en la 90ª reunión un informe sobre el desembolso de fondos para los costos adicionales de explotación en el marco de la etapa I del plan sectorial de refrigeración y aire acondicionado industrial y comercial (decisión 88/66 c)). </w:t>
      </w:r>
    </w:p>
    <w:p w14:paraId="5A958301" w14:textId="77777777" w:rsidR="006377FA" w:rsidRPr="006377FA" w:rsidRDefault="006377FA" w:rsidP="006377FA">
      <w:pPr>
        <w:pStyle w:val="Heading1"/>
        <w:rPr>
          <w:lang w:val="es-ES"/>
        </w:rPr>
      </w:pPr>
      <w:r w:rsidRPr="006377FA">
        <w:rPr>
          <w:lang w:val="es-ES"/>
        </w:rPr>
        <w:t xml:space="preserve">De conformidad con esta decisión, el PNUD, en nombre del Gobierno de China, presentó el informe solicitado. Al 31 de diciembre de 2021, se había desembolsado un total de costos adicionales de explotación de 10 522 209 $EUA y se habían producido 1 598 619 unidades de equipos de refrigeración y aire acondicionado industrial y comercial (que abarcan acondicionadores de aire unitarios, enfriadores de agua y bombas de calor, equipos de refrigeración y compresores) en las líneas convertidas a seis tecnologías alternativas diferentes en el marco de la etapa I del plan sectorial de refrigeración y aire acondicionado industrial y comercial. El saldo restante de costos adicionales de explotación asciende a 2 031 397 $EUA para nueve líneas de fabricación convertidas a la tecnología de HFC-32, entre las que se encuentran seis líneas de fabricación de enfriadores de agua industriales y comerciales (bomba de calor) y tres líneas de fabricación de equipos de aire acondicionado unitarios. </w:t>
      </w:r>
    </w:p>
    <w:p w14:paraId="34CFA7B0" w14:textId="77777777" w:rsidR="006377FA" w:rsidRPr="006377FA" w:rsidRDefault="006377FA" w:rsidP="006377FA">
      <w:pPr>
        <w:pStyle w:val="Heading1"/>
        <w:rPr>
          <w:lang w:val="es-ES"/>
        </w:rPr>
      </w:pPr>
      <w:r w:rsidRPr="006377FA">
        <w:rPr>
          <w:lang w:val="es-ES"/>
        </w:rPr>
        <w:t xml:space="preserve">El PNUD informó que la lentitud en el desembolso de los costos adicionales de explotación está relacionada con la escasa </w:t>
      </w:r>
      <w:r w:rsidRPr="006377FA">
        <w:rPr>
          <w:snapToGrid w:val="0"/>
          <w:lang w:val="es-ES"/>
        </w:rPr>
        <w:t>aceptación en el mercado de los productos a base de HFC</w:t>
      </w:r>
      <w:r w:rsidRPr="006377FA">
        <w:rPr>
          <w:snapToGrid w:val="0"/>
          <w:lang w:val="es-ES"/>
        </w:rPr>
        <w:noBreakHyphen/>
        <w:t xml:space="preserve">32 debido a su </w:t>
      </w:r>
      <w:r w:rsidRPr="006377FA">
        <w:rPr>
          <w:lang w:val="es-ES"/>
        </w:rPr>
        <w:t>inflamabilidad, que requiere un esfuerzo y tiempo adicionales en el diseño del modelo; la evaluación de los riesgos de seguridad; y la capacitación para la instalación, puesta en marcha, mantenimiento y funcionamiento de los equipos. Estas dificultades se vieron agravadas por las restricciones relacionadas con la pandemia de COVID-19 a las actividades de producción y a los desplazamientos para la verificación de las ventas. No obstante, las ventas de productos a base de HFC-32 en el mercado nacional aumentan año tras año, y algunas empresas han exportado productos a base de HFC-32 a mercados internacionales, aunque los equipos exportados a países que no operan al amparo del artículo 5 no son admisibles para los costos adicionales de explotación.</w:t>
      </w:r>
      <w:r w:rsidRPr="006377FA">
        <w:rPr>
          <w:snapToGrid w:val="0"/>
          <w:lang w:val="es-ES"/>
        </w:rPr>
        <w:t xml:space="preserve"> </w:t>
      </w:r>
      <w:r w:rsidRPr="006377FA">
        <w:rPr>
          <w:lang w:val="es-ES"/>
        </w:rPr>
        <w:t>El Gobierno, las empresas y la Asociación de la Industria de la Refrigeración y el Aire Acondicionado de China (CRAA) han llevado a cabo diversas actividades para promover las ventas de productos a base de HFC</w:t>
      </w:r>
      <w:r w:rsidRPr="006377FA">
        <w:rPr>
          <w:lang w:val="es-ES"/>
        </w:rPr>
        <w:noBreakHyphen/>
        <w:t>32, lo que incluye la firma de un memorando de entendimiento con Daikin para utilizar las patentes básicas del HFC</w:t>
      </w:r>
      <w:r w:rsidRPr="006377FA">
        <w:rPr>
          <w:lang w:val="es-ES"/>
        </w:rPr>
        <w:noBreakHyphen/>
        <w:t xml:space="preserve">32. </w:t>
      </w:r>
    </w:p>
    <w:p w14:paraId="1D60DB1D" w14:textId="77777777" w:rsidR="006377FA" w:rsidRPr="006377FA" w:rsidRDefault="006377FA" w:rsidP="003A48DC">
      <w:pPr>
        <w:keepNext/>
        <w:spacing w:after="120"/>
        <w:outlineLvl w:val="0"/>
        <w:rPr>
          <w:b/>
          <w:bCs/>
          <w:lang w:val="es-ES"/>
        </w:rPr>
      </w:pPr>
      <w:r w:rsidRPr="006377FA">
        <w:rPr>
          <w:b/>
          <w:lang w:val="es-ES"/>
        </w:rPr>
        <w:t>Observaciones de la Secretaría</w:t>
      </w:r>
    </w:p>
    <w:p w14:paraId="27C2A8A6" w14:textId="77777777" w:rsidR="006377FA" w:rsidRPr="006377FA" w:rsidRDefault="006377FA" w:rsidP="006377FA">
      <w:pPr>
        <w:pStyle w:val="Heading1"/>
        <w:rPr>
          <w:snapToGrid w:val="0"/>
          <w:color w:val="000000" w:themeColor="text1"/>
          <w:lang w:val="es-ES"/>
        </w:rPr>
      </w:pPr>
      <w:r w:rsidRPr="006377FA">
        <w:rPr>
          <w:color w:val="000000" w:themeColor="text1"/>
          <w:lang w:val="es-ES"/>
        </w:rPr>
        <w:t>Con respecto al desembolso de los costos adicionales de explotación, el PNUD aclaró que estos se desembolsaban en función de los productos fabricados por las líneas convertidas y vendidos tras su verificación en el mercado nacional, o exportados a países que operan al amparo del artículo 5. El desembolso de los costos adicionales de explotación solo refleja parcialmente la situación de la fabricación y las ventas; la producción real de unidades basadas en tecnologías alternativas en China sería mayor, ya que también incluye las exportaciones a países que no operan al amparo del artículo 5 y la producción de las líneas no financiadas por el plan sectorial de refrigeración y aire acondicionado industrial y comercial. Según las estadísticas de la CRAA, al 31 de diciembre de 2021 se habían vendido en total 1 469 714 unidades de HFC</w:t>
      </w:r>
      <w:r w:rsidRPr="006377FA">
        <w:rPr>
          <w:color w:val="000000" w:themeColor="text1"/>
          <w:lang w:val="es-ES"/>
        </w:rPr>
        <w:noBreakHyphen/>
        <w:t>32.</w:t>
      </w:r>
      <w:r w:rsidRPr="006377FA">
        <w:rPr>
          <w:snapToGrid w:val="0"/>
          <w:color w:val="000000" w:themeColor="text1"/>
          <w:lang w:val="es-ES"/>
        </w:rPr>
        <w:t xml:space="preserve"> De esta cantidad, 1 008 425 unidades fueron producidas por las líneas convertidas en la etapa I del plan sectorial de refrigeración y aire acondicionado industrial y comercial. </w:t>
      </w:r>
    </w:p>
    <w:p w14:paraId="71CCBC39" w14:textId="77777777" w:rsidR="006377FA" w:rsidRPr="006377FA" w:rsidRDefault="006377FA" w:rsidP="006377FA">
      <w:pPr>
        <w:pStyle w:val="Heading1"/>
        <w:rPr>
          <w:lang w:val="es-ES"/>
        </w:rPr>
      </w:pPr>
      <w:r w:rsidRPr="006377FA">
        <w:rPr>
          <w:lang w:val="es-ES"/>
        </w:rPr>
        <w:t>La Secretaría observó que algunas empresas pudieron producir y vender un número importante de unidades a base de HFC-32 con un desembolso completo de los costos adicionales de explotación, mientras que otras no han aplicado costos adicionales de explotación. El PNUD explicó que algunas empresas dieron prioridad a su producción para el mercado extranjero con el fin de obtener mejores beneficios, y estas no son admisibles para los costos adicionales de explotación. Una pequeña empresa no puede producir unidades a base de HFC-32 porque no puede competir con las empresas más grandes en la comercialización del HFC-32 en esta etapa, y por lo tanto la línea convertida está inactiva.</w:t>
      </w:r>
    </w:p>
    <w:p w14:paraId="565DC154" w14:textId="77777777" w:rsidR="006377FA" w:rsidRPr="006377FA" w:rsidRDefault="006377FA" w:rsidP="006377FA">
      <w:pPr>
        <w:pStyle w:val="Heading1"/>
        <w:rPr>
          <w:lang w:val="es-ES"/>
        </w:rPr>
      </w:pPr>
      <w:r w:rsidRPr="006377FA">
        <w:rPr>
          <w:lang w:val="es-ES"/>
        </w:rPr>
        <w:t xml:space="preserve">El plan sectorial de refrigeración y aire acondicionado industrial y comercial se completó desde el punto de vista operacional en 2019 y se presentó un informe de terminación de proyecto en la 85ª reunión; por lo tanto, el saldo de financiación restante de 2 031 397 $EUA debe devolverse al Fondo tras la terminación financiera, que es 12 meses después de la terminación operacional. </w:t>
      </w:r>
    </w:p>
    <w:p w14:paraId="65CE9FA3" w14:textId="77777777" w:rsidR="006377FA" w:rsidRPr="006377FA" w:rsidRDefault="006377FA" w:rsidP="006377FA">
      <w:pPr>
        <w:pStyle w:val="Heading1"/>
        <w:keepNext/>
        <w:rPr>
          <w:lang w:val="es-ES"/>
        </w:rPr>
      </w:pPr>
      <w:r w:rsidRPr="006377FA">
        <w:rPr>
          <w:lang w:val="es-ES"/>
        </w:rPr>
        <w:t xml:space="preserve">En respuesta a la solicitud de la Secretaría de que se devolviera el saldo de financiación, el PNUD explicó que el retraso en la terminación financiera y el desembolso de los costos adicionales de explotación está relacionado con la pandemia de COVID-19, que interfirió gravemente en los planes de producción y en las cadenas de suministro de materias primas, e incluso repercutió en gran medida en la verificación de las ventas. El PNUD explicó que permitir un plazo adicional para el desembolso de los costos adicionales de explotación pondría más unidades a base de HFC-32 en el mercado y, por lo tanto, solicitó una prórroga para la terminación financiera, hasta el 31 de diciembre de 2023, para permitir la producción y las ventas, y la finalización de los desembolsos de los costos adicionales de explotación. </w:t>
      </w:r>
    </w:p>
    <w:p w14:paraId="42CF0E2D" w14:textId="77777777" w:rsidR="006377FA" w:rsidRPr="006377FA" w:rsidRDefault="006377FA" w:rsidP="006377FA">
      <w:pPr>
        <w:pStyle w:val="Heading1"/>
        <w:rPr>
          <w:lang w:val="es-ES"/>
        </w:rPr>
      </w:pPr>
      <w:r w:rsidRPr="006377FA">
        <w:rPr>
          <w:lang w:val="es-ES"/>
        </w:rPr>
        <w:t xml:space="preserve">La Secretaría observó que el 84 % de los costos adicionales de explotación han sido desembolsados y el saldo restante solo se refiere a las líneas convertidas a la tecnología de HFC-32 y considera que podría apoyarse una prórroga más breve, hasta el 31 de diciembre de 2022, pero desea solicitar la orientación del Comité. </w:t>
      </w:r>
    </w:p>
    <w:p w14:paraId="1C5FA5A6" w14:textId="77777777" w:rsidR="006377FA" w:rsidRPr="006377FA" w:rsidRDefault="006377FA" w:rsidP="003A48DC">
      <w:pPr>
        <w:spacing w:after="120"/>
        <w:outlineLvl w:val="0"/>
        <w:rPr>
          <w:b/>
          <w:bCs/>
          <w:lang w:val="es-ES"/>
        </w:rPr>
      </w:pPr>
      <w:r w:rsidRPr="006377FA">
        <w:rPr>
          <w:b/>
          <w:lang w:val="es-ES"/>
        </w:rPr>
        <w:t>Recomendación</w:t>
      </w:r>
    </w:p>
    <w:p w14:paraId="1C6287DB" w14:textId="77777777" w:rsidR="006377FA" w:rsidRPr="006377FA" w:rsidRDefault="006377FA" w:rsidP="003A48DC">
      <w:pPr>
        <w:numPr>
          <w:ilvl w:val="0"/>
          <w:numId w:val="1"/>
        </w:numPr>
        <w:spacing w:after="120"/>
        <w:outlineLvl w:val="0"/>
        <w:rPr>
          <w:lang w:val="es-ES"/>
        </w:rPr>
      </w:pPr>
      <w:r w:rsidRPr="006377FA">
        <w:rPr>
          <w:lang w:val="es-ES"/>
        </w:rPr>
        <w:t xml:space="preserve">El Comité Ejecutivo tal vez desee considerar: </w:t>
      </w:r>
    </w:p>
    <w:p w14:paraId="0B029907" w14:textId="77777777" w:rsidR="006377FA" w:rsidRPr="006377FA" w:rsidRDefault="006377FA" w:rsidP="00CD3B76">
      <w:pPr>
        <w:pStyle w:val="Heading2"/>
        <w:rPr>
          <w:color w:val="000000" w:themeColor="text1"/>
          <w:lang w:val="es-ES"/>
        </w:rPr>
      </w:pPr>
      <w:r w:rsidRPr="006377FA">
        <w:rPr>
          <w:lang w:val="es-ES"/>
        </w:rPr>
        <w:t xml:space="preserve">Tomar nota del </w:t>
      </w:r>
      <w:r w:rsidRPr="006377FA">
        <w:rPr>
          <w:color w:val="000000" w:themeColor="text1"/>
          <w:lang w:val="es-ES"/>
        </w:rPr>
        <w:t xml:space="preserve">informe sobre el desembolso de los costos adicionales de explotación en el marco </w:t>
      </w:r>
      <w:r w:rsidRPr="006377FA">
        <w:rPr>
          <w:lang w:val="es-ES"/>
        </w:rPr>
        <w:t>del plan sectorial de refrigeración y aire acondicionado industrial y comercial en la etapa I del plan de gestión de la eliminación de los HCFC (PGEH) para China,</w:t>
      </w:r>
      <w:r w:rsidRPr="006377FA">
        <w:rPr>
          <w:color w:val="000000" w:themeColor="text1"/>
          <w:lang w:val="es-ES"/>
        </w:rPr>
        <w:t xml:space="preserve"> presentado por el PNUD en nombre del Gobierno de China, de conformidad con la decisión 88/66 c), que figura en el documento UNEP/</w:t>
      </w:r>
      <w:proofErr w:type="spellStart"/>
      <w:r w:rsidRPr="006377FA">
        <w:rPr>
          <w:color w:val="000000" w:themeColor="text1"/>
          <w:lang w:val="es-ES"/>
        </w:rPr>
        <w:t>OzL.Pro</w:t>
      </w:r>
      <w:proofErr w:type="spellEnd"/>
      <w:r w:rsidRPr="006377FA">
        <w:rPr>
          <w:color w:val="000000" w:themeColor="text1"/>
          <w:lang w:val="es-ES"/>
        </w:rPr>
        <w:t>/</w:t>
      </w:r>
      <w:proofErr w:type="spellStart"/>
      <w:r w:rsidRPr="006377FA">
        <w:rPr>
          <w:color w:val="000000" w:themeColor="text1"/>
          <w:lang w:val="es-ES"/>
        </w:rPr>
        <w:t>ExCom</w:t>
      </w:r>
      <w:proofErr w:type="spellEnd"/>
      <w:r w:rsidRPr="006377FA">
        <w:rPr>
          <w:color w:val="000000" w:themeColor="text1"/>
          <w:lang w:val="es-ES"/>
        </w:rPr>
        <w:t>/90/9/Add.1;</w:t>
      </w:r>
    </w:p>
    <w:p w14:paraId="7DB56B6B" w14:textId="38A45FF1" w:rsidR="006377FA" w:rsidRPr="006377FA" w:rsidRDefault="006377FA" w:rsidP="00CD3B76">
      <w:pPr>
        <w:pStyle w:val="Heading2"/>
        <w:widowControl/>
        <w:rPr>
          <w:lang w:val="es-ES"/>
        </w:rPr>
      </w:pPr>
      <w:r w:rsidRPr="006377FA">
        <w:rPr>
          <w:lang w:val="es-ES"/>
        </w:rPr>
        <w:t>Si aprueba o no una prórroga de la terminación financiera de la etapa I del plan sectorial del plan sectorial de refrigeración y aire acondicionado industrial y comercial para China hasta el 31 de diciembre de 2022 para permitir el desembolso de los costos adicionales de explotación, en el entendido de que no se solicitará ninguna otra prórroga y el plan sectorial del plan sectorial de refrigeración y aire acondicionado industrial y comercial de la etapa I del PGEH se completará desde el punto de vista financiero para el 31 de</w:t>
      </w:r>
      <w:r w:rsidR="00FF3295">
        <w:rPr>
          <w:lang w:val="es-ES"/>
        </w:rPr>
        <w:t> </w:t>
      </w:r>
      <w:r w:rsidRPr="006377FA">
        <w:rPr>
          <w:lang w:val="es-ES"/>
        </w:rPr>
        <w:t>diciembre de 2022 a más tardar; y</w:t>
      </w:r>
    </w:p>
    <w:p w14:paraId="33E6EBD2" w14:textId="77777777" w:rsidR="006377FA" w:rsidRPr="006377FA" w:rsidRDefault="006377FA" w:rsidP="004876AB">
      <w:pPr>
        <w:widowControl w:val="0"/>
        <w:numPr>
          <w:ilvl w:val="1"/>
          <w:numId w:val="1"/>
        </w:numPr>
        <w:spacing w:after="240"/>
        <w:outlineLvl w:val="1"/>
        <w:rPr>
          <w:lang w:val="es-ES"/>
        </w:rPr>
      </w:pPr>
      <w:r w:rsidRPr="003A48DC">
        <w:rPr>
          <w:lang w:val="es-ES"/>
        </w:rPr>
        <w:t>Pedir al Gobierno de China y al PNUD que presenten a la 92ª reunión un informe sobre el desembolso de los costos adicionales de explotación de la etapa I del plan sectorial de refrigeración y aire acondicionado industrial y comercial.</w:t>
      </w:r>
    </w:p>
    <w:sectPr w:rsidR="006377FA" w:rsidRPr="006377F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DA21A" w14:textId="77777777" w:rsidR="00DB75CA" w:rsidRDefault="00DB75CA">
      <w:r>
        <w:separator/>
      </w:r>
    </w:p>
  </w:endnote>
  <w:endnote w:type="continuationSeparator" w:id="0">
    <w:p w14:paraId="52014280" w14:textId="77777777" w:rsidR="00DB75CA" w:rsidRDefault="00DB7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169173"/>
      <w:docPartObj>
        <w:docPartGallery w:val="Page Numbers (Bottom of Page)"/>
        <w:docPartUnique/>
      </w:docPartObj>
    </w:sdtPr>
    <w:sdtEndPr>
      <w:rPr>
        <w:noProof/>
      </w:rPr>
    </w:sdtEndPr>
    <w:sdtContent>
      <w:p w14:paraId="6FCC42C1" w14:textId="77572868" w:rsidR="003A48DC" w:rsidRDefault="003A48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A5FEFC" w14:textId="77777777" w:rsidR="003A48DC" w:rsidRDefault="003A48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830331"/>
      <w:docPartObj>
        <w:docPartGallery w:val="Page Numbers (Bottom of Page)"/>
        <w:docPartUnique/>
      </w:docPartObj>
    </w:sdtPr>
    <w:sdtEndPr>
      <w:rPr>
        <w:noProof/>
      </w:rPr>
    </w:sdtEndPr>
    <w:sdtContent>
      <w:p w14:paraId="1C873482" w14:textId="2321F212" w:rsidR="003A48DC" w:rsidRDefault="003A48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CF8856" w14:textId="77777777" w:rsidR="003A48DC" w:rsidRDefault="003A48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CCB57" w14:textId="0D71C399" w:rsidR="0087455A" w:rsidRPr="003A48DC" w:rsidRDefault="003A48DC" w:rsidP="003A48D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82BAF" w14:textId="77777777" w:rsidR="00DB75CA" w:rsidRDefault="00DB75CA">
      <w:r>
        <w:separator/>
      </w:r>
    </w:p>
  </w:footnote>
  <w:footnote w:type="continuationSeparator" w:id="0">
    <w:p w14:paraId="608875F9" w14:textId="77777777" w:rsidR="00DB75CA" w:rsidRDefault="00DB75CA">
      <w:r>
        <w:continuationSeparator/>
      </w:r>
    </w:p>
  </w:footnote>
  <w:footnote w:id="1">
    <w:p w14:paraId="7DD5AFFF" w14:textId="77777777" w:rsidR="006377FA" w:rsidRPr="002F7A0A" w:rsidRDefault="006377FA" w:rsidP="006377FA">
      <w:pPr>
        <w:pStyle w:val="FootnoteText"/>
        <w:rPr>
          <w:lang w:val="en-US"/>
        </w:rPr>
      </w:pPr>
      <w:r>
        <w:rPr>
          <w:rStyle w:val="FootnoteReference"/>
        </w:rPr>
        <w:footnoteRef/>
      </w:r>
      <w:r w:rsidRPr="002F7A0A">
        <w:rPr>
          <w:lang w:val="en-US"/>
        </w:rPr>
        <w:t xml:space="preserve"> UNEP/</w:t>
      </w:r>
      <w:proofErr w:type="spellStart"/>
      <w:r w:rsidRPr="002F7A0A">
        <w:rPr>
          <w:lang w:val="en-US"/>
        </w:rPr>
        <w:t>OzL.Pro</w:t>
      </w:r>
      <w:proofErr w:type="spellEnd"/>
      <w:r w:rsidRPr="002F7A0A">
        <w:rPr>
          <w:lang w:val="en-US"/>
        </w:rPr>
        <w:t>/ExCom/90/1.</w:t>
      </w:r>
    </w:p>
    <w:p w14:paraId="09CDCBDE" w14:textId="77777777" w:rsidR="006377FA" w:rsidRPr="00CA3A35" w:rsidRDefault="006377FA" w:rsidP="006377FA">
      <w:pPr>
        <w:pStyle w:val="FootnoteText"/>
        <w:rPr>
          <w:lang w:val="en-US"/>
        </w:rPr>
      </w:pPr>
    </w:p>
  </w:footnote>
  <w:footnote w:id="2">
    <w:p w14:paraId="3712AB70" w14:textId="77777777" w:rsidR="006377FA" w:rsidRPr="002F7A0A" w:rsidRDefault="006377FA" w:rsidP="006377FA">
      <w:pPr>
        <w:pStyle w:val="FootnoteText"/>
        <w:rPr>
          <w:lang w:val="en-US"/>
        </w:rPr>
      </w:pPr>
      <w:r>
        <w:rPr>
          <w:rStyle w:val="FootnoteReference"/>
        </w:rPr>
        <w:footnoteRef/>
      </w:r>
      <w:r w:rsidRPr="002F7A0A">
        <w:rPr>
          <w:lang w:val="en-US"/>
        </w:rPr>
        <w:t xml:space="preserve"> UNEP/</w:t>
      </w:r>
      <w:proofErr w:type="spellStart"/>
      <w:r w:rsidRPr="002F7A0A">
        <w:rPr>
          <w:lang w:val="en-US"/>
        </w:rPr>
        <w:t>OzL.Pro</w:t>
      </w:r>
      <w:proofErr w:type="spellEnd"/>
      <w:r w:rsidRPr="002F7A0A">
        <w:rPr>
          <w:lang w:val="en-US"/>
        </w:rPr>
        <w:t>/ExCom/84/22/Add.1.</w:t>
      </w:r>
    </w:p>
  </w:footnote>
  <w:footnote w:id="3">
    <w:p w14:paraId="6247AC78" w14:textId="77777777" w:rsidR="006377FA" w:rsidRPr="006377FA" w:rsidRDefault="006377FA" w:rsidP="006377FA">
      <w:pPr>
        <w:pStyle w:val="FootnoteText"/>
        <w:rPr>
          <w:lang w:val="es-ES"/>
        </w:rPr>
      </w:pPr>
      <w:r>
        <w:rPr>
          <w:rStyle w:val="FootnoteReference"/>
        </w:rPr>
        <w:footnoteRef/>
      </w:r>
      <w:r w:rsidRPr="006377FA">
        <w:rPr>
          <w:lang w:val="es-ES"/>
        </w:rPr>
        <w:t xml:space="preserve"> Página 1.24 de https://ozone.unep.org/sites/default/files/2019-05/SAP-2018-Assessment-report.pdf.</w:t>
      </w:r>
    </w:p>
  </w:footnote>
  <w:footnote w:id="4">
    <w:p w14:paraId="72B06E0D" w14:textId="77777777" w:rsidR="006377FA" w:rsidRPr="006377FA" w:rsidRDefault="006377FA" w:rsidP="006377FA">
      <w:pPr>
        <w:pStyle w:val="FootnoteText"/>
        <w:rPr>
          <w:lang w:val="es-ES"/>
        </w:rPr>
      </w:pPr>
      <w:r>
        <w:rPr>
          <w:rStyle w:val="FootnoteReference"/>
        </w:rPr>
        <w:footnoteRef/>
      </w:r>
      <w:r w:rsidRPr="006377FA">
        <w:rPr>
          <w:lang w:val="es-ES"/>
        </w:rPr>
        <w:t xml:space="preserve"> El informe actualizado contiene información considerada confidencial por el Gobierno de China y está a disposición de los integrantes del Comité Ejecutivo que lo soliciten, en el entendido de que la información que contiene no se revelará a terceros. </w:t>
      </w:r>
    </w:p>
  </w:footnote>
  <w:footnote w:id="5">
    <w:p w14:paraId="757AEF97" w14:textId="77777777" w:rsidR="006377FA" w:rsidRPr="006377FA" w:rsidRDefault="006377FA" w:rsidP="006377FA">
      <w:pPr>
        <w:pStyle w:val="FootnoteText"/>
        <w:rPr>
          <w:lang w:val="es-ES"/>
        </w:rPr>
      </w:pPr>
      <w:r>
        <w:rPr>
          <w:rStyle w:val="FootnoteReference"/>
        </w:rPr>
        <w:footnoteRef/>
      </w:r>
      <w:r w:rsidRPr="006377FA">
        <w:rPr>
          <w:lang w:val="es-ES"/>
        </w:rPr>
        <w:t xml:space="preserve"> El CM engloba el cloruro de metilo (CH</w:t>
      </w:r>
      <w:r w:rsidRPr="006377FA">
        <w:rPr>
          <w:vertAlign w:val="subscript"/>
          <w:lang w:val="es-ES"/>
        </w:rPr>
        <w:t>3</w:t>
      </w:r>
      <w:r w:rsidRPr="006377FA">
        <w:rPr>
          <w:lang w:val="es-ES"/>
        </w:rPr>
        <w:t xml:space="preserve">Cl), el cloruro de </w:t>
      </w:r>
      <w:proofErr w:type="spellStart"/>
      <w:r w:rsidRPr="006377FA">
        <w:rPr>
          <w:lang w:val="es-ES"/>
        </w:rPr>
        <w:t>dimetilo</w:t>
      </w:r>
      <w:proofErr w:type="spellEnd"/>
      <w:r w:rsidRPr="006377FA">
        <w:rPr>
          <w:lang w:val="es-ES"/>
        </w:rPr>
        <w:t xml:space="preserve"> (CH</w:t>
      </w:r>
      <w:r w:rsidRPr="006377FA">
        <w:rPr>
          <w:vertAlign w:val="subscript"/>
          <w:lang w:val="es-ES"/>
        </w:rPr>
        <w:t>2</w:t>
      </w:r>
      <w:r w:rsidRPr="006377FA">
        <w:rPr>
          <w:lang w:val="es-ES"/>
        </w:rPr>
        <w:t>Cl</w:t>
      </w:r>
      <w:r w:rsidRPr="006377FA">
        <w:rPr>
          <w:vertAlign w:val="subscript"/>
          <w:lang w:val="es-ES"/>
        </w:rPr>
        <w:t>2</w:t>
      </w:r>
      <w:r w:rsidRPr="006377FA">
        <w:rPr>
          <w:lang w:val="es-ES"/>
        </w:rPr>
        <w:t>), el cloroformo (CHCl</w:t>
      </w:r>
      <w:r w:rsidRPr="006377FA">
        <w:rPr>
          <w:vertAlign w:val="subscript"/>
          <w:lang w:val="es-ES"/>
        </w:rPr>
        <w:t>3</w:t>
      </w:r>
      <w:r w:rsidRPr="006377FA">
        <w:rPr>
          <w:lang w:val="es-ES"/>
        </w:rPr>
        <w:t>) y el CTC. El CM se produce por reacción del cloruro de metilo con el Cl</w:t>
      </w:r>
      <w:r w:rsidRPr="006377FA">
        <w:rPr>
          <w:vertAlign w:val="subscript"/>
          <w:lang w:val="es-ES"/>
        </w:rPr>
        <w:t>2</w:t>
      </w:r>
      <w:r w:rsidRPr="006377FA">
        <w:rPr>
          <w:lang w:val="es-ES"/>
        </w:rPr>
        <w:t xml:space="preserve">. </w:t>
      </w:r>
    </w:p>
  </w:footnote>
  <w:footnote w:id="6">
    <w:p w14:paraId="08467243" w14:textId="77777777" w:rsidR="006377FA" w:rsidRPr="006377FA" w:rsidRDefault="006377FA" w:rsidP="006377FA">
      <w:pPr>
        <w:pStyle w:val="FootnoteText"/>
        <w:rPr>
          <w:lang w:val="es-ES"/>
        </w:rPr>
      </w:pPr>
      <w:r>
        <w:rPr>
          <w:rStyle w:val="FootnoteReference"/>
        </w:rPr>
        <w:footnoteRef/>
      </w:r>
      <w:r w:rsidRPr="006377FA">
        <w:rPr>
          <w:lang w:val="es-ES"/>
        </w:rPr>
        <w:t xml:space="preserve"> En 2019, los productores de CM también fabricaron una pequeña cantidad de ácido clorhídrico.</w:t>
      </w:r>
    </w:p>
  </w:footnote>
  <w:footnote w:id="7">
    <w:p w14:paraId="119A384E" w14:textId="77777777" w:rsidR="006377FA" w:rsidRPr="006377FA" w:rsidRDefault="006377FA" w:rsidP="006377FA">
      <w:pPr>
        <w:pStyle w:val="FootnoteText"/>
        <w:rPr>
          <w:lang w:val="es-ES"/>
        </w:rPr>
      </w:pPr>
      <w:r>
        <w:rPr>
          <w:rStyle w:val="FootnoteReference"/>
        </w:rPr>
        <w:footnoteRef/>
      </w:r>
      <w:r w:rsidRPr="006377FA">
        <w:rPr>
          <w:lang w:val="es-ES"/>
        </w:rPr>
        <w:t xml:space="preserve"> </w:t>
      </w:r>
      <w:proofErr w:type="spellStart"/>
      <w:r w:rsidRPr="006377FA">
        <w:rPr>
          <w:lang w:val="es-ES"/>
        </w:rPr>
        <w:t>Trifenilmetanol</w:t>
      </w:r>
      <w:proofErr w:type="spellEnd"/>
      <w:r w:rsidRPr="006377FA">
        <w:rPr>
          <w:lang w:val="es-ES"/>
        </w:rPr>
        <w:t xml:space="preserve">, </w:t>
      </w:r>
      <w:proofErr w:type="spellStart"/>
      <w:r w:rsidRPr="006377FA">
        <w:rPr>
          <w:lang w:val="es-ES"/>
        </w:rPr>
        <w:t>glufosinato</w:t>
      </w:r>
      <w:proofErr w:type="spellEnd"/>
      <w:r w:rsidRPr="006377FA">
        <w:rPr>
          <w:lang w:val="es-ES"/>
        </w:rPr>
        <w:t xml:space="preserve"> de amonio, cloruro de 3-(2,2-diclorovinilo)-2,2-dimetil </w:t>
      </w:r>
      <w:proofErr w:type="spellStart"/>
      <w:r w:rsidRPr="006377FA">
        <w:rPr>
          <w:lang w:val="es-ES"/>
        </w:rPr>
        <w:t>ciclopropanocarbonilo</w:t>
      </w:r>
      <w:proofErr w:type="spellEnd"/>
      <w:r w:rsidRPr="006377FA">
        <w:rPr>
          <w:lang w:val="es-ES"/>
        </w:rPr>
        <w:t xml:space="preserve"> (DVDC) y 1,1,1,3,3-pentacloropropano (HCC-240fa).</w:t>
      </w:r>
    </w:p>
  </w:footnote>
  <w:footnote w:id="8">
    <w:p w14:paraId="646EB225" w14:textId="77777777" w:rsidR="006377FA" w:rsidRPr="006377FA" w:rsidRDefault="006377FA" w:rsidP="006377FA">
      <w:pPr>
        <w:pStyle w:val="FootnoteText"/>
        <w:rPr>
          <w:lang w:val="es-ES"/>
        </w:rPr>
      </w:pPr>
      <w:r>
        <w:rPr>
          <w:rStyle w:val="FootnoteReference"/>
        </w:rPr>
        <w:footnoteRef/>
      </w:r>
      <w:r w:rsidRPr="006377FA">
        <w:rPr>
          <w:lang w:val="es-ES"/>
        </w:rPr>
        <w:t xml:space="preserve"> Estos usuarios de materias primas no incluyen a los productores de CM que realizan su propia conversión interna de CTC, excepto el único productor de CM que también compra CTC para aumentar su producción interna.</w:t>
      </w:r>
    </w:p>
  </w:footnote>
  <w:footnote w:id="9">
    <w:p w14:paraId="05B51CEC" w14:textId="77777777" w:rsidR="006377FA" w:rsidRPr="006377FA" w:rsidRDefault="006377FA" w:rsidP="006377FA">
      <w:pPr>
        <w:pStyle w:val="FootnoteText"/>
        <w:rPr>
          <w:lang w:val="es-ES"/>
        </w:rPr>
      </w:pPr>
      <w:r>
        <w:rPr>
          <w:rStyle w:val="FootnoteReference"/>
        </w:rPr>
        <w:footnoteRef/>
      </w:r>
      <w:r w:rsidRPr="006377FA">
        <w:rPr>
          <w:lang w:val="es-ES"/>
        </w:rPr>
        <w:t xml:space="preserve"> Párrafos 8 a 10 del documento UNEP/</w:t>
      </w:r>
      <w:proofErr w:type="spellStart"/>
      <w:r w:rsidRPr="006377FA">
        <w:rPr>
          <w:lang w:val="es-ES"/>
        </w:rPr>
        <w:t>OzL.Pro</w:t>
      </w:r>
      <w:proofErr w:type="spellEnd"/>
      <w:r w:rsidRPr="006377FA">
        <w:rPr>
          <w:lang w:val="es-ES"/>
        </w:rPr>
        <w:t>/</w:t>
      </w:r>
      <w:proofErr w:type="spellStart"/>
      <w:r w:rsidRPr="006377FA">
        <w:rPr>
          <w:lang w:val="es-ES"/>
        </w:rPr>
        <w:t>ExCom</w:t>
      </w:r>
      <w:proofErr w:type="spellEnd"/>
      <w:r w:rsidRPr="006377FA">
        <w:rPr>
          <w:lang w:val="es-ES"/>
        </w:rPr>
        <w:t xml:space="preserve">/84/22/Add.2. </w:t>
      </w:r>
    </w:p>
  </w:footnote>
  <w:footnote w:id="10">
    <w:p w14:paraId="1023374B" w14:textId="77777777" w:rsidR="006377FA" w:rsidRPr="006377FA" w:rsidRDefault="006377FA" w:rsidP="006377FA">
      <w:pPr>
        <w:pStyle w:val="FootnoteText"/>
        <w:keepLines/>
        <w:rPr>
          <w:lang w:val="es-ES"/>
        </w:rPr>
      </w:pPr>
      <w:r>
        <w:rPr>
          <w:rStyle w:val="FootnoteReference"/>
        </w:rPr>
        <w:footnoteRef/>
      </w:r>
      <w:r w:rsidRPr="006377FA">
        <w:rPr>
          <w:lang w:val="es-ES"/>
        </w:rPr>
        <w:t xml:space="preserve"> Las emisiones potenciales se calculan a partir de la evaluación técnica de las posibles emisiones de CTC de diferentes flujos de residuos y se estimaron en función de los métodos de eliminación; a diferencia de las emisiones reales, basadas en estimaciones directas de los flujos de emisión de CTC, las emisiones potenciales se basan en el uso de los productos o en los métodos de eliminación de los flujos de CTC que podrían tener niveles diferentes de CTC, antes de su descarga a la atmósfera. El informe indicaba que esas emisiones potenciales son poco probables teniendo en cuenta la avanzada tecnología de proceso y el nivel de gestión de las empresas de producción de CM y la estricta supervisión de los compuestos orgánicos volátiles y la demanda química de oxígeno por parte de los organismos de ecología y protección medioambiental de China.</w:t>
      </w:r>
    </w:p>
  </w:footnote>
  <w:footnote w:id="11">
    <w:p w14:paraId="320CFC82" w14:textId="77777777" w:rsidR="006377FA" w:rsidRPr="006377FA" w:rsidRDefault="006377FA" w:rsidP="006377FA">
      <w:pPr>
        <w:pStyle w:val="FootnoteText"/>
        <w:rPr>
          <w:lang w:val="es-ES"/>
        </w:rPr>
      </w:pPr>
      <w:r>
        <w:rPr>
          <w:rStyle w:val="FootnoteReference"/>
        </w:rPr>
        <w:footnoteRef/>
      </w:r>
      <w:r w:rsidRPr="003F00AA">
        <w:rPr>
          <w:lang w:val="es-ES"/>
        </w:rPr>
        <w:t xml:space="preserve"> Lunt, M. F., Park, S., Li, S., Henne, S., Manning, A. J., Ganesan, A. L., </w:t>
      </w:r>
      <w:r w:rsidRPr="003F00AA">
        <w:rPr>
          <w:i/>
          <w:iCs/>
          <w:lang w:val="es-ES"/>
        </w:rPr>
        <w:t>et al</w:t>
      </w:r>
      <w:r w:rsidRPr="003F00AA">
        <w:rPr>
          <w:lang w:val="es-ES"/>
        </w:rPr>
        <w:t xml:space="preserve">. </w:t>
      </w:r>
      <w:r w:rsidRPr="006377FA">
        <w:rPr>
          <w:lang w:val="es-ES"/>
        </w:rPr>
        <w:t>(2018). “</w:t>
      </w:r>
      <w:proofErr w:type="spellStart"/>
      <w:r w:rsidRPr="006377FA">
        <w:rPr>
          <w:lang w:val="es-ES"/>
        </w:rPr>
        <w:t>Continued</w:t>
      </w:r>
      <w:proofErr w:type="spellEnd"/>
      <w:r w:rsidRPr="006377FA">
        <w:rPr>
          <w:lang w:val="es-ES"/>
        </w:rPr>
        <w:t xml:space="preserve"> </w:t>
      </w:r>
      <w:proofErr w:type="spellStart"/>
      <w:r w:rsidRPr="006377FA">
        <w:rPr>
          <w:lang w:val="es-ES"/>
        </w:rPr>
        <w:t>emissions</w:t>
      </w:r>
      <w:proofErr w:type="spellEnd"/>
      <w:r w:rsidRPr="006377FA">
        <w:rPr>
          <w:lang w:val="es-ES"/>
        </w:rPr>
        <w:t xml:space="preserve"> </w:t>
      </w:r>
      <w:proofErr w:type="spellStart"/>
      <w:r w:rsidRPr="006377FA">
        <w:rPr>
          <w:lang w:val="es-ES"/>
        </w:rPr>
        <w:t>of</w:t>
      </w:r>
      <w:proofErr w:type="spellEnd"/>
      <w:r w:rsidRPr="006377FA">
        <w:rPr>
          <w:lang w:val="es-ES"/>
        </w:rPr>
        <w:t xml:space="preserve"> </w:t>
      </w:r>
      <w:proofErr w:type="spellStart"/>
      <w:r w:rsidRPr="006377FA">
        <w:rPr>
          <w:lang w:val="es-ES"/>
        </w:rPr>
        <w:t>the</w:t>
      </w:r>
      <w:proofErr w:type="spellEnd"/>
      <w:r w:rsidRPr="006377FA">
        <w:rPr>
          <w:lang w:val="es-ES"/>
        </w:rPr>
        <w:t xml:space="preserve"> ozone-</w:t>
      </w:r>
      <w:proofErr w:type="spellStart"/>
      <w:r w:rsidRPr="006377FA">
        <w:rPr>
          <w:lang w:val="es-ES"/>
        </w:rPr>
        <w:t>depleting</w:t>
      </w:r>
      <w:proofErr w:type="spellEnd"/>
      <w:r w:rsidRPr="006377FA">
        <w:rPr>
          <w:lang w:val="es-ES"/>
        </w:rPr>
        <w:t xml:space="preserve"> </w:t>
      </w:r>
      <w:proofErr w:type="spellStart"/>
      <w:r w:rsidRPr="006377FA">
        <w:rPr>
          <w:lang w:val="es-ES"/>
        </w:rPr>
        <w:t>substance</w:t>
      </w:r>
      <w:proofErr w:type="spellEnd"/>
      <w:r w:rsidRPr="006377FA">
        <w:rPr>
          <w:lang w:val="es-ES"/>
        </w:rPr>
        <w:t xml:space="preserve"> </w:t>
      </w:r>
      <w:proofErr w:type="spellStart"/>
      <w:r w:rsidRPr="006377FA">
        <w:rPr>
          <w:lang w:val="es-ES"/>
        </w:rPr>
        <w:t>carbon</w:t>
      </w:r>
      <w:proofErr w:type="spellEnd"/>
      <w:r w:rsidRPr="006377FA">
        <w:rPr>
          <w:lang w:val="es-ES"/>
        </w:rPr>
        <w:t xml:space="preserve"> </w:t>
      </w:r>
      <w:proofErr w:type="spellStart"/>
      <w:r w:rsidRPr="006377FA">
        <w:rPr>
          <w:lang w:val="es-ES"/>
        </w:rPr>
        <w:t>tetrachloride</w:t>
      </w:r>
      <w:proofErr w:type="spellEnd"/>
      <w:r w:rsidRPr="006377FA">
        <w:rPr>
          <w:lang w:val="es-ES"/>
        </w:rPr>
        <w:t xml:space="preserve"> </w:t>
      </w:r>
      <w:proofErr w:type="spellStart"/>
      <w:r w:rsidRPr="006377FA">
        <w:rPr>
          <w:lang w:val="es-ES"/>
        </w:rPr>
        <w:t>from</w:t>
      </w:r>
      <w:proofErr w:type="spellEnd"/>
      <w:r w:rsidRPr="006377FA">
        <w:rPr>
          <w:lang w:val="es-ES"/>
        </w:rPr>
        <w:t xml:space="preserve"> </w:t>
      </w:r>
      <w:proofErr w:type="spellStart"/>
      <w:r w:rsidRPr="006377FA">
        <w:rPr>
          <w:lang w:val="es-ES"/>
        </w:rPr>
        <w:t>eastern</w:t>
      </w:r>
      <w:proofErr w:type="spellEnd"/>
      <w:r w:rsidRPr="006377FA">
        <w:rPr>
          <w:lang w:val="es-ES"/>
        </w:rPr>
        <w:t xml:space="preserve"> Asia” (Emisiones continuas de tetracloruro de carbono, una sustancia que agota la capa de ozono, procedente de Asia oriental). </w:t>
      </w:r>
      <w:proofErr w:type="spellStart"/>
      <w:r w:rsidRPr="006377FA">
        <w:rPr>
          <w:i/>
          <w:iCs/>
          <w:lang w:val="es-ES"/>
        </w:rPr>
        <w:t>Geophysical</w:t>
      </w:r>
      <w:proofErr w:type="spellEnd"/>
      <w:r w:rsidRPr="006377FA">
        <w:rPr>
          <w:i/>
          <w:iCs/>
          <w:lang w:val="es-ES"/>
        </w:rPr>
        <w:t xml:space="preserve"> </w:t>
      </w:r>
      <w:proofErr w:type="spellStart"/>
      <w:r w:rsidRPr="006377FA">
        <w:rPr>
          <w:i/>
          <w:iCs/>
          <w:lang w:val="es-ES"/>
        </w:rPr>
        <w:t>Research</w:t>
      </w:r>
      <w:proofErr w:type="spellEnd"/>
      <w:r w:rsidRPr="006377FA">
        <w:rPr>
          <w:i/>
          <w:iCs/>
          <w:lang w:val="es-ES"/>
        </w:rPr>
        <w:t xml:space="preserve"> </w:t>
      </w:r>
      <w:proofErr w:type="spellStart"/>
      <w:r w:rsidRPr="006377FA">
        <w:rPr>
          <w:i/>
          <w:iCs/>
          <w:lang w:val="es-ES"/>
        </w:rPr>
        <w:t>Letters</w:t>
      </w:r>
      <w:proofErr w:type="spellEnd"/>
      <w:r w:rsidRPr="006377FA">
        <w:rPr>
          <w:lang w:val="es-ES"/>
        </w:rPr>
        <w:t>, 45.</w:t>
      </w:r>
    </w:p>
    <w:p w14:paraId="373FCCE9" w14:textId="77777777" w:rsidR="006377FA" w:rsidRPr="006377FA" w:rsidRDefault="006377FA" w:rsidP="006377FA">
      <w:pPr>
        <w:pStyle w:val="FootnoteText"/>
        <w:rPr>
          <w:lang w:val="es-ES"/>
        </w:rPr>
      </w:pPr>
      <w:r w:rsidRPr="006377FA">
        <w:rPr>
          <w:lang w:val="es-ES"/>
        </w:rPr>
        <w:t>https://doi.org/10.1029/2018GL079500.</w:t>
      </w:r>
    </w:p>
  </w:footnote>
  <w:footnote w:id="12">
    <w:p w14:paraId="25A4DDA3" w14:textId="77777777" w:rsidR="006377FA" w:rsidRPr="006377FA" w:rsidRDefault="006377FA" w:rsidP="006377FA">
      <w:pPr>
        <w:pStyle w:val="FootnoteText"/>
        <w:rPr>
          <w:lang w:val="es-ES"/>
        </w:rPr>
      </w:pPr>
      <w:r>
        <w:rPr>
          <w:rStyle w:val="FootnoteReference"/>
        </w:rPr>
        <w:footnoteRef/>
      </w:r>
      <w:r w:rsidRPr="006377FA">
        <w:rPr>
          <w:lang w:val="es-ES"/>
        </w:rPr>
        <w:t xml:space="preserve"> Las emisiones estimadas se proporcionan como una media con un nivel de confianza del 95 % indicado entre paréntesis; 1 </w:t>
      </w:r>
      <w:proofErr w:type="spellStart"/>
      <w:r w:rsidRPr="006377FA">
        <w:rPr>
          <w:lang w:val="es-ES"/>
        </w:rPr>
        <w:t>Gg</w:t>
      </w:r>
      <w:proofErr w:type="spellEnd"/>
      <w:r w:rsidRPr="006377FA">
        <w:rPr>
          <w:lang w:val="es-ES"/>
        </w:rPr>
        <w:t> = 1 000 </w:t>
      </w:r>
      <w:proofErr w:type="spellStart"/>
      <w:r w:rsidRPr="006377FA">
        <w:rPr>
          <w:lang w:val="es-ES"/>
        </w:rPr>
        <w:t>tm</w:t>
      </w:r>
      <w:proofErr w:type="spellEnd"/>
      <w:r w:rsidRPr="006377FA">
        <w:rPr>
          <w:lang w:val="es-ES"/>
        </w:rPr>
        <w:t xml:space="preserve">. </w:t>
      </w:r>
    </w:p>
  </w:footnote>
  <w:footnote w:id="13">
    <w:p w14:paraId="40D78BA2" w14:textId="77777777" w:rsidR="006377FA" w:rsidRPr="006377FA" w:rsidRDefault="006377FA" w:rsidP="006377FA">
      <w:pPr>
        <w:pStyle w:val="FootnoteText"/>
        <w:rPr>
          <w:lang w:val="es-ES"/>
        </w:rPr>
      </w:pPr>
      <w:r>
        <w:rPr>
          <w:rStyle w:val="FootnoteReference"/>
        </w:rPr>
        <w:footnoteRef/>
      </w:r>
      <w:r w:rsidRPr="006377FA">
        <w:rPr>
          <w:lang w:val="es-ES"/>
        </w:rPr>
        <w:t xml:space="preserve"> https://agage.mit.edu/stations/gosan-jeju-island.</w:t>
      </w:r>
    </w:p>
  </w:footnote>
  <w:footnote w:id="14">
    <w:p w14:paraId="2814A264" w14:textId="77777777" w:rsidR="006377FA" w:rsidRPr="006377FA" w:rsidRDefault="006377FA" w:rsidP="006377FA">
      <w:pPr>
        <w:pStyle w:val="FootnoteText"/>
        <w:rPr>
          <w:lang w:val="es-ES"/>
        </w:rPr>
      </w:pPr>
      <w:r>
        <w:rPr>
          <w:rStyle w:val="FootnoteReference"/>
        </w:rPr>
        <w:footnoteRef/>
      </w:r>
      <w:r w:rsidRPr="006377FA">
        <w:rPr>
          <w:lang w:val="es-ES"/>
        </w:rPr>
        <w:t xml:space="preserve"> Documentos UNEP/</w:t>
      </w:r>
      <w:proofErr w:type="spellStart"/>
      <w:r w:rsidRPr="006377FA">
        <w:rPr>
          <w:lang w:val="es-ES"/>
        </w:rPr>
        <w:t>OzL.Pro</w:t>
      </w:r>
      <w:proofErr w:type="spellEnd"/>
      <w:r w:rsidRPr="006377FA">
        <w:rPr>
          <w:lang w:val="es-ES"/>
        </w:rPr>
        <w:t>/</w:t>
      </w:r>
      <w:proofErr w:type="spellStart"/>
      <w:r w:rsidRPr="006377FA">
        <w:rPr>
          <w:lang w:val="es-ES"/>
        </w:rPr>
        <w:t>ExCom</w:t>
      </w:r>
      <w:proofErr w:type="spellEnd"/>
      <w:r w:rsidRPr="006377FA">
        <w:rPr>
          <w:lang w:val="es-ES"/>
        </w:rPr>
        <w:t>/84/22/Add.2 y UNEP/</w:t>
      </w:r>
      <w:proofErr w:type="spellStart"/>
      <w:r w:rsidRPr="006377FA">
        <w:rPr>
          <w:lang w:val="es-ES"/>
        </w:rPr>
        <w:t>OzL.Pro</w:t>
      </w:r>
      <w:proofErr w:type="spellEnd"/>
      <w:r w:rsidRPr="006377FA">
        <w:rPr>
          <w:lang w:val="es-ES"/>
        </w:rPr>
        <w:t>/</w:t>
      </w:r>
      <w:proofErr w:type="spellStart"/>
      <w:r w:rsidRPr="006377FA">
        <w:rPr>
          <w:lang w:val="es-ES"/>
        </w:rPr>
        <w:t>ExCom</w:t>
      </w:r>
      <w:proofErr w:type="spellEnd"/>
      <w:r w:rsidRPr="006377FA">
        <w:rPr>
          <w:lang w:val="es-ES"/>
        </w:rPr>
        <w:t xml:space="preserve">/84/22/Add.3. </w:t>
      </w:r>
    </w:p>
  </w:footnote>
  <w:footnote w:id="15">
    <w:p w14:paraId="3AA69651" w14:textId="77777777" w:rsidR="006377FA" w:rsidRPr="006377FA" w:rsidRDefault="006377FA" w:rsidP="006377FA">
      <w:pPr>
        <w:pStyle w:val="FootnoteText"/>
        <w:rPr>
          <w:lang w:val="es-ES"/>
        </w:rPr>
      </w:pPr>
      <w:r>
        <w:rPr>
          <w:rStyle w:val="FootnoteReference"/>
        </w:rPr>
        <w:footnoteRef/>
      </w:r>
      <w:r w:rsidRPr="006377FA">
        <w:rPr>
          <w:lang w:val="es-ES"/>
        </w:rPr>
        <w:t xml:space="preserve"> Párrafos 18 y 19 del documento UNEP/</w:t>
      </w:r>
      <w:proofErr w:type="spellStart"/>
      <w:r w:rsidRPr="006377FA">
        <w:rPr>
          <w:lang w:val="es-ES"/>
        </w:rPr>
        <w:t>OzL.Pro</w:t>
      </w:r>
      <w:proofErr w:type="spellEnd"/>
      <w:r w:rsidRPr="006377FA">
        <w:rPr>
          <w:lang w:val="es-ES"/>
        </w:rPr>
        <w:t>/</w:t>
      </w:r>
      <w:proofErr w:type="spellStart"/>
      <w:r w:rsidRPr="006377FA">
        <w:rPr>
          <w:lang w:val="es-ES"/>
        </w:rPr>
        <w:t>ExCom</w:t>
      </w:r>
      <w:proofErr w:type="spellEnd"/>
      <w:r w:rsidRPr="006377FA">
        <w:rPr>
          <w:lang w:val="es-ES"/>
        </w:rPr>
        <w:t>/88/18/Add.1.</w:t>
      </w:r>
    </w:p>
  </w:footnote>
  <w:footnote w:id="16">
    <w:p w14:paraId="23E17FEA" w14:textId="10F6E444" w:rsidR="006377FA" w:rsidRPr="006377FA" w:rsidRDefault="006377FA" w:rsidP="006377FA">
      <w:pPr>
        <w:pStyle w:val="FootnoteText"/>
        <w:rPr>
          <w:lang w:val="es-ES"/>
        </w:rPr>
      </w:pPr>
      <w:r>
        <w:rPr>
          <w:rStyle w:val="FootnoteReference"/>
        </w:rPr>
        <w:footnoteRef/>
      </w:r>
      <w:r w:rsidRPr="002F7A0A">
        <w:rPr>
          <w:lang w:val="en-US"/>
        </w:rPr>
        <w:t xml:space="preserve"> Park, S, Western, L.M, Park, S., Western, L. M., Saito, T., Redington, A. L., </w:t>
      </w:r>
      <w:r w:rsidRPr="002F7A0A">
        <w:rPr>
          <w:i/>
          <w:iCs/>
          <w:lang w:val="en-US"/>
        </w:rPr>
        <w:t>et al</w:t>
      </w:r>
      <w:r w:rsidRPr="002F7A0A">
        <w:rPr>
          <w:lang w:val="en-US"/>
        </w:rPr>
        <w:t xml:space="preserve">. </w:t>
      </w:r>
      <w:r w:rsidRPr="006377FA">
        <w:rPr>
          <w:lang w:val="es-ES"/>
        </w:rPr>
        <w:t xml:space="preserve">(2021). “A decline in </w:t>
      </w:r>
      <w:proofErr w:type="spellStart"/>
      <w:r w:rsidRPr="006377FA">
        <w:rPr>
          <w:lang w:val="es-ES"/>
        </w:rPr>
        <w:t>emissions</w:t>
      </w:r>
      <w:proofErr w:type="spellEnd"/>
      <w:r w:rsidRPr="006377FA">
        <w:rPr>
          <w:lang w:val="es-ES"/>
        </w:rPr>
        <w:t xml:space="preserve"> </w:t>
      </w:r>
      <w:proofErr w:type="spellStart"/>
      <w:r w:rsidRPr="006377FA">
        <w:rPr>
          <w:lang w:val="es-ES"/>
        </w:rPr>
        <w:t>of</w:t>
      </w:r>
      <w:proofErr w:type="spellEnd"/>
      <w:r w:rsidRPr="006377FA">
        <w:rPr>
          <w:lang w:val="es-ES"/>
        </w:rPr>
        <w:t xml:space="preserve"> CFC-11 and </w:t>
      </w:r>
      <w:proofErr w:type="spellStart"/>
      <w:r w:rsidRPr="006377FA">
        <w:rPr>
          <w:lang w:val="es-ES"/>
        </w:rPr>
        <w:t>related</w:t>
      </w:r>
      <w:proofErr w:type="spellEnd"/>
      <w:r w:rsidRPr="006377FA">
        <w:rPr>
          <w:lang w:val="es-ES"/>
        </w:rPr>
        <w:t xml:space="preserve"> </w:t>
      </w:r>
      <w:proofErr w:type="spellStart"/>
      <w:r w:rsidRPr="006377FA">
        <w:rPr>
          <w:lang w:val="es-ES"/>
        </w:rPr>
        <w:t>chemicals</w:t>
      </w:r>
      <w:proofErr w:type="spellEnd"/>
      <w:r w:rsidRPr="006377FA">
        <w:rPr>
          <w:lang w:val="es-ES"/>
        </w:rPr>
        <w:t xml:space="preserve"> </w:t>
      </w:r>
      <w:proofErr w:type="spellStart"/>
      <w:r w:rsidRPr="006377FA">
        <w:rPr>
          <w:lang w:val="es-ES"/>
        </w:rPr>
        <w:t>from</w:t>
      </w:r>
      <w:proofErr w:type="spellEnd"/>
      <w:r w:rsidRPr="006377FA">
        <w:rPr>
          <w:lang w:val="es-ES"/>
        </w:rPr>
        <w:t xml:space="preserve"> </w:t>
      </w:r>
      <w:proofErr w:type="spellStart"/>
      <w:r w:rsidRPr="006377FA">
        <w:rPr>
          <w:lang w:val="es-ES"/>
        </w:rPr>
        <w:t>eastern</w:t>
      </w:r>
      <w:proofErr w:type="spellEnd"/>
      <w:r w:rsidRPr="006377FA">
        <w:rPr>
          <w:lang w:val="es-ES"/>
        </w:rPr>
        <w:t xml:space="preserve"> China” (Una disminución en las emisiones de CFC-11 y productos químicos relacionados procedentes de la región oriental de China). </w:t>
      </w:r>
      <w:proofErr w:type="spellStart"/>
      <w:r w:rsidRPr="006377FA">
        <w:rPr>
          <w:i/>
          <w:iCs/>
          <w:lang w:val="es-ES"/>
        </w:rPr>
        <w:t>Nature</w:t>
      </w:r>
      <w:proofErr w:type="spellEnd"/>
      <w:r w:rsidRPr="006377FA">
        <w:rPr>
          <w:lang w:val="es-ES"/>
        </w:rPr>
        <w:t>. https://doi.org/10.1038/s41586-021-03277-w</w:t>
      </w:r>
      <w:r w:rsidR="00CD3B76">
        <w:rPr>
          <w:lang w:val="es-ES"/>
        </w:rPr>
        <w:t>.</w:t>
      </w:r>
    </w:p>
  </w:footnote>
  <w:footnote w:id="17">
    <w:p w14:paraId="1CF4E95C" w14:textId="77777777" w:rsidR="006377FA" w:rsidRPr="006377FA" w:rsidRDefault="006377FA" w:rsidP="006377FA">
      <w:pPr>
        <w:pStyle w:val="FootnoteText"/>
        <w:jc w:val="left"/>
        <w:rPr>
          <w:lang w:val="es-ES"/>
        </w:rPr>
      </w:pPr>
      <w:r>
        <w:rPr>
          <w:rStyle w:val="FootnoteReference"/>
        </w:rPr>
        <w:footnoteRef/>
      </w:r>
      <w:r w:rsidRPr="006377FA">
        <w:rPr>
          <w:lang w:val="es-ES"/>
        </w:rPr>
        <w:t xml:space="preserve"> El análisis preliminar no se publicó en la bibliografía científica revisada por pares, pero está disponible en el enlace siguiente: https://www.sparc</w:t>
      </w:r>
      <w:r w:rsidRPr="006377FA">
        <w:rPr>
          <w:lang w:val="es-ES"/>
        </w:rPr>
        <w:noBreakHyphen/>
        <w:t>climate.org/fileadmin/customer/5_</w:t>
      </w:r>
      <w:proofErr w:type="gramStart"/>
      <w:r w:rsidRPr="006377FA">
        <w:rPr>
          <w:lang w:val="es-ES"/>
        </w:rPr>
        <w:t>Meetings</w:t>
      </w:r>
      <w:proofErr w:type="gramEnd"/>
      <w:r w:rsidRPr="006377FA">
        <w:rPr>
          <w:lang w:val="es-ES"/>
        </w:rPr>
        <w:t>/2015_PDF/13_Bo_Yao_Long</w:t>
      </w:r>
      <w:r w:rsidRPr="006377FA">
        <w:rPr>
          <w:lang w:val="es-ES"/>
        </w:rPr>
        <w:noBreakHyphen/>
        <w:t>term_observation_of_CCl4_at_CMA_network_in_China.pdf.</w:t>
      </w:r>
    </w:p>
  </w:footnote>
  <w:footnote w:id="18">
    <w:p w14:paraId="7AA92E7B" w14:textId="572F76B7" w:rsidR="006377FA" w:rsidRPr="006377FA" w:rsidRDefault="006377FA" w:rsidP="006377FA">
      <w:pPr>
        <w:pStyle w:val="FootnoteText"/>
        <w:jc w:val="left"/>
        <w:rPr>
          <w:lang w:val="es-ES"/>
        </w:rPr>
      </w:pPr>
      <w:r>
        <w:rPr>
          <w:rStyle w:val="FootnoteReference"/>
        </w:rPr>
        <w:footnoteRef/>
      </w:r>
      <w:r w:rsidRPr="006377FA">
        <w:rPr>
          <w:lang w:val="es-ES"/>
        </w:rPr>
        <w:t xml:space="preserve"> Vigilancia </w:t>
      </w:r>
      <w:r w:rsidR="00DF6818">
        <w:rPr>
          <w:lang w:val="es-ES"/>
        </w:rPr>
        <w:t>A</w:t>
      </w:r>
      <w:r w:rsidRPr="006377FA">
        <w:rPr>
          <w:lang w:val="es-ES"/>
        </w:rPr>
        <w:t xml:space="preserve">tmosférica </w:t>
      </w:r>
      <w:r w:rsidR="00DF6818">
        <w:rPr>
          <w:lang w:val="es-ES"/>
        </w:rPr>
        <w:t>G</w:t>
      </w:r>
      <w:r w:rsidRPr="006377FA">
        <w:rPr>
          <w:lang w:val="es-ES"/>
        </w:rPr>
        <w:t>lobal (</w:t>
      </w:r>
      <w:r w:rsidR="00DF6818">
        <w:rPr>
          <w:lang w:val="es-ES"/>
        </w:rPr>
        <w:t>VAG</w:t>
      </w:r>
      <w:r w:rsidRPr="006377FA">
        <w:rPr>
          <w:lang w:val="es-ES"/>
        </w:rPr>
        <w:t xml:space="preserve">) en </w:t>
      </w:r>
      <w:proofErr w:type="spellStart"/>
      <w:r w:rsidRPr="006377FA">
        <w:rPr>
          <w:lang w:val="es-ES"/>
        </w:rPr>
        <w:t>Shangdianzi</w:t>
      </w:r>
      <w:proofErr w:type="spellEnd"/>
      <w:r w:rsidRPr="006377FA">
        <w:rPr>
          <w:lang w:val="es-ES"/>
        </w:rPr>
        <w:t>. Hay una imagen que muestra las series temporales de las concentraciones medias de CTC en la atmósfera en la estación disponible en el enlace siguiente: https://yhp</w:t>
      </w:r>
      <w:r w:rsidRPr="006377FA">
        <w:rPr>
          <w:lang w:val="es-ES"/>
        </w:rPr>
        <w:noBreakHyphen/>
        <w:t>website.oss</w:t>
      </w:r>
      <w:r w:rsidRPr="006377FA">
        <w:rPr>
          <w:lang w:val="es-ES"/>
        </w:rPr>
        <w:noBreakHyphen/>
        <w:t>cn</w:t>
      </w:r>
      <w:r w:rsidRPr="006377FA">
        <w:rPr>
          <w:lang w:val="es-ES"/>
        </w:rPr>
        <w:noBreakHyphen/>
        <w:t>beijing.aliyuncs.com/upload/2019%E4%B8%AD%E5%9B%BD%E6%B8%A9%E5%AE%A4%E6%B0%94%E4%BD%93%E5%85%AC%E6%8A%A5_1634010133088.pdf.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C29CE" w14:textId="7C9CEEE4" w:rsidR="003A48DC" w:rsidRDefault="003A48DC" w:rsidP="003A48DC">
    <w:pPr>
      <w:jc w:val="left"/>
    </w:pPr>
    <w:r>
      <w:fldChar w:fldCharType="begin"/>
    </w:r>
    <w:r>
      <w:instrText xml:space="preserve"> DOCPROPERTY "Document number"  \* MERGEFORMAT </w:instrText>
    </w:r>
    <w:r>
      <w:fldChar w:fldCharType="separate"/>
    </w:r>
    <w:r>
      <w:t>UNEP/</w:t>
    </w:r>
    <w:proofErr w:type="spellStart"/>
    <w:r>
      <w:t>OzL.Pro</w:t>
    </w:r>
    <w:proofErr w:type="spellEnd"/>
    <w:r>
      <w:t>/ExCom/90/9/Add.1</w:t>
    </w:r>
    <w:r>
      <w:fldChar w:fldCharType="end"/>
    </w:r>
  </w:p>
  <w:p w14:paraId="47787E50" w14:textId="43F585A5" w:rsidR="003A48DC" w:rsidRDefault="003A48DC">
    <w:pPr>
      <w:pStyle w:val="Header"/>
    </w:pPr>
  </w:p>
  <w:p w14:paraId="3D14F497" w14:textId="77777777" w:rsidR="003F00AA" w:rsidRDefault="003F00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9019" w14:textId="55ABA249" w:rsidR="003A48DC" w:rsidRDefault="003A48DC" w:rsidP="003A48DC">
    <w:pPr>
      <w:jc w:val="right"/>
    </w:pPr>
    <w:r>
      <w:fldChar w:fldCharType="begin"/>
    </w:r>
    <w:r>
      <w:instrText xml:space="preserve"> DOCPROPERTY "Document number"  \* MERGEFORMAT </w:instrText>
    </w:r>
    <w:r>
      <w:fldChar w:fldCharType="separate"/>
    </w:r>
    <w:r>
      <w:t>UNEP/</w:t>
    </w:r>
    <w:proofErr w:type="spellStart"/>
    <w:r>
      <w:t>OzL.Pro</w:t>
    </w:r>
    <w:proofErr w:type="spellEnd"/>
    <w:r>
      <w:t>/ExCom/90/9/Add.1</w:t>
    </w:r>
    <w:r>
      <w:fldChar w:fldCharType="end"/>
    </w:r>
  </w:p>
  <w:p w14:paraId="36D3C484" w14:textId="67F8230A" w:rsidR="003A48DC" w:rsidRDefault="003A48DC">
    <w:pPr>
      <w:pStyle w:val="Header"/>
    </w:pPr>
  </w:p>
  <w:p w14:paraId="35651CD6" w14:textId="77777777" w:rsidR="003F00AA" w:rsidRDefault="003F00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65EA2"/>
    <w:rsid w:val="00064429"/>
    <w:rsid w:val="000D6841"/>
    <w:rsid w:val="00106F6E"/>
    <w:rsid w:val="00114CAA"/>
    <w:rsid w:val="001A2DE2"/>
    <w:rsid w:val="001C2D22"/>
    <w:rsid w:val="001F4047"/>
    <w:rsid w:val="00235D4C"/>
    <w:rsid w:val="0024162E"/>
    <w:rsid w:val="002425B4"/>
    <w:rsid w:val="00244477"/>
    <w:rsid w:val="002959B4"/>
    <w:rsid w:val="002D5A1A"/>
    <w:rsid w:val="00344EAB"/>
    <w:rsid w:val="003863A4"/>
    <w:rsid w:val="003A48DC"/>
    <w:rsid w:val="003B7115"/>
    <w:rsid w:val="003F00AA"/>
    <w:rsid w:val="00455352"/>
    <w:rsid w:val="00476E28"/>
    <w:rsid w:val="004E32EB"/>
    <w:rsid w:val="00617D08"/>
    <w:rsid w:val="006377FA"/>
    <w:rsid w:val="00792A47"/>
    <w:rsid w:val="00831BC5"/>
    <w:rsid w:val="0087455A"/>
    <w:rsid w:val="00AA29EB"/>
    <w:rsid w:val="00AB56E5"/>
    <w:rsid w:val="00AC7A52"/>
    <w:rsid w:val="00B60EEC"/>
    <w:rsid w:val="00B65EA2"/>
    <w:rsid w:val="00B81703"/>
    <w:rsid w:val="00B84ACF"/>
    <w:rsid w:val="00C14E67"/>
    <w:rsid w:val="00CD3B76"/>
    <w:rsid w:val="00D84B6F"/>
    <w:rsid w:val="00DB75CA"/>
    <w:rsid w:val="00DB795B"/>
    <w:rsid w:val="00DC3B22"/>
    <w:rsid w:val="00DF6818"/>
    <w:rsid w:val="00E17F97"/>
    <w:rsid w:val="00EC3F8B"/>
    <w:rsid w:val="00F10CD9"/>
    <w:rsid w:val="00F12B29"/>
    <w:rsid w:val="00F25F7C"/>
    <w:rsid w:val="00F9224D"/>
    <w:rsid w:val="00FF32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DAD52"/>
  <w15:docId w15:val="{F6A99370-759F-4E4F-8C77-2DBF2B39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table" w:customStyle="1" w:styleId="TableGrid10">
    <w:name w:val="Table Grid1"/>
    <w:basedOn w:val="TableNormal"/>
    <w:next w:val="TableGrid"/>
    <w:qFormat/>
    <w:rsid w:val="006377FA"/>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377F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PNUMA\ExCom-90\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ED09C2078131D49BAD3AF1E765CFC9E" ma:contentTypeVersion="5" ma:contentTypeDescription="Create a new document." ma:contentTypeScope="" ma:versionID="a38ec243c572924649d7b0368c0fe65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UNEP/OzL.Pro/ExCom/90/9/Add.1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744E30CF-4C6E-443A-B05A-B60099989217}"/>
</file>

<file path=customXml/itemProps3.xml><?xml version="1.0" encoding="utf-8"?>
<ds:datastoreItem xmlns:ds="http://schemas.openxmlformats.org/officeDocument/2006/customXml" ds:itemID="{500BDFDE-8627-4D04-8225-4E65734F969D}"/>
</file>

<file path=customXml/itemProps4.xml><?xml version="1.0" encoding="utf-8"?>
<ds:datastoreItem xmlns:ds="http://schemas.openxmlformats.org/officeDocument/2006/customXml" ds:itemID="{631A62A4-245D-41BE-8502-CC5CC7F60797}"/>
</file>

<file path=docProps/app.xml><?xml version="1.0" encoding="utf-8"?>
<Properties xmlns="http://schemas.openxmlformats.org/officeDocument/2006/extended-properties" xmlns:vt="http://schemas.openxmlformats.org/officeDocument/2006/docPropsVTypes">
  <Template>S90-template</Template>
  <TotalTime>3</TotalTime>
  <Pages>1</Pages>
  <Words>5318</Words>
  <Characters>30313</Characters>
  <Application>Microsoft Office Word</Application>
  <DocSecurity>0</DocSecurity>
  <Lines>252</Lines>
  <Paragraphs>71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Informes de situación e informes sobre proyectos con requisitos específicos de presentación de informes - Addendum</vt:lpstr>
      <vt:lpstr/>
    </vt:vector>
  </TitlesOfParts>
  <Company>UNMFS</Company>
  <LinksUpToDate>false</LinksUpToDate>
  <CharactersWithSpaces>35560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de situación e informes sobre proyectos con requisitos específicos de presentación de informes - Addendum                                                                 .</dc:title>
  <dc:creator>Maria Adela</dc:creator>
  <cp:lastModifiedBy>HBE</cp:lastModifiedBy>
  <cp:revision>4</cp:revision>
  <cp:lastPrinted>2001-05-26T16:40:00Z</cp:lastPrinted>
  <dcterms:created xsi:type="dcterms:W3CDTF">2022-06-03T14:15:00Z</dcterms:created>
  <dcterms:modified xsi:type="dcterms:W3CDTF">2022-06-08T05:44:00Z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UNEP/OzL.Pro/ExCom/90/9/Add.1</vt:lpwstr>
  </property>
  <property fmtid="{D5CDD505-2E9C-101B-9397-08002B2CF9AE}" pid="3" name="Revision date">
    <vt:lpwstr>5/27/2022</vt:lpwstr>
  </property>
  <property fmtid="{D5CDD505-2E9C-101B-9397-08002B2CF9AE}" pid="4" name="ContentTypeId">
    <vt:lpwstr>0x010100DED09C2078131D49BAD3AF1E765CFC9E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