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186ACF" w14:paraId="32AFA5FC" w14:textId="77777777" w:rsidTr="00186ACF">
        <w:trPr>
          <w:trHeight w:val="720"/>
        </w:trPr>
        <w:tc>
          <w:tcPr>
            <w:tcW w:w="5922" w:type="dxa"/>
            <w:gridSpan w:val="2"/>
            <w:tcBorders>
              <w:top w:val="nil"/>
              <w:left w:val="nil"/>
              <w:bottom w:val="single" w:sz="18" w:space="0" w:color="auto"/>
              <w:right w:val="nil"/>
            </w:tcBorders>
            <w:hideMark/>
          </w:tcPr>
          <w:p w14:paraId="14658A7E" w14:textId="77777777" w:rsidR="00186ACF" w:rsidRDefault="00186A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67EB5FA" w14:textId="77777777" w:rsidR="00186ACF" w:rsidRDefault="00186A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top w:val="nil"/>
              <w:left w:val="nil"/>
              <w:bottom w:val="single" w:sz="18" w:space="0" w:color="auto"/>
              <w:right w:val="nil"/>
            </w:tcBorders>
            <w:hideMark/>
          </w:tcPr>
          <w:p w14:paraId="16180620" w14:textId="77777777" w:rsidR="00186ACF" w:rsidRDefault="00186ACF">
            <w:pPr>
              <w:tabs>
                <w:tab w:val="left" w:pos="3010"/>
              </w:tabs>
              <w:jc w:val="center"/>
              <w:rPr>
                <w:sz w:val="52"/>
                <w:szCs w:val="52"/>
              </w:rPr>
            </w:pPr>
            <w:r>
              <w:rPr>
                <w:rFonts w:ascii="Univers Bold" w:hAnsi="Univers Bold"/>
                <w:b/>
                <w:sz w:val="72"/>
              </w:rPr>
              <w:t xml:space="preserve">               EP</w:t>
            </w:r>
          </w:p>
        </w:tc>
      </w:tr>
      <w:tr w:rsidR="00186ACF" w14:paraId="6735DBC1" w14:textId="77777777" w:rsidTr="00186ACF">
        <w:trPr>
          <w:trHeight w:val="2502"/>
        </w:trPr>
        <w:tc>
          <w:tcPr>
            <w:tcW w:w="2052" w:type="dxa"/>
            <w:tcBorders>
              <w:top w:val="nil"/>
              <w:left w:val="nil"/>
              <w:bottom w:val="single" w:sz="36" w:space="0" w:color="auto"/>
              <w:right w:val="nil"/>
            </w:tcBorders>
            <w:hideMark/>
          </w:tcPr>
          <w:p w14:paraId="177F7C68" w14:textId="77777777" w:rsidR="00186ACF" w:rsidRDefault="00186ACF">
            <w:pPr>
              <w:spacing w:before="120"/>
            </w:pPr>
            <w:r>
              <w:rPr>
                <w:noProof/>
              </w:rPr>
              <w:drawing>
                <wp:anchor distT="0" distB="0" distL="114300" distR="114300" simplePos="0" relativeHeight="251659264" behindDoc="0" locked="0" layoutInCell="1" allowOverlap="1" wp14:anchorId="2AFB35D7" wp14:editId="024D3D25">
                  <wp:simplePos x="0" y="0"/>
                  <wp:positionH relativeFrom="column">
                    <wp:posOffset>74930</wp:posOffset>
                  </wp:positionH>
                  <wp:positionV relativeFrom="paragraph">
                    <wp:posOffset>841375</wp:posOffset>
                  </wp:positionV>
                  <wp:extent cx="747395" cy="659765"/>
                  <wp:effectExtent l="0" t="0" r="0" b="6985"/>
                  <wp:wrapNone/>
                  <wp:docPr id="2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7395" cy="6597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682F6538" wp14:editId="7D4AF8B3">
                  <wp:simplePos x="0" y="0"/>
                  <wp:positionH relativeFrom="column">
                    <wp:posOffset>51435</wp:posOffset>
                  </wp:positionH>
                  <wp:positionV relativeFrom="paragraph">
                    <wp:posOffset>105410</wp:posOffset>
                  </wp:positionV>
                  <wp:extent cx="771525" cy="675640"/>
                  <wp:effectExtent l="0" t="0" r="9525" b="0"/>
                  <wp:wrapNone/>
                  <wp:docPr id="25"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0D45CAE" w14:textId="77777777" w:rsidR="00186ACF" w:rsidRDefault="00186A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DF429D8" w14:textId="77777777" w:rsidR="00186ACF" w:rsidRDefault="00186A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5AF62ADE" w14:textId="77777777" w:rsidR="00186ACF" w:rsidRDefault="00186ACF">
            <w:pPr>
              <w:rPr>
                <w:rFonts w:ascii="Univers" w:hAnsi="Univers"/>
                <w:b/>
                <w:sz w:val="32"/>
              </w:rPr>
            </w:pPr>
            <w:r>
              <w:rPr>
                <w:rFonts w:ascii="Univers" w:hAnsi="Univers"/>
                <w:b/>
                <w:sz w:val="32"/>
              </w:rPr>
              <w:t>Nations Unies pour</w:t>
            </w:r>
          </w:p>
          <w:p w14:paraId="30D779F7" w14:textId="77777777" w:rsidR="00186ACF" w:rsidRDefault="00186ACF">
            <w:pPr>
              <w:rPr>
                <w:rFonts w:ascii="Univers" w:hAnsi="Univers"/>
                <w:b/>
                <w:sz w:val="32"/>
              </w:rPr>
            </w:pPr>
            <w:proofErr w:type="gramStart"/>
            <w:r>
              <w:rPr>
                <w:rFonts w:ascii="Univers" w:hAnsi="Univers"/>
                <w:b/>
                <w:sz w:val="32"/>
              </w:rPr>
              <w:t>l’environnement</w:t>
            </w:r>
            <w:proofErr w:type="gramEnd"/>
          </w:p>
        </w:tc>
        <w:tc>
          <w:tcPr>
            <w:tcW w:w="4140" w:type="dxa"/>
            <w:tcBorders>
              <w:top w:val="nil"/>
              <w:left w:val="nil"/>
              <w:bottom w:val="single" w:sz="36" w:space="0" w:color="auto"/>
              <w:right w:val="nil"/>
            </w:tcBorders>
          </w:tcPr>
          <w:p w14:paraId="556EC11C" w14:textId="77777777" w:rsidR="00186ACF" w:rsidRDefault="00186ACF">
            <w:pPr>
              <w:rPr>
                <w:lang w:val="fr-FR"/>
              </w:rPr>
            </w:pPr>
          </w:p>
          <w:p w14:paraId="14F33AD9" w14:textId="77777777" w:rsidR="00186ACF" w:rsidRDefault="00186ACF">
            <w:pPr>
              <w:rPr>
                <w:lang w:val="fr-FR"/>
              </w:rPr>
            </w:pPr>
            <w:proofErr w:type="spellStart"/>
            <w:r>
              <w:rPr>
                <w:lang w:val="fr-FR"/>
              </w:rPr>
              <w:t>Distr</w:t>
            </w:r>
            <w:proofErr w:type="spellEnd"/>
            <w:r>
              <w:rPr>
                <w:lang w:val="fr-FR"/>
              </w:rPr>
              <w:t>.</w:t>
            </w:r>
          </w:p>
          <w:p w14:paraId="52254AFB" w14:textId="77777777" w:rsidR="00186ACF" w:rsidRDefault="00186ACF">
            <w:pPr>
              <w:rPr>
                <w:lang w:val="fr-FR"/>
              </w:rPr>
            </w:pPr>
            <w:r>
              <w:rPr>
                <w:lang w:val="fr-FR"/>
              </w:rPr>
              <w:t>GÉNÉRALE</w:t>
            </w:r>
          </w:p>
          <w:p w14:paraId="7BBA6934" w14:textId="77777777" w:rsidR="00186ACF" w:rsidRDefault="00186ACF">
            <w:pPr>
              <w:rPr>
                <w:lang w:val="fr-FR"/>
              </w:rPr>
            </w:pPr>
          </w:p>
          <w:p w14:paraId="3962F0EB" w14:textId="161AED4B" w:rsidR="00186ACF" w:rsidRDefault="00186ACF">
            <w:r>
              <w:fldChar w:fldCharType="begin"/>
            </w:r>
            <w:r>
              <w:instrText xml:space="preserve"> DOCPROPERTY "Document number"  \* MERGEFORMAT </w:instrText>
            </w:r>
            <w:r>
              <w:fldChar w:fldCharType="separate"/>
            </w:r>
            <w:r w:rsidR="00A63E99">
              <w:t>UNEP/</w:t>
            </w:r>
            <w:proofErr w:type="spellStart"/>
            <w:r w:rsidR="00A63E99">
              <w:t>OzL.Pro</w:t>
            </w:r>
            <w:proofErr w:type="spellEnd"/>
            <w:r w:rsidR="00A63E99">
              <w:t>/</w:t>
            </w:r>
            <w:proofErr w:type="spellStart"/>
            <w:r w:rsidR="00A63E99">
              <w:t>ExCom</w:t>
            </w:r>
            <w:proofErr w:type="spellEnd"/>
            <w:r w:rsidR="00A63E99">
              <w:t>/96/49</w:t>
            </w:r>
            <w:r>
              <w:fldChar w:fldCharType="end"/>
            </w:r>
          </w:p>
          <w:p w14:paraId="23C1391F" w14:textId="6C0D611E" w:rsidR="00186ACF" w:rsidRDefault="00186ACF">
            <w:r>
              <w:t>24 avril 2025</w:t>
            </w:r>
          </w:p>
          <w:p w14:paraId="46B91442" w14:textId="77777777" w:rsidR="00186ACF" w:rsidRDefault="00186ACF">
            <w:pPr>
              <w:rPr>
                <w:caps/>
                <w:lang w:val="fr-FR"/>
              </w:rPr>
            </w:pPr>
            <w:r>
              <w:rPr>
                <w:caps/>
              </w:rPr>
              <w:br/>
            </w:r>
            <w:r>
              <w:rPr>
                <w:caps/>
                <w:lang w:val="fr-FR"/>
              </w:rPr>
              <w:t>FRANÇAIS</w:t>
            </w:r>
          </w:p>
          <w:p w14:paraId="454AF215" w14:textId="77777777" w:rsidR="00186ACF" w:rsidRDefault="00186ACF">
            <w:r>
              <w:t>ORIGINAL: ANGLAIS</w:t>
            </w:r>
          </w:p>
        </w:tc>
      </w:tr>
    </w:tbl>
    <w:p w14:paraId="183C69EF" w14:textId="77777777" w:rsidR="00186ACF" w:rsidRDefault="00186ACF" w:rsidP="00186ACF">
      <w:pPr>
        <w:jc w:val="left"/>
      </w:pPr>
      <w:r>
        <w:t xml:space="preserve">COMITÉ EXÉCUTIF </w:t>
      </w:r>
      <w:r>
        <w:br/>
        <w:t xml:space="preserve">  DU FONDS MULTILATÉRAL AUX FINS </w:t>
      </w:r>
      <w:r>
        <w:br/>
        <w:t xml:space="preserve">  D’APPLICATION DU PROTOCOLE DE MONTRÉAL</w:t>
      </w:r>
      <w:r>
        <w:br/>
        <w:t>Quatre-vingt-seizième réunion</w:t>
      </w:r>
    </w:p>
    <w:p w14:paraId="60B8C219" w14:textId="77777777" w:rsidR="00186ACF" w:rsidRDefault="00186ACF" w:rsidP="00186ACF">
      <w:pPr>
        <w:jc w:val="left"/>
      </w:pPr>
      <w:r>
        <w:t>Montréal, 26-30 mai 2025</w:t>
      </w:r>
    </w:p>
    <w:p w14:paraId="6DEAB645" w14:textId="75E8350B" w:rsidR="005C49AC" w:rsidRPr="00EA656B" w:rsidRDefault="005C49AC" w:rsidP="005C49AC">
      <w:pPr>
        <w:jc w:val="left"/>
      </w:pPr>
      <w:r>
        <w:t>Point 9(d) de l’ordre du jour provisoire</w:t>
      </w:r>
      <w:r w:rsidRPr="00EA656B">
        <w:rPr>
          <w:rStyle w:val="FootnoteReference"/>
        </w:rPr>
        <w:footnoteReference w:id="2"/>
      </w:r>
    </w:p>
    <w:p w14:paraId="605F769E" w14:textId="77777777" w:rsidR="00EA598B" w:rsidRPr="00EA656B" w:rsidRDefault="00EA598B" w:rsidP="00857077">
      <w:pPr>
        <w:jc w:val="left"/>
      </w:pPr>
    </w:p>
    <w:p w14:paraId="29560E08" w14:textId="77777777" w:rsidR="00EA598B" w:rsidRPr="00EA656B" w:rsidRDefault="00EA598B" w:rsidP="00EA598B"/>
    <w:p w14:paraId="656521EB" w14:textId="77777777" w:rsidR="000C7DD8" w:rsidRPr="00EA656B" w:rsidRDefault="000C7DD8" w:rsidP="00EA598B"/>
    <w:p w14:paraId="632BD2B8" w14:textId="312A43C9" w:rsidR="007743B0" w:rsidRPr="00EA656B" w:rsidRDefault="00A63E99" w:rsidP="007743B0">
      <w:pPr>
        <w:jc w:val="center"/>
        <w:rPr>
          <w:b/>
        </w:rPr>
      </w:pPr>
      <w:bookmarkStart w:id="0" w:name="_Hlk181863945"/>
      <w:r>
        <w:rPr>
          <w:b/>
        </w:rPr>
        <w:t>PROPOSITION DE PROJET : MACÉDOINE DU NORD</w:t>
      </w:r>
      <w:bookmarkEnd w:id="0"/>
    </w:p>
    <w:p w14:paraId="075E4B0C" w14:textId="77777777" w:rsidR="00EA598B" w:rsidRPr="00EA656B" w:rsidRDefault="00EA598B" w:rsidP="00EA598B"/>
    <w:p w14:paraId="4771AF40" w14:textId="77777777" w:rsidR="00EA598B" w:rsidRPr="00EA656B" w:rsidRDefault="00EA598B" w:rsidP="00EA598B"/>
    <w:p w14:paraId="6F5D0450" w14:textId="01B94C19" w:rsidR="00EA598B" w:rsidRPr="00EA656B" w:rsidRDefault="00EA598B" w:rsidP="001C6EB1">
      <w:pPr>
        <w:spacing w:after="240"/>
        <w:ind w:firstLine="720"/>
      </w:pPr>
      <w:r>
        <w:t>Le présent document contient les commentaires et la recommandation du Secrétariat sur la proposition de projet suivante :</w:t>
      </w:r>
    </w:p>
    <w:p w14:paraId="3CDDFBAE" w14:textId="65995E62" w:rsidR="00EA598B" w:rsidRPr="00EA656B" w:rsidRDefault="001C6EB1" w:rsidP="001C6EB1">
      <w:pPr>
        <w:spacing w:before="240" w:after="240"/>
        <w:rPr>
          <w:u w:val="single"/>
        </w:rPr>
      </w:pPr>
      <w:r>
        <w:rPr>
          <w:u w:val="single"/>
        </w:rPr>
        <w:t>Efficacité énergétique</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701"/>
        <w:gridCol w:w="1653"/>
      </w:tblGrid>
      <w:tr w:rsidR="003D500E" w:rsidRPr="00EA656B" w14:paraId="14E9E5F9" w14:textId="77777777" w:rsidTr="002975F4">
        <w:tc>
          <w:tcPr>
            <w:tcW w:w="6096" w:type="dxa"/>
          </w:tcPr>
          <w:p w14:paraId="3072D679" w14:textId="584A3722" w:rsidR="003D500E" w:rsidRPr="00EA656B" w:rsidRDefault="00331CA9" w:rsidP="001200D5">
            <w:pPr>
              <w:pStyle w:val="ListParagraph"/>
              <w:numPr>
                <w:ilvl w:val="0"/>
                <w:numId w:val="22"/>
              </w:numPr>
              <w:ind w:left="321" w:hanging="431"/>
              <w:jc w:val="left"/>
            </w:pPr>
            <w:r>
              <w:t>Projet pilote visant à maintenir ou à améliorer l’efficacité énergétique des technologies et équipements de remplacement aux fins de réduction progressive des HFC (activités ne portant pas sur des investissements)</w:t>
            </w:r>
          </w:p>
        </w:tc>
        <w:tc>
          <w:tcPr>
            <w:tcW w:w="1701" w:type="dxa"/>
          </w:tcPr>
          <w:p w14:paraId="409ABB38" w14:textId="25B40F42" w:rsidR="003D500E" w:rsidRPr="00EA656B" w:rsidRDefault="00DA7486" w:rsidP="00CF6FED">
            <w:pPr>
              <w:ind w:left="174"/>
              <w:jc w:val="center"/>
            </w:pPr>
            <w:r>
              <w:t>ONUDI</w:t>
            </w:r>
          </w:p>
        </w:tc>
        <w:tc>
          <w:tcPr>
            <w:tcW w:w="1653" w:type="dxa"/>
          </w:tcPr>
          <w:p w14:paraId="0B0D3654" w14:textId="7EC37B72" w:rsidR="003D500E" w:rsidRPr="00EA656B" w:rsidRDefault="003D500E" w:rsidP="003D500E">
            <w:pPr>
              <w:jc w:val="right"/>
              <w:rPr>
                <w:highlight w:val="cyan"/>
              </w:rPr>
            </w:pPr>
            <w:r>
              <w:t>Examen individuel</w:t>
            </w:r>
          </w:p>
        </w:tc>
      </w:tr>
    </w:tbl>
    <w:p w14:paraId="6C28306F" w14:textId="77777777" w:rsidR="00EA598B" w:rsidRPr="00EA656B" w:rsidRDefault="00EA598B" w:rsidP="00EA598B"/>
    <w:p w14:paraId="5CD70E41" w14:textId="77777777" w:rsidR="00EA598B" w:rsidRPr="00EA656B" w:rsidRDefault="00EA598B" w:rsidP="00EA598B"/>
    <w:p w14:paraId="414ABE3D" w14:textId="77777777" w:rsidR="00EA598B" w:rsidRPr="00EA656B" w:rsidRDefault="00EA598B" w:rsidP="00EA598B"/>
    <w:p w14:paraId="6B70EFD7" w14:textId="77777777" w:rsidR="00EA598B" w:rsidRPr="00EA656B" w:rsidRDefault="00EA598B" w:rsidP="00EA598B">
      <w:r>
        <w:br w:type="page"/>
      </w:r>
    </w:p>
    <w:p w14:paraId="55E1BC68" w14:textId="77777777" w:rsidR="0013690A" w:rsidRPr="005A293D" w:rsidRDefault="0013690A" w:rsidP="00C0322C">
      <w:pPr>
        <w:spacing w:after="160"/>
        <w:jc w:val="center"/>
        <w:rPr>
          <w:b/>
        </w:rPr>
      </w:pPr>
      <w:r>
        <w:rPr>
          <w:b/>
        </w:rPr>
        <w:lastRenderedPageBreak/>
        <w:t xml:space="preserve">FICHE D’ÉVALUATION DU PROJET – PROJET NON PLURIANNUEL </w:t>
      </w:r>
    </w:p>
    <w:p w14:paraId="06E49579" w14:textId="11C42CC5" w:rsidR="0013690A" w:rsidRPr="005A293D" w:rsidRDefault="0013690A" w:rsidP="00C0322C">
      <w:pPr>
        <w:spacing w:after="240"/>
        <w:jc w:val="center"/>
        <w:rPr>
          <w:b/>
        </w:rPr>
      </w:pPr>
      <w:r>
        <w:rPr>
          <w:b/>
        </w:rPr>
        <w:t>Macédoine du Nord</w:t>
      </w:r>
    </w:p>
    <w:p w14:paraId="5E889C15" w14:textId="77777777" w:rsidR="0013690A" w:rsidRPr="005A293D" w:rsidRDefault="0013690A" w:rsidP="0013690A">
      <w:pPr>
        <w:tabs>
          <w:tab w:val="left" w:pos="5580"/>
        </w:tabs>
        <w:ind w:right="-450" w:hanging="450"/>
        <w:rPr>
          <w:b/>
        </w:rPr>
      </w:pPr>
      <w:bookmarkStart w:id="1" w:name="_Hlk149308122"/>
      <w:r>
        <w:rPr>
          <w:b/>
          <w:caps/>
        </w:rPr>
        <w:t>Titre du projet</w:t>
      </w:r>
      <w:bookmarkEnd w:id="1"/>
      <w:r>
        <w:rPr>
          <w:b/>
        </w:rPr>
        <w:tab/>
      </w:r>
      <w:r>
        <w:rPr>
          <w:b/>
          <w:caps/>
        </w:rPr>
        <w:t>Agence d’exécution/bilatérale</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13690A" w:rsidRPr="00B07A04" w14:paraId="79C88989" w14:textId="77777777" w:rsidTr="004A6290">
        <w:trPr>
          <w:trHeight w:val="251"/>
        </w:trPr>
        <w:tc>
          <w:tcPr>
            <w:tcW w:w="7045" w:type="dxa"/>
            <w:tcBorders>
              <w:right w:val="single" w:sz="4" w:space="0" w:color="auto"/>
            </w:tcBorders>
          </w:tcPr>
          <w:p w14:paraId="39D8B98E" w14:textId="77777777" w:rsidR="0013690A" w:rsidRPr="00B07A04" w:rsidRDefault="0013690A" w:rsidP="004A6290">
            <w:pPr>
              <w:ind w:left="30"/>
              <w:rPr>
                <w:sz w:val="20"/>
                <w:szCs w:val="20"/>
              </w:rPr>
            </w:pPr>
            <w:r>
              <w:rPr>
                <w:sz w:val="20"/>
                <w:szCs w:val="20"/>
              </w:rPr>
              <w:t xml:space="preserve">Projet pilote visant à maintenir ou à améliorer l’efficacité énergétique des technologies et équipements de remplacement aux fins de réduction progressive des HFC (activités ne portant pas sur des investissements) </w:t>
            </w:r>
          </w:p>
        </w:tc>
        <w:tc>
          <w:tcPr>
            <w:tcW w:w="3120" w:type="dxa"/>
            <w:tcBorders>
              <w:top w:val="single" w:sz="4" w:space="0" w:color="auto"/>
              <w:left w:val="single" w:sz="4" w:space="0" w:color="auto"/>
              <w:bottom w:val="single" w:sz="4" w:space="0" w:color="auto"/>
            </w:tcBorders>
          </w:tcPr>
          <w:p w14:paraId="4A5353F4" w14:textId="77777777" w:rsidR="0013690A" w:rsidRPr="00B07A04" w:rsidRDefault="0013690A" w:rsidP="004A6290">
            <w:pPr>
              <w:jc w:val="right"/>
              <w:rPr>
                <w:sz w:val="20"/>
                <w:szCs w:val="20"/>
              </w:rPr>
            </w:pPr>
            <w:r>
              <w:rPr>
                <w:sz w:val="20"/>
                <w:szCs w:val="20"/>
              </w:rPr>
              <w:t>ONUDI</w:t>
            </w:r>
          </w:p>
        </w:tc>
      </w:tr>
    </w:tbl>
    <w:p w14:paraId="1D513B11" w14:textId="77777777" w:rsidR="0013690A" w:rsidRPr="005A293D" w:rsidRDefault="0013690A" w:rsidP="0013690A">
      <w:pPr>
        <w:rPr>
          <w:sz w:val="20"/>
          <w:szCs w:val="20"/>
        </w:rPr>
      </w:pPr>
    </w:p>
    <w:p w14:paraId="5053BD09" w14:textId="77777777" w:rsidR="0013690A" w:rsidRPr="005A293D" w:rsidRDefault="0013690A" w:rsidP="0013690A">
      <w:pPr>
        <w:ind w:hanging="426"/>
      </w:pPr>
      <w:r>
        <w:rPr>
          <w:b/>
          <w:caps/>
        </w:rPr>
        <w:t>OBJECTIF DU PROJET</w:t>
      </w:r>
    </w:p>
    <w:tbl>
      <w:tblPr>
        <w:tblStyle w:val="TableGrid"/>
        <w:tblW w:w="10165" w:type="dxa"/>
        <w:jc w:val="center"/>
        <w:tblLook w:val="01E0" w:firstRow="1" w:lastRow="1" w:firstColumn="1" w:lastColumn="1" w:noHBand="0" w:noVBand="0"/>
      </w:tblPr>
      <w:tblGrid>
        <w:gridCol w:w="10165"/>
      </w:tblGrid>
      <w:tr w:rsidR="0013690A" w:rsidRPr="00B07A04" w14:paraId="75E26400" w14:textId="77777777" w:rsidTr="000E0192">
        <w:trPr>
          <w:trHeight w:val="496"/>
          <w:jc w:val="center"/>
        </w:trPr>
        <w:tc>
          <w:tcPr>
            <w:tcW w:w="10165" w:type="dxa"/>
          </w:tcPr>
          <w:p w14:paraId="3787F583" w14:textId="675E2467" w:rsidR="0013690A" w:rsidRPr="00B07A04" w:rsidRDefault="00110E71" w:rsidP="00386BBD">
            <w:pPr>
              <w:pStyle w:val="Heading1"/>
              <w:numPr>
                <w:ilvl w:val="0"/>
                <w:numId w:val="0"/>
              </w:numPr>
              <w:rPr>
                <w:sz w:val="20"/>
                <w:szCs w:val="20"/>
              </w:rPr>
            </w:pPr>
            <w:r>
              <w:rPr>
                <w:sz w:val="20"/>
                <w:szCs w:val="20"/>
              </w:rPr>
              <w:t xml:space="preserve">La proposition de projet pilote sur l’efficacité énergétique vise l’amélioration du cadre de travail du pays en matière d’efficacité énergétique dans le secteur de la réfrigération et de la climatisation par le renforcement du système juridique, l’augmentation de l’efficacité énergétique des équipements contenant des HFC et la promotion des MEPS. </w:t>
            </w:r>
          </w:p>
        </w:tc>
      </w:tr>
    </w:tbl>
    <w:p w14:paraId="092343CC" w14:textId="77777777" w:rsidR="0013690A" w:rsidRPr="005A293D" w:rsidRDefault="0013690A" w:rsidP="0013690A">
      <w:pPr>
        <w:rPr>
          <w:sz w:val="20"/>
          <w:szCs w:val="20"/>
        </w:rPr>
      </w:pPr>
    </w:p>
    <w:tbl>
      <w:tblPr>
        <w:tblStyle w:val="TableGrid"/>
        <w:tblW w:w="10165" w:type="dxa"/>
        <w:jc w:val="center"/>
        <w:tblLook w:val="01E0" w:firstRow="1" w:lastRow="1" w:firstColumn="1" w:lastColumn="1" w:noHBand="0" w:noVBand="0"/>
      </w:tblPr>
      <w:tblGrid>
        <w:gridCol w:w="4106"/>
        <w:gridCol w:w="6059"/>
      </w:tblGrid>
      <w:tr w:rsidR="0013690A" w:rsidRPr="00B07A04" w14:paraId="2239E436" w14:textId="77777777" w:rsidTr="004A6290">
        <w:trPr>
          <w:jc w:val="center"/>
        </w:trPr>
        <w:tc>
          <w:tcPr>
            <w:tcW w:w="4106" w:type="dxa"/>
          </w:tcPr>
          <w:p w14:paraId="28EC9CE3" w14:textId="0C841D12" w:rsidR="0013690A" w:rsidRPr="00434B76" w:rsidRDefault="0013690A" w:rsidP="004A6290">
            <w:pPr>
              <w:rPr>
                <w:sz w:val="20"/>
                <w:szCs w:val="20"/>
              </w:rPr>
            </w:pPr>
            <w:r>
              <w:rPr>
                <w:b/>
                <w:caps/>
                <w:sz w:val="20"/>
                <w:szCs w:val="20"/>
              </w:rPr>
              <w:t>AGENCES NATIONALES DE COORDINATION</w:t>
            </w:r>
          </w:p>
        </w:tc>
        <w:tc>
          <w:tcPr>
            <w:tcW w:w="6059" w:type="dxa"/>
          </w:tcPr>
          <w:p w14:paraId="184B77A6" w14:textId="6877D6D1" w:rsidR="0013690A" w:rsidRPr="00B07A04" w:rsidRDefault="00777055" w:rsidP="004A6290">
            <w:pPr>
              <w:rPr>
                <w:sz w:val="20"/>
                <w:szCs w:val="20"/>
              </w:rPr>
            </w:pPr>
            <w:r>
              <w:rPr>
                <w:sz w:val="20"/>
                <w:szCs w:val="20"/>
              </w:rPr>
              <w:t>Le ministère de l’Économie; le ministère de l’Énergie, des Mines et des Minéraux</w:t>
            </w:r>
          </w:p>
        </w:tc>
      </w:tr>
    </w:tbl>
    <w:p w14:paraId="21F4BB58" w14:textId="77777777" w:rsidR="0013690A" w:rsidRPr="005A293D" w:rsidRDefault="0013690A" w:rsidP="0013690A">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13690A" w:rsidRPr="00B07A04" w14:paraId="4A9165F4" w14:textId="77777777" w:rsidTr="004A6290">
        <w:trPr>
          <w:trHeight w:val="77"/>
        </w:trPr>
        <w:tc>
          <w:tcPr>
            <w:tcW w:w="4644" w:type="dxa"/>
            <w:shd w:val="clear" w:color="auto" w:fill="auto"/>
          </w:tcPr>
          <w:p w14:paraId="44C3DCA3" w14:textId="77777777" w:rsidR="0013690A" w:rsidRPr="00B07A04" w:rsidRDefault="0013690A" w:rsidP="004A6290">
            <w:pPr>
              <w:jc w:val="left"/>
              <w:rPr>
                <w:b/>
                <w:sz w:val="20"/>
                <w:szCs w:val="20"/>
              </w:rPr>
            </w:pPr>
            <w:r>
              <w:rPr>
                <w:b/>
                <w:sz w:val="20"/>
                <w:szCs w:val="20"/>
              </w:rPr>
              <w:t>DERNIÈRES DONNÉES COMMUNIQUÉES EN VERTU DE L’ARTICLE 7 (Annexe F)</w:t>
            </w:r>
          </w:p>
        </w:tc>
        <w:tc>
          <w:tcPr>
            <w:tcW w:w="1560" w:type="dxa"/>
            <w:shd w:val="clear" w:color="auto" w:fill="auto"/>
          </w:tcPr>
          <w:p w14:paraId="28F41F80" w14:textId="1B2CE40A" w:rsidR="0013690A" w:rsidRPr="00B07A04" w:rsidRDefault="0013690A" w:rsidP="004A6290">
            <w:pPr>
              <w:jc w:val="left"/>
              <w:rPr>
                <w:sz w:val="20"/>
                <w:szCs w:val="20"/>
              </w:rPr>
            </w:pPr>
            <w:r>
              <w:rPr>
                <w:b/>
                <w:bCs/>
                <w:sz w:val="20"/>
                <w:szCs w:val="20"/>
              </w:rPr>
              <w:t>Année :</w:t>
            </w:r>
            <w:r>
              <w:rPr>
                <w:sz w:val="20"/>
                <w:szCs w:val="20"/>
              </w:rPr>
              <w:t xml:space="preserve"> </w:t>
            </w:r>
          </w:p>
        </w:tc>
        <w:tc>
          <w:tcPr>
            <w:tcW w:w="1417" w:type="dxa"/>
            <w:shd w:val="clear" w:color="auto" w:fill="auto"/>
          </w:tcPr>
          <w:p w14:paraId="38693383" w14:textId="1416DE62" w:rsidR="0013690A" w:rsidRPr="00B07A04" w:rsidRDefault="00F8414C" w:rsidP="004A6290">
            <w:pPr>
              <w:ind w:left="-109"/>
              <w:jc w:val="right"/>
              <w:rPr>
                <w:sz w:val="20"/>
                <w:szCs w:val="20"/>
              </w:rPr>
            </w:pPr>
            <w:r>
              <w:rPr>
                <w:sz w:val="20"/>
                <w:szCs w:val="20"/>
              </w:rPr>
              <w:t>2023</w:t>
            </w:r>
          </w:p>
        </w:tc>
        <w:tc>
          <w:tcPr>
            <w:tcW w:w="2586" w:type="dxa"/>
            <w:shd w:val="clear" w:color="auto" w:fill="auto"/>
          </w:tcPr>
          <w:p w14:paraId="36EA0367" w14:textId="4256264F" w:rsidR="0013690A" w:rsidRPr="00B07A04" w:rsidRDefault="00850A5D" w:rsidP="004A6290">
            <w:pPr>
              <w:ind w:left="-110"/>
              <w:jc w:val="right"/>
              <w:rPr>
                <w:sz w:val="20"/>
                <w:szCs w:val="20"/>
              </w:rPr>
            </w:pPr>
            <w:r>
              <w:rPr>
                <w:b/>
                <w:color w:val="000000"/>
                <w:sz w:val="20"/>
                <w:szCs w:val="20"/>
              </w:rPr>
              <w:t xml:space="preserve">275 505 tonnes </w:t>
            </w:r>
            <w:proofErr w:type="spellStart"/>
            <w:r>
              <w:rPr>
                <w:b/>
                <w:color w:val="000000"/>
                <w:sz w:val="20"/>
                <w:szCs w:val="20"/>
              </w:rPr>
              <w:t>éq</w:t>
            </w:r>
            <w:proofErr w:type="spellEnd"/>
            <w:r>
              <w:rPr>
                <w:b/>
                <w:color w:val="000000"/>
                <w:sz w:val="20"/>
                <w:szCs w:val="20"/>
              </w:rPr>
              <w:t>. CO</w:t>
            </w:r>
            <w:r>
              <w:rPr>
                <w:b/>
                <w:color w:val="000000"/>
                <w:sz w:val="20"/>
                <w:szCs w:val="20"/>
                <w:vertAlign w:val="subscript"/>
              </w:rPr>
              <w:t>2</w:t>
            </w:r>
          </w:p>
        </w:tc>
      </w:tr>
    </w:tbl>
    <w:p w14:paraId="47010BD2" w14:textId="77777777" w:rsidR="0013690A" w:rsidRPr="005A293D" w:rsidRDefault="0013690A" w:rsidP="0013690A">
      <w:pPr>
        <w:jc w:val="center"/>
        <w:rPr>
          <w:sz w:val="10"/>
          <w:szCs w:val="10"/>
        </w:rPr>
      </w:pPr>
    </w:p>
    <w:p w14:paraId="0E2F4A63" w14:textId="77777777" w:rsidR="0013690A" w:rsidRPr="005A293D" w:rsidRDefault="0013690A" w:rsidP="0013690A">
      <w:pPr>
        <w:rPr>
          <w:sz w:val="20"/>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411"/>
      </w:tblGrid>
      <w:tr w:rsidR="008F1D71" w:rsidRPr="00B07A04" w14:paraId="55DA66FF" w14:textId="77777777" w:rsidTr="007D195E">
        <w:trPr>
          <w:trHeight w:val="316"/>
          <w:jc w:val="center"/>
        </w:trPr>
        <w:tc>
          <w:tcPr>
            <w:tcW w:w="6799" w:type="dxa"/>
            <w:tcBorders>
              <w:top w:val="single" w:sz="4" w:space="0" w:color="auto"/>
              <w:left w:val="single" w:sz="4" w:space="0" w:color="auto"/>
              <w:right w:val="single" w:sz="4" w:space="0" w:color="auto"/>
            </w:tcBorders>
            <w:vAlign w:val="center"/>
          </w:tcPr>
          <w:p w14:paraId="47457C4D" w14:textId="77777777" w:rsidR="008F1D71" w:rsidRPr="00B07A04" w:rsidRDefault="008F1D71" w:rsidP="007D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rPr>
            </w:pPr>
            <w:r>
              <w:rPr>
                <w:b/>
                <w:sz w:val="20"/>
                <w:szCs w:val="20"/>
              </w:rPr>
              <w:t>Détails</w:t>
            </w:r>
          </w:p>
        </w:tc>
        <w:tc>
          <w:tcPr>
            <w:tcW w:w="3411" w:type="dxa"/>
            <w:tcBorders>
              <w:top w:val="single" w:sz="4" w:space="0" w:color="auto"/>
              <w:left w:val="single" w:sz="4" w:space="0" w:color="auto"/>
              <w:right w:val="single" w:sz="4" w:space="0" w:color="auto"/>
            </w:tcBorders>
            <w:vAlign w:val="center"/>
          </w:tcPr>
          <w:p w14:paraId="4FBE62A0" w14:textId="77777777" w:rsidR="008F1D71" w:rsidRPr="00B07A04" w:rsidRDefault="008F1D71" w:rsidP="007D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Pr>
                <w:sz w:val="20"/>
                <w:szCs w:val="20"/>
              </w:rPr>
              <w:t>Activités ne portant pas sur des investissements</w:t>
            </w:r>
          </w:p>
        </w:tc>
      </w:tr>
      <w:tr w:rsidR="0013690A" w:rsidRPr="00B07A04" w14:paraId="4649A701" w14:textId="77777777" w:rsidTr="0033006B">
        <w:trPr>
          <w:trHeight w:val="131"/>
          <w:jc w:val="center"/>
        </w:trPr>
        <w:tc>
          <w:tcPr>
            <w:tcW w:w="6799" w:type="dxa"/>
            <w:vMerge w:val="restart"/>
            <w:tcBorders>
              <w:top w:val="single" w:sz="4" w:space="0" w:color="auto"/>
              <w:left w:val="single" w:sz="4" w:space="0" w:color="auto"/>
              <w:right w:val="single" w:sz="4" w:space="0" w:color="auto"/>
            </w:tcBorders>
            <w:vAlign w:val="center"/>
          </w:tcPr>
          <w:p w14:paraId="13D83909" w14:textId="78B05EC0"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r>
              <w:rPr>
                <w:bCs/>
                <w:sz w:val="20"/>
                <w:szCs w:val="20"/>
              </w:rPr>
              <w:t>HFC utilisé par le secteur de l’entretien</w:t>
            </w:r>
          </w:p>
        </w:tc>
        <w:tc>
          <w:tcPr>
            <w:tcW w:w="3411" w:type="dxa"/>
            <w:tcBorders>
              <w:top w:val="single" w:sz="4" w:space="0" w:color="auto"/>
              <w:left w:val="single" w:sz="4" w:space="0" w:color="auto"/>
              <w:right w:val="single" w:sz="4" w:space="0" w:color="auto"/>
            </w:tcBorders>
            <w:shd w:val="clear" w:color="auto" w:fill="auto"/>
          </w:tcPr>
          <w:p w14:paraId="6910D85F" w14:textId="724E99F6" w:rsidR="0013690A" w:rsidRPr="00B07A04" w:rsidRDefault="009D58E7" w:rsidP="007E70B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99,46 </w:t>
            </w:r>
            <w:proofErr w:type="spellStart"/>
            <w:r>
              <w:rPr>
                <w:sz w:val="20"/>
                <w:szCs w:val="20"/>
              </w:rPr>
              <w:t>tm</w:t>
            </w:r>
            <w:proofErr w:type="spellEnd"/>
          </w:p>
        </w:tc>
      </w:tr>
      <w:tr w:rsidR="0013690A" w:rsidRPr="00A63E99" w14:paraId="76146611" w14:textId="77777777" w:rsidTr="0033006B">
        <w:trPr>
          <w:trHeight w:val="131"/>
          <w:jc w:val="center"/>
        </w:trPr>
        <w:tc>
          <w:tcPr>
            <w:tcW w:w="6799" w:type="dxa"/>
            <w:vMerge/>
            <w:tcBorders>
              <w:left w:val="single" w:sz="4" w:space="0" w:color="auto"/>
              <w:bottom w:val="single" w:sz="4" w:space="0" w:color="auto"/>
              <w:right w:val="single" w:sz="4" w:space="0" w:color="auto"/>
            </w:tcBorders>
          </w:tcPr>
          <w:p w14:paraId="129899D2"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3411" w:type="dxa"/>
            <w:tcBorders>
              <w:left w:val="single" w:sz="4" w:space="0" w:color="auto"/>
              <w:bottom w:val="single" w:sz="4" w:space="0" w:color="auto"/>
              <w:right w:val="single" w:sz="4" w:space="0" w:color="auto"/>
            </w:tcBorders>
            <w:shd w:val="clear" w:color="auto" w:fill="auto"/>
          </w:tcPr>
          <w:p w14:paraId="0351D992" w14:textId="4A64F2A9" w:rsidR="0013690A" w:rsidRPr="00307C54" w:rsidRDefault="009D58E7" w:rsidP="0033006B">
            <w:pPr>
              <w:jc w:val="right"/>
              <w:rPr>
                <w:sz w:val="20"/>
                <w:szCs w:val="20"/>
                <w:lang w:val="en-CA"/>
              </w:rPr>
            </w:pPr>
            <w:r w:rsidRPr="00307C54">
              <w:rPr>
                <w:sz w:val="20"/>
                <w:szCs w:val="20"/>
                <w:lang w:val="en-CA"/>
              </w:rPr>
              <w:t xml:space="preserve">214 184 tonnes </w:t>
            </w:r>
            <w:proofErr w:type="spellStart"/>
            <w:r w:rsidRPr="00307C54">
              <w:rPr>
                <w:sz w:val="20"/>
                <w:szCs w:val="20"/>
                <w:lang w:val="en-CA"/>
              </w:rPr>
              <w:t>éq</w:t>
            </w:r>
            <w:proofErr w:type="spellEnd"/>
            <w:r w:rsidRPr="00307C54">
              <w:rPr>
                <w:sz w:val="20"/>
                <w:szCs w:val="20"/>
                <w:lang w:val="en-CA"/>
              </w:rPr>
              <w:t xml:space="preserve">. </w:t>
            </w:r>
            <w:r w:rsidRPr="00307C54">
              <w:rPr>
                <w:color w:val="000000"/>
                <w:sz w:val="20"/>
                <w:szCs w:val="20"/>
                <w:lang w:val="en-CA"/>
              </w:rPr>
              <w:t>CO</w:t>
            </w:r>
            <w:r w:rsidRPr="00307C54">
              <w:rPr>
                <w:color w:val="000000"/>
                <w:sz w:val="20"/>
                <w:szCs w:val="20"/>
                <w:vertAlign w:val="subscript"/>
                <w:lang w:val="en-CA"/>
              </w:rPr>
              <w:t>2</w:t>
            </w:r>
            <w:r w:rsidRPr="00307C54">
              <w:rPr>
                <w:color w:val="000000"/>
                <w:sz w:val="20"/>
                <w:szCs w:val="20"/>
                <w:lang w:val="en-CA"/>
              </w:rPr>
              <w:br/>
              <w:t>(HFC-32, HFC-134a, R-404A, R-410A, R-517A, R-452A)</w:t>
            </w:r>
            <w:r w:rsidRPr="00307C54">
              <w:rPr>
                <w:b/>
                <w:color w:val="000000"/>
                <w:sz w:val="20"/>
                <w:szCs w:val="20"/>
                <w:lang w:val="en-CA"/>
              </w:rPr>
              <w:t xml:space="preserve"> </w:t>
            </w:r>
          </w:p>
        </w:tc>
      </w:tr>
      <w:tr w:rsidR="0013690A" w:rsidRPr="00B07A04" w14:paraId="2A8D5A05" w14:textId="77777777" w:rsidTr="0033006B">
        <w:trPr>
          <w:trHeight w:val="277"/>
          <w:jc w:val="center"/>
        </w:trPr>
        <w:tc>
          <w:tcPr>
            <w:tcW w:w="6799" w:type="dxa"/>
            <w:tcBorders>
              <w:top w:val="single" w:sz="4" w:space="0" w:color="auto"/>
              <w:left w:val="single" w:sz="4" w:space="0" w:color="auto"/>
              <w:bottom w:val="single" w:sz="4" w:space="0" w:color="auto"/>
              <w:right w:val="single" w:sz="4" w:space="0" w:color="auto"/>
            </w:tcBorders>
          </w:tcPr>
          <w:p w14:paraId="079C8494" w14:textId="3EDDF0CE"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Durée du projet (en mois)</w:t>
            </w:r>
            <w:r w:rsidR="002063DC">
              <w:rPr>
                <w:sz w:val="20"/>
                <w:szCs w:val="20"/>
              </w:rPr>
              <w:t> </w:t>
            </w:r>
            <w:r>
              <w:rPr>
                <w:sz w:val="20"/>
                <w:szCs w:val="20"/>
              </w:rPr>
              <w:t>:</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1A96E9A0" w14:textId="0C2D9AB1" w:rsidR="0013690A" w:rsidRPr="00B07A04" w:rsidRDefault="00E2117C" w:rsidP="004A6290">
            <w:pPr>
              <w:jc w:val="right"/>
              <w:rPr>
                <w:sz w:val="20"/>
                <w:szCs w:val="20"/>
              </w:rPr>
            </w:pPr>
            <w:r>
              <w:rPr>
                <w:sz w:val="20"/>
                <w:szCs w:val="20"/>
              </w:rPr>
              <w:t>24</w:t>
            </w:r>
          </w:p>
        </w:tc>
      </w:tr>
      <w:tr w:rsidR="0013690A" w:rsidRPr="00B07A04" w14:paraId="26E92CAF"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0BC342D1" w14:textId="6DA455BC"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Montant initial demandé (</w:t>
            </w:r>
            <w:r w:rsidR="00A63E99">
              <w:rPr>
                <w:sz w:val="20"/>
                <w:szCs w:val="20"/>
              </w:rPr>
              <w:t>$US</w:t>
            </w:r>
            <w:r>
              <w:rPr>
                <w:sz w:val="20"/>
                <w:szCs w:val="20"/>
              </w:rPr>
              <w:t>) :</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5CE70CF6" w14:textId="2812D72C" w:rsidR="0013690A" w:rsidRPr="00B07A04" w:rsidRDefault="00A96D56"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260 000</w:t>
            </w:r>
          </w:p>
        </w:tc>
      </w:tr>
      <w:tr w:rsidR="0013690A" w:rsidRPr="00B07A04" w14:paraId="61C58893"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5A63FDF4" w14:textId="676AD002"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Coûts finaux du projet (</w:t>
            </w:r>
            <w:r w:rsidR="00A63E99">
              <w:rPr>
                <w:sz w:val="20"/>
                <w:szCs w:val="20"/>
              </w:rPr>
              <w:t>$US</w:t>
            </w:r>
            <w:r>
              <w:rPr>
                <w:sz w:val="20"/>
                <w:szCs w:val="20"/>
              </w:rPr>
              <w:t>) :</w:t>
            </w:r>
          </w:p>
        </w:tc>
        <w:tc>
          <w:tcPr>
            <w:tcW w:w="3411" w:type="dxa"/>
            <w:tcBorders>
              <w:top w:val="single" w:sz="4" w:space="0" w:color="auto"/>
              <w:left w:val="single" w:sz="4" w:space="0" w:color="auto"/>
              <w:bottom w:val="single" w:sz="4" w:space="0" w:color="auto"/>
              <w:right w:val="single" w:sz="4" w:space="0" w:color="auto"/>
            </w:tcBorders>
          </w:tcPr>
          <w:p w14:paraId="49126550" w14:textId="1439FC2D" w:rsidR="0013690A" w:rsidRPr="00B07A04" w:rsidRDefault="00C5240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241 000</w:t>
            </w:r>
          </w:p>
        </w:tc>
      </w:tr>
      <w:tr w:rsidR="0013690A" w:rsidRPr="00B07A04" w14:paraId="06492D17"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7215596C" w14:textId="216AC54E"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Coût d’appui de l’agence d’exécution (</w:t>
            </w:r>
            <w:r w:rsidR="00A63E99">
              <w:rPr>
                <w:sz w:val="20"/>
                <w:szCs w:val="20"/>
              </w:rPr>
              <w:t>$US</w:t>
            </w:r>
            <w:r>
              <w:rPr>
                <w:sz w:val="20"/>
                <w:szCs w:val="20"/>
              </w:rPr>
              <w:t>) :</w:t>
            </w:r>
          </w:p>
        </w:tc>
        <w:tc>
          <w:tcPr>
            <w:tcW w:w="3411" w:type="dxa"/>
            <w:tcBorders>
              <w:top w:val="single" w:sz="4" w:space="0" w:color="auto"/>
              <w:left w:val="single" w:sz="4" w:space="0" w:color="auto"/>
              <w:bottom w:val="single" w:sz="4" w:space="0" w:color="auto"/>
              <w:right w:val="single" w:sz="4" w:space="0" w:color="auto"/>
            </w:tcBorders>
          </w:tcPr>
          <w:p w14:paraId="38148543" w14:textId="3404CBF4" w:rsidR="0013690A" w:rsidRPr="00B07A04" w:rsidRDefault="00C5240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21 690</w:t>
            </w:r>
          </w:p>
        </w:tc>
      </w:tr>
      <w:tr w:rsidR="0013690A" w:rsidRPr="00B07A04" w14:paraId="3FDF5F9A"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053855A" w14:textId="21974C58"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Coût total du projet pour le Fonds multilatéral (</w:t>
            </w:r>
            <w:r w:rsidR="00A63E99">
              <w:rPr>
                <w:sz w:val="20"/>
                <w:szCs w:val="20"/>
              </w:rPr>
              <w:t>$US</w:t>
            </w:r>
            <w:r>
              <w:rPr>
                <w:sz w:val="20"/>
                <w:szCs w:val="20"/>
              </w:rPr>
              <w:t>) :</w:t>
            </w:r>
          </w:p>
        </w:tc>
        <w:tc>
          <w:tcPr>
            <w:tcW w:w="3411" w:type="dxa"/>
            <w:tcBorders>
              <w:top w:val="single" w:sz="4" w:space="0" w:color="auto"/>
              <w:left w:val="single" w:sz="4" w:space="0" w:color="auto"/>
              <w:bottom w:val="single" w:sz="4" w:space="0" w:color="auto"/>
              <w:right w:val="single" w:sz="4" w:space="0" w:color="auto"/>
            </w:tcBorders>
          </w:tcPr>
          <w:p w14:paraId="5F2F97CC" w14:textId="024C8F55" w:rsidR="0013690A" w:rsidRPr="00B07A04" w:rsidRDefault="00AD6EF8"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262 690</w:t>
            </w:r>
          </w:p>
        </w:tc>
      </w:tr>
      <w:tr w:rsidR="0013690A" w:rsidRPr="00B07A04" w14:paraId="20538935"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77635F66" w14:textId="126BA699"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Économies en efficacité énergétique (</w:t>
            </w:r>
            <w:r w:rsidR="00A63E99">
              <w:rPr>
                <w:sz w:val="20"/>
                <w:szCs w:val="20"/>
              </w:rPr>
              <w:t>$US</w:t>
            </w:r>
            <w:r>
              <w:rPr>
                <w:sz w:val="20"/>
                <w:szCs w:val="20"/>
              </w:rPr>
              <w:t>/kWh) :</w:t>
            </w:r>
          </w:p>
        </w:tc>
        <w:tc>
          <w:tcPr>
            <w:tcW w:w="3411" w:type="dxa"/>
            <w:tcBorders>
              <w:top w:val="single" w:sz="4" w:space="0" w:color="auto"/>
              <w:left w:val="single" w:sz="4" w:space="0" w:color="auto"/>
              <w:bottom w:val="single" w:sz="4" w:space="0" w:color="auto"/>
              <w:right w:val="single" w:sz="4" w:space="0" w:color="auto"/>
            </w:tcBorders>
          </w:tcPr>
          <w:p w14:paraId="3A4FBEB2" w14:textId="706DFF92" w:rsidR="0013690A" w:rsidRPr="00B07A04" w:rsidRDefault="00AD6EF8"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s. o.</w:t>
            </w:r>
          </w:p>
        </w:tc>
      </w:tr>
      <w:tr w:rsidR="0013690A" w:rsidRPr="00B07A04" w14:paraId="06C8F934"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3FC3883A"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État du financement de contrepartie (O/N) :</w:t>
            </w:r>
          </w:p>
        </w:tc>
        <w:tc>
          <w:tcPr>
            <w:tcW w:w="3411" w:type="dxa"/>
            <w:tcBorders>
              <w:top w:val="single" w:sz="4" w:space="0" w:color="auto"/>
              <w:left w:val="single" w:sz="4" w:space="0" w:color="auto"/>
              <w:bottom w:val="single" w:sz="4" w:space="0" w:color="auto"/>
              <w:right w:val="single" w:sz="4" w:space="0" w:color="auto"/>
            </w:tcBorders>
          </w:tcPr>
          <w:p w14:paraId="4B4DE7F8" w14:textId="4C942BDA" w:rsidR="0013690A" w:rsidRPr="00B07A04" w:rsidRDefault="007B5BE1"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N</w:t>
            </w:r>
          </w:p>
        </w:tc>
      </w:tr>
      <w:tr w:rsidR="0013690A" w:rsidRPr="00B07A04" w14:paraId="59988A0C"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670CE6C7"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Étapes du suivi du projet comprises (O/N) :</w:t>
            </w:r>
          </w:p>
        </w:tc>
        <w:tc>
          <w:tcPr>
            <w:tcW w:w="3411" w:type="dxa"/>
            <w:tcBorders>
              <w:top w:val="single" w:sz="4" w:space="0" w:color="auto"/>
              <w:left w:val="single" w:sz="4" w:space="0" w:color="auto"/>
              <w:bottom w:val="single" w:sz="4" w:space="0" w:color="auto"/>
              <w:right w:val="single" w:sz="4" w:space="0" w:color="auto"/>
            </w:tcBorders>
          </w:tcPr>
          <w:p w14:paraId="74FE448B" w14:textId="56F57D32" w:rsidR="0013690A" w:rsidRPr="00B07A04" w:rsidRDefault="005B676D"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O</w:t>
            </w:r>
          </w:p>
        </w:tc>
      </w:tr>
      <w:tr w:rsidR="0013690A" w:rsidRPr="00B07A04" w14:paraId="7A20CCA2"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BF4CA72"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Normes minimales de performance énergétique disponibles pour le secteur pertinent (O/N) :</w:t>
            </w:r>
          </w:p>
        </w:tc>
        <w:tc>
          <w:tcPr>
            <w:tcW w:w="3411" w:type="dxa"/>
            <w:tcBorders>
              <w:top w:val="single" w:sz="4" w:space="0" w:color="auto"/>
              <w:left w:val="single" w:sz="4" w:space="0" w:color="auto"/>
              <w:bottom w:val="single" w:sz="4" w:space="0" w:color="auto"/>
              <w:right w:val="single" w:sz="4" w:space="0" w:color="auto"/>
            </w:tcBorders>
          </w:tcPr>
          <w:p w14:paraId="09075A53" w14:textId="3F550058" w:rsidR="0013690A" w:rsidRPr="00B07A04" w:rsidRDefault="005B676D"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O</w:t>
            </w:r>
          </w:p>
        </w:tc>
      </w:tr>
    </w:tbl>
    <w:p w14:paraId="575762AE" w14:textId="77777777" w:rsidR="0013690A" w:rsidRPr="005A293D" w:rsidRDefault="0013690A" w:rsidP="0013690A"/>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13690A" w:rsidRPr="00B07A04" w14:paraId="68DE5DA4" w14:textId="77777777" w:rsidTr="004A6290">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4E71828E"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Pr>
                <w:b/>
                <w:sz w:val="20"/>
                <w:szCs w:val="20"/>
              </w:rPr>
              <w:t>RECOMMANDATION DU SECRÉTARIAT</w:t>
            </w:r>
          </w:p>
        </w:tc>
        <w:tc>
          <w:tcPr>
            <w:tcW w:w="3224" w:type="dxa"/>
            <w:tcBorders>
              <w:top w:val="single" w:sz="4" w:space="0" w:color="auto"/>
              <w:left w:val="single" w:sz="4" w:space="0" w:color="auto"/>
              <w:bottom w:val="single" w:sz="4" w:space="0" w:color="auto"/>
              <w:right w:val="single" w:sz="4" w:space="0" w:color="auto"/>
            </w:tcBorders>
          </w:tcPr>
          <w:p w14:paraId="73AA5727"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Pr>
                <w:sz w:val="20"/>
                <w:szCs w:val="20"/>
              </w:rPr>
              <w:t>Examen individuel</w:t>
            </w:r>
          </w:p>
        </w:tc>
      </w:tr>
    </w:tbl>
    <w:p w14:paraId="55CA0D77" w14:textId="77777777" w:rsidR="00FB0D6F" w:rsidRPr="005B676D" w:rsidRDefault="00FB0D6F">
      <w:pPr>
        <w:jc w:val="left"/>
        <w:rPr>
          <w:bCs/>
        </w:rPr>
      </w:pPr>
    </w:p>
    <w:p w14:paraId="4A673945" w14:textId="77777777" w:rsidR="00FB0D6F" w:rsidRPr="005B676D" w:rsidRDefault="00FB0D6F">
      <w:pPr>
        <w:jc w:val="left"/>
        <w:rPr>
          <w:bCs/>
        </w:rPr>
      </w:pPr>
    </w:p>
    <w:p w14:paraId="0E910830" w14:textId="77777777" w:rsidR="00FB0D6F" w:rsidRPr="005B676D" w:rsidRDefault="00FB0D6F">
      <w:pPr>
        <w:jc w:val="left"/>
        <w:rPr>
          <w:bCs/>
        </w:rPr>
      </w:pPr>
    </w:p>
    <w:p w14:paraId="1BB33659" w14:textId="076D7E40" w:rsidR="00FB0D6F" w:rsidRDefault="00FB0D6F">
      <w:pPr>
        <w:jc w:val="left"/>
        <w:rPr>
          <w:b/>
        </w:rPr>
      </w:pPr>
      <w:r>
        <w:br w:type="page"/>
      </w:r>
    </w:p>
    <w:p w14:paraId="533DE70F" w14:textId="7DA0C504" w:rsidR="00EA598B" w:rsidRPr="00EA656B" w:rsidRDefault="00EA598B" w:rsidP="0028245E">
      <w:pPr>
        <w:keepNext/>
        <w:spacing w:after="240"/>
        <w:jc w:val="center"/>
        <w:rPr>
          <w:b/>
        </w:rPr>
      </w:pPr>
      <w:r>
        <w:rPr>
          <w:b/>
        </w:rPr>
        <w:lastRenderedPageBreak/>
        <w:t>DESCRIPTION DU PROJET</w:t>
      </w:r>
    </w:p>
    <w:p w14:paraId="6E065E4D" w14:textId="77777777" w:rsidR="00004E56" w:rsidRPr="00EA656B" w:rsidRDefault="00004E56" w:rsidP="00004E56">
      <w:pPr>
        <w:spacing w:after="240"/>
        <w:rPr>
          <w:b/>
          <w:bCs/>
        </w:rPr>
      </w:pPr>
      <w:r>
        <w:rPr>
          <w:b/>
          <w:bCs/>
        </w:rPr>
        <w:t>Contexte</w:t>
      </w:r>
    </w:p>
    <w:p w14:paraId="055CB0B4" w14:textId="0B7B3E4E" w:rsidR="00004E56" w:rsidRPr="00EA656B" w:rsidRDefault="00004E56" w:rsidP="007277B9">
      <w:pPr>
        <w:pStyle w:val="Heading1"/>
        <w:numPr>
          <w:ilvl w:val="0"/>
          <w:numId w:val="24"/>
        </w:numPr>
      </w:pPr>
      <w:r>
        <w:t>Au nom du gouvernement de la Macédoine du Nord, l’ONUDI a présenté, en accord avec la décision 91/65, une demande pour un projet pilote visant à maintenir ou à améliorer l’efficacité énergétique des technologies et des équipements de remplacement aux fins de réduction progressive des HFC (activités</w:t>
      </w:r>
      <w:r w:rsidR="00A63E99">
        <w:t> </w:t>
      </w:r>
      <w:r>
        <w:t>ne portant pas sur des investissements), pour un montant de 260 000 $US, plus les coûts d’appui d’agence de 18 200 $US, conformément à la soumission initiale</w:t>
      </w:r>
      <w:r w:rsidRPr="00EA656B">
        <w:rPr>
          <w:vertAlign w:val="superscript"/>
        </w:rPr>
        <w:footnoteReference w:id="3"/>
      </w:r>
      <w:r>
        <w:t>.</w:t>
      </w:r>
    </w:p>
    <w:p w14:paraId="0897B148" w14:textId="2B92271F" w:rsidR="007277B9" w:rsidRPr="00EA656B" w:rsidRDefault="007277B9" w:rsidP="007277B9">
      <w:pPr>
        <w:spacing w:after="240"/>
        <w:rPr>
          <w:b/>
          <w:bCs/>
        </w:rPr>
      </w:pPr>
      <w:r>
        <w:rPr>
          <w:b/>
          <w:bCs/>
        </w:rPr>
        <w:t>Projet pilote sur l’efficacité énergétique</w:t>
      </w:r>
    </w:p>
    <w:p w14:paraId="3E78BDD2" w14:textId="1D1B53B2" w:rsidR="007277B9" w:rsidRPr="00EA656B" w:rsidRDefault="00917742" w:rsidP="00837118">
      <w:pPr>
        <w:pStyle w:val="Heading1"/>
        <w:numPr>
          <w:ilvl w:val="0"/>
          <w:numId w:val="24"/>
        </w:numPr>
      </w:pPr>
      <w:r>
        <w:t>La Macédoine du Nord a ratifié l’Amendement de Kigali le 12 mars 2020 et a mis en œuvre un système d’octroi de permis pour contrôler et surveiller les HFC, en accord avec les exigences de l’Amendement de Kigali. Dans le cadre de la phase I du plan de mise en œuvre de Kigali relatif aux HFC (KIP) approuvée à la 93</w:t>
      </w:r>
      <w:r>
        <w:rPr>
          <w:vertAlign w:val="superscript"/>
        </w:rPr>
        <w:t>e</w:t>
      </w:r>
      <w:r>
        <w:t> réunion,</w:t>
      </w:r>
      <w:r w:rsidR="005D4645" w:rsidRPr="0096068B">
        <w:rPr>
          <w:rStyle w:val="FootnoteReference"/>
        </w:rPr>
        <w:footnoteReference w:id="4"/>
      </w:r>
      <w:r>
        <w:t xml:space="preserve"> le pays s’est engagé à réduire sa consommation de HFC de 18,7 pour cent par rapport à sa valeur de référence d’ici 2029. Un aperçu plus détaillé de la consommation de HFC et des activités connexes se trouve dans le document UNEP/</w:t>
      </w:r>
      <w:proofErr w:type="spellStart"/>
      <w:r>
        <w:t>OzL.Pro</w:t>
      </w:r>
      <w:proofErr w:type="spellEnd"/>
      <w:r>
        <w:t>/</w:t>
      </w:r>
      <w:proofErr w:type="spellStart"/>
      <w:r>
        <w:t>ExCom</w:t>
      </w:r>
      <w:proofErr w:type="spellEnd"/>
      <w:r>
        <w:t>/93/78. Le pays n’a pas encore demandé de financement pour les activités relatives à l’efficacité énergétique aux termes de la décision 89/6.</w:t>
      </w:r>
    </w:p>
    <w:p w14:paraId="3916F0A4" w14:textId="77777777" w:rsidR="007277B9" w:rsidRPr="00EA656B" w:rsidRDefault="007277B9" w:rsidP="007277B9">
      <w:pPr>
        <w:spacing w:after="240"/>
        <w:rPr>
          <w:u w:val="single"/>
        </w:rPr>
      </w:pPr>
      <w:r>
        <w:rPr>
          <w:u w:val="single"/>
        </w:rPr>
        <w:t>Cadre politique, réglementaire et institutionnel</w:t>
      </w:r>
    </w:p>
    <w:p w14:paraId="0F64A95C" w14:textId="01AD8D6E" w:rsidR="002736D0" w:rsidRPr="00EA656B" w:rsidRDefault="002736D0" w:rsidP="002736D0">
      <w:pPr>
        <w:pStyle w:val="Heading1"/>
        <w:numPr>
          <w:ilvl w:val="0"/>
          <w:numId w:val="24"/>
        </w:numPr>
      </w:pPr>
      <w:r>
        <w:t xml:space="preserve">Faisant partie du ministère de l’Environnement et de l’Aménagement du territoire, le service national de l’ozone (UNO) coordonne les activités de réduction progressive des HFC au pays, y compris la mise en œuvre du KIP, la collecte et la communication des données sur la consommation des substances réglementées, le fonctionnement du système d’octroi de permis, et l’organisation de la formation pour les agents des douanes et les techniciens en réfrigération. </w:t>
      </w:r>
    </w:p>
    <w:p w14:paraId="1BD9CD35" w14:textId="4407E1D8" w:rsidR="00766B4B" w:rsidRPr="00EA656B" w:rsidRDefault="00766B4B" w:rsidP="002736D0">
      <w:pPr>
        <w:pStyle w:val="Heading1"/>
        <w:numPr>
          <w:ilvl w:val="0"/>
          <w:numId w:val="24"/>
        </w:numPr>
      </w:pPr>
      <w:r>
        <w:t>La Macédoine du Nord est signataire du traité sur la Charte de l’énergie et du traité instituant la Communauté de l’énergie. Ces deux traités obligent le pays à harmoniser son cadre juridique aux règlements existants de l’Union européenne (UE) dans le secteur de l’énergie.</w:t>
      </w:r>
      <w:r>
        <w:rPr>
          <w:rFonts w:ascii="Calibri" w:hAnsi="Calibri"/>
          <w:sz w:val="24"/>
          <w:szCs w:val="24"/>
        </w:rPr>
        <w:t xml:space="preserve"> </w:t>
      </w:r>
      <w:r>
        <w:t xml:space="preserve">Le pays s’est engagé à travailler pour atteindre l’objectif de la neutralité climatique en 2050. La contribution déterminée au niveau national s’oriente sur l’atténuation des changements climatiques, avec l’approvisionnement énergétique, les bâtiments et le transport comme secteurs dominants. </w:t>
      </w:r>
    </w:p>
    <w:p w14:paraId="501E0ED5" w14:textId="20E591AF" w:rsidR="00B73F81" w:rsidRPr="00EA656B" w:rsidRDefault="002736D0" w:rsidP="003F0A5A">
      <w:pPr>
        <w:pStyle w:val="Heading1"/>
        <w:numPr>
          <w:ilvl w:val="0"/>
          <w:numId w:val="24"/>
        </w:numPr>
      </w:pPr>
      <w:r>
        <w:t xml:space="preserve">Le système de gestion de l’énergie de la Macédoine du Nord est principalement régi par la Loi sur l’énergie et la plus récente Loi sur l’efficacité énergétique (adoptée le 10 février 2020), qui sont axées sur la protection de l’environnement, l’efficacité énergétique et la réduction des impacts des changements climatiques. La législation définit les normes minimales de performance énergétique des bâtiments et émet des certificats de conformité. Une disposition spéciale sur l’inspection du chauffage et de la climatisation exige que les propriétaires de systèmes de chauffage qui disposent d’une ventilation efficace supérieure à 70 kW effectuent un audit énergétique au moins une fois tous les quatre ans afin de vérifier l’efficacité énergétique de l’équipement et la compatibilité de sa capacité avec les besoins de refroidissement. </w:t>
      </w:r>
      <w:r>
        <w:rPr>
          <w:color w:val="000000"/>
        </w:rPr>
        <w:t xml:space="preserve">L’étiquetage énergétique et l’écoconception des appareils et produits sont intégrés dans la législation. </w:t>
      </w:r>
    </w:p>
    <w:p w14:paraId="41E3379D" w14:textId="79C34F23" w:rsidR="00447EE1" w:rsidRPr="00EA656B" w:rsidRDefault="00360937" w:rsidP="00A11043">
      <w:pPr>
        <w:pStyle w:val="Heading1"/>
        <w:numPr>
          <w:ilvl w:val="0"/>
          <w:numId w:val="24"/>
        </w:numPr>
      </w:pPr>
      <w:r>
        <w:t xml:space="preserve">Le gouvernement met en application un système d’octroi de permis pour les HFC. Des </w:t>
      </w:r>
      <w:proofErr w:type="spellStart"/>
      <w:r>
        <w:t>écofrais</w:t>
      </w:r>
      <w:proofErr w:type="spellEnd"/>
      <w:r>
        <w:t xml:space="preserve"> pour les HFC et les équipements contenant des HFC seront appliqués et le montant des frais sera déterminé selon le potentiel de réchauffement de la planète (PRP) du HFC importé. Le système de quota pour les HFC est en place depuis le 1</w:t>
      </w:r>
      <w:r>
        <w:rPr>
          <w:vertAlign w:val="superscript"/>
        </w:rPr>
        <w:t>er</w:t>
      </w:r>
      <w:r>
        <w:t xml:space="preserve"> janvier 2024. Une interdiction sur l’importation, la production et la mise sur le </w:t>
      </w:r>
      <w:r>
        <w:lastRenderedPageBreak/>
        <w:t>marché d’équipements de réfrigération et de climatisation contenant des HFC sera graduellement déployée de 2028 à 2035.</w:t>
      </w:r>
    </w:p>
    <w:p w14:paraId="5D5994D0" w14:textId="6A67D734" w:rsidR="001839E2" w:rsidRPr="00EA656B" w:rsidRDefault="00195122" w:rsidP="00780465">
      <w:pPr>
        <w:pStyle w:val="Heading1"/>
        <w:numPr>
          <w:ilvl w:val="0"/>
          <w:numId w:val="24"/>
        </w:numPr>
      </w:pPr>
      <w:r>
        <w:t xml:space="preserve">Des projets de modification de la Loi sur l’environnement ont été préparés pour inclure l’élargissement aux HFC des dispositions sur la prévention des fuites, la détection et le contrôle; l’encadrement des catégories de permis pour la gestion des frigorigènes et des produits qui en contiennent; et l’établissement des critères pour la mise sur pied de centres de formation des techniciens durables, y compris les exigences minimales en matière d’équipement, une exigence de test pratique sur le terrain dans le cadre de la certification des techniciens, en accord avec les exigences de l’UE, ainsi que des exigences pédagogiques minimales et l’expérience des formateurs. Le manuel sur les procédures concernant la réutilisation et la récupération des SAO a été révisé pour aborder les HFC. D’autres réglementations concernant la gestion de l’énergie et des frigorigènes comprennent un manuel sur les audits énergétiques, la performance énergétique dans les bâtiments, l’écoconception des produits, les conditions de formation, la certification, l’entretien de l’équipement et la déclaration annuelle obligatoire. </w:t>
      </w:r>
    </w:p>
    <w:p w14:paraId="0BAB733C" w14:textId="1FE044FD" w:rsidR="002D2D53" w:rsidRPr="00C40E7B" w:rsidRDefault="0052659D" w:rsidP="00780465">
      <w:pPr>
        <w:pStyle w:val="Heading1"/>
        <w:numPr>
          <w:ilvl w:val="0"/>
          <w:numId w:val="24"/>
        </w:numPr>
      </w:pPr>
      <w:r>
        <w:t xml:space="preserve">Le gouvernement de la Macédoine du Nord a établi des normes minimales de performance énergétique (MEPS) dans le secteur de la réfrigération et de la climatisation. Les MEPS et l’écoconception ont déjà été intégrées dans la Loi de 2020 sur l’efficacité énergétique. Les MEPS couvrent les réfrigérateurs à usage domestique (entre 10 et 1 500 litres) et l’équipement de climatisation (≤ 12 kW). La responsabilité quant à l’application de la loi et la surveillance a été transférée du ministère de l’Économie au ministère de l’Énergie, des Mines et des Minéraux en 2024. La législation existante sur les MEPS doit être révisée et modifiée pour correspondre aux recommandations et normes internationales. </w:t>
      </w:r>
    </w:p>
    <w:p w14:paraId="4329B276" w14:textId="77777777" w:rsidR="00335068" w:rsidRPr="00C40E7B" w:rsidRDefault="00335068" w:rsidP="00335068">
      <w:pPr>
        <w:keepNext/>
        <w:suppressAutoHyphens/>
        <w:spacing w:before="240" w:after="240"/>
        <w:rPr>
          <w:u w:val="single"/>
        </w:rPr>
      </w:pPr>
      <w:r>
        <w:rPr>
          <w:u w:val="single"/>
        </w:rPr>
        <w:t>Consommation de HFC et contexte sectoriel</w:t>
      </w:r>
    </w:p>
    <w:p w14:paraId="2A8B1BD5" w14:textId="636BF39D" w:rsidR="00C2119C" w:rsidRPr="00C40E7B" w:rsidRDefault="00335068" w:rsidP="00C40E7B">
      <w:pPr>
        <w:pStyle w:val="Heading1"/>
        <w:numPr>
          <w:ilvl w:val="0"/>
          <w:numId w:val="24"/>
        </w:numPr>
      </w:pPr>
      <w:r>
        <w:t>La valeur de référence de la consommation de HFC pour la Macédoine du Nord a été établie à 397 843 tonnes équivalent CO</w:t>
      </w:r>
      <w:r>
        <w:rPr>
          <w:vertAlign w:val="subscript"/>
        </w:rPr>
        <w:t>2</w:t>
      </w:r>
      <w:r>
        <w:t xml:space="preserve"> (</w:t>
      </w:r>
      <w:proofErr w:type="spellStart"/>
      <w:r>
        <w:t>éq</w:t>
      </w:r>
      <w:proofErr w:type="spellEnd"/>
      <w:r>
        <w:t>. CO</w:t>
      </w:r>
      <w:r>
        <w:rPr>
          <w:vertAlign w:val="subscript"/>
        </w:rPr>
        <w:t>2</w:t>
      </w:r>
      <w:r>
        <w:t xml:space="preserve">). Le gouvernement de la Macédoine du Nord a déclaré une consommation de 275 505 tonnes PAO de HCFC en 2023, ce qui est 31 pour cent inférieur à la valeur de référence du pays pour la conformité. Les données de l’Article 7 pour 2024 n’ont pas encore été déclarées. Le pays a fourni une estimation préliminaire de la consommation de HFC à 257 426 tonnes </w:t>
      </w:r>
      <w:proofErr w:type="spellStart"/>
      <w:r>
        <w:t>éq</w:t>
      </w:r>
      <w:proofErr w:type="spellEnd"/>
      <w:r>
        <w:t>. CO</w:t>
      </w:r>
      <w:r>
        <w:rPr>
          <w:vertAlign w:val="subscript"/>
        </w:rPr>
        <w:t>2</w:t>
      </w:r>
      <w:r>
        <w:t xml:space="preserve"> en 2024; les données de consommation pour 2024 sont en cours de vérification. La consommation de HFC pour 2020-2024 est indiquée au tableau 1.</w:t>
      </w:r>
    </w:p>
    <w:p w14:paraId="435B47A1" w14:textId="51AAE5F3" w:rsidR="003B1469" w:rsidRPr="00C40E7B" w:rsidRDefault="003B1469" w:rsidP="00434B76">
      <w:pPr>
        <w:pStyle w:val="Heading1"/>
        <w:widowControl w:val="0"/>
        <w:numPr>
          <w:ilvl w:val="0"/>
          <w:numId w:val="0"/>
        </w:numPr>
        <w:spacing w:after="0"/>
        <w:rPr>
          <w:b/>
        </w:rPr>
      </w:pPr>
      <w:r>
        <w:rPr>
          <w:b/>
        </w:rPr>
        <w:t>Tableau 1. Consommation de HFC en Macédoine du Nord (2020-2024, données de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331"/>
        <w:gridCol w:w="1331"/>
        <w:gridCol w:w="1331"/>
        <w:gridCol w:w="1331"/>
        <w:gridCol w:w="1330"/>
      </w:tblGrid>
      <w:tr w:rsidR="007F6E56" w:rsidRPr="00C40E7B" w14:paraId="7FD6C324" w14:textId="77777777" w:rsidTr="006418F0">
        <w:trPr>
          <w:trHeight w:val="232"/>
          <w:tblHeader/>
        </w:trPr>
        <w:tc>
          <w:tcPr>
            <w:tcW w:w="1441" w:type="pct"/>
            <w:shd w:val="clear" w:color="auto" w:fill="auto"/>
            <w:noWrap/>
            <w:tcMar>
              <w:left w:w="43" w:type="dxa"/>
              <w:right w:w="43" w:type="dxa"/>
            </w:tcMar>
            <w:vAlign w:val="center"/>
          </w:tcPr>
          <w:p w14:paraId="1FD7C960" w14:textId="39BDCFEF" w:rsidR="007F6E56" w:rsidRPr="00C40E7B" w:rsidRDefault="007F6E56" w:rsidP="00AF24B6">
            <w:pPr>
              <w:keepNext/>
              <w:jc w:val="center"/>
              <w:rPr>
                <w:b/>
                <w:bCs/>
                <w:color w:val="000000"/>
                <w:sz w:val="20"/>
                <w:szCs w:val="20"/>
              </w:rPr>
            </w:pPr>
          </w:p>
        </w:tc>
        <w:tc>
          <w:tcPr>
            <w:tcW w:w="712" w:type="pct"/>
            <w:shd w:val="clear" w:color="auto" w:fill="auto"/>
            <w:noWrap/>
            <w:vAlign w:val="center"/>
            <w:hideMark/>
          </w:tcPr>
          <w:p w14:paraId="34553234" w14:textId="77777777" w:rsidR="007F6E56" w:rsidRPr="00C40E7B" w:rsidRDefault="007F6E56" w:rsidP="00AF24B6">
            <w:pPr>
              <w:keepNext/>
              <w:jc w:val="center"/>
              <w:rPr>
                <w:b/>
                <w:bCs/>
                <w:color w:val="000000"/>
                <w:sz w:val="20"/>
                <w:szCs w:val="20"/>
              </w:rPr>
            </w:pPr>
            <w:r>
              <w:rPr>
                <w:b/>
                <w:bCs/>
                <w:color w:val="000000"/>
                <w:sz w:val="20"/>
                <w:szCs w:val="20"/>
              </w:rPr>
              <w:t>2020</w:t>
            </w:r>
          </w:p>
        </w:tc>
        <w:tc>
          <w:tcPr>
            <w:tcW w:w="712" w:type="pct"/>
            <w:shd w:val="clear" w:color="auto" w:fill="auto"/>
            <w:noWrap/>
            <w:vAlign w:val="center"/>
            <w:hideMark/>
          </w:tcPr>
          <w:p w14:paraId="4373D5EC" w14:textId="77777777" w:rsidR="007F6E56" w:rsidRPr="00C40E7B" w:rsidRDefault="007F6E56" w:rsidP="00AF24B6">
            <w:pPr>
              <w:keepNext/>
              <w:jc w:val="center"/>
              <w:rPr>
                <w:b/>
                <w:bCs/>
                <w:color w:val="000000"/>
                <w:sz w:val="20"/>
                <w:szCs w:val="20"/>
              </w:rPr>
            </w:pPr>
            <w:r>
              <w:rPr>
                <w:b/>
                <w:bCs/>
                <w:color w:val="000000"/>
                <w:sz w:val="20"/>
                <w:szCs w:val="20"/>
              </w:rPr>
              <w:t>2021</w:t>
            </w:r>
          </w:p>
        </w:tc>
        <w:tc>
          <w:tcPr>
            <w:tcW w:w="712" w:type="pct"/>
          </w:tcPr>
          <w:p w14:paraId="4DE2A131" w14:textId="77777777" w:rsidR="007F6E56" w:rsidRPr="00C40E7B" w:rsidRDefault="007F6E56" w:rsidP="00AF24B6">
            <w:pPr>
              <w:keepNext/>
              <w:jc w:val="center"/>
              <w:rPr>
                <w:b/>
                <w:bCs/>
                <w:color w:val="000000"/>
                <w:sz w:val="20"/>
                <w:szCs w:val="20"/>
              </w:rPr>
            </w:pPr>
            <w:r>
              <w:rPr>
                <w:b/>
                <w:bCs/>
                <w:color w:val="000000"/>
                <w:sz w:val="20"/>
                <w:szCs w:val="20"/>
              </w:rPr>
              <w:t>2022</w:t>
            </w:r>
          </w:p>
        </w:tc>
        <w:tc>
          <w:tcPr>
            <w:tcW w:w="712" w:type="pct"/>
          </w:tcPr>
          <w:p w14:paraId="0A4EA235" w14:textId="77777777" w:rsidR="007F6E56" w:rsidRPr="00C40E7B" w:rsidRDefault="007F6E56" w:rsidP="00AF24B6">
            <w:pPr>
              <w:keepNext/>
              <w:jc w:val="center"/>
              <w:rPr>
                <w:b/>
                <w:bCs/>
                <w:color w:val="000000"/>
                <w:sz w:val="20"/>
                <w:szCs w:val="20"/>
              </w:rPr>
            </w:pPr>
            <w:r>
              <w:rPr>
                <w:b/>
                <w:bCs/>
                <w:color w:val="000000"/>
                <w:sz w:val="20"/>
                <w:szCs w:val="20"/>
              </w:rPr>
              <w:t>2023</w:t>
            </w:r>
          </w:p>
        </w:tc>
        <w:tc>
          <w:tcPr>
            <w:tcW w:w="712" w:type="pct"/>
          </w:tcPr>
          <w:p w14:paraId="05B170B9" w14:textId="77777777" w:rsidR="007F6E56" w:rsidRPr="00C40E7B" w:rsidRDefault="007F6E56" w:rsidP="00AF24B6">
            <w:pPr>
              <w:keepNext/>
              <w:jc w:val="center"/>
              <w:rPr>
                <w:b/>
                <w:bCs/>
                <w:color w:val="000000"/>
                <w:sz w:val="20"/>
                <w:szCs w:val="20"/>
              </w:rPr>
            </w:pPr>
            <w:r>
              <w:rPr>
                <w:b/>
                <w:bCs/>
                <w:color w:val="000000"/>
                <w:sz w:val="20"/>
                <w:szCs w:val="20"/>
              </w:rPr>
              <w:t>2024*</w:t>
            </w:r>
          </w:p>
        </w:tc>
      </w:tr>
      <w:tr w:rsidR="007F6E56" w:rsidRPr="00C40E7B" w14:paraId="598A74B6" w14:textId="77777777" w:rsidTr="006418F0">
        <w:trPr>
          <w:trHeight w:val="232"/>
        </w:trPr>
        <w:tc>
          <w:tcPr>
            <w:tcW w:w="1441" w:type="pct"/>
            <w:shd w:val="clear" w:color="auto" w:fill="auto"/>
            <w:noWrap/>
            <w:tcMar>
              <w:left w:w="43" w:type="dxa"/>
              <w:right w:w="43" w:type="dxa"/>
            </w:tcMar>
            <w:vAlign w:val="center"/>
            <w:hideMark/>
          </w:tcPr>
          <w:p w14:paraId="6D093756" w14:textId="77777777" w:rsidR="007F6E56" w:rsidRPr="00C40E7B" w:rsidRDefault="007F6E56" w:rsidP="00A62DE2">
            <w:pPr>
              <w:widowControl w:val="0"/>
              <w:ind w:left="98"/>
              <w:jc w:val="left"/>
              <w:rPr>
                <w:b/>
                <w:color w:val="000000"/>
                <w:sz w:val="20"/>
                <w:szCs w:val="20"/>
              </w:rPr>
            </w:pPr>
            <w:r>
              <w:rPr>
                <w:b/>
                <w:color w:val="000000"/>
                <w:sz w:val="20"/>
                <w:szCs w:val="20"/>
              </w:rPr>
              <w:t>Tonnes métriques (</w:t>
            </w:r>
            <w:proofErr w:type="spellStart"/>
            <w:r>
              <w:rPr>
                <w:b/>
                <w:color w:val="000000"/>
                <w:sz w:val="20"/>
                <w:szCs w:val="20"/>
              </w:rPr>
              <w:t>tm</w:t>
            </w:r>
            <w:proofErr w:type="spellEnd"/>
            <w:r>
              <w:rPr>
                <w:b/>
                <w:color w:val="000000"/>
                <w:sz w:val="20"/>
                <w:szCs w:val="20"/>
              </w:rPr>
              <w:t>)</w:t>
            </w:r>
          </w:p>
        </w:tc>
        <w:tc>
          <w:tcPr>
            <w:tcW w:w="712" w:type="pct"/>
            <w:shd w:val="clear" w:color="auto" w:fill="auto"/>
            <w:noWrap/>
          </w:tcPr>
          <w:p w14:paraId="159CC75F" w14:textId="0DE066A1" w:rsidR="007F6E56" w:rsidRPr="00C40E7B" w:rsidRDefault="007F6E56" w:rsidP="00A62DE2">
            <w:pPr>
              <w:ind w:left="-6"/>
              <w:jc w:val="right"/>
              <w:rPr>
                <w:color w:val="000000"/>
                <w:sz w:val="20"/>
                <w:szCs w:val="20"/>
              </w:rPr>
            </w:pPr>
            <w:r>
              <w:rPr>
                <w:color w:val="000000"/>
                <w:sz w:val="20"/>
                <w:szCs w:val="20"/>
              </w:rPr>
              <w:t>317,12</w:t>
            </w:r>
          </w:p>
        </w:tc>
        <w:tc>
          <w:tcPr>
            <w:tcW w:w="712" w:type="pct"/>
            <w:shd w:val="clear" w:color="auto" w:fill="auto"/>
            <w:noWrap/>
          </w:tcPr>
          <w:p w14:paraId="3A9934FE" w14:textId="10AB3ABB" w:rsidR="007F6E56" w:rsidRPr="00C40E7B" w:rsidRDefault="007F6E56" w:rsidP="00A62DE2">
            <w:pPr>
              <w:ind w:left="-6"/>
              <w:jc w:val="right"/>
              <w:rPr>
                <w:color w:val="000000"/>
                <w:sz w:val="20"/>
                <w:szCs w:val="20"/>
              </w:rPr>
            </w:pPr>
            <w:r>
              <w:rPr>
                <w:color w:val="000000"/>
                <w:sz w:val="20"/>
                <w:szCs w:val="20"/>
              </w:rPr>
              <w:t>426,71</w:t>
            </w:r>
          </w:p>
        </w:tc>
        <w:tc>
          <w:tcPr>
            <w:tcW w:w="712" w:type="pct"/>
          </w:tcPr>
          <w:p w14:paraId="2292D7EE" w14:textId="13F8C8CA" w:rsidR="007F6E56" w:rsidRPr="00C40E7B" w:rsidRDefault="007F6E56" w:rsidP="00A62DE2">
            <w:pPr>
              <w:widowControl w:val="0"/>
              <w:ind w:left="-6"/>
              <w:jc w:val="right"/>
              <w:rPr>
                <w:color w:val="000000"/>
                <w:sz w:val="20"/>
                <w:szCs w:val="20"/>
              </w:rPr>
            </w:pPr>
            <w:r>
              <w:rPr>
                <w:color w:val="000000"/>
                <w:sz w:val="20"/>
                <w:szCs w:val="20"/>
              </w:rPr>
              <w:t>403,23</w:t>
            </w:r>
          </w:p>
        </w:tc>
        <w:tc>
          <w:tcPr>
            <w:tcW w:w="712" w:type="pct"/>
          </w:tcPr>
          <w:p w14:paraId="76728F43" w14:textId="44CB0FE2" w:rsidR="007F6E56" w:rsidRPr="00C40E7B" w:rsidRDefault="007F6E56" w:rsidP="00A62DE2">
            <w:pPr>
              <w:widowControl w:val="0"/>
              <w:ind w:left="-6"/>
              <w:jc w:val="right"/>
              <w:rPr>
                <w:color w:val="000000"/>
                <w:sz w:val="20"/>
                <w:szCs w:val="20"/>
              </w:rPr>
            </w:pPr>
            <w:r>
              <w:rPr>
                <w:color w:val="000000"/>
                <w:sz w:val="20"/>
                <w:szCs w:val="20"/>
              </w:rPr>
              <w:t>426,97</w:t>
            </w:r>
          </w:p>
        </w:tc>
        <w:tc>
          <w:tcPr>
            <w:tcW w:w="712" w:type="pct"/>
          </w:tcPr>
          <w:p w14:paraId="23EEFA53" w14:textId="35679736" w:rsidR="007F6E56" w:rsidRPr="00C40E7B" w:rsidRDefault="00ED7D70" w:rsidP="00A62DE2">
            <w:pPr>
              <w:widowControl w:val="0"/>
              <w:ind w:left="-6"/>
              <w:jc w:val="right"/>
              <w:rPr>
                <w:rFonts w:eastAsiaTheme="minorHAnsi"/>
                <w:color w:val="000000"/>
                <w:sz w:val="20"/>
                <w:szCs w:val="20"/>
              </w:rPr>
            </w:pPr>
            <w:r>
              <w:rPr>
                <w:color w:val="000000"/>
                <w:sz w:val="20"/>
                <w:szCs w:val="20"/>
              </w:rPr>
              <w:t xml:space="preserve">245,43 </w:t>
            </w:r>
          </w:p>
        </w:tc>
      </w:tr>
      <w:tr w:rsidR="007F6E56" w:rsidRPr="00C40E7B" w14:paraId="3A39D3CF" w14:textId="77777777" w:rsidTr="006418F0">
        <w:trPr>
          <w:trHeight w:val="232"/>
        </w:trPr>
        <w:tc>
          <w:tcPr>
            <w:tcW w:w="1441" w:type="pct"/>
            <w:shd w:val="clear" w:color="auto" w:fill="auto"/>
            <w:noWrap/>
            <w:tcMar>
              <w:left w:w="43" w:type="dxa"/>
              <w:right w:w="43" w:type="dxa"/>
            </w:tcMar>
            <w:vAlign w:val="center"/>
            <w:hideMark/>
          </w:tcPr>
          <w:p w14:paraId="2FAC4E99" w14:textId="13ACDB9C" w:rsidR="007F6E56" w:rsidRPr="00C40E7B" w:rsidRDefault="007F6E56" w:rsidP="00DC4485">
            <w:pPr>
              <w:widowControl w:val="0"/>
              <w:ind w:left="98"/>
              <w:jc w:val="left"/>
              <w:rPr>
                <w:b/>
                <w:color w:val="000000"/>
                <w:sz w:val="20"/>
                <w:szCs w:val="20"/>
              </w:rPr>
            </w:pPr>
            <w:r>
              <w:rPr>
                <w:b/>
                <w:color w:val="000000"/>
                <w:sz w:val="20"/>
                <w:szCs w:val="20"/>
              </w:rPr>
              <w:t xml:space="preserve">Tonnes </w:t>
            </w:r>
            <w:proofErr w:type="spellStart"/>
            <w:r>
              <w:rPr>
                <w:b/>
                <w:color w:val="000000"/>
                <w:sz w:val="20"/>
                <w:szCs w:val="20"/>
              </w:rPr>
              <w:t>éq</w:t>
            </w:r>
            <w:proofErr w:type="spellEnd"/>
            <w:r>
              <w:rPr>
                <w:b/>
                <w:color w:val="000000"/>
                <w:sz w:val="20"/>
                <w:szCs w:val="20"/>
              </w:rPr>
              <w:t>. CO</w:t>
            </w:r>
            <w:r>
              <w:rPr>
                <w:b/>
                <w:color w:val="000000"/>
                <w:sz w:val="20"/>
                <w:szCs w:val="20"/>
                <w:vertAlign w:val="subscript"/>
              </w:rPr>
              <w:t>2</w:t>
            </w:r>
          </w:p>
        </w:tc>
        <w:tc>
          <w:tcPr>
            <w:tcW w:w="712" w:type="pct"/>
            <w:shd w:val="clear" w:color="auto" w:fill="auto"/>
            <w:noWrap/>
          </w:tcPr>
          <w:p w14:paraId="00500D51" w14:textId="322586EC" w:rsidR="007F6E56" w:rsidRPr="00C40E7B" w:rsidRDefault="007F6E56" w:rsidP="00DC4485">
            <w:pPr>
              <w:ind w:left="-6"/>
              <w:jc w:val="right"/>
              <w:rPr>
                <w:color w:val="000000"/>
                <w:sz w:val="20"/>
                <w:szCs w:val="20"/>
              </w:rPr>
            </w:pPr>
            <w:r>
              <w:rPr>
                <w:color w:val="000000"/>
                <w:sz w:val="20"/>
                <w:szCs w:val="20"/>
              </w:rPr>
              <w:t>363 454</w:t>
            </w:r>
          </w:p>
        </w:tc>
        <w:tc>
          <w:tcPr>
            <w:tcW w:w="712" w:type="pct"/>
            <w:shd w:val="clear" w:color="auto" w:fill="auto"/>
            <w:noWrap/>
          </w:tcPr>
          <w:p w14:paraId="1A1B85B7" w14:textId="64B5CEA5" w:rsidR="007F6E56" w:rsidRPr="00C40E7B" w:rsidRDefault="007F6E56" w:rsidP="00DC4485">
            <w:pPr>
              <w:ind w:left="-6"/>
              <w:jc w:val="right"/>
              <w:rPr>
                <w:color w:val="000000"/>
                <w:sz w:val="20"/>
                <w:szCs w:val="20"/>
              </w:rPr>
            </w:pPr>
            <w:r>
              <w:rPr>
                <w:color w:val="000000"/>
                <w:sz w:val="20"/>
                <w:szCs w:val="20"/>
              </w:rPr>
              <w:t>347 746</w:t>
            </w:r>
          </w:p>
        </w:tc>
        <w:tc>
          <w:tcPr>
            <w:tcW w:w="712" w:type="pct"/>
          </w:tcPr>
          <w:p w14:paraId="2CE5742E" w14:textId="2DC571A6" w:rsidR="007F6E56" w:rsidRPr="00C40E7B" w:rsidRDefault="007F6E56" w:rsidP="00DC4485">
            <w:pPr>
              <w:ind w:left="-6"/>
              <w:jc w:val="right"/>
              <w:rPr>
                <w:color w:val="000000"/>
                <w:sz w:val="20"/>
                <w:szCs w:val="20"/>
              </w:rPr>
            </w:pPr>
            <w:r>
              <w:rPr>
                <w:color w:val="000000"/>
                <w:sz w:val="20"/>
                <w:szCs w:val="20"/>
              </w:rPr>
              <w:t>366 617</w:t>
            </w:r>
          </w:p>
        </w:tc>
        <w:tc>
          <w:tcPr>
            <w:tcW w:w="712" w:type="pct"/>
          </w:tcPr>
          <w:p w14:paraId="79A6E17B" w14:textId="0AA5C1C1" w:rsidR="007F6E56" w:rsidRPr="00C40E7B" w:rsidRDefault="007F6E56" w:rsidP="00DC4485">
            <w:pPr>
              <w:ind w:left="-6"/>
              <w:jc w:val="right"/>
              <w:rPr>
                <w:color w:val="000000"/>
                <w:sz w:val="20"/>
                <w:szCs w:val="20"/>
              </w:rPr>
            </w:pPr>
            <w:r>
              <w:rPr>
                <w:color w:val="000000"/>
                <w:sz w:val="20"/>
                <w:szCs w:val="20"/>
              </w:rPr>
              <w:t>275 505</w:t>
            </w:r>
          </w:p>
        </w:tc>
        <w:tc>
          <w:tcPr>
            <w:tcW w:w="712" w:type="pct"/>
          </w:tcPr>
          <w:p w14:paraId="122516C2" w14:textId="02319A97" w:rsidR="007F6E56" w:rsidRPr="00C40E7B" w:rsidRDefault="00033326" w:rsidP="00DC4485">
            <w:pPr>
              <w:ind w:left="-6"/>
              <w:jc w:val="right"/>
              <w:rPr>
                <w:rFonts w:eastAsiaTheme="minorHAnsi"/>
                <w:color w:val="000000"/>
                <w:sz w:val="20"/>
                <w:szCs w:val="20"/>
              </w:rPr>
            </w:pPr>
            <w:r>
              <w:rPr>
                <w:color w:val="000000"/>
                <w:sz w:val="20"/>
                <w:szCs w:val="20"/>
              </w:rPr>
              <w:t>257 426</w:t>
            </w:r>
          </w:p>
        </w:tc>
      </w:tr>
    </w:tbl>
    <w:p w14:paraId="577F7FBE" w14:textId="0A8AF425" w:rsidR="003B1469" w:rsidRPr="00EA656B" w:rsidRDefault="003B1469" w:rsidP="003B1469">
      <w:pPr>
        <w:spacing w:after="240"/>
        <w:rPr>
          <w:sz w:val="18"/>
          <w:szCs w:val="16"/>
        </w:rPr>
      </w:pPr>
      <w:r>
        <w:rPr>
          <w:sz w:val="18"/>
          <w:szCs w:val="16"/>
        </w:rPr>
        <w:t>* Estimation préliminaire.</w:t>
      </w:r>
    </w:p>
    <w:p w14:paraId="119017A8" w14:textId="77777777" w:rsidR="007277B9" w:rsidRPr="00EA656B" w:rsidRDefault="007277B9" w:rsidP="007277B9">
      <w:pPr>
        <w:spacing w:after="240"/>
        <w:rPr>
          <w:u w:val="single"/>
        </w:rPr>
      </w:pPr>
      <w:r>
        <w:rPr>
          <w:u w:val="single"/>
        </w:rPr>
        <w:t>Objectif du projet</w:t>
      </w:r>
    </w:p>
    <w:p w14:paraId="5FE848D8" w14:textId="5AAC9F20" w:rsidR="007277B9" w:rsidRPr="004169EB" w:rsidRDefault="007277B9" w:rsidP="00195504">
      <w:pPr>
        <w:pStyle w:val="Heading1"/>
        <w:numPr>
          <w:ilvl w:val="0"/>
          <w:numId w:val="24"/>
        </w:numPr>
      </w:pPr>
      <w:r>
        <w:t>La proposition de projet pilote sur l’efficacité énergétique vise l’amélioration du cadre de travail du pays en matière d’efficacité énergétique dans le secteur de la réfrigération et de la climatisation par le renforcement du système juridique, l’augmentation de l’efficacité énergétique des équipements contenant des HFC et la promotion des MEPS. Cet objectif sera atteint grâce à des modifications législatives et à un plan d’action, à la coordination et à la collaboration des parties prenantes ainsi qu’à un projet pilote pour les utilisateurs finaux de grands équipements afin de réduire les fuites. Cela s’harmonise à la stratégie à long terme du KIP visant à faciliter l’adoption de technologies écoénergétiques à faible PRP dans le secteur de la réfrigération et de la climatisation et pour améliorer l’efficacité énergétique des équipements de réfrigération et de climatisation par le biais du contrôle de fuites afin de maintenir des niveaux appropriés de frigorigènes pour l’efficacité et des conditions de fonctionnement optimales des équipements.</w:t>
      </w:r>
    </w:p>
    <w:p w14:paraId="6D3F64E0" w14:textId="77777777" w:rsidR="007277B9" w:rsidRPr="00EA656B" w:rsidRDefault="007277B9" w:rsidP="00A63E99">
      <w:pPr>
        <w:keepNext/>
        <w:keepLines/>
        <w:widowControl w:val="0"/>
        <w:spacing w:after="240"/>
        <w:rPr>
          <w:u w:val="single"/>
        </w:rPr>
      </w:pPr>
      <w:r>
        <w:rPr>
          <w:u w:val="single"/>
        </w:rPr>
        <w:lastRenderedPageBreak/>
        <w:t xml:space="preserve">Activités proposées </w:t>
      </w:r>
    </w:p>
    <w:p w14:paraId="340DE07C" w14:textId="3F6E0690" w:rsidR="007277B9" w:rsidRPr="00EA656B" w:rsidRDefault="007277B9" w:rsidP="00A63E99">
      <w:pPr>
        <w:pStyle w:val="Heading1"/>
        <w:keepNext/>
        <w:keepLines/>
        <w:widowControl w:val="0"/>
        <w:numPr>
          <w:ilvl w:val="0"/>
          <w:numId w:val="24"/>
        </w:numPr>
      </w:pPr>
      <w:r>
        <w:t>Les activités suivantes ont été proposées pour être mises en œuvre dans les 24 mois :</w:t>
      </w:r>
    </w:p>
    <w:p w14:paraId="1B782937" w14:textId="58217AB1" w:rsidR="0029614C" w:rsidRPr="00154788" w:rsidRDefault="00C357B3" w:rsidP="0029614C">
      <w:pPr>
        <w:pStyle w:val="Heading2"/>
        <w:numPr>
          <w:ilvl w:val="1"/>
          <w:numId w:val="24"/>
        </w:numPr>
      </w:pPr>
      <w:r>
        <w:t>Définition du cadre national pour l’efficacité énergétique dans le secteur de la réfrigération et de la climatisation :</w:t>
      </w:r>
    </w:p>
    <w:p w14:paraId="45CCC9EF" w14:textId="69776937" w:rsidR="0029614C" w:rsidRPr="00E00204" w:rsidRDefault="007E19C9" w:rsidP="00373604">
      <w:pPr>
        <w:pStyle w:val="Heading3"/>
        <w:widowControl/>
        <w:numPr>
          <w:ilvl w:val="2"/>
          <w:numId w:val="24"/>
        </w:numPr>
      </w:pPr>
      <w:r>
        <w:t>Réviser la législation nationale relative à l’efficacité énergétique dans le secteur de la réfrigération et de la climatisation (organiser une réunion de lancement, passer en revue la législation et les politiques existantes, analyser les écarts, mettre sur pied un groupe de travail des parties prenantes pour l’efficacité énergétique, et réaliser une analyse sur le rapport coût-avantages de l’intégration des politiques de l’UE en matière d’efficacité énergétique au cadre juridique national) (53 000 </w:t>
      </w:r>
      <w:r w:rsidR="00A63E99">
        <w:t>$US</w:t>
      </w:r>
      <w:r>
        <w:t>);</w:t>
      </w:r>
    </w:p>
    <w:p w14:paraId="56429A45" w14:textId="5BAE225E" w:rsidR="00C357B3" w:rsidRPr="00EA656B" w:rsidRDefault="00FE509B" w:rsidP="00C37310">
      <w:pPr>
        <w:pStyle w:val="Heading3"/>
        <w:widowControl/>
        <w:numPr>
          <w:ilvl w:val="2"/>
          <w:numId w:val="24"/>
        </w:numPr>
      </w:pPr>
      <w:r>
        <w:t>Cerner les priorités nationales et élaborer un plan sectoriel pour améliorer l’efficacité énergétique dans le secteur de la réfrigération et de la climatisation (ateliers, recherche et élaboration de rapport) (27 000 $US);</w:t>
      </w:r>
    </w:p>
    <w:p w14:paraId="636AD9B5" w14:textId="4A3A7D1E" w:rsidR="006B6A0A" w:rsidRPr="00154788" w:rsidRDefault="00AD483B" w:rsidP="00224FCE">
      <w:pPr>
        <w:pStyle w:val="Heading2"/>
        <w:keepNext/>
        <w:widowControl/>
        <w:numPr>
          <w:ilvl w:val="1"/>
          <w:numId w:val="24"/>
        </w:numPr>
      </w:pPr>
      <w:r>
        <w:t>Renforcement de la mise en œuvre des MEPS et de l’étiquetage dans le secteur de la réfrigération et de la climatisation :</w:t>
      </w:r>
    </w:p>
    <w:p w14:paraId="2F0CA939" w14:textId="45013DD6" w:rsidR="006B6A0A" w:rsidRPr="00EA656B" w:rsidRDefault="00BE7F39" w:rsidP="00EB6FE9">
      <w:pPr>
        <w:pStyle w:val="Heading3"/>
        <w:widowControl/>
        <w:numPr>
          <w:ilvl w:val="2"/>
          <w:numId w:val="24"/>
        </w:numPr>
      </w:pPr>
      <w:r>
        <w:t>Identifier les parties prenantes qui ont un impact sur l’efficacité énergétique dans le secteur de la réfrigération et de la climatisation et se coordonner avec elles (propriétaires d’équipements et importateurs, organisations de l’industrie, experts nationaux) et mener une campagne de sensibilisation du public pour ces parties prenantes (documents, vidéos et trois ateliers de sensibilisation) (48 000 $US);</w:t>
      </w:r>
    </w:p>
    <w:p w14:paraId="4EFD8C82" w14:textId="64F2CE84" w:rsidR="00A85BA8" w:rsidRPr="00EA656B" w:rsidRDefault="00212824" w:rsidP="006B6A0A">
      <w:pPr>
        <w:pStyle w:val="Heading3"/>
        <w:numPr>
          <w:ilvl w:val="2"/>
          <w:numId w:val="24"/>
        </w:numPr>
      </w:pPr>
      <w:r>
        <w:t>Deux ateliers pour former 20 professionnels de l’efficacité énergétique (techniciens d’entretien, propriétaires d’équipements, auditeurs et institutions de gestion de l’énergie) sur les pratiques exemplaires en matière d’efficacité énergétique dans le secteur de la réfrigération et de la climatisation, couvrant l’optimisation des systèmes de réfrigération et de climatisation, les bonnes pratiques d’entretien et la prévention des fuites (documents de formation, ateliers et rapport final) (30 000 </w:t>
      </w:r>
      <w:r w:rsidR="00A63E99">
        <w:t>$US</w:t>
      </w:r>
      <w:r>
        <w:t>);</w:t>
      </w:r>
    </w:p>
    <w:p w14:paraId="36F305DA" w14:textId="05F0098D" w:rsidR="002A6FBF" w:rsidRPr="00EA656B" w:rsidRDefault="00E7007A" w:rsidP="006B6A0A">
      <w:pPr>
        <w:pStyle w:val="Heading3"/>
        <w:numPr>
          <w:ilvl w:val="2"/>
          <w:numId w:val="24"/>
        </w:numPr>
      </w:pPr>
      <w:r>
        <w:t>Définir les priorités et élaborer un plan d’action afin d’améliorer l’efficacité énergétique dans le secteur de la réfrigération et de la climatisation (plan d’action et deux ateliers) (27 000 </w:t>
      </w:r>
      <w:r w:rsidR="00A63E99">
        <w:t>$US</w:t>
      </w:r>
      <w:r>
        <w:t>);</w:t>
      </w:r>
    </w:p>
    <w:p w14:paraId="60D201A6" w14:textId="3AD499A0" w:rsidR="006B6A0A" w:rsidRPr="004169EB" w:rsidRDefault="002A6FBF" w:rsidP="0029614C">
      <w:pPr>
        <w:pStyle w:val="Heading2"/>
        <w:numPr>
          <w:ilvl w:val="1"/>
          <w:numId w:val="24"/>
        </w:numPr>
      </w:pPr>
      <w:r>
        <w:t>Projet pilote pour introduire des systèmes de détection des fuites</w:t>
      </w:r>
      <w:r w:rsidR="00717E62" w:rsidRPr="004169EB">
        <w:rPr>
          <w:rStyle w:val="FootnoteReference"/>
        </w:rPr>
        <w:footnoteReference w:id="5"/>
      </w:r>
      <w:r>
        <w:t xml:space="preserve"> dans les équipements fixes contenant un</w:t>
      </w:r>
      <w:r w:rsidR="00387AB8">
        <w:t>e</w:t>
      </w:r>
      <w:r>
        <w:t xml:space="preserve"> charge élevée de HFC :</w:t>
      </w:r>
    </w:p>
    <w:p w14:paraId="64ECA8FD" w14:textId="24515F91" w:rsidR="006B6A0A" w:rsidRPr="004169EB" w:rsidRDefault="005D1625" w:rsidP="006B6A0A">
      <w:pPr>
        <w:pStyle w:val="Heading3"/>
        <w:numPr>
          <w:ilvl w:val="2"/>
          <w:numId w:val="24"/>
        </w:numPr>
      </w:pPr>
      <w:r>
        <w:t xml:space="preserve">Passer en revue la base de données des entreprises et des propriétaires d’équipements avec de grands équipements fixes de réfrigération et de climatisation (contenant 500 tonnes </w:t>
      </w:r>
      <w:proofErr w:type="spellStart"/>
      <w:r>
        <w:t>éq</w:t>
      </w:r>
      <w:proofErr w:type="spellEnd"/>
      <w:r>
        <w:t>. CO</w:t>
      </w:r>
      <w:r>
        <w:rPr>
          <w:vertAlign w:val="subscript"/>
        </w:rPr>
        <w:t>2</w:t>
      </w:r>
      <w:r>
        <w:t xml:space="preserve"> et plus ou 100 kg et plus</w:t>
      </w:r>
      <w:r>
        <w:rPr>
          <w:b/>
        </w:rPr>
        <w:t xml:space="preserve"> </w:t>
      </w:r>
      <w:r>
        <w:t>de HFC) et tenir un atelier sur l’introduction des système</w:t>
      </w:r>
      <w:r w:rsidR="00A81DC8">
        <w:t>s</w:t>
      </w:r>
      <w:r>
        <w:t xml:space="preserve"> de détection des fuites</w:t>
      </w:r>
      <w:r>
        <w:rPr>
          <w:i/>
          <w:iCs/>
        </w:rPr>
        <w:t xml:space="preserve"> </w:t>
      </w:r>
      <w:r>
        <w:t>sur les équipements fixes de réfrigération et de climatisation (9 000 </w:t>
      </w:r>
      <w:r w:rsidR="00A63E99">
        <w:t>$US</w:t>
      </w:r>
      <w:r>
        <w:t>);</w:t>
      </w:r>
    </w:p>
    <w:p w14:paraId="25014D7D" w14:textId="0FA3A0A8" w:rsidR="006B6A0A" w:rsidRPr="00EA656B" w:rsidRDefault="00E25E3D" w:rsidP="006B6A0A">
      <w:pPr>
        <w:pStyle w:val="Heading3"/>
        <w:numPr>
          <w:ilvl w:val="2"/>
          <w:numId w:val="24"/>
        </w:numPr>
      </w:pPr>
      <w:r>
        <w:lastRenderedPageBreak/>
        <w:t>Sélectionner dix entreprises qui recevront un système de détection des fuites, examiner les modèles et préparer les spécifications techniques du système de détection des fuites en fonction des besoins de chaque bénéficiaire (10 000 </w:t>
      </w:r>
      <w:r w:rsidR="00A63E99">
        <w:t>$US</w:t>
      </w:r>
      <w:r>
        <w:t>);</w:t>
      </w:r>
    </w:p>
    <w:p w14:paraId="542F38A4" w14:textId="0B9BAE53" w:rsidR="00E25E3D" w:rsidRPr="00EA656B" w:rsidRDefault="00EA656B" w:rsidP="006B6A0A">
      <w:pPr>
        <w:pStyle w:val="Heading3"/>
        <w:numPr>
          <w:ilvl w:val="2"/>
          <w:numId w:val="24"/>
        </w:numPr>
      </w:pPr>
      <w:r>
        <w:t>Obtenir, livrer et installer les systèmes de détection de fuites ainsi que fournir la formation sur le fonctionnement et l’entretien aux dix bénéficiaires (56 000 </w:t>
      </w:r>
      <w:r w:rsidR="00A63E99">
        <w:t>$US</w:t>
      </w:r>
      <w:r>
        <w:t>).</w:t>
      </w:r>
    </w:p>
    <w:p w14:paraId="2CE140C1" w14:textId="77777777" w:rsidR="007277B9" w:rsidRPr="00EA656B" w:rsidRDefault="007277B9" w:rsidP="007277B9">
      <w:pPr>
        <w:spacing w:after="240"/>
        <w:rPr>
          <w:u w:val="single"/>
        </w:rPr>
      </w:pPr>
      <w:r>
        <w:rPr>
          <w:u w:val="single"/>
        </w:rPr>
        <w:t>Total des coûts du projet pilote</w:t>
      </w:r>
    </w:p>
    <w:p w14:paraId="587DEC1A" w14:textId="0E245BEA" w:rsidR="007277B9" w:rsidRPr="00EA656B" w:rsidRDefault="007277B9" w:rsidP="007277B9">
      <w:pPr>
        <w:pStyle w:val="Heading1"/>
        <w:numPr>
          <w:ilvl w:val="0"/>
          <w:numId w:val="24"/>
        </w:numPr>
      </w:pPr>
      <w:r>
        <w:t>Le projet visant à maintenir ou à améliorer l’efficacité énergétique des technologies et équipements de remplacement aux fins de réduction progressive des HFC s’élève à 260 000 </w:t>
      </w:r>
      <w:r w:rsidR="00A63E99">
        <w:t>$US</w:t>
      </w:r>
      <w:r>
        <w:t>, plus les coûts d’appui d’agence, et sera mis en œuvre entre septembre 2025 et août 2027.</w:t>
      </w:r>
    </w:p>
    <w:p w14:paraId="71D77FED" w14:textId="77777777" w:rsidR="007277B9" w:rsidRPr="00EA656B" w:rsidRDefault="007277B9" w:rsidP="007277B9">
      <w:pPr>
        <w:spacing w:before="360" w:after="240"/>
        <w:jc w:val="center"/>
        <w:rPr>
          <w:b/>
          <w:bCs/>
        </w:rPr>
      </w:pPr>
      <w:r>
        <w:rPr>
          <w:b/>
          <w:bCs/>
        </w:rPr>
        <w:t>OBSERVATIONS ET RECOMMANDATION DU SECRÉTARIAT</w:t>
      </w:r>
    </w:p>
    <w:p w14:paraId="7353A92C" w14:textId="77777777" w:rsidR="007277B9" w:rsidRPr="00EA656B" w:rsidRDefault="007277B9" w:rsidP="007277B9">
      <w:pPr>
        <w:spacing w:after="240"/>
        <w:rPr>
          <w:b/>
          <w:bCs/>
        </w:rPr>
      </w:pPr>
      <w:r>
        <w:rPr>
          <w:b/>
          <w:bCs/>
        </w:rPr>
        <w:t>Commentaires</w:t>
      </w:r>
    </w:p>
    <w:p w14:paraId="6B8DE369" w14:textId="2C203AD5" w:rsidR="007277B9" w:rsidRPr="00EA656B" w:rsidRDefault="007277B9" w:rsidP="007277B9">
      <w:pPr>
        <w:pStyle w:val="Heading1"/>
        <w:numPr>
          <w:ilvl w:val="0"/>
          <w:numId w:val="24"/>
        </w:numPr>
      </w:pPr>
      <w:r>
        <w:t>La Secrétariat a examiné la proposition de projet à la lumière des activités décrites aux termes des décisions 89/6 et 91/65, ainsi que celles qui seront mises en œuvre dans le cadre de la phase I du KIP.</w:t>
      </w:r>
    </w:p>
    <w:p w14:paraId="3D5A18AC" w14:textId="7C4FD8F7" w:rsidR="007277B9" w:rsidRPr="00EA656B" w:rsidRDefault="007277B9" w:rsidP="00EA656B">
      <w:pPr>
        <w:pStyle w:val="Heading1"/>
        <w:numPr>
          <w:ilvl w:val="0"/>
          <w:numId w:val="24"/>
        </w:numPr>
      </w:pPr>
      <w:r>
        <w:t>En accord avec la décision 91/65, une confirmation du gouvernement de la Macédoine du Nord a été reçue selon laquelle l’UNO se coordonnera avec les autorités pertinentes en matière d’efficacité énergétique et les organismes nationaux de normalisation pour faciliter l’examen de la transition des frigorigènes dans l’élaboration des normes sur l’efficacité énergétique dans les utilisations et les secteurs pertinents; que le projet n’entraînera pas la duplication des activités parmi celles financées par le Fonds multilatéral et celles financées par d’autres sources si la Macédoine du Nord a mobilisé ou mobilisait des fonds provenant d’autres sources de financement que le Fonds multilatéral pour les composantes sur l’efficacité énergétique pendant la réduction progressive des HFC; que les renseignements sur la progression du projet, les résultats et les principales leçons retenues seront disponibles, selon ce qui convient; et que la date d’achèvement du projet sera établie au plus tard 36 mois après la date d’approbation par le Comité exécutif et qu’un rapport de projet détaillé sera présenté au Comité exécutif dans les six mois après la date d’achèvement du projet.</w:t>
      </w:r>
    </w:p>
    <w:p w14:paraId="44715D1E" w14:textId="77777777" w:rsidR="007277B9" w:rsidRPr="00EA656B" w:rsidRDefault="007277B9" w:rsidP="007277B9">
      <w:pPr>
        <w:pStyle w:val="Heading1"/>
        <w:keepNext/>
        <w:numPr>
          <w:ilvl w:val="0"/>
          <w:numId w:val="0"/>
        </w:numPr>
        <w:tabs>
          <w:tab w:val="left" w:pos="720"/>
        </w:tabs>
        <w:rPr>
          <w:u w:val="single"/>
        </w:rPr>
      </w:pPr>
      <w:r>
        <w:rPr>
          <w:u w:val="single"/>
        </w:rPr>
        <w:t>Cadre politique, réglementaire et institutionnel</w:t>
      </w:r>
    </w:p>
    <w:p w14:paraId="52B7606F" w14:textId="2A6978F1" w:rsidR="00F10473" w:rsidRPr="004169EB" w:rsidRDefault="00D50C1F" w:rsidP="001200D5">
      <w:pPr>
        <w:pStyle w:val="Heading1"/>
        <w:numPr>
          <w:ilvl w:val="0"/>
          <w:numId w:val="24"/>
        </w:numPr>
      </w:pPr>
      <w:r>
        <w:t xml:space="preserve">Des échanges sur le contrôle de la valeur du PRP des frigorigènes ont révélé que même s’il n’y actuellement pas de restriction officielle sur la valeur du PRP des frigorigènes dans les équipements de réfrigération et de climatisation, plusieurs lois ont été rédigées et devraient être adoptées d’ici la fin de 2025 pour y remédier, notamment l’Ordre sur l’interdiction de l’importation et de la mise sur le marché des réfrigérateurs et congélateurs commerciaux et à usage domestique ainsi que l’équipement contenant des HFC avec un PRP supérieur à 150; et l’Ordre sur l’interdiction de l’importation et de la mise sur le marché des équipements de climatisation autonome et bibloc contenant des HFC avec un PRP supérieur à 2 500. </w:t>
      </w:r>
    </w:p>
    <w:p w14:paraId="4EE83661" w14:textId="0ED55D50" w:rsidR="00F002B3" w:rsidRPr="004169EB" w:rsidRDefault="00425C44" w:rsidP="001200D5">
      <w:pPr>
        <w:pStyle w:val="Heading1"/>
        <w:numPr>
          <w:ilvl w:val="0"/>
          <w:numId w:val="24"/>
        </w:numPr>
      </w:pPr>
      <w:r>
        <w:t>Même si la Macédoine du Nord a élaboré des MEPS pour l’équipement de réfrigération et de climatisation, le cadre institutionnel et le mécanisme de mise en œuvre pour l’application des MEPS dans le secteur de la réfrigération et de la climatisation, y compris la coordination entre les autorités de l’efficacité énergétique et l’UNO, doivent encore être établis. Ces activités proposées dans le projet pilote, en particulier la définition du cadre national sur l’efficacité énergétique et le renforcement de la mise en œuvre des MEPS ainsi que l’étiquetage, devrai</w:t>
      </w:r>
      <w:r w:rsidR="00F83C67">
        <w:t>en</w:t>
      </w:r>
      <w:r>
        <w:t xml:space="preserve">t atteindre cet objectif en motivant toutes les parties prenantes, en sensibilisant, en identifiant les priorités et en planifiant des mesures communes afin d’offrir des fondements durables pour la mise en œuvre et la surveillance des MEPS dans le secteur de la réfrigération et de la climatisation. </w:t>
      </w:r>
    </w:p>
    <w:p w14:paraId="3F7CA713" w14:textId="77777777" w:rsidR="007277B9" w:rsidRPr="004169EB" w:rsidRDefault="007277B9" w:rsidP="007277B9">
      <w:pPr>
        <w:keepNext/>
        <w:spacing w:after="240"/>
        <w:rPr>
          <w:u w:val="single"/>
        </w:rPr>
      </w:pPr>
      <w:r>
        <w:rPr>
          <w:u w:val="single"/>
        </w:rPr>
        <w:lastRenderedPageBreak/>
        <w:t>Questions techniques et financières</w:t>
      </w:r>
    </w:p>
    <w:p w14:paraId="7841E0A2" w14:textId="027391C0" w:rsidR="002F7E02" w:rsidRPr="004169EB" w:rsidRDefault="002F7E02" w:rsidP="00C63824">
      <w:pPr>
        <w:pStyle w:val="Heading1"/>
        <w:numPr>
          <w:ilvl w:val="0"/>
          <w:numId w:val="24"/>
        </w:numPr>
      </w:pPr>
      <w:r>
        <w:t>Le Secrétariat a relevé que l’installation de systèmes de détection des fuites dans les grands équipements fixes de réfrigération et de climatisation permettra aux utilisateurs finaux de détecter les fuites de façon opportune et de minimiser la quantité de frigorigène qui fuit. Cela facilitera également une action précoce afin de réparer les fuites et de maintenir la charge de frigorigène au niveau requis pour une performance optimale de l’équipement en vue de maintenir l’efficacité énergétique de l’unité. Cela correspond à l’intention de la décision 91/65. Les utilisateurs finaux concernés par le projet pilote surveilleront les améliorations en matière d’efficacité énergétique et rendront des comptes annuellement à l’UNO.</w:t>
      </w:r>
    </w:p>
    <w:p w14:paraId="3EF7223D" w14:textId="1C3D5AE0" w:rsidR="007277B9" w:rsidRPr="00EA656B" w:rsidRDefault="00571EC4" w:rsidP="00C63824">
      <w:pPr>
        <w:pStyle w:val="Heading1"/>
        <w:numPr>
          <w:ilvl w:val="0"/>
          <w:numId w:val="24"/>
        </w:numPr>
      </w:pPr>
      <w:r>
        <w:t>Après des échanges sur les activités, les résultats et les coûts, le coût du projet a été davantage optimisé en tenant compte des autres ressources de financement disponibles pour certaines activités. Les activités décrites aux alinéas </w:t>
      </w:r>
      <w:proofErr w:type="gramStart"/>
      <w:r>
        <w:t>a)ii</w:t>
      </w:r>
      <w:proofErr w:type="gramEnd"/>
      <w:r>
        <w:t xml:space="preserve">) et </w:t>
      </w:r>
      <w:proofErr w:type="gramStart"/>
      <w:r>
        <w:t>b)iii</w:t>
      </w:r>
      <w:proofErr w:type="gramEnd"/>
      <w:r>
        <w:t>) du paragraphe 12 ont été combinées, puisqu’elles servent toutes deux à définir les priorités nationales et les plans en matière d’efficacité énergétique dans le secteur de la réfrigération et de la climatisation. Les coûts pour passer en revue la législation et mettre à jour le plan national sur l’efficacité énergétique dans le secteur de la réfrigération et de la climatisation ont été réduits de 80 000 </w:t>
      </w:r>
      <w:r w:rsidR="00A63E99">
        <w:t>$US</w:t>
      </w:r>
      <w:r>
        <w:t xml:space="preserve"> à 37 000 </w:t>
      </w:r>
      <w:r w:rsidR="00A63E99">
        <w:t>$US</w:t>
      </w:r>
      <w:r>
        <w:t>, en mettant l’accent sur la coordination avec les parties prenantes et la mise en œuvre des MEPS; les coûts pour le renforcement de la mise en œuvre des MEPS et le système d’étiquetage ont été augmentés de 105 000 </w:t>
      </w:r>
      <w:r w:rsidR="00A63E99">
        <w:t>$US</w:t>
      </w:r>
      <w:r>
        <w:t xml:space="preserve"> à 108 000</w:t>
      </w:r>
      <w:r w:rsidR="00A63E99">
        <w:t>$US</w:t>
      </w:r>
      <w:r>
        <w:t>, avec l’ajout du développement des documents de formation; et les coûts pour l’introduction des systèmes de détection des fuites ont été augmentés de 75 000 </w:t>
      </w:r>
      <w:r w:rsidR="00A63E99">
        <w:t>$US</w:t>
      </w:r>
      <w:r>
        <w:t xml:space="preserve"> à 96 000 </w:t>
      </w:r>
      <w:r w:rsidR="00A63E99">
        <w:t>$US</w:t>
      </w:r>
      <w:r>
        <w:t xml:space="preserve"> pour appuyer l’élaboration de spécifications pour différentes catégories d’équipement et la formation pour les propriétaires d’équipement sur le fonctionnement du système de détection des fuites. Les coûts des autres activités ont été convenus tels qu’ils ont été soumis. Le coût total du projet a été réduit de 260 000 </w:t>
      </w:r>
      <w:r w:rsidR="00A63E99">
        <w:t>$US</w:t>
      </w:r>
      <w:r>
        <w:t xml:space="preserve"> à 241 000 </w:t>
      </w:r>
      <w:r w:rsidR="00A63E99">
        <w:t>$US</w:t>
      </w:r>
      <w:r>
        <w:t xml:space="preserve">, comme le résume le Tableau 2. </w:t>
      </w:r>
    </w:p>
    <w:p w14:paraId="29E9444B" w14:textId="77B48F3A" w:rsidR="007277B9" w:rsidRPr="00EA656B" w:rsidRDefault="007277B9" w:rsidP="00FD770F">
      <w:pPr>
        <w:keepNext/>
        <w:rPr>
          <w:b/>
          <w:bCs/>
        </w:rPr>
      </w:pPr>
      <w:r>
        <w:rPr>
          <w:b/>
        </w:rPr>
        <w:t>Tableau</w:t>
      </w:r>
      <w:r w:rsidR="0087336C">
        <w:rPr>
          <w:b/>
        </w:rPr>
        <w:t> </w:t>
      </w:r>
      <w:r>
        <w:rPr>
          <w:b/>
        </w:rPr>
        <w:t xml:space="preserve">2. </w:t>
      </w:r>
      <w:r>
        <w:rPr>
          <w:b/>
          <w:bCs/>
        </w:rPr>
        <w:t>Coût total du projet pilote sur l’efficacité énergétique pour la Macédoine du Nord, tel que convenu (</w:t>
      </w:r>
      <w:r w:rsidR="00A63E99">
        <w:rPr>
          <w:b/>
          <w:bCs/>
        </w:rPr>
        <w:t>$US</w:t>
      </w:r>
      <w:r>
        <w:rPr>
          <w:b/>
          <w:bCs/>
        </w:rPr>
        <w:t>)</w:t>
      </w:r>
    </w:p>
    <w:tbl>
      <w:tblPr>
        <w:tblStyle w:val="TableGrid"/>
        <w:tblW w:w="0" w:type="auto"/>
        <w:tblLook w:val="04A0" w:firstRow="1" w:lastRow="0" w:firstColumn="1" w:lastColumn="0" w:noHBand="0" w:noVBand="1"/>
      </w:tblPr>
      <w:tblGrid>
        <w:gridCol w:w="6607"/>
        <w:gridCol w:w="1371"/>
        <w:gridCol w:w="1372"/>
      </w:tblGrid>
      <w:tr w:rsidR="007277B9" w:rsidRPr="003A5F99" w14:paraId="6B05A464" w14:textId="77777777" w:rsidTr="00667D5C">
        <w:trPr>
          <w:trHeight w:val="115"/>
        </w:trPr>
        <w:tc>
          <w:tcPr>
            <w:tcW w:w="6607" w:type="dxa"/>
            <w:tcBorders>
              <w:top w:val="single" w:sz="4" w:space="0" w:color="auto"/>
              <w:left w:val="single" w:sz="4" w:space="0" w:color="auto"/>
              <w:bottom w:val="single" w:sz="4" w:space="0" w:color="auto"/>
              <w:right w:val="single" w:sz="4" w:space="0" w:color="auto"/>
            </w:tcBorders>
            <w:hideMark/>
          </w:tcPr>
          <w:p w14:paraId="74EDCBAE" w14:textId="77777777" w:rsidR="007277B9" w:rsidRPr="003A5F99" w:rsidRDefault="007277B9" w:rsidP="00FD770F">
            <w:pPr>
              <w:keepNext/>
              <w:rPr>
                <w:b/>
                <w:bCs/>
                <w:sz w:val="20"/>
                <w:szCs w:val="20"/>
              </w:rPr>
            </w:pPr>
            <w:r>
              <w:rPr>
                <w:b/>
                <w:bCs/>
                <w:sz w:val="20"/>
                <w:szCs w:val="20"/>
              </w:rPr>
              <w:t>Activités</w:t>
            </w:r>
          </w:p>
        </w:tc>
        <w:tc>
          <w:tcPr>
            <w:tcW w:w="1371" w:type="dxa"/>
            <w:tcBorders>
              <w:top w:val="single" w:sz="4" w:space="0" w:color="auto"/>
              <w:left w:val="single" w:sz="4" w:space="0" w:color="auto"/>
              <w:bottom w:val="single" w:sz="4" w:space="0" w:color="auto"/>
              <w:right w:val="single" w:sz="4" w:space="0" w:color="auto"/>
            </w:tcBorders>
            <w:hideMark/>
          </w:tcPr>
          <w:p w14:paraId="61ABDBA1" w14:textId="77777777" w:rsidR="007277B9" w:rsidRPr="003A5F99" w:rsidRDefault="007277B9" w:rsidP="00FD770F">
            <w:pPr>
              <w:keepNext/>
              <w:jc w:val="center"/>
              <w:rPr>
                <w:b/>
                <w:bCs/>
                <w:sz w:val="20"/>
                <w:szCs w:val="20"/>
              </w:rPr>
            </w:pPr>
            <w:r>
              <w:rPr>
                <w:b/>
                <w:bCs/>
                <w:sz w:val="20"/>
                <w:szCs w:val="20"/>
              </w:rPr>
              <w:t>Tel que présenté</w:t>
            </w:r>
          </w:p>
        </w:tc>
        <w:tc>
          <w:tcPr>
            <w:tcW w:w="1372" w:type="dxa"/>
            <w:tcBorders>
              <w:top w:val="single" w:sz="4" w:space="0" w:color="auto"/>
              <w:left w:val="single" w:sz="4" w:space="0" w:color="auto"/>
              <w:bottom w:val="single" w:sz="4" w:space="0" w:color="auto"/>
              <w:right w:val="single" w:sz="4" w:space="0" w:color="auto"/>
            </w:tcBorders>
            <w:hideMark/>
          </w:tcPr>
          <w:p w14:paraId="19158E6D" w14:textId="77777777" w:rsidR="007277B9" w:rsidRPr="003A5F99" w:rsidRDefault="007277B9" w:rsidP="00FD770F">
            <w:pPr>
              <w:keepNext/>
              <w:jc w:val="center"/>
              <w:rPr>
                <w:b/>
                <w:bCs/>
                <w:sz w:val="20"/>
                <w:szCs w:val="20"/>
              </w:rPr>
            </w:pPr>
            <w:r>
              <w:rPr>
                <w:b/>
                <w:bCs/>
                <w:sz w:val="20"/>
                <w:szCs w:val="20"/>
              </w:rPr>
              <w:t>Tel que convenu</w:t>
            </w:r>
          </w:p>
        </w:tc>
      </w:tr>
      <w:tr w:rsidR="00FA6C02" w:rsidRPr="003A5F99" w14:paraId="3BADF74D" w14:textId="77777777" w:rsidTr="00667D5C">
        <w:tc>
          <w:tcPr>
            <w:tcW w:w="6607" w:type="dxa"/>
            <w:tcBorders>
              <w:top w:val="single" w:sz="4" w:space="0" w:color="auto"/>
              <w:left w:val="single" w:sz="4" w:space="0" w:color="auto"/>
              <w:bottom w:val="single" w:sz="4" w:space="0" w:color="auto"/>
              <w:right w:val="single" w:sz="4" w:space="0" w:color="auto"/>
            </w:tcBorders>
            <w:hideMark/>
          </w:tcPr>
          <w:p w14:paraId="52808464" w14:textId="71C3296D" w:rsidR="005B4C90" w:rsidRPr="003A5F99" w:rsidRDefault="00FA6C02" w:rsidP="00BF3A13">
            <w:pPr>
              <w:jc w:val="left"/>
              <w:rPr>
                <w:sz w:val="20"/>
                <w:szCs w:val="20"/>
              </w:rPr>
            </w:pPr>
            <w:r>
              <w:rPr>
                <w:sz w:val="20"/>
                <w:szCs w:val="20"/>
              </w:rPr>
              <w:t>Définition du cadre de travail national relatif à l’efficacité énergétique dans le secteur de la réfrigération et de la climatisation</w:t>
            </w:r>
          </w:p>
        </w:tc>
        <w:tc>
          <w:tcPr>
            <w:tcW w:w="1371" w:type="dxa"/>
            <w:tcBorders>
              <w:top w:val="single" w:sz="4" w:space="0" w:color="auto"/>
              <w:left w:val="single" w:sz="4" w:space="0" w:color="auto"/>
              <w:bottom w:val="single" w:sz="4" w:space="0" w:color="auto"/>
              <w:right w:val="single" w:sz="4" w:space="0" w:color="auto"/>
            </w:tcBorders>
          </w:tcPr>
          <w:p w14:paraId="2763D81B" w14:textId="5B47492F" w:rsidR="00FA6C02" w:rsidRPr="003A5F99" w:rsidRDefault="00FA6C02" w:rsidP="00FA6C02">
            <w:pPr>
              <w:jc w:val="right"/>
              <w:rPr>
                <w:sz w:val="20"/>
                <w:szCs w:val="20"/>
              </w:rPr>
            </w:pPr>
            <w:r>
              <w:rPr>
                <w:sz w:val="20"/>
                <w:szCs w:val="20"/>
              </w:rPr>
              <w:t>80 000</w:t>
            </w:r>
          </w:p>
        </w:tc>
        <w:tc>
          <w:tcPr>
            <w:tcW w:w="1372" w:type="dxa"/>
            <w:tcBorders>
              <w:top w:val="single" w:sz="4" w:space="0" w:color="auto"/>
              <w:left w:val="single" w:sz="4" w:space="0" w:color="auto"/>
              <w:bottom w:val="single" w:sz="4" w:space="0" w:color="auto"/>
              <w:right w:val="single" w:sz="4" w:space="0" w:color="auto"/>
            </w:tcBorders>
          </w:tcPr>
          <w:p w14:paraId="3C664D3D" w14:textId="70EF86ED" w:rsidR="00FA6C02" w:rsidRPr="003A5F99" w:rsidRDefault="005B4C90" w:rsidP="00FA6C02">
            <w:pPr>
              <w:jc w:val="right"/>
              <w:rPr>
                <w:sz w:val="20"/>
                <w:szCs w:val="20"/>
              </w:rPr>
            </w:pPr>
            <w:r>
              <w:rPr>
                <w:sz w:val="20"/>
                <w:szCs w:val="20"/>
              </w:rPr>
              <w:t>37 000</w:t>
            </w:r>
          </w:p>
        </w:tc>
      </w:tr>
      <w:tr w:rsidR="009058B3" w:rsidRPr="003A5F99" w14:paraId="02B88C9F" w14:textId="77777777" w:rsidTr="002D1F61">
        <w:tc>
          <w:tcPr>
            <w:tcW w:w="6607" w:type="dxa"/>
            <w:tcBorders>
              <w:top w:val="single" w:sz="4" w:space="0" w:color="auto"/>
              <w:left w:val="single" w:sz="4" w:space="0" w:color="auto"/>
              <w:bottom w:val="single" w:sz="4" w:space="0" w:color="auto"/>
              <w:right w:val="single" w:sz="4" w:space="0" w:color="auto"/>
            </w:tcBorders>
            <w:hideMark/>
          </w:tcPr>
          <w:p w14:paraId="103F32C5" w14:textId="77777777" w:rsidR="009058B3" w:rsidRPr="003A5F99" w:rsidRDefault="009058B3" w:rsidP="002D1F61">
            <w:pPr>
              <w:jc w:val="left"/>
              <w:rPr>
                <w:sz w:val="20"/>
                <w:szCs w:val="20"/>
              </w:rPr>
            </w:pPr>
            <w:r>
              <w:rPr>
                <w:sz w:val="20"/>
                <w:szCs w:val="20"/>
              </w:rPr>
              <w:t>Renforcement de la mise en œuvre des MEPS et de l’étiquetage dans le secteur de la réfrigération et de la climatisation</w:t>
            </w:r>
          </w:p>
        </w:tc>
        <w:tc>
          <w:tcPr>
            <w:tcW w:w="1371" w:type="dxa"/>
            <w:tcBorders>
              <w:top w:val="single" w:sz="4" w:space="0" w:color="auto"/>
              <w:left w:val="single" w:sz="4" w:space="0" w:color="auto"/>
              <w:bottom w:val="single" w:sz="4" w:space="0" w:color="auto"/>
              <w:right w:val="single" w:sz="4" w:space="0" w:color="auto"/>
            </w:tcBorders>
          </w:tcPr>
          <w:p w14:paraId="638B5E2C" w14:textId="77777777" w:rsidR="009058B3" w:rsidRPr="003A5F99" w:rsidRDefault="009058B3" w:rsidP="002D1F61">
            <w:pPr>
              <w:jc w:val="right"/>
              <w:rPr>
                <w:sz w:val="20"/>
                <w:szCs w:val="20"/>
              </w:rPr>
            </w:pPr>
            <w:r>
              <w:rPr>
                <w:sz w:val="20"/>
                <w:szCs w:val="20"/>
              </w:rPr>
              <w:t>105 000</w:t>
            </w:r>
          </w:p>
        </w:tc>
        <w:tc>
          <w:tcPr>
            <w:tcW w:w="1372" w:type="dxa"/>
            <w:tcBorders>
              <w:top w:val="single" w:sz="4" w:space="0" w:color="auto"/>
              <w:left w:val="single" w:sz="4" w:space="0" w:color="auto"/>
              <w:bottom w:val="single" w:sz="4" w:space="0" w:color="auto"/>
              <w:right w:val="single" w:sz="4" w:space="0" w:color="auto"/>
            </w:tcBorders>
          </w:tcPr>
          <w:p w14:paraId="74A89712" w14:textId="30BA734E" w:rsidR="009058B3" w:rsidRPr="003A5F99" w:rsidRDefault="009058B3" w:rsidP="002D1F61">
            <w:pPr>
              <w:jc w:val="right"/>
              <w:rPr>
                <w:sz w:val="20"/>
                <w:szCs w:val="20"/>
              </w:rPr>
            </w:pPr>
            <w:r>
              <w:rPr>
                <w:sz w:val="20"/>
                <w:szCs w:val="20"/>
              </w:rPr>
              <w:t>108 000</w:t>
            </w:r>
          </w:p>
        </w:tc>
      </w:tr>
      <w:tr w:rsidR="00FA6C02" w:rsidRPr="003A5F99" w14:paraId="7F4EB29D" w14:textId="77777777" w:rsidTr="00667D5C">
        <w:tc>
          <w:tcPr>
            <w:tcW w:w="6607" w:type="dxa"/>
            <w:tcBorders>
              <w:top w:val="single" w:sz="4" w:space="0" w:color="auto"/>
              <w:left w:val="single" w:sz="4" w:space="0" w:color="auto"/>
              <w:bottom w:val="single" w:sz="4" w:space="0" w:color="auto"/>
              <w:right w:val="single" w:sz="4" w:space="0" w:color="auto"/>
            </w:tcBorders>
            <w:hideMark/>
          </w:tcPr>
          <w:p w14:paraId="6266ABA1" w14:textId="0B0CE562" w:rsidR="00FA6C02" w:rsidRPr="003A5F99" w:rsidRDefault="00FA6C02" w:rsidP="00FA6C02">
            <w:pPr>
              <w:jc w:val="left"/>
              <w:rPr>
                <w:sz w:val="20"/>
                <w:szCs w:val="20"/>
              </w:rPr>
            </w:pPr>
            <w:r>
              <w:rPr>
                <w:sz w:val="20"/>
                <w:szCs w:val="20"/>
              </w:rPr>
              <w:t>Projet pilote pour introduire les systèmes de détection des fuites dans les équipements fixes contenant des HFC</w:t>
            </w:r>
          </w:p>
        </w:tc>
        <w:tc>
          <w:tcPr>
            <w:tcW w:w="1371" w:type="dxa"/>
            <w:tcBorders>
              <w:top w:val="single" w:sz="4" w:space="0" w:color="auto"/>
              <w:left w:val="single" w:sz="4" w:space="0" w:color="auto"/>
              <w:bottom w:val="single" w:sz="4" w:space="0" w:color="auto"/>
              <w:right w:val="single" w:sz="4" w:space="0" w:color="auto"/>
            </w:tcBorders>
          </w:tcPr>
          <w:p w14:paraId="17D327DE" w14:textId="7B5F74CE" w:rsidR="00FA6C02" w:rsidRPr="003A5F99" w:rsidRDefault="00FA6C02" w:rsidP="00FA6C02">
            <w:pPr>
              <w:jc w:val="right"/>
              <w:rPr>
                <w:sz w:val="20"/>
                <w:szCs w:val="20"/>
              </w:rPr>
            </w:pPr>
            <w:r>
              <w:rPr>
                <w:sz w:val="20"/>
                <w:szCs w:val="20"/>
              </w:rPr>
              <w:t>75 000</w:t>
            </w:r>
          </w:p>
        </w:tc>
        <w:tc>
          <w:tcPr>
            <w:tcW w:w="1372" w:type="dxa"/>
            <w:tcBorders>
              <w:top w:val="single" w:sz="4" w:space="0" w:color="auto"/>
              <w:left w:val="single" w:sz="4" w:space="0" w:color="auto"/>
              <w:bottom w:val="single" w:sz="4" w:space="0" w:color="auto"/>
              <w:right w:val="single" w:sz="4" w:space="0" w:color="auto"/>
            </w:tcBorders>
          </w:tcPr>
          <w:p w14:paraId="1AAD241A" w14:textId="15E0E496" w:rsidR="00FA6C02" w:rsidRPr="003A5F99" w:rsidRDefault="00B4014A" w:rsidP="00FA6C02">
            <w:pPr>
              <w:jc w:val="right"/>
              <w:rPr>
                <w:sz w:val="20"/>
                <w:szCs w:val="20"/>
              </w:rPr>
            </w:pPr>
            <w:r>
              <w:rPr>
                <w:sz w:val="20"/>
                <w:szCs w:val="20"/>
              </w:rPr>
              <w:t>96 000</w:t>
            </w:r>
          </w:p>
        </w:tc>
      </w:tr>
      <w:tr w:rsidR="00FA6C02" w:rsidRPr="003A5F99" w14:paraId="44393DA9" w14:textId="77777777" w:rsidTr="00667D5C">
        <w:trPr>
          <w:trHeight w:val="60"/>
        </w:trPr>
        <w:tc>
          <w:tcPr>
            <w:tcW w:w="6607" w:type="dxa"/>
            <w:tcBorders>
              <w:top w:val="single" w:sz="4" w:space="0" w:color="auto"/>
              <w:left w:val="single" w:sz="4" w:space="0" w:color="auto"/>
              <w:bottom w:val="single" w:sz="4" w:space="0" w:color="auto"/>
              <w:right w:val="single" w:sz="4" w:space="0" w:color="auto"/>
            </w:tcBorders>
            <w:hideMark/>
          </w:tcPr>
          <w:p w14:paraId="798BD8C8" w14:textId="77777777" w:rsidR="00FA6C02" w:rsidRPr="003A5F99" w:rsidRDefault="00FA6C02" w:rsidP="00FA6C02">
            <w:pPr>
              <w:rPr>
                <w:b/>
                <w:bCs/>
                <w:sz w:val="20"/>
                <w:szCs w:val="20"/>
              </w:rPr>
            </w:pPr>
            <w:r>
              <w:rPr>
                <w:b/>
                <w:bCs/>
                <w:sz w:val="20"/>
                <w:szCs w:val="20"/>
              </w:rPr>
              <w:t>Total</w:t>
            </w:r>
          </w:p>
        </w:tc>
        <w:tc>
          <w:tcPr>
            <w:tcW w:w="1371" w:type="dxa"/>
            <w:tcBorders>
              <w:top w:val="single" w:sz="4" w:space="0" w:color="auto"/>
              <w:left w:val="single" w:sz="4" w:space="0" w:color="auto"/>
              <w:bottom w:val="single" w:sz="4" w:space="0" w:color="auto"/>
              <w:right w:val="single" w:sz="4" w:space="0" w:color="auto"/>
            </w:tcBorders>
          </w:tcPr>
          <w:p w14:paraId="050865C6" w14:textId="04C4A861" w:rsidR="00FA6C02" w:rsidRPr="003A5F99" w:rsidRDefault="00FA6C02" w:rsidP="00FA6C02">
            <w:pPr>
              <w:jc w:val="right"/>
              <w:rPr>
                <w:b/>
                <w:sz w:val="20"/>
                <w:szCs w:val="20"/>
              </w:rPr>
            </w:pPr>
            <w:r>
              <w:rPr>
                <w:b/>
                <w:sz w:val="20"/>
                <w:szCs w:val="20"/>
              </w:rPr>
              <w:t>260 000</w:t>
            </w:r>
          </w:p>
        </w:tc>
        <w:tc>
          <w:tcPr>
            <w:tcW w:w="1372" w:type="dxa"/>
            <w:tcBorders>
              <w:top w:val="single" w:sz="4" w:space="0" w:color="auto"/>
              <w:left w:val="single" w:sz="4" w:space="0" w:color="auto"/>
              <w:bottom w:val="single" w:sz="4" w:space="0" w:color="auto"/>
              <w:right w:val="single" w:sz="4" w:space="0" w:color="auto"/>
            </w:tcBorders>
          </w:tcPr>
          <w:p w14:paraId="2E350CCF" w14:textId="7385933F" w:rsidR="00FA6C02" w:rsidRPr="003A5F99" w:rsidRDefault="00FA6C02" w:rsidP="00FA6C02">
            <w:pPr>
              <w:jc w:val="right"/>
              <w:rPr>
                <w:b/>
                <w:sz w:val="20"/>
                <w:szCs w:val="20"/>
              </w:rPr>
            </w:pPr>
            <w:r>
              <w:rPr>
                <w:b/>
                <w:sz w:val="20"/>
                <w:szCs w:val="20"/>
              </w:rPr>
              <w:t>241 000</w:t>
            </w:r>
          </w:p>
        </w:tc>
      </w:tr>
    </w:tbl>
    <w:p w14:paraId="32D399A7" w14:textId="477F5921" w:rsidR="00887A7C" w:rsidRPr="00EA656B" w:rsidRDefault="008203A2" w:rsidP="003A5F99">
      <w:pPr>
        <w:pStyle w:val="Heading1"/>
        <w:numPr>
          <w:ilvl w:val="0"/>
          <w:numId w:val="24"/>
        </w:numPr>
        <w:spacing w:before="240"/>
      </w:pPr>
      <w:r>
        <w:t>Le Secrétariat a noté que le gouvernement a également soumis à la 96</w:t>
      </w:r>
      <w:r>
        <w:rPr>
          <w:vertAlign w:val="superscript"/>
        </w:rPr>
        <w:t>e</w:t>
      </w:r>
      <w:r>
        <w:t> réunion une demande pour la préparation d’une étude de faisabilité afin d’évaluer la viabilité technique, économique et environnementale de la réduction progressive des HFC dans les centres de données qui utilisent des HFC comme technologie de refroidissement en Macédoine du Nord, aux termes de la décision 91/65</w:t>
      </w:r>
      <w:r w:rsidR="00D37FE4" w:rsidRPr="0070073A">
        <w:rPr>
          <w:rStyle w:val="FootnoteReference"/>
        </w:rPr>
        <w:footnoteReference w:id="6"/>
      </w:r>
      <w:r>
        <w:t xml:space="preserve">. Le Secrétariat a noté que les activités prévues dans ce projet ne dupliqueraient pas celles du projet actuel. </w:t>
      </w:r>
    </w:p>
    <w:p w14:paraId="1E7CFAF0" w14:textId="77777777" w:rsidR="007277B9" w:rsidRPr="00EA656B" w:rsidRDefault="007277B9" w:rsidP="00224FCE">
      <w:pPr>
        <w:keepNext/>
        <w:spacing w:after="240"/>
        <w:rPr>
          <w:u w:val="single"/>
        </w:rPr>
      </w:pPr>
      <w:r>
        <w:rPr>
          <w:u w:val="single"/>
        </w:rPr>
        <w:t>Durabilité du projet pilote et évaluation des risques</w:t>
      </w:r>
    </w:p>
    <w:p w14:paraId="350997C5" w14:textId="7040AAFB" w:rsidR="00D40E93" w:rsidRPr="004169EB" w:rsidRDefault="00AF4857" w:rsidP="00224FCE">
      <w:pPr>
        <w:pStyle w:val="Heading1"/>
        <w:keepNext/>
        <w:numPr>
          <w:ilvl w:val="0"/>
          <w:numId w:val="24"/>
        </w:numPr>
      </w:pPr>
      <w:r>
        <w:t xml:space="preserve">La république de la Macédoine du Nord a établi des MEPS obligatoires avec un appui réglementaire. Le projet pilote proposé comprend un volet sur la mise en application durable des MEPS. La mise en œuvre des MEPS améliorera l’efficacité énergétique des équipements de réfrigération et de climatisation </w:t>
      </w:r>
      <w:r>
        <w:rPr>
          <w:color w:val="000000" w:themeColor="text1"/>
        </w:rPr>
        <w:t xml:space="preserve">et réduira les émissions de frigorigènes par la réduction des fuites, ce qui entraînera des avantages pour le climat. La sensibilisation des principales parties prenantes encouragera la collaboration, favorisera les mesures communes pour la mise en œuvre des MEPS et mobilisera le public général pour </w:t>
      </w:r>
      <w:r>
        <w:rPr>
          <w:color w:val="000000" w:themeColor="text1"/>
        </w:rPr>
        <w:lastRenderedPageBreak/>
        <w:t>appuyer l’adoption d’équipements de réfrigération et de climatisation écoénergétiques. L’introduction des systèmes de détection des fuites dans les équipements fixes de réfrigération et de climatisation devrait faciliter la détection des fuites de frigorigènes et assurer la surveillance continue de la performance ainsi que l’amélioration de l’efficacité énergétique des équipement</w:t>
      </w:r>
      <w:r w:rsidR="00DD0D5E">
        <w:rPr>
          <w:color w:val="000000" w:themeColor="text1"/>
        </w:rPr>
        <w:t>s</w:t>
      </w:r>
      <w:r>
        <w:rPr>
          <w:color w:val="000000" w:themeColor="text1"/>
        </w:rPr>
        <w:t xml:space="preserve"> de réfrigération et de climatisation, entraînant une amélioration durable de l’efficacité énergétique. Le risque relatif à la durabilité réside dans le manque d’intérêt des techniciens en entretien à participer aux activités du projet; cette question sera abordée grâce à une campagne de sensibilisation du public, à des activités de formation couvrant les systèmes de détection des fuites, à la communication continue avec les parties prenantes concernées et à la diffusion des informations sur les avantages des pratiques d’entretien améliorées. </w:t>
      </w:r>
    </w:p>
    <w:p w14:paraId="6F9179A0" w14:textId="4AE68C10" w:rsidR="007277B9" w:rsidRPr="00EA656B" w:rsidRDefault="007277B9" w:rsidP="007277B9">
      <w:pPr>
        <w:keepNext/>
        <w:spacing w:after="240"/>
        <w:rPr>
          <w:b/>
          <w:bCs/>
        </w:rPr>
      </w:pPr>
      <w:r>
        <w:rPr>
          <w:b/>
          <w:bCs/>
        </w:rPr>
        <w:t>Recommandation</w:t>
      </w:r>
    </w:p>
    <w:p w14:paraId="3AF3E836" w14:textId="6745844B" w:rsidR="007277B9" w:rsidRPr="00EA656B" w:rsidRDefault="007277B9" w:rsidP="007277B9">
      <w:pPr>
        <w:pStyle w:val="Heading1"/>
        <w:numPr>
          <w:ilvl w:val="0"/>
          <w:numId w:val="24"/>
        </w:numPr>
      </w:pPr>
      <w:r>
        <w:t>Le Comité exécutif pourrait envisager d’approuver le projet pilote visant à maintenir ou à améliorer l’efficacité énergétique des technologies et équipements de remplacement aux fins de réduction progressive des HFC (activités ne portant pas sur des investissements) pour la Macédoine du Nord, pour un montant de 241 000 </w:t>
      </w:r>
      <w:r w:rsidR="00A63E99">
        <w:t>$US</w:t>
      </w:r>
      <w:r>
        <w:t>, plus des coûts d’appui d’agence de 21 690 </w:t>
      </w:r>
      <w:r w:rsidR="00A63E99">
        <w:t>$US</w:t>
      </w:r>
      <w:r>
        <w:t>, pour l’ONUDI, faisant remarquer :</w:t>
      </w:r>
    </w:p>
    <w:p w14:paraId="1558618A" w14:textId="746F4B4E" w:rsidR="00EF4FD4" w:rsidRPr="00EA656B" w:rsidRDefault="007277B9" w:rsidP="007A3640">
      <w:pPr>
        <w:pStyle w:val="Heading2"/>
        <w:numPr>
          <w:ilvl w:val="1"/>
          <w:numId w:val="24"/>
        </w:numPr>
        <w:rPr>
          <w:sz w:val="24"/>
          <w:szCs w:val="24"/>
        </w:rPr>
      </w:pPr>
      <w:r>
        <w:t>Que le gouvernement de la Macédoine du Nord s’est engagé selon les conditions énoncées dans la décision 91/65(b)</w:t>
      </w:r>
      <w:proofErr w:type="gramStart"/>
      <w:r>
        <w:t>iv)b.</w:t>
      </w:r>
      <w:proofErr w:type="gramEnd"/>
      <w:r>
        <w:t xml:space="preserve"> à </w:t>
      </w:r>
      <w:proofErr w:type="gramStart"/>
      <w:r>
        <w:t>b</w:t>
      </w:r>
      <w:r w:rsidR="00033F77">
        <w:t>)</w:t>
      </w:r>
      <w:r>
        <w:t>iv</w:t>
      </w:r>
      <w:proofErr w:type="gramEnd"/>
      <w:r>
        <w:t>)d.;</w:t>
      </w:r>
    </w:p>
    <w:p w14:paraId="01FD3DF0" w14:textId="519EE118" w:rsidR="00EF4FD4" w:rsidRPr="00EA656B" w:rsidRDefault="007277B9" w:rsidP="007A3640">
      <w:pPr>
        <w:pStyle w:val="Heading2"/>
        <w:keepNext/>
        <w:numPr>
          <w:ilvl w:val="1"/>
          <w:numId w:val="24"/>
        </w:numPr>
        <w:rPr>
          <w:u w:val="single"/>
        </w:rPr>
      </w:pPr>
      <w:r>
        <w:t xml:space="preserve">Que le projet </w:t>
      </w:r>
      <w:proofErr w:type="gramStart"/>
      <w:r>
        <w:t>sera</w:t>
      </w:r>
      <w:proofErr w:type="gramEnd"/>
      <w:r>
        <w:t xml:space="preserve"> achevé sur le plan opérationnel au plus tard en août 2026 et qu’un rapport de projet détaillé sera présenté au Comité exécutif dans les six mois suivant la date d’achèvement du projet.</w:t>
      </w:r>
      <w:r>
        <w:rPr>
          <w:sz w:val="24"/>
          <w:szCs w:val="24"/>
        </w:rPr>
        <w:t xml:space="preserve"> </w:t>
      </w:r>
    </w:p>
    <w:p w14:paraId="6620E77A" w14:textId="77777777" w:rsidR="00EA598B" w:rsidRPr="00EA656B" w:rsidRDefault="00EA598B" w:rsidP="00EA598B"/>
    <w:p w14:paraId="1ECA829D" w14:textId="77777777" w:rsidR="002914E3" w:rsidRPr="00EA656B" w:rsidRDefault="002914E3"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EA656B" w14:paraId="401D8819" w14:textId="77777777" w:rsidTr="00470683">
        <w:tc>
          <w:tcPr>
            <w:tcW w:w="1871" w:type="dxa"/>
          </w:tcPr>
          <w:p w14:paraId="175D1DDF" w14:textId="77777777" w:rsidR="00EA598B" w:rsidRPr="00EA656B" w:rsidRDefault="00EA598B" w:rsidP="00470683"/>
        </w:tc>
        <w:tc>
          <w:tcPr>
            <w:tcW w:w="1872" w:type="dxa"/>
          </w:tcPr>
          <w:p w14:paraId="6A4FB2B9" w14:textId="77777777" w:rsidR="00EA598B" w:rsidRPr="00EA656B" w:rsidRDefault="00EA598B" w:rsidP="00470683"/>
        </w:tc>
        <w:tc>
          <w:tcPr>
            <w:tcW w:w="1872" w:type="dxa"/>
            <w:tcBorders>
              <w:bottom w:val="single" w:sz="4" w:space="0" w:color="auto"/>
            </w:tcBorders>
          </w:tcPr>
          <w:p w14:paraId="0E8864B0" w14:textId="77777777" w:rsidR="00EA598B" w:rsidRPr="00EA656B" w:rsidRDefault="00EA598B" w:rsidP="00470683"/>
        </w:tc>
        <w:tc>
          <w:tcPr>
            <w:tcW w:w="1872" w:type="dxa"/>
          </w:tcPr>
          <w:p w14:paraId="218B629F" w14:textId="77777777" w:rsidR="00EA598B" w:rsidRPr="00EA656B" w:rsidRDefault="00EA598B" w:rsidP="00470683"/>
        </w:tc>
        <w:tc>
          <w:tcPr>
            <w:tcW w:w="1873" w:type="dxa"/>
          </w:tcPr>
          <w:p w14:paraId="7B532774" w14:textId="77777777" w:rsidR="00EA598B" w:rsidRPr="00EA656B" w:rsidRDefault="00EA598B" w:rsidP="00470683"/>
        </w:tc>
      </w:tr>
    </w:tbl>
    <w:p w14:paraId="47FB03C5" w14:textId="77777777" w:rsidR="00EA598B" w:rsidRPr="00EA656B" w:rsidRDefault="00EA598B" w:rsidP="00EA598B">
      <w:pPr>
        <w:jc w:val="left"/>
      </w:pPr>
    </w:p>
    <w:sectPr w:rsidR="00EA598B" w:rsidRPr="00EA656B"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F8C3B" w14:textId="77777777" w:rsidR="00286C90" w:rsidRDefault="00286C90" w:rsidP="004A504B">
      <w:r>
        <w:separator/>
      </w:r>
    </w:p>
  </w:endnote>
  <w:endnote w:type="continuationSeparator" w:id="0">
    <w:p w14:paraId="4FE2DE33" w14:textId="77777777" w:rsidR="00286C90" w:rsidRDefault="00286C90" w:rsidP="004A504B">
      <w:r>
        <w:continuationSeparator/>
      </w:r>
    </w:p>
  </w:endnote>
  <w:endnote w:type="continuationNotice" w:id="1">
    <w:p w14:paraId="56552FAA" w14:textId="77777777" w:rsidR="00286C90" w:rsidRDefault="00286C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F7F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31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9387F" w14:textId="77777777" w:rsidR="002063D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Montréal </w:t>
    </w:r>
  </w:p>
  <w:p w14:paraId="4769C31D" w14:textId="47AFCAF0"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roofErr w:type="gramStart"/>
    <w:r>
      <w:rPr>
        <w:sz w:val="18"/>
        <w:szCs w:val="18"/>
      </w:rPr>
      <w:t>sont</w:t>
    </w:r>
    <w:proofErr w:type="gramEnd"/>
    <w:r>
      <w:rPr>
        <w:sz w:val="18"/>
        <w:szCs w:val="18"/>
      </w:rPr>
      <w:t xml:space="preserve"> présentés sous réserve des décisions pouvant être prises par le Comité exécutif après leur publication.</w:t>
    </w:r>
  </w:p>
  <w:p w14:paraId="3F6F080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7057E" w14:textId="77777777" w:rsidR="00286C90" w:rsidRDefault="00286C90" w:rsidP="004A504B">
      <w:r>
        <w:separator/>
      </w:r>
    </w:p>
  </w:footnote>
  <w:footnote w:type="continuationSeparator" w:id="0">
    <w:p w14:paraId="1E589B40" w14:textId="77777777" w:rsidR="00286C90" w:rsidRDefault="00286C90" w:rsidP="004A504B">
      <w:r>
        <w:continuationSeparator/>
      </w:r>
    </w:p>
  </w:footnote>
  <w:footnote w:type="continuationNotice" w:id="1">
    <w:p w14:paraId="243E463F" w14:textId="77777777" w:rsidR="00286C90" w:rsidRDefault="00286C90"/>
  </w:footnote>
  <w:footnote w:id="2">
    <w:p w14:paraId="516DC6D3" w14:textId="77777777" w:rsidR="005C49AC" w:rsidRPr="00077F8C" w:rsidRDefault="005C49AC" w:rsidP="00EB003B">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3">
    <w:p w14:paraId="4FF39F43" w14:textId="15DED696" w:rsidR="00004E56" w:rsidRPr="00CC6240" w:rsidRDefault="00004E56" w:rsidP="00004E56">
      <w:pPr>
        <w:pStyle w:val="FootnoteText"/>
      </w:pPr>
      <w:r>
        <w:rPr>
          <w:rStyle w:val="FootnoteReference"/>
        </w:rPr>
        <w:footnoteRef/>
      </w:r>
      <w:r>
        <w:t xml:space="preserve"> Conformément à la lettre du 17 février 2025 adressée à l’ONUDI par le ministère de l’Environnement et de l’Aménagement du territoire de la république de la Macédoine du Nord.</w:t>
      </w:r>
    </w:p>
  </w:footnote>
  <w:footnote w:id="4">
    <w:p w14:paraId="034C9657" w14:textId="741832D9" w:rsidR="005D4645" w:rsidRPr="00260444" w:rsidRDefault="005D4645">
      <w:pPr>
        <w:pStyle w:val="FootnoteText"/>
        <w:rPr>
          <w:highlight w:val="yellow"/>
        </w:rPr>
      </w:pPr>
      <w:r>
        <w:rPr>
          <w:rStyle w:val="FootnoteReference"/>
        </w:rPr>
        <w:footnoteRef/>
      </w:r>
      <w:r>
        <w:t> Décision 93/71</w:t>
      </w:r>
    </w:p>
  </w:footnote>
  <w:footnote w:id="5">
    <w:p w14:paraId="4019D6EE" w14:textId="05C8A857" w:rsidR="00717E62" w:rsidRPr="00DC5627" w:rsidRDefault="00717E62">
      <w:pPr>
        <w:pStyle w:val="FootnoteText"/>
      </w:pPr>
      <w:r>
        <w:rPr>
          <w:rStyle w:val="FootnoteReference"/>
        </w:rPr>
        <w:footnoteRef/>
      </w:r>
      <w:r>
        <w:t xml:space="preserve"> Un système de détection des fuites comprend des capteurs afin de détecter les fuites de frigorigènes dans l’équipement, des alarmes d’avertissement de fuites et des données de transmission vers le système de contrôle central.</w:t>
      </w:r>
      <w:r>
        <w:rPr>
          <w:color w:val="001D35"/>
          <w:shd w:val="clear" w:color="auto" w:fill="FFFFFF"/>
        </w:rPr>
        <w:t xml:space="preserve"> Les systèmes de détection des fuites offrent une surveillance continue des fuites afin d’identifier les fuites et d’alerter l’exploitant de façon opportune.</w:t>
      </w:r>
      <w:r>
        <w:rPr>
          <w:rFonts w:ascii="Arial" w:hAnsi="Arial"/>
          <w:color w:val="001D35"/>
          <w:sz w:val="27"/>
          <w:szCs w:val="27"/>
          <w:shd w:val="clear" w:color="auto" w:fill="FFFFFF"/>
        </w:rPr>
        <w:t xml:space="preserve"> </w:t>
      </w:r>
    </w:p>
  </w:footnote>
  <w:footnote w:id="6">
    <w:p w14:paraId="34F60E74" w14:textId="3028F372" w:rsidR="00D37FE4" w:rsidRPr="005E032F" w:rsidRDefault="00D37FE4">
      <w:pPr>
        <w:pStyle w:val="FootnoteText"/>
      </w:pPr>
      <w:r>
        <w:rPr>
          <w:rStyle w:val="FootnoteReference"/>
        </w:rPr>
        <w:footnoteRef/>
      </w:r>
      <w:r>
        <w:t xml:space="preserve"> UNEP/</w:t>
      </w:r>
      <w:proofErr w:type="spellStart"/>
      <w:r>
        <w:t>OzL.Pro</w:t>
      </w:r>
      <w:proofErr w:type="spellEnd"/>
      <w:r>
        <w:t>/</w:t>
      </w:r>
      <w:proofErr w:type="spellStart"/>
      <w:r>
        <w:t>ExCom</w:t>
      </w:r>
      <w:proofErr w:type="spellEnd"/>
      <w:r>
        <w:t>/96/22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4953" w14:textId="491BAF11" w:rsidR="00DC6A10" w:rsidRPr="0033525D" w:rsidRDefault="001200D5">
    <w:r>
      <w:fldChar w:fldCharType="begin"/>
    </w:r>
    <w:r>
      <w:instrText xml:space="preserve"> DOCPROPERTY "Document number"  \* MERGEFORMAT </w:instrText>
    </w:r>
    <w:r>
      <w:fldChar w:fldCharType="separate"/>
    </w:r>
    <w:r w:rsidR="00A63E99">
      <w:t>UNEP/</w:t>
    </w:r>
    <w:proofErr w:type="spellStart"/>
    <w:r w:rsidR="00A63E99">
      <w:t>OzL.Pro</w:t>
    </w:r>
    <w:proofErr w:type="spellEnd"/>
    <w:r w:rsidR="00A63E99">
      <w:t>/</w:t>
    </w:r>
    <w:proofErr w:type="spellStart"/>
    <w:r w:rsidR="00A63E99">
      <w:t>ExCom</w:t>
    </w:r>
    <w:proofErr w:type="spellEnd"/>
    <w:r w:rsidR="00A63E99">
      <w:t>/96/49</w:t>
    </w:r>
    <w:r>
      <w:fldChar w:fldCharType="end"/>
    </w:r>
  </w:p>
  <w:p w14:paraId="03DCE2ED" w14:textId="77777777" w:rsidR="00DC6A10" w:rsidRPr="0033525D" w:rsidRDefault="00DC6A10"/>
  <w:p w14:paraId="4BFA559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7663" w14:textId="03C558E1" w:rsidR="00DC6A10" w:rsidRPr="0033525D" w:rsidRDefault="001200D5">
    <w:pPr>
      <w:jc w:val="right"/>
    </w:pPr>
    <w:r>
      <w:fldChar w:fldCharType="begin"/>
    </w:r>
    <w:r>
      <w:instrText xml:space="preserve"> DOCPROPERTY "Document number"  \* MERGEFORMAT </w:instrText>
    </w:r>
    <w:r>
      <w:fldChar w:fldCharType="separate"/>
    </w:r>
    <w:r w:rsidR="00A63E99">
      <w:t>UNEP/</w:t>
    </w:r>
    <w:proofErr w:type="spellStart"/>
    <w:r w:rsidR="00A63E99">
      <w:t>OzL.Pro</w:t>
    </w:r>
    <w:proofErr w:type="spellEnd"/>
    <w:r w:rsidR="00A63E99">
      <w:t>/</w:t>
    </w:r>
    <w:proofErr w:type="spellStart"/>
    <w:r w:rsidR="00A63E99">
      <w:t>ExCom</w:t>
    </w:r>
    <w:proofErr w:type="spellEnd"/>
    <w:r w:rsidR="00A63E99">
      <w:t>/96/49</w:t>
    </w:r>
    <w:r>
      <w:fldChar w:fldCharType="end"/>
    </w:r>
  </w:p>
  <w:p w14:paraId="340D966C" w14:textId="77777777" w:rsidR="00DC6A10" w:rsidRPr="0033525D" w:rsidRDefault="00DC6A10" w:rsidP="008A0CA7">
    <w:pPr>
      <w:jc w:val="right"/>
    </w:pPr>
  </w:p>
  <w:p w14:paraId="08507AA4"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AB4394"/>
    <w:multiLevelType w:val="hybridMultilevel"/>
    <w:tmpl w:val="823CCE5C"/>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00B3FCD"/>
    <w:multiLevelType w:val="multilevel"/>
    <w:tmpl w:val="97984CE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9735828">
    <w:abstractNumId w:val="10"/>
  </w:num>
  <w:num w:numId="2" w16cid:durableId="1566917060">
    <w:abstractNumId w:val="10"/>
  </w:num>
  <w:num w:numId="3" w16cid:durableId="950432184">
    <w:abstractNumId w:val="10"/>
  </w:num>
  <w:num w:numId="4" w16cid:durableId="165168788">
    <w:abstractNumId w:val="10"/>
  </w:num>
  <w:num w:numId="5" w16cid:durableId="992680466">
    <w:abstractNumId w:val="10"/>
  </w:num>
  <w:num w:numId="6" w16cid:durableId="39742609">
    <w:abstractNumId w:val="9"/>
  </w:num>
  <w:num w:numId="7" w16cid:durableId="142088213">
    <w:abstractNumId w:val="7"/>
  </w:num>
  <w:num w:numId="8" w16cid:durableId="1693385018">
    <w:abstractNumId w:val="6"/>
  </w:num>
  <w:num w:numId="9" w16cid:durableId="1030834957">
    <w:abstractNumId w:val="5"/>
  </w:num>
  <w:num w:numId="10" w16cid:durableId="1621647567">
    <w:abstractNumId w:val="4"/>
  </w:num>
  <w:num w:numId="11" w16cid:durableId="1215585894">
    <w:abstractNumId w:val="8"/>
  </w:num>
  <w:num w:numId="12" w16cid:durableId="169103200">
    <w:abstractNumId w:val="3"/>
  </w:num>
  <w:num w:numId="13" w16cid:durableId="1297877225">
    <w:abstractNumId w:val="2"/>
  </w:num>
  <w:num w:numId="14" w16cid:durableId="134029967">
    <w:abstractNumId w:val="1"/>
  </w:num>
  <w:num w:numId="15" w16cid:durableId="607665354">
    <w:abstractNumId w:val="0"/>
  </w:num>
  <w:num w:numId="16" w16cid:durableId="828448913">
    <w:abstractNumId w:val="12"/>
  </w:num>
  <w:num w:numId="17" w16cid:durableId="1842233365">
    <w:abstractNumId w:val="16"/>
  </w:num>
  <w:num w:numId="18" w16cid:durableId="1706832520">
    <w:abstractNumId w:val="17"/>
  </w:num>
  <w:num w:numId="19" w16cid:durableId="1203327174">
    <w:abstractNumId w:val="20"/>
  </w:num>
  <w:num w:numId="20" w16cid:durableId="190723073">
    <w:abstractNumId w:val="13"/>
  </w:num>
  <w:num w:numId="21" w16cid:durableId="1291522423">
    <w:abstractNumId w:val="15"/>
  </w:num>
  <w:num w:numId="22" w16cid:durableId="1904369797">
    <w:abstractNumId w:val="18"/>
  </w:num>
  <w:num w:numId="23" w16cid:durableId="1581717810">
    <w:abstractNumId w:val="14"/>
  </w:num>
  <w:num w:numId="24" w16cid:durableId="1617324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4467916">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1944116">
    <w:abstractNumId w:val="10"/>
  </w:num>
  <w:num w:numId="27" w16cid:durableId="286354568">
    <w:abstractNumId w:val="10"/>
  </w:num>
  <w:num w:numId="28" w16cid:durableId="83571942">
    <w:abstractNumId w:val="10"/>
  </w:num>
  <w:num w:numId="29" w16cid:durableId="485510779">
    <w:abstractNumId w:val="10"/>
  </w:num>
  <w:num w:numId="30" w16cid:durableId="363286212">
    <w:abstractNumId w:val="10"/>
  </w:num>
  <w:num w:numId="31" w16cid:durableId="1969120037">
    <w:abstractNumId w:val="10"/>
  </w:num>
  <w:num w:numId="32" w16cid:durableId="1551569459">
    <w:abstractNumId w:val="19"/>
  </w:num>
  <w:num w:numId="33" w16cid:durableId="945120149">
    <w:abstractNumId w:val="11"/>
  </w:num>
  <w:num w:numId="34" w16cid:durableId="1363944600">
    <w:abstractNumId w:val="10"/>
  </w:num>
  <w:num w:numId="35" w16cid:durableId="987783922">
    <w:abstractNumId w:val="10"/>
  </w:num>
  <w:num w:numId="36" w16cid:durableId="16441949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03467"/>
    <w:rsid w:val="00000FED"/>
    <w:rsid w:val="0000434E"/>
    <w:rsid w:val="00004B58"/>
    <w:rsid w:val="00004E56"/>
    <w:rsid w:val="0001234B"/>
    <w:rsid w:val="00012CFA"/>
    <w:rsid w:val="0001346C"/>
    <w:rsid w:val="0001571C"/>
    <w:rsid w:val="0001731A"/>
    <w:rsid w:val="000211A9"/>
    <w:rsid w:val="00021238"/>
    <w:rsid w:val="000216AC"/>
    <w:rsid w:val="00022071"/>
    <w:rsid w:val="00023A6E"/>
    <w:rsid w:val="000240F9"/>
    <w:rsid w:val="0002417C"/>
    <w:rsid w:val="0002502C"/>
    <w:rsid w:val="00025EC2"/>
    <w:rsid w:val="000273B4"/>
    <w:rsid w:val="000279BE"/>
    <w:rsid w:val="00030DC6"/>
    <w:rsid w:val="00031260"/>
    <w:rsid w:val="000313D9"/>
    <w:rsid w:val="00033326"/>
    <w:rsid w:val="00033F77"/>
    <w:rsid w:val="00034C6D"/>
    <w:rsid w:val="00035F83"/>
    <w:rsid w:val="0003681A"/>
    <w:rsid w:val="000372B7"/>
    <w:rsid w:val="00041117"/>
    <w:rsid w:val="00042018"/>
    <w:rsid w:val="00042193"/>
    <w:rsid w:val="00045555"/>
    <w:rsid w:val="00046AA4"/>
    <w:rsid w:val="00050F6E"/>
    <w:rsid w:val="000517D2"/>
    <w:rsid w:val="000525D5"/>
    <w:rsid w:val="00056946"/>
    <w:rsid w:val="0005798C"/>
    <w:rsid w:val="00061BFC"/>
    <w:rsid w:val="00061EC2"/>
    <w:rsid w:val="0006409A"/>
    <w:rsid w:val="00064542"/>
    <w:rsid w:val="0006474E"/>
    <w:rsid w:val="00066CE8"/>
    <w:rsid w:val="00072A6B"/>
    <w:rsid w:val="00072EE7"/>
    <w:rsid w:val="000731F7"/>
    <w:rsid w:val="00074A1E"/>
    <w:rsid w:val="00074F02"/>
    <w:rsid w:val="00075D92"/>
    <w:rsid w:val="00076843"/>
    <w:rsid w:val="00077F8C"/>
    <w:rsid w:val="000806E8"/>
    <w:rsid w:val="00080B05"/>
    <w:rsid w:val="00080ED0"/>
    <w:rsid w:val="00085B8F"/>
    <w:rsid w:val="00090481"/>
    <w:rsid w:val="00090509"/>
    <w:rsid w:val="00092522"/>
    <w:rsid w:val="000965F7"/>
    <w:rsid w:val="0009733F"/>
    <w:rsid w:val="000974C2"/>
    <w:rsid w:val="000A15D5"/>
    <w:rsid w:val="000A3826"/>
    <w:rsid w:val="000A683E"/>
    <w:rsid w:val="000A6C26"/>
    <w:rsid w:val="000B1131"/>
    <w:rsid w:val="000B1AB9"/>
    <w:rsid w:val="000B2B01"/>
    <w:rsid w:val="000B36C8"/>
    <w:rsid w:val="000B6C89"/>
    <w:rsid w:val="000B7959"/>
    <w:rsid w:val="000C014B"/>
    <w:rsid w:val="000C12C4"/>
    <w:rsid w:val="000C1FE8"/>
    <w:rsid w:val="000C3930"/>
    <w:rsid w:val="000C478C"/>
    <w:rsid w:val="000C6873"/>
    <w:rsid w:val="000C7DD8"/>
    <w:rsid w:val="000D01A1"/>
    <w:rsid w:val="000D0A25"/>
    <w:rsid w:val="000D2BDD"/>
    <w:rsid w:val="000D2BF2"/>
    <w:rsid w:val="000D52A4"/>
    <w:rsid w:val="000D60E6"/>
    <w:rsid w:val="000D65A2"/>
    <w:rsid w:val="000E0192"/>
    <w:rsid w:val="000E07BC"/>
    <w:rsid w:val="000E2E21"/>
    <w:rsid w:val="000E59D7"/>
    <w:rsid w:val="000E621C"/>
    <w:rsid w:val="000E7643"/>
    <w:rsid w:val="000F0190"/>
    <w:rsid w:val="000F05CD"/>
    <w:rsid w:val="000F1CD4"/>
    <w:rsid w:val="000F27CE"/>
    <w:rsid w:val="000F3DF8"/>
    <w:rsid w:val="000F4103"/>
    <w:rsid w:val="000F70A7"/>
    <w:rsid w:val="00102459"/>
    <w:rsid w:val="00103467"/>
    <w:rsid w:val="00105517"/>
    <w:rsid w:val="00110E71"/>
    <w:rsid w:val="00113B45"/>
    <w:rsid w:val="00113CCA"/>
    <w:rsid w:val="00114C02"/>
    <w:rsid w:val="0011518D"/>
    <w:rsid w:val="00116A81"/>
    <w:rsid w:val="001171B4"/>
    <w:rsid w:val="00117790"/>
    <w:rsid w:val="001200D5"/>
    <w:rsid w:val="00122D86"/>
    <w:rsid w:val="00122F25"/>
    <w:rsid w:val="001253B3"/>
    <w:rsid w:val="00131168"/>
    <w:rsid w:val="001319CE"/>
    <w:rsid w:val="00134D31"/>
    <w:rsid w:val="00135980"/>
    <w:rsid w:val="0013690A"/>
    <w:rsid w:val="0013786F"/>
    <w:rsid w:val="00141EC9"/>
    <w:rsid w:val="00142E0E"/>
    <w:rsid w:val="001446A9"/>
    <w:rsid w:val="0014693A"/>
    <w:rsid w:val="001471DC"/>
    <w:rsid w:val="00147595"/>
    <w:rsid w:val="0015169F"/>
    <w:rsid w:val="00153701"/>
    <w:rsid w:val="0015376C"/>
    <w:rsid w:val="001540D5"/>
    <w:rsid w:val="00154788"/>
    <w:rsid w:val="00156329"/>
    <w:rsid w:val="001566FF"/>
    <w:rsid w:val="00157783"/>
    <w:rsid w:val="001610E3"/>
    <w:rsid w:val="00161FE7"/>
    <w:rsid w:val="00164719"/>
    <w:rsid w:val="0016574A"/>
    <w:rsid w:val="00166FC4"/>
    <w:rsid w:val="001677AC"/>
    <w:rsid w:val="00171A33"/>
    <w:rsid w:val="00174DAB"/>
    <w:rsid w:val="00175B44"/>
    <w:rsid w:val="00177217"/>
    <w:rsid w:val="00177CE8"/>
    <w:rsid w:val="001802FA"/>
    <w:rsid w:val="001804EA"/>
    <w:rsid w:val="0018081E"/>
    <w:rsid w:val="0018228B"/>
    <w:rsid w:val="001839E2"/>
    <w:rsid w:val="001842B0"/>
    <w:rsid w:val="00186741"/>
    <w:rsid w:val="00186ACF"/>
    <w:rsid w:val="001907C1"/>
    <w:rsid w:val="00190A61"/>
    <w:rsid w:val="001918BC"/>
    <w:rsid w:val="001921C5"/>
    <w:rsid w:val="00192371"/>
    <w:rsid w:val="0019287B"/>
    <w:rsid w:val="00195122"/>
    <w:rsid w:val="001955DB"/>
    <w:rsid w:val="0019576D"/>
    <w:rsid w:val="001962F0"/>
    <w:rsid w:val="00197179"/>
    <w:rsid w:val="001A1BAD"/>
    <w:rsid w:val="001A2215"/>
    <w:rsid w:val="001A3342"/>
    <w:rsid w:val="001A3E3D"/>
    <w:rsid w:val="001A4688"/>
    <w:rsid w:val="001A5C09"/>
    <w:rsid w:val="001A6191"/>
    <w:rsid w:val="001A6DDB"/>
    <w:rsid w:val="001A6DEA"/>
    <w:rsid w:val="001A7049"/>
    <w:rsid w:val="001A74CA"/>
    <w:rsid w:val="001B135E"/>
    <w:rsid w:val="001B1E40"/>
    <w:rsid w:val="001B23CD"/>
    <w:rsid w:val="001B36F5"/>
    <w:rsid w:val="001B3DAF"/>
    <w:rsid w:val="001B4E10"/>
    <w:rsid w:val="001B79EB"/>
    <w:rsid w:val="001C62AE"/>
    <w:rsid w:val="001C6EB1"/>
    <w:rsid w:val="001C764E"/>
    <w:rsid w:val="001D4861"/>
    <w:rsid w:val="001D678A"/>
    <w:rsid w:val="001D7E97"/>
    <w:rsid w:val="001E0D25"/>
    <w:rsid w:val="001E1052"/>
    <w:rsid w:val="001E10B1"/>
    <w:rsid w:val="001E12DB"/>
    <w:rsid w:val="001E1DD4"/>
    <w:rsid w:val="001E1FF6"/>
    <w:rsid w:val="001E21B1"/>
    <w:rsid w:val="001E2F93"/>
    <w:rsid w:val="001E361B"/>
    <w:rsid w:val="001E4554"/>
    <w:rsid w:val="001E4856"/>
    <w:rsid w:val="001E4BF8"/>
    <w:rsid w:val="001E61E5"/>
    <w:rsid w:val="001F01A2"/>
    <w:rsid w:val="001F0862"/>
    <w:rsid w:val="001F2159"/>
    <w:rsid w:val="001F3B40"/>
    <w:rsid w:val="001F4AB8"/>
    <w:rsid w:val="001F53FD"/>
    <w:rsid w:val="0020096A"/>
    <w:rsid w:val="00203C10"/>
    <w:rsid w:val="0020628F"/>
    <w:rsid w:val="002063DC"/>
    <w:rsid w:val="00207A8E"/>
    <w:rsid w:val="00210B8B"/>
    <w:rsid w:val="00212824"/>
    <w:rsid w:val="00212B71"/>
    <w:rsid w:val="00212B8F"/>
    <w:rsid w:val="00213787"/>
    <w:rsid w:val="00214863"/>
    <w:rsid w:val="002156B4"/>
    <w:rsid w:val="00215954"/>
    <w:rsid w:val="00220116"/>
    <w:rsid w:val="002204B7"/>
    <w:rsid w:val="00222D3C"/>
    <w:rsid w:val="002234F4"/>
    <w:rsid w:val="00223A5D"/>
    <w:rsid w:val="00224FCD"/>
    <w:rsid w:val="00224FCE"/>
    <w:rsid w:val="00225E5D"/>
    <w:rsid w:val="0023018E"/>
    <w:rsid w:val="002314DC"/>
    <w:rsid w:val="00232BCC"/>
    <w:rsid w:val="00235732"/>
    <w:rsid w:val="002363DE"/>
    <w:rsid w:val="002371FE"/>
    <w:rsid w:val="002454B2"/>
    <w:rsid w:val="0024670D"/>
    <w:rsid w:val="00247A07"/>
    <w:rsid w:val="00247EAE"/>
    <w:rsid w:val="00253222"/>
    <w:rsid w:val="00253435"/>
    <w:rsid w:val="002536F2"/>
    <w:rsid w:val="00253766"/>
    <w:rsid w:val="002554E4"/>
    <w:rsid w:val="00256B20"/>
    <w:rsid w:val="00257231"/>
    <w:rsid w:val="0025730C"/>
    <w:rsid w:val="00260444"/>
    <w:rsid w:val="00260697"/>
    <w:rsid w:val="00261537"/>
    <w:rsid w:val="00261C13"/>
    <w:rsid w:val="002622AF"/>
    <w:rsid w:val="00262847"/>
    <w:rsid w:val="00262CFA"/>
    <w:rsid w:val="00263164"/>
    <w:rsid w:val="002653D4"/>
    <w:rsid w:val="00265745"/>
    <w:rsid w:val="00266031"/>
    <w:rsid w:val="0026754E"/>
    <w:rsid w:val="0026785D"/>
    <w:rsid w:val="00271CCC"/>
    <w:rsid w:val="00272D4D"/>
    <w:rsid w:val="002736D0"/>
    <w:rsid w:val="00273DA7"/>
    <w:rsid w:val="002742B8"/>
    <w:rsid w:val="00274660"/>
    <w:rsid w:val="00275DC4"/>
    <w:rsid w:val="00281BB2"/>
    <w:rsid w:val="0028245E"/>
    <w:rsid w:val="0028360E"/>
    <w:rsid w:val="0028581B"/>
    <w:rsid w:val="00285888"/>
    <w:rsid w:val="00286C90"/>
    <w:rsid w:val="0028712C"/>
    <w:rsid w:val="002874EC"/>
    <w:rsid w:val="00287BBF"/>
    <w:rsid w:val="002910F1"/>
    <w:rsid w:val="002914E3"/>
    <w:rsid w:val="0029180E"/>
    <w:rsid w:val="002932F4"/>
    <w:rsid w:val="00294932"/>
    <w:rsid w:val="00294FAC"/>
    <w:rsid w:val="002953EC"/>
    <w:rsid w:val="00295EC9"/>
    <w:rsid w:val="0029614C"/>
    <w:rsid w:val="002975F4"/>
    <w:rsid w:val="002A03C3"/>
    <w:rsid w:val="002A0D9B"/>
    <w:rsid w:val="002A100E"/>
    <w:rsid w:val="002A283B"/>
    <w:rsid w:val="002A345C"/>
    <w:rsid w:val="002A367C"/>
    <w:rsid w:val="002A6EC1"/>
    <w:rsid w:val="002A6FBF"/>
    <w:rsid w:val="002A7549"/>
    <w:rsid w:val="002A7BB0"/>
    <w:rsid w:val="002B1DC1"/>
    <w:rsid w:val="002B254E"/>
    <w:rsid w:val="002B2A38"/>
    <w:rsid w:val="002B45E2"/>
    <w:rsid w:val="002B4CE8"/>
    <w:rsid w:val="002B72E9"/>
    <w:rsid w:val="002C195C"/>
    <w:rsid w:val="002C3F43"/>
    <w:rsid w:val="002C4DF8"/>
    <w:rsid w:val="002C4E33"/>
    <w:rsid w:val="002C68EF"/>
    <w:rsid w:val="002C7998"/>
    <w:rsid w:val="002D0826"/>
    <w:rsid w:val="002D179A"/>
    <w:rsid w:val="002D2D53"/>
    <w:rsid w:val="002D40ED"/>
    <w:rsid w:val="002D4794"/>
    <w:rsid w:val="002D6D7E"/>
    <w:rsid w:val="002E07CF"/>
    <w:rsid w:val="002E4890"/>
    <w:rsid w:val="002E48A6"/>
    <w:rsid w:val="002F008E"/>
    <w:rsid w:val="002F1E53"/>
    <w:rsid w:val="002F2CAA"/>
    <w:rsid w:val="002F2E2F"/>
    <w:rsid w:val="002F2FC6"/>
    <w:rsid w:val="002F3A8F"/>
    <w:rsid w:val="002F7E02"/>
    <w:rsid w:val="0030052C"/>
    <w:rsid w:val="0030354E"/>
    <w:rsid w:val="00307C54"/>
    <w:rsid w:val="003115DC"/>
    <w:rsid w:val="00311795"/>
    <w:rsid w:val="00314849"/>
    <w:rsid w:val="00316667"/>
    <w:rsid w:val="003175D4"/>
    <w:rsid w:val="00320E8D"/>
    <w:rsid w:val="00321A60"/>
    <w:rsid w:val="00322088"/>
    <w:rsid w:val="003238B9"/>
    <w:rsid w:val="00326FC2"/>
    <w:rsid w:val="00327C78"/>
    <w:rsid w:val="0033006B"/>
    <w:rsid w:val="0033035A"/>
    <w:rsid w:val="003306E1"/>
    <w:rsid w:val="00330A5F"/>
    <w:rsid w:val="00331CA9"/>
    <w:rsid w:val="003320E4"/>
    <w:rsid w:val="00332578"/>
    <w:rsid w:val="00333038"/>
    <w:rsid w:val="003332BE"/>
    <w:rsid w:val="003338D3"/>
    <w:rsid w:val="003339F3"/>
    <w:rsid w:val="00333D50"/>
    <w:rsid w:val="00335068"/>
    <w:rsid w:val="0033525D"/>
    <w:rsid w:val="003365C6"/>
    <w:rsid w:val="003414F3"/>
    <w:rsid w:val="003518B3"/>
    <w:rsid w:val="0035613E"/>
    <w:rsid w:val="00356420"/>
    <w:rsid w:val="00360036"/>
    <w:rsid w:val="00360937"/>
    <w:rsid w:val="00363EE9"/>
    <w:rsid w:val="00365E32"/>
    <w:rsid w:val="00366518"/>
    <w:rsid w:val="00367996"/>
    <w:rsid w:val="003715E1"/>
    <w:rsid w:val="00372274"/>
    <w:rsid w:val="00372298"/>
    <w:rsid w:val="00373604"/>
    <w:rsid w:val="00373BC0"/>
    <w:rsid w:val="00374105"/>
    <w:rsid w:val="0037464B"/>
    <w:rsid w:val="00374A03"/>
    <w:rsid w:val="00376128"/>
    <w:rsid w:val="0037742E"/>
    <w:rsid w:val="00377D56"/>
    <w:rsid w:val="0038245A"/>
    <w:rsid w:val="0038286D"/>
    <w:rsid w:val="00383133"/>
    <w:rsid w:val="003840E6"/>
    <w:rsid w:val="00385B29"/>
    <w:rsid w:val="00385CFC"/>
    <w:rsid w:val="003860FE"/>
    <w:rsid w:val="00386BBD"/>
    <w:rsid w:val="00386C9C"/>
    <w:rsid w:val="00387AB8"/>
    <w:rsid w:val="0039028C"/>
    <w:rsid w:val="003908AC"/>
    <w:rsid w:val="00392716"/>
    <w:rsid w:val="0039337A"/>
    <w:rsid w:val="0039486F"/>
    <w:rsid w:val="003951EC"/>
    <w:rsid w:val="003975CF"/>
    <w:rsid w:val="003A3189"/>
    <w:rsid w:val="003A3CA7"/>
    <w:rsid w:val="003A4A01"/>
    <w:rsid w:val="003A5E88"/>
    <w:rsid w:val="003A5F99"/>
    <w:rsid w:val="003B0616"/>
    <w:rsid w:val="003B1469"/>
    <w:rsid w:val="003B15CF"/>
    <w:rsid w:val="003B33BD"/>
    <w:rsid w:val="003B569D"/>
    <w:rsid w:val="003C026F"/>
    <w:rsid w:val="003C115B"/>
    <w:rsid w:val="003C152E"/>
    <w:rsid w:val="003C3C0E"/>
    <w:rsid w:val="003C6539"/>
    <w:rsid w:val="003C685C"/>
    <w:rsid w:val="003D086E"/>
    <w:rsid w:val="003D32BE"/>
    <w:rsid w:val="003D3A23"/>
    <w:rsid w:val="003D4262"/>
    <w:rsid w:val="003D42A6"/>
    <w:rsid w:val="003D4F21"/>
    <w:rsid w:val="003D4FAC"/>
    <w:rsid w:val="003D500E"/>
    <w:rsid w:val="003D53D9"/>
    <w:rsid w:val="003D6A68"/>
    <w:rsid w:val="003E01C7"/>
    <w:rsid w:val="003E053B"/>
    <w:rsid w:val="003E0D17"/>
    <w:rsid w:val="003E1885"/>
    <w:rsid w:val="003E3AD3"/>
    <w:rsid w:val="003E6704"/>
    <w:rsid w:val="003E77B4"/>
    <w:rsid w:val="003E7906"/>
    <w:rsid w:val="003E7F54"/>
    <w:rsid w:val="003F000F"/>
    <w:rsid w:val="003F0582"/>
    <w:rsid w:val="003F0A5A"/>
    <w:rsid w:val="003F0EB4"/>
    <w:rsid w:val="003F204D"/>
    <w:rsid w:val="003F29B9"/>
    <w:rsid w:val="003F3C50"/>
    <w:rsid w:val="003F4B43"/>
    <w:rsid w:val="003F6BDD"/>
    <w:rsid w:val="0040486A"/>
    <w:rsid w:val="00404AB3"/>
    <w:rsid w:val="0040535B"/>
    <w:rsid w:val="00406202"/>
    <w:rsid w:val="004069E2"/>
    <w:rsid w:val="00406A6A"/>
    <w:rsid w:val="00406B22"/>
    <w:rsid w:val="00407147"/>
    <w:rsid w:val="004078FA"/>
    <w:rsid w:val="00411C0B"/>
    <w:rsid w:val="004169EB"/>
    <w:rsid w:val="004171FD"/>
    <w:rsid w:val="00420B93"/>
    <w:rsid w:val="00422531"/>
    <w:rsid w:val="0042361E"/>
    <w:rsid w:val="00425C44"/>
    <w:rsid w:val="00425DCC"/>
    <w:rsid w:val="00430FC9"/>
    <w:rsid w:val="00431E08"/>
    <w:rsid w:val="004328A7"/>
    <w:rsid w:val="00434B76"/>
    <w:rsid w:val="00434C74"/>
    <w:rsid w:val="00435433"/>
    <w:rsid w:val="0043630C"/>
    <w:rsid w:val="00437D9C"/>
    <w:rsid w:val="00447EE1"/>
    <w:rsid w:val="00450534"/>
    <w:rsid w:val="004528A5"/>
    <w:rsid w:val="004543BD"/>
    <w:rsid w:val="00456EB4"/>
    <w:rsid w:val="00457827"/>
    <w:rsid w:val="004601C4"/>
    <w:rsid w:val="00460981"/>
    <w:rsid w:val="004644F3"/>
    <w:rsid w:val="0046462F"/>
    <w:rsid w:val="004649A2"/>
    <w:rsid w:val="00466288"/>
    <w:rsid w:val="00466E54"/>
    <w:rsid w:val="00471713"/>
    <w:rsid w:val="004717CA"/>
    <w:rsid w:val="004718F3"/>
    <w:rsid w:val="00472094"/>
    <w:rsid w:val="00472C65"/>
    <w:rsid w:val="00475040"/>
    <w:rsid w:val="00480690"/>
    <w:rsid w:val="00480E76"/>
    <w:rsid w:val="004818A0"/>
    <w:rsid w:val="00483489"/>
    <w:rsid w:val="004841E2"/>
    <w:rsid w:val="00485504"/>
    <w:rsid w:val="004902B8"/>
    <w:rsid w:val="004904E1"/>
    <w:rsid w:val="00490C06"/>
    <w:rsid w:val="0049182F"/>
    <w:rsid w:val="0049299D"/>
    <w:rsid w:val="00493D40"/>
    <w:rsid w:val="00493EE3"/>
    <w:rsid w:val="00495444"/>
    <w:rsid w:val="004956E1"/>
    <w:rsid w:val="00495969"/>
    <w:rsid w:val="004967B6"/>
    <w:rsid w:val="004A101B"/>
    <w:rsid w:val="004A1151"/>
    <w:rsid w:val="004A220E"/>
    <w:rsid w:val="004A314F"/>
    <w:rsid w:val="004A504B"/>
    <w:rsid w:val="004A6221"/>
    <w:rsid w:val="004A6911"/>
    <w:rsid w:val="004A6A80"/>
    <w:rsid w:val="004A7168"/>
    <w:rsid w:val="004B0A02"/>
    <w:rsid w:val="004B2F97"/>
    <w:rsid w:val="004B3652"/>
    <w:rsid w:val="004B3753"/>
    <w:rsid w:val="004B3B95"/>
    <w:rsid w:val="004B4327"/>
    <w:rsid w:val="004B4797"/>
    <w:rsid w:val="004B54E0"/>
    <w:rsid w:val="004B71E0"/>
    <w:rsid w:val="004B7384"/>
    <w:rsid w:val="004C4269"/>
    <w:rsid w:val="004D0152"/>
    <w:rsid w:val="004D3DB1"/>
    <w:rsid w:val="004D6236"/>
    <w:rsid w:val="004D6EFE"/>
    <w:rsid w:val="004D7DF5"/>
    <w:rsid w:val="004D7F90"/>
    <w:rsid w:val="004E2C1A"/>
    <w:rsid w:val="004E3AB9"/>
    <w:rsid w:val="004E43A7"/>
    <w:rsid w:val="004E441F"/>
    <w:rsid w:val="004E496D"/>
    <w:rsid w:val="004E4DBB"/>
    <w:rsid w:val="004E4E41"/>
    <w:rsid w:val="004E5343"/>
    <w:rsid w:val="004E73DB"/>
    <w:rsid w:val="004E7C96"/>
    <w:rsid w:val="004E7F9C"/>
    <w:rsid w:val="004F0904"/>
    <w:rsid w:val="004F0B8B"/>
    <w:rsid w:val="004F1D7B"/>
    <w:rsid w:val="004F3493"/>
    <w:rsid w:val="004F4115"/>
    <w:rsid w:val="004F50A4"/>
    <w:rsid w:val="004F5143"/>
    <w:rsid w:val="004F6277"/>
    <w:rsid w:val="00500828"/>
    <w:rsid w:val="00501544"/>
    <w:rsid w:val="00501627"/>
    <w:rsid w:val="0050462B"/>
    <w:rsid w:val="005053DE"/>
    <w:rsid w:val="005060C5"/>
    <w:rsid w:val="005060F9"/>
    <w:rsid w:val="005063A7"/>
    <w:rsid w:val="00506EF0"/>
    <w:rsid w:val="005077C4"/>
    <w:rsid w:val="005118C5"/>
    <w:rsid w:val="00512B09"/>
    <w:rsid w:val="00512EF6"/>
    <w:rsid w:val="00514408"/>
    <w:rsid w:val="0051458E"/>
    <w:rsid w:val="005145B4"/>
    <w:rsid w:val="005147A6"/>
    <w:rsid w:val="005158F5"/>
    <w:rsid w:val="00516E8A"/>
    <w:rsid w:val="005216F4"/>
    <w:rsid w:val="00521C91"/>
    <w:rsid w:val="005220ED"/>
    <w:rsid w:val="00522DD9"/>
    <w:rsid w:val="00523A1D"/>
    <w:rsid w:val="00523DFC"/>
    <w:rsid w:val="0052659D"/>
    <w:rsid w:val="00526E90"/>
    <w:rsid w:val="00527187"/>
    <w:rsid w:val="00527497"/>
    <w:rsid w:val="0053354A"/>
    <w:rsid w:val="00533796"/>
    <w:rsid w:val="00536025"/>
    <w:rsid w:val="00536BCB"/>
    <w:rsid w:val="00537187"/>
    <w:rsid w:val="005372B5"/>
    <w:rsid w:val="00537343"/>
    <w:rsid w:val="00537959"/>
    <w:rsid w:val="00542614"/>
    <w:rsid w:val="005431E6"/>
    <w:rsid w:val="00546AE4"/>
    <w:rsid w:val="00546EF7"/>
    <w:rsid w:val="005516F3"/>
    <w:rsid w:val="005556AA"/>
    <w:rsid w:val="00555D75"/>
    <w:rsid w:val="00555E27"/>
    <w:rsid w:val="005564E2"/>
    <w:rsid w:val="0055668E"/>
    <w:rsid w:val="00557C65"/>
    <w:rsid w:val="00560353"/>
    <w:rsid w:val="00560AE9"/>
    <w:rsid w:val="00560DF0"/>
    <w:rsid w:val="00563627"/>
    <w:rsid w:val="00564C66"/>
    <w:rsid w:val="00565407"/>
    <w:rsid w:val="00565D7C"/>
    <w:rsid w:val="0056759C"/>
    <w:rsid w:val="005709D4"/>
    <w:rsid w:val="0057121F"/>
    <w:rsid w:val="00571EC4"/>
    <w:rsid w:val="00572F0E"/>
    <w:rsid w:val="00573B40"/>
    <w:rsid w:val="00575028"/>
    <w:rsid w:val="0058153B"/>
    <w:rsid w:val="0059075C"/>
    <w:rsid w:val="00593915"/>
    <w:rsid w:val="0059513E"/>
    <w:rsid w:val="0059574E"/>
    <w:rsid w:val="00596F2F"/>
    <w:rsid w:val="005A1ADD"/>
    <w:rsid w:val="005A278C"/>
    <w:rsid w:val="005A310E"/>
    <w:rsid w:val="005A5C38"/>
    <w:rsid w:val="005A6AA4"/>
    <w:rsid w:val="005A6D9F"/>
    <w:rsid w:val="005B4377"/>
    <w:rsid w:val="005B48FF"/>
    <w:rsid w:val="005B4C90"/>
    <w:rsid w:val="005B4E6C"/>
    <w:rsid w:val="005B676D"/>
    <w:rsid w:val="005B7BA6"/>
    <w:rsid w:val="005C0389"/>
    <w:rsid w:val="005C1E32"/>
    <w:rsid w:val="005C3EFD"/>
    <w:rsid w:val="005C49AC"/>
    <w:rsid w:val="005C670D"/>
    <w:rsid w:val="005D0287"/>
    <w:rsid w:val="005D054B"/>
    <w:rsid w:val="005D1625"/>
    <w:rsid w:val="005D363F"/>
    <w:rsid w:val="005D4229"/>
    <w:rsid w:val="005D424A"/>
    <w:rsid w:val="005D4645"/>
    <w:rsid w:val="005E032F"/>
    <w:rsid w:val="005E1A28"/>
    <w:rsid w:val="005E1CEB"/>
    <w:rsid w:val="005E2ED3"/>
    <w:rsid w:val="005E4207"/>
    <w:rsid w:val="005E5B8A"/>
    <w:rsid w:val="005F0742"/>
    <w:rsid w:val="005F156C"/>
    <w:rsid w:val="005F689F"/>
    <w:rsid w:val="005F6A4A"/>
    <w:rsid w:val="005F6C41"/>
    <w:rsid w:val="006030DA"/>
    <w:rsid w:val="00603FF6"/>
    <w:rsid w:val="00604C15"/>
    <w:rsid w:val="00604C5C"/>
    <w:rsid w:val="00605AA7"/>
    <w:rsid w:val="00606E02"/>
    <w:rsid w:val="00607EDB"/>
    <w:rsid w:val="006158D5"/>
    <w:rsid w:val="00615F58"/>
    <w:rsid w:val="00621631"/>
    <w:rsid w:val="00621A8C"/>
    <w:rsid w:val="00622619"/>
    <w:rsid w:val="00622ACF"/>
    <w:rsid w:val="00625570"/>
    <w:rsid w:val="00625D83"/>
    <w:rsid w:val="00627840"/>
    <w:rsid w:val="00627BCB"/>
    <w:rsid w:val="006308CB"/>
    <w:rsid w:val="00636707"/>
    <w:rsid w:val="006407F3"/>
    <w:rsid w:val="006418F0"/>
    <w:rsid w:val="00641C08"/>
    <w:rsid w:val="00643064"/>
    <w:rsid w:val="00651984"/>
    <w:rsid w:val="006547A9"/>
    <w:rsid w:val="00654E4D"/>
    <w:rsid w:val="00654F8C"/>
    <w:rsid w:val="00656CB2"/>
    <w:rsid w:val="00656EAC"/>
    <w:rsid w:val="006623E7"/>
    <w:rsid w:val="00662B80"/>
    <w:rsid w:val="00663207"/>
    <w:rsid w:val="00663FAC"/>
    <w:rsid w:val="006645C4"/>
    <w:rsid w:val="00664708"/>
    <w:rsid w:val="00666BE6"/>
    <w:rsid w:val="0066768F"/>
    <w:rsid w:val="00667D5C"/>
    <w:rsid w:val="00667D80"/>
    <w:rsid w:val="00670F6C"/>
    <w:rsid w:val="00671D7A"/>
    <w:rsid w:val="00676E58"/>
    <w:rsid w:val="00677B3C"/>
    <w:rsid w:val="00677BF6"/>
    <w:rsid w:val="00683FDA"/>
    <w:rsid w:val="006852C7"/>
    <w:rsid w:val="006852CE"/>
    <w:rsid w:val="00685481"/>
    <w:rsid w:val="00690FC4"/>
    <w:rsid w:val="00692D14"/>
    <w:rsid w:val="00694E68"/>
    <w:rsid w:val="00696858"/>
    <w:rsid w:val="00697B10"/>
    <w:rsid w:val="006A2B93"/>
    <w:rsid w:val="006A37CA"/>
    <w:rsid w:val="006A38C8"/>
    <w:rsid w:val="006A72FA"/>
    <w:rsid w:val="006A7A3B"/>
    <w:rsid w:val="006A7FDC"/>
    <w:rsid w:val="006B2841"/>
    <w:rsid w:val="006B2C55"/>
    <w:rsid w:val="006B3E94"/>
    <w:rsid w:val="006B3EF8"/>
    <w:rsid w:val="006B4A11"/>
    <w:rsid w:val="006B65C7"/>
    <w:rsid w:val="006B6A0A"/>
    <w:rsid w:val="006B70CD"/>
    <w:rsid w:val="006C15D4"/>
    <w:rsid w:val="006C1727"/>
    <w:rsid w:val="006C32FD"/>
    <w:rsid w:val="006C39CE"/>
    <w:rsid w:val="006C3F97"/>
    <w:rsid w:val="006C43F6"/>
    <w:rsid w:val="006C76BD"/>
    <w:rsid w:val="006D01B3"/>
    <w:rsid w:val="006D0FCC"/>
    <w:rsid w:val="006D21F5"/>
    <w:rsid w:val="006D2DB1"/>
    <w:rsid w:val="006D3089"/>
    <w:rsid w:val="006D3D36"/>
    <w:rsid w:val="006D4D06"/>
    <w:rsid w:val="006D657C"/>
    <w:rsid w:val="006D7D29"/>
    <w:rsid w:val="006D7EB9"/>
    <w:rsid w:val="006E02F6"/>
    <w:rsid w:val="006E126D"/>
    <w:rsid w:val="006E1855"/>
    <w:rsid w:val="006E1FC3"/>
    <w:rsid w:val="006E4106"/>
    <w:rsid w:val="006E4A0C"/>
    <w:rsid w:val="006E4B01"/>
    <w:rsid w:val="006E6CBC"/>
    <w:rsid w:val="006E7DAC"/>
    <w:rsid w:val="006F454C"/>
    <w:rsid w:val="006F5F22"/>
    <w:rsid w:val="006F5FD4"/>
    <w:rsid w:val="0070073A"/>
    <w:rsid w:val="00700E64"/>
    <w:rsid w:val="00701122"/>
    <w:rsid w:val="007029B4"/>
    <w:rsid w:val="0070353B"/>
    <w:rsid w:val="00703DE5"/>
    <w:rsid w:val="00704301"/>
    <w:rsid w:val="00704CE9"/>
    <w:rsid w:val="007058B3"/>
    <w:rsid w:val="0070616B"/>
    <w:rsid w:val="00706295"/>
    <w:rsid w:val="00706891"/>
    <w:rsid w:val="00706C5E"/>
    <w:rsid w:val="00706FDA"/>
    <w:rsid w:val="00711516"/>
    <w:rsid w:val="00711F9A"/>
    <w:rsid w:val="00712CE9"/>
    <w:rsid w:val="00713810"/>
    <w:rsid w:val="00714E16"/>
    <w:rsid w:val="00717E62"/>
    <w:rsid w:val="007209BE"/>
    <w:rsid w:val="00720D4E"/>
    <w:rsid w:val="00723C03"/>
    <w:rsid w:val="0072543B"/>
    <w:rsid w:val="007259F4"/>
    <w:rsid w:val="007277B9"/>
    <w:rsid w:val="007303A5"/>
    <w:rsid w:val="00730B3E"/>
    <w:rsid w:val="00731609"/>
    <w:rsid w:val="00731F46"/>
    <w:rsid w:val="00732523"/>
    <w:rsid w:val="0073420B"/>
    <w:rsid w:val="00734224"/>
    <w:rsid w:val="00736367"/>
    <w:rsid w:val="00736387"/>
    <w:rsid w:val="00736978"/>
    <w:rsid w:val="007409B7"/>
    <w:rsid w:val="007430F8"/>
    <w:rsid w:val="00746AF7"/>
    <w:rsid w:val="0074760E"/>
    <w:rsid w:val="00752733"/>
    <w:rsid w:val="00753FEE"/>
    <w:rsid w:val="00754ABA"/>
    <w:rsid w:val="00756975"/>
    <w:rsid w:val="007601B8"/>
    <w:rsid w:val="0076039D"/>
    <w:rsid w:val="00760B51"/>
    <w:rsid w:val="00760E20"/>
    <w:rsid w:val="007617D0"/>
    <w:rsid w:val="0076420D"/>
    <w:rsid w:val="00766B4B"/>
    <w:rsid w:val="00772050"/>
    <w:rsid w:val="007743B0"/>
    <w:rsid w:val="00774BBA"/>
    <w:rsid w:val="00776064"/>
    <w:rsid w:val="00777055"/>
    <w:rsid w:val="007774AC"/>
    <w:rsid w:val="00782B0D"/>
    <w:rsid w:val="0078547C"/>
    <w:rsid w:val="00786579"/>
    <w:rsid w:val="007909D6"/>
    <w:rsid w:val="00791DCE"/>
    <w:rsid w:val="0079302F"/>
    <w:rsid w:val="00793F96"/>
    <w:rsid w:val="0079781A"/>
    <w:rsid w:val="007A02C8"/>
    <w:rsid w:val="007A02FD"/>
    <w:rsid w:val="007A1546"/>
    <w:rsid w:val="007A16E4"/>
    <w:rsid w:val="007A228C"/>
    <w:rsid w:val="007A2DFA"/>
    <w:rsid w:val="007A3640"/>
    <w:rsid w:val="007A368E"/>
    <w:rsid w:val="007A3E63"/>
    <w:rsid w:val="007A41DA"/>
    <w:rsid w:val="007A4A2B"/>
    <w:rsid w:val="007A4BFE"/>
    <w:rsid w:val="007A5868"/>
    <w:rsid w:val="007A5AA6"/>
    <w:rsid w:val="007B04CE"/>
    <w:rsid w:val="007B05A4"/>
    <w:rsid w:val="007B0804"/>
    <w:rsid w:val="007B0A26"/>
    <w:rsid w:val="007B31BB"/>
    <w:rsid w:val="007B374C"/>
    <w:rsid w:val="007B49CE"/>
    <w:rsid w:val="007B4C87"/>
    <w:rsid w:val="007B5BE1"/>
    <w:rsid w:val="007B6871"/>
    <w:rsid w:val="007B7A2F"/>
    <w:rsid w:val="007C0937"/>
    <w:rsid w:val="007C32EE"/>
    <w:rsid w:val="007C39D3"/>
    <w:rsid w:val="007C3D33"/>
    <w:rsid w:val="007C6F7C"/>
    <w:rsid w:val="007D01AF"/>
    <w:rsid w:val="007D1731"/>
    <w:rsid w:val="007D195E"/>
    <w:rsid w:val="007D1A81"/>
    <w:rsid w:val="007D294A"/>
    <w:rsid w:val="007D2C60"/>
    <w:rsid w:val="007D47D2"/>
    <w:rsid w:val="007D6EC0"/>
    <w:rsid w:val="007D75B5"/>
    <w:rsid w:val="007D7AB7"/>
    <w:rsid w:val="007D7E1D"/>
    <w:rsid w:val="007E0232"/>
    <w:rsid w:val="007E19C9"/>
    <w:rsid w:val="007E239E"/>
    <w:rsid w:val="007E24A1"/>
    <w:rsid w:val="007E2D0C"/>
    <w:rsid w:val="007E503C"/>
    <w:rsid w:val="007E54EA"/>
    <w:rsid w:val="007E5FDA"/>
    <w:rsid w:val="007E6F72"/>
    <w:rsid w:val="007E70BE"/>
    <w:rsid w:val="007E7B70"/>
    <w:rsid w:val="007F6E56"/>
    <w:rsid w:val="00800DAE"/>
    <w:rsid w:val="0080345C"/>
    <w:rsid w:val="008117DA"/>
    <w:rsid w:val="00813EB5"/>
    <w:rsid w:val="00814F79"/>
    <w:rsid w:val="008203A2"/>
    <w:rsid w:val="008204CD"/>
    <w:rsid w:val="00822459"/>
    <w:rsid w:val="0082292A"/>
    <w:rsid w:val="008241D6"/>
    <w:rsid w:val="008248C8"/>
    <w:rsid w:val="0082522F"/>
    <w:rsid w:val="0083034F"/>
    <w:rsid w:val="00831979"/>
    <w:rsid w:val="00831C28"/>
    <w:rsid w:val="00832F09"/>
    <w:rsid w:val="0083317A"/>
    <w:rsid w:val="00835A5A"/>
    <w:rsid w:val="00835B0E"/>
    <w:rsid w:val="0084546D"/>
    <w:rsid w:val="00845B43"/>
    <w:rsid w:val="00845E4A"/>
    <w:rsid w:val="008466E0"/>
    <w:rsid w:val="00850794"/>
    <w:rsid w:val="00850A5D"/>
    <w:rsid w:val="00851352"/>
    <w:rsid w:val="00855EF9"/>
    <w:rsid w:val="00856D3E"/>
    <w:rsid w:val="00857077"/>
    <w:rsid w:val="00860B73"/>
    <w:rsid w:val="008620EE"/>
    <w:rsid w:val="00862FA7"/>
    <w:rsid w:val="00863230"/>
    <w:rsid w:val="00863344"/>
    <w:rsid w:val="00863E48"/>
    <w:rsid w:val="0086528F"/>
    <w:rsid w:val="00865BD0"/>
    <w:rsid w:val="00865C7B"/>
    <w:rsid w:val="008717D8"/>
    <w:rsid w:val="0087215C"/>
    <w:rsid w:val="0087336C"/>
    <w:rsid w:val="008736A4"/>
    <w:rsid w:val="00875487"/>
    <w:rsid w:val="00875D25"/>
    <w:rsid w:val="00880E35"/>
    <w:rsid w:val="008851A4"/>
    <w:rsid w:val="00886C7B"/>
    <w:rsid w:val="008875FE"/>
    <w:rsid w:val="00887A7C"/>
    <w:rsid w:val="00887F8E"/>
    <w:rsid w:val="00890770"/>
    <w:rsid w:val="0089126C"/>
    <w:rsid w:val="00892A8C"/>
    <w:rsid w:val="00892D66"/>
    <w:rsid w:val="00894902"/>
    <w:rsid w:val="00894C6B"/>
    <w:rsid w:val="00896234"/>
    <w:rsid w:val="008964FF"/>
    <w:rsid w:val="00897E43"/>
    <w:rsid w:val="00897E68"/>
    <w:rsid w:val="008A0CA7"/>
    <w:rsid w:val="008A45C3"/>
    <w:rsid w:val="008A5867"/>
    <w:rsid w:val="008A633D"/>
    <w:rsid w:val="008A7924"/>
    <w:rsid w:val="008B0FBC"/>
    <w:rsid w:val="008B0FF0"/>
    <w:rsid w:val="008B5A60"/>
    <w:rsid w:val="008B69F0"/>
    <w:rsid w:val="008C222B"/>
    <w:rsid w:val="008C327C"/>
    <w:rsid w:val="008C3A30"/>
    <w:rsid w:val="008C3DA1"/>
    <w:rsid w:val="008C5738"/>
    <w:rsid w:val="008C6700"/>
    <w:rsid w:val="008C6DB8"/>
    <w:rsid w:val="008C7B23"/>
    <w:rsid w:val="008C7EAD"/>
    <w:rsid w:val="008D0CFE"/>
    <w:rsid w:val="008D2951"/>
    <w:rsid w:val="008D3E03"/>
    <w:rsid w:val="008D523B"/>
    <w:rsid w:val="008D5571"/>
    <w:rsid w:val="008D56D1"/>
    <w:rsid w:val="008D5899"/>
    <w:rsid w:val="008D5E91"/>
    <w:rsid w:val="008D6152"/>
    <w:rsid w:val="008E3E5A"/>
    <w:rsid w:val="008E7BA9"/>
    <w:rsid w:val="008F0F81"/>
    <w:rsid w:val="008F0FF8"/>
    <w:rsid w:val="008F167D"/>
    <w:rsid w:val="008F1BBA"/>
    <w:rsid w:val="008F1D71"/>
    <w:rsid w:val="008F27BF"/>
    <w:rsid w:val="008F2E64"/>
    <w:rsid w:val="008F309E"/>
    <w:rsid w:val="008F373C"/>
    <w:rsid w:val="008F41C0"/>
    <w:rsid w:val="008F70BD"/>
    <w:rsid w:val="00900A6B"/>
    <w:rsid w:val="00901A7B"/>
    <w:rsid w:val="009051D5"/>
    <w:rsid w:val="009058B3"/>
    <w:rsid w:val="0091079F"/>
    <w:rsid w:val="009142EC"/>
    <w:rsid w:val="009145E4"/>
    <w:rsid w:val="00914B68"/>
    <w:rsid w:val="009154C3"/>
    <w:rsid w:val="00917742"/>
    <w:rsid w:val="009200FE"/>
    <w:rsid w:val="0092160C"/>
    <w:rsid w:val="00922324"/>
    <w:rsid w:val="00923540"/>
    <w:rsid w:val="00923B54"/>
    <w:rsid w:val="009241A6"/>
    <w:rsid w:val="00926767"/>
    <w:rsid w:val="009302AE"/>
    <w:rsid w:val="00930CF9"/>
    <w:rsid w:val="00933497"/>
    <w:rsid w:val="009361D5"/>
    <w:rsid w:val="00941B96"/>
    <w:rsid w:val="009428A4"/>
    <w:rsid w:val="00944899"/>
    <w:rsid w:val="00944C0C"/>
    <w:rsid w:val="00946F58"/>
    <w:rsid w:val="0095130D"/>
    <w:rsid w:val="00956373"/>
    <w:rsid w:val="009579C0"/>
    <w:rsid w:val="0096068B"/>
    <w:rsid w:val="00964987"/>
    <w:rsid w:val="009659F4"/>
    <w:rsid w:val="0096608B"/>
    <w:rsid w:val="00967467"/>
    <w:rsid w:val="00970C28"/>
    <w:rsid w:val="00970D60"/>
    <w:rsid w:val="009719DD"/>
    <w:rsid w:val="00972205"/>
    <w:rsid w:val="009768F4"/>
    <w:rsid w:val="0097778E"/>
    <w:rsid w:val="00977BC5"/>
    <w:rsid w:val="00977FA8"/>
    <w:rsid w:val="0098224F"/>
    <w:rsid w:val="00982323"/>
    <w:rsid w:val="0098763F"/>
    <w:rsid w:val="00990342"/>
    <w:rsid w:val="00990E4A"/>
    <w:rsid w:val="0099266F"/>
    <w:rsid w:val="0099390E"/>
    <w:rsid w:val="00993CE6"/>
    <w:rsid w:val="00993F7C"/>
    <w:rsid w:val="009960E5"/>
    <w:rsid w:val="009961B9"/>
    <w:rsid w:val="00997D93"/>
    <w:rsid w:val="009A0D8C"/>
    <w:rsid w:val="009A2C47"/>
    <w:rsid w:val="009A3157"/>
    <w:rsid w:val="009A3705"/>
    <w:rsid w:val="009A4F78"/>
    <w:rsid w:val="009A5E51"/>
    <w:rsid w:val="009A71B4"/>
    <w:rsid w:val="009A7ADC"/>
    <w:rsid w:val="009B04F4"/>
    <w:rsid w:val="009B0D30"/>
    <w:rsid w:val="009B15B0"/>
    <w:rsid w:val="009B2D69"/>
    <w:rsid w:val="009B63FF"/>
    <w:rsid w:val="009C1457"/>
    <w:rsid w:val="009C19B7"/>
    <w:rsid w:val="009C1DFC"/>
    <w:rsid w:val="009C1FAD"/>
    <w:rsid w:val="009C4578"/>
    <w:rsid w:val="009C4726"/>
    <w:rsid w:val="009C51B6"/>
    <w:rsid w:val="009C5ABB"/>
    <w:rsid w:val="009C63F3"/>
    <w:rsid w:val="009C77F3"/>
    <w:rsid w:val="009D48FB"/>
    <w:rsid w:val="009D58E7"/>
    <w:rsid w:val="009D696B"/>
    <w:rsid w:val="009D7C51"/>
    <w:rsid w:val="009E196C"/>
    <w:rsid w:val="009E679C"/>
    <w:rsid w:val="009E6A0A"/>
    <w:rsid w:val="009F1D3F"/>
    <w:rsid w:val="009F2EAE"/>
    <w:rsid w:val="009F36BF"/>
    <w:rsid w:val="009F4AD0"/>
    <w:rsid w:val="009F5C32"/>
    <w:rsid w:val="009F6940"/>
    <w:rsid w:val="00A007B2"/>
    <w:rsid w:val="00A04B5B"/>
    <w:rsid w:val="00A04DAB"/>
    <w:rsid w:val="00A05E2A"/>
    <w:rsid w:val="00A111B6"/>
    <w:rsid w:val="00A13543"/>
    <w:rsid w:val="00A1715A"/>
    <w:rsid w:val="00A20574"/>
    <w:rsid w:val="00A2312C"/>
    <w:rsid w:val="00A23B52"/>
    <w:rsid w:val="00A23D3F"/>
    <w:rsid w:val="00A2668B"/>
    <w:rsid w:val="00A26D27"/>
    <w:rsid w:val="00A26E97"/>
    <w:rsid w:val="00A3007C"/>
    <w:rsid w:val="00A30202"/>
    <w:rsid w:val="00A311C5"/>
    <w:rsid w:val="00A33ABA"/>
    <w:rsid w:val="00A33CF2"/>
    <w:rsid w:val="00A3419C"/>
    <w:rsid w:val="00A3486B"/>
    <w:rsid w:val="00A36765"/>
    <w:rsid w:val="00A3679F"/>
    <w:rsid w:val="00A376EE"/>
    <w:rsid w:val="00A41938"/>
    <w:rsid w:val="00A42A99"/>
    <w:rsid w:val="00A439B7"/>
    <w:rsid w:val="00A46871"/>
    <w:rsid w:val="00A46DD2"/>
    <w:rsid w:val="00A479A8"/>
    <w:rsid w:val="00A51128"/>
    <w:rsid w:val="00A5151A"/>
    <w:rsid w:val="00A52264"/>
    <w:rsid w:val="00A52FAD"/>
    <w:rsid w:val="00A5381E"/>
    <w:rsid w:val="00A55A9F"/>
    <w:rsid w:val="00A57920"/>
    <w:rsid w:val="00A57E0A"/>
    <w:rsid w:val="00A61CB3"/>
    <w:rsid w:val="00A62DE2"/>
    <w:rsid w:val="00A63E99"/>
    <w:rsid w:val="00A64302"/>
    <w:rsid w:val="00A65056"/>
    <w:rsid w:val="00A66571"/>
    <w:rsid w:val="00A66D5F"/>
    <w:rsid w:val="00A677D8"/>
    <w:rsid w:val="00A70CB7"/>
    <w:rsid w:val="00A70E90"/>
    <w:rsid w:val="00A71D96"/>
    <w:rsid w:val="00A7578B"/>
    <w:rsid w:val="00A759C5"/>
    <w:rsid w:val="00A770A7"/>
    <w:rsid w:val="00A77263"/>
    <w:rsid w:val="00A77919"/>
    <w:rsid w:val="00A77A16"/>
    <w:rsid w:val="00A80196"/>
    <w:rsid w:val="00A80ABD"/>
    <w:rsid w:val="00A81DC8"/>
    <w:rsid w:val="00A823F6"/>
    <w:rsid w:val="00A83680"/>
    <w:rsid w:val="00A8459D"/>
    <w:rsid w:val="00A84CBE"/>
    <w:rsid w:val="00A855A5"/>
    <w:rsid w:val="00A85BA8"/>
    <w:rsid w:val="00A8719E"/>
    <w:rsid w:val="00A8779D"/>
    <w:rsid w:val="00A90AC2"/>
    <w:rsid w:val="00A93DA3"/>
    <w:rsid w:val="00A94578"/>
    <w:rsid w:val="00A94D62"/>
    <w:rsid w:val="00A95184"/>
    <w:rsid w:val="00A95AEE"/>
    <w:rsid w:val="00A96D56"/>
    <w:rsid w:val="00A97778"/>
    <w:rsid w:val="00AA0A89"/>
    <w:rsid w:val="00AA1EED"/>
    <w:rsid w:val="00AA2D30"/>
    <w:rsid w:val="00AA2DAF"/>
    <w:rsid w:val="00AA5368"/>
    <w:rsid w:val="00AA6429"/>
    <w:rsid w:val="00AA6FB0"/>
    <w:rsid w:val="00AB10FC"/>
    <w:rsid w:val="00AB6AD9"/>
    <w:rsid w:val="00AC01AA"/>
    <w:rsid w:val="00AC0B04"/>
    <w:rsid w:val="00AC3230"/>
    <w:rsid w:val="00AC32F9"/>
    <w:rsid w:val="00AC4F72"/>
    <w:rsid w:val="00AC5041"/>
    <w:rsid w:val="00AD0A04"/>
    <w:rsid w:val="00AD0DF4"/>
    <w:rsid w:val="00AD483B"/>
    <w:rsid w:val="00AD55C8"/>
    <w:rsid w:val="00AD65E5"/>
    <w:rsid w:val="00AD69BB"/>
    <w:rsid w:val="00AD6EF8"/>
    <w:rsid w:val="00AD79D8"/>
    <w:rsid w:val="00AE15E6"/>
    <w:rsid w:val="00AE334B"/>
    <w:rsid w:val="00AE482E"/>
    <w:rsid w:val="00AE4F3C"/>
    <w:rsid w:val="00AE54E4"/>
    <w:rsid w:val="00AE6404"/>
    <w:rsid w:val="00AF1457"/>
    <w:rsid w:val="00AF1493"/>
    <w:rsid w:val="00AF219C"/>
    <w:rsid w:val="00AF3217"/>
    <w:rsid w:val="00AF4355"/>
    <w:rsid w:val="00AF4857"/>
    <w:rsid w:val="00AF4ED5"/>
    <w:rsid w:val="00AF741A"/>
    <w:rsid w:val="00AF758A"/>
    <w:rsid w:val="00B01A27"/>
    <w:rsid w:val="00B01ADB"/>
    <w:rsid w:val="00B022B5"/>
    <w:rsid w:val="00B023D3"/>
    <w:rsid w:val="00B0310D"/>
    <w:rsid w:val="00B04161"/>
    <w:rsid w:val="00B056F9"/>
    <w:rsid w:val="00B07934"/>
    <w:rsid w:val="00B07A04"/>
    <w:rsid w:val="00B11BC6"/>
    <w:rsid w:val="00B11C76"/>
    <w:rsid w:val="00B11D05"/>
    <w:rsid w:val="00B11E3D"/>
    <w:rsid w:val="00B130DF"/>
    <w:rsid w:val="00B14D2C"/>
    <w:rsid w:val="00B17E82"/>
    <w:rsid w:val="00B23DF0"/>
    <w:rsid w:val="00B30472"/>
    <w:rsid w:val="00B31BCA"/>
    <w:rsid w:val="00B32F6A"/>
    <w:rsid w:val="00B37A4C"/>
    <w:rsid w:val="00B4014A"/>
    <w:rsid w:val="00B401DF"/>
    <w:rsid w:val="00B40A81"/>
    <w:rsid w:val="00B41B13"/>
    <w:rsid w:val="00B4575A"/>
    <w:rsid w:val="00B4599C"/>
    <w:rsid w:val="00B501A1"/>
    <w:rsid w:val="00B51612"/>
    <w:rsid w:val="00B53B78"/>
    <w:rsid w:val="00B54348"/>
    <w:rsid w:val="00B55761"/>
    <w:rsid w:val="00B575BA"/>
    <w:rsid w:val="00B60680"/>
    <w:rsid w:val="00B60A6A"/>
    <w:rsid w:val="00B61426"/>
    <w:rsid w:val="00B62111"/>
    <w:rsid w:val="00B6449B"/>
    <w:rsid w:val="00B71320"/>
    <w:rsid w:val="00B71608"/>
    <w:rsid w:val="00B7264A"/>
    <w:rsid w:val="00B73803"/>
    <w:rsid w:val="00B73F81"/>
    <w:rsid w:val="00B74393"/>
    <w:rsid w:val="00B76429"/>
    <w:rsid w:val="00B83727"/>
    <w:rsid w:val="00B84356"/>
    <w:rsid w:val="00B848A5"/>
    <w:rsid w:val="00B86471"/>
    <w:rsid w:val="00B91453"/>
    <w:rsid w:val="00B91E6C"/>
    <w:rsid w:val="00B93402"/>
    <w:rsid w:val="00B93825"/>
    <w:rsid w:val="00B938C1"/>
    <w:rsid w:val="00B94E48"/>
    <w:rsid w:val="00B956D4"/>
    <w:rsid w:val="00B9719B"/>
    <w:rsid w:val="00B97446"/>
    <w:rsid w:val="00BA3E67"/>
    <w:rsid w:val="00BA4703"/>
    <w:rsid w:val="00BA5141"/>
    <w:rsid w:val="00BA5E39"/>
    <w:rsid w:val="00BA7432"/>
    <w:rsid w:val="00BB156C"/>
    <w:rsid w:val="00BB176A"/>
    <w:rsid w:val="00BB2764"/>
    <w:rsid w:val="00BB3638"/>
    <w:rsid w:val="00BB36BD"/>
    <w:rsid w:val="00BB56B9"/>
    <w:rsid w:val="00BB6E34"/>
    <w:rsid w:val="00BC0118"/>
    <w:rsid w:val="00BC1AA0"/>
    <w:rsid w:val="00BC1E7E"/>
    <w:rsid w:val="00BC2495"/>
    <w:rsid w:val="00BC314A"/>
    <w:rsid w:val="00BC3774"/>
    <w:rsid w:val="00BC464D"/>
    <w:rsid w:val="00BC7AB9"/>
    <w:rsid w:val="00BC7EB9"/>
    <w:rsid w:val="00BC7F85"/>
    <w:rsid w:val="00BD113F"/>
    <w:rsid w:val="00BD1419"/>
    <w:rsid w:val="00BD2643"/>
    <w:rsid w:val="00BD4476"/>
    <w:rsid w:val="00BD56B1"/>
    <w:rsid w:val="00BD6558"/>
    <w:rsid w:val="00BD7A4A"/>
    <w:rsid w:val="00BD7D0F"/>
    <w:rsid w:val="00BE33D0"/>
    <w:rsid w:val="00BE5293"/>
    <w:rsid w:val="00BE536C"/>
    <w:rsid w:val="00BE7438"/>
    <w:rsid w:val="00BE7F39"/>
    <w:rsid w:val="00BF1A0E"/>
    <w:rsid w:val="00BF22BD"/>
    <w:rsid w:val="00BF2AD7"/>
    <w:rsid w:val="00BF2F76"/>
    <w:rsid w:val="00BF3022"/>
    <w:rsid w:val="00BF3214"/>
    <w:rsid w:val="00BF3228"/>
    <w:rsid w:val="00BF383D"/>
    <w:rsid w:val="00BF3A13"/>
    <w:rsid w:val="00BF5573"/>
    <w:rsid w:val="00BF60E7"/>
    <w:rsid w:val="00BF65CA"/>
    <w:rsid w:val="00BF726F"/>
    <w:rsid w:val="00C015ED"/>
    <w:rsid w:val="00C021D1"/>
    <w:rsid w:val="00C0322C"/>
    <w:rsid w:val="00C0393D"/>
    <w:rsid w:val="00C04DB6"/>
    <w:rsid w:val="00C0528B"/>
    <w:rsid w:val="00C1099C"/>
    <w:rsid w:val="00C15110"/>
    <w:rsid w:val="00C15867"/>
    <w:rsid w:val="00C163ED"/>
    <w:rsid w:val="00C17F05"/>
    <w:rsid w:val="00C2119C"/>
    <w:rsid w:val="00C21684"/>
    <w:rsid w:val="00C22398"/>
    <w:rsid w:val="00C2296D"/>
    <w:rsid w:val="00C23155"/>
    <w:rsid w:val="00C248C3"/>
    <w:rsid w:val="00C3118E"/>
    <w:rsid w:val="00C32392"/>
    <w:rsid w:val="00C338FE"/>
    <w:rsid w:val="00C339E2"/>
    <w:rsid w:val="00C3457B"/>
    <w:rsid w:val="00C34E84"/>
    <w:rsid w:val="00C357B3"/>
    <w:rsid w:val="00C3591C"/>
    <w:rsid w:val="00C3684E"/>
    <w:rsid w:val="00C37310"/>
    <w:rsid w:val="00C37E70"/>
    <w:rsid w:val="00C40C41"/>
    <w:rsid w:val="00C40E7B"/>
    <w:rsid w:val="00C4114D"/>
    <w:rsid w:val="00C416C3"/>
    <w:rsid w:val="00C41E1C"/>
    <w:rsid w:val="00C445ED"/>
    <w:rsid w:val="00C44E3B"/>
    <w:rsid w:val="00C45885"/>
    <w:rsid w:val="00C47088"/>
    <w:rsid w:val="00C47C95"/>
    <w:rsid w:val="00C50F22"/>
    <w:rsid w:val="00C523EC"/>
    <w:rsid w:val="00C5240B"/>
    <w:rsid w:val="00C57971"/>
    <w:rsid w:val="00C6133E"/>
    <w:rsid w:val="00C6284A"/>
    <w:rsid w:val="00C65156"/>
    <w:rsid w:val="00C65BD7"/>
    <w:rsid w:val="00C65CC5"/>
    <w:rsid w:val="00C664E1"/>
    <w:rsid w:val="00C7138A"/>
    <w:rsid w:val="00C7421F"/>
    <w:rsid w:val="00C76BA4"/>
    <w:rsid w:val="00C76EDE"/>
    <w:rsid w:val="00C80C3A"/>
    <w:rsid w:val="00C82AE4"/>
    <w:rsid w:val="00C8318C"/>
    <w:rsid w:val="00C83453"/>
    <w:rsid w:val="00C83A48"/>
    <w:rsid w:val="00C84166"/>
    <w:rsid w:val="00C85865"/>
    <w:rsid w:val="00C85C44"/>
    <w:rsid w:val="00C85E85"/>
    <w:rsid w:val="00C90122"/>
    <w:rsid w:val="00C90D31"/>
    <w:rsid w:val="00C928D9"/>
    <w:rsid w:val="00C931E1"/>
    <w:rsid w:val="00C9456B"/>
    <w:rsid w:val="00C94976"/>
    <w:rsid w:val="00C97709"/>
    <w:rsid w:val="00CA0CE9"/>
    <w:rsid w:val="00CA1437"/>
    <w:rsid w:val="00CA2DB0"/>
    <w:rsid w:val="00CA2EAE"/>
    <w:rsid w:val="00CA3FE7"/>
    <w:rsid w:val="00CA4AC1"/>
    <w:rsid w:val="00CA59FB"/>
    <w:rsid w:val="00CA5C76"/>
    <w:rsid w:val="00CB0316"/>
    <w:rsid w:val="00CB0B11"/>
    <w:rsid w:val="00CB1D21"/>
    <w:rsid w:val="00CB1DBA"/>
    <w:rsid w:val="00CB1F29"/>
    <w:rsid w:val="00CB426A"/>
    <w:rsid w:val="00CB5354"/>
    <w:rsid w:val="00CB67D3"/>
    <w:rsid w:val="00CB70E0"/>
    <w:rsid w:val="00CB749B"/>
    <w:rsid w:val="00CC2315"/>
    <w:rsid w:val="00CC28B7"/>
    <w:rsid w:val="00CC3C9E"/>
    <w:rsid w:val="00CC4E39"/>
    <w:rsid w:val="00CC6240"/>
    <w:rsid w:val="00CC65BE"/>
    <w:rsid w:val="00CC6A14"/>
    <w:rsid w:val="00CC70A3"/>
    <w:rsid w:val="00CC7D48"/>
    <w:rsid w:val="00CD04E5"/>
    <w:rsid w:val="00CD4160"/>
    <w:rsid w:val="00CD4442"/>
    <w:rsid w:val="00CD53C3"/>
    <w:rsid w:val="00CD574E"/>
    <w:rsid w:val="00CD5AA6"/>
    <w:rsid w:val="00CD7192"/>
    <w:rsid w:val="00CE04B1"/>
    <w:rsid w:val="00CE0866"/>
    <w:rsid w:val="00CE116A"/>
    <w:rsid w:val="00CE15B9"/>
    <w:rsid w:val="00CE17A7"/>
    <w:rsid w:val="00CE20A9"/>
    <w:rsid w:val="00CE30BE"/>
    <w:rsid w:val="00CE4C22"/>
    <w:rsid w:val="00CE76E5"/>
    <w:rsid w:val="00CF41EC"/>
    <w:rsid w:val="00CF5D04"/>
    <w:rsid w:val="00CF63FC"/>
    <w:rsid w:val="00CF6FED"/>
    <w:rsid w:val="00D00DB6"/>
    <w:rsid w:val="00D01B70"/>
    <w:rsid w:val="00D02F43"/>
    <w:rsid w:val="00D03497"/>
    <w:rsid w:val="00D03A18"/>
    <w:rsid w:val="00D04DE4"/>
    <w:rsid w:val="00D063F1"/>
    <w:rsid w:val="00D1106F"/>
    <w:rsid w:val="00D13A68"/>
    <w:rsid w:val="00D14426"/>
    <w:rsid w:val="00D14F22"/>
    <w:rsid w:val="00D15ECD"/>
    <w:rsid w:val="00D20F0F"/>
    <w:rsid w:val="00D25D68"/>
    <w:rsid w:val="00D275EB"/>
    <w:rsid w:val="00D3199B"/>
    <w:rsid w:val="00D325B9"/>
    <w:rsid w:val="00D354ED"/>
    <w:rsid w:val="00D37391"/>
    <w:rsid w:val="00D37FE4"/>
    <w:rsid w:val="00D40367"/>
    <w:rsid w:val="00D40E93"/>
    <w:rsid w:val="00D44002"/>
    <w:rsid w:val="00D4741C"/>
    <w:rsid w:val="00D505AB"/>
    <w:rsid w:val="00D50C1F"/>
    <w:rsid w:val="00D5128D"/>
    <w:rsid w:val="00D5239A"/>
    <w:rsid w:val="00D528F3"/>
    <w:rsid w:val="00D56777"/>
    <w:rsid w:val="00D57918"/>
    <w:rsid w:val="00D6284C"/>
    <w:rsid w:val="00D638C9"/>
    <w:rsid w:val="00D673C3"/>
    <w:rsid w:val="00D70930"/>
    <w:rsid w:val="00D70E54"/>
    <w:rsid w:val="00D71A4C"/>
    <w:rsid w:val="00D73DC6"/>
    <w:rsid w:val="00D74C1A"/>
    <w:rsid w:val="00D754C1"/>
    <w:rsid w:val="00D77393"/>
    <w:rsid w:val="00D775F0"/>
    <w:rsid w:val="00D77A35"/>
    <w:rsid w:val="00D814A3"/>
    <w:rsid w:val="00D81B3E"/>
    <w:rsid w:val="00D81D0F"/>
    <w:rsid w:val="00D82FD4"/>
    <w:rsid w:val="00D908AE"/>
    <w:rsid w:val="00D90C70"/>
    <w:rsid w:val="00D90E49"/>
    <w:rsid w:val="00D916A9"/>
    <w:rsid w:val="00D9241E"/>
    <w:rsid w:val="00D96ADE"/>
    <w:rsid w:val="00D96C5F"/>
    <w:rsid w:val="00D96C8E"/>
    <w:rsid w:val="00D974BC"/>
    <w:rsid w:val="00DA0CE2"/>
    <w:rsid w:val="00DA1906"/>
    <w:rsid w:val="00DA2387"/>
    <w:rsid w:val="00DA2A85"/>
    <w:rsid w:val="00DA2E42"/>
    <w:rsid w:val="00DA31C6"/>
    <w:rsid w:val="00DA3987"/>
    <w:rsid w:val="00DA422C"/>
    <w:rsid w:val="00DA5D4A"/>
    <w:rsid w:val="00DA7486"/>
    <w:rsid w:val="00DB071F"/>
    <w:rsid w:val="00DB1CDC"/>
    <w:rsid w:val="00DB1EE3"/>
    <w:rsid w:val="00DB3A8B"/>
    <w:rsid w:val="00DB4A51"/>
    <w:rsid w:val="00DB7344"/>
    <w:rsid w:val="00DC114F"/>
    <w:rsid w:val="00DC184B"/>
    <w:rsid w:val="00DC3408"/>
    <w:rsid w:val="00DC4485"/>
    <w:rsid w:val="00DC5627"/>
    <w:rsid w:val="00DC6A10"/>
    <w:rsid w:val="00DC7C9E"/>
    <w:rsid w:val="00DD0D5E"/>
    <w:rsid w:val="00DD3162"/>
    <w:rsid w:val="00DD320C"/>
    <w:rsid w:val="00DD4187"/>
    <w:rsid w:val="00DD62B8"/>
    <w:rsid w:val="00DD787C"/>
    <w:rsid w:val="00DD7DD2"/>
    <w:rsid w:val="00DE1240"/>
    <w:rsid w:val="00DE657E"/>
    <w:rsid w:val="00DE6824"/>
    <w:rsid w:val="00DF10F6"/>
    <w:rsid w:val="00DF1276"/>
    <w:rsid w:val="00DF3CA7"/>
    <w:rsid w:val="00DF4704"/>
    <w:rsid w:val="00DF5323"/>
    <w:rsid w:val="00DF637A"/>
    <w:rsid w:val="00E00204"/>
    <w:rsid w:val="00E01303"/>
    <w:rsid w:val="00E02167"/>
    <w:rsid w:val="00E024AA"/>
    <w:rsid w:val="00E02729"/>
    <w:rsid w:val="00E0443F"/>
    <w:rsid w:val="00E050BE"/>
    <w:rsid w:val="00E128EF"/>
    <w:rsid w:val="00E15AC4"/>
    <w:rsid w:val="00E15C77"/>
    <w:rsid w:val="00E2091A"/>
    <w:rsid w:val="00E2117C"/>
    <w:rsid w:val="00E22525"/>
    <w:rsid w:val="00E250F1"/>
    <w:rsid w:val="00E25C94"/>
    <w:rsid w:val="00E25E3D"/>
    <w:rsid w:val="00E30581"/>
    <w:rsid w:val="00E3166E"/>
    <w:rsid w:val="00E3195B"/>
    <w:rsid w:val="00E331FF"/>
    <w:rsid w:val="00E33C80"/>
    <w:rsid w:val="00E3550D"/>
    <w:rsid w:val="00E3568A"/>
    <w:rsid w:val="00E41995"/>
    <w:rsid w:val="00E44823"/>
    <w:rsid w:val="00E44C83"/>
    <w:rsid w:val="00E44DD5"/>
    <w:rsid w:val="00E45AC8"/>
    <w:rsid w:val="00E46526"/>
    <w:rsid w:val="00E475CF"/>
    <w:rsid w:val="00E5112B"/>
    <w:rsid w:val="00E52838"/>
    <w:rsid w:val="00E55921"/>
    <w:rsid w:val="00E57C65"/>
    <w:rsid w:val="00E614E0"/>
    <w:rsid w:val="00E6163D"/>
    <w:rsid w:val="00E62190"/>
    <w:rsid w:val="00E629C3"/>
    <w:rsid w:val="00E655CA"/>
    <w:rsid w:val="00E660F3"/>
    <w:rsid w:val="00E66809"/>
    <w:rsid w:val="00E7007A"/>
    <w:rsid w:val="00E72FDC"/>
    <w:rsid w:val="00E73F7F"/>
    <w:rsid w:val="00E744E3"/>
    <w:rsid w:val="00E753E8"/>
    <w:rsid w:val="00E75C9A"/>
    <w:rsid w:val="00E770DB"/>
    <w:rsid w:val="00E8086B"/>
    <w:rsid w:val="00E8107F"/>
    <w:rsid w:val="00E813BA"/>
    <w:rsid w:val="00E81908"/>
    <w:rsid w:val="00E8292C"/>
    <w:rsid w:val="00E8321D"/>
    <w:rsid w:val="00E85409"/>
    <w:rsid w:val="00E91670"/>
    <w:rsid w:val="00E91672"/>
    <w:rsid w:val="00E95A01"/>
    <w:rsid w:val="00E9721E"/>
    <w:rsid w:val="00EA286D"/>
    <w:rsid w:val="00EA429F"/>
    <w:rsid w:val="00EA4F9E"/>
    <w:rsid w:val="00EA5552"/>
    <w:rsid w:val="00EA598B"/>
    <w:rsid w:val="00EA63CA"/>
    <w:rsid w:val="00EA656B"/>
    <w:rsid w:val="00EA6D3B"/>
    <w:rsid w:val="00EA6FED"/>
    <w:rsid w:val="00EA7A84"/>
    <w:rsid w:val="00EB003B"/>
    <w:rsid w:val="00EB00AD"/>
    <w:rsid w:val="00EB04F7"/>
    <w:rsid w:val="00EB0A5B"/>
    <w:rsid w:val="00EB136C"/>
    <w:rsid w:val="00EB1504"/>
    <w:rsid w:val="00EB1751"/>
    <w:rsid w:val="00EB2786"/>
    <w:rsid w:val="00EB2BEE"/>
    <w:rsid w:val="00EB2FB0"/>
    <w:rsid w:val="00EB33B3"/>
    <w:rsid w:val="00EB480E"/>
    <w:rsid w:val="00EB5EC6"/>
    <w:rsid w:val="00EB67A8"/>
    <w:rsid w:val="00EB6FE9"/>
    <w:rsid w:val="00EB7FC9"/>
    <w:rsid w:val="00EC03CA"/>
    <w:rsid w:val="00EC096C"/>
    <w:rsid w:val="00EC3F16"/>
    <w:rsid w:val="00EC6E6F"/>
    <w:rsid w:val="00ED102A"/>
    <w:rsid w:val="00ED2116"/>
    <w:rsid w:val="00ED27B9"/>
    <w:rsid w:val="00ED27E8"/>
    <w:rsid w:val="00ED2B48"/>
    <w:rsid w:val="00ED51BA"/>
    <w:rsid w:val="00ED7137"/>
    <w:rsid w:val="00ED7B09"/>
    <w:rsid w:val="00ED7D70"/>
    <w:rsid w:val="00EE2FA2"/>
    <w:rsid w:val="00EE4DB8"/>
    <w:rsid w:val="00EE65C1"/>
    <w:rsid w:val="00EE6BCB"/>
    <w:rsid w:val="00EE6ED5"/>
    <w:rsid w:val="00EE74D9"/>
    <w:rsid w:val="00EF06EA"/>
    <w:rsid w:val="00EF1F87"/>
    <w:rsid w:val="00EF4FD4"/>
    <w:rsid w:val="00EF554A"/>
    <w:rsid w:val="00EF5718"/>
    <w:rsid w:val="00EF5C1E"/>
    <w:rsid w:val="00EF6821"/>
    <w:rsid w:val="00F002B3"/>
    <w:rsid w:val="00F02364"/>
    <w:rsid w:val="00F03A1D"/>
    <w:rsid w:val="00F07604"/>
    <w:rsid w:val="00F079CB"/>
    <w:rsid w:val="00F10473"/>
    <w:rsid w:val="00F112A9"/>
    <w:rsid w:val="00F1155A"/>
    <w:rsid w:val="00F13B13"/>
    <w:rsid w:val="00F142A1"/>
    <w:rsid w:val="00F201ED"/>
    <w:rsid w:val="00F209DF"/>
    <w:rsid w:val="00F21088"/>
    <w:rsid w:val="00F22C5B"/>
    <w:rsid w:val="00F24778"/>
    <w:rsid w:val="00F24C24"/>
    <w:rsid w:val="00F258A3"/>
    <w:rsid w:val="00F27648"/>
    <w:rsid w:val="00F312B5"/>
    <w:rsid w:val="00F326BF"/>
    <w:rsid w:val="00F327E7"/>
    <w:rsid w:val="00F338A1"/>
    <w:rsid w:val="00F34D75"/>
    <w:rsid w:val="00F35746"/>
    <w:rsid w:val="00F35C31"/>
    <w:rsid w:val="00F36E13"/>
    <w:rsid w:val="00F40E45"/>
    <w:rsid w:val="00F40E68"/>
    <w:rsid w:val="00F41C0A"/>
    <w:rsid w:val="00F4361A"/>
    <w:rsid w:val="00F447C7"/>
    <w:rsid w:val="00F459B4"/>
    <w:rsid w:val="00F5199D"/>
    <w:rsid w:val="00F5211B"/>
    <w:rsid w:val="00F52733"/>
    <w:rsid w:val="00F537DF"/>
    <w:rsid w:val="00F554A9"/>
    <w:rsid w:val="00F64AFB"/>
    <w:rsid w:val="00F65151"/>
    <w:rsid w:val="00F67667"/>
    <w:rsid w:val="00F716FD"/>
    <w:rsid w:val="00F74FAC"/>
    <w:rsid w:val="00F7509F"/>
    <w:rsid w:val="00F76522"/>
    <w:rsid w:val="00F80338"/>
    <w:rsid w:val="00F80355"/>
    <w:rsid w:val="00F80CEE"/>
    <w:rsid w:val="00F81E0B"/>
    <w:rsid w:val="00F82203"/>
    <w:rsid w:val="00F835DF"/>
    <w:rsid w:val="00F83B43"/>
    <w:rsid w:val="00F83C67"/>
    <w:rsid w:val="00F8414C"/>
    <w:rsid w:val="00F8436F"/>
    <w:rsid w:val="00F84955"/>
    <w:rsid w:val="00F84C77"/>
    <w:rsid w:val="00F85B6E"/>
    <w:rsid w:val="00F86FD1"/>
    <w:rsid w:val="00F87184"/>
    <w:rsid w:val="00F87C43"/>
    <w:rsid w:val="00F93D8E"/>
    <w:rsid w:val="00F93F49"/>
    <w:rsid w:val="00F95C89"/>
    <w:rsid w:val="00F960DE"/>
    <w:rsid w:val="00F97212"/>
    <w:rsid w:val="00FA2EB1"/>
    <w:rsid w:val="00FA3101"/>
    <w:rsid w:val="00FA3A24"/>
    <w:rsid w:val="00FA5722"/>
    <w:rsid w:val="00FA674E"/>
    <w:rsid w:val="00FA6C02"/>
    <w:rsid w:val="00FA77EE"/>
    <w:rsid w:val="00FA7C46"/>
    <w:rsid w:val="00FB0C69"/>
    <w:rsid w:val="00FB0C81"/>
    <w:rsid w:val="00FB0D6F"/>
    <w:rsid w:val="00FB34A7"/>
    <w:rsid w:val="00FB3EEC"/>
    <w:rsid w:val="00FB4CD2"/>
    <w:rsid w:val="00FB525B"/>
    <w:rsid w:val="00FB656E"/>
    <w:rsid w:val="00FB6A39"/>
    <w:rsid w:val="00FB7F60"/>
    <w:rsid w:val="00FC089E"/>
    <w:rsid w:val="00FC0EE5"/>
    <w:rsid w:val="00FC2109"/>
    <w:rsid w:val="00FC2200"/>
    <w:rsid w:val="00FC2437"/>
    <w:rsid w:val="00FC2540"/>
    <w:rsid w:val="00FC2B76"/>
    <w:rsid w:val="00FC54F7"/>
    <w:rsid w:val="00FD0DCF"/>
    <w:rsid w:val="00FD219B"/>
    <w:rsid w:val="00FD50E4"/>
    <w:rsid w:val="00FD770F"/>
    <w:rsid w:val="00FE0C6B"/>
    <w:rsid w:val="00FE2424"/>
    <w:rsid w:val="00FE4AF2"/>
    <w:rsid w:val="00FE509B"/>
    <w:rsid w:val="00FE581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8171"/>
  <w15:docId w15:val="{8D0A6681-B0B3-4B73-B0A6-BA91FC12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53"/>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fr-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04E56"/>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2987">
      <w:bodyDiv w:val="1"/>
      <w:marLeft w:val="0"/>
      <w:marRight w:val="0"/>
      <w:marTop w:val="0"/>
      <w:marBottom w:val="0"/>
      <w:divBdr>
        <w:top w:val="none" w:sz="0" w:space="0" w:color="auto"/>
        <w:left w:val="none" w:sz="0" w:space="0" w:color="auto"/>
        <w:bottom w:val="none" w:sz="0" w:space="0" w:color="auto"/>
        <w:right w:val="none" w:sz="0" w:space="0" w:color="auto"/>
      </w:divBdr>
    </w:div>
    <w:div w:id="2591396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40991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2529861">
      <w:bodyDiv w:val="1"/>
      <w:marLeft w:val="0"/>
      <w:marRight w:val="0"/>
      <w:marTop w:val="0"/>
      <w:marBottom w:val="0"/>
      <w:divBdr>
        <w:top w:val="none" w:sz="0" w:space="0" w:color="auto"/>
        <w:left w:val="none" w:sz="0" w:space="0" w:color="auto"/>
        <w:bottom w:val="none" w:sz="0" w:space="0" w:color="auto"/>
        <w:right w:val="none" w:sz="0" w:space="0" w:color="auto"/>
      </w:divBdr>
    </w:div>
    <w:div w:id="535318122">
      <w:bodyDiv w:val="1"/>
      <w:marLeft w:val="0"/>
      <w:marRight w:val="0"/>
      <w:marTop w:val="0"/>
      <w:marBottom w:val="0"/>
      <w:divBdr>
        <w:top w:val="none" w:sz="0" w:space="0" w:color="auto"/>
        <w:left w:val="none" w:sz="0" w:space="0" w:color="auto"/>
        <w:bottom w:val="none" w:sz="0" w:space="0" w:color="auto"/>
        <w:right w:val="none" w:sz="0" w:space="0" w:color="auto"/>
      </w:divBdr>
    </w:div>
    <w:div w:id="5920070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565518">
      <w:bodyDiv w:val="1"/>
      <w:marLeft w:val="0"/>
      <w:marRight w:val="0"/>
      <w:marTop w:val="0"/>
      <w:marBottom w:val="0"/>
      <w:divBdr>
        <w:top w:val="none" w:sz="0" w:space="0" w:color="auto"/>
        <w:left w:val="none" w:sz="0" w:space="0" w:color="auto"/>
        <w:bottom w:val="none" w:sz="0" w:space="0" w:color="auto"/>
        <w:right w:val="none" w:sz="0" w:space="0" w:color="auto"/>
      </w:divBdr>
    </w:div>
    <w:div w:id="717170565">
      <w:bodyDiv w:val="1"/>
      <w:marLeft w:val="0"/>
      <w:marRight w:val="0"/>
      <w:marTop w:val="0"/>
      <w:marBottom w:val="0"/>
      <w:divBdr>
        <w:top w:val="none" w:sz="0" w:space="0" w:color="auto"/>
        <w:left w:val="none" w:sz="0" w:space="0" w:color="auto"/>
        <w:bottom w:val="none" w:sz="0" w:space="0" w:color="auto"/>
        <w:right w:val="none" w:sz="0" w:space="0" w:color="auto"/>
      </w:divBdr>
    </w:div>
    <w:div w:id="738753255">
      <w:bodyDiv w:val="1"/>
      <w:marLeft w:val="0"/>
      <w:marRight w:val="0"/>
      <w:marTop w:val="0"/>
      <w:marBottom w:val="0"/>
      <w:divBdr>
        <w:top w:val="none" w:sz="0" w:space="0" w:color="auto"/>
        <w:left w:val="none" w:sz="0" w:space="0" w:color="auto"/>
        <w:bottom w:val="none" w:sz="0" w:space="0" w:color="auto"/>
        <w:right w:val="none" w:sz="0" w:space="0" w:color="auto"/>
      </w:divBdr>
    </w:div>
    <w:div w:id="869954056">
      <w:bodyDiv w:val="1"/>
      <w:marLeft w:val="0"/>
      <w:marRight w:val="0"/>
      <w:marTop w:val="0"/>
      <w:marBottom w:val="0"/>
      <w:divBdr>
        <w:top w:val="none" w:sz="0" w:space="0" w:color="auto"/>
        <w:left w:val="none" w:sz="0" w:space="0" w:color="auto"/>
        <w:bottom w:val="none" w:sz="0" w:space="0" w:color="auto"/>
        <w:right w:val="none" w:sz="0" w:space="0" w:color="auto"/>
      </w:divBdr>
    </w:div>
    <w:div w:id="932854673">
      <w:bodyDiv w:val="1"/>
      <w:marLeft w:val="0"/>
      <w:marRight w:val="0"/>
      <w:marTop w:val="0"/>
      <w:marBottom w:val="0"/>
      <w:divBdr>
        <w:top w:val="none" w:sz="0" w:space="0" w:color="auto"/>
        <w:left w:val="none" w:sz="0" w:space="0" w:color="auto"/>
        <w:bottom w:val="none" w:sz="0" w:space="0" w:color="auto"/>
        <w:right w:val="none" w:sz="0" w:space="0" w:color="auto"/>
      </w:divBdr>
    </w:div>
    <w:div w:id="1011419265">
      <w:bodyDiv w:val="1"/>
      <w:marLeft w:val="0"/>
      <w:marRight w:val="0"/>
      <w:marTop w:val="0"/>
      <w:marBottom w:val="0"/>
      <w:divBdr>
        <w:top w:val="none" w:sz="0" w:space="0" w:color="auto"/>
        <w:left w:val="none" w:sz="0" w:space="0" w:color="auto"/>
        <w:bottom w:val="none" w:sz="0" w:space="0" w:color="auto"/>
        <w:right w:val="none" w:sz="0" w:space="0" w:color="auto"/>
      </w:divBdr>
    </w:div>
    <w:div w:id="1028064044">
      <w:bodyDiv w:val="1"/>
      <w:marLeft w:val="0"/>
      <w:marRight w:val="0"/>
      <w:marTop w:val="0"/>
      <w:marBottom w:val="0"/>
      <w:divBdr>
        <w:top w:val="none" w:sz="0" w:space="0" w:color="auto"/>
        <w:left w:val="none" w:sz="0" w:space="0" w:color="auto"/>
        <w:bottom w:val="none" w:sz="0" w:space="0" w:color="auto"/>
        <w:right w:val="none" w:sz="0" w:space="0" w:color="auto"/>
      </w:divBdr>
    </w:div>
    <w:div w:id="1071586682">
      <w:bodyDiv w:val="1"/>
      <w:marLeft w:val="0"/>
      <w:marRight w:val="0"/>
      <w:marTop w:val="0"/>
      <w:marBottom w:val="0"/>
      <w:divBdr>
        <w:top w:val="none" w:sz="0" w:space="0" w:color="auto"/>
        <w:left w:val="none" w:sz="0" w:space="0" w:color="auto"/>
        <w:bottom w:val="none" w:sz="0" w:space="0" w:color="auto"/>
        <w:right w:val="none" w:sz="0" w:space="0" w:color="auto"/>
      </w:divBdr>
    </w:div>
    <w:div w:id="1142623303">
      <w:bodyDiv w:val="1"/>
      <w:marLeft w:val="0"/>
      <w:marRight w:val="0"/>
      <w:marTop w:val="0"/>
      <w:marBottom w:val="0"/>
      <w:divBdr>
        <w:top w:val="none" w:sz="0" w:space="0" w:color="auto"/>
        <w:left w:val="none" w:sz="0" w:space="0" w:color="auto"/>
        <w:bottom w:val="none" w:sz="0" w:space="0" w:color="auto"/>
        <w:right w:val="none" w:sz="0" w:space="0" w:color="auto"/>
      </w:divBdr>
    </w:div>
    <w:div w:id="1148480064">
      <w:bodyDiv w:val="1"/>
      <w:marLeft w:val="0"/>
      <w:marRight w:val="0"/>
      <w:marTop w:val="0"/>
      <w:marBottom w:val="0"/>
      <w:divBdr>
        <w:top w:val="none" w:sz="0" w:space="0" w:color="auto"/>
        <w:left w:val="none" w:sz="0" w:space="0" w:color="auto"/>
        <w:bottom w:val="none" w:sz="0" w:space="0" w:color="auto"/>
        <w:right w:val="none" w:sz="0" w:space="0" w:color="auto"/>
      </w:divBdr>
    </w:div>
    <w:div w:id="1186095061">
      <w:bodyDiv w:val="1"/>
      <w:marLeft w:val="0"/>
      <w:marRight w:val="0"/>
      <w:marTop w:val="0"/>
      <w:marBottom w:val="0"/>
      <w:divBdr>
        <w:top w:val="none" w:sz="0" w:space="0" w:color="auto"/>
        <w:left w:val="none" w:sz="0" w:space="0" w:color="auto"/>
        <w:bottom w:val="none" w:sz="0" w:space="0" w:color="auto"/>
        <w:right w:val="none" w:sz="0" w:space="0" w:color="auto"/>
      </w:divBdr>
    </w:div>
    <w:div w:id="1266619388">
      <w:bodyDiv w:val="1"/>
      <w:marLeft w:val="0"/>
      <w:marRight w:val="0"/>
      <w:marTop w:val="0"/>
      <w:marBottom w:val="0"/>
      <w:divBdr>
        <w:top w:val="none" w:sz="0" w:space="0" w:color="auto"/>
        <w:left w:val="none" w:sz="0" w:space="0" w:color="auto"/>
        <w:bottom w:val="none" w:sz="0" w:space="0" w:color="auto"/>
        <w:right w:val="none" w:sz="0" w:space="0" w:color="auto"/>
      </w:divBdr>
    </w:div>
    <w:div w:id="1282151797">
      <w:bodyDiv w:val="1"/>
      <w:marLeft w:val="0"/>
      <w:marRight w:val="0"/>
      <w:marTop w:val="0"/>
      <w:marBottom w:val="0"/>
      <w:divBdr>
        <w:top w:val="none" w:sz="0" w:space="0" w:color="auto"/>
        <w:left w:val="none" w:sz="0" w:space="0" w:color="auto"/>
        <w:bottom w:val="none" w:sz="0" w:space="0" w:color="auto"/>
        <w:right w:val="none" w:sz="0" w:space="0" w:color="auto"/>
      </w:divBdr>
    </w:div>
    <w:div w:id="1335377810">
      <w:bodyDiv w:val="1"/>
      <w:marLeft w:val="0"/>
      <w:marRight w:val="0"/>
      <w:marTop w:val="0"/>
      <w:marBottom w:val="0"/>
      <w:divBdr>
        <w:top w:val="none" w:sz="0" w:space="0" w:color="auto"/>
        <w:left w:val="none" w:sz="0" w:space="0" w:color="auto"/>
        <w:bottom w:val="none" w:sz="0" w:space="0" w:color="auto"/>
        <w:right w:val="none" w:sz="0" w:space="0" w:color="auto"/>
      </w:divBdr>
    </w:div>
    <w:div w:id="1412267076">
      <w:bodyDiv w:val="1"/>
      <w:marLeft w:val="0"/>
      <w:marRight w:val="0"/>
      <w:marTop w:val="0"/>
      <w:marBottom w:val="0"/>
      <w:divBdr>
        <w:top w:val="none" w:sz="0" w:space="0" w:color="auto"/>
        <w:left w:val="none" w:sz="0" w:space="0" w:color="auto"/>
        <w:bottom w:val="none" w:sz="0" w:space="0" w:color="auto"/>
        <w:right w:val="none" w:sz="0" w:space="0" w:color="auto"/>
      </w:divBdr>
    </w:div>
    <w:div w:id="1424688568">
      <w:bodyDiv w:val="1"/>
      <w:marLeft w:val="0"/>
      <w:marRight w:val="0"/>
      <w:marTop w:val="0"/>
      <w:marBottom w:val="0"/>
      <w:divBdr>
        <w:top w:val="none" w:sz="0" w:space="0" w:color="auto"/>
        <w:left w:val="none" w:sz="0" w:space="0" w:color="auto"/>
        <w:bottom w:val="none" w:sz="0" w:space="0" w:color="auto"/>
        <w:right w:val="none" w:sz="0" w:space="0" w:color="auto"/>
      </w:divBdr>
    </w:div>
    <w:div w:id="1470052593">
      <w:bodyDiv w:val="1"/>
      <w:marLeft w:val="0"/>
      <w:marRight w:val="0"/>
      <w:marTop w:val="0"/>
      <w:marBottom w:val="0"/>
      <w:divBdr>
        <w:top w:val="none" w:sz="0" w:space="0" w:color="auto"/>
        <w:left w:val="none" w:sz="0" w:space="0" w:color="auto"/>
        <w:bottom w:val="none" w:sz="0" w:space="0" w:color="auto"/>
        <w:right w:val="none" w:sz="0" w:space="0" w:color="auto"/>
      </w:divBdr>
    </w:div>
    <w:div w:id="1584071204">
      <w:bodyDiv w:val="1"/>
      <w:marLeft w:val="0"/>
      <w:marRight w:val="0"/>
      <w:marTop w:val="0"/>
      <w:marBottom w:val="0"/>
      <w:divBdr>
        <w:top w:val="none" w:sz="0" w:space="0" w:color="auto"/>
        <w:left w:val="none" w:sz="0" w:space="0" w:color="auto"/>
        <w:bottom w:val="none" w:sz="0" w:space="0" w:color="auto"/>
        <w:right w:val="none" w:sz="0" w:space="0" w:color="auto"/>
      </w:divBdr>
    </w:div>
    <w:div w:id="1590232083">
      <w:bodyDiv w:val="1"/>
      <w:marLeft w:val="0"/>
      <w:marRight w:val="0"/>
      <w:marTop w:val="0"/>
      <w:marBottom w:val="0"/>
      <w:divBdr>
        <w:top w:val="none" w:sz="0" w:space="0" w:color="auto"/>
        <w:left w:val="none" w:sz="0" w:space="0" w:color="auto"/>
        <w:bottom w:val="none" w:sz="0" w:space="0" w:color="auto"/>
        <w:right w:val="none" w:sz="0" w:space="0" w:color="auto"/>
      </w:divBdr>
    </w:div>
    <w:div w:id="18491027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260582">
      <w:bodyDiv w:val="1"/>
      <w:marLeft w:val="0"/>
      <w:marRight w:val="0"/>
      <w:marTop w:val="0"/>
      <w:marBottom w:val="0"/>
      <w:divBdr>
        <w:top w:val="none" w:sz="0" w:space="0" w:color="auto"/>
        <w:left w:val="none" w:sz="0" w:space="0" w:color="auto"/>
        <w:bottom w:val="none" w:sz="0" w:space="0" w:color="auto"/>
        <w:right w:val="none" w:sz="0" w:space="0" w:color="auto"/>
      </w:divBdr>
    </w:div>
    <w:div w:id="1912616967">
      <w:bodyDiv w:val="1"/>
      <w:marLeft w:val="0"/>
      <w:marRight w:val="0"/>
      <w:marTop w:val="0"/>
      <w:marBottom w:val="0"/>
      <w:divBdr>
        <w:top w:val="none" w:sz="0" w:space="0" w:color="auto"/>
        <w:left w:val="none" w:sz="0" w:space="0" w:color="auto"/>
        <w:bottom w:val="none" w:sz="0" w:space="0" w:color="auto"/>
        <w:right w:val="none" w:sz="0" w:space="0" w:color="auto"/>
      </w:divBdr>
    </w:div>
    <w:div w:id="1996227582">
      <w:bodyDiv w:val="1"/>
      <w:marLeft w:val="0"/>
      <w:marRight w:val="0"/>
      <w:marTop w:val="0"/>
      <w:marBottom w:val="0"/>
      <w:divBdr>
        <w:top w:val="none" w:sz="0" w:space="0" w:color="auto"/>
        <w:left w:val="none" w:sz="0" w:space="0" w:color="auto"/>
        <w:bottom w:val="none" w:sz="0" w:space="0" w:color="auto"/>
        <w:right w:val="none" w:sz="0" w:space="0" w:color="auto"/>
      </w:divBdr>
    </w:div>
    <w:div w:id="206525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terms/"/>
    <ds:schemaRef ds:uri="eb6c2e4c-3f1c-4103-a37b-37c984dbe58f"/>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http://purl.org/dc/dcmitype/"/>
    <ds:schemaRef ds:uri="http://schemas.openxmlformats.org/package/2006/metadata/core-properties"/>
    <ds:schemaRef ds:uri="b93c647f-d63b-431a-95c8-8e00048cff23"/>
    <ds:schemaRef ds:uri="http://purl.org/dc/elements/1.1/"/>
  </ds:schemaRefs>
</ds:datastoreItem>
</file>

<file path=customXml/itemProps3.xml><?xml version="1.0" encoding="utf-8"?>
<ds:datastoreItem xmlns:ds="http://schemas.openxmlformats.org/officeDocument/2006/customXml" ds:itemID="{C4A33A67-022B-9E4C-85DB-D6C8F9955D26}">
  <ds:schemaRefs>
    <ds:schemaRef ds:uri="http://schemas.openxmlformats.org/officeDocument/2006/bibliography"/>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8</Pages>
  <Words>3328</Words>
  <Characters>18973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Proposition de projet : Macédoine du Nord</vt:lpstr>
    </vt:vector>
  </TitlesOfParts>
  <Company>UNMFS</Company>
  <LinksUpToDate>false</LinksUpToDate>
  <CharactersWithSpaces>22257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Macédoine du Nord</dc:title>
  <dc:creator>XW / JS</dc:creator>
  <cp:keywords>96th ExCom</cp:keywords>
  <cp:lastModifiedBy>Martine Chery</cp:lastModifiedBy>
  <cp:revision>2</cp:revision>
  <cp:lastPrinted>2001-05-26T16:40:00Z</cp:lastPrinted>
  <dcterms:created xsi:type="dcterms:W3CDTF">2025-04-25T21:46:00Z</dcterms:created>
  <dcterms:modified xsi:type="dcterms:W3CDTF">2025-04-25T21:46:00Z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UNEP/OzL.Pro/ExCom/96/49</vt:lpwstr>
  </property>
  <property fmtid="{D5CDD505-2E9C-101B-9397-08002B2CF9AE}" pid="3" name="Revision date">
    <vt:lpwstr>4/24/2024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