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977F6A">
        <w:trPr>
          <w:trHeight w:val="720"/>
        </w:trPr>
        <w:tc>
          <w:tcPr>
            <w:tcW w:w="5490" w:type="dxa"/>
            <w:gridSpan w:val="2"/>
            <w:tcBorders>
              <w:bottom w:val="single" w:sz="18" w:space="0" w:color="auto"/>
            </w:tcBorders>
          </w:tcPr>
          <w:p w:rsidR="00977F6A" w:rsidRDefault="00111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UNITED</w:t>
            </w:r>
            <w:r>
              <w:rPr>
                <w:rFonts w:ascii="Univers" w:hAnsi="Univers"/>
                <w:b/>
                <w:sz w:val="28"/>
                <w:szCs w:val="28"/>
                <w:lang w:val="en-CA"/>
              </w:rPr>
              <w:br/>
              <w:t>NATIONS</w:t>
            </w:r>
          </w:p>
        </w:tc>
        <w:tc>
          <w:tcPr>
            <w:tcW w:w="4590" w:type="dxa"/>
            <w:tcBorders>
              <w:bottom w:val="single" w:sz="18" w:space="0" w:color="auto"/>
            </w:tcBorders>
          </w:tcPr>
          <w:p w:rsidR="00977F6A" w:rsidRDefault="00111C5D">
            <w:pPr>
              <w:jc w:val="right"/>
              <w:rPr>
                <w:sz w:val="52"/>
                <w:szCs w:val="52"/>
                <w:lang w:val="en-CA"/>
              </w:rPr>
            </w:pPr>
            <w:r>
              <w:rPr>
                <w:rFonts w:ascii="Univers Bold" w:hAnsi="Univers Bold"/>
                <w:b/>
                <w:sz w:val="72"/>
                <w:lang w:val="en-CA"/>
              </w:rPr>
              <w:t>EP</w:t>
            </w:r>
          </w:p>
        </w:tc>
      </w:tr>
      <w:tr w:rsidR="00977F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977F6A" w:rsidRDefault="00111C5D">
            <w:pPr>
              <w:spacing w:before="120"/>
              <w:rPr>
                <w:lang w:val="en-CA"/>
              </w:rPr>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977F6A" w:rsidRDefault="00111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Pr>
                <w:rFonts w:ascii="Univers" w:hAnsi="Univers"/>
                <w:b/>
                <w:sz w:val="32"/>
                <w:lang w:val="en-CA"/>
              </w:rPr>
              <w:t>United Nations</w:t>
            </w:r>
          </w:p>
          <w:p w:rsidR="00977F6A" w:rsidRDefault="00111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Pr>
                <w:rFonts w:ascii="Univers" w:hAnsi="Univers"/>
                <w:b/>
                <w:sz w:val="32"/>
                <w:lang w:val="en-CA"/>
              </w:rPr>
              <w:t>Environment</w:t>
            </w:r>
          </w:p>
          <w:p w:rsidR="00977F6A" w:rsidRDefault="00111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Pr>
                <w:rFonts w:ascii="Univers" w:hAnsi="Univers"/>
                <w:b/>
                <w:sz w:val="32"/>
                <w:lang w:val="en-CA"/>
              </w:rPr>
              <w:t>Programme</w:t>
            </w:r>
          </w:p>
          <w:p w:rsidR="00977F6A" w:rsidRDefault="00977F6A">
            <w:pPr>
              <w:spacing w:before="720"/>
              <w:ind w:left="158"/>
              <w:rPr>
                <w:lang w:val="en-CA"/>
              </w:rPr>
            </w:pPr>
          </w:p>
        </w:tc>
        <w:tc>
          <w:tcPr>
            <w:tcW w:w="4590" w:type="dxa"/>
            <w:tcBorders>
              <w:top w:val="nil"/>
              <w:left w:val="nil"/>
              <w:bottom w:val="single" w:sz="36" w:space="0" w:color="auto"/>
              <w:right w:val="nil"/>
            </w:tcBorders>
          </w:tcPr>
          <w:p w:rsidR="00977F6A" w:rsidRDefault="00111C5D">
            <w:pPr>
              <w:rPr>
                <w:lang w:val="en-CA"/>
              </w:rPr>
            </w:pPr>
            <w:r>
              <w:rPr>
                <w:lang w:val="en-CA"/>
              </w:rPr>
              <w:t>Distr.</w:t>
            </w:r>
          </w:p>
          <w:p w:rsidR="00977F6A" w:rsidRDefault="00111C5D">
            <w:pPr>
              <w:rPr>
                <w:lang w:val="en-CA"/>
              </w:rPr>
            </w:pPr>
            <w:r>
              <w:rPr>
                <w:lang w:val="en-CA"/>
              </w:rPr>
              <w:t>GENERAL</w:t>
            </w:r>
          </w:p>
          <w:p w:rsidR="00977F6A" w:rsidRDefault="00977F6A">
            <w:pPr>
              <w:rPr>
                <w:lang w:val="en-CA"/>
              </w:rPr>
            </w:pPr>
          </w:p>
          <w:p w:rsidR="00977F6A" w:rsidRDefault="00977F6A">
            <w:pPr>
              <w:rPr>
                <w:lang w:val="en-CA"/>
              </w:rPr>
            </w:pPr>
          </w:p>
          <w:p w:rsidR="00977F6A" w:rsidRDefault="00111C5D">
            <w:pPr>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/77/38</w:t>
            </w:r>
            <w:r>
              <w:rPr>
                <w:lang w:val="en-CA"/>
              </w:rPr>
              <w:fldChar w:fldCharType="end"/>
            </w:r>
          </w:p>
          <w:p w:rsidR="00977F6A" w:rsidRDefault="00111C5D">
            <w:pPr>
              <w:rPr>
                <w:lang w:val="en-CA"/>
              </w:rPr>
            </w:pPr>
            <w:r>
              <w:rPr>
                <w:lang w:val="en-CA"/>
              </w:rPr>
              <w:fldChar w:fldCharType="begin"/>
            </w:r>
            <w:r>
              <w:rPr>
                <w:lang w:val="en-CA"/>
              </w:rPr>
              <w:instrText xml:space="preserve"> DOCPROPERTY "Revision date" \@ "d MMMM YYYY"  \* MERGEFORMAT </w:instrText>
            </w:r>
            <w:r>
              <w:rPr>
                <w:lang w:val="en-CA"/>
              </w:rPr>
              <w:fldChar w:fldCharType="separate"/>
            </w:r>
            <w:r w:rsidR="00903473">
              <w:rPr>
                <w:lang w:val="en-CA"/>
              </w:rPr>
              <w:t>1 November 2016</w:t>
            </w:r>
            <w:r>
              <w:rPr>
                <w:lang w:val="en-CA"/>
              </w:rPr>
              <w:fldChar w:fldCharType="end"/>
            </w:r>
          </w:p>
          <w:p w:rsidR="00977F6A" w:rsidRDefault="00977F6A">
            <w:pPr>
              <w:rPr>
                <w:caps/>
                <w:lang w:val="en-CA"/>
              </w:rPr>
            </w:pPr>
          </w:p>
          <w:p w:rsidR="00977F6A" w:rsidRDefault="00111C5D">
            <w:pPr>
              <w:rPr>
                <w:lang w:val="en-CA"/>
              </w:rPr>
            </w:pPr>
            <w:r>
              <w:rPr>
                <w:lang w:val="en-CA"/>
              </w:rPr>
              <w:t>ORIGINAL: ENGLISH</w:t>
            </w:r>
          </w:p>
        </w:tc>
      </w:tr>
    </w:tbl>
    <w:p w:rsidR="00977F6A" w:rsidRDefault="00111C5D">
      <w:pPr>
        <w:jc w:val="left"/>
        <w:rPr>
          <w:lang w:val="en-CA"/>
        </w:rPr>
      </w:pPr>
      <w:r>
        <w:rPr>
          <w:lang w:val="en-CA"/>
        </w:rPr>
        <w:t>EXECUTIVE COMMITTEE OF</w:t>
      </w:r>
      <w:r>
        <w:rPr>
          <w:lang w:val="en-CA"/>
        </w:rPr>
        <w:br/>
        <w:t xml:space="preserve">  THE MULTILATERAL FUND FOR THE</w:t>
      </w:r>
      <w:r>
        <w:rPr>
          <w:lang w:val="en-CA"/>
        </w:rPr>
        <w:br/>
        <w:t xml:space="preserve">  IMPLEMENTATION OF THE MONTREAL PROTOCOL</w:t>
      </w:r>
      <w:r>
        <w:rPr>
          <w:lang w:val="en-CA"/>
        </w:rPr>
        <w:br/>
        <w:t>Seventy-seventh Meeting</w:t>
      </w:r>
    </w:p>
    <w:p w:rsidR="00977F6A" w:rsidRDefault="00111C5D">
      <w:pPr>
        <w:jc w:val="left"/>
        <w:rPr>
          <w:lang w:val="en-CA"/>
        </w:rPr>
      </w:pPr>
      <w:r>
        <w:rPr>
          <w:lang w:val="en-CA"/>
        </w:rPr>
        <w:t>Montreal, 28 November - 2 December 2016</w:t>
      </w:r>
    </w:p>
    <w:p w:rsidR="00977F6A" w:rsidRDefault="00977F6A">
      <w:pPr>
        <w:jc w:val="left"/>
        <w:rPr>
          <w:lang w:val="en-CA"/>
        </w:rPr>
      </w:pPr>
    </w:p>
    <w:p w:rsidR="00977F6A" w:rsidRDefault="00977F6A">
      <w:pPr>
        <w:pStyle w:val="Heading3"/>
        <w:numPr>
          <w:ilvl w:val="0"/>
          <w:numId w:val="0"/>
        </w:numPr>
        <w:spacing w:after="0"/>
        <w:rPr>
          <w:lang w:val="en-CA"/>
        </w:rPr>
      </w:pPr>
    </w:p>
    <w:p w:rsidR="00977F6A" w:rsidRDefault="00977F6A">
      <w:pPr>
        <w:pStyle w:val="Heading1"/>
        <w:numPr>
          <w:ilvl w:val="0"/>
          <w:numId w:val="0"/>
        </w:numPr>
        <w:spacing w:after="0"/>
        <w:rPr>
          <w:lang w:val="en-CA"/>
        </w:rPr>
      </w:pPr>
    </w:p>
    <w:p w:rsidR="00977F6A" w:rsidRDefault="00977F6A">
      <w:pPr>
        <w:rPr>
          <w:lang w:val="en-CA"/>
        </w:rPr>
      </w:pPr>
    </w:p>
    <w:p w:rsidR="00977F6A" w:rsidRDefault="00977F6A">
      <w:pPr>
        <w:rPr>
          <w:lang w:val="en-CA"/>
        </w:rPr>
      </w:pPr>
    </w:p>
    <w:p w:rsidR="00977F6A" w:rsidRDefault="00111C5D">
      <w:pPr>
        <w:jc w:val="center"/>
        <w:rPr>
          <w:b/>
          <w:lang w:val="en-CA"/>
        </w:rPr>
      </w:pPr>
      <w:r>
        <w:rPr>
          <w:b/>
          <w:lang w:val="en-CA"/>
        </w:rPr>
        <w:t xml:space="preserve">PROJECT PROPOSAL:  </w:t>
      </w:r>
      <w:r>
        <w:rPr>
          <w:b/>
        </w:rPr>
        <w:t>COMOROS (THE)</w:t>
      </w:r>
    </w:p>
    <w:p w:rsidR="00977F6A" w:rsidRDefault="00977F6A">
      <w:pPr>
        <w:rPr>
          <w:lang w:val="en-CA"/>
        </w:rPr>
      </w:pPr>
    </w:p>
    <w:p w:rsidR="00977F6A" w:rsidRDefault="00977F6A">
      <w:pPr>
        <w:rPr>
          <w:lang w:val="en-CA"/>
        </w:rPr>
      </w:pPr>
    </w:p>
    <w:p w:rsidR="00977F6A" w:rsidRDefault="00111C5D">
      <w:pPr>
        <w:ind w:firstLine="720"/>
        <w:rPr>
          <w:lang w:val="en-CA"/>
        </w:rPr>
      </w:pPr>
      <w:r>
        <w:rPr>
          <w:lang w:val="en-CA"/>
        </w:rPr>
        <w:t xml:space="preserve">This document consists of the comments and recommendation of the Secretariat on the following project proposal: </w:t>
      </w:r>
    </w:p>
    <w:p w:rsidR="00977F6A" w:rsidRDefault="00977F6A">
      <w:pPr>
        <w:rPr>
          <w:lang w:val="en-CA"/>
        </w:rPr>
      </w:pPr>
    </w:p>
    <w:p w:rsidR="00977F6A" w:rsidRDefault="00111C5D">
      <w:pPr>
        <w:rPr>
          <w:u w:val="single"/>
          <w:lang w:val="en-CA"/>
        </w:rPr>
      </w:pPr>
      <w:r>
        <w:rPr>
          <w:u w:val="single"/>
          <w:lang w:val="en-CA"/>
        </w:rPr>
        <w:t>Phase-out</w:t>
      </w:r>
    </w:p>
    <w:p w:rsidR="00977F6A" w:rsidRDefault="00977F6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977F6A">
        <w:tc>
          <w:tcPr>
            <w:tcW w:w="7128" w:type="dxa"/>
          </w:tcPr>
          <w:p w:rsidR="00977F6A" w:rsidRDefault="00111C5D">
            <w:pPr>
              <w:rPr>
                <w:lang w:val="en-CA"/>
              </w:rPr>
            </w:pPr>
            <w:r>
              <w:rPr>
                <w:lang w:val="en-CA"/>
              </w:rPr>
              <w:t>•</w:t>
            </w:r>
            <w:r>
              <w:rPr>
                <w:lang w:val="en-CA"/>
              </w:rPr>
              <w:tab/>
              <w:t>HCFC phase-out management plan (stage I, third tranche)</w:t>
            </w:r>
          </w:p>
        </w:tc>
        <w:tc>
          <w:tcPr>
            <w:tcW w:w="2448" w:type="dxa"/>
          </w:tcPr>
          <w:p w:rsidR="00977F6A" w:rsidRDefault="00111C5D">
            <w:pPr>
              <w:jc w:val="right"/>
              <w:rPr>
                <w:lang w:val="en-CA"/>
              </w:rPr>
            </w:pPr>
            <w:r>
              <w:rPr>
                <w:lang w:val="en-CA"/>
              </w:rPr>
              <w:t>UNEP</w:t>
            </w:r>
          </w:p>
        </w:tc>
      </w:tr>
    </w:tbl>
    <w:p w:rsidR="00977F6A" w:rsidRDefault="00977F6A">
      <w:pPr>
        <w:pStyle w:val="Title1"/>
        <w:rPr>
          <w:lang w:val="en-CA"/>
        </w:rPr>
      </w:pPr>
    </w:p>
    <w:p w:rsidR="00977F6A" w:rsidRDefault="00977F6A">
      <w:pPr>
        <w:pStyle w:val="Heading1"/>
        <w:numPr>
          <w:ilvl w:val="0"/>
          <w:numId w:val="0"/>
        </w:numPr>
        <w:rPr>
          <w:lang w:val="en-CA"/>
        </w:rPr>
      </w:pPr>
    </w:p>
    <w:p w:rsidR="00977F6A" w:rsidRDefault="00977F6A">
      <w:pPr>
        <w:pStyle w:val="StyleHeader4Para4Left0Firstline0"/>
        <w:numPr>
          <w:ilvl w:val="0"/>
          <w:numId w:val="0"/>
        </w:numPr>
        <w:rPr>
          <w:lang w:val="en-CA"/>
        </w:rPr>
      </w:pPr>
    </w:p>
    <w:p w:rsidR="00977F6A" w:rsidRDefault="00111C5D">
      <w:pPr>
        <w:pStyle w:val="StyleHeader4Para4Left0Firstline0"/>
        <w:numPr>
          <w:ilvl w:val="0"/>
          <w:numId w:val="0"/>
        </w:numPr>
        <w:rPr>
          <w:lang w:val="en-CA"/>
        </w:rPr>
      </w:pPr>
      <w:r>
        <w:rPr>
          <w:lang w:val="en-CA"/>
        </w:rPr>
        <w:br w:type="page"/>
      </w:r>
    </w:p>
    <w:p w:rsidR="00977F6A" w:rsidRDefault="00111C5D">
      <w:pPr>
        <w:spacing w:after="80"/>
        <w:jc w:val="center"/>
        <w:rPr>
          <w:b/>
          <w:sz w:val="24"/>
        </w:rPr>
      </w:pPr>
      <w:r>
        <w:rPr>
          <w:b/>
          <w:sz w:val="24"/>
        </w:rPr>
        <w:lastRenderedPageBreak/>
        <w:t>PROJECT EVALUATION SHEET – MULTI-YEAR PROJECTS</w:t>
      </w:r>
    </w:p>
    <w:p w:rsidR="00977F6A" w:rsidRDefault="00111C5D">
      <w:pPr>
        <w:spacing w:after="80"/>
        <w:jc w:val="center"/>
      </w:pPr>
      <w:r>
        <w:rPr>
          <w:b/>
          <w:sz w:val="24"/>
        </w:rPr>
        <w:t xml:space="preserve">Comoros                                           </w:t>
      </w:r>
    </w:p>
    <w:tbl>
      <w:tblPr>
        <w:tblStyle w:val="TableGrid"/>
        <w:tblW w:w="10560" w:type="dxa"/>
        <w:jc w:val="center"/>
        <w:tblInd w:w="-1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5"/>
        <w:gridCol w:w="2463"/>
        <w:gridCol w:w="2542"/>
        <w:gridCol w:w="2890"/>
      </w:tblGrid>
      <w:tr w:rsidR="00977F6A">
        <w:trPr>
          <w:trHeight w:val="240"/>
          <w:jc w:val="center"/>
        </w:trPr>
        <w:tc>
          <w:tcPr>
            <w:tcW w:w="2665" w:type="dxa"/>
            <w:shd w:val="clear" w:color="auto" w:fill="auto"/>
          </w:tcPr>
          <w:p w:rsidR="00977F6A" w:rsidRDefault="00111C5D">
            <w:pPr>
              <w:spacing w:after="80"/>
              <w:jc w:val="left"/>
              <w:rPr>
                <w:b/>
                <w:sz w:val="18"/>
              </w:rPr>
            </w:pPr>
            <w:r>
              <w:rPr>
                <w:b/>
                <w:sz w:val="18"/>
              </w:rPr>
              <w:t>(I) PROJECT TITLE</w:t>
            </w:r>
          </w:p>
        </w:tc>
        <w:tc>
          <w:tcPr>
            <w:tcW w:w="2463" w:type="dxa"/>
            <w:shd w:val="clear" w:color="auto" w:fill="auto"/>
          </w:tcPr>
          <w:p w:rsidR="00977F6A" w:rsidRDefault="00111C5D">
            <w:pPr>
              <w:spacing w:after="80"/>
              <w:jc w:val="center"/>
              <w:rPr>
                <w:b/>
                <w:sz w:val="18"/>
              </w:rPr>
            </w:pPr>
            <w:r>
              <w:rPr>
                <w:b/>
                <w:sz w:val="18"/>
              </w:rPr>
              <w:t>AGENCY</w:t>
            </w:r>
          </w:p>
        </w:tc>
        <w:tc>
          <w:tcPr>
            <w:tcW w:w="2542" w:type="dxa"/>
            <w:shd w:val="clear" w:color="auto" w:fill="auto"/>
          </w:tcPr>
          <w:p w:rsidR="00977F6A" w:rsidRDefault="00111C5D">
            <w:pPr>
              <w:spacing w:after="80"/>
              <w:jc w:val="center"/>
              <w:rPr>
                <w:b/>
                <w:sz w:val="18"/>
              </w:rPr>
            </w:pPr>
            <w:r>
              <w:rPr>
                <w:b/>
                <w:sz w:val="18"/>
              </w:rPr>
              <w:t>MEETING APPROVED</w:t>
            </w:r>
          </w:p>
        </w:tc>
        <w:tc>
          <w:tcPr>
            <w:tcW w:w="2890" w:type="dxa"/>
            <w:shd w:val="clear" w:color="auto" w:fill="auto"/>
          </w:tcPr>
          <w:p w:rsidR="00977F6A" w:rsidRDefault="00111C5D">
            <w:pPr>
              <w:spacing w:after="80"/>
              <w:jc w:val="center"/>
              <w:rPr>
                <w:b/>
                <w:sz w:val="18"/>
              </w:rPr>
            </w:pPr>
            <w:r>
              <w:rPr>
                <w:b/>
                <w:sz w:val="18"/>
              </w:rPr>
              <w:t>CONTROL MEASURE</w:t>
            </w:r>
          </w:p>
        </w:tc>
      </w:tr>
      <w:tr w:rsidR="00977F6A">
        <w:trPr>
          <w:trHeight w:val="240"/>
          <w:jc w:val="center"/>
        </w:trPr>
        <w:tc>
          <w:tcPr>
            <w:tcW w:w="2665" w:type="dxa"/>
            <w:shd w:val="clear" w:color="auto" w:fill="auto"/>
          </w:tcPr>
          <w:p w:rsidR="00977F6A" w:rsidRDefault="00111C5D">
            <w:pPr>
              <w:spacing w:after="80"/>
              <w:jc w:val="center"/>
              <w:rPr>
                <w:sz w:val="18"/>
              </w:rPr>
            </w:pPr>
            <w:r>
              <w:rPr>
                <w:sz w:val="18"/>
              </w:rPr>
              <w:t>HCFC phase out plan (Stage I)</w:t>
            </w:r>
          </w:p>
        </w:tc>
        <w:tc>
          <w:tcPr>
            <w:tcW w:w="2463" w:type="dxa"/>
            <w:shd w:val="clear" w:color="auto" w:fill="auto"/>
          </w:tcPr>
          <w:p w:rsidR="00977F6A" w:rsidRDefault="00111C5D">
            <w:pPr>
              <w:spacing w:after="80"/>
              <w:jc w:val="center"/>
              <w:rPr>
                <w:sz w:val="18"/>
              </w:rPr>
            </w:pPr>
            <w:r>
              <w:rPr>
                <w:sz w:val="18"/>
              </w:rPr>
              <w:t>UNEP (lead)</w:t>
            </w:r>
          </w:p>
        </w:tc>
        <w:tc>
          <w:tcPr>
            <w:tcW w:w="2542" w:type="dxa"/>
            <w:shd w:val="clear" w:color="auto" w:fill="auto"/>
          </w:tcPr>
          <w:p w:rsidR="00977F6A" w:rsidRDefault="00111C5D">
            <w:pPr>
              <w:spacing w:after="80"/>
              <w:jc w:val="center"/>
              <w:rPr>
                <w:sz w:val="18"/>
              </w:rPr>
            </w:pPr>
            <w:r>
              <w:rPr>
                <w:sz w:val="18"/>
              </w:rPr>
              <w:t>64</w:t>
            </w:r>
            <w:r>
              <w:rPr>
                <w:sz w:val="18"/>
                <w:vertAlign w:val="superscript"/>
              </w:rPr>
              <w:t>th</w:t>
            </w:r>
            <w:r>
              <w:rPr>
                <w:sz w:val="18"/>
              </w:rPr>
              <w:t xml:space="preserve"> </w:t>
            </w:r>
          </w:p>
        </w:tc>
        <w:tc>
          <w:tcPr>
            <w:tcW w:w="2890" w:type="dxa"/>
            <w:shd w:val="clear" w:color="auto" w:fill="auto"/>
          </w:tcPr>
          <w:p w:rsidR="00977F6A" w:rsidRDefault="00111C5D">
            <w:pPr>
              <w:spacing w:after="80"/>
              <w:jc w:val="center"/>
              <w:rPr>
                <w:sz w:val="18"/>
              </w:rPr>
            </w:pPr>
            <w:r>
              <w:rPr>
                <w:sz w:val="18"/>
              </w:rPr>
              <w:t>35% by 2020</w:t>
            </w:r>
          </w:p>
        </w:tc>
      </w:tr>
    </w:tbl>
    <w:p w:rsidR="00977F6A" w:rsidRDefault="00977F6A">
      <w:pPr>
        <w:spacing w:after="60"/>
        <w:jc w:val="center"/>
      </w:pPr>
    </w:p>
    <w:tbl>
      <w:tblPr>
        <w:tblStyle w:val="TableGrid"/>
        <w:tblW w:w="10590" w:type="dxa"/>
        <w:jc w:val="center"/>
        <w:tblInd w:w="-21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10"/>
        <w:gridCol w:w="2400"/>
        <w:gridCol w:w="2780"/>
      </w:tblGrid>
      <w:tr w:rsidR="00977F6A">
        <w:trPr>
          <w:trHeight w:val="240"/>
          <w:jc w:val="center"/>
        </w:trPr>
        <w:tc>
          <w:tcPr>
            <w:tcW w:w="5410" w:type="dxa"/>
            <w:shd w:val="clear" w:color="auto" w:fill="auto"/>
          </w:tcPr>
          <w:p w:rsidR="00977F6A" w:rsidRDefault="00111C5D">
            <w:pPr>
              <w:spacing w:after="60"/>
              <w:jc w:val="left"/>
              <w:rPr>
                <w:b/>
                <w:sz w:val="18"/>
              </w:rPr>
            </w:pPr>
            <w:r>
              <w:rPr>
                <w:b/>
                <w:sz w:val="18"/>
              </w:rPr>
              <w:t>(II) LATEST ARTICLE 7 DATA (Annex C Group l)</w:t>
            </w:r>
          </w:p>
        </w:tc>
        <w:tc>
          <w:tcPr>
            <w:tcW w:w="2400" w:type="dxa"/>
            <w:shd w:val="clear" w:color="auto" w:fill="auto"/>
          </w:tcPr>
          <w:p w:rsidR="00977F6A" w:rsidRDefault="00111C5D">
            <w:pPr>
              <w:spacing w:after="60"/>
              <w:jc w:val="center"/>
              <w:rPr>
                <w:sz w:val="18"/>
              </w:rPr>
            </w:pPr>
            <w:r>
              <w:rPr>
                <w:sz w:val="18"/>
              </w:rPr>
              <w:t>Year: 2015</w:t>
            </w:r>
          </w:p>
        </w:tc>
        <w:tc>
          <w:tcPr>
            <w:tcW w:w="2780" w:type="dxa"/>
            <w:shd w:val="clear" w:color="auto" w:fill="auto"/>
          </w:tcPr>
          <w:p w:rsidR="00977F6A" w:rsidRDefault="00111C5D">
            <w:pPr>
              <w:spacing w:after="60"/>
              <w:jc w:val="right"/>
              <w:rPr>
                <w:sz w:val="18"/>
              </w:rPr>
            </w:pPr>
            <w:r>
              <w:rPr>
                <w:sz w:val="18"/>
              </w:rPr>
              <w:t>0.10 (ODP tonnes)</w:t>
            </w:r>
          </w:p>
        </w:tc>
      </w:tr>
    </w:tbl>
    <w:p w:rsidR="00977F6A" w:rsidRDefault="00977F6A">
      <w:pPr>
        <w:spacing w:after="60"/>
        <w:jc w:val="center"/>
      </w:pPr>
    </w:p>
    <w:tbl>
      <w:tblPr>
        <w:tblStyle w:val="TableGrid"/>
        <w:tblW w:w="10591" w:type="dxa"/>
        <w:jc w:val="center"/>
        <w:tblInd w:w="-1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786"/>
        <w:gridCol w:w="627"/>
        <w:gridCol w:w="997"/>
        <w:gridCol w:w="1286"/>
        <w:gridCol w:w="906"/>
        <w:gridCol w:w="767"/>
        <w:gridCol w:w="1041"/>
        <w:gridCol w:w="676"/>
        <w:gridCol w:w="2109"/>
      </w:tblGrid>
      <w:tr w:rsidR="00977F6A">
        <w:trPr>
          <w:trHeight w:val="240"/>
          <w:jc w:val="center"/>
        </w:trPr>
        <w:tc>
          <w:tcPr>
            <w:tcW w:w="7806" w:type="dxa"/>
            <w:gridSpan w:val="8"/>
            <w:shd w:val="clear" w:color="auto" w:fill="auto"/>
          </w:tcPr>
          <w:p w:rsidR="00977F6A" w:rsidRDefault="00111C5D">
            <w:pPr>
              <w:spacing w:after="60"/>
              <w:jc w:val="left"/>
              <w:rPr>
                <w:b/>
                <w:sz w:val="18"/>
              </w:rPr>
            </w:pPr>
            <w:r>
              <w:rPr>
                <w:b/>
                <w:sz w:val="18"/>
              </w:rPr>
              <w:t>(III) LATEST COUNTRY PROGRAMME SECTORAL DATA (ODP tonnes)</w:t>
            </w:r>
          </w:p>
        </w:tc>
        <w:tc>
          <w:tcPr>
            <w:tcW w:w="2785" w:type="dxa"/>
            <w:gridSpan w:val="2"/>
            <w:shd w:val="clear" w:color="auto" w:fill="auto"/>
          </w:tcPr>
          <w:p w:rsidR="00977F6A" w:rsidRDefault="00111C5D">
            <w:pPr>
              <w:spacing w:after="60"/>
              <w:jc w:val="right"/>
              <w:rPr>
                <w:b/>
                <w:sz w:val="18"/>
              </w:rPr>
            </w:pPr>
            <w:r>
              <w:rPr>
                <w:b/>
                <w:sz w:val="18"/>
              </w:rPr>
              <w:t>Year: 2015</w:t>
            </w:r>
          </w:p>
        </w:tc>
      </w:tr>
      <w:tr w:rsidR="00977F6A">
        <w:trPr>
          <w:trHeight w:val="240"/>
          <w:jc w:val="center"/>
        </w:trPr>
        <w:tc>
          <w:tcPr>
            <w:tcW w:w="1396" w:type="dxa"/>
            <w:shd w:val="clear" w:color="auto" w:fill="auto"/>
          </w:tcPr>
          <w:p w:rsidR="00977F6A" w:rsidRDefault="00111C5D">
            <w:pPr>
              <w:spacing w:after="60"/>
              <w:jc w:val="center"/>
              <w:rPr>
                <w:sz w:val="18"/>
              </w:rPr>
            </w:pPr>
            <w:r>
              <w:rPr>
                <w:sz w:val="18"/>
              </w:rPr>
              <w:t>Chemical</w:t>
            </w:r>
          </w:p>
        </w:tc>
        <w:tc>
          <w:tcPr>
            <w:tcW w:w="0" w:type="auto"/>
            <w:shd w:val="clear" w:color="auto" w:fill="auto"/>
          </w:tcPr>
          <w:p w:rsidR="00977F6A" w:rsidRDefault="00111C5D">
            <w:pPr>
              <w:spacing w:after="60"/>
              <w:jc w:val="center"/>
              <w:rPr>
                <w:sz w:val="18"/>
              </w:rPr>
            </w:pPr>
            <w:r>
              <w:rPr>
                <w:sz w:val="18"/>
              </w:rPr>
              <w:t>Aerosol</w:t>
            </w:r>
          </w:p>
        </w:tc>
        <w:tc>
          <w:tcPr>
            <w:tcW w:w="0" w:type="auto"/>
            <w:shd w:val="clear" w:color="auto" w:fill="auto"/>
          </w:tcPr>
          <w:p w:rsidR="00977F6A" w:rsidRDefault="00111C5D">
            <w:pPr>
              <w:spacing w:after="60"/>
              <w:jc w:val="center"/>
              <w:rPr>
                <w:sz w:val="18"/>
              </w:rPr>
            </w:pPr>
            <w:r>
              <w:rPr>
                <w:sz w:val="18"/>
              </w:rPr>
              <w:t>Foam</w:t>
            </w:r>
          </w:p>
        </w:tc>
        <w:tc>
          <w:tcPr>
            <w:tcW w:w="0" w:type="auto"/>
            <w:shd w:val="clear" w:color="auto" w:fill="auto"/>
          </w:tcPr>
          <w:p w:rsidR="00977F6A" w:rsidRDefault="00111C5D">
            <w:pPr>
              <w:spacing w:after="60"/>
              <w:jc w:val="center"/>
              <w:rPr>
                <w:sz w:val="18"/>
              </w:rPr>
            </w:pPr>
            <w:r>
              <w:rPr>
                <w:sz w:val="18"/>
              </w:rPr>
              <w:t>Fire fighting</w:t>
            </w:r>
          </w:p>
        </w:tc>
        <w:tc>
          <w:tcPr>
            <w:tcW w:w="0" w:type="auto"/>
            <w:gridSpan w:val="2"/>
            <w:shd w:val="clear" w:color="auto" w:fill="auto"/>
          </w:tcPr>
          <w:p w:rsidR="00977F6A" w:rsidRDefault="00111C5D">
            <w:pPr>
              <w:spacing w:after="60"/>
              <w:jc w:val="center"/>
              <w:rPr>
                <w:sz w:val="18"/>
              </w:rPr>
            </w:pPr>
            <w:r>
              <w:rPr>
                <w:sz w:val="18"/>
              </w:rPr>
              <w:t>Refrigeration</w:t>
            </w:r>
          </w:p>
        </w:tc>
        <w:tc>
          <w:tcPr>
            <w:tcW w:w="0" w:type="auto"/>
            <w:shd w:val="clear" w:color="auto" w:fill="auto"/>
          </w:tcPr>
          <w:p w:rsidR="00977F6A" w:rsidRDefault="00111C5D">
            <w:pPr>
              <w:spacing w:after="60"/>
              <w:jc w:val="center"/>
              <w:rPr>
                <w:sz w:val="18"/>
              </w:rPr>
            </w:pPr>
            <w:r>
              <w:rPr>
                <w:sz w:val="18"/>
              </w:rPr>
              <w:t>Solvent</w:t>
            </w:r>
          </w:p>
        </w:tc>
        <w:tc>
          <w:tcPr>
            <w:tcW w:w="0" w:type="auto"/>
            <w:shd w:val="clear" w:color="auto" w:fill="auto"/>
          </w:tcPr>
          <w:p w:rsidR="00977F6A" w:rsidRDefault="00111C5D">
            <w:pPr>
              <w:spacing w:after="60"/>
              <w:jc w:val="center"/>
              <w:rPr>
                <w:sz w:val="18"/>
              </w:rPr>
            </w:pPr>
            <w:r>
              <w:rPr>
                <w:sz w:val="18"/>
              </w:rPr>
              <w:t>Process agent</w:t>
            </w:r>
          </w:p>
        </w:tc>
        <w:tc>
          <w:tcPr>
            <w:tcW w:w="0" w:type="auto"/>
            <w:shd w:val="clear" w:color="auto" w:fill="auto"/>
          </w:tcPr>
          <w:p w:rsidR="00977F6A" w:rsidRDefault="00111C5D">
            <w:pPr>
              <w:spacing w:after="60"/>
              <w:jc w:val="center"/>
              <w:rPr>
                <w:sz w:val="18"/>
              </w:rPr>
            </w:pPr>
            <w:r>
              <w:rPr>
                <w:sz w:val="18"/>
              </w:rPr>
              <w:t>Lab use</w:t>
            </w:r>
          </w:p>
        </w:tc>
        <w:tc>
          <w:tcPr>
            <w:tcW w:w="2109" w:type="dxa"/>
            <w:shd w:val="clear" w:color="auto" w:fill="auto"/>
          </w:tcPr>
          <w:p w:rsidR="00977F6A" w:rsidRDefault="00111C5D">
            <w:pPr>
              <w:spacing w:after="60"/>
              <w:jc w:val="center"/>
              <w:rPr>
                <w:sz w:val="18"/>
              </w:rPr>
            </w:pPr>
            <w:r>
              <w:rPr>
                <w:sz w:val="18"/>
              </w:rPr>
              <w:t>Total sector consumption</w:t>
            </w:r>
          </w:p>
        </w:tc>
      </w:tr>
      <w:tr w:rsidR="00977F6A">
        <w:trPr>
          <w:trHeight w:val="240"/>
          <w:jc w:val="center"/>
        </w:trPr>
        <w:tc>
          <w:tcPr>
            <w:tcW w:w="3806" w:type="dxa"/>
            <w:gridSpan w:val="4"/>
            <w:shd w:val="clear" w:color="auto" w:fill="auto"/>
          </w:tcPr>
          <w:p w:rsidR="00977F6A" w:rsidRDefault="00111C5D">
            <w:pPr>
              <w:spacing w:after="60"/>
              <w:jc w:val="center"/>
              <w:rPr>
                <w:sz w:val="18"/>
              </w:rPr>
            </w:pPr>
            <w:r>
              <w:rPr>
                <w:sz w:val="18"/>
              </w:rPr>
              <w:t xml:space="preserve"> </w:t>
            </w:r>
          </w:p>
        </w:tc>
        <w:tc>
          <w:tcPr>
            <w:tcW w:w="0" w:type="auto"/>
            <w:shd w:val="clear" w:color="auto" w:fill="auto"/>
          </w:tcPr>
          <w:p w:rsidR="00977F6A" w:rsidRDefault="00111C5D">
            <w:pPr>
              <w:spacing w:after="60"/>
              <w:jc w:val="center"/>
              <w:rPr>
                <w:sz w:val="18"/>
              </w:rPr>
            </w:pPr>
            <w:r>
              <w:rPr>
                <w:sz w:val="18"/>
              </w:rPr>
              <w:t>Manufacturing</w:t>
            </w:r>
          </w:p>
        </w:tc>
        <w:tc>
          <w:tcPr>
            <w:tcW w:w="0" w:type="auto"/>
            <w:shd w:val="clear" w:color="auto" w:fill="auto"/>
          </w:tcPr>
          <w:p w:rsidR="00977F6A" w:rsidRDefault="00111C5D">
            <w:pPr>
              <w:spacing w:after="60"/>
              <w:jc w:val="center"/>
              <w:rPr>
                <w:sz w:val="18"/>
              </w:rPr>
            </w:pPr>
            <w:r>
              <w:rPr>
                <w:sz w:val="18"/>
              </w:rPr>
              <w:t>Servicing</w:t>
            </w:r>
          </w:p>
        </w:tc>
        <w:tc>
          <w:tcPr>
            <w:tcW w:w="4593" w:type="dxa"/>
            <w:gridSpan w:val="4"/>
            <w:shd w:val="clear" w:color="auto" w:fill="auto"/>
          </w:tcPr>
          <w:p w:rsidR="00977F6A" w:rsidRDefault="00977F6A">
            <w:pPr>
              <w:spacing w:after="60"/>
              <w:jc w:val="center"/>
              <w:rPr>
                <w:sz w:val="18"/>
              </w:rPr>
            </w:pPr>
          </w:p>
        </w:tc>
      </w:tr>
      <w:tr w:rsidR="00977F6A">
        <w:trPr>
          <w:trHeight w:val="240"/>
          <w:jc w:val="center"/>
        </w:trPr>
        <w:tc>
          <w:tcPr>
            <w:tcW w:w="1396" w:type="dxa"/>
            <w:shd w:val="clear" w:color="auto" w:fill="auto"/>
          </w:tcPr>
          <w:p w:rsidR="00977F6A" w:rsidRDefault="00111C5D">
            <w:pPr>
              <w:spacing w:after="60"/>
              <w:jc w:val="left"/>
              <w:rPr>
                <w:sz w:val="18"/>
              </w:rPr>
            </w:pPr>
            <w:r>
              <w:rPr>
                <w:sz w:val="18"/>
              </w:rPr>
              <w:t>HCFC-123</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2109" w:type="dxa"/>
            <w:shd w:val="clear" w:color="auto" w:fill="auto"/>
          </w:tcPr>
          <w:p w:rsidR="00977F6A" w:rsidRDefault="00977F6A">
            <w:pPr>
              <w:spacing w:after="60"/>
              <w:jc w:val="right"/>
              <w:rPr>
                <w:sz w:val="18"/>
              </w:rPr>
            </w:pPr>
          </w:p>
        </w:tc>
      </w:tr>
      <w:tr w:rsidR="00977F6A">
        <w:trPr>
          <w:trHeight w:val="240"/>
          <w:jc w:val="center"/>
        </w:trPr>
        <w:tc>
          <w:tcPr>
            <w:tcW w:w="1396" w:type="dxa"/>
            <w:shd w:val="clear" w:color="auto" w:fill="auto"/>
          </w:tcPr>
          <w:p w:rsidR="00977F6A" w:rsidRDefault="00111C5D">
            <w:pPr>
              <w:spacing w:after="60"/>
              <w:jc w:val="left"/>
              <w:rPr>
                <w:sz w:val="18"/>
              </w:rPr>
            </w:pPr>
            <w:r>
              <w:rPr>
                <w:sz w:val="18"/>
              </w:rPr>
              <w:t>HCFC-124</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2109" w:type="dxa"/>
            <w:shd w:val="clear" w:color="auto" w:fill="auto"/>
          </w:tcPr>
          <w:p w:rsidR="00977F6A" w:rsidRDefault="00977F6A">
            <w:pPr>
              <w:spacing w:after="60"/>
              <w:jc w:val="right"/>
              <w:rPr>
                <w:sz w:val="18"/>
              </w:rPr>
            </w:pPr>
          </w:p>
        </w:tc>
      </w:tr>
      <w:tr w:rsidR="00977F6A">
        <w:trPr>
          <w:trHeight w:val="240"/>
          <w:jc w:val="center"/>
        </w:trPr>
        <w:tc>
          <w:tcPr>
            <w:tcW w:w="1396" w:type="dxa"/>
            <w:shd w:val="clear" w:color="auto" w:fill="auto"/>
          </w:tcPr>
          <w:p w:rsidR="00977F6A" w:rsidRDefault="00111C5D">
            <w:pPr>
              <w:spacing w:after="60"/>
              <w:jc w:val="left"/>
              <w:rPr>
                <w:sz w:val="18"/>
              </w:rPr>
            </w:pPr>
            <w:r>
              <w:rPr>
                <w:sz w:val="18"/>
              </w:rPr>
              <w:t>HCFC-141b</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2109" w:type="dxa"/>
            <w:shd w:val="clear" w:color="auto" w:fill="auto"/>
          </w:tcPr>
          <w:p w:rsidR="00977F6A" w:rsidRDefault="00977F6A">
            <w:pPr>
              <w:spacing w:after="60"/>
              <w:jc w:val="right"/>
              <w:rPr>
                <w:sz w:val="18"/>
              </w:rPr>
            </w:pPr>
          </w:p>
        </w:tc>
      </w:tr>
      <w:tr w:rsidR="00977F6A">
        <w:trPr>
          <w:trHeight w:val="240"/>
          <w:jc w:val="center"/>
        </w:trPr>
        <w:tc>
          <w:tcPr>
            <w:tcW w:w="1396" w:type="dxa"/>
            <w:shd w:val="clear" w:color="auto" w:fill="auto"/>
          </w:tcPr>
          <w:p w:rsidR="00977F6A" w:rsidRDefault="00111C5D">
            <w:pPr>
              <w:spacing w:after="60"/>
              <w:jc w:val="left"/>
              <w:rPr>
                <w:sz w:val="18"/>
              </w:rPr>
            </w:pPr>
            <w:r>
              <w:rPr>
                <w:sz w:val="18"/>
              </w:rPr>
              <w:t>HCFC-142b</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2109" w:type="dxa"/>
            <w:shd w:val="clear" w:color="auto" w:fill="auto"/>
          </w:tcPr>
          <w:p w:rsidR="00977F6A" w:rsidRDefault="00977F6A">
            <w:pPr>
              <w:spacing w:after="60"/>
              <w:jc w:val="right"/>
              <w:rPr>
                <w:sz w:val="18"/>
              </w:rPr>
            </w:pPr>
          </w:p>
        </w:tc>
      </w:tr>
      <w:tr w:rsidR="00977F6A">
        <w:trPr>
          <w:trHeight w:val="240"/>
          <w:jc w:val="center"/>
        </w:trPr>
        <w:tc>
          <w:tcPr>
            <w:tcW w:w="1396" w:type="dxa"/>
            <w:shd w:val="clear" w:color="auto" w:fill="auto"/>
          </w:tcPr>
          <w:p w:rsidR="00977F6A" w:rsidRDefault="00111C5D">
            <w:pPr>
              <w:spacing w:after="60"/>
              <w:jc w:val="left"/>
              <w:rPr>
                <w:sz w:val="18"/>
              </w:rPr>
            </w:pPr>
            <w:r>
              <w:rPr>
                <w:sz w:val="18"/>
              </w:rPr>
              <w:t>HCFC-22</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111C5D">
            <w:pPr>
              <w:spacing w:after="60"/>
              <w:jc w:val="right"/>
              <w:rPr>
                <w:sz w:val="18"/>
              </w:rPr>
            </w:pPr>
            <w:r>
              <w:rPr>
                <w:sz w:val="18"/>
              </w:rPr>
              <w:t>0.10</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977F6A">
            <w:pPr>
              <w:spacing w:after="60"/>
              <w:jc w:val="right"/>
              <w:rPr>
                <w:sz w:val="18"/>
              </w:rPr>
            </w:pPr>
          </w:p>
        </w:tc>
        <w:tc>
          <w:tcPr>
            <w:tcW w:w="2109" w:type="dxa"/>
            <w:shd w:val="clear" w:color="auto" w:fill="auto"/>
          </w:tcPr>
          <w:p w:rsidR="00977F6A" w:rsidRDefault="00111C5D">
            <w:pPr>
              <w:spacing w:after="60"/>
              <w:jc w:val="right"/>
              <w:rPr>
                <w:sz w:val="18"/>
              </w:rPr>
            </w:pPr>
            <w:r>
              <w:rPr>
                <w:sz w:val="18"/>
              </w:rPr>
              <w:t>0.10</w:t>
            </w:r>
          </w:p>
        </w:tc>
      </w:tr>
    </w:tbl>
    <w:p w:rsidR="00977F6A" w:rsidRDefault="00977F6A">
      <w:pPr>
        <w:spacing w:after="60"/>
        <w:jc w:val="center"/>
      </w:pPr>
    </w:p>
    <w:tbl>
      <w:tblPr>
        <w:tblStyle w:val="TableGrid"/>
        <w:tblW w:w="10666" w:type="dxa"/>
        <w:jc w:val="center"/>
        <w:tblInd w:w="-2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79"/>
        <w:gridCol w:w="555"/>
        <w:gridCol w:w="3931"/>
        <w:gridCol w:w="3401"/>
      </w:tblGrid>
      <w:tr w:rsidR="00977F6A">
        <w:trPr>
          <w:trHeight w:val="240"/>
          <w:jc w:val="center"/>
        </w:trPr>
        <w:tc>
          <w:tcPr>
            <w:tcW w:w="10666" w:type="dxa"/>
            <w:gridSpan w:val="4"/>
            <w:shd w:val="clear" w:color="auto" w:fill="auto"/>
          </w:tcPr>
          <w:p w:rsidR="00977F6A" w:rsidRDefault="00111C5D">
            <w:pPr>
              <w:spacing w:after="60"/>
              <w:jc w:val="left"/>
              <w:rPr>
                <w:b/>
                <w:sz w:val="18"/>
              </w:rPr>
            </w:pPr>
            <w:r>
              <w:rPr>
                <w:b/>
                <w:sz w:val="18"/>
              </w:rPr>
              <w:t>(IV) CONSUMPTION DATA (ODP tonnes)</w:t>
            </w:r>
          </w:p>
        </w:tc>
      </w:tr>
      <w:tr w:rsidR="00977F6A">
        <w:trPr>
          <w:trHeight w:val="240"/>
          <w:jc w:val="center"/>
        </w:trPr>
        <w:tc>
          <w:tcPr>
            <w:tcW w:w="2659" w:type="dxa"/>
            <w:shd w:val="clear" w:color="auto" w:fill="auto"/>
          </w:tcPr>
          <w:p w:rsidR="00977F6A" w:rsidRDefault="00111C5D">
            <w:pPr>
              <w:spacing w:after="60"/>
              <w:jc w:val="center"/>
              <w:rPr>
                <w:sz w:val="18"/>
              </w:rPr>
            </w:pPr>
            <w:r>
              <w:rPr>
                <w:sz w:val="18"/>
              </w:rPr>
              <w:t>2009 - 2010 baseline:</w:t>
            </w:r>
          </w:p>
        </w:tc>
        <w:tc>
          <w:tcPr>
            <w:tcW w:w="0" w:type="auto"/>
            <w:shd w:val="clear" w:color="auto" w:fill="auto"/>
          </w:tcPr>
          <w:p w:rsidR="00977F6A" w:rsidRDefault="00111C5D">
            <w:pPr>
              <w:spacing w:after="60"/>
              <w:jc w:val="right"/>
              <w:rPr>
                <w:sz w:val="18"/>
              </w:rPr>
            </w:pPr>
            <w:r>
              <w:rPr>
                <w:sz w:val="18"/>
              </w:rPr>
              <w:t>0.14</w:t>
            </w:r>
          </w:p>
        </w:tc>
        <w:tc>
          <w:tcPr>
            <w:tcW w:w="0" w:type="auto"/>
            <w:shd w:val="clear" w:color="auto" w:fill="auto"/>
          </w:tcPr>
          <w:p w:rsidR="00977F6A" w:rsidRDefault="00111C5D">
            <w:pPr>
              <w:spacing w:after="60"/>
              <w:jc w:val="center"/>
              <w:rPr>
                <w:sz w:val="18"/>
              </w:rPr>
            </w:pPr>
            <w:r>
              <w:rPr>
                <w:sz w:val="18"/>
              </w:rPr>
              <w:t>Starting point for sustained aggregate reductions:</w:t>
            </w:r>
          </w:p>
        </w:tc>
        <w:tc>
          <w:tcPr>
            <w:tcW w:w="3254" w:type="dxa"/>
            <w:shd w:val="clear" w:color="auto" w:fill="auto"/>
          </w:tcPr>
          <w:p w:rsidR="00977F6A" w:rsidRDefault="00111C5D">
            <w:pPr>
              <w:spacing w:after="60"/>
              <w:jc w:val="right"/>
              <w:rPr>
                <w:sz w:val="18"/>
              </w:rPr>
            </w:pPr>
            <w:r>
              <w:rPr>
                <w:sz w:val="18"/>
              </w:rPr>
              <w:t>0.14</w:t>
            </w:r>
          </w:p>
        </w:tc>
      </w:tr>
      <w:tr w:rsidR="00977F6A">
        <w:trPr>
          <w:trHeight w:val="240"/>
          <w:jc w:val="center"/>
        </w:trPr>
        <w:tc>
          <w:tcPr>
            <w:tcW w:w="10666" w:type="dxa"/>
            <w:gridSpan w:val="4"/>
            <w:shd w:val="clear" w:color="auto" w:fill="auto"/>
          </w:tcPr>
          <w:p w:rsidR="00977F6A" w:rsidRDefault="00111C5D">
            <w:pPr>
              <w:spacing w:after="60"/>
              <w:jc w:val="center"/>
              <w:rPr>
                <w:b/>
                <w:sz w:val="18"/>
              </w:rPr>
            </w:pPr>
            <w:r>
              <w:rPr>
                <w:b/>
                <w:sz w:val="18"/>
              </w:rPr>
              <w:t>CONSUMPTION ELIGIBLE FOR FUNDING (ODP tonnes)</w:t>
            </w:r>
          </w:p>
        </w:tc>
      </w:tr>
      <w:tr w:rsidR="00977F6A">
        <w:trPr>
          <w:trHeight w:val="240"/>
          <w:jc w:val="center"/>
        </w:trPr>
        <w:tc>
          <w:tcPr>
            <w:tcW w:w="2659" w:type="dxa"/>
            <w:shd w:val="clear" w:color="auto" w:fill="auto"/>
          </w:tcPr>
          <w:p w:rsidR="00977F6A" w:rsidRDefault="00111C5D">
            <w:pPr>
              <w:spacing w:after="60"/>
              <w:jc w:val="center"/>
              <w:rPr>
                <w:sz w:val="18"/>
              </w:rPr>
            </w:pPr>
            <w:r>
              <w:rPr>
                <w:sz w:val="18"/>
              </w:rPr>
              <w:t>Already approved:</w:t>
            </w:r>
          </w:p>
        </w:tc>
        <w:tc>
          <w:tcPr>
            <w:tcW w:w="0" w:type="auto"/>
            <w:shd w:val="clear" w:color="auto" w:fill="auto"/>
          </w:tcPr>
          <w:p w:rsidR="00977F6A" w:rsidRDefault="00111C5D">
            <w:pPr>
              <w:spacing w:after="60"/>
              <w:jc w:val="right"/>
              <w:rPr>
                <w:sz w:val="18"/>
              </w:rPr>
            </w:pPr>
            <w:r>
              <w:rPr>
                <w:sz w:val="18"/>
              </w:rPr>
              <w:t>0.05</w:t>
            </w:r>
          </w:p>
        </w:tc>
        <w:tc>
          <w:tcPr>
            <w:tcW w:w="0" w:type="auto"/>
            <w:shd w:val="clear" w:color="auto" w:fill="auto"/>
          </w:tcPr>
          <w:p w:rsidR="00977F6A" w:rsidRDefault="00111C5D">
            <w:pPr>
              <w:spacing w:after="60"/>
              <w:jc w:val="center"/>
              <w:rPr>
                <w:sz w:val="18"/>
              </w:rPr>
            </w:pPr>
            <w:r>
              <w:rPr>
                <w:sz w:val="18"/>
              </w:rPr>
              <w:t>Remaining:</w:t>
            </w:r>
          </w:p>
        </w:tc>
        <w:tc>
          <w:tcPr>
            <w:tcW w:w="3254" w:type="dxa"/>
            <w:shd w:val="clear" w:color="auto" w:fill="auto"/>
          </w:tcPr>
          <w:p w:rsidR="00977F6A" w:rsidRDefault="00111C5D">
            <w:pPr>
              <w:spacing w:after="60"/>
              <w:jc w:val="right"/>
              <w:rPr>
                <w:sz w:val="18"/>
              </w:rPr>
            </w:pPr>
            <w:r>
              <w:rPr>
                <w:sz w:val="18"/>
              </w:rPr>
              <w:t>0.09</w:t>
            </w:r>
          </w:p>
        </w:tc>
      </w:tr>
    </w:tbl>
    <w:p w:rsidR="00977F6A" w:rsidRDefault="00977F6A">
      <w:pPr>
        <w:spacing w:after="60"/>
        <w:jc w:val="center"/>
      </w:pPr>
    </w:p>
    <w:tbl>
      <w:tblPr>
        <w:tblStyle w:val="TableGrid"/>
        <w:tblW w:w="10663" w:type="dxa"/>
        <w:jc w:val="center"/>
        <w:tblInd w:w="-150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40"/>
        <w:gridCol w:w="2880"/>
        <w:gridCol w:w="868"/>
        <w:gridCol w:w="703"/>
        <w:gridCol w:w="868"/>
        <w:gridCol w:w="703"/>
        <w:gridCol w:w="868"/>
        <w:gridCol w:w="1433"/>
      </w:tblGrid>
      <w:tr w:rsidR="00977F6A">
        <w:trPr>
          <w:trHeight w:val="240"/>
          <w:jc w:val="center"/>
        </w:trPr>
        <w:tc>
          <w:tcPr>
            <w:tcW w:w="5220" w:type="dxa"/>
            <w:gridSpan w:val="2"/>
            <w:shd w:val="clear" w:color="auto" w:fill="auto"/>
          </w:tcPr>
          <w:p w:rsidR="00977F6A" w:rsidRDefault="00111C5D">
            <w:pPr>
              <w:spacing w:after="60"/>
              <w:jc w:val="left"/>
              <w:rPr>
                <w:b/>
                <w:sz w:val="18"/>
              </w:rPr>
            </w:pPr>
            <w:r>
              <w:rPr>
                <w:b/>
                <w:sz w:val="18"/>
              </w:rPr>
              <w:t>(V) BUSINESS PLAN</w:t>
            </w:r>
          </w:p>
        </w:tc>
        <w:tc>
          <w:tcPr>
            <w:tcW w:w="0" w:type="auto"/>
            <w:shd w:val="clear" w:color="auto" w:fill="auto"/>
          </w:tcPr>
          <w:p w:rsidR="00977F6A" w:rsidRDefault="00111C5D">
            <w:pPr>
              <w:spacing w:after="60"/>
              <w:jc w:val="center"/>
              <w:rPr>
                <w:b/>
                <w:sz w:val="18"/>
              </w:rPr>
            </w:pPr>
            <w:r>
              <w:rPr>
                <w:b/>
                <w:sz w:val="18"/>
              </w:rPr>
              <w:t>2016</w:t>
            </w:r>
          </w:p>
        </w:tc>
        <w:tc>
          <w:tcPr>
            <w:tcW w:w="0" w:type="auto"/>
            <w:shd w:val="clear" w:color="auto" w:fill="auto"/>
          </w:tcPr>
          <w:p w:rsidR="00977F6A" w:rsidRDefault="00111C5D">
            <w:pPr>
              <w:spacing w:after="60"/>
              <w:jc w:val="center"/>
              <w:rPr>
                <w:b/>
                <w:sz w:val="18"/>
              </w:rPr>
            </w:pPr>
            <w:r>
              <w:rPr>
                <w:b/>
                <w:sz w:val="18"/>
              </w:rPr>
              <w:t>2017</w:t>
            </w:r>
          </w:p>
        </w:tc>
        <w:tc>
          <w:tcPr>
            <w:tcW w:w="0" w:type="auto"/>
            <w:shd w:val="clear" w:color="auto" w:fill="auto"/>
          </w:tcPr>
          <w:p w:rsidR="00977F6A" w:rsidRDefault="00111C5D">
            <w:pPr>
              <w:spacing w:after="60"/>
              <w:jc w:val="center"/>
              <w:rPr>
                <w:b/>
                <w:sz w:val="18"/>
              </w:rPr>
            </w:pPr>
            <w:r>
              <w:rPr>
                <w:b/>
                <w:sz w:val="18"/>
              </w:rPr>
              <w:t>2018</w:t>
            </w:r>
          </w:p>
        </w:tc>
        <w:tc>
          <w:tcPr>
            <w:tcW w:w="0" w:type="auto"/>
            <w:shd w:val="clear" w:color="auto" w:fill="auto"/>
          </w:tcPr>
          <w:p w:rsidR="00977F6A" w:rsidRDefault="00111C5D">
            <w:pPr>
              <w:spacing w:after="60"/>
              <w:jc w:val="center"/>
              <w:rPr>
                <w:b/>
                <w:sz w:val="18"/>
              </w:rPr>
            </w:pPr>
            <w:r>
              <w:rPr>
                <w:b/>
                <w:sz w:val="18"/>
              </w:rPr>
              <w:t>2019</w:t>
            </w:r>
          </w:p>
        </w:tc>
        <w:tc>
          <w:tcPr>
            <w:tcW w:w="0" w:type="auto"/>
            <w:shd w:val="clear" w:color="auto" w:fill="auto"/>
          </w:tcPr>
          <w:p w:rsidR="00977F6A" w:rsidRDefault="00111C5D">
            <w:pPr>
              <w:spacing w:after="60"/>
              <w:jc w:val="center"/>
              <w:rPr>
                <w:b/>
                <w:sz w:val="18"/>
              </w:rPr>
            </w:pPr>
            <w:r>
              <w:rPr>
                <w:b/>
                <w:sz w:val="18"/>
              </w:rPr>
              <w:t>2020</w:t>
            </w:r>
          </w:p>
        </w:tc>
        <w:tc>
          <w:tcPr>
            <w:tcW w:w="1433" w:type="dxa"/>
            <w:shd w:val="clear" w:color="auto" w:fill="auto"/>
          </w:tcPr>
          <w:p w:rsidR="00977F6A" w:rsidRDefault="00111C5D">
            <w:pPr>
              <w:spacing w:after="60"/>
              <w:jc w:val="center"/>
              <w:rPr>
                <w:b/>
                <w:sz w:val="18"/>
              </w:rPr>
            </w:pPr>
            <w:r>
              <w:rPr>
                <w:b/>
                <w:sz w:val="18"/>
              </w:rPr>
              <w:t>Total</w:t>
            </w:r>
          </w:p>
        </w:tc>
      </w:tr>
      <w:tr w:rsidR="00977F6A">
        <w:trPr>
          <w:trHeight w:val="240"/>
          <w:jc w:val="center"/>
        </w:trPr>
        <w:tc>
          <w:tcPr>
            <w:tcW w:w="2340" w:type="dxa"/>
            <w:vMerge w:val="restart"/>
            <w:shd w:val="clear" w:color="auto" w:fill="auto"/>
          </w:tcPr>
          <w:p w:rsidR="00977F6A" w:rsidRDefault="00111C5D">
            <w:pPr>
              <w:spacing w:after="60"/>
              <w:jc w:val="center"/>
              <w:rPr>
                <w:sz w:val="18"/>
              </w:rPr>
            </w:pPr>
            <w:r>
              <w:rPr>
                <w:sz w:val="18"/>
              </w:rPr>
              <w:t>UNEP</w:t>
            </w:r>
          </w:p>
        </w:tc>
        <w:tc>
          <w:tcPr>
            <w:tcW w:w="0" w:type="auto"/>
            <w:shd w:val="clear" w:color="auto" w:fill="auto"/>
          </w:tcPr>
          <w:p w:rsidR="00977F6A" w:rsidRDefault="00111C5D">
            <w:pPr>
              <w:spacing w:after="60"/>
              <w:jc w:val="left"/>
              <w:rPr>
                <w:sz w:val="18"/>
              </w:rPr>
            </w:pPr>
            <w:r>
              <w:rPr>
                <w:sz w:val="18"/>
              </w:rPr>
              <w:t>ODS phase-out (ODP tonnes)</w:t>
            </w:r>
          </w:p>
        </w:tc>
        <w:tc>
          <w:tcPr>
            <w:tcW w:w="0" w:type="auto"/>
            <w:shd w:val="clear" w:color="auto" w:fill="auto"/>
          </w:tcPr>
          <w:p w:rsidR="00977F6A" w:rsidRDefault="00111C5D">
            <w:pPr>
              <w:spacing w:after="60"/>
              <w:jc w:val="right"/>
              <w:rPr>
                <w:sz w:val="18"/>
              </w:rPr>
            </w:pPr>
            <w:r>
              <w:rPr>
                <w:sz w:val="18"/>
              </w:rPr>
              <w:t>0.01</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111C5D">
            <w:pPr>
              <w:spacing w:after="60"/>
              <w:jc w:val="right"/>
              <w:rPr>
                <w:sz w:val="18"/>
              </w:rPr>
            </w:pPr>
            <w:r>
              <w:rPr>
                <w:sz w:val="18"/>
              </w:rPr>
              <w:t>0.01</w:t>
            </w:r>
          </w:p>
        </w:tc>
        <w:tc>
          <w:tcPr>
            <w:tcW w:w="0" w:type="auto"/>
            <w:shd w:val="clear" w:color="auto" w:fill="auto"/>
          </w:tcPr>
          <w:p w:rsidR="00977F6A" w:rsidRDefault="00977F6A">
            <w:pPr>
              <w:spacing w:after="60"/>
              <w:jc w:val="right"/>
              <w:rPr>
                <w:sz w:val="18"/>
              </w:rPr>
            </w:pPr>
          </w:p>
        </w:tc>
        <w:tc>
          <w:tcPr>
            <w:tcW w:w="0" w:type="auto"/>
            <w:shd w:val="clear" w:color="auto" w:fill="auto"/>
          </w:tcPr>
          <w:p w:rsidR="00977F6A" w:rsidRDefault="00111C5D">
            <w:pPr>
              <w:spacing w:after="60"/>
              <w:jc w:val="right"/>
              <w:rPr>
                <w:sz w:val="18"/>
              </w:rPr>
            </w:pPr>
            <w:r>
              <w:rPr>
                <w:sz w:val="18"/>
              </w:rPr>
              <w:t>0.01</w:t>
            </w:r>
          </w:p>
        </w:tc>
        <w:tc>
          <w:tcPr>
            <w:tcW w:w="1433" w:type="dxa"/>
            <w:shd w:val="clear" w:color="auto" w:fill="auto"/>
          </w:tcPr>
          <w:p w:rsidR="00977F6A" w:rsidRDefault="00111C5D">
            <w:pPr>
              <w:spacing w:after="60"/>
              <w:jc w:val="right"/>
              <w:rPr>
                <w:sz w:val="18"/>
              </w:rPr>
            </w:pPr>
            <w:r>
              <w:rPr>
                <w:sz w:val="18"/>
              </w:rPr>
              <w:t>0.03</w:t>
            </w:r>
          </w:p>
        </w:tc>
      </w:tr>
      <w:tr w:rsidR="00977F6A">
        <w:trPr>
          <w:trHeight w:val="240"/>
          <w:jc w:val="center"/>
        </w:trPr>
        <w:tc>
          <w:tcPr>
            <w:tcW w:w="2340" w:type="dxa"/>
            <w:vMerge/>
            <w:shd w:val="clear" w:color="auto" w:fill="auto"/>
          </w:tcPr>
          <w:p w:rsidR="00977F6A" w:rsidRDefault="00977F6A">
            <w:pPr>
              <w:spacing w:after="60"/>
              <w:jc w:val="center"/>
              <w:rPr>
                <w:sz w:val="18"/>
              </w:rPr>
            </w:pPr>
          </w:p>
        </w:tc>
        <w:tc>
          <w:tcPr>
            <w:tcW w:w="0" w:type="auto"/>
            <w:shd w:val="clear" w:color="auto" w:fill="auto"/>
          </w:tcPr>
          <w:p w:rsidR="00977F6A" w:rsidRDefault="00111C5D">
            <w:pPr>
              <w:spacing w:after="60"/>
              <w:jc w:val="left"/>
              <w:rPr>
                <w:sz w:val="18"/>
              </w:rPr>
            </w:pPr>
            <w:r>
              <w:rPr>
                <w:sz w:val="18"/>
              </w:rPr>
              <w:t>Funding (US $)</w:t>
            </w:r>
          </w:p>
        </w:tc>
        <w:tc>
          <w:tcPr>
            <w:tcW w:w="0" w:type="auto"/>
            <w:shd w:val="clear" w:color="auto" w:fill="auto"/>
          </w:tcPr>
          <w:p w:rsidR="00977F6A" w:rsidRDefault="00111C5D">
            <w:pPr>
              <w:spacing w:after="60"/>
              <w:jc w:val="right"/>
              <w:rPr>
                <w:sz w:val="18"/>
              </w:rPr>
            </w:pPr>
            <w:r>
              <w:rPr>
                <w:sz w:val="18"/>
              </w:rPr>
              <w:t>39,550</w:t>
            </w:r>
          </w:p>
        </w:tc>
        <w:tc>
          <w:tcPr>
            <w:tcW w:w="0" w:type="auto"/>
            <w:shd w:val="clear" w:color="auto" w:fill="auto"/>
          </w:tcPr>
          <w:p w:rsidR="00977F6A" w:rsidRDefault="00111C5D">
            <w:pPr>
              <w:spacing w:after="60"/>
              <w:jc w:val="right"/>
              <w:rPr>
                <w:sz w:val="18"/>
              </w:rPr>
            </w:pPr>
            <w:r>
              <w:rPr>
                <w:sz w:val="18"/>
              </w:rPr>
              <w:t>0</w:t>
            </w:r>
          </w:p>
        </w:tc>
        <w:tc>
          <w:tcPr>
            <w:tcW w:w="0" w:type="auto"/>
            <w:shd w:val="clear" w:color="auto" w:fill="auto"/>
          </w:tcPr>
          <w:p w:rsidR="00977F6A" w:rsidRDefault="00111C5D">
            <w:pPr>
              <w:spacing w:after="60"/>
              <w:jc w:val="right"/>
              <w:rPr>
                <w:sz w:val="18"/>
              </w:rPr>
            </w:pPr>
            <w:r>
              <w:rPr>
                <w:sz w:val="18"/>
              </w:rPr>
              <w:t>33,900</w:t>
            </w:r>
          </w:p>
        </w:tc>
        <w:tc>
          <w:tcPr>
            <w:tcW w:w="0" w:type="auto"/>
            <w:shd w:val="clear" w:color="auto" w:fill="auto"/>
          </w:tcPr>
          <w:p w:rsidR="00977F6A" w:rsidRDefault="00111C5D">
            <w:pPr>
              <w:spacing w:after="60"/>
              <w:jc w:val="right"/>
              <w:rPr>
                <w:sz w:val="18"/>
              </w:rPr>
            </w:pPr>
            <w:r>
              <w:rPr>
                <w:sz w:val="18"/>
              </w:rPr>
              <w:t>0</w:t>
            </w:r>
          </w:p>
        </w:tc>
        <w:tc>
          <w:tcPr>
            <w:tcW w:w="0" w:type="auto"/>
            <w:shd w:val="clear" w:color="auto" w:fill="auto"/>
          </w:tcPr>
          <w:p w:rsidR="00977F6A" w:rsidRDefault="00111C5D">
            <w:pPr>
              <w:spacing w:after="60"/>
              <w:jc w:val="right"/>
              <w:rPr>
                <w:sz w:val="18"/>
              </w:rPr>
            </w:pPr>
            <w:r>
              <w:rPr>
                <w:sz w:val="18"/>
              </w:rPr>
              <w:t>18,080</w:t>
            </w:r>
          </w:p>
        </w:tc>
        <w:tc>
          <w:tcPr>
            <w:tcW w:w="1433" w:type="dxa"/>
            <w:shd w:val="clear" w:color="auto" w:fill="auto"/>
          </w:tcPr>
          <w:p w:rsidR="00977F6A" w:rsidRDefault="00111C5D">
            <w:pPr>
              <w:spacing w:after="60"/>
              <w:jc w:val="right"/>
              <w:rPr>
                <w:sz w:val="18"/>
              </w:rPr>
            </w:pPr>
            <w:r>
              <w:rPr>
                <w:sz w:val="18"/>
              </w:rPr>
              <w:t>91,530</w:t>
            </w:r>
          </w:p>
        </w:tc>
      </w:tr>
    </w:tbl>
    <w:p w:rsidR="00977F6A" w:rsidRDefault="00977F6A">
      <w:pPr>
        <w:spacing w:after="60"/>
        <w:jc w:val="center"/>
      </w:pPr>
    </w:p>
    <w:tbl>
      <w:tblPr>
        <w:tblStyle w:val="TableGrid"/>
        <w:tblW w:w="1064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3"/>
        <w:gridCol w:w="890"/>
        <w:gridCol w:w="1447"/>
        <w:gridCol w:w="711"/>
        <w:gridCol w:w="711"/>
        <w:gridCol w:w="621"/>
        <w:gridCol w:w="576"/>
        <w:gridCol w:w="711"/>
        <w:gridCol w:w="576"/>
        <w:gridCol w:w="711"/>
        <w:gridCol w:w="695"/>
        <w:gridCol w:w="711"/>
        <w:gridCol w:w="801"/>
      </w:tblGrid>
      <w:tr w:rsidR="00977F6A">
        <w:trPr>
          <w:jc w:val="center"/>
        </w:trPr>
        <w:tc>
          <w:tcPr>
            <w:tcW w:w="3820" w:type="dxa"/>
            <w:gridSpan w:val="3"/>
            <w:shd w:val="clear" w:color="auto" w:fill="auto"/>
          </w:tcPr>
          <w:p w:rsidR="00977F6A" w:rsidRDefault="00111C5D">
            <w:pPr>
              <w:spacing w:after="60"/>
              <w:jc w:val="left"/>
              <w:rPr>
                <w:b/>
                <w:sz w:val="18"/>
              </w:rPr>
            </w:pPr>
            <w:r>
              <w:rPr>
                <w:b/>
                <w:sz w:val="18"/>
              </w:rPr>
              <w:t>(VI) PROJECT DATA</w:t>
            </w:r>
          </w:p>
        </w:tc>
        <w:tc>
          <w:tcPr>
            <w:tcW w:w="711" w:type="dxa"/>
            <w:shd w:val="clear" w:color="auto" w:fill="auto"/>
          </w:tcPr>
          <w:p w:rsidR="00977F6A" w:rsidRDefault="00111C5D">
            <w:pPr>
              <w:spacing w:after="60"/>
              <w:jc w:val="center"/>
              <w:rPr>
                <w:b/>
                <w:sz w:val="18"/>
              </w:rPr>
            </w:pPr>
            <w:r>
              <w:rPr>
                <w:b/>
                <w:sz w:val="18"/>
              </w:rPr>
              <w:t>2011</w:t>
            </w:r>
          </w:p>
        </w:tc>
        <w:tc>
          <w:tcPr>
            <w:tcW w:w="711" w:type="dxa"/>
            <w:shd w:val="clear" w:color="auto" w:fill="auto"/>
          </w:tcPr>
          <w:p w:rsidR="00977F6A" w:rsidRDefault="00111C5D">
            <w:pPr>
              <w:spacing w:after="60"/>
              <w:jc w:val="center"/>
              <w:rPr>
                <w:b/>
                <w:sz w:val="18"/>
              </w:rPr>
            </w:pPr>
            <w:r>
              <w:rPr>
                <w:b/>
                <w:sz w:val="18"/>
              </w:rPr>
              <w:t>2013</w:t>
            </w:r>
          </w:p>
        </w:tc>
        <w:tc>
          <w:tcPr>
            <w:tcW w:w="621" w:type="dxa"/>
            <w:shd w:val="clear" w:color="auto" w:fill="auto"/>
          </w:tcPr>
          <w:p w:rsidR="00977F6A" w:rsidRDefault="00111C5D">
            <w:pPr>
              <w:spacing w:after="60"/>
              <w:jc w:val="center"/>
              <w:rPr>
                <w:b/>
                <w:sz w:val="18"/>
              </w:rPr>
            </w:pPr>
            <w:r>
              <w:rPr>
                <w:b/>
                <w:sz w:val="18"/>
              </w:rPr>
              <w:t>2014</w:t>
            </w:r>
          </w:p>
        </w:tc>
        <w:tc>
          <w:tcPr>
            <w:tcW w:w="576" w:type="dxa"/>
            <w:shd w:val="clear" w:color="auto" w:fill="auto"/>
          </w:tcPr>
          <w:p w:rsidR="00977F6A" w:rsidRDefault="00111C5D">
            <w:pPr>
              <w:spacing w:after="60"/>
              <w:jc w:val="center"/>
              <w:rPr>
                <w:b/>
                <w:sz w:val="18"/>
              </w:rPr>
            </w:pPr>
            <w:r>
              <w:rPr>
                <w:b/>
                <w:sz w:val="18"/>
              </w:rPr>
              <w:t>2015</w:t>
            </w:r>
          </w:p>
        </w:tc>
        <w:tc>
          <w:tcPr>
            <w:tcW w:w="711" w:type="dxa"/>
            <w:shd w:val="clear" w:color="auto" w:fill="auto"/>
          </w:tcPr>
          <w:p w:rsidR="00977F6A" w:rsidRDefault="00111C5D">
            <w:pPr>
              <w:spacing w:after="60"/>
              <w:jc w:val="center"/>
              <w:rPr>
                <w:b/>
                <w:sz w:val="18"/>
              </w:rPr>
            </w:pPr>
            <w:r>
              <w:rPr>
                <w:b/>
                <w:sz w:val="18"/>
              </w:rPr>
              <w:t>2016</w:t>
            </w:r>
          </w:p>
        </w:tc>
        <w:tc>
          <w:tcPr>
            <w:tcW w:w="576" w:type="dxa"/>
            <w:shd w:val="clear" w:color="auto" w:fill="auto"/>
          </w:tcPr>
          <w:p w:rsidR="00977F6A" w:rsidRDefault="00111C5D">
            <w:pPr>
              <w:spacing w:after="60"/>
              <w:jc w:val="center"/>
              <w:rPr>
                <w:b/>
                <w:sz w:val="18"/>
              </w:rPr>
            </w:pPr>
            <w:r>
              <w:rPr>
                <w:b/>
                <w:sz w:val="18"/>
              </w:rPr>
              <w:t>2017</w:t>
            </w:r>
          </w:p>
        </w:tc>
        <w:tc>
          <w:tcPr>
            <w:tcW w:w="711" w:type="dxa"/>
            <w:shd w:val="clear" w:color="auto" w:fill="auto"/>
          </w:tcPr>
          <w:p w:rsidR="00977F6A" w:rsidRDefault="00111C5D">
            <w:pPr>
              <w:spacing w:after="60"/>
              <w:jc w:val="center"/>
              <w:rPr>
                <w:b/>
                <w:sz w:val="18"/>
              </w:rPr>
            </w:pPr>
            <w:r>
              <w:rPr>
                <w:b/>
                <w:sz w:val="18"/>
              </w:rPr>
              <w:t>2018</w:t>
            </w:r>
          </w:p>
        </w:tc>
        <w:tc>
          <w:tcPr>
            <w:tcW w:w="695" w:type="dxa"/>
            <w:shd w:val="clear" w:color="auto" w:fill="auto"/>
          </w:tcPr>
          <w:p w:rsidR="00977F6A" w:rsidRDefault="00111C5D">
            <w:pPr>
              <w:spacing w:after="60"/>
              <w:jc w:val="center"/>
              <w:rPr>
                <w:b/>
                <w:sz w:val="18"/>
              </w:rPr>
            </w:pPr>
            <w:r>
              <w:rPr>
                <w:b/>
                <w:sz w:val="18"/>
              </w:rPr>
              <w:t>2019</w:t>
            </w:r>
          </w:p>
        </w:tc>
        <w:tc>
          <w:tcPr>
            <w:tcW w:w="711" w:type="dxa"/>
            <w:shd w:val="clear" w:color="auto" w:fill="auto"/>
          </w:tcPr>
          <w:p w:rsidR="00977F6A" w:rsidRDefault="00111C5D">
            <w:pPr>
              <w:spacing w:after="60"/>
              <w:jc w:val="center"/>
              <w:rPr>
                <w:b/>
                <w:sz w:val="18"/>
              </w:rPr>
            </w:pPr>
            <w:r>
              <w:rPr>
                <w:b/>
                <w:sz w:val="18"/>
              </w:rPr>
              <w:t>2020</w:t>
            </w:r>
          </w:p>
        </w:tc>
        <w:tc>
          <w:tcPr>
            <w:tcW w:w="801" w:type="dxa"/>
            <w:shd w:val="clear" w:color="auto" w:fill="auto"/>
          </w:tcPr>
          <w:p w:rsidR="00977F6A" w:rsidRDefault="00111C5D">
            <w:pPr>
              <w:spacing w:after="60"/>
              <w:jc w:val="center"/>
              <w:rPr>
                <w:b/>
                <w:sz w:val="18"/>
              </w:rPr>
            </w:pPr>
            <w:r>
              <w:rPr>
                <w:b/>
                <w:sz w:val="18"/>
              </w:rPr>
              <w:t>Total</w:t>
            </w:r>
          </w:p>
        </w:tc>
      </w:tr>
      <w:tr w:rsidR="00977F6A">
        <w:trPr>
          <w:jc w:val="center"/>
        </w:trPr>
        <w:tc>
          <w:tcPr>
            <w:tcW w:w="3820" w:type="dxa"/>
            <w:gridSpan w:val="3"/>
            <w:shd w:val="clear" w:color="auto" w:fill="auto"/>
          </w:tcPr>
          <w:p w:rsidR="00977F6A" w:rsidRDefault="00111C5D">
            <w:pPr>
              <w:spacing w:after="60"/>
              <w:jc w:val="left"/>
              <w:rPr>
                <w:sz w:val="18"/>
              </w:rPr>
            </w:pPr>
            <w:r>
              <w:rPr>
                <w:sz w:val="18"/>
              </w:rPr>
              <w:t>Montreal Protocol consumption limits</w:t>
            </w:r>
          </w:p>
        </w:tc>
        <w:tc>
          <w:tcPr>
            <w:tcW w:w="711" w:type="dxa"/>
            <w:shd w:val="clear" w:color="auto" w:fill="auto"/>
          </w:tcPr>
          <w:p w:rsidR="00977F6A" w:rsidRDefault="00111C5D">
            <w:pPr>
              <w:spacing w:after="60"/>
              <w:jc w:val="center"/>
              <w:rPr>
                <w:sz w:val="18"/>
              </w:rPr>
            </w:pPr>
            <w:r>
              <w:rPr>
                <w:sz w:val="18"/>
              </w:rPr>
              <w:t>n/a</w:t>
            </w:r>
          </w:p>
        </w:tc>
        <w:tc>
          <w:tcPr>
            <w:tcW w:w="711" w:type="dxa"/>
            <w:shd w:val="clear" w:color="auto" w:fill="auto"/>
          </w:tcPr>
          <w:p w:rsidR="00977F6A" w:rsidRDefault="00111C5D">
            <w:pPr>
              <w:spacing w:after="60"/>
              <w:jc w:val="right"/>
              <w:rPr>
                <w:sz w:val="18"/>
              </w:rPr>
            </w:pPr>
            <w:r>
              <w:rPr>
                <w:sz w:val="18"/>
              </w:rPr>
              <w:t>0.1</w:t>
            </w:r>
            <w:r w:rsidR="000719A3">
              <w:rPr>
                <w:sz w:val="18"/>
              </w:rPr>
              <w:t>4</w:t>
            </w:r>
          </w:p>
        </w:tc>
        <w:tc>
          <w:tcPr>
            <w:tcW w:w="621" w:type="dxa"/>
            <w:shd w:val="clear" w:color="auto" w:fill="auto"/>
          </w:tcPr>
          <w:p w:rsidR="00977F6A" w:rsidRDefault="00111C5D">
            <w:pPr>
              <w:spacing w:after="60"/>
              <w:jc w:val="right"/>
              <w:rPr>
                <w:sz w:val="18"/>
              </w:rPr>
            </w:pPr>
            <w:r>
              <w:rPr>
                <w:sz w:val="18"/>
              </w:rPr>
              <w:t>0.14</w:t>
            </w:r>
          </w:p>
        </w:tc>
        <w:tc>
          <w:tcPr>
            <w:tcW w:w="576" w:type="dxa"/>
            <w:shd w:val="clear" w:color="auto" w:fill="auto"/>
          </w:tcPr>
          <w:p w:rsidR="00977F6A" w:rsidRDefault="00111C5D">
            <w:pPr>
              <w:spacing w:after="60"/>
              <w:jc w:val="right"/>
              <w:rPr>
                <w:sz w:val="18"/>
              </w:rPr>
            </w:pPr>
            <w:r>
              <w:rPr>
                <w:sz w:val="18"/>
              </w:rPr>
              <w:t>0.14</w:t>
            </w:r>
          </w:p>
        </w:tc>
        <w:tc>
          <w:tcPr>
            <w:tcW w:w="711" w:type="dxa"/>
            <w:shd w:val="clear" w:color="auto" w:fill="auto"/>
          </w:tcPr>
          <w:p w:rsidR="00977F6A" w:rsidRDefault="00111C5D">
            <w:pPr>
              <w:spacing w:after="60"/>
              <w:jc w:val="right"/>
              <w:rPr>
                <w:sz w:val="18"/>
              </w:rPr>
            </w:pPr>
            <w:r>
              <w:rPr>
                <w:sz w:val="18"/>
              </w:rPr>
              <w:t>0.13</w:t>
            </w:r>
          </w:p>
        </w:tc>
        <w:tc>
          <w:tcPr>
            <w:tcW w:w="576" w:type="dxa"/>
            <w:shd w:val="clear" w:color="auto" w:fill="auto"/>
          </w:tcPr>
          <w:p w:rsidR="00977F6A" w:rsidRDefault="00111C5D">
            <w:pPr>
              <w:spacing w:after="60"/>
              <w:jc w:val="right"/>
              <w:rPr>
                <w:sz w:val="18"/>
              </w:rPr>
            </w:pPr>
            <w:r>
              <w:rPr>
                <w:sz w:val="18"/>
              </w:rPr>
              <w:t>0.13</w:t>
            </w:r>
          </w:p>
        </w:tc>
        <w:tc>
          <w:tcPr>
            <w:tcW w:w="711" w:type="dxa"/>
            <w:shd w:val="clear" w:color="auto" w:fill="auto"/>
          </w:tcPr>
          <w:p w:rsidR="00977F6A" w:rsidRDefault="00111C5D">
            <w:pPr>
              <w:spacing w:after="60"/>
              <w:jc w:val="right"/>
              <w:rPr>
                <w:sz w:val="18"/>
              </w:rPr>
            </w:pPr>
            <w:r>
              <w:rPr>
                <w:sz w:val="18"/>
              </w:rPr>
              <w:t>0.13</w:t>
            </w:r>
          </w:p>
        </w:tc>
        <w:tc>
          <w:tcPr>
            <w:tcW w:w="695" w:type="dxa"/>
            <w:shd w:val="clear" w:color="auto" w:fill="auto"/>
          </w:tcPr>
          <w:p w:rsidR="00977F6A" w:rsidRDefault="00111C5D">
            <w:pPr>
              <w:spacing w:after="60"/>
              <w:jc w:val="right"/>
              <w:rPr>
                <w:sz w:val="18"/>
              </w:rPr>
            </w:pPr>
            <w:r>
              <w:rPr>
                <w:sz w:val="18"/>
              </w:rPr>
              <w:t>0.13</w:t>
            </w:r>
          </w:p>
        </w:tc>
        <w:tc>
          <w:tcPr>
            <w:tcW w:w="711" w:type="dxa"/>
            <w:shd w:val="clear" w:color="auto" w:fill="auto"/>
          </w:tcPr>
          <w:p w:rsidR="00977F6A" w:rsidRDefault="00111C5D">
            <w:pPr>
              <w:spacing w:after="60"/>
              <w:jc w:val="right"/>
              <w:rPr>
                <w:sz w:val="18"/>
              </w:rPr>
            </w:pPr>
            <w:r>
              <w:rPr>
                <w:sz w:val="18"/>
              </w:rPr>
              <w:t>0.09</w:t>
            </w:r>
          </w:p>
        </w:tc>
        <w:tc>
          <w:tcPr>
            <w:tcW w:w="801" w:type="dxa"/>
            <w:shd w:val="clear" w:color="auto" w:fill="auto"/>
          </w:tcPr>
          <w:p w:rsidR="00977F6A" w:rsidRDefault="00111C5D">
            <w:pPr>
              <w:spacing w:after="60"/>
              <w:jc w:val="center"/>
              <w:rPr>
                <w:sz w:val="18"/>
              </w:rPr>
            </w:pPr>
            <w:r>
              <w:rPr>
                <w:sz w:val="18"/>
              </w:rPr>
              <w:t>n/a</w:t>
            </w:r>
          </w:p>
        </w:tc>
      </w:tr>
      <w:tr w:rsidR="00977F6A">
        <w:trPr>
          <w:jc w:val="center"/>
        </w:trPr>
        <w:tc>
          <w:tcPr>
            <w:tcW w:w="3820" w:type="dxa"/>
            <w:gridSpan w:val="3"/>
            <w:shd w:val="clear" w:color="auto" w:fill="auto"/>
          </w:tcPr>
          <w:p w:rsidR="00977F6A" w:rsidRDefault="00111C5D">
            <w:pPr>
              <w:spacing w:after="60"/>
              <w:jc w:val="left"/>
              <w:rPr>
                <w:sz w:val="18"/>
              </w:rPr>
            </w:pPr>
            <w:r>
              <w:rPr>
                <w:sz w:val="18"/>
              </w:rPr>
              <w:t>Maximum allowable consumption (ODP tonnes)</w:t>
            </w:r>
          </w:p>
        </w:tc>
        <w:tc>
          <w:tcPr>
            <w:tcW w:w="711" w:type="dxa"/>
            <w:shd w:val="clear" w:color="auto" w:fill="auto"/>
          </w:tcPr>
          <w:p w:rsidR="00977F6A" w:rsidRDefault="00111C5D">
            <w:pPr>
              <w:spacing w:after="60"/>
              <w:jc w:val="center"/>
              <w:rPr>
                <w:sz w:val="18"/>
              </w:rPr>
            </w:pPr>
            <w:r>
              <w:rPr>
                <w:sz w:val="18"/>
              </w:rPr>
              <w:t>n/a</w:t>
            </w:r>
          </w:p>
        </w:tc>
        <w:tc>
          <w:tcPr>
            <w:tcW w:w="711" w:type="dxa"/>
            <w:shd w:val="clear" w:color="auto" w:fill="auto"/>
          </w:tcPr>
          <w:p w:rsidR="00977F6A" w:rsidRDefault="00111C5D">
            <w:pPr>
              <w:spacing w:after="60"/>
              <w:jc w:val="right"/>
              <w:rPr>
                <w:sz w:val="18"/>
              </w:rPr>
            </w:pPr>
            <w:r>
              <w:rPr>
                <w:sz w:val="18"/>
              </w:rPr>
              <w:t>0.1</w:t>
            </w:r>
            <w:r w:rsidR="000719A3">
              <w:rPr>
                <w:sz w:val="18"/>
              </w:rPr>
              <w:t>4</w:t>
            </w:r>
          </w:p>
        </w:tc>
        <w:tc>
          <w:tcPr>
            <w:tcW w:w="621" w:type="dxa"/>
            <w:shd w:val="clear" w:color="auto" w:fill="auto"/>
          </w:tcPr>
          <w:p w:rsidR="00977F6A" w:rsidRDefault="00111C5D">
            <w:pPr>
              <w:spacing w:after="60"/>
              <w:jc w:val="right"/>
              <w:rPr>
                <w:sz w:val="18"/>
              </w:rPr>
            </w:pPr>
            <w:r>
              <w:rPr>
                <w:sz w:val="18"/>
              </w:rPr>
              <w:t>0.14</w:t>
            </w:r>
          </w:p>
        </w:tc>
        <w:tc>
          <w:tcPr>
            <w:tcW w:w="576" w:type="dxa"/>
            <w:shd w:val="clear" w:color="auto" w:fill="auto"/>
          </w:tcPr>
          <w:p w:rsidR="00977F6A" w:rsidRDefault="00111C5D">
            <w:pPr>
              <w:spacing w:after="60"/>
              <w:jc w:val="right"/>
              <w:rPr>
                <w:sz w:val="18"/>
              </w:rPr>
            </w:pPr>
            <w:r>
              <w:rPr>
                <w:sz w:val="18"/>
              </w:rPr>
              <w:t>0.14</w:t>
            </w:r>
          </w:p>
        </w:tc>
        <w:tc>
          <w:tcPr>
            <w:tcW w:w="711" w:type="dxa"/>
            <w:shd w:val="clear" w:color="auto" w:fill="auto"/>
          </w:tcPr>
          <w:p w:rsidR="00977F6A" w:rsidRDefault="00111C5D">
            <w:pPr>
              <w:spacing w:after="60"/>
              <w:jc w:val="right"/>
              <w:rPr>
                <w:sz w:val="18"/>
              </w:rPr>
            </w:pPr>
            <w:r>
              <w:rPr>
                <w:sz w:val="18"/>
              </w:rPr>
              <w:t>0.13</w:t>
            </w:r>
          </w:p>
        </w:tc>
        <w:tc>
          <w:tcPr>
            <w:tcW w:w="576" w:type="dxa"/>
            <w:shd w:val="clear" w:color="auto" w:fill="auto"/>
          </w:tcPr>
          <w:p w:rsidR="00977F6A" w:rsidRDefault="00111C5D">
            <w:pPr>
              <w:spacing w:after="60"/>
              <w:jc w:val="right"/>
              <w:rPr>
                <w:sz w:val="18"/>
              </w:rPr>
            </w:pPr>
            <w:r>
              <w:rPr>
                <w:sz w:val="18"/>
              </w:rPr>
              <w:t>0.13</w:t>
            </w:r>
          </w:p>
        </w:tc>
        <w:tc>
          <w:tcPr>
            <w:tcW w:w="711" w:type="dxa"/>
            <w:shd w:val="clear" w:color="auto" w:fill="auto"/>
          </w:tcPr>
          <w:p w:rsidR="00977F6A" w:rsidRDefault="00111C5D">
            <w:pPr>
              <w:spacing w:after="60"/>
              <w:jc w:val="right"/>
              <w:rPr>
                <w:sz w:val="18"/>
              </w:rPr>
            </w:pPr>
            <w:r>
              <w:rPr>
                <w:sz w:val="18"/>
              </w:rPr>
              <w:t>0.13</w:t>
            </w:r>
          </w:p>
        </w:tc>
        <w:tc>
          <w:tcPr>
            <w:tcW w:w="695" w:type="dxa"/>
            <w:shd w:val="clear" w:color="auto" w:fill="auto"/>
          </w:tcPr>
          <w:p w:rsidR="00977F6A" w:rsidRDefault="00111C5D">
            <w:pPr>
              <w:spacing w:after="60"/>
              <w:jc w:val="right"/>
              <w:rPr>
                <w:sz w:val="18"/>
              </w:rPr>
            </w:pPr>
            <w:r>
              <w:rPr>
                <w:sz w:val="18"/>
              </w:rPr>
              <w:t>0.13</w:t>
            </w:r>
          </w:p>
        </w:tc>
        <w:tc>
          <w:tcPr>
            <w:tcW w:w="711" w:type="dxa"/>
            <w:shd w:val="clear" w:color="auto" w:fill="auto"/>
          </w:tcPr>
          <w:p w:rsidR="00977F6A" w:rsidRDefault="00111C5D">
            <w:pPr>
              <w:spacing w:after="60"/>
              <w:jc w:val="right"/>
              <w:rPr>
                <w:sz w:val="18"/>
              </w:rPr>
            </w:pPr>
            <w:r>
              <w:rPr>
                <w:sz w:val="18"/>
              </w:rPr>
              <w:t>0.09</w:t>
            </w:r>
          </w:p>
        </w:tc>
        <w:tc>
          <w:tcPr>
            <w:tcW w:w="801" w:type="dxa"/>
            <w:shd w:val="clear" w:color="auto" w:fill="auto"/>
          </w:tcPr>
          <w:p w:rsidR="00977F6A" w:rsidRDefault="00111C5D">
            <w:pPr>
              <w:spacing w:after="60"/>
              <w:jc w:val="center"/>
              <w:rPr>
                <w:sz w:val="18"/>
              </w:rPr>
            </w:pPr>
            <w:r>
              <w:rPr>
                <w:sz w:val="18"/>
              </w:rPr>
              <w:t>n/a</w:t>
            </w:r>
          </w:p>
        </w:tc>
      </w:tr>
      <w:tr w:rsidR="00977F6A">
        <w:trPr>
          <w:jc w:val="center"/>
        </w:trPr>
        <w:tc>
          <w:tcPr>
            <w:tcW w:w="1483" w:type="dxa"/>
            <w:vMerge w:val="restart"/>
            <w:shd w:val="clear" w:color="auto" w:fill="auto"/>
          </w:tcPr>
          <w:p w:rsidR="00977F6A" w:rsidRDefault="00111C5D">
            <w:pPr>
              <w:spacing w:after="60"/>
              <w:jc w:val="left"/>
              <w:rPr>
                <w:sz w:val="18"/>
              </w:rPr>
            </w:pPr>
            <w:r>
              <w:rPr>
                <w:sz w:val="18"/>
              </w:rPr>
              <w:t>Agreed funding (US$)</w:t>
            </w:r>
          </w:p>
        </w:tc>
        <w:tc>
          <w:tcPr>
            <w:tcW w:w="890" w:type="dxa"/>
            <w:vMerge w:val="restart"/>
            <w:shd w:val="clear" w:color="auto" w:fill="auto"/>
          </w:tcPr>
          <w:p w:rsidR="00977F6A" w:rsidRDefault="00111C5D">
            <w:pPr>
              <w:spacing w:after="60"/>
              <w:jc w:val="center"/>
              <w:rPr>
                <w:sz w:val="18"/>
              </w:rPr>
            </w:pPr>
            <w:r>
              <w:rPr>
                <w:sz w:val="18"/>
              </w:rPr>
              <w:t>UNEP</w:t>
            </w:r>
          </w:p>
        </w:tc>
        <w:tc>
          <w:tcPr>
            <w:tcW w:w="1447" w:type="dxa"/>
            <w:shd w:val="clear" w:color="auto" w:fill="auto"/>
          </w:tcPr>
          <w:p w:rsidR="00977F6A" w:rsidRDefault="00111C5D">
            <w:pPr>
              <w:spacing w:after="60"/>
              <w:jc w:val="left"/>
              <w:rPr>
                <w:sz w:val="18"/>
              </w:rPr>
            </w:pPr>
            <w:r>
              <w:rPr>
                <w:sz w:val="18"/>
              </w:rPr>
              <w:t>Project costs</w:t>
            </w:r>
          </w:p>
        </w:tc>
        <w:tc>
          <w:tcPr>
            <w:tcW w:w="711" w:type="dxa"/>
            <w:shd w:val="clear" w:color="auto" w:fill="auto"/>
          </w:tcPr>
          <w:p w:rsidR="00977F6A" w:rsidRDefault="00111C5D">
            <w:pPr>
              <w:spacing w:after="60"/>
              <w:jc w:val="right"/>
              <w:rPr>
                <w:sz w:val="18"/>
              </w:rPr>
            </w:pPr>
            <w:r>
              <w:rPr>
                <w:sz w:val="18"/>
              </w:rPr>
              <w:t>44,000</w:t>
            </w:r>
          </w:p>
        </w:tc>
        <w:tc>
          <w:tcPr>
            <w:tcW w:w="711" w:type="dxa"/>
            <w:shd w:val="clear" w:color="auto" w:fill="auto"/>
          </w:tcPr>
          <w:p w:rsidR="00977F6A" w:rsidRDefault="00111C5D">
            <w:pPr>
              <w:spacing w:after="60"/>
              <w:jc w:val="right"/>
              <w:rPr>
                <w:sz w:val="18"/>
              </w:rPr>
            </w:pPr>
            <w:r>
              <w:rPr>
                <w:sz w:val="18"/>
              </w:rPr>
              <w:t>35,000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35,000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30,000</w:t>
            </w:r>
          </w:p>
        </w:tc>
        <w:tc>
          <w:tcPr>
            <w:tcW w:w="695"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16,000</w:t>
            </w:r>
          </w:p>
        </w:tc>
        <w:tc>
          <w:tcPr>
            <w:tcW w:w="801" w:type="dxa"/>
            <w:shd w:val="clear" w:color="auto" w:fill="auto"/>
          </w:tcPr>
          <w:p w:rsidR="00977F6A" w:rsidRDefault="00111C5D">
            <w:pPr>
              <w:spacing w:after="60"/>
              <w:jc w:val="right"/>
              <w:rPr>
                <w:sz w:val="18"/>
              </w:rPr>
            </w:pPr>
            <w:r>
              <w:rPr>
                <w:sz w:val="18"/>
              </w:rPr>
              <w:t>160,000</w:t>
            </w:r>
          </w:p>
        </w:tc>
      </w:tr>
      <w:tr w:rsidR="00977F6A">
        <w:trPr>
          <w:jc w:val="center"/>
        </w:trPr>
        <w:tc>
          <w:tcPr>
            <w:tcW w:w="1483" w:type="dxa"/>
            <w:vMerge/>
            <w:shd w:val="clear" w:color="auto" w:fill="auto"/>
          </w:tcPr>
          <w:p w:rsidR="00977F6A" w:rsidRDefault="00977F6A">
            <w:pPr>
              <w:spacing w:after="60"/>
              <w:jc w:val="center"/>
              <w:rPr>
                <w:sz w:val="18"/>
              </w:rPr>
            </w:pPr>
          </w:p>
        </w:tc>
        <w:tc>
          <w:tcPr>
            <w:tcW w:w="890" w:type="dxa"/>
            <w:vMerge/>
            <w:shd w:val="clear" w:color="auto" w:fill="auto"/>
          </w:tcPr>
          <w:p w:rsidR="00977F6A" w:rsidRDefault="00977F6A">
            <w:pPr>
              <w:spacing w:after="60"/>
              <w:jc w:val="center"/>
              <w:rPr>
                <w:sz w:val="18"/>
              </w:rPr>
            </w:pPr>
          </w:p>
        </w:tc>
        <w:tc>
          <w:tcPr>
            <w:tcW w:w="1447" w:type="dxa"/>
            <w:shd w:val="clear" w:color="auto" w:fill="auto"/>
          </w:tcPr>
          <w:p w:rsidR="00977F6A" w:rsidRDefault="00111C5D">
            <w:pPr>
              <w:spacing w:after="60"/>
              <w:jc w:val="left"/>
              <w:rPr>
                <w:sz w:val="18"/>
              </w:rPr>
            </w:pPr>
            <w:r>
              <w:rPr>
                <w:sz w:val="18"/>
              </w:rPr>
              <w:t>Support costs</w:t>
            </w:r>
          </w:p>
        </w:tc>
        <w:tc>
          <w:tcPr>
            <w:tcW w:w="711" w:type="dxa"/>
            <w:shd w:val="clear" w:color="auto" w:fill="auto"/>
          </w:tcPr>
          <w:p w:rsidR="00977F6A" w:rsidRDefault="00111C5D">
            <w:pPr>
              <w:spacing w:after="60"/>
              <w:jc w:val="right"/>
              <w:rPr>
                <w:sz w:val="18"/>
              </w:rPr>
            </w:pPr>
            <w:r>
              <w:rPr>
                <w:sz w:val="18"/>
              </w:rPr>
              <w:t>5,720</w:t>
            </w:r>
          </w:p>
        </w:tc>
        <w:tc>
          <w:tcPr>
            <w:tcW w:w="711" w:type="dxa"/>
            <w:shd w:val="clear" w:color="auto" w:fill="auto"/>
          </w:tcPr>
          <w:p w:rsidR="00977F6A" w:rsidRDefault="00111C5D">
            <w:pPr>
              <w:spacing w:after="60"/>
              <w:jc w:val="right"/>
              <w:rPr>
                <w:sz w:val="18"/>
              </w:rPr>
            </w:pPr>
            <w:r>
              <w:rPr>
                <w:sz w:val="18"/>
              </w:rPr>
              <w:t>4,550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4,550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3,900</w:t>
            </w:r>
          </w:p>
        </w:tc>
        <w:tc>
          <w:tcPr>
            <w:tcW w:w="695"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2,080</w:t>
            </w:r>
          </w:p>
        </w:tc>
        <w:tc>
          <w:tcPr>
            <w:tcW w:w="801" w:type="dxa"/>
            <w:shd w:val="clear" w:color="auto" w:fill="auto"/>
          </w:tcPr>
          <w:p w:rsidR="00977F6A" w:rsidRDefault="00111C5D">
            <w:pPr>
              <w:spacing w:after="60"/>
              <w:jc w:val="right"/>
              <w:rPr>
                <w:sz w:val="18"/>
              </w:rPr>
            </w:pPr>
            <w:r>
              <w:rPr>
                <w:sz w:val="18"/>
              </w:rPr>
              <w:t>20,800</w:t>
            </w:r>
          </w:p>
        </w:tc>
      </w:tr>
      <w:tr w:rsidR="00977F6A">
        <w:trPr>
          <w:jc w:val="center"/>
        </w:trPr>
        <w:tc>
          <w:tcPr>
            <w:tcW w:w="2373" w:type="dxa"/>
            <w:gridSpan w:val="2"/>
            <w:vMerge w:val="restart"/>
            <w:shd w:val="clear" w:color="auto" w:fill="auto"/>
          </w:tcPr>
          <w:p w:rsidR="00977F6A" w:rsidRDefault="00111C5D">
            <w:pPr>
              <w:spacing w:after="60"/>
              <w:jc w:val="left"/>
              <w:rPr>
                <w:sz w:val="18"/>
              </w:rPr>
            </w:pPr>
            <w:r>
              <w:rPr>
                <w:sz w:val="18"/>
              </w:rPr>
              <w:t>Funds approved by ExCom (US$)</w:t>
            </w:r>
          </w:p>
        </w:tc>
        <w:tc>
          <w:tcPr>
            <w:tcW w:w="1447" w:type="dxa"/>
            <w:shd w:val="clear" w:color="auto" w:fill="auto"/>
          </w:tcPr>
          <w:p w:rsidR="00977F6A" w:rsidRDefault="00111C5D">
            <w:pPr>
              <w:spacing w:after="60"/>
              <w:jc w:val="left"/>
              <w:rPr>
                <w:sz w:val="18"/>
              </w:rPr>
            </w:pPr>
            <w:r>
              <w:rPr>
                <w:sz w:val="18"/>
              </w:rPr>
              <w:t>Project costs</w:t>
            </w:r>
          </w:p>
        </w:tc>
        <w:tc>
          <w:tcPr>
            <w:tcW w:w="711" w:type="dxa"/>
            <w:shd w:val="clear" w:color="auto" w:fill="auto"/>
          </w:tcPr>
          <w:p w:rsidR="00977F6A" w:rsidRDefault="00111C5D">
            <w:pPr>
              <w:spacing w:after="60"/>
              <w:jc w:val="right"/>
              <w:rPr>
                <w:sz w:val="18"/>
              </w:rPr>
            </w:pPr>
            <w:r>
              <w:rPr>
                <w:sz w:val="18"/>
              </w:rPr>
              <w:t>44,000</w:t>
            </w:r>
          </w:p>
        </w:tc>
        <w:tc>
          <w:tcPr>
            <w:tcW w:w="711" w:type="dxa"/>
            <w:shd w:val="clear" w:color="auto" w:fill="auto"/>
          </w:tcPr>
          <w:p w:rsidR="00977F6A" w:rsidRDefault="00111C5D">
            <w:pPr>
              <w:spacing w:after="60"/>
              <w:jc w:val="right"/>
              <w:rPr>
                <w:sz w:val="18"/>
              </w:rPr>
            </w:pPr>
            <w:r>
              <w:rPr>
                <w:sz w:val="18"/>
              </w:rPr>
              <w:t>35,000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95"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801" w:type="dxa"/>
            <w:shd w:val="clear" w:color="auto" w:fill="auto"/>
          </w:tcPr>
          <w:p w:rsidR="00977F6A" w:rsidRDefault="00111C5D">
            <w:pPr>
              <w:spacing w:after="60"/>
              <w:jc w:val="right"/>
              <w:rPr>
                <w:sz w:val="18"/>
              </w:rPr>
            </w:pPr>
            <w:r>
              <w:rPr>
                <w:sz w:val="18"/>
              </w:rPr>
              <w:t>79,000</w:t>
            </w:r>
          </w:p>
        </w:tc>
      </w:tr>
      <w:tr w:rsidR="00977F6A">
        <w:trPr>
          <w:jc w:val="center"/>
        </w:trPr>
        <w:tc>
          <w:tcPr>
            <w:tcW w:w="2373" w:type="dxa"/>
            <w:gridSpan w:val="2"/>
            <w:vMerge/>
            <w:shd w:val="clear" w:color="auto" w:fill="auto"/>
          </w:tcPr>
          <w:p w:rsidR="00977F6A" w:rsidRDefault="00977F6A">
            <w:pPr>
              <w:spacing w:after="60"/>
              <w:jc w:val="center"/>
              <w:rPr>
                <w:sz w:val="18"/>
              </w:rPr>
            </w:pPr>
          </w:p>
        </w:tc>
        <w:tc>
          <w:tcPr>
            <w:tcW w:w="1447" w:type="dxa"/>
            <w:shd w:val="clear" w:color="auto" w:fill="auto"/>
          </w:tcPr>
          <w:p w:rsidR="00977F6A" w:rsidRDefault="00111C5D">
            <w:pPr>
              <w:spacing w:after="60"/>
              <w:jc w:val="left"/>
              <w:rPr>
                <w:sz w:val="18"/>
              </w:rPr>
            </w:pPr>
            <w:r>
              <w:rPr>
                <w:sz w:val="18"/>
              </w:rPr>
              <w:t>Support costs</w:t>
            </w:r>
          </w:p>
        </w:tc>
        <w:tc>
          <w:tcPr>
            <w:tcW w:w="711" w:type="dxa"/>
            <w:shd w:val="clear" w:color="auto" w:fill="auto"/>
          </w:tcPr>
          <w:p w:rsidR="00977F6A" w:rsidRDefault="00111C5D">
            <w:pPr>
              <w:spacing w:after="60"/>
              <w:jc w:val="right"/>
              <w:rPr>
                <w:sz w:val="18"/>
              </w:rPr>
            </w:pPr>
            <w:r>
              <w:rPr>
                <w:sz w:val="18"/>
              </w:rPr>
              <w:t>5,720</w:t>
            </w:r>
          </w:p>
        </w:tc>
        <w:tc>
          <w:tcPr>
            <w:tcW w:w="711" w:type="dxa"/>
            <w:shd w:val="clear" w:color="auto" w:fill="auto"/>
          </w:tcPr>
          <w:p w:rsidR="00977F6A" w:rsidRDefault="00111C5D">
            <w:pPr>
              <w:spacing w:after="60"/>
              <w:jc w:val="right"/>
              <w:rPr>
                <w:sz w:val="18"/>
              </w:rPr>
            </w:pPr>
            <w:r>
              <w:rPr>
                <w:sz w:val="18"/>
              </w:rPr>
              <w:t>4,550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95" w:type="dxa"/>
            <w:shd w:val="clear" w:color="auto" w:fill="auto"/>
          </w:tcPr>
          <w:p w:rsidR="00977F6A" w:rsidRDefault="00111C5D">
            <w:pPr>
              <w:spacing w:after="60"/>
              <w:jc w:val="right"/>
              <w:rPr>
                <w:sz w:val="18"/>
              </w:rPr>
            </w:pPr>
            <w:r>
              <w:rPr>
                <w:sz w:val="18"/>
              </w:rPr>
              <w:t>0.0</w:t>
            </w:r>
          </w:p>
        </w:tc>
        <w:tc>
          <w:tcPr>
            <w:tcW w:w="711" w:type="dxa"/>
            <w:shd w:val="clear" w:color="auto" w:fill="auto"/>
          </w:tcPr>
          <w:p w:rsidR="00977F6A" w:rsidRDefault="00111C5D">
            <w:pPr>
              <w:spacing w:after="60"/>
              <w:jc w:val="right"/>
              <w:rPr>
                <w:sz w:val="18"/>
              </w:rPr>
            </w:pPr>
            <w:r>
              <w:rPr>
                <w:sz w:val="18"/>
              </w:rPr>
              <w:t>0</w:t>
            </w:r>
          </w:p>
        </w:tc>
        <w:tc>
          <w:tcPr>
            <w:tcW w:w="801" w:type="dxa"/>
            <w:shd w:val="clear" w:color="auto" w:fill="auto"/>
          </w:tcPr>
          <w:p w:rsidR="00977F6A" w:rsidRDefault="00111C5D">
            <w:pPr>
              <w:spacing w:after="60"/>
              <w:jc w:val="right"/>
              <w:rPr>
                <w:sz w:val="18"/>
              </w:rPr>
            </w:pPr>
            <w:r>
              <w:rPr>
                <w:sz w:val="18"/>
              </w:rPr>
              <w:t>10,270</w:t>
            </w:r>
          </w:p>
        </w:tc>
      </w:tr>
      <w:tr w:rsidR="00977F6A">
        <w:trPr>
          <w:jc w:val="center"/>
        </w:trPr>
        <w:tc>
          <w:tcPr>
            <w:tcW w:w="2373" w:type="dxa"/>
            <w:gridSpan w:val="2"/>
            <w:vMerge w:val="restart"/>
            <w:shd w:val="clear" w:color="auto" w:fill="auto"/>
          </w:tcPr>
          <w:p w:rsidR="00977F6A" w:rsidRDefault="00111C5D">
            <w:pPr>
              <w:spacing w:after="60"/>
              <w:jc w:val="left"/>
              <w:rPr>
                <w:sz w:val="18"/>
              </w:rPr>
            </w:pPr>
            <w:r>
              <w:rPr>
                <w:sz w:val="18"/>
              </w:rPr>
              <w:t>Total funds requested for approval at this meeting (US$)</w:t>
            </w:r>
          </w:p>
        </w:tc>
        <w:tc>
          <w:tcPr>
            <w:tcW w:w="1447" w:type="dxa"/>
            <w:shd w:val="clear" w:color="auto" w:fill="auto"/>
          </w:tcPr>
          <w:p w:rsidR="00977F6A" w:rsidRDefault="00111C5D">
            <w:pPr>
              <w:spacing w:after="60"/>
              <w:jc w:val="left"/>
              <w:rPr>
                <w:sz w:val="18"/>
              </w:rPr>
            </w:pPr>
            <w:r>
              <w:rPr>
                <w:sz w:val="18"/>
              </w:rPr>
              <w:t>Project costs</w:t>
            </w:r>
          </w:p>
        </w:tc>
        <w:tc>
          <w:tcPr>
            <w:tcW w:w="711"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b/>
                <w:sz w:val="18"/>
              </w:rPr>
            </w:pPr>
            <w:r>
              <w:rPr>
                <w:b/>
                <w:sz w:val="18"/>
              </w:rPr>
              <w:t>35,000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95"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801" w:type="dxa"/>
            <w:shd w:val="clear" w:color="auto" w:fill="auto"/>
          </w:tcPr>
          <w:p w:rsidR="00977F6A" w:rsidRDefault="00111C5D">
            <w:pPr>
              <w:spacing w:after="60"/>
              <w:jc w:val="right"/>
              <w:rPr>
                <w:b/>
                <w:sz w:val="18"/>
              </w:rPr>
            </w:pPr>
            <w:r>
              <w:rPr>
                <w:b/>
                <w:sz w:val="18"/>
              </w:rPr>
              <w:t>35,000</w:t>
            </w:r>
          </w:p>
        </w:tc>
      </w:tr>
      <w:tr w:rsidR="00977F6A">
        <w:trPr>
          <w:jc w:val="center"/>
        </w:trPr>
        <w:tc>
          <w:tcPr>
            <w:tcW w:w="2373" w:type="dxa"/>
            <w:gridSpan w:val="2"/>
            <w:vMerge/>
            <w:shd w:val="clear" w:color="auto" w:fill="auto"/>
          </w:tcPr>
          <w:p w:rsidR="00977F6A" w:rsidRDefault="00977F6A">
            <w:pPr>
              <w:spacing w:after="60"/>
              <w:jc w:val="center"/>
              <w:rPr>
                <w:sz w:val="18"/>
              </w:rPr>
            </w:pPr>
          </w:p>
        </w:tc>
        <w:tc>
          <w:tcPr>
            <w:tcW w:w="1447" w:type="dxa"/>
            <w:shd w:val="clear" w:color="auto" w:fill="auto"/>
          </w:tcPr>
          <w:p w:rsidR="00977F6A" w:rsidRDefault="00111C5D">
            <w:pPr>
              <w:spacing w:after="60"/>
              <w:jc w:val="left"/>
              <w:rPr>
                <w:sz w:val="18"/>
              </w:rPr>
            </w:pPr>
            <w:r>
              <w:rPr>
                <w:sz w:val="18"/>
              </w:rPr>
              <w:t>Support costs</w:t>
            </w:r>
          </w:p>
        </w:tc>
        <w:tc>
          <w:tcPr>
            <w:tcW w:w="711"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21" w:type="dxa"/>
            <w:shd w:val="clear" w:color="auto" w:fill="auto"/>
          </w:tcPr>
          <w:p w:rsidR="00977F6A" w:rsidRDefault="00111C5D">
            <w:pPr>
              <w:spacing w:after="60"/>
              <w:jc w:val="right"/>
              <w:rPr>
                <w:sz w:val="18"/>
              </w:rPr>
            </w:pPr>
            <w:r>
              <w:rPr>
                <w:sz w:val="18"/>
              </w:rPr>
              <w:t>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b/>
                <w:sz w:val="18"/>
              </w:rPr>
            </w:pPr>
            <w:r>
              <w:rPr>
                <w:b/>
                <w:sz w:val="18"/>
              </w:rPr>
              <w:t>4,550</w:t>
            </w:r>
          </w:p>
        </w:tc>
        <w:tc>
          <w:tcPr>
            <w:tcW w:w="576"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695" w:type="dxa"/>
            <w:shd w:val="clear" w:color="auto" w:fill="auto"/>
          </w:tcPr>
          <w:p w:rsidR="00977F6A" w:rsidRDefault="00111C5D">
            <w:pPr>
              <w:spacing w:after="60"/>
              <w:jc w:val="right"/>
              <w:rPr>
                <w:sz w:val="18"/>
              </w:rPr>
            </w:pPr>
            <w:r>
              <w:rPr>
                <w:sz w:val="18"/>
              </w:rPr>
              <w:t>0</w:t>
            </w:r>
          </w:p>
        </w:tc>
        <w:tc>
          <w:tcPr>
            <w:tcW w:w="711" w:type="dxa"/>
            <w:shd w:val="clear" w:color="auto" w:fill="auto"/>
          </w:tcPr>
          <w:p w:rsidR="00977F6A" w:rsidRDefault="00111C5D">
            <w:pPr>
              <w:spacing w:after="60"/>
              <w:jc w:val="right"/>
              <w:rPr>
                <w:sz w:val="18"/>
              </w:rPr>
            </w:pPr>
            <w:r>
              <w:rPr>
                <w:sz w:val="18"/>
              </w:rPr>
              <w:t>0</w:t>
            </w:r>
          </w:p>
        </w:tc>
        <w:tc>
          <w:tcPr>
            <w:tcW w:w="801" w:type="dxa"/>
            <w:shd w:val="clear" w:color="auto" w:fill="auto"/>
          </w:tcPr>
          <w:p w:rsidR="00977F6A" w:rsidRDefault="00111C5D">
            <w:pPr>
              <w:spacing w:after="60"/>
              <w:jc w:val="right"/>
              <w:rPr>
                <w:b/>
                <w:sz w:val="18"/>
              </w:rPr>
            </w:pPr>
            <w:r>
              <w:rPr>
                <w:b/>
                <w:sz w:val="18"/>
              </w:rPr>
              <w:t>4,550</w:t>
            </w:r>
          </w:p>
        </w:tc>
      </w:tr>
    </w:tbl>
    <w:p w:rsidR="00977F6A" w:rsidRDefault="00977F6A">
      <w:pPr>
        <w:spacing w:after="60"/>
        <w:jc w:val="center"/>
      </w:pPr>
    </w:p>
    <w:tbl>
      <w:tblPr>
        <w:tblStyle w:val="TableGrid"/>
        <w:tblW w:w="10709" w:type="dxa"/>
        <w:jc w:val="center"/>
        <w:tblInd w:w="-70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9"/>
        <w:gridCol w:w="7000"/>
      </w:tblGrid>
      <w:tr w:rsidR="00977F6A">
        <w:trPr>
          <w:trHeight w:val="240"/>
          <w:jc w:val="center"/>
        </w:trPr>
        <w:tc>
          <w:tcPr>
            <w:tcW w:w="3709" w:type="dxa"/>
            <w:shd w:val="clear" w:color="auto" w:fill="auto"/>
          </w:tcPr>
          <w:p w:rsidR="00977F6A" w:rsidRDefault="00111C5D">
            <w:pPr>
              <w:spacing w:after="60"/>
              <w:jc w:val="left"/>
              <w:rPr>
                <w:b/>
                <w:sz w:val="18"/>
              </w:rPr>
            </w:pPr>
            <w:r>
              <w:rPr>
                <w:b/>
                <w:sz w:val="18"/>
              </w:rPr>
              <w:t>Secretariat's recommendation:</w:t>
            </w:r>
          </w:p>
        </w:tc>
        <w:tc>
          <w:tcPr>
            <w:tcW w:w="7000" w:type="dxa"/>
            <w:shd w:val="clear" w:color="auto" w:fill="auto"/>
          </w:tcPr>
          <w:p w:rsidR="00977F6A" w:rsidRDefault="00111C5D">
            <w:pPr>
              <w:spacing w:after="60"/>
              <w:jc w:val="center"/>
              <w:rPr>
                <w:sz w:val="18"/>
              </w:rPr>
            </w:pPr>
            <w:r>
              <w:rPr>
                <w:sz w:val="18"/>
              </w:rPr>
              <w:t>Blanket approval</w:t>
            </w:r>
          </w:p>
        </w:tc>
      </w:tr>
    </w:tbl>
    <w:p w:rsidR="00977F6A" w:rsidRDefault="00977F6A">
      <w:pPr>
        <w:spacing w:after="60"/>
        <w:jc w:val="center"/>
      </w:pPr>
    </w:p>
    <w:p w:rsidR="00977F6A" w:rsidRDefault="00977F6A"/>
    <w:p w:rsidR="00977F6A" w:rsidRDefault="00977F6A">
      <w:pPr>
        <w:rPr>
          <w:lang w:val="en-CA"/>
        </w:rPr>
      </w:pPr>
    </w:p>
    <w:p w:rsidR="00977F6A" w:rsidRDefault="00111C5D">
      <w:pPr>
        <w:pStyle w:val="StyleHeader4Para4Left0Firstline0"/>
        <w:numPr>
          <w:ilvl w:val="0"/>
          <w:numId w:val="0"/>
        </w:numPr>
        <w:rPr>
          <w:lang w:val="en-CA"/>
        </w:rPr>
      </w:pPr>
      <w:r>
        <w:rPr>
          <w:lang w:val="en-CA"/>
        </w:rPr>
        <w:br w:type="page"/>
      </w:r>
    </w:p>
    <w:p w:rsidR="00977F6A" w:rsidRDefault="00111C5D">
      <w:pPr>
        <w:jc w:val="center"/>
        <w:rPr>
          <w:b/>
          <w:lang w:val="en-CA"/>
        </w:rPr>
      </w:pPr>
      <w:r>
        <w:rPr>
          <w:b/>
          <w:lang w:val="en-CA"/>
        </w:rPr>
        <w:lastRenderedPageBreak/>
        <w:t>PROJECT DESCRIPTION</w:t>
      </w:r>
    </w:p>
    <w:p w:rsidR="00977F6A" w:rsidRDefault="00977F6A">
      <w:pPr>
        <w:rPr>
          <w:lang w:val="en-CA"/>
        </w:rPr>
      </w:pPr>
    </w:p>
    <w:p w:rsidR="00977F6A" w:rsidRDefault="00111C5D">
      <w:pPr>
        <w:pStyle w:val="Heading1"/>
        <w:rPr>
          <w:lang w:val="en-CA"/>
        </w:rPr>
      </w:pPr>
      <w:r>
        <w:rPr>
          <w:lang w:val="en-CA"/>
        </w:rPr>
        <w:t>On behalf of the Government of the Comoros, UNEP as the designated agency, has submitted to the 77</w:t>
      </w:r>
      <w:r>
        <w:rPr>
          <w:vertAlign w:val="superscript"/>
          <w:lang w:val="en-CA"/>
        </w:rPr>
        <w:t>th </w:t>
      </w:r>
      <w:r>
        <w:rPr>
          <w:lang w:val="en-CA"/>
        </w:rPr>
        <w:t>meeting a request for funding for the third tranche of stage I of the HCFC ph</w:t>
      </w:r>
      <w:r w:rsidR="00437780">
        <w:rPr>
          <w:lang w:val="en-CA"/>
        </w:rPr>
        <w:t>ase-out management plan (HPMP),</w:t>
      </w:r>
      <w:r>
        <w:rPr>
          <w:lang w:val="en-CA"/>
        </w:rPr>
        <w:t xml:space="preserve"> at the amount of US $35,000, plus agency support costs of US $4,550</w:t>
      </w:r>
      <w:r>
        <w:rPr>
          <w:rStyle w:val="FootnoteReference"/>
          <w:lang w:val="en-CA"/>
        </w:rPr>
        <w:footnoteReference w:id="1"/>
      </w:r>
      <w:r>
        <w:rPr>
          <w:lang w:val="en-CA"/>
        </w:rPr>
        <w:t>. The submission includes a progress report on the implementation of the second tranche and the tranche implementation plan for 2017 to 2018.</w:t>
      </w:r>
    </w:p>
    <w:p w:rsidR="00977F6A" w:rsidRDefault="00111C5D">
      <w:pPr>
        <w:rPr>
          <w:u w:val="single"/>
          <w:lang w:val="en-CA"/>
        </w:rPr>
      </w:pPr>
      <w:r>
        <w:rPr>
          <w:u w:val="single"/>
          <w:lang w:val="en-CA"/>
        </w:rPr>
        <w:t>Report on HCFC consumption</w:t>
      </w:r>
    </w:p>
    <w:p w:rsidR="00977F6A" w:rsidRDefault="00977F6A">
      <w:pPr>
        <w:rPr>
          <w:lang w:val="en-CA"/>
        </w:rPr>
      </w:pPr>
    </w:p>
    <w:p w:rsidR="00977F6A" w:rsidRDefault="00111C5D">
      <w:pPr>
        <w:rPr>
          <w:i/>
          <w:lang w:val="en-CA"/>
        </w:rPr>
      </w:pPr>
      <w:r>
        <w:rPr>
          <w:i/>
          <w:lang w:val="en-CA"/>
        </w:rPr>
        <w:t>HCFC consumption</w:t>
      </w:r>
    </w:p>
    <w:p w:rsidR="00977F6A" w:rsidRDefault="00977F6A">
      <w:pPr>
        <w:rPr>
          <w:lang w:val="en-CA"/>
        </w:rPr>
      </w:pPr>
    </w:p>
    <w:p w:rsidR="00977F6A" w:rsidRDefault="00111C5D">
      <w:pPr>
        <w:pStyle w:val="Heading1"/>
        <w:rPr>
          <w:lang w:val="en-CA"/>
        </w:rPr>
      </w:pPr>
      <w:r>
        <w:rPr>
          <w:lang w:val="en-CA"/>
        </w:rPr>
        <w:t xml:space="preserve">The Government of the Comoros reported a consumption of 0.10 ODP tonnes of HCFC in 2015. The 2011-2015 HCFC consumption is shown in Table 1.  </w:t>
      </w:r>
    </w:p>
    <w:p w:rsidR="00977F6A" w:rsidRDefault="00111C5D">
      <w:pPr>
        <w:rPr>
          <w:b/>
          <w:lang w:val="en-CA"/>
        </w:rPr>
      </w:pPr>
      <w:proofErr w:type="gramStart"/>
      <w:r>
        <w:rPr>
          <w:b/>
          <w:lang w:val="en-CA"/>
        </w:rPr>
        <w:t>Table 1.</w:t>
      </w:r>
      <w:proofErr w:type="gramEnd"/>
      <w:r>
        <w:rPr>
          <w:b/>
          <w:lang w:val="en-CA"/>
        </w:rPr>
        <w:t xml:space="preserve"> HCFC consumption in Comoros (The) (2011-2015 Article 7 data)</w:t>
      </w:r>
    </w:p>
    <w:tbl>
      <w:tblPr>
        <w:tblW w:w="9356" w:type="dxa"/>
        <w:tblInd w:w="43" w:type="dxa"/>
        <w:tblLayout w:type="fixed"/>
        <w:tblLook w:val="04A0" w:firstRow="1" w:lastRow="0" w:firstColumn="1" w:lastColumn="0" w:noHBand="0" w:noVBand="1"/>
      </w:tblPr>
      <w:tblGrid>
        <w:gridCol w:w="1530"/>
        <w:gridCol w:w="1304"/>
        <w:gridCol w:w="1304"/>
        <w:gridCol w:w="1305"/>
        <w:gridCol w:w="1304"/>
        <w:gridCol w:w="1304"/>
        <w:gridCol w:w="1305"/>
      </w:tblGrid>
      <w:tr w:rsidR="00977F6A">
        <w:tc>
          <w:tcPr>
            <w:tcW w:w="153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rsidR="00977F6A" w:rsidRDefault="00111C5D">
            <w:pPr>
              <w:jc w:val="left"/>
              <w:rPr>
                <w:b/>
                <w:bCs/>
                <w:sz w:val="21"/>
                <w:szCs w:val="21"/>
                <w:lang w:val="en-US"/>
              </w:rPr>
            </w:pPr>
            <w:r>
              <w:rPr>
                <w:b/>
                <w:bCs/>
                <w:sz w:val="21"/>
                <w:szCs w:val="21"/>
                <w:lang w:val="en-US"/>
              </w:rPr>
              <w:t>HCFC-22</w:t>
            </w:r>
          </w:p>
        </w:tc>
        <w:tc>
          <w:tcPr>
            <w:tcW w:w="1304" w:type="dxa"/>
            <w:tcBorders>
              <w:top w:val="single" w:sz="4" w:space="0" w:color="auto"/>
              <w:left w:val="nil"/>
              <w:bottom w:val="single" w:sz="4" w:space="0" w:color="auto"/>
              <w:right w:val="single" w:sz="4" w:space="0" w:color="auto"/>
            </w:tcBorders>
            <w:vAlign w:val="bottom"/>
          </w:tcPr>
          <w:p w:rsidR="00977F6A" w:rsidRDefault="00111C5D">
            <w:pPr>
              <w:jc w:val="center"/>
              <w:rPr>
                <w:b/>
                <w:bCs/>
                <w:sz w:val="21"/>
                <w:szCs w:val="21"/>
                <w:lang w:val="en-US"/>
              </w:rPr>
            </w:pPr>
            <w:r>
              <w:rPr>
                <w:b/>
                <w:bCs/>
                <w:sz w:val="21"/>
                <w:szCs w:val="21"/>
                <w:lang w:val="en-US"/>
              </w:rPr>
              <w:t>2011</w:t>
            </w:r>
          </w:p>
        </w:tc>
        <w:tc>
          <w:tcPr>
            <w:tcW w:w="1304" w:type="dxa"/>
            <w:tcBorders>
              <w:top w:val="single" w:sz="4" w:space="0" w:color="auto"/>
              <w:left w:val="single" w:sz="4" w:space="0" w:color="auto"/>
              <w:bottom w:val="single" w:sz="4" w:space="0" w:color="auto"/>
              <w:right w:val="single" w:sz="4" w:space="0" w:color="auto"/>
            </w:tcBorders>
            <w:vAlign w:val="bottom"/>
          </w:tcPr>
          <w:p w:rsidR="00977F6A" w:rsidRDefault="00111C5D">
            <w:pPr>
              <w:jc w:val="center"/>
              <w:rPr>
                <w:b/>
                <w:bCs/>
                <w:sz w:val="21"/>
                <w:szCs w:val="21"/>
                <w:lang w:val="en-US"/>
              </w:rPr>
            </w:pPr>
            <w:r>
              <w:rPr>
                <w:b/>
                <w:bCs/>
                <w:sz w:val="21"/>
                <w:szCs w:val="21"/>
                <w:lang w:val="en-US"/>
              </w:rPr>
              <w:t>2012</w:t>
            </w:r>
          </w:p>
        </w:tc>
        <w:tc>
          <w:tcPr>
            <w:tcW w:w="1305" w:type="dxa"/>
            <w:tcBorders>
              <w:top w:val="single" w:sz="4" w:space="0" w:color="auto"/>
              <w:left w:val="single" w:sz="4" w:space="0" w:color="auto"/>
              <w:bottom w:val="single" w:sz="4" w:space="0" w:color="auto"/>
              <w:right w:val="single" w:sz="4" w:space="0" w:color="auto"/>
            </w:tcBorders>
            <w:vAlign w:val="bottom"/>
          </w:tcPr>
          <w:p w:rsidR="00977F6A" w:rsidRDefault="00111C5D">
            <w:pPr>
              <w:jc w:val="center"/>
              <w:rPr>
                <w:b/>
                <w:bCs/>
                <w:sz w:val="21"/>
                <w:szCs w:val="21"/>
                <w:lang w:val="en-US"/>
              </w:rPr>
            </w:pPr>
            <w:r>
              <w:rPr>
                <w:b/>
                <w:bCs/>
                <w:sz w:val="21"/>
                <w:szCs w:val="21"/>
                <w:lang w:val="en-US"/>
              </w:rPr>
              <w:t>2013</w:t>
            </w:r>
          </w:p>
        </w:tc>
        <w:tc>
          <w:tcPr>
            <w:tcW w:w="1304" w:type="dxa"/>
            <w:tcBorders>
              <w:top w:val="single" w:sz="4" w:space="0" w:color="auto"/>
              <w:left w:val="single" w:sz="4" w:space="0" w:color="auto"/>
              <w:bottom w:val="single" w:sz="4" w:space="0" w:color="auto"/>
              <w:right w:val="single" w:sz="4" w:space="0" w:color="auto"/>
            </w:tcBorders>
            <w:vAlign w:val="bottom"/>
          </w:tcPr>
          <w:p w:rsidR="00977F6A" w:rsidRDefault="00111C5D">
            <w:pPr>
              <w:jc w:val="center"/>
              <w:rPr>
                <w:b/>
                <w:bCs/>
                <w:sz w:val="21"/>
                <w:szCs w:val="21"/>
                <w:lang w:val="en-US"/>
              </w:rPr>
            </w:pPr>
            <w:r>
              <w:rPr>
                <w:b/>
                <w:bCs/>
                <w:sz w:val="21"/>
                <w:szCs w:val="21"/>
                <w:lang w:val="en-US"/>
              </w:rPr>
              <w:t>2014</w:t>
            </w:r>
          </w:p>
        </w:tc>
        <w:tc>
          <w:tcPr>
            <w:tcW w:w="1304" w:type="dxa"/>
            <w:tcBorders>
              <w:top w:val="single" w:sz="4" w:space="0" w:color="auto"/>
              <w:left w:val="single" w:sz="4" w:space="0" w:color="auto"/>
              <w:bottom w:val="single" w:sz="4" w:space="0" w:color="auto"/>
              <w:right w:val="single" w:sz="4" w:space="0" w:color="auto"/>
            </w:tcBorders>
            <w:vAlign w:val="bottom"/>
          </w:tcPr>
          <w:p w:rsidR="00977F6A" w:rsidRDefault="00111C5D">
            <w:pPr>
              <w:jc w:val="center"/>
              <w:rPr>
                <w:b/>
                <w:bCs/>
                <w:sz w:val="21"/>
                <w:szCs w:val="21"/>
                <w:lang w:val="en-US"/>
              </w:rPr>
            </w:pPr>
            <w:r>
              <w:rPr>
                <w:b/>
                <w:bCs/>
                <w:sz w:val="21"/>
                <w:szCs w:val="21"/>
                <w:lang w:val="en-US"/>
              </w:rPr>
              <w:t>2015</w:t>
            </w:r>
          </w:p>
        </w:tc>
        <w:tc>
          <w:tcPr>
            <w:tcW w:w="1305"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bottom"/>
            <w:hideMark/>
          </w:tcPr>
          <w:p w:rsidR="00977F6A" w:rsidRDefault="00111C5D">
            <w:pPr>
              <w:jc w:val="center"/>
              <w:rPr>
                <w:b/>
                <w:bCs/>
                <w:sz w:val="21"/>
                <w:szCs w:val="21"/>
                <w:lang w:val="en-US"/>
              </w:rPr>
            </w:pPr>
            <w:r>
              <w:rPr>
                <w:b/>
                <w:bCs/>
                <w:sz w:val="21"/>
                <w:szCs w:val="21"/>
                <w:lang w:val="en-US"/>
              </w:rPr>
              <w:t>Baseline*</w:t>
            </w:r>
          </w:p>
        </w:tc>
      </w:tr>
      <w:tr w:rsidR="00977F6A">
        <w:tc>
          <w:tcPr>
            <w:tcW w:w="153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rsidR="00977F6A" w:rsidRDefault="00111C5D">
            <w:pPr>
              <w:jc w:val="left"/>
              <w:rPr>
                <w:bCs/>
                <w:sz w:val="21"/>
                <w:szCs w:val="21"/>
                <w:lang w:val="en-US"/>
              </w:rPr>
            </w:pPr>
            <w:r>
              <w:rPr>
                <w:bCs/>
                <w:sz w:val="21"/>
                <w:szCs w:val="21"/>
                <w:lang w:val="en-US"/>
              </w:rPr>
              <w:t>Metric tonnes</w:t>
            </w:r>
          </w:p>
        </w:tc>
        <w:tc>
          <w:tcPr>
            <w:tcW w:w="1304" w:type="dxa"/>
            <w:tcBorders>
              <w:top w:val="single" w:sz="4" w:space="0" w:color="auto"/>
              <w:left w:val="nil"/>
              <w:bottom w:val="single" w:sz="4" w:space="0" w:color="auto"/>
              <w:right w:val="single" w:sz="4" w:space="0" w:color="auto"/>
            </w:tcBorders>
            <w:vAlign w:val="center"/>
          </w:tcPr>
          <w:p w:rsidR="00977F6A" w:rsidRDefault="00111C5D">
            <w:pPr>
              <w:jc w:val="right"/>
              <w:rPr>
                <w:sz w:val="21"/>
                <w:szCs w:val="21"/>
              </w:rPr>
            </w:pPr>
            <w:r>
              <w:rPr>
                <w:sz w:val="21"/>
                <w:szCs w:val="21"/>
              </w:rPr>
              <w:t>2.10</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1.98</w:t>
            </w:r>
          </w:p>
        </w:tc>
        <w:tc>
          <w:tcPr>
            <w:tcW w:w="1305"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2.11</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Pr="006037B5" w:rsidRDefault="00111C5D">
            <w:pPr>
              <w:jc w:val="right"/>
              <w:rPr>
                <w:sz w:val="21"/>
                <w:szCs w:val="21"/>
              </w:rPr>
            </w:pPr>
            <w:r w:rsidRPr="006037B5">
              <w:rPr>
                <w:sz w:val="21"/>
                <w:szCs w:val="21"/>
              </w:rPr>
              <w:t>2.60</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Pr="006037B5" w:rsidRDefault="00111C5D">
            <w:pPr>
              <w:jc w:val="right"/>
              <w:rPr>
                <w:sz w:val="21"/>
                <w:szCs w:val="21"/>
              </w:rPr>
            </w:pPr>
            <w:r w:rsidRPr="006037B5">
              <w:rPr>
                <w:sz w:val="21"/>
                <w:szCs w:val="21"/>
              </w:rPr>
              <w:t>1.80</w:t>
            </w:r>
          </w:p>
        </w:tc>
        <w:tc>
          <w:tcPr>
            <w:tcW w:w="1305" w:type="dxa"/>
            <w:tcBorders>
              <w:top w:val="nil"/>
              <w:left w:val="single" w:sz="4" w:space="0" w:color="auto"/>
              <w:bottom w:val="single" w:sz="4" w:space="0" w:color="auto"/>
              <w:right w:val="single" w:sz="4" w:space="0" w:color="auto"/>
            </w:tcBorders>
            <w:shd w:val="clear" w:color="auto" w:fill="auto"/>
            <w:noWrap/>
            <w:tcMar>
              <w:left w:w="43" w:type="dxa"/>
              <w:right w:w="144" w:type="dxa"/>
            </w:tcMar>
            <w:vAlign w:val="center"/>
            <w:hideMark/>
          </w:tcPr>
          <w:p w:rsidR="00977F6A" w:rsidRPr="006037B5" w:rsidRDefault="00111C5D">
            <w:pPr>
              <w:jc w:val="right"/>
              <w:rPr>
                <w:sz w:val="21"/>
                <w:szCs w:val="21"/>
              </w:rPr>
            </w:pPr>
            <w:r w:rsidRPr="006037B5">
              <w:rPr>
                <w:sz w:val="21"/>
                <w:szCs w:val="21"/>
              </w:rPr>
              <w:t>2.48</w:t>
            </w:r>
          </w:p>
        </w:tc>
      </w:tr>
      <w:tr w:rsidR="00977F6A">
        <w:tc>
          <w:tcPr>
            <w:tcW w:w="153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rsidR="00977F6A" w:rsidRDefault="00111C5D">
            <w:pPr>
              <w:jc w:val="left"/>
              <w:rPr>
                <w:sz w:val="21"/>
                <w:szCs w:val="21"/>
                <w:lang w:val="en-US"/>
              </w:rPr>
            </w:pPr>
            <w:r>
              <w:rPr>
                <w:sz w:val="21"/>
                <w:szCs w:val="21"/>
                <w:lang w:val="en-US"/>
              </w:rPr>
              <w:t>ODP tonnes</w:t>
            </w:r>
          </w:p>
        </w:tc>
        <w:tc>
          <w:tcPr>
            <w:tcW w:w="1304" w:type="dxa"/>
            <w:tcBorders>
              <w:top w:val="single" w:sz="4" w:space="0" w:color="auto"/>
              <w:left w:val="nil"/>
              <w:bottom w:val="single" w:sz="4" w:space="0" w:color="auto"/>
              <w:right w:val="single" w:sz="4" w:space="0" w:color="auto"/>
            </w:tcBorders>
            <w:vAlign w:val="center"/>
          </w:tcPr>
          <w:p w:rsidR="00977F6A" w:rsidRDefault="00111C5D">
            <w:pPr>
              <w:jc w:val="right"/>
              <w:rPr>
                <w:sz w:val="21"/>
                <w:szCs w:val="21"/>
              </w:rPr>
            </w:pPr>
            <w:r>
              <w:rPr>
                <w:sz w:val="21"/>
                <w:szCs w:val="21"/>
              </w:rPr>
              <w:t>0.12</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0.11</w:t>
            </w:r>
          </w:p>
        </w:tc>
        <w:tc>
          <w:tcPr>
            <w:tcW w:w="1305"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0.12</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0.14</w:t>
            </w:r>
          </w:p>
        </w:tc>
        <w:tc>
          <w:tcPr>
            <w:tcW w:w="1304" w:type="dxa"/>
            <w:tcBorders>
              <w:top w:val="single" w:sz="4" w:space="0" w:color="auto"/>
              <w:left w:val="single" w:sz="4" w:space="0" w:color="auto"/>
              <w:bottom w:val="single" w:sz="4" w:space="0" w:color="auto"/>
              <w:right w:val="single" w:sz="4" w:space="0" w:color="auto"/>
            </w:tcBorders>
            <w:vAlign w:val="center"/>
          </w:tcPr>
          <w:p w:rsidR="00977F6A" w:rsidRDefault="00111C5D">
            <w:pPr>
              <w:jc w:val="right"/>
              <w:rPr>
                <w:sz w:val="21"/>
                <w:szCs w:val="21"/>
              </w:rPr>
            </w:pPr>
            <w:r>
              <w:rPr>
                <w:sz w:val="21"/>
                <w:szCs w:val="21"/>
              </w:rPr>
              <w:t>0.10</w:t>
            </w:r>
          </w:p>
        </w:tc>
        <w:tc>
          <w:tcPr>
            <w:tcW w:w="1305" w:type="dxa"/>
            <w:tcBorders>
              <w:top w:val="nil"/>
              <w:left w:val="single" w:sz="4" w:space="0" w:color="auto"/>
              <w:bottom w:val="single" w:sz="4" w:space="0" w:color="auto"/>
              <w:right w:val="single" w:sz="4" w:space="0" w:color="auto"/>
            </w:tcBorders>
            <w:shd w:val="clear" w:color="auto" w:fill="auto"/>
            <w:noWrap/>
            <w:tcMar>
              <w:left w:w="43" w:type="dxa"/>
              <w:right w:w="144" w:type="dxa"/>
            </w:tcMar>
            <w:vAlign w:val="center"/>
            <w:hideMark/>
          </w:tcPr>
          <w:p w:rsidR="00977F6A" w:rsidRDefault="00111C5D">
            <w:pPr>
              <w:jc w:val="right"/>
              <w:rPr>
                <w:sz w:val="21"/>
                <w:szCs w:val="21"/>
              </w:rPr>
            </w:pPr>
            <w:r>
              <w:rPr>
                <w:sz w:val="21"/>
                <w:szCs w:val="21"/>
              </w:rPr>
              <w:t>0.14</w:t>
            </w:r>
          </w:p>
        </w:tc>
      </w:tr>
    </w:tbl>
    <w:p w:rsidR="00977F6A" w:rsidRDefault="00111C5D">
      <w:pPr>
        <w:rPr>
          <w:sz w:val="16"/>
          <w:szCs w:val="16"/>
          <w:lang w:val="en-CA"/>
        </w:rPr>
      </w:pPr>
      <w:r>
        <w:rPr>
          <w:sz w:val="16"/>
          <w:szCs w:val="16"/>
          <w:lang w:val="en-CA"/>
        </w:rPr>
        <w:t>(*) The HCFC baseline for compliance is 0.1 ODP tonnes (based on one decimal digit).</w:t>
      </w:r>
    </w:p>
    <w:p w:rsidR="00977F6A" w:rsidRDefault="00977F6A">
      <w:pPr>
        <w:rPr>
          <w:lang w:val="en-CA"/>
        </w:rPr>
      </w:pPr>
    </w:p>
    <w:p w:rsidR="00977F6A" w:rsidRDefault="00111C5D">
      <w:pPr>
        <w:pStyle w:val="Heading1"/>
        <w:rPr>
          <w:lang w:val="en-CA"/>
        </w:rPr>
      </w:pPr>
      <w:r>
        <w:rPr>
          <w:lang w:val="en-CA"/>
        </w:rPr>
        <w:t>HCFC-22 consumption increased in 2014 as compared with previous years due to the increased imports for the 2015 control measure and the arrival of a new importer. HCFC-22 consumption in 2015 was 0.026 ODP tonnes below the allowable consumption for that year. HCFC-22 is being used for servicing domestic refrigeration and air-conditioning and commercial refrigeration equipment. The HCFC consumption for 2014 and 2015 are within the consumption targets of the Montreal Protocol for these years</w:t>
      </w:r>
      <w:r w:rsidR="00E23CF6">
        <w:rPr>
          <w:lang w:val="en-CA"/>
        </w:rPr>
        <w:t xml:space="preserve">, noting that the reported data converted </w:t>
      </w:r>
      <w:r w:rsidR="000719A3">
        <w:rPr>
          <w:lang w:val="en-CA"/>
        </w:rPr>
        <w:t>to</w:t>
      </w:r>
      <w:r w:rsidR="00E23CF6">
        <w:rPr>
          <w:lang w:val="en-CA"/>
        </w:rPr>
        <w:t xml:space="preserve"> ODP tonnes is being used to assess compliance with the Agreement signed between the Government and the Executive Committee. </w:t>
      </w:r>
    </w:p>
    <w:p w:rsidR="00977F6A" w:rsidRDefault="00111C5D">
      <w:pPr>
        <w:spacing w:after="240"/>
        <w:rPr>
          <w:i/>
          <w:lang w:val="en-CA"/>
        </w:rPr>
      </w:pPr>
      <w:r>
        <w:rPr>
          <w:i/>
          <w:lang w:val="en-CA"/>
        </w:rPr>
        <w:t>Country programme (CP) implementation report</w:t>
      </w:r>
    </w:p>
    <w:p w:rsidR="00977F6A" w:rsidRDefault="00111C5D">
      <w:pPr>
        <w:pStyle w:val="Heading1"/>
        <w:rPr>
          <w:lang w:val="en-CA"/>
        </w:rPr>
      </w:pPr>
      <w:r>
        <w:rPr>
          <w:lang w:val="en-CA"/>
        </w:rPr>
        <w:t>The Government of the Comoros reported HCFC sector consumption data under the 2015 CP implementation report which is consistent with the data reported under Article 7 of the Montreal Protocol.</w:t>
      </w:r>
    </w:p>
    <w:p w:rsidR="00977F6A" w:rsidRDefault="00111C5D">
      <w:pPr>
        <w:spacing w:after="240"/>
        <w:rPr>
          <w:u w:val="single"/>
          <w:lang w:val="en-CA"/>
        </w:rPr>
      </w:pPr>
      <w:r>
        <w:rPr>
          <w:u w:val="single"/>
          <w:lang w:val="en-CA"/>
        </w:rPr>
        <w:t>Progress report on the implementation of the second tranche of the HPMP</w:t>
      </w:r>
    </w:p>
    <w:p w:rsidR="00977F6A" w:rsidRDefault="00977F6A">
      <w:pPr>
        <w:autoSpaceDE w:val="0"/>
        <w:autoSpaceDN w:val="0"/>
        <w:adjustRightInd w:val="0"/>
        <w:jc w:val="left"/>
        <w:rPr>
          <w:i/>
          <w:lang w:val="en-CA"/>
        </w:rPr>
      </w:pPr>
    </w:p>
    <w:p w:rsidR="00977F6A" w:rsidRDefault="00111C5D">
      <w:pPr>
        <w:spacing w:after="240"/>
        <w:rPr>
          <w:i/>
          <w:lang w:val="en-CA"/>
        </w:rPr>
      </w:pPr>
      <w:r>
        <w:rPr>
          <w:i/>
          <w:lang w:val="en-CA"/>
        </w:rPr>
        <w:t>Legal framework</w:t>
      </w:r>
    </w:p>
    <w:p w:rsidR="00977F6A" w:rsidRDefault="00111C5D">
      <w:pPr>
        <w:pStyle w:val="Heading1"/>
        <w:rPr>
          <w:lang w:val="en-CA"/>
        </w:rPr>
      </w:pPr>
      <w:r>
        <w:t>The import/export licensing and quota system has been established for all ODS, including HCFCs. The Government has amended the legislation to include the accelerated phase-out schedule for HCFCs.</w:t>
      </w:r>
    </w:p>
    <w:p w:rsidR="00977F6A" w:rsidRDefault="00111C5D">
      <w:pPr>
        <w:spacing w:after="240"/>
        <w:rPr>
          <w:i/>
          <w:lang w:val="en-CA"/>
        </w:rPr>
      </w:pPr>
      <w:r>
        <w:rPr>
          <w:i/>
          <w:lang w:val="en-CA"/>
        </w:rPr>
        <w:t>Refrigeration servicing sector</w:t>
      </w:r>
    </w:p>
    <w:p w:rsidR="000719A3" w:rsidRPr="000719A3" w:rsidRDefault="000719A3" w:rsidP="000719A3">
      <w:pPr>
        <w:pStyle w:val="Heading1"/>
        <w:rPr>
          <w:lang w:val="en-CA"/>
        </w:rPr>
      </w:pPr>
      <w:r w:rsidRPr="000719A3">
        <w:rPr>
          <w:lang w:val="en-CA"/>
        </w:rPr>
        <w:t xml:space="preserve">The main activities </w:t>
      </w:r>
      <w:r>
        <w:rPr>
          <w:lang w:val="en-CA"/>
        </w:rPr>
        <w:t>implemented during the second tranche included:</w:t>
      </w:r>
    </w:p>
    <w:p w:rsidR="00977F6A" w:rsidRDefault="00111C5D">
      <w:pPr>
        <w:pStyle w:val="Heading2"/>
        <w:rPr>
          <w:rFonts w:eastAsia="MS Mincho"/>
        </w:rPr>
      </w:pPr>
      <w:r>
        <w:rPr>
          <w:rFonts w:eastAsia="MS Mincho"/>
        </w:rPr>
        <w:t>Six workshops for 71 Customs and enforcement officers on control and identification of ODS and ODS-based equipment including HCFCs and HCFC-based equipment; and</w:t>
      </w:r>
    </w:p>
    <w:p w:rsidR="00977F6A" w:rsidRDefault="00111C5D">
      <w:pPr>
        <w:pStyle w:val="Heading2"/>
        <w:numPr>
          <w:ilvl w:val="1"/>
          <w:numId w:val="1"/>
        </w:numPr>
        <w:rPr>
          <w:rFonts w:eastAsiaTheme="minorEastAsia"/>
          <w:lang w:eastAsia="ja-JP"/>
        </w:rPr>
      </w:pPr>
      <w:proofErr w:type="gramStart"/>
      <w:r>
        <w:t>Six</w:t>
      </w:r>
      <w:r>
        <w:rPr>
          <w:rFonts w:eastAsiaTheme="minorEastAsia"/>
          <w:shd w:val="clear" w:color="auto" w:fill="FFFFFF"/>
          <w:lang w:eastAsia="ja-JP"/>
        </w:rPr>
        <w:t xml:space="preserve"> workshops for 118 refrigeration and air-conditioning </w:t>
      </w:r>
      <w:r>
        <w:rPr>
          <w:rFonts w:eastAsiaTheme="minorEastAsia"/>
          <w:lang w:eastAsia="ja-JP"/>
        </w:rPr>
        <w:t xml:space="preserve">technicians </w:t>
      </w:r>
      <w:r>
        <w:rPr>
          <w:rFonts w:eastAsia="MS Mincho"/>
        </w:rPr>
        <w:t xml:space="preserve">on good </w:t>
      </w:r>
      <w:r>
        <w:rPr>
          <w:rFonts w:eastAsia="MS Mincho"/>
        </w:rPr>
        <w:lastRenderedPageBreak/>
        <w:t>refrigeration practices, the safe handling of flammable refrigerants</w:t>
      </w:r>
      <w:r w:rsidR="00903473">
        <w:rPr>
          <w:rFonts w:eastAsia="MS Mincho"/>
        </w:rPr>
        <w:t>,</w:t>
      </w:r>
      <w:r>
        <w:rPr>
          <w:rFonts w:eastAsia="MS Mincho"/>
        </w:rPr>
        <w:t xml:space="preserve"> and servicing of HCFC air</w:t>
      </w:r>
      <w:r>
        <w:rPr>
          <w:rFonts w:eastAsia="MS Mincho"/>
        </w:rPr>
        <w:noBreakHyphen/>
        <w:t>conditioning equipment</w:t>
      </w:r>
      <w:r>
        <w:rPr>
          <w:rFonts w:eastAsiaTheme="minorEastAsia"/>
          <w:lang w:eastAsia="ja-JP"/>
        </w:rPr>
        <w:t>.</w:t>
      </w:r>
      <w:proofErr w:type="gramEnd"/>
      <w:r>
        <w:rPr>
          <w:rFonts w:eastAsiaTheme="minorEastAsia"/>
          <w:lang w:eastAsia="ja-JP"/>
        </w:rPr>
        <w:t xml:space="preserve"> </w:t>
      </w:r>
    </w:p>
    <w:p w:rsidR="00977F6A" w:rsidRDefault="00111C5D">
      <w:pPr>
        <w:autoSpaceDE w:val="0"/>
        <w:autoSpaceDN w:val="0"/>
        <w:adjustRightInd w:val="0"/>
        <w:jc w:val="left"/>
        <w:rPr>
          <w:i/>
          <w:iCs/>
          <w:lang w:val="en-US"/>
        </w:rPr>
      </w:pPr>
      <w:r>
        <w:rPr>
          <w:i/>
          <w:iCs/>
          <w:lang w:val="en-US"/>
        </w:rPr>
        <w:t>Project implementation and monitoring unit (PMU)</w:t>
      </w:r>
    </w:p>
    <w:p w:rsidR="00977F6A" w:rsidRDefault="00977F6A">
      <w:pPr>
        <w:autoSpaceDE w:val="0"/>
        <w:autoSpaceDN w:val="0"/>
        <w:adjustRightInd w:val="0"/>
        <w:jc w:val="left"/>
        <w:rPr>
          <w:iCs/>
          <w:lang w:val="en-US"/>
        </w:rPr>
      </w:pPr>
    </w:p>
    <w:p w:rsidR="00977F6A" w:rsidRDefault="00111C5D">
      <w:pPr>
        <w:pStyle w:val="Heading1"/>
      </w:pPr>
      <w:r>
        <w:rPr>
          <w:lang w:val="en-US"/>
        </w:rPr>
        <w:t>The National Ozone Unit (NOU) recruited two consultants (one on refrigeration and one customs expert) to assist in monitoring the implementation of all the HPMP activities and to collect data.</w:t>
      </w:r>
    </w:p>
    <w:p w:rsidR="00977F6A" w:rsidRDefault="00111C5D">
      <w:pPr>
        <w:spacing w:after="240"/>
        <w:rPr>
          <w:u w:val="single"/>
          <w:lang w:val="en-CA"/>
        </w:rPr>
      </w:pPr>
      <w:r>
        <w:rPr>
          <w:i/>
          <w:lang w:val="en-CA"/>
        </w:rPr>
        <w:t xml:space="preserve"> </w:t>
      </w:r>
      <w:r>
        <w:rPr>
          <w:u w:val="single"/>
          <w:lang w:val="en-CA"/>
        </w:rPr>
        <w:t>Level of fund disbursement</w:t>
      </w:r>
    </w:p>
    <w:p w:rsidR="00977F6A" w:rsidRDefault="00111C5D">
      <w:pPr>
        <w:pStyle w:val="Heading1"/>
        <w:rPr>
          <w:lang w:val="en-CA"/>
        </w:rPr>
      </w:pPr>
      <w:r>
        <w:rPr>
          <w:lang w:val="en-CA"/>
        </w:rPr>
        <w:t>As of September 2016, of the US 79,000 so far approved, US $58,000 had been disbursed. The balance of US $21,000 will be disbursed by December 2016 (Table 2).</w:t>
      </w:r>
    </w:p>
    <w:p w:rsidR="00977F6A" w:rsidRDefault="00111C5D">
      <w:pPr>
        <w:rPr>
          <w:b/>
          <w:lang w:val="en-CA"/>
        </w:rPr>
      </w:pPr>
      <w:proofErr w:type="gramStart"/>
      <w:r>
        <w:rPr>
          <w:b/>
          <w:lang w:val="en-CA"/>
        </w:rPr>
        <w:t>Table 2.</w:t>
      </w:r>
      <w:proofErr w:type="gramEnd"/>
      <w:r>
        <w:rPr>
          <w:b/>
          <w:lang w:val="en-CA"/>
        </w:rPr>
        <w:t xml:space="preserve"> Financial report of stage I of the HPMP for Comoros (The)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977F6A">
        <w:tc>
          <w:tcPr>
            <w:tcW w:w="2268" w:type="dxa"/>
            <w:vMerge w:val="restart"/>
          </w:tcPr>
          <w:p w:rsidR="00977F6A" w:rsidRDefault="00111C5D">
            <w:pPr>
              <w:keepNext/>
              <w:jc w:val="center"/>
              <w:rPr>
                <w:b/>
                <w:sz w:val="20"/>
                <w:szCs w:val="20"/>
                <w:lang w:val="en-CA"/>
              </w:rPr>
            </w:pPr>
            <w:r>
              <w:rPr>
                <w:b/>
                <w:sz w:val="20"/>
                <w:szCs w:val="20"/>
                <w:lang w:val="en-CA"/>
              </w:rPr>
              <w:t>Agency</w:t>
            </w:r>
          </w:p>
        </w:tc>
        <w:tc>
          <w:tcPr>
            <w:tcW w:w="2340" w:type="dxa"/>
            <w:gridSpan w:val="2"/>
          </w:tcPr>
          <w:p w:rsidR="00977F6A" w:rsidRDefault="00111C5D">
            <w:pPr>
              <w:keepNext/>
              <w:jc w:val="center"/>
              <w:rPr>
                <w:b/>
                <w:sz w:val="20"/>
                <w:szCs w:val="20"/>
                <w:lang w:val="en-CA"/>
              </w:rPr>
            </w:pPr>
            <w:r>
              <w:rPr>
                <w:b/>
                <w:sz w:val="20"/>
                <w:szCs w:val="20"/>
                <w:lang w:val="en-CA"/>
              </w:rPr>
              <w:t>First tranche</w:t>
            </w:r>
          </w:p>
        </w:tc>
        <w:tc>
          <w:tcPr>
            <w:tcW w:w="2408" w:type="dxa"/>
            <w:gridSpan w:val="2"/>
          </w:tcPr>
          <w:p w:rsidR="00977F6A" w:rsidRDefault="00111C5D">
            <w:pPr>
              <w:keepNext/>
              <w:jc w:val="center"/>
              <w:rPr>
                <w:b/>
                <w:sz w:val="20"/>
                <w:szCs w:val="20"/>
                <w:lang w:val="en-CA"/>
              </w:rPr>
            </w:pPr>
            <w:r>
              <w:rPr>
                <w:b/>
                <w:sz w:val="20"/>
                <w:szCs w:val="20"/>
                <w:lang w:val="en-CA"/>
              </w:rPr>
              <w:t>Second tranche</w:t>
            </w:r>
          </w:p>
        </w:tc>
        <w:tc>
          <w:tcPr>
            <w:tcW w:w="2560" w:type="dxa"/>
            <w:gridSpan w:val="2"/>
          </w:tcPr>
          <w:p w:rsidR="00977F6A" w:rsidRDefault="00111C5D">
            <w:pPr>
              <w:keepNext/>
              <w:jc w:val="center"/>
              <w:rPr>
                <w:b/>
                <w:sz w:val="20"/>
                <w:szCs w:val="20"/>
                <w:lang w:val="en-CA"/>
              </w:rPr>
            </w:pPr>
            <w:r>
              <w:rPr>
                <w:b/>
                <w:sz w:val="20"/>
                <w:szCs w:val="20"/>
                <w:lang w:val="en-CA"/>
              </w:rPr>
              <w:t>Total approved</w:t>
            </w:r>
          </w:p>
        </w:tc>
      </w:tr>
      <w:tr w:rsidR="00977F6A">
        <w:tc>
          <w:tcPr>
            <w:tcW w:w="2268" w:type="dxa"/>
            <w:vMerge/>
          </w:tcPr>
          <w:p w:rsidR="00977F6A" w:rsidRDefault="00977F6A">
            <w:pPr>
              <w:jc w:val="center"/>
              <w:rPr>
                <w:b/>
                <w:sz w:val="20"/>
                <w:szCs w:val="20"/>
                <w:lang w:val="en-CA"/>
              </w:rPr>
            </w:pPr>
          </w:p>
        </w:tc>
        <w:tc>
          <w:tcPr>
            <w:tcW w:w="1080" w:type="dxa"/>
          </w:tcPr>
          <w:p w:rsidR="00977F6A" w:rsidRDefault="00111C5D">
            <w:pPr>
              <w:jc w:val="center"/>
              <w:rPr>
                <w:b/>
                <w:sz w:val="20"/>
                <w:szCs w:val="20"/>
                <w:lang w:val="en-CA"/>
              </w:rPr>
            </w:pPr>
            <w:r>
              <w:rPr>
                <w:b/>
                <w:sz w:val="20"/>
                <w:szCs w:val="20"/>
                <w:lang w:val="en-CA"/>
              </w:rPr>
              <w:t>Approved</w:t>
            </w:r>
          </w:p>
        </w:tc>
        <w:tc>
          <w:tcPr>
            <w:tcW w:w="1260" w:type="dxa"/>
          </w:tcPr>
          <w:p w:rsidR="00977F6A" w:rsidRDefault="00111C5D">
            <w:pPr>
              <w:jc w:val="center"/>
              <w:rPr>
                <w:b/>
                <w:sz w:val="20"/>
                <w:szCs w:val="20"/>
                <w:lang w:val="en-CA"/>
              </w:rPr>
            </w:pPr>
            <w:r>
              <w:rPr>
                <w:b/>
                <w:sz w:val="20"/>
                <w:szCs w:val="20"/>
                <w:lang w:val="en-CA"/>
              </w:rPr>
              <w:t>Disbursed</w:t>
            </w:r>
          </w:p>
        </w:tc>
        <w:tc>
          <w:tcPr>
            <w:tcW w:w="1126" w:type="dxa"/>
          </w:tcPr>
          <w:p w:rsidR="00977F6A" w:rsidRDefault="00111C5D">
            <w:pPr>
              <w:jc w:val="center"/>
              <w:rPr>
                <w:b/>
                <w:sz w:val="20"/>
                <w:szCs w:val="20"/>
                <w:lang w:val="en-CA"/>
              </w:rPr>
            </w:pPr>
            <w:r>
              <w:rPr>
                <w:b/>
                <w:sz w:val="20"/>
                <w:szCs w:val="20"/>
                <w:lang w:val="en-CA"/>
              </w:rPr>
              <w:t>Approved</w:t>
            </w:r>
          </w:p>
        </w:tc>
        <w:tc>
          <w:tcPr>
            <w:tcW w:w="1282" w:type="dxa"/>
          </w:tcPr>
          <w:p w:rsidR="00977F6A" w:rsidRDefault="00111C5D">
            <w:pPr>
              <w:jc w:val="center"/>
              <w:rPr>
                <w:b/>
                <w:sz w:val="20"/>
                <w:szCs w:val="20"/>
                <w:lang w:val="en-CA"/>
              </w:rPr>
            </w:pPr>
            <w:r>
              <w:rPr>
                <w:b/>
                <w:sz w:val="20"/>
                <w:szCs w:val="20"/>
                <w:lang w:val="en-CA"/>
              </w:rPr>
              <w:t>Disbursed</w:t>
            </w:r>
          </w:p>
        </w:tc>
        <w:tc>
          <w:tcPr>
            <w:tcW w:w="1278" w:type="dxa"/>
          </w:tcPr>
          <w:p w:rsidR="00977F6A" w:rsidRDefault="00111C5D">
            <w:pPr>
              <w:jc w:val="center"/>
              <w:rPr>
                <w:b/>
                <w:sz w:val="20"/>
                <w:szCs w:val="20"/>
                <w:lang w:val="en-CA"/>
              </w:rPr>
            </w:pPr>
            <w:r>
              <w:rPr>
                <w:b/>
                <w:sz w:val="20"/>
                <w:szCs w:val="20"/>
                <w:lang w:val="en-CA"/>
              </w:rPr>
              <w:t>Approved</w:t>
            </w:r>
          </w:p>
        </w:tc>
        <w:tc>
          <w:tcPr>
            <w:tcW w:w="1282" w:type="dxa"/>
          </w:tcPr>
          <w:p w:rsidR="00977F6A" w:rsidRDefault="00111C5D">
            <w:pPr>
              <w:jc w:val="center"/>
              <w:rPr>
                <w:b/>
                <w:sz w:val="20"/>
                <w:szCs w:val="20"/>
                <w:lang w:val="en-CA"/>
              </w:rPr>
            </w:pPr>
            <w:r>
              <w:rPr>
                <w:b/>
                <w:sz w:val="20"/>
                <w:szCs w:val="20"/>
                <w:lang w:val="en-CA"/>
              </w:rPr>
              <w:t>Disbursed</w:t>
            </w:r>
          </w:p>
        </w:tc>
      </w:tr>
      <w:tr w:rsidR="00977F6A">
        <w:tc>
          <w:tcPr>
            <w:tcW w:w="2268" w:type="dxa"/>
          </w:tcPr>
          <w:p w:rsidR="00977F6A" w:rsidRDefault="00111C5D">
            <w:pPr>
              <w:rPr>
                <w:sz w:val="20"/>
                <w:szCs w:val="20"/>
                <w:lang w:val="en-CA"/>
              </w:rPr>
            </w:pPr>
            <w:r>
              <w:rPr>
                <w:sz w:val="20"/>
                <w:szCs w:val="20"/>
                <w:lang w:val="en-CA"/>
              </w:rPr>
              <w:t>UNEP</w:t>
            </w:r>
          </w:p>
        </w:tc>
        <w:tc>
          <w:tcPr>
            <w:tcW w:w="1080" w:type="dxa"/>
          </w:tcPr>
          <w:p w:rsidR="00977F6A" w:rsidRDefault="00111C5D">
            <w:pPr>
              <w:jc w:val="right"/>
              <w:rPr>
                <w:sz w:val="20"/>
                <w:szCs w:val="20"/>
                <w:lang w:val="en-CA"/>
              </w:rPr>
            </w:pPr>
            <w:r>
              <w:rPr>
                <w:sz w:val="20"/>
                <w:szCs w:val="20"/>
                <w:lang w:val="en-CA"/>
              </w:rPr>
              <w:t>44,000</w:t>
            </w:r>
          </w:p>
        </w:tc>
        <w:tc>
          <w:tcPr>
            <w:tcW w:w="1260" w:type="dxa"/>
          </w:tcPr>
          <w:p w:rsidR="00977F6A" w:rsidRDefault="00111C5D">
            <w:pPr>
              <w:jc w:val="right"/>
              <w:rPr>
                <w:sz w:val="20"/>
                <w:szCs w:val="20"/>
                <w:lang w:val="en-CA"/>
              </w:rPr>
            </w:pPr>
            <w:r>
              <w:rPr>
                <w:sz w:val="20"/>
                <w:szCs w:val="20"/>
                <w:lang w:val="en-CA"/>
              </w:rPr>
              <w:t>44,000</w:t>
            </w:r>
          </w:p>
        </w:tc>
        <w:tc>
          <w:tcPr>
            <w:tcW w:w="1126" w:type="dxa"/>
          </w:tcPr>
          <w:p w:rsidR="00977F6A" w:rsidRDefault="00111C5D">
            <w:pPr>
              <w:jc w:val="right"/>
              <w:rPr>
                <w:sz w:val="20"/>
                <w:szCs w:val="20"/>
                <w:lang w:val="en-CA"/>
              </w:rPr>
            </w:pPr>
            <w:r>
              <w:rPr>
                <w:sz w:val="20"/>
                <w:szCs w:val="20"/>
                <w:lang w:val="en-CA"/>
              </w:rPr>
              <w:t>35,000</w:t>
            </w:r>
          </w:p>
        </w:tc>
        <w:tc>
          <w:tcPr>
            <w:tcW w:w="1282" w:type="dxa"/>
          </w:tcPr>
          <w:p w:rsidR="00977F6A" w:rsidRDefault="00111C5D">
            <w:pPr>
              <w:jc w:val="right"/>
              <w:rPr>
                <w:sz w:val="20"/>
                <w:szCs w:val="20"/>
                <w:lang w:val="en-CA"/>
              </w:rPr>
            </w:pPr>
            <w:r>
              <w:rPr>
                <w:sz w:val="20"/>
                <w:szCs w:val="20"/>
                <w:lang w:val="en-CA"/>
              </w:rPr>
              <w:t>14,000</w:t>
            </w:r>
          </w:p>
        </w:tc>
        <w:tc>
          <w:tcPr>
            <w:tcW w:w="1278" w:type="dxa"/>
          </w:tcPr>
          <w:p w:rsidR="00977F6A" w:rsidRDefault="00111C5D">
            <w:pPr>
              <w:jc w:val="right"/>
              <w:rPr>
                <w:sz w:val="20"/>
                <w:szCs w:val="20"/>
                <w:lang w:val="en-CA"/>
              </w:rPr>
            </w:pPr>
            <w:r>
              <w:rPr>
                <w:sz w:val="20"/>
                <w:szCs w:val="20"/>
                <w:lang w:val="en-CA"/>
              </w:rPr>
              <w:t>79,000</w:t>
            </w:r>
          </w:p>
        </w:tc>
        <w:tc>
          <w:tcPr>
            <w:tcW w:w="1282" w:type="dxa"/>
          </w:tcPr>
          <w:p w:rsidR="00977F6A" w:rsidRDefault="00111C5D">
            <w:pPr>
              <w:jc w:val="right"/>
              <w:rPr>
                <w:sz w:val="20"/>
                <w:szCs w:val="20"/>
                <w:lang w:val="en-CA"/>
              </w:rPr>
            </w:pPr>
            <w:r>
              <w:rPr>
                <w:sz w:val="20"/>
                <w:szCs w:val="20"/>
                <w:lang w:val="en-CA"/>
              </w:rPr>
              <w:t>58,000</w:t>
            </w:r>
          </w:p>
        </w:tc>
      </w:tr>
      <w:tr w:rsidR="00977F6A">
        <w:tc>
          <w:tcPr>
            <w:tcW w:w="2268" w:type="dxa"/>
          </w:tcPr>
          <w:p w:rsidR="00977F6A" w:rsidRDefault="00111C5D">
            <w:pPr>
              <w:rPr>
                <w:b/>
                <w:sz w:val="20"/>
                <w:szCs w:val="20"/>
                <w:lang w:val="en-CA"/>
              </w:rPr>
            </w:pPr>
            <w:r>
              <w:rPr>
                <w:b/>
                <w:sz w:val="20"/>
                <w:szCs w:val="20"/>
                <w:lang w:val="en-CA"/>
              </w:rPr>
              <w:t>Disbursement rate (%)</w:t>
            </w:r>
          </w:p>
        </w:tc>
        <w:tc>
          <w:tcPr>
            <w:tcW w:w="2340" w:type="dxa"/>
            <w:gridSpan w:val="2"/>
          </w:tcPr>
          <w:p w:rsidR="00977F6A" w:rsidRDefault="00111C5D">
            <w:pPr>
              <w:jc w:val="center"/>
              <w:rPr>
                <w:sz w:val="20"/>
                <w:szCs w:val="20"/>
                <w:lang w:val="en-CA"/>
              </w:rPr>
            </w:pPr>
            <w:r>
              <w:rPr>
                <w:sz w:val="20"/>
                <w:szCs w:val="20"/>
                <w:lang w:val="en-CA"/>
              </w:rPr>
              <w:t>100</w:t>
            </w:r>
          </w:p>
        </w:tc>
        <w:tc>
          <w:tcPr>
            <w:tcW w:w="2408" w:type="dxa"/>
            <w:gridSpan w:val="2"/>
          </w:tcPr>
          <w:p w:rsidR="00977F6A" w:rsidRDefault="00111C5D">
            <w:pPr>
              <w:jc w:val="center"/>
              <w:rPr>
                <w:sz w:val="20"/>
                <w:szCs w:val="20"/>
                <w:lang w:val="en-CA"/>
              </w:rPr>
            </w:pPr>
            <w:r>
              <w:rPr>
                <w:sz w:val="20"/>
                <w:szCs w:val="20"/>
                <w:lang w:val="en-CA"/>
              </w:rPr>
              <w:t>40</w:t>
            </w:r>
          </w:p>
        </w:tc>
        <w:tc>
          <w:tcPr>
            <w:tcW w:w="2560" w:type="dxa"/>
            <w:gridSpan w:val="2"/>
          </w:tcPr>
          <w:p w:rsidR="00977F6A" w:rsidRDefault="00111C5D">
            <w:pPr>
              <w:jc w:val="center"/>
              <w:rPr>
                <w:sz w:val="20"/>
                <w:szCs w:val="20"/>
                <w:lang w:val="en-CA"/>
              </w:rPr>
            </w:pPr>
            <w:r>
              <w:rPr>
                <w:sz w:val="20"/>
                <w:szCs w:val="20"/>
                <w:lang w:val="en-CA"/>
              </w:rPr>
              <w:t>73</w:t>
            </w:r>
          </w:p>
        </w:tc>
      </w:tr>
    </w:tbl>
    <w:p w:rsidR="00977F6A" w:rsidRDefault="00977F6A">
      <w:pPr>
        <w:rPr>
          <w:lang w:val="en-CA"/>
        </w:rPr>
      </w:pPr>
    </w:p>
    <w:p w:rsidR="00977F6A" w:rsidRDefault="00111C5D">
      <w:pPr>
        <w:spacing w:after="240"/>
        <w:rPr>
          <w:u w:val="single"/>
          <w:lang w:val="en-CA"/>
        </w:rPr>
      </w:pPr>
      <w:r>
        <w:rPr>
          <w:u w:val="single"/>
          <w:lang w:val="en-CA"/>
        </w:rPr>
        <w:t>Implementation plan for the third tranche of the HPMP</w:t>
      </w:r>
    </w:p>
    <w:p w:rsidR="00977F6A" w:rsidRDefault="00111C5D">
      <w:pPr>
        <w:pStyle w:val="Heading1"/>
        <w:rPr>
          <w:lang w:val="en-CA"/>
        </w:rPr>
      </w:pPr>
      <w:r>
        <w:rPr>
          <w:lang w:val="en-CA"/>
        </w:rPr>
        <w:t>The following activities will be implemented:</w:t>
      </w:r>
    </w:p>
    <w:p w:rsidR="00977F6A" w:rsidRDefault="00111C5D">
      <w:pPr>
        <w:pStyle w:val="Heading2"/>
        <w:numPr>
          <w:ilvl w:val="1"/>
          <w:numId w:val="1"/>
        </w:numPr>
      </w:pPr>
      <w:r>
        <w:t>Four workshops for 45 Customs and law enforcement agents on control and identification of HCFCs and HCFC-based equipment</w:t>
      </w:r>
      <w:r w:rsidR="00DA045F">
        <w:t>,</w:t>
      </w:r>
      <w:r>
        <w:t xml:space="preserve"> and on illegal trade (US $15,000); </w:t>
      </w:r>
    </w:p>
    <w:p w:rsidR="00977F6A" w:rsidRDefault="00111C5D">
      <w:pPr>
        <w:pStyle w:val="Heading2"/>
        <w:numPr>
          <w:ilvl w:val="1"/>
          <w:numId w:val="1"/>
        </w:numPr>
        <w:rPr>
          <w:lang w:val="en-CA"/>
        </w:rPr>
      </w:pPr>
      <w:r>
        <w:t>Five workshops for 60 refrigeration technicians</w:t>
      </w:r>
      <w:r>
        <w:rPr>
          <w:lang w:val="en-CA"/>
        </w:rPr>
        <w:t xml:space="preserve"> on good practices in refrigeration (US $10,000); and</w:t>
      </w:r>
    </w:p>
    <w:p w:rsidR="00977F6A" w:rsidRDefault="00111C5D">
      <w:pPr>
        <w:pStyle w:val="Heading2"/>
        <w:numPr>
          <w:ilvl w:val="1"/>
          <w:numId w:val="1"/>
        </w:numPr>
        <w:rPr>
          <w:lang w:val="en-CA"/>
        </w:rPr>
      </w:pPr>
      <w:proofErr w:type="gramStart"/>
      <w:r>
        <w:t>Monitoring and evaluation of HPMP and its components</w:t>
      </w:r>
      <w:r>
        <w:rPr>
          <w:lang w:val="en-CA"/>
        </w:rPr>
        <w:t xml:space="preserve"> (US $10,000).</w:t>
      </w:r>
      <w:proofErr w:type="gramEnd"/>
    </w:p>
    <w:p w:rsidR="00977F6A" w:rsidRDefault="00977F6A">
      <w:pPr>
        <w:ind w:left="720"/>
        <w:rPr>
          <w:lang w:val="en-CA"/>
        </w:rPr>
      </w:pPr>
    </w:p>
    <w:p w:rsidR="00977F6A" w:rsidRDefault="00111C5D">
      <w:pPr>
        <w:spacing w:after="240"/>
        <w:jc w:val="center"/>
        <w:rPr>
          <w:b/>
          <w:lang w:val="en-CA"/>
        </w:rPr>
      </w:pPr>
      <w:r>
        <w:rPr>
          <w:b/>
          <w:lang w:val="en-CA"/>
        </w:rPr>
        <w:t>SECRETARIAT’S COMMENTS AND RECOMMENDATION</w:t>
      </w:r>
    </w:p>
    <w:p w:rsidR="00977F6A" w:rsidRDefault="00111C5D">
      <w:pPr>
        <w:spacing w:after="240"/>
        <w:rPr>
          <w:b/>
          <w:lang w:val="en-CA"/>
        </w:rPr>
      </w:pPr>
      <w:r>
        <w:rPr>
          <w:b/>
          <w:lang w:val="en-CA"/>
        </w:rPr>
        <w:t>COMMENTS</w:t>
      </w:r>
    </w:p>
    <w:p w:rsidR="00977F6A" w:rsidRDefault="00111C5D">
      <w:pPr>
        <w:keepNext/>
        <w:spacing w:after="240"/>
        <w:rPr>
          <w:u w:val="single"/>
          <w:lang w:val="en-CA"/>
        </w:rPr>
      </w:pPr>
      <w:r>
        <w:rPr>
          <w:u w:val="single"/>
          <w:lang w:val="en-CA"/>
        </w:rPr>
        <w:t>Progress report on the implementation of the second tranche of the HPMP</w:t>
      </w:r>
    </w:p>
    <w:p w:rsidR="00977F6A" w:rsidRDefault="00111C5D">
      <w:pPr>
        <w:keepNext/>
        <w:spacing w:after="240"/>
        <w:rPr>
          <w:i/>
          <w:lang w:val="en-CA"/>
        </w:rPr>
      </w:pPr>
      <w:r>
        <w:rPr>
          <w:i/>
          <w:lang w:val="en-CA"/>
        </w:rPr>
        <w:t>Legal framework</w:t>
      </w:r>
    </w:p>
    <w:p w:rsidR="00977F6A" w:rsidRDefault="00111C5D">
      <w:pPr>
        <w:pStyle w:val="Heading1"/>
        <w:keepNext/>
        <w:rPr>
          <w:lang w:val="en-CA"/>
        </w:rPr>
      </w:pPr>
      <w:r>
        <w:rPr>
          <w:lang w:val="en-CA"/>
        </w:rPr>
        <w:t>The Government of the Comoros has already issued HCFC impo</w:t>
      </w:r>
      <w:r w:rsidR="00437780">
        <w:rPr>
          <w:lang w:val="en-CA"/>
        </w:rPr>
        <w:t>rt quotas for 2016 at 0.082 ODP </w:t>
      </w:r>
      <w:r>
        <w:rPr>
          <w:lang w:val="en-CA"/>
        </w:rPr>
        <w:t>tonnes.</w:t>
      </w:r>
    </w:p>
    <w:p w:rsidR="00977F6A" w:rsidRDefault="00111C5D">
      <w:pPr>
        <w:spacing w:after="240"/>
        <w:rPr>
          <w:i/>
          <w:lang w:val="en-CA"/>
        </w:rPr>
      </w:pPr>
      <w:r>
        <w:rPr>
          <w:i/>
          <w:lang w:val="en-CA"/>
        </w:rPr>
        <w:t>Refrigeration servicing sector</w:t>
      </w:r>
    </w:p>
    <w:p w:rsidR="00977F6A" w:rsidRDefault="00903473" w:rsidP="0045763E">
      <w:pPr>
        <w:pStyle w:val="Heading1"/>
        <w:rPr>
          <w:color w:val="002060"/>
          <w:lang w:val="en-US"/>
        </w:rPr>
      </w:pPr>
      <w:r>
        <w:rPr>
          <w:lang w:val="en-US"/>
        </w:rPr>
        <w:t>T</w:t>
      </w:r>
      <w:r w:rsidR="00111C5D">
        <w:rPr>
          <w:lang w:val="en-US"/>
        </w:rPr>
        <w:t>he Secretariat noted the progress in the training activities</w:t>
      </w:r>
      <w:r w:rsidR="00DA045F">
        <w:rPr>
          <w:lang w:val="en-US"/>
        </w:rPr>
        <w:t>. Instead</w:t>
      </w:r>
      <w:r w:rsidR="00111C5D">
        <w:rPr>
          <w:lang w:val="en-US"/>
        </w:rPr>
        <w:t xml:space="preserve"> of the 45 customs officers and law enforcement agents and 40 refrigeration servicing technicians to be trained under the second tranche, 71 and 118 have been trained, respectively.</w:t>
      </w:r>
      <w:r w:rsidR="00DB40BD">
        <w:rPr>
          <w:lang w:val="en-US"/>
        </w:rPr>
        <w:t xml:space="preserve"> </w:t>
      </w:r>
      <w:r w:rsidR="00111C5D">
        <w:rPr>
          <w:lang w:val="en-US"/>
        </w:rPr>
        <w:t xml:space="preserve">With regard to the long-term sustainability of the training programmes, UNEP indicated that the Government has involved all training institutes and refrigeration associations in the development and the implementation of the activities included in the HPMP. Training institutes have already integrated an Ozone module into their curricula and the main refrigeration association has developed a partnership with the training institutes. The NOU is supporting the training institutes of Ajouan to ensure the sustainability of the training programme at the end of the project. </w:t>
      </w:r>
    </w:p>
    <w:p w:rsidR="00DB40BD" w:rsidRPr="0042402A" w:rsidRDefault="00111C5D" w:rsidP="00ED557E">
      <w:pPr>
        <w:pStyle w:val="Heading1"/>
        <w:rPr>
          <w:u w:val="single"/>
          <w:lang w:val="en-CA"/>
        </w:rPr>
      </w:pPr>
      <w:r>
        <w:rPr>
          <w:lang w:val="en-US"/>
        </w:rPr>
        <w:lastRenderedPageBreak/>
        <w:t>Concerning the retrofitting activities to hydrocarbon (HC) refrigerants, UNEP reported that the Government is well aware of the relevant decisions of the Executive Committee</w:t>
      </w:r>
      <w:r>
        <w:rPr>
          <w:vertAlign w:val="superscript"/>
          <w:lang w:val="en-US"/>
        </w:rPr>
        <w:footnoteReference w:id="2"/>
      </w:r>
      <w:r>
        <w:rPr>
          <w:lang w:val="en-US"/>
        </w:rPr>
        <w:t>. According to UNEP, there is no retrofit to HC refrigerants taking place in the Comoros. In addition, there are no regulations on HC use in the country. UNEP further clarified</w:t>
      </w:r>
      <w:r w:rsidR="00DB40BD">
        <w:rPr>
          <w:lang w:val="en-US"/>
        </w:rPr>
        <w:t xml:space="preserve"> </w:t>
      </w:r>
      <w:r>
        <w:rPr>
          <w:lang w:val="en-US"/>
        </w:rPr>
        <w:t>that</w:t>
      </w:r>
      <w:r w:rsidR="00DB40BD">
        <w:rPr>
          <w:lang w:val="en-US"/>
        </w:rPr>
        <w:t xml:space="preserve"> </w:t>
      </w:r>
      <w:r>
        <w:rPr>
          <w:lang w:val="en-US"/>
        </w:rPr>
        <w:t>neither the Government nor UNEP are promoting retrofitting of HCFC</w:t>
      </w:r>
      <w:r>
        <w:rPr>
          <w:lang w:val="en-US"/>
        </w:rPr>
        <w:noBreakHyphen/>
        <w:t xml:space="preserve">based refrigeration and air-conditioning equipment to flammable or toxic refrigerants and associated servicing. Nevertheless, some HC-based equipment was identified in the country. </w:t>
      </w:r>
    </w:p>
    <w:p w:rsidR="00977F6A" w:rsidRDefault="00111C5D" w:rsidP="0045763E">
      <w:pPr>
        <w:pStyle w:val="Heading1"/>
        <w:numPr>
          <w:ilvl w:val="0"/>
          <w:numId w:val="0"/>
        </w:numPr>
        <w:rPr>
          <w:u w:val="single"/>
          <w:lang w:val="en-CA"/>
        </w:rPr>
      </w:pPr>
      <w:r>
        <w:rPr>
          <w:u w:val="single"/>
          <w:lang w:val="en-CA"/>
        </w:rPr>
        <w:t xml:space="preserve">Conclusion </w:t>
      </w:r>
    </w:p>
    <w:p w:rsidR="00977F6A" w:rsidRPr="00DD0C60" w:rsidRDefault="00111C5D" w:rsidP="00DD0C60">
      <w:pPr>
        <w:pStyle w:val="Heading1"/>
        <w:rPr>
          <w:lang w:val="en-CA"/>
        </w:rPr>
      </w:pPr>
      <w:r>
        <w:rPr>
          <w:lang w:val="en-CA"/>
        </w:rPr>
        <w:t>The Secretariat noted that the country’s import licensing and quota system is operational; the 2015 consumption level was below the maximum allowable consumption in the Agreement with the Executive Committee; and the quota set for 2016 is already 35 per cent below the HCFC baseline consumption</w:t>
      </w:r>
      <w:r w:rsidR="0070605E">
        <w:rPr>
          <w:lang w:val="en-CA"/>
        </w:rPr>
        <w:t>.</w:t>
      </w:r>
      <w:r w:rsidR="00DD0C60">
        <w:rPr>
          <w:lang w:val="en-CA"/>
        </w:rPr>
        <w:t xml:space="preserve"> </w:t>
      </w:r>
      <w:r w:rsidRPr="00DD0C60">
        <w:rPr>
          <w:lang w:val="en-CA"/>
        </w:rPr>
        <w:t>The HPMP is progressing and the activities so far implemented are beyond the targets set for the second tranche, and 73 per cent of the funds approved so far have been disbursed. The activities already implemented and those planned under the third tranche will further strengthen the servicing sector and ensure the long term sustainability of the activities.</w:t>
      </w:r>
    </w:p>
    <w:p w:rsidR="00977F6A" w:rsidRDefault="00111C5D">
      <w:pPr>
        <w:spacing w:after="240"/>
        <w:rPr>
          <w:lang w:val="en-CA"/>
        </w:rPr>
      </w:pPr>
      <w:r>
        <w:rPr>
          <w:b/>
          <w:lang w:val="en-CA"/>
        </w:rPr>
        <w:t>RECOMMENDATION</w:t>
      </w:r>
      <w:r>
        <w:rPr>
          <w:lang w:val="en-CA"/>
        </w:rPr>
        <w:t xml:space="preserve"> </w:t>
      </w:r>
    </w:p>
    <w:p w:rsidR="00977F6A" w:rsidRPr="000719A3" w:rsidRDefault="00111C5D" w:rsidP="000719A3">
      <w:pPr>
        <w:pStyle w:val="Heading1"/>
        <w:rPr>
          <w:lang w:val="en-CA"/>
        </w:rPr>
      </w:pPr>
      <w:r w:rsidRPr="000719A3">
        <w:rPr>
          <w:lang w:val="en-CA"/>
        </w:rPr>
        <w:t>The Fund Secretariat recommends that the Executive Committee takes note of the progress report on the implementation of the second tranche of stage I of the HCFC phase</w:t>
      </w:r>
      <w:r w:rsidRPr="000719A3">
        <w:rPr>
          <w:lang w:val="en-CA"/>
        </w:rPr>
        <w:noBreakHyphen/>
        <w:t>out management plan (HPMP) in the Comoros, and further recommends blanket approval of the third tranche of stage I of the HPMP for the Comoros, and the corresponding 2017-2018 tranche implementation plan, with associated support costs at the funding level shown in the table below</w:t>
      </w:r>
      <w:r w:rsidR="000719A3">
        <w:rPr>
          <w:lang w:val="en-CA"/>
        </w:rPr>
        <w:t>,</w:t>
      </w:r>
      <w:r w:rsidR="000719A3" w:rsidRPr="000719A3">
        <w:rPr>
          <w:lang w:val="en-CA"/>
        </w:rPr>
        <w:t xml:space="preserve"> on the understanding that</w:t>
      </w:r>
      <w:r w:rsidR="000719A3">
        <w:rPr>
          <w:lang w:val="en-CA"/>
        </w:rPr>
        <w:t xml:space="preserve"> i</w:t>
      </w:r>
      <w:r w:rsidR="000719A3" w:rsidRPr="000719A3">
        <w:rPr>
          <w:lang w:val="en-CA"/>
        </w:rPr>
        <w:t>f the Government of Comoros were to decide to proceed with retrofits and associated servicing to flammable and toxic refrigerants in refrigeration and air</w:t>
      </w:r>
      <w:r w:rsidR="000719A3" w:rsidRPr="000719A3">
        <w:rPr>
          <w:lang w:val="en-CA"/>
        </w:rPr>
        <w:noBreakHyphen/>
        <w:t>conditioning equipment originally designed for non</w:t>
      </w:r>
      <w:r w:rsidR="000719A3" w:rsidRPr="000719A3">
        <w:rPr>
          <w:lang w:val="en-CA"/>
        </w:rPr>
        <w:noBreakHyphen/>
        <w:t>flammable substances, it would do so assuming all associated responsibilities and risks and only in accordance with the relevant standards and protocols</w:t>
      </w:r>
      <w:r w:rsidRPr="000719A3">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500"/>
        <w:gridCol w:w="1500"/>
        <w:gridCol w:w="1590"/>
      </w:tblGrid>
      <w:tr w:rsidR="00977F6A">
        <w:tc>
          <w:tcPr>
            <w:tcW w:w="540" w:type="dxa"/>
          </w:tcPr>
          <w:p w:rsidR="00977F6A" w:rsidRDefault="00977F6A">
            <w:pPr>
              <w:keepNext/>
              <w:keepLines/>
              <w:jc w:val="center"/>
              <w:rPr>
                <w:b/>
                <w:bCs/>
                <w:sz w:val="20"/>
                <w:szCs w:val="20"/>
              </w:rPr>
            </w:pPr>
          </w:p>
        </w:tc>
        <w:tc>
          <w:tcPr>
            <w:tcW w:w="4320" w:type="dxa"/>
          </w:tcPr>
          <w:p w:rsidR="00977F6A" w:rsidRDefault="00111C5D">
            <w:pPr>
              <w:keepNext/>
              <w:keepLines/>
              <w:jc w:val="center"/>
              <w:rPr>
                <w:b/>
                <w:bCs/>
                <w:sz w:val="20"/>
                <w:szCs w:val="20"/>
              </w:rPr>
            </w:pPr>
            <w:r>
              <w:rPr>
                <w:b/>
                <w:bCs/>
                <w:sz w:val="20"/>
                <w:szCs w:val="20"/>
              </w:rPr>
              <w:t>Project Title</w:t>
            </w:r>
          </w:p>
        </w:tc>
        <w:tc>
          <w:tcPr>
            <w:tcW w:w="1500" w:type="dxa"/>
            <w:tcMar>
              <w:left w:w="29" w:type="dxa"/>
              <w:right w:w="29" w:type="dxa"/>
            </w:tcMar>
          </w:tcPr>
          <w:p w:rsidR="00977F6A" w:rsidRDefault="00111C5D">
            <w:pPr>
              <w:keepNext/>
              <w:keepLines/>
              <w:jc w:val="center"/>
              <w:rPr>
                <w:b/>
                <w:bCs/>
                <w:sz w:val="20"/>
                <w:szCs w:val="20"/>
              </w:rPr>
            </w:pPr>
            <w:r>
              <w:rPr>
                <w:b/>
                <w:bCs/>
                <w:sz w:val="20"/>
                <w:szCs w:val="20"/>
              </w:rPr>
              <w:t>Project Funding (US $)</w:t>
            </w:r>
          </w:p>
        </w:tc>
        <w:tc>
          <w:tcPr>
            <w:tcW w:w="1500" w:type="dxa"/>
            <w:tcMar>
              <w:left w:w="29" w:type="dxa"/>
              <w:right w:w="29" w:type="dxa"/>
            </w:tcMar>
          </w:tcPr>
          <w:p w:rsidR="00977F6A" w:rsidRDefault="00111C5D">
            <w:pPr>
              <w:keepNext/>
              <w:keepLines/>
              <w:jc w:val="center"/>
              <w:rPr>
                <w:b/>
                <w:bCs/>
                <w:sz w:val="20"/>
                <w:szCs w:val="20"/>
              </w:rPr>
            </w:pPr>
            <w:r>
              <w:rPr>
                <w:b/>
                <w:bCs/>
                <w:sz w:val="20"/>
                <w:szCs w:val="20"/>
              </w:rPr>
              <w:t>Support Cost (US $)</w:t>
            </w:r>
          </w:p>
        </w:tc>
        <w:tc>
          <w:tcPr>
            <w:tcW w:w="1590" w:type="dxa"/>
            <w:tcMar>
              <w:left w:w="29" w:type="dxa"/>
              <w:right w:w="29" w:type="dxa"/>
            </w:tcMar>
          </w:tcPr>
          <w:p w:rsidR="00977F6A" w:rsidRDefault="00111C5D">
            <w:pPr>
              <w:keepNext/>
              <w:keepLines/>
              <w:jc w:val="center"/>
              <w:rPr>
                <w:b/>
                <w:bCs/>
                <w:sz w:val="20"/>
                <w:szCs w:val="20"/>
              </w:rPr>
            </w:pPr>
            <w:r>
              <w:rPr>
                <w:b/>
                <w:bCs/>
                <w:sz w:val="20"/>
                <w:szCs w:val="20"/>
              </w:rPr>
              <w:t>Implementing Agency</w:t>
            </w:r>
          </w:p>
        </w:tc>
      </w:tr>
      <w:tr w:rsidR="00977F6A">
        <w:tc>
          <w:tcPr>
            <w:tcW w:w="540" w:type="dxa"/>
          </w:tcPr>
          <w:p w:rsidR="00977F6A" w:rsidRDefault="00111C5D">
            <w:pPr>
              <w:keepNext/>
              <w:keepLines/>
              <w:rPr>
                <w:sz w:val="20"/>
                <w:szCs w:val="20"/>
              </w:rPr>
            </w:pPr>
            <w:r>
              <w:rPr>
                <w:sz w:val="20"/>
                <w:szCs w:val="20"/>
              </w:rPr>
              <w:t>(a)</w:t>
            </w:r>
          </w:p>
        </w:tc>
        <w:tc>
          <w:tcPr>
            <w:tcW w:w="4320" w:type="dxa"/>
          </w:tcPr>
          <w:p w:rsidR="00977F6A" w:rsidRDefault="00111C5D">
            <w:pPr>
              <w:keepNext/>
              <w:keepLines/>
              <w:rPr>
                <w:sz w:val="20"/>
                <w:szCs w:val="20"/>
              </w:rPr>
            </w:pPr>
            <w:r>
              <w:rPr>
                <w:sz w:val="20"/>
                <w:szCs w:val="20"/>
              </w:rPr>
              <w:t>HCFC phase</w:t>
            </w:r>
            <w:r w:rsidR="004D1DAF">
              <w:rPr>
                <w:sz w:val="20"/>
                <w:szCs w:val="20"/>
              </w:rPr>
              <w:t>-out management plan (stage I, t</w:t>
            </w:r>
            <w:bookmarkStart w:id="0" w:name="_GoBack"/>
            <w:bookmarkEnd w:id="0"/>
            <w:r>
              <w:rPr>
                <w:sz w:val="20"/>
                <w:szCs w:val="20"/>
              </w:rPr>
              <w:t>hird tranche)</w:t>
            </w:r>
          </w:p>
        </w:tc>
        <w:tc>
          <w:tcPr>
            <w:tcW w:w="1500" w:type="dxa"/>
          </w:tcPr>
          <w:p w:rsidR="00977F6A" w:rsidRDefault="00111C5D">
            <w:pPr>
              <w:keepNext/>
              <w:keepLines/>
              <w:jc w:val="right"/>
              <w:rPr>
                <w:sz w:val="20"/>
                <w:szCs w:val="20"/>
              </w:rPr>
            </w:pPr>
            <w:r>
              <w:rPr>
                <w:sz w:val="20"/>
                <w:szCs w:val="20"/>
              </w:rPr>
              <w:t>35,000</w:t>
            </w:r>
          </w:p>
        </w:tc>
        <w:tc>
          <w:tcPr>
            <w:tcW w:w="1500" w:type="dxa"/>
          </w:tcPr>
          <w:p w:rsidR="00977F6A" w:rsidRDefault="00111C5D">
            <w:pPr>
              <w:keepNext/>
              <w:keepLines/>
              <w:jc w:val="right"/>
              <w:rPr>
                <w:sz w:val="20"/>
                <w:szCs w:val="20"/>
              </w:rPr>
            </w:pPr>
            <w:r>
              <w:rPr>
                <w:sz w:val="20"/>
                <w:szCs w:val="20"/>
              </w:rPr>
              <w:t>4,550</w:t>
            </w:r>
          </w:p>
        </w:tc>
        <w:tc>
          <w:tcPr>
            <w:tcW w:w="1590" w:type="dxa"/>
          </w:tcPr>
          <w:p w:rsidR="00977F6A" w:rsidRDefault="00111C5D">
            <w:pPr>
              <w:keepNext/>
              <w:keepLines/>
              <w:jc w:val="center"/>
              <w:rPr>
                <w:sz w:val="20"/>
                <w:szCs w:val="20"/>
              </w:rPr>
            </w:pPr>
            <w:r>
              <w:rPr>
                <w:sz w:val="20"/>
                <w:szCs w:val="20"/>
              </w:rPr>
              <w:t>UNEP</w:t>
            </w:r>
          </w:p>
        </w:tc>
      </w:tr>
    </w:tbl>
    <w:p w:rsidR="00977F6A" w:rsidRDefault="00977F6A">
      <w:pPr>
        <w:rPr>
          <w:lang w:val="en-CA"/>
        </w:rPr>
      </w:pPr>
    </w:p>
    <w:p w:rsidR="00977F6A" w:rsidRDefault="00977F6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77F6A">
        <w:tc>
          <w:tcPr>
            <w:tcW w:w="1915" w:type="dxa"/>
          </w:tcPr>
          <w:p w:rsidR="00977F6A" w:rsidRDefault="00977F6A">
            <w:pPr>
              <w:rPr>
                <w:lang w:val="en-CA"/>
              </w:rPr>
            </w:pPr>
          </w:p>
        </w:tc>
        <w:tc>
          <w:tcPr>
            <w:tcW w:w="1915" w:type="dxa"/>
          </w:tcPr>
          <w:p w:rsidR="00977F6A" w:rsidRDefault="00977F6A">
            <w:pPr>
              <w:rPr>
                <w:lang w:val="en-CA"/>
              </w:rPr>
            </w:pPr>
          </w:p>
        </w:tc>
        <w:tc>
          <w:tcPr>
            <w:tcW w:w="1915" w:type="dxa"/>
            <w:tcBorders>
              <w:bottom w:val="single" w:sz="4" w:space="0" w:color="auto"/>
            </w:tcBorders>
          </w:tcPr>
          <w:p w:rsidR="00977F6A" w:rsidRDefault="00977F6A">
            <w:pPr>
              <w:rPr>
                <w:lang w:val="en-CA"/>
              </w:rPr>
            </w:pPr>
          </w:p>
        </w:tc>
        <w:tc>
          <w:tcPr>
            <w:tcW w:w="1915" w:type="dxa"/>
          </w:tcPr>
          <w:p w:rsidR="00977F6A" w:rsidRDefault="00977F6A">
            <w:pPr>
              <w:rPr>
                <w:lang w:val="en-CA"/>
              </w:rPr>
            </w:pPr>
          </w:p>
        </w:tc>
        <w:tc>
          <w:tcPr>
            <w:tcW w:w="1916" w:type="dxa"/>
          </w:tcPr>
          <w:p w:rsidR="00977F6A" w:rsidRDefault="00977F6A">
            <w:pPr>
              <w:rPr>
                <w:lang w:val="en-CA"/>
              </w:rPr>
            </w:pPr>
          </w:p>
        </w:tc>
      </w:tr>
    </w:tbl>
    <w:p w:rsidR="00977F6A" w:rsidRDefault="00977F6A">
      <w:pPr>
        <w:rPr>
          <w:lang w:val="en-CA"/>
        </w:rPr>
      </w:pPr>
    </w:p>
    <w:p w:rsidR="00977F6A" w:rsidRDefault="00977F6A">
      <w:pPr>
        <w:rPr>
          <w:lang w:val="en-CA"/>
        </w:rPr>
      </w:pPr>
    </w:p>
    <w:p w:rsidR="00977F6A" w:rsidRDefault="00977F6A">
      <w:pPr>
        <w:rPr>
          <w:lang w:val="en-CA"/>
        </w:rPr>
      </w:pPr>
    </w:p>
    <w:sectPr w:rsidR="00977F6A">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F6A" w:rsidRDefault="00111C5D">
      <w:r>
        <w:separator/>
      </w:r>
    </w:p>
  </w:endnote>
  <w:endnote w:type="continuationSeparator" w:id="0">
    <w:p w:rsidR="00977F6A" w:rsidRDefault="0011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111C5D">
    <w:pPr>
      <w:jc w:val="center"/>
    </w:pPr>
    <w:r>
      <w:fldChar w:fldCharType="begin"/>
    </w:r>
    <w:r>
      <w:instrText xml:space="preserve"> PAGE </w:instrText>
    </w:r>
    <w:r>
      <w:fldChar w:fldCharType="separate"/>
    </w:r>
    <w:r w:rsidR="005E5E79">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111C5D">
    <w:pPr>
      <w:jc w:val="center"/>
    </w:pPr>
    <w:r>
      <w:fldChar w:fldCharType="begin"/>
    </w:r>
    <w:r>
      <w:instrText xml:space="preserve"> PAGE </w:instrText>
    </w:r>
    <w:r>
      <w:fldChar w:fldCharType="separate"/>
    </w:r>
    <w:r w:rsidR="005E5E79">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111C5D">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977F6A" w:rsidRDefault="00977F6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F6A" w:rsidRDefault="00111C5D">
      <w:r>
        <w:separator/>
      </w:r>
    </w:p>
  </w:footnote>
  <w:footnote w:type="continuationSeparator" w:id="0">
    <w:p w:rsidR="00977F6A" w:rsidRDefault="00111C5D">
      <w:r>
        <w:continuationSeparator/>
      </w:r>
    </w:p>
  </w:footnote>
  <w:footnote w:id="1">
    <w:p w:rsidR="00977F6A" w:rsidRDefault="00111C5D">
      <w:pPr>
        <w:pStyle w:val="FootnoteText"/>
        <w:rPr>
          <w:lang w:val="fr-FR"/>
        </w:rPr>
      </w:pPr>
      <w:r>
        <w:rPr>
          <w:rStyle w:val="FootnoteReference"/>
        </w:rPr>
        <w:footnoteRef/>
      </w:r>
      <w:r>
        <w:rPr>
          <w:lang w:val="fr-FR"/>
        </w:rPr>
        <w:t xml:space="preserve"> As per the </w:t>
      </w:r>
      <w:proofErr w:type="spellStart"/>
      <w:r>
        <w:rPr>
          <w:lang w:val="fr-FR"/>
        </w:rPr>
        <w:t>letter</w:t>
      </w:r>
      <w:proofErr w:type="spellEnd"/>
      <w:r>
        <w:rPr>
          <w:lang w:val="fr-FR"/>
        </w:rPr>
        <w:t xml:space="preserve"> of 29 </w:t>
      </w:r>
      <w:proofErr w:type="spellStart"/>
      <w:r>
        <w:rPr>
          <w:lang w:val="fr-FR"/>
        </w:rPr>
        <w:t>September</w:t>
      </w:r>
      <w:proofErr w:type="spellEnd"/>
      <w:r>
        <w:rPr>
          <w:lang w:val="fr-FR"/>
        </w:rPr>
        <w:t xml:space="preserve"> 2016 </w:t>
      </w:r>
      <w:proofErr w:type="spellStart"/>
      <w:r>
        <w:rPr>
          <w:lang w:val="fr-FR"/>
        </w:rPr>
        <w:t>from</w:t>
      </w:r>
      <w:proofErr w:type="spellEnd"/>
      <w:r>
        <w:rPr>
          <w:lang w:val="fr-FR"/>
        </w:rPr>
        <w:t xml:space="preserve"> the Ministère de l’Agriculture, de la Pêche, de l’Environnement, de l’Aménagement du territoire et de l’Urbanisme of the </w:t>
      </w:r>
      <w:proofErr w:type="spellStart"/>
      <w:r>
        <w:rPr>
          <w:lang w:val="fr-FR"/>
        </w:rPr>
        <w:t>Comoros</w:t>
      </w:r>
      <w:proofErr w:type="spellEnd"/>
      <w:r>
        <w:rPr>
          <w:lang w:val="fr-FR"/>
        </w:rPr>
        <w:t xml:space="preserve"> to UNEP.</w:t>
      </w:r>
    </w:p>
  </w:footnote>
  <w:footnote w:id="2">
    <w:p w:rsidR="00977F6A" w:rsidRDefault="00111C5D">
      <w:pPr>
        <w:pStyle w:val="FootnoteText"/>
        <w:rPr>
          <w:lang w:val="en-US"/>
        </w:rPr>
      </w:pPr>
      <w:r>
        <w:rPr>
          <w:rStyle w:val="FootnoteReference"/>
        </w:rPr>
        <w:footnoteRef/>
      </w:r>
      <w:r>
        <w:t xml:space="preserve"> </w:t>
      </w:r>
      <w:proofErr w:type="gramStart"/>
      <w:r>
        <w:rPr>
          <w:lang w:val="en-US"/>
        </w:rPr>
        <w:t>Decisions 72/17 and 73/34.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111C5D">
    <w:r>
      <w:fldChar w:fldCharType="begin"/>
    </w:r>
    <w:r>
      <w:instrText xml:space="preserve"> DOCPROPERTY "Document number"  \* MERGEFORMAT </w:instrText>
    </w:r>
    <w:r>
      <w:fldChar w:fldCharType="separate"/>
    </w:r>
    <w:r w:rsidR="005E5E79">
      <w:t>UNEP/</w:t>
    </w:r>
    <w:proofErr w:type="spellStart"/>
    <w:r w:rsidR="005E5E79">
      <w:t>OzL.Pro</w:t>
    </w:r>
    <w:proofErr w:type="spellEnd"/>
    <w:r w:rsidR="005E5E79">
      <w:t>/</w:t>
    </w:r>
    <w:proofErr w:type="spellStart"/>
    <w:r w:rsidR="005E5E79">
      <w:t>ExCom</w:t>
    </w:r>
    <w:proofErr w:type="spellEnd"/>
    <w:r w:rsidR="005E5E79">
      <w:t>/77/38</w:t>
    </w:r>
    <w:r>
      <w:fldChar w:fldCharType="end"/>
    </w:r>
  </w:p>
  <w:p w:rsidR="00977F6A" w:rsidRDefault="00977F6A"/>
  <w:p w:rsidR="00977F6A" w:rsidRDefault="00977F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111C5D">
    <w:pPr>
      <w:jc w:val="right"/>
    </w:pPr>
    <w:r>
      <w:fldChar w:fldCharType="begin"/>
    </w:r>
    <w:r>
      <w:instrText xml:space="preserve"> DOCPROPERTY "Document number"  \* MERGEFORMAT </w:instrText>
    </w:r>
    <w:r>
      <w:fldChar w:fldCharType="separate"/>
    </w:r>
    <w:r w:rsidR="005E5E79">
      <w:t>UNEP/</w:t>
    </w:r>
    <w:proofErr w:type="spellStart"/>
    <w:r w:rsidR="005E5E79">
      <w:t>OzL.Pro</w:t>
    </w:r>
    <w:proofErr w:type="spellEnd"/>
    <w:r w:rsidR="005E5E79">
      <w:t>/</w:t>
    </w:r>
    <w:proofErr w:type="spellStart"/>
    <w:r w:rsidR="005E5E79">
      <w:t>ExCom</w:t>
    </w:r>
    <w:proofErr w:type="spellEnd"/>
    <w:r w:rsidR="005E5E79">
      <w:t>/77/38</w:t>
    </w:r>
    <w:r>
      <w:fldChar w:fldCharType="end"/>
    </w:r>
  </w:p>
  <w:p w:rsidR="00977F6A" w:rsidRDefault="00977F6A"/>
  <w:p w:rsidR="00977F6A" w:rsidRDefault="00977F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6A" w:rsidRDefault="00977F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F6A"/>
    <w:rsid w:val="000719A3"/>
    <w:rsid w:val="00111C5D"/>
    <w:rsid w:val="001466B8"/>
    <w:rsid w:val="001864BD"/>
    <w:rsid w:val="003F2A86"/>
    <w:rsid w:val="0042402A"/>
    <w:rsid w:val="00437780"/>
    <w:rsid w:val="0045763E"/>
    <w:rsid w:val="004D1DAF"/>
    <w:rsid w:val="00555900"/>
    <w:rsid w:val="005E5E79"/>
    <w:rsid w:val="006037B5"/>
    <w:rsid w:val="0070486B"/>
    <w:rsid w:val="0070605E"/>
    <w:rsid w:val="007772E3"/>
    <w:rsid w:val="00903473"/>
    <w:rsid w:val="00977F6A"/>
    <w:rsid w:val="00B468E5"/>
    <w:rsid w:val="00BA199E"/>
    <w:rsid w:val="00DA045F"/>
    <w:rsid w:val="00DB40BD"/>
    <w:rsid w:val="00DD0C60"/>
    <w:rsid w:val="00DF4891"/>
    <w:rsid w:val="00E23CF6"/>
    <w:rsid w:val="00ED557E"/>
    <w:rsid w:val="00F10FD0"/>
    <w:rsid w:val="00F24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uiPriority w:val="9"/>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0Heading0Char">
    <w:name w:val="0 Heading 0 Char"/>
    <w:link w:val="0Heading0"/>
    <w:rPr>
      <w:sz w:val="22"/>
      <w:szCs w:val="22"/>
      <w:lang w:val="en-GB"/>
    </w:rPr>
  </w:style>
  <w:style w:type="paragraph" w:customStyle="1" w:styleId="Default">
    <w:name w:val="Default"/>
    <w:pPr>
      <w:autoSpaceDE w:val="0"/>
      <w:autoSpaceDN w:val="0"/>
      <w:adjustRightInd w:val="0"/>
    </w:pPr>
    <w:rPr>
      <w:rFonts w:eastAsia="SimSun"/>
      <w:color w:val="000000"/>
      <w:sz w:val="24"/>
      <w:szCs w:val="24"/>
      <w:lang w:eastAsia="es-PA"/>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uiPriority w:val="9"/>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0Heading0Char">
    <w:name w:val="0 Heading 0 Char"/>
    <w:link w:val="0Heading0"/>
    <w:rPr>
      <w:sz w:val="22"/>
      <w:szCs w:val="22"/>
      <w:lang w:val="en-GB"/>
    </w:rPr>
  </w:style>
  <w:style w:type="paragraph" w:customStyle="1" w:styleId="Default">
    <w:name w:val="Default"/>
    <w:pPr>
      <w:autoSpaceDE w:val="0"/>
      <w:autoSpaceDN w:val="0"/>
      <w:adjustRightInd w:val="0"/>
    </w:pPr>
    <w:rPr>
      <w:rFonts w:eastAsia="SimSun"/>
      <w:color w:val="000000"/>
      <w:sz w:val="24"/>
      <w:szCs w:val="24"/>
      <w:lang w:eastAsia="es-PA"/>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UNEP/OzL.Pro/ExCom/77/38</Document_x0020_Number>
    <DocumentType xmlns="64e33b30-101d-41de-b951-961aab25ea29">Pre-session</DocumentType>
  </documentManagement>
</p:properties>
</file>

<file path=customXml/itemProps1.xml><?xml version="1.0" encoding="utf-8"?>
<ds:datastoreItem xmlns:ds="http://schemas.openxmlformats.org/officeDocument/2006/customXml" ds:itemID="{D340CDA6-D068-4239-A9F0-2D9B3C47E1E8}"/>
</file>

<file path=customXml/itemProps2.xml><?xml version="1.0" encoding="utf-8"?>
<ds:datastoreItem xmlns:ds="http://schemas.openxmlformats.org/officeDocument/2006/customXml" ds:itemID="{709F5143-B5AF-4924-AE8C-04D92598269F}"/>
</file>

<file path=customXml/itemProps3.xml><?xml version="1.0" encoding="utf-8"?>
<ds:datastoreItem xmlns:ds="http://schemas.openxmlformats.org/officeDocument/2006/customXml" ds:itemID="{03015EBA-68D4-442C-B54B-AFA40C332AB1}"/>
</file>

<file path=customXml/itemProps4.xml><?xml version="1.0" encoding="utf-8"?>
<ds:datastoreItem xmlns:ds="http://schemas.openxmlformats.org/officeDocument/2006/customXml" ds:itemID="{6B4ADB2C-BF98-45A4-AE9F-5C38E4865A45}"/>
</file>

<file path=docProps/app.xml><?xml version="1.0" encoding="utf-8"?>
<Properties xmlns="http://schemas.openxmlformats.org/officeDocument/2006/extended-properties" xmlns:vt="http://schemas.openxmlformats.org/officeDocument/2006/docPropsVTypes">
  <Template>normal</Template>
  <TotalTime>5</TotalTime>
  <Pages>5</Pages>
  <Words>1418</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Project proposal:  Comoros</vt:lpstr>
    </vt:vector>
  </TitlesOfParts>
  <Company/>
  <LinksUpToDate>false</LinksUpToDate>
  <CharactersWithSpaces>9404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Comoros</dc:title>
  <dc:subject>UNEP/OzL.Pro/ExCom/77/38</dc:subject>
  <dc:creator/>
  <cp:lastModifiedBy>Elina Yuen</cp:lastModifiedBy>
  <cp:revision>5</cp:revision>
  <cp:lastPrinted>2016-11-01T22:28:00Z</cp:lastPrinted>
  <dcterms:created xsi:type="dcterms:W3CDTF">2016-11-01T22:24:00Z</dcterms:created>
  <dcterms:modified xsi:type="dcterms:W3CDTF">2016-11-01T22:31:00Z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UNEP/OzL.Pro/ExCom/77/38</vt:lpwstr>
  </property>
  <property fmtid="{D5CDD505-2E9C-101B-9397-08002B2CF9AE}" pid="3" name="Revision date">
    <vt:lpwstr>11/01/2016</vt:lpwstr>
  </property>
  <property fmtid="{D5CDD505-2E9C-101B-9397-08002B2CF9AE}" pid="4" name="ContentTypeId">
    <vt:lpwstr>0x010100F409F5B17BF82F4083D32896D3516BC1</vt:lpwstr>
  </property>
</Properties>
</file>