
<file path=[Content_Types].xml><?xml version="1.0" encoding="utf-8"?>
<Types xmlns="http://schemas.openxmlformats.org/package/2006/content-types">
  <Override PartName="/word/footnotes.xml" ContentType="application/vnd.openxmlformats-officedocument.wordprocessingml.footnotes+xml"/>
  <Override PartName="/customXml/itemProps3.xml" ContentType="application/vnd.openxmlformats-officedocument.customXmlProperties+xml"/>
  <Override PartName="/customXml/itemProps1.xml" ContentType="application/vnd.openxmlformats-officedocument.customXmlProperties+xml"/>
  <Override PartName="/word/footer9.xml" ContentType="application/vnd.openxmlformats-officedocument.wordprocessingml.footer+xml"/>
  <Default Extension="rels" ContentType="application/vnd.openxmlformats-package.relationships+xml"/>
  <Override PartName="/word/footer7.xml" ContentType="application/vnd.openxmlformats-officedocument.wordprocessingml.footer+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Default Extension="png" ContentType="image/png"/>
  <Override PartName="/customXml/itemProps2.xml" ContentType="application/vnd.openxmlformats-officedocument.customXmlProperties+xml"/>
  <Override PartName="/word/footer8.xml" ContentType="application/vnd.openxmlformats-officedocument.wordprocessingml.footer+xml"/>
  <Default Extension="emf" ContentType="image/x-emf"/>
  <Override PartName="/word/footer6.xml" ContentType="application/vnd.openxmlformats-officedocument.wordprocessingml.footer+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807" w:type="dxa"/>
        <w:tblInd w:w="-432" w:type="dxa"/>
        <w:tblLayout w:type="fixed"/>
        <w:tblLook w:val="0000" w:firstRow="0" w:lastRow="0" w:firstColumn="0" w:lastColumn="0" w:noHBand="0" w:noVBand="0"/>
      </w:tblPr>
      <w:tblGrid>
        <w:gridCol w:w="1914"/>
        <w:gridCol w:w="4616"/>
        <w:gridCol w:w="3277"/>
      </w:tblGrid>
      <w:tr w:rsidR="00441083" w:rsidRPr="006A1EE7" w14:paraId="3D8F1B2C" w14:textId="77777777" w:rsidTr="006C2F59">
        <w:trPr>
          <w:trHeight w:val="702"/>
        </w:trPr>
        <w:tc>
          <w:tcPr>
            <w:tcW w:w="6530" w:type="dxa"/>
            <w:gridSpan w:val="2"/>
            <w:tcBorders>
              <w:bottom w:val="single" w:sz="18" w:space="0" w:color="auto"/>
            </w:tcBorders>
          </w:tcPr>
          <w:p w14:paraId="07585010" w14:textId="77777777" w:rsidR="00441083" w:rsidRPr="006A1EE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FR"/>
              </w:rPr>
            </w:pPr>
            <w:r w:rsidRPr="006A1EE7">
              <w:rPr>
                <w:rFonts w:ascii="Univers" w:hAnsi="Univers"/>
                <w:b/>
                <w:sz w:val="28"/>
                <w:szCs w:val="28"/>
                <w:lang w:val="fr-FR"/>
              </w:rPr>
              <w:t>NATIONS</w:t>
            </w:r>
          </w:p>
          <w:p w14:paraId="62041EDF" w14:textId="77777777" w:rsidR="00441083" w:rsidRPr="006A1EE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FR"/>
              </w:rPr>
            </w:pPr>
            <w:r w:rsidRPr="006A1EE7">
              <w:rPr>
                <w:rFonts w:ascii="Univers" w:hAnsi="Univers"/>
                <w:b/>
                <w:sz w:val="28"/>
                <w:szCs w:val="28"/>
                <w:lang w:val="fr-FR"/>
              </w:rPr>
              <w:t xml:space="preserve">UNIES </w:t>
            </w:r>
          </w:p>
        </w:tc>
        <w:tc>
          <w:tcPr>
            <w:tcW w:w="3277" w:type="dxa"/>
            <w:tcBorders>
              <w:bottom w:val="single" w:sz="18" w:space="0" w:color="auto"/>
            </w:tcBorders>
          </w:tcPr>
          <w:p w14:paraId="53213F88" w14:textId="77777777" w:rsidR="00441083" w:rsidRPr="006A1EE7" w:rsidRDefault="00E60D9C">
            <w:pPr>
              <w:tabs>
                <w:tab w:val="left" w:pos="3010"/>
              </w:tabs>
              <w:jc w:val="center"/>
              <w:rPr>
                <w:sz w:val="52"/>
                <w:szCs w:val="52"/>
                <w:lang w:val="fr-FR"/>
              </w:rPr>
            </w:pPr>
            <w:r w:rsidRPr="006A1EE7">
              <w:rPr>
                <w:rFonts w:ascii="Univers Bold" w:hAnsi="Univers Bold"/>
                <w:b/>
                <w:sz w:val="72"/>
                <w:lang w:val="fr-FR"/>
              </w:rPr>
              <w:t xml:space="preserve">          EP</w:t>
            </w:r>
          </w:p>
        </w:tc>
      </w:tr>
      <w:tr w:rsidR="00441083" w:rsidRPr="006A1EE7" w14:paraId="64F57569" w14:textId="77777777" w:rsidTr="006C2F5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52"/>
        </w:trPr>
        <w:tc>
          <w:tcPr>
            <w:tcW w:w="1914" w:type="dxa"/>
            <w:tcBorders>
              <w:top w:val="nil"/>
              <w:left w:val="nil"/>
              <w:bottom w:val="single" w:sz="36" w:space="0" w:color="auto"/>
              <w:right w:val="nil"/>
            </w:tcBorders>
          </w:tcPr>
          <w:p w14:paraId="36124DDD" w14:textId="77777777" w:rsidR="00441083" w:rsidRPr="006A1EE7" w:rsidRDefault="00C6443E">
            <w:pPr>
              <w:spacing w:before="120"/>
              <w:rPr>
                <w:lang w:val="fr-FR"/>
              </w:rPr>
            </w:pPr>
            <w:r w:rsidRPr="006A1EE7">
              <w:rPr>
                <w:noProof/>
                <w:lang w:val="fr-CA" w:eastAsia="fr-CA"/>
              </w:rPr>
              <w:drawing>
                <wp:anchor distT="0" distB="0" distL="114300" distR="114300" simplePos="0" relativeHeight="251660288" behindDoc="0" locked="0" layoutInCell="1" allowOverlap="1" wp14:anchorId="2DD39778" wp14:editId="2966A006">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6A1EE7">
              <w:rPr>
                <w:noProof/>
                <w:lang w:val="fr-CA" w:eastAsia="fr-CA"/>
              </w:rPr>
              <w:drawing>
                <wp:anchor distT="0" distB="0" distL="114300" distR="114300" simplePos="0" relativeHeight="251661312" behindDoc="1" locked="0" layoutInCell="0" allowOverlap="1" wp14:anchorId="6115E051" wp14:editId="1F4B70F9">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16" w:type="dxa"/>
            <w:tcBorders>
              <w:top w:val="nil"/>
              <w:left w:val="nil"/>
              <w:bottom w:val="single" w:sz="36" w:space="0" w:color="auto"/>
              <w:right w:val="nil"/>
            </w:tcBorders>
          </w:tcPr>
          <w:p w14:paraId="0D1FF3B8" w14:textId="77777777" w:rsidR="00271AD8" w:rsidRDefault="00271AD8">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p>
          <w:p w14:paraId="344E3285" w14:textId="53555EBA" w:rsidR="00441083" w:rsidRPr="006A1EE7"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FR"/>
              </w:rPr>
            </w:pPr>
            <w:r w:rsidRPr="006A1EE7">
              <w:rPr>
                <w:rFonts w:ascii="Univers" w:hAnsi="Univers"/>
                <w:b/>
                <w:sz w:val="32"/>
                <w:lang w:val="fr-FR"/>
              </w:rPr>
              <w:t>Programme des</w:t>
            </w:r>
          </w:p>
          <w:p w14:paraId="36F4DB14" w14:textId="77777777" w:rsidR="00441083" w:rsidRPr="006A1EE7" w:rsidRDefault="00E60D9C">
            <w:pPr>
              <w:rPr>
                <w:rFonts w:ascii="Univers" w:hAnsi="Univers"/>
                <w:b/>
                <w:sz w:val="32"/>
                <w:lang w:val="fr-FR"/>
              </w:rPr>
            </w:pPr>
            <w:r w:rsidRPr="006A1EE7">
              <w:rPr>
                <w:rFonts w:ascii="Univers" w:hAnsi="Univers"/>
                <w:b/>
                <w:sz w:val="32"/>
                <w:lang w:val="fr-FR"/>
              </w:rPr>
              <w:t>Nations Unies pour</w:t>
            </w:r>
          </w:p>
          <w:p w14:paraId="6A856208" w14:textId="77777777" w:rsidR="00441083" w:rsidRPr="006A1EE7" w:rsidRDefault="00E60D9C">
            <w:pPr>
              <w:rPr>
                <w:rFonts w:ascii="Univers" w:hAnsi="Univers"/>
                <w:b/>
                <w:sz w:val="32"/>
                <w:lang w:val="fr-FR"/>
              </w:rPr>
            </w:pPr>
            <w:proofErr w:type="gramStart"/>
            <w:r w:rsidRPr="006A1EE7">
              <w:rPr>
                <w:rFonts w:ascii="Univers" w:hAnsi="Univers"/>
                <w:b/>
                <w:sz w:val="32"/>
                <w:lang w:val="fr-FR"/>
              </w:rPr>
              <w:t>l’environnement</w:t>
            </w:r>
            <w:proofErr w:type="gramEnd"/>
          </w:p>
          <w:p w14:paraId="1A0ECFF5" w14:textId="77777777" w:rsidR="00441083" w:rsidRPr="006A1EE7" w:rsidRDefault="00E60D9C">
            <w:pPr>
              <w:spacing w:before="720"/>
              <w:ind w:left="158"/>
              <w:rPr>
                <w:lang w:val="fr-FR"/>
              </w:rPr>
            </w:pPr>
            <w:r w:rsidRPr="006A1EE7">
              <w:rPr>
                <w:lang w:val="fr-FR"/>
              </w:rPr>
              <w:t xml:space="preserve"> </w:t>
            </w:r>
          </w:p>
        </w:tc>
        <w:tc>
          <w:tcPr>
            <w:tcW w:w="3277" w:type="dxa"/>
            <w:tcBorders>
              <w:top w:val="nil"/>
              <w:left w:val="nil"/>
              <w:bottom w:val="single" w:sz="36" w:space="0" w:color="auto"/>
              <w:right w:val="nil"/>
            </w:tcBorders>
          </w:tcPr>
          <w:p w14:paraId="292AAF71" w14:textId="77777777" w:rsidR="00271AD8" w:rsidRDefault="00271AD8">
            <w:pPr>
              <w:rPr>
                <w:lang w:val="fr-FR"/>
              </w:rPr>
            </w:pPr>
          </w:p>
          <w:p w14:paraId="2B38FBB4" w14:textId="6EAACA95" w:rsidR="00441083" w:rsidRPr="006A1EE7" w:rsidRDefault="00E60D9C">
            <w:pPr>
              <w:rPr>
                <w:lang w:val="fr-FR"/>
              </w:rPr>
            </w:pPr>
            <w:proofErr w:type="spellStart"/>
            <w:r w:rsidRPr="006A1EE7">
              <w:rPr>
                <w:lang w:val="fr-FR"/>
              </w:rPr>
              <w:t>Distr</w:t>
            </w:r>
            <w:proofErr w:type="spellEnd"/>
            <w:r w:rsidRPr="006A1EE7">
              <w:rPr>
                <w:lang w:val="fr-FR"/>
              </w:rPr>
              <w:t>.</w:t>
            </w:r>
          </w:p>
          <w:p w14:paraId="441D04DA" w14:textId="77777777" w:rsidR="00441083" w:rsidRPr="006A1EE7" w:rsidRDefault="00E60D9C" w:rsidP="00DD3433">
            <w:pPr>
              <w:rPr>
                <w:lang w:val="fr-FR"/>
              </w:rPr>
            </w:pPr>
            <w:r w:rsidRPr="006A1EE7">
              <w:rPr>
                <w:lang w:val="fr-FR"/>
              </w:rPr>
              <w:t>G</w:t>
            </w:r>
            <w:r w:rsidR="00DD3433" w:rsidRPr="006A1EE7">
              <w:rPr>
                <w:lang w:val="fr-FR"/>
              </w:rPr>
              <w:t>É</w:t>
            </w:r>
            <w:r w:rsidRPr="006A1EE7">
              <w:rPr>
                <w:lang w:val="fr-FR"/>
              </w:rPr>
              <w:t>N</w:t>
            </w:r>
            <w:r w:rsidR="00DD3433" w:rsidRPr="006A1EE7">
              <w:rPr>
                <w:lang w:val="fr-FR"/>
              </w:rPr>
              <w:t>É</w:t>
            </w:r>
            <w:r w:rsidRPr="006A1EE7">
              <w:rPr>
                <w:lang w:val="fr-FR"/>
              </w:rPr>
              <w:t>RAL</w:t>
            </w:r>
            <w:r w:rsidR="00FF3CF1" w:rsidRPr="006A1EE7">
              <w:rPr>
                <w:lang w:val="fr-FR"/>
              </w:rPr>
              <w:t>E</w:t>
            </w:r>
          </w:p>
          <w:p w14:paraId="284FFE95" w14:textId="77777777" w:rsidR="00441083" w:rsidRPr="006A1EE7" w:rsidRDefault="00441083">
            <w:pPr>
              <w:rPr>
                <w:lang w:val="fr-FR"/>
              </w:rPr>
            </w:pPr>
          </w:p>
          <w:p w14:paraId="1FE65660" w14:textId="1966134F" w:rsidR="00441083" w:rsidRPr="006A1EE7" w:rsidRDefault="00E60D9C">
            <w:pPr>
              <w:rPr>
                <w:lang w:val="fr-FR"/>
              </w:rPr>
            </w:pPr>
            <w:r w:rsidRPr="006A1EE7">
              <w:rPr>
                <w:lang w:val="fr-FR"/>
              </w:rPr>
              <w:fldChar w:fldCharType="begin"/>
            </w:r>
            <w:r w:rsidRPr="006A1EE7">
              <w:rPr>
                <w:lang w:val="fr-FR"/>
              </w:rPr>
              <w:instrText xml:space="preserve"> DOCPROPERTY "Document number"  \* MERGEFORMAT </w:instrText>
            </w:r>
            <w:r w:rsidRPr="006A1EE7">
              <w:rPr>
                <w:lang w:val="fr-FR"/>
              </w:rPr>
              <w:fldChar w:fldCharType="separate"/>
            </w:r>
            <w:r w:rsidR="00D423DD" w:rsidRPr="006A1EE7">
              <w:rPr>
                <w:lang w:val="fr-FR"/>
              </w:rPr>
              <w:t>UNEP/</w:t>
            </w:r>
            <w:proofErr w:type="spellStart"/>
            <w:r w:rsidR="00D423DD" w:rsidRPr="006A1EE7">
              <w:rPr>
                <w:lang w:val="fr-FR"/>
              </w:rPr>
              <w:t>OzL.Pro</w:t>
            </w:r>
            <w:proofErr w:type="spellEnd"/>
            <w:r w:rsidR="00D423DD" w:rsidRPr="006A1EE7">
              <w:rPr>
                <w:lang w:val="fr-FR"/>
              </w:rPr>
              <w:t>/</w:t>
            </w:r>
            <w:proofErr w:type="spellStart"/>
            <w:r w:rsidR="00D423DD" w:rsidRPr="006A1EE7">
              <w:rPr>
                <w:lang w:val="fr-FR"/>
              </w:rPr>
              <w:t>ExCom</w:t>
            </w:r>
            <w:proofErr w:type="spellEnd"/>
            <w:r w:rsidR="00D423DD" w:rsidRPr="006A1EE7">
              <w:rPr>
                <w:lang w:val="fr-FR"/>
              </w:rPr>
              <w:t>/90/</w:t>
            </w:r>
            <w:r w:rsidR="001649FE">
              <w:rPr>
                <w:lang w:val="fr-FR"/>
              </w:rPr>
              <w:t>9</w:t>
            </w:r>
            <w:r w:rsidRPr="006A1EE7">
              <w:rPr>
                <w:lang w:val="fr-FR"/>
              </w:rPr>
              <w:fldChar w:fldCharType="end"/>
            </w:r>
          </w:p>
          <w:p w14:paraId="628C55D9" w14:textId="7467CD88" w:rsidR="002F0B57" w:rsidRPr="006A1EE7" w:rsidRDefault="002F0B57" w:rsidP="00C9547D">
            <w:pPr>
              <w:rPr>
                <w:lang w:val="fr-FR"/>
              </w:rPr>
            </w:pPr>
            <w:r w:rsidRPr="006A1EE7">
              <w:rPr>
                <w:lang w:val="fr-FR"/>
              </w:rPr>
              <w:fldChar w:fldCharType="begin"/>
            </w:r>
            <w:r w:rsidRPr="006A1EE7">
              <w:rPr>
                <w:lang w:val="fr-FR"/>
              </w:rPr>
              <w:instrText xml:space="preserve"> DOCPROPERTY "Revision date" \@ "d MMMM YYYY"  \* MERGEFORMAT </w:instrText>
            </w:r>
            <w:r w:rsidRPr="006A1EE7">
              <w:rPr>
                <w:lang w:val="fr-FR"/>
              </w:rPr>
              <w:fldChar w:fldCharType="separate"/>
            </w:r>
            <w:r w:rsidR="001649FE">
              <w:rPr>
                <w:lang w:val="fr-FR"/>
              </w:rPr>
              <w:t>2</w:t>
            </w:r>
            <w:r w:rsidR="00D423DD" w:rsidRPr="006A1EE7">
              <w:rPr>
                <w:lang w:val="fr-FR"/>
              </w:rPr>
              <w:t xml:space="preserve"> </w:t>
            </w:r>
            <w:r w:rsidR="001649FE">
              <w:rPr>
                <w:lang w:val="fr-FR"/>
              </w:rPr>
              <w:t>juin</w:t>
            </w:r>
            <w:r w:rsidR="00D423DD" w:rsidRPr="006A1EE7">
              <w:rPr>
                <w:lang w:val="fr-FR"/>
              </w:rPr>
              <w:t xml:space="preserve"> 2022</w:t>
            </w:r>
            <w:r w:rsidRPr="006A1EE7">
              <w:rPr>
                <w:lang w:val="fr-FR"/>
              </w:rPr>
              <w:fldChar w:fldCharType="end"/>
            </w:r>
          </w:p>
          <w:p w14:paraId="3CC64FC8" w14:textId="77777777" w:rsidR="00441083" w:rsidRPr="006A1EE7" w:rsidRDefault="00FC5578">
            <w:pPr>
              <w:rPr>
                <w:caps/>
                <w:lang w:val="fr-FR"/>
              </w:rPr>
            </w:pPr>
            <w:r w:rsidRPr="006A1EE7">
              <w:rPr>
                <w:caps/>
                <w:lang w:val="fr-FR"/>
              </w:rPr>
              <w:br/>
            </w:r>
            <w:r w:rsidR="00E60D9C" w:rsidRPr="006A1EE7">
              <w:rPr>
                <w:caps/>
                <w:lang w:val="fr-FR"/>
              </w:rPr>
              <w:t>FRANÇAIS</w:t>
            </w:r>
          </w:p>
          <w:p w14:paraId="1EEF7F5A" w14:textId="77777777" w:rsidR="00441083" w:rsidRPr="006A1EE7" w:rsidRDefault="00E60D9C">
            <w:pPr>
              <w:rPr>
                <w:lang w:val="fr-FR"/>
              </w:rPr>
            </w:pPr>
            <w:proofErr w:type="gramStart"/>
            <w:r w:rsidRPr="006A1EE7">
              <w:rPr>
                <w:lang w:val="fr-FR"/>
              </w:rPr>
              <w:t>ORIGINAL:</w:t>
            </w:r>
            <w:proofErr w:type="gramEnd"/>
            <w:r w:rsidRPr="006A1EE7">
              <w:rPr>
                <w:lang w:val="fr-FR"/>
              </w:rPr>
              <w:t xml:space="preserve"> </w:t>
            </w:r>
            <w:r w:rsidR="0091161A" w:rsidRPr="006A1EE7">
              <w:rPr>
                <w:lang w:val="fr-FR"/>
              </w:rPr>
              <w:t>ANGLAIS</w:t>
            </w:r>
          </w:p>
        </w:tc>
      </w:tr>
    </w:tbl>
    <w:p w14:paraId="7E615E73" w14:textId="77777777" w:rsidR="00A97E14" w:rsidRPr="006A1EE7" w:rsidRDefault="00A97E14" w:rsidP="00A97E14">
      <w:pPr>
        <w:jc w:val="left"/>
        <w:rPr>
          <w:lang w:val="fr-FR"/>
        </w:rPr>
      </w:pPr>
      <w:r w:rsidRPr="006A1EE7">
        <w:rPr>
          <w:lang w:val="fr-FR"/>
        </w:rPr>
        <w:t xml:space="preserve">COMITÉ EXÉCUTIF </w:t>
      </w:r>
      <w:r w:rsidRPr="006A1EE7">
        <w:rPr>
          <w:lang w:val="fr-FR"/>
        </w:rPr>
        <w:br/>
        <w:t xml:space="preserve">  DU FONDS MULTILATÉRAL AUX FINS </w:t>
      </w:r>
      <w:r w:rsidRPr="006A1EE7">
        <w:rPr>
          <w:lang w:val="fr-FR"/>
        </w:rPr>
        <w:br/>
        <w:t xml:space="preserve">  D’APPLICATION DU PROTOCOLE DE MONTRÉAL</w:t>
      </w:r>
      <w:r w:rsidRPr="006A1EE7">
        <w:rPr>
          <w:lang w:val="fr-FR"/>
        </w:rPr>
        <w:br/>
        <w:t>Quatre-vingt-</w:t>
      </w:r>
      <w:r w:rsidR="00843511" w:rsidRPr="006A1EE7">
        <w:rPr>
          <w:lang w:val="fr-FR"/>
        </w:rPr>
        <w:t>dixi</w:t>
      </w:r>
      <w:r w:rsidRPr="006A1EE7">
        <w:rPr>
          <w:lang w:val="fr-FR"/>
        </w:rPr>
        <w:t>ème réunion</w:t>
      </w:r>
    </w:p>
    <w:p w14:paraId="7871681F" w14:textId="77777777" w:rsidR="00A97E14" w:rsidRPr="006A1EE7" w:rsidRDefault="00A97E14" w:rsidP="00A97E14">
      <w:pPr>
        <w:jc w:val="left"/>
        <w:rPr>
          <w:lang w:val="fr-FR"/>
        </w:rPr>
      </w:pPr>
      <w:r w:rsidRPr="006A1EE7">
        <w:rPr>
          <w:lang w:val="fr-FR"/>
        </w:rPr>
        <w:t xml:space="preserve">Montréal, </w:t>
      </w:r>
      <w:r w:rsidR="00843511" w:rsidRPr="006A1EE7">
        <w:rPr>
          <w:lang w:val="fr-FR"/>
        </w:rPr>
        <w:t>20-23 juin</w:t>
      </w:r>
      <w:r w:rsidRPr="006A1EE7">
        <w:rPr>
          <w:lang w:val="fr-FR"/>
        </w:rPr>
        <w:t xml:space="preserve"> 2022</w:t>
      </w:r>
    </w:p>
    <w:p w14:paraId="43518EBF" w14:textId="77777777" w:rsidR="006A1EE7" w:rsidRPr="006A1EE7" w:rsidRDefault="006A1EE7" w:rsidP="006A1EE7">
      <w:pPr>
        <w:jc w:val="left"/>
        <w:rPr>
          <w:lang w:val="fr-FR"/>
        </w:rPr>
      </w:pPr>
      <w:r w:rsidRPr="006A1EE7">
        <w:rPr>
          <w:lang w:val="fr-FR"/>
        </w:rPr>
        <w:t>Point 7(a) de l’ordre du jour provisoire</w:t>
      </w:r>
      <w:r w:rsidRPr="006A1EE7">
        <w:rPr>
          <w:rStyle w:val="FootnoteReference"/>
          <w:lang w:val="fr-FR"/>
        </w:rPr>
        <w:footnoteReference w:id="1"/>
      </w:r>
    </w:p>
    <w:p w14:paraId="2ADDFCCC" w14:textId="77777777" w:rsidR="006A1EE7" w:rsidRPr="006A1EE7" w:rsidRDefault="006A1EE7" w:rsidP="006A1EE7">
      <w:pPr>
        <w:rPr>
          <w:lang w:val="fr-FR"/>
        </w:rPr>
      </w:pPr>
    </w:p>
    <w:p w14:paraId="2137D58F" w14:textId="77777777" w:rsidR="006A1EE7" w:rsidRPr="006A1EE7" w:rsidRDefault="006A1EE7" w:rsidP="006A1EE7">
      <w:pPr>
        <w:rPr>
          <w:lang w:val="fr-FR"/>
        </w:rPr>
      </w:pPr>
    </w:p>
    <w:p w14:paraId="7608924F" w14:textId="05319619" w:rsidR="006A1EE7" w:rsidRPr="006A1EE7" w:rsidRDefault="006C2F59" w:rsidP="006A1EE7">
      <w:pPr>
        <w:jc w:val="center"/>
        <w:rPr>
          <w:b/>
          <w:lang w:val="fr-FR"/>
        </w:rPr>
      </w:pPr>
      <w:r w:rsidRPr="006A1EE7">
        <w:rPr>
          <w:b/>
          <w:lang w:val="fr-FR"/>
        </w:rPr>
        <w:t xml:space="preserve">RAPPORTS DE SITUATION ET RAPPORTS SUR LES PROJETS </w:t>
      </w:r>
    </w:p>
    <w:p w14:paraId="41E1C5DA" w14:textId="7C32BE6B" w:rsidR="006A1EE7" w:rsidRPr="006A1EE7" w:rsidRDefault="006C2F59" w:rsidP="006A1EE7">
      <w:pPr>
        <w:jc w:val="center"/>
        <w:rPr>
          <w:b/>
          <w:lang w:val="fr-FR"/>
        </w:rPr>
      </w:pPr>
      <w:r w:rsidRPr="006A1EE7">
        <w:rPr>
          <w:b/>
          <w:lang w:val="fr-FR"/>
        </w:rPr>
        <w:t>COMPORTANT DES EXIGENCES PARTICULIERES DE REMISE DE RAPPORTS</w:t>
      </w:r>
    </w:p>
    <w:p w14:paraId="0D701E6E" w14:textId="77777777" w:rsidR="006A1EE7" w:rsidRPr="006A1EE7" w:rsidRDefault="006A1EE7" w:rsidP="006A1EE7">
      <w:pPr>
        <w:rPr>
          <w:lang w:val="fr-FR"/>
        </w:rPr>
      </w:pPr>
    </w:p>
    <w:p w14:paraId="214C1A76" w14:textId="77777777" w:rsidR="006A1EE7" w:rsidRPr="006A1EE7" w:rsidRDefault="006A1EE7" w:rsidP="006A1EE7">
      <w:pPr>
        <w:rPr>
          <w:lang w:val="fr-FR"/>
        </w:rPr>
      </w:pPr>
    </w:p>
    <w:p w14:paraId="7F9FD2B1" w14:textId="77777777" w:rsidR="006A1EE7" w:rsidRPr="006A1EE7" w:rsidRDefault="006A1EE7" w:rsidP="006A1EE7">
      <w:pPr>
        <w:pStyle w:val="Heading1"/>
        <w:rPr>
          <w:lang w:val="fr-FR"/>
        </w:rPr>
      </w:pPr>
      <w:r w:rsidRPr="006A1EE7">
        <w:rPr>
          <w:lang w:val="fr-FR"/>
        </w:rPr>
        <w:t>Le présent document relatif à l’état des rapports et aux projets comportant des exigences particulières de remise de rapports est constitué des parties suivantes :</w:t>
      </w:r>
    </w:p>
    <w:p w14:paraId="3162C87D" w14:textId="77777777" w:rsidR="006A1EE7" w:rsidRPr="006A1EE7" w:rsidRDefault="006A1EE7" w:rsidP="006A1EE7">
      <w:pPr>
        <w:ind w:left="2160" w:hanging="1440"/>
        <w:rPr>
          <w:lang w:val="fr-FR"/>
        </w:rPr>
      </w:pPr>
      <w:r w:rsidRPr="006A1EE7">
        <w:rPr>
          <w:lang w:val="fr-FR"/>
        </w:rPr>
        <w:t>Partie I :</w:t>
      </w:r>
      <w:r w:rsidRPr="006A1EE7">
        <w:rPr>
          <w:lang w:val="fr-FR"/>
        </w:rPr>
        <w:tab/>
        <w:t>Projets connaissant des retards dans la mise en œuvre et pour lesquels des rapports de situation spéciaux ont été demandés</w:t>
      </w:r>
    </w:p>
    <w:p w14:paraId="35B22460" w14:textId="77777777" w:rsidR="006A1EE7" w:rsidRPr="006A1EE7" w:rsidRDefault="006A1EE7" w:rsidP="006A1EE7">
      <w:pPr>
        <w:ind w:left="720"/>
        <w:rPr>
          <w:lang w:val="fr-FR"/>
        </w:rPr>
      </w:pPr>
    </w:p>
    <w:p w14:paraId="0E2A3CDD" w14:textId="77777777" w:rsidR="006A1EE7" w:rsidRPr="006A1EE7" w:rsidRDefault="006A1EE7" w:rsidP="006A1EE7">
      <w:pPr>
        <w:ind w:left="2160" w:hanging="1440"/>
        <w:rPr>
          <w:lang w:val="fr-FR"/>
        </w:rPr>
      </w:pPr>
      <w:r w:rsidRPr="006A1EE7">
        <w:rPr>
          <w:lang w:val="fr-FR"/>
        </w:rPr>
        <w:t>Partie II :</w:t>
      </w:r>
      <w:r w:rsidRPr="006A1EE7">
        <w:rPr>
          <w:lang w:val="fr-FR"/>
        </w:rPr>
        <w:tab/>
        <w:t>Projets comportant des exigences particulières pour la remise de rapports :</w:t>
      </w:r>
    </w:p>
    <w:p w14:paraId="056D906D" w14:textId="77777777" w:rsidR="006A1EE7" w:rsidRPr="006A1EE7" w:rsidRDefault="006A1EE7" w:rsidP="006A1EE7">
      <w:pPr>
        <w:ind w:left="2160"/>
        <w:rPr>
          <w:lang w:val="fr-FR"/>
        </w:rPr>
      </w:pPr>
      <w:r w:rsidRPr="006A1EE7">
        <w:rPr>
          <w:lang w:val="fr-FR"/>
        </w:rPr>
        <w:t>II.1</w:t>
      </w:r>
      <w:r w:rsidRPr="006A1EE7">
        <w:rPr>
          <w:lang w:val="fr-FR"/>
        </w:rPr>
        <w:tab/>
        <w:t xml:space="preserve">Vue d’ensemble </w:t>
      </w:r>
    </w:p>
    <w:p w14:paraId="574A6A88" w14:textId="77777777" w:rsidR="006A1EE7" w:rsidRPr="006A1EE7" w:rsidRDefault="006A1EE7" w:rsidP="006A1EE7">
      <w:pPr>
        <w:ind w:left="2880" w:hanging="720"/>
        <w:rPr>
          <w:lang w:val="fr-FR"/>
        </w:rPr>
      </w:pPr>
      <w:r w:rsidRPr="006A1EE7">
        <w:rPr>
          <w:lang w:val="fr-FR"/>
        </w:rPr>
        <w:t>II.2</w:t>
      </w:r>
      <w:r w:rsidRPr="006A1EE7">
        <w:rPr>
          <w:lang w:val="fr-FR"/>
        </w:rPr>
        <w:tab/>
        <w:t>Approbation « générale » – rapports sur les projets pour lesquels il n’y a aucune question d’orientation, de coût ou autre en instance, et pour lesquels le Comité exécutif pourrait prendre des décisions basées sur les recommandations du Secrétariat, sans autre échange</w:t>
      </w:r>
    </w:p>
    <w:p w14:paraId="5CE5C171" w14:textId="77777777" w:rsidR="006A1EE7" w:rsidRPr="006A1EE7" w:rsidRDefault="006A1EE7" w:rsidP="006A1EE7">
      <w:pPr>
        <w:ind w:left="2880" w:hanging="720"/>
        <w:rPr>
          <w:lang w:val="fr-FR"/>
        </w:rPr>
      </w:pPr>
      <w:r w:rsidRPr="006A1EE7">
        <w:rPr>
          <w:lang w:val="fr-FR"/>
        </w:rPr>
        <w:t>II.3</w:t>
      </w:r>
      <w:r w:rsidRPr="006A1EE7">
        <w:rPr>
          <w:lang w:val="fr-FR"/>
        </w:rPr>
        <w:tab/>
        <w:t xml:space="preserve">À examiner individuellement – rapports sur l’état de la mise en œuvre des activités, des plans de gestion et des reports de dates d’achèvement que le Comité exécutif doit examiner individuellement </w:t>
      </w:r>
    </w:p>
    <w:p w14:paraId="753AE450" w14:textId="77777777" w:rsidR="006A1EE7" w:rsidRPr="006A1EE7" w:rsidRDefault="006A1EE7" w:rsidP="006A1EE7">
      <w:pPr>
        <w:rPr>
          <w:lang w:val="fr-FR"/>
        </w:rPr>
      </w:pPr>
    </w:p>
    <w:p w14:paraId="6F55D037" w14:textId="77777777" w:rsidR="006A1EE7" w:rsidRPr="006A1EE7" w:rsidRDefault="006A1EE7" w:rsidP="006A1EE7">
      <w:pPr>
        <w:pStyle w:val="Heading1"/>
        <w:rPr>
          <w:lang w:val="fr-FR"/>
        </w:rPr>
      </w:pPr>
      <w:r w:rsidRPr="006A1EE7">
        <w:rPr>
          <w:lang w:val="fr-FR"/>
        </w:rPr>
        <w:t xml:space="preserve">En outre, le document UNEP/OzL.Pro/ExCom/90/9/Add.1 est constitué de quatre rapports relatifs à la Chine : rapport sur l’état d’avancement des activités figurant dans la décision 83/41(e) ; étude visant à déterminer les circonstances réglementaires, d’exécution, d’orientation ou de marché pouvant avoir mené à une utilisation et une production illicites de CFC-11 et CFC-12 (décision 83/41(d)) ; rapport actualisé sur la production de CTC et son utilisation comme matière première ; et un rapport sur le décaissement des fonds pour les surcoûts d’exploitation au titre de la phase I du plan sectoriel de la réfrigération et de la climatisation industrielles et commerciales, </w:t>
      </w:r>
      <w:bookmarkStart w:id="0" w:name="_Hlk104908001"/>
      <w:r w:rsidRPr="006A1EE7">
        <w:rPr>
          <w:lang w:val="fr-FR"/>
        </w:rPr>
        <w:t>que le Comité exécutif examinera individuellement.</w:t>
      </w:r>
    </w:p>
    <w:bookmarkEnd w:id="0"/>
    <w:p w14:paraId="4A21B143" w14:textId="77777777" w:rsidR="006A1EE7" w:rsidRPr="006A1EE7" w:rsidRDefault="006A1EE7" w:rsidP="006A1EE7">
      <w:pPr>
        <w:pStyle w:val="ListParagraph"/>
        <w:numPr>
          <w:ilvl w:val="0"/>
          <w:numId w:val="24"/>
        </w:numPr>
        <w:rPr>
          <w:b/>
          <w:sz w:val="24"/>
          <w:szCs w:val="24"/>
        </w:rPr>
      </w:pPr>
      <w:r w:rsidRPr="006A1EE7">
        <w:rPr>
          <w:b/>
          <w:sz w:val="24"/>
        </w:rPr>
        <w:lastRenderedPageBreak/>
        <w:t xml:space="preserve">Projets connaissant des retards dans la mise en œuvre et pour lesquels des rapports de situation spéciaux ont été demandés </w:t>
      </w:r>
    </w:p>
    <w:p w14:paraId="099A24BF" w14:textId="77777777" w:rsidR="006A1EE7" w:rsidRPr="006A1EE7" w:rsidRDefault="006A1EE7" w:rsidP="006A1EE7">
      <w:pPr>
        <w:rPr>
          <w:lang w:val="fr-FR"/>
        </w:rPr>
      </w:pPr>
    </w:p>
    <w:p w14:paraId="798058D9" w14:textId="77777777" w:rsidR="006A1EE7" w:rsidRPr="006A1EE7" w:rsidRDefault="006A1EE7" w:rsidP="006A1EE7">
      <w:pPr>
        <w:pStyle w:val="Heading1"/>
        <w:rPr>
          <w:lang w:val="fr-FR"/>
        </w:rPr>
      </w:pPr>
      <w:r w:rsidRPr="006A1EE7">
        <w:rPr>
          <w:lang w:val="fr-FR"/>
        </w:rPr>
        <w:t>À la 88</w:t>
      </w:r>
      <w:r w:rsidRPr="006A1EE7">
        <w:rPr>
          <w:vertAlign w:val="superscript"/>
          <w:lang w:val="fr-FR"/>
        </w:rPr>
        <w:t>e</w:t>
      </w:r>
      <w:r w:rsidRPr="006A1EE7">
        <w:rPr>
          <w:lang w:val="fr-FR"/>
        </w:rPr>
        <w:t> réunion, le Comité exécutif a pris note que les agences bilatérales et d’exécution feraient rapport à la 90</w:t>
      </w:r>
      <w:r w:rsidRPr="006A1EE7">
        <w:rPr>
          <w:vertAlign w:val="superscript"/>
          <w:lang w:val="fr-FR"/>
        </w:rPr>
        <w:t>e</w:t>
      </w:r>
      <w:r w:rsidRPr="006A1EE7">
        <w:rPr>
          <w:lang w:val="fr-FR"/>
        </w:rPr>
        <w:t> réunion sur 129 projets connaissant des retards dans la mise en œuvre et 53 projets</w:t>
      </w:r>
      <w:r w:rsidRPr="006A1EE7">
        <w:rPr>
          <w:rStyle w:val="FootnoteReference"/>
          <w:lang w:val="fr-FR"/>
        </w:rPr>
        <w:footnoteReference w:id="2"/>
      </w:r>
      <w:r w:rsidRPr="006A1EE7">
        <w:rPr>
          <w:lang w:val="fr-FR"/>
        </w:rPr>
        <w:t xml:space="preserve"> ou tranches d’Accords pluriannuels en cours pour lesquels des rapports de situation supplémentaires ont été recommandés (décision 88/11(c)). Les agences bilatérales et d’exécution ont remis les rapports demandés à la 90</w:t>
      </w:r>
      <w:r w:rsidRPr="006A1EE7">
        <w:rPr>
          <w:vertAlign w:val="superscript"/>
          <w:lang w:val="fr-FR"/>
        </w:rPr>
        <w:t>e</w:t>
      </w:r>
      <w:r w:rsidRPr="006A1EE7">
        <w:rPr>
          <w:lang w:val="fr-FR"/>
        </w:rPr>
        <w:t> réunion. À l’examen des rapports, le Secrétariat a dialogué avec les agences bilatérales et d’exécution pertinentes et plusieurs problèmes ont été traités de manière satisfaisante. Le tableau 1 donne un résumé des projets connaissant des retards d’exécution et des projets pour lesquels des rapports de situation supplémentaires sont recommandés, intégrant leur niveau d’avancement, des recommandations du Secrétariat et des références aux annexes au présent document.</w:t>
      </w:r>
    </w:p>
    <w:p w14:paraId="4BDD7624" w14:textId="77777777" w:rsidR="006A1EE7" w:rsidRPr="006A1EE7" w:rsidRDefault="006A1EE7" w:rsidP="006A1EE7">
      <w:pPr>
        <w:pStyle w:val="a--"/>
        <w:suppressAutoHyphens w:val="0"/>
        <w:jc w:val="left"/>
        <w:rPr>
          <w:sz w:val="22"/>
          <w:szCs w:val="22"/>
        </w:rPr>
      </w:pPr>
      <w:r w:rsidRPr="006A1EE7">
        <w:rPr>
          <w:sz w:val="22"/>
        </w:rPr>
        <w:t xml:space="preserve">Tableau 1. Résumé des projets connaissant des retards d’exécution et des rapports de situation supplémentaires </w:t>
      </w:r>
    </w:p>
    <w:tbl>
      <w:tblPr>
        <w:tblStyle w:val="TableGrid"/>
        <w:tblW w:w="5000" w:type="pct"/>
        <w:tblLook w:val="04A0" w:firstRow="1" w:lastRow="0" w:firstColumn="1" w:lastColumn="0" w:noHBand="0" w:noVBand="1"/>
      </w:tblPr>
      <w:tblGrid>
        <w:gridCol w:w="2834"/>
        <w:gridCol w:w="1259"/>
        <w:gridCol w:w="1042"/>
        <w:gridCol w:w="3115"/>
        <w:gridCol w:w="1100"/>
      </w:tblGrid>
      <w:tr w:rsidR="006A1EE7" w:rsidRPr="006A1EE7" w14:paraId="38A9C2D2" w14:textId="77777777" w:rsidTr="006A2E9B">
        <w:trPr>
          <w:trHeight w:val="224"/>
        </w:trPr>
        <w:tc>
          <w:tcPr>
            <w:tcW w:w="1518" w:type="pct"/>
            <w:shd w:val="clear" w:color="auto" w:fill="auto"/>
          </w:tcPr>
          <w:p w14:paraId="0A0A1FEB"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Niveau d’avancement</w:t>
            </w:r>
          </w:p>
        </w:tc>
        <w:tc>
          <w:tcPr>
            <w:tcW w:w="676" w:type="pct"/>
            <w:shd w:val="clear" w:color="auto" w:fill="auto"/>
          </w:tcPr>
          <w:p w14:paraId="41772FDF"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Nombre de projets</w:t>
            </w:r>
          </w:p>
        </w:tc>
        <w:tc>
          <w:tcPr>
            <w:tcW w:w="560" w:type="pct"/>
            <w:shd w:val="clear" w:color="auto" w:fill="auto"/>
          </w:tcPr>
          <w:p w14:paraId="14744C04"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Décision</w:t>
            </w:r>
          </w:p>
        </w:tc>
        <w:tc>
          <w:tcPr>
            <w:tcW w:w="1668" w:type="pct"/>
            <w:shd w:val="clear" w:color="auto" w:fill="auto"/>
          </w:tcPr>
          <w:p w14:paraId="4C94EC4D"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Recommandation</w:t>
            </w:r>
          </w:p>
        </w:tc>
        <w:tc>
          <w:tcPr>
            <w:tcW w:w="577" w:type="pct"/>
            <w:shd w:val="clear" w:color="auto" w:fill="auto"/>
          </w:tcPr>
          <w:p w14:paraId="083A1E51"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Annexe</w:t>
            </w:r>
          </w:p>
        </w:tc>
      </w:tr>
      <w:tr w:rsidR="006A1EE7" w:rsidRPr="00271AD8" w14:paraId="1EA4169C" w14:textId="77777777" w:rsidTr="006A2E9B">
        <w:trPr>
          <w:trHeight w:val="54"/>
        </w:trPr>
        <w:tc>
          <w:tcPr>
            <w:tcW w:w="5000" w:type="pct"/>
            <w:gridSpan w:val="5"/>
            <w:shd w:val="clear" w:color="auto" w:fill="auto"/>
          </w:tcPr>
          <w:p w14:paraId="63A3D15F" w14:textId="77777777" w:rsidR="006A1EE7" w:rsidRPr="006A1EE7" w:rsidRDefault="006A1EE7" w:rsidP="006A2E9B">
            <w:pPr>
              <w:pStyle w:val="Heading1"/>
              <w:numPr>
                <w:ilvl w:val="0"/>
                <w:numId w:val="0"/>
              </w:numPr>
              <w:spacing w:after="0"/>
              <w:outlineLvl w:val="0"/>
              <w:rPr>
                <w:rFonts w:asciiTheme="majorBidi" w:hAnsiTheme="majorBidi" w:cstheme="majorBidi"/>
                <w:b/>
                <w:bCs/>
                <w:sz w:val="20"/>
                <w:szCs w:val="20"/>
                <w:lang w:val="fr-FR"/>
              </w:rPr>
            </w:pPr>
            <w:r w:rsidRPr="006A1EE7">
              <w:rPr>
                <w:rFonts w:asciiTheme="majorBidi" w:hAnsiTheme="majorBidi"/>
                <w:b/>
                <w:sz w:val="20"/>
                <w:lang w:val="fr-FR"/>
              </w:rPr>
              <w:t>Retards dans la mise en œuvre</w:t>
            </w:r>
          </w:p>
        </w:tc>
      </w:tr>
      <w:tr w:rsidR="006A1EE7" w:rsidRPr="006A1EE7" w14:paraId="6F76234D" w14:textId="77777777" w:rsidTr="006A2E9B">
        <w:tc>
          <w:tcPr>
            <w:tcW w:w="1518" w:type="pct"/>
            <w:shd w:val="clear" w:color="auto" w:fill="auto"/>
          </w:tcPr>
          <w:p w14:paraId="18042422"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 xml:space="preserve">État d’avancement </w:t>
            </w:r>
          </w:p>
          <w:p w14:paraId="71EAEE70" w14:textId="77777777" w:rsidR="006A1EE7" w:rsidRPr="006A1EE7" w:rsidRDefault="006A1EE7" w:rsidP="006A2E9B">
            <w:pPr>
              <w:pStyle w:val="Heading1"/>
              <w:numPr>
                <w:ilvl w:val="0"/>
                <w:numId w:val="0"/>
              </w:numPr>
              <w:spacing w:after="0"/>
              <w:ind w:right="-107"/>
              <w:jc w:val="left"/>
              <w:outlineLvl w:val="0"/>
              <w:rPr>
                <w:rFonts w:asciiTheme="majorBidi" w:hAnsiTheme="majorBidi" w:cstheme="majorBidi"/>
                <w:sz w:val="20"/>
                <w:szCs w:val="20"/>
                <w:lang w:val="fr-FR"/>
              </w:rPr>
            </w:pPr>
            <w:r w:rsidRPr="006A1EE7">
              <w:rPr>
                <w:rFonts w:asciiTheme="majorBidi" w:hAnsiTheme="majorBidi"/>
                <w:sz w:val="20"/>
                <w:lang w:val="fr-FR"/>
              </w:rPr>
              <w:t>(Projets individuels et Accords pluriannuels)</w:t>
            </w:r>
          </w:p>
        </w:tc>
        <w:tc>
          <w:tcPr>
            <w:tcW w:w="676" w:type="pct"/>
            <w:shd w:val="clear" w:color="auto" w:fill="auto"/>
          </w:tcPr>
          <w:p w14:paraId="5CCA2078"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89</w:t>
            </w:r>
          </w:p>
        </w:tc>
        <w:tc>
          <w:tcPr>
            <w:tcW w:w="560" w:type="pct"/>
            <w:shd w:val="clear" w:color="auto" w:fill="auto"/>
          </w:tcPr>
          <w:p w14:paraId="514C7715"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32/4</w:t>
            </w:r>
          </w:p>
        </w:tc>
        <w:tc>
          <w:tcPr>
            <w:tcW w:w="1668" w:type="pct"/>
            <w:shd w:val="clear" w:color="auto" w:fill="auto"/>
          </w:tcPr>
          <w:p w14:paraId="7D813226"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Fin de l’assujettissement à la remise de rapports</w:t>
            </w:r>
          </w:p>
        </w:tc>
        <w:tc>
          <w:tcPr>
            <w:tcW w:w="577" w:type="pct"/>
            <w:shd w:val="clear" w:color="auto" w:fill="auto"/>
          </w:tcPr>
          <w:p w14:paraId="606DCD9E"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s.o.</w:t>
            </w:r>
          </w:p>
        </w:tc>
      </w:tr>
      <w:tr w:rsidR="006A1EE7" w:rsidRPr="006A1EE7" w14:paraId="1C440B62" w14:textId="77777777" w:rsidTr="006A2E9B">
        <w:tc>
          <w:tcPr>
            <w:tcW w:w="1518" w:type="pct"/>
            <w:shd w:val="clear" w:color="auto" w:fill="auto"/>
          </w:tcPr>
          <w:p w14:paraId="2235394F" w14:textId="77777777" w:rsidR="006A1EE7" w:rsidRPr="006A1EE7" w:rsidRDefault="006A1EE7" w:rsidP="006A2E9B">
            <w:pPr>
              <w:pStyle w:val="Heading1"/>
              <w:numPr>
                <w:ilvl w:val="0"/>
                <w:numId w:val="0"/>
              </w:numPr>
              <w:spacing w:after="0"/>
              <w:jc w:val="left"/>
              <w:outlineLvl w:val="0"/>
              <w:rPr>
                <w:rFonts w:asciiTheme="majorBidi" w:hAnsiTheme="majorBidi" w:cstheme="majorBidi"/>
                <w:sz w:val="20"/>
                <w:szCs w:val="20"/>
                <w:lang w:val="fr-FR"/>
              </w:rPr>
            </w:pPr>
            <w:r w:rsidRPr="006A1EE7">
              <w:rPr>
                <w:rFonts w:asciiTheme="majorBidi" w:hAnsiTheme="majorBidi"/>
                <w:sz w:val="20"/>
                <w:lang w:val="fr-FR"/>
              </w:rPr>
              <w:t xml:space="preserve">Des progrès accomplis </w:t>
            </w:r>
          </w:p>
          <w:p w14:paraId="6EE45ABF" w14:textId="77777777" w:rsidR="006A1EE7" w:rsidRPr="006A1EE7" w:rsidRDefault="006A1EE7" w:rsidP="006A2E9B">
            <w:pPr>
              <w:pStyle w:val="Heading1"/>
              <w:numPr>
                <w:ilvl w:val="0"/>
                <w:numId w:val="0"/>
              </w:numPr>
              <w:spacing w:after="0"/>
              <w:ind w:right="-107"/>
              <w:jc w:val="left"/>
              <w:outlineLvl w:val="0"/>
              <w:rPr>
                <w:rFonts w:asciiTheme="majorBidi" w:hAnsiTheme="majorBidi" w:cstheme="majorBidi"/>
                <w:sz w:val="20"/>
                <w:szCs w:val="20"/>
                <w:lang w:val="fr-FR"/>
              </w:rPr>
            </w:pPr>
            <w:r w:rsidRPr="006A1EE7">
              <w:rPr>
                <w:rFonts w:asciiTheme="majorBidi" w:hAnsiTheme="majorBidi"/>
                <w:sz w:val="20"/>
                <w:lang w:val="fr-FR"/>
              </w:rPr>
              <w:t>(Projets individuels et Accords pluriannuels)</w:t>
            </w:r>
          </w:p>
        </w:tc>
        <w:tc>
          <w:tcPr>
            <w:tcW w:w="676" w:type="pct"/>
            <w:shd w:val="clear" w:color="auto" w:fill="auto"/>
          </w:tcPr>
          <w:p w14:paraId="497A436D"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25</w:t>
            </w:r>
          </w:p>
        </w:tc>
        <w:tc>
          <w:tcPr>
            <w:tcW w:w="560" w:type="pct"/>
            <w:shd w:val="clear" w:color="auto" w:fill="auto"/>
          </w:tcPr>
          <w:p w14:paraId="7279981E"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32/4</w:t>
            </w:r>
          </w:p>
        </w:tc>
        <w:tc>
          <w:tcPr>
            <w:tcW w:w="1668" w:type="pct"/>
            <w:shd w:val="clear" w:color="auto" w:fill="auto"/>
          </w:tcPr>
          <w:p w14:paraId="3DCDA9D7"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À continuer à suivre jusqu’à leur achèvement final</w:t>
            </w:r>
          </w:p>
        </w:tc>
        <w:tc>
          <w:tcPr>
            <w:tcW w:w="577" w:type="pct"/>
            <w:shd w:val="clear" w:color="auto" w:fill="auto"/>
          </w:tcPr>
          <w:p w14:paraId="15F96929"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Annexe I</w:t>
            </w:r>
          </w:p>
        </w:tc>
      </w:tr>
      <w:tr w:rsidR="006A1EE7" w:rsidRPr="006A1EE7" w14:paraId="6AD75367" w14:textId="77777777" w:rsidTr="006A2E9B">
        <w:tc>
          <w:tcPr>
            <w:tcW w:w="1518" w:type="pct"/>
            <w:shd w:val="clear" w:color="auto" w:fill="auto"/>
          </w:tcPr>
          <w:p w14:paraId="79757EFF"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Aucun progrès pour la première fois (Accords pluriannuels)</w:t>
            </w:r>
          </w:p>
        </w:tc>
        <w:tc>
          <w:tcPr>
            <w:tcW w:w="676" w:type="pct"/>
            <w:shd w:val="clear" w:color="auto" w:fill="auto"/>
          </w:tcPr>
          <w:p w14:paraId="2B95F905"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13</w:t>
            </w:r>
          </w:p>
        </w:tc>
        <w:tc>
          <w:tcPr>
            <w:tcW w:w="560" w:type="pct"/>
            <w:shd w:val="clear" w:color="auto" w:fill="auto"/>
          </w:tcPr>
          <w:p w14:paraId="337EFC60"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84/45</w:t>
            </w:r>
          </w:p>
        </w:tc>
        <w:tc>
          <w:tcPr>
            <w:tcW w:w="1668" w:type="pct"/>
            <w:shd w:val="clear" w:color="auto" w:fill="auto"/>
          </w:tcPr>
          <w:p w14:paraId="29A4B443"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 xml:space="preserve">À continuer à suivre jusqu’à leur achèvement final </w:t>
            </w:r>
          </w:p>
        </w:tc>
        <w:tc>
          <w:tcPr>
            <w:tcW w:w="577" w:type="pct"/>
            <w:shd w:val="clear" w:color="auto" w:fill="auto"/>
          </w:tcPr>
          <w:p w14:paraId="2EA42976"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Annexe II</w:t>
            </w:r>
          </w:p>
        </w:tc>
      </w:tr>
      <w:tr w:rsidR="006A1EE7" w:rsidRPr="006A1EE7" w14:paraId="00C303DD" w14:textId="77777777" w:rsidTr="006A2E9B">
        <w:tc>
          <w:tcPr>
            <w:tcW w:w="1518" w:type="pct"/>
            <w:shd w:val="clear" w:color="auto" w:fill="auto"/>
          </w:tcPr>
          <w:p w14:paraId="61A797D1" w14:textId="77777777" w:rsidR="006A1EE7" w:rsidRPr="006A1EE7" w:rsidRDefault="006A1EE7" w:rsidP="006A2E9B">
            <w:pPr>
              <w:pStyle w:val="Heading1"/>
              <w:numPr>
                <w:ilvl w:val="0"/>
                <w:numId w:val="0"/>
              </w:numPr>
              <w:spacing w:after="0"/>
              <w:jc w:val="left"/>
              <w:outlineLvl w:val="0"/>
              <w:rPr>
                <w:rFonts w:asciiTheme="majorBidi" w:hAnsiTheme="majorBidi" w:cstheme="majorBidi"/>
                <w:sz w:val="20"/>
                <w:szCs w:val="20"/>
                <w:lang w:val="fr-FR"/>
              </w:rPr>
            </w:pPr>
            <w:r w:rsidRPr="006A1EE7">
              <w:rPr>
                <w:rFonts w:asciiTheme="majorBidi" w:hAnsiTheme="majorBidi"/>
                <w:sz w:val="20"/>
                <w:lang w:val="fr-FR"/>
              </w:rPr>
              <w:t xml:space="preserve">Aucun progrès pour deux réunions consécutives (Accords pluriannuels) </w:t>
            </w:r>
          </w:p>
        </w:tc>
        <w:tc>
          <w:tcPr>
            <w:tcW w:w="676" w:type="pct"/>
            <w:shd w:val="clear" w:color="auto" w:fill="auto"/>
          </w:tcPr>
          <w:p w14:paraId="75782170"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2</w:t>
            </w:r>
          </w:p>
        </w:tc>
        <w:tc>
          <w:tcPr>
            <w:tcW w:w="560" w:type="pct"/>
            <w:shd w:val="clear" w:color="auto" w:fill="auto"/>
          </w:tcPr>
          <w:p w14:paraId="1CA7B0D6"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84/45</w:t>
            </w:r>
          </w:p>
        </w:tc>
        <w:tc>
          <w:tcPr>
            <w:tcW w:w="1668" w:type="pct"/>
            <w:shd w:val="clear" w:color="auto" w:fill="auto"/>
          </w:tcPr>
          <w:p w14:paraId="6837D1FD"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Avis d’annulation possible à envoyer</w:t>
            </w:r>
          </w:p>
        </w:tc>
        <w:tc>
          <w:tcPr>
            <w:tcW w:w="577" w:type="pct"/>
            <w:shd w:val="clear" w:color="auto" w:fill="auto"/>
          </w:tcPr>
          <w:p w14:paraId="407FC55B"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Annexe III</w:t>
            </w:r>
          </w:p>
        </w:tc>
      </w:tr>
      <w:tr w:rsidR="006A1EE7" w:rsidRPr="006A1EE7" w14:paraId="46679E08" w14:textId="77777777" w:rsidTr="006A2E9B">
        <w:tc>
          <w:tcPr>
            <w:tcW w:w="1518" w:type="pct"/>
            <w:shd w:val="clear" w:color="auto" w:fill="auto"/>
          </w:tcPr>
          <w:p w14:paraId="5477D38E" w14:textId="77777777" w:rsidR="006A1EE7" w:rsidRPr="006A1EE7" w:rsidRDefault="006A1EE7" w:rsidP="006A2E9B">
            <w:pPr>
              <w:pStyle w:val="Heading1"/>
              <w:numPr>
                <w:ilvl w:val="0"/>
                <w:numId w:val="0"/>
              </w:numPr>
              <w:spacing w:after="0"/>
              <w:outlineLvl w:val="0"/>
              <w:rPr>
                <w:rFonts w:asciiTheme="majorBidi" w:hAnsiTheme="majorBidi" w:cstheme="majorBidi"/>
                <w:b/>
                <w:bCs/>
                <w:sz w:val="20"/>
                <w:szCs w:val="20"/>
                <w:lang w:val="fr-FR"/>
              </w:rPr>
            </w:pPr>
            <w:r w:rsidRPr="006A1EE7">
              <w:rPr>
                <w:rFonts w:asciiTheme="majorBidi" w:hAnsiTheme="majorBidi"/>
                <w:b/>
                <w:sz w:val="20"/>
                <w:lang w:val="fr-FR"/>
              </w:rPr>
              <w:t>Total</w:t>
            </w:r>
          </w:p>
        </w:tc>
        <w:tc>
          <w:tcPr>
            <w:tcW w:w="676" w:type="pct"/>
            <w:shd w:val="clear" w:color="auto" w:fill="auto"/>
          </w:tcPr>
          <w:p w14:paraId="13FBD71D"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129</w:t>
            </w:r>
          </w:p>
        </w:tc>
        <w:tc>
          <w:tcPr>
            <w:tcW w:w="560" w:type="pct"/>
            <w:shd w:val="clear" w:color="auto" w:fill="auto"/>
          </w:tcPr>
          <w:p w14:paraId="3F784163"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p>
        </w:tc>
        <w:tc>
          <w:tcPr>
            <w:tcW w:w="1668" w:type="pct"/>
            <w:shd w:val="clear" w:color="auto" w:fill="auto"/>
          </w:tcPr>
          <w:p w14:paraId="0371423E"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p>
        </w:tc>
        <w:tc>
          <w:tcPr>
            <w:tcW w:w="577" w:type="pct"/>
            <w:shd w:val="clear" w:color="auto" w:fill="auto"/>
          </w:tcPr>
          <w:p w14:paraId="2B06FEBF"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p>
        </w:tc>
      </w:tr>
      <w:tr w:rsidR="006A1EE7" w:rsidRPr="006A1EE7" w14:paraId="2FE445DA" w14:textId="77777777" w:rsidTr="006A2E9B">
        <w:tc>
          <w:tcPr>
            <w:tcW w:w="5000" w:type="pct"/>
            <w:gridSpan w:val="5"/>
            <w:shd w:val="clear" w:color="auto" w:fill="auto"/>
          </w:tcPr>
          <w:p w14:paraId="10267F09" w14:textId="77777777" w:rsidR="006A1EE7" w:rsidRPr="006A1EE7" w:rsidRDefault="006A1EE7" w:rsidP="006A2E9B">
            <w:pPr>
              <w:pStyle w:val="Heading1"/>
              <w:numPr>
                <w:ilvl w:val="0"/>
                <w:numId w:val="0"/>
              </w:numPr>
              <w:spacing w:after="0"/>
              <w:outlineLvl w:val="0"/>
              <w:rPr>
                <w:rFonts w:asciiTheme="majorBidi" w:hAnsiTheme="majorBidi" w:cstheme="majorBidi"/>
                <w:b/>
                <w:bCs/>
                <w:sz w:val="20"/>
                <w:szCs w:val="20"/>
                <w:lang w:val="fr-FR"/>
              </w:rPr>
            </w:pPr>
            <w:r w:rsidRPr="006A1EE7">
              <w:rPr>
                <w:rFonts w:asciiTheme="majorBidi" w:hAnsiTheme="majorBidi"/>
                <w:b/>
                <w:sz w:val="20"/>
                <w:lang w:val="fr-FR"/>
              </w:rPr>
              <w:t>Rapports de situation</w:t>
            </w:r>
          </w:p>
        </w:tc>
      </w:tr>
      <w:tr w:rsidR="006A1EE7" w:rsidRPr="006A1EE7" w14:paraId="170B4F8A" w14:textId="77777777" w:rsidTr="006A2E9B">
        <w:tc>
          <w:tcPr>
            <w:tcW w:w="1518" w:type="pct"/>
            <w:shd w:val="clear" w:color="auto" w:fill="auto"/>
          </w:tcPr>
          <w:p w14:paraId="63587DE8" w14:textId="77777777" w:rsidR="006A1EE7" w:rsidRPr="006A1EE7" w:rsidRDefault="006A1EE7" w:rsidP="006A2E9B">
            <w:pPr>
              <w:pStyle w:val="Heading1"/>
              <w:numPr>
                <w:ilvl w:val="0"/>
                <w:numId w:val="0"/>
              </w:numPr>
              <w:spacing w:after="0"/>
              <w:jc w:val="left"/>
              <w:outlineLvl w:val="0"/>
              <w:rPr>
                <w:rFonts w:asciiTheme="majorBidi" w:hAnsiTheme="majorBidi" w:cstheme="majorBidi"/>
                <w:sz w:val="20"/>
                <w:szCs w:val="20"/>
                <w:lang w:val="fr-FR"/>
              </w:rPr>
            </w:pPr>
            <w:r w:rsidRPr="006A1EE7">
              <w:rPr>
                <w:rFonts w:asciiTheme="majorBidi" w:hAnsiTheme="majorBidi"/>
                <w:sz w:val="20"/>
                <w:lang w:val="fr-FR"/>
              </w:rPr>
              <w:t>Aucune question en suspens</w:t>
            </w:r>
          </w:p>
        </w:tc>
        <w:tc>
          <w:tcPr>
            <w:tcW w:w="676" w:type="pct"/>
            <w:shd w:val="clear" w:color="auto" w:fill="auto"/>
          </w:tcPr>
          <w:p w14:paraId="54E31295"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12</w:t>
            </w:r>
          </w:p>
        </w:tc>
        <w:tc>
          <w:tcPr>
            <w:tcW w:w="560" w:type="pct"/>
            <w:shd w:val="clear" w:color="auto" w:fill="auto"/>
          </w:tcPr>
          <w:p w14:paraId="264CCE26"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51/13</w:t>
            </w:r>
          </w:p>
        </w:tc>
        <w:tc>
          <w:tcPr>
            <w:tcW w:w="1668" w:type="pct"/>
            <w:shd w:val="clear" w:color="auto" w:fill="auto"/>
          </w:tcPr>
          <w:p w14:paraId="6B8D507C"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r w:rsidRPr="006A1EE7">
              <w:rPr>
                <w:rFonts w:asciiTheme="majorBidi" w:hAnsiTheme="majorBidi"/>
                <w:sz w:val="20"/>
                <w:lang w:val="fr-FR"/>
              </w:rPr>
              <w:t>Fin de l’assujettissement à la remise de rapports</w:t>
            </w:r>
          </w:p>
        </w:tc>
        <w:tc>
          <w:tcPr>
            <w:tcW w:w="577" w:type="pct"/>
            <w:shd w:val="clear" w:color="auto" w:fill="auto"/>
          </w:tcPr>
          <w:p w14:paraId="2755863B"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s.o.</w:t>
            </w:r>
          </w:p>
        </w:tc>
      </w:tr>
      <w:tr w:rsidR="006A1EE7" w:rsidRPr="006A1EE7" w14:paraId="79B095A4" w14:textId="77777777" w:rsidTr="006A2E9B">
        <w:tc>
          <w:tcPr>
            <w:tcW w:w="1518" w:type="pct"/>
            <w:shd w:val="clear" w:color="auto" w:fill="auto"/>
          </w:tcPr>
          <w:p w14:paraId="27F72D43" w14:textId="77777777" w:rsidR="006A1EE7" w:rsidRPr="006A1EE7" w:rsidRDefault="006A1EE7" w:rsidP="006A2E9B">
            <w:pPr>
              <w:pStyle w:val="Heading1"/>
              <w:numPr>
                <w:ilvl w:val="0"/>
                <w:numId w:val="0"/>
              </w:numPr>
              <w:spacing w:after="0"/>
              <w:jc w:val="left"/>
              <w:outlineLvl w:val="0"/>
              <w:rPr>
                <w:rFonts w:asciiTheme="majorBidi" w:hAnsiTheme="majorBidi" w:cstheme="majorBidi"/>
                <w:sz w:val="20"/>
                <w:szCs w:val="20"/>
                <w:lang w:val="fr-FR"/>
              </w:rPr>
            </w:pPr>
            <w:r w:rsidRPr="006A1EE7">
              <w:rPr>
                <w:rFonts w:asciiTheme="majorBidi" w:hAnsiTheme="majorBidi"/>
                <w:sz w:val="20"/>
                <w:lang w:val="fr-FR"/>
              </w:rPr>
              <w:t>Des problèmes restent encore à résoudre</w:t>
            </w:r>
          </w:p>
        </w:tc>
        <w:tc>
          <w:tcPr>
            <w:tcW w:w="676" w:type="pct"/>
            <w:shd w:val="clear" w:color="auto" w:fill="auto"/>
          </w:tcPr>
          <w:p w14:paraId="50902BCB"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23</w:t>
            </w:r>
          </w:p>
        </w:tc>
        <w:tc>
          <w:tcPr>
            <w:tcW w:w="560" w:type="pct"/>
            <w:shd w:val="clear" w:color="auto" w:fill="auto"/>
          </w:tcPr>
          <w:p w14:paraId="45ECFD63"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51/13</w:t>
            </w:r>
          </w:p>
        </w:tc>
        <w:tc>
          <w:tcPr>
            <w:tcW w:w="1668" w:type="pct"/>
            <w:shd w:val="clear" w:color="auto" w:fill="auto"/>
          </w:tcPr>
          <w:p w14:paraId="2FC1955C" w14:textId="77777777" w:rsidR="006A1EE7" w:rsidRPr="006A1EE7" w:rsidRDefault="006A1EE7" w:rsidP="006A2E9B">
            <w:pPr>
              <w:pStyle w:val="Heading1"/>
              <w:numPr>
                <w:ilvl w:val="0"/>
                <w:numId w:val="0"/>
              </w:numPr>
              <w:spacing w:after="0"/>
              <w:jc w:val="left"/>
              <w:outlineLvl w:val="0"/>
              <w:rPr>
                <w:rFonts w:asciiTheme="majorBidi" w:hAnsiTheme="majorBidi" w:cstheme="majorBidi"/>
                <w:sz w:val="20"/>
                <w:szCs w:val="20"/>
                <w:lang w:val="fr-FR"/>
              </w:rPr>
            </w:pPr>
            <w:r w:rsidRPr="006A1EE7">
              <w:rPr>
                <w:rFonts w:asciiTheme="majorBidi" w:hAnsiTheme="majorBidi"/>
                <w:sz w:val="20"/>
                <w:lang w:val="fr-FR"/>
              </w:rPr>
              <w:t>Demande de remise de rapports de situation supplémentaires</w:t>
            </w:r>
          </w:p>
        </w:tc>
        <w:tc>
          <w:tcPr>
            <w:tcW w:w="577" w:type="pct"/>
            <w:shd w:val="clear" w:color="auto" w:fill="auto"/>
          </w:tcPr>
          <w:p w14:paraId="308BAE75" w14:textId="77777777" w:rsidR="006A1EE7" w:rsidRPr="006A1EE7" w:rsidRDefault="006A1EE7" w:rsidP="006A2E9B">
            <w:pPr>
              <w:pStyle w:val="Heading1"/>
              <w:numPr>
                <w:ilvl w:val="0"/>
                <w:numId w:val="0"/>
              </w:numPr>
              <w:spacing w:after="0"/>
              <w:jc w:val="center"/>
              <w:outlineLvl w:val="0"/>
              <w:rPr>
                <w:rFonts w:asciiTheme="majorBidi" w:hAnsiTheme="majorBidi" w:cstheme="majorBidi"/>
                <w:sz w:val="20"/>
                <w:szCs w:val="20"/>
                <w:lang w:val="fr-FR"/>
              </w:rPr>
            </w:pPr>
            <w:r w:rsidRPr="006A1EE7">
              <w:rPr>
                <w:rFonts w:asciiTheme="majorBidi" w:hAnsiTheme="majorBidi"/>
                <w:sz w:val="20"/>
                <w:lang w:val="fr-FR"/>
              </w:rPr>
              <w:t>Annexe IV</w:t>
            </w:r>
          </w:p>
        </w:tc>
      </w:tr>
      <w:tr w:rsidR="006A1EE7" w:rsidRPr="006A1EE7" w14:paraId="0DE81205" w14:textId="77777777" w:rsidTr="006A2E9B">
        <w:tc>
          <w:tcPr>
            <w:tcW w:w="1518" w:type="pct"/>
            <w:shd w:val="clear" w:color="auto" w:fill="auto"/>
          </w:tcPr>
          <w:p w14:paraId="0669BE4D" w14:textId="77777777" w:rsidR="006A1EE7" w:rsidRPr="006A1EE7" w:rsidRDefault="006A1EE7" w:rsidP="006A2E9B">
            <w:pPr>
              <w:pStyle w:val="Heading1"/>
              <w:numPr>
                <w:ilvl w:val="0"/>
                <w:numId w:val="0"/>
              </w:numPr>
              <w:spacing w:after="0"/>
              <w:jc w:val="left"/>
              <w:outlineLvl w:val="0"/>
              <w:rPr>
                <w:rFonts w:asciiTheme="majorBidi" w:hAnsiTheme="majorBidi" w:cstheme="majorBidi"/>
                <w:b/>
                <w:bCs/>
                <w:sz w:val="20"/>
                <w:szCs w:val="20"/>
                <w:lang w:val="fr-FR"/>
              </w:rPr>
            </w:pPr>
            <w:r w:rsidRPr="006A1EE7">
              <w:rPr>
                <w:rFonts w:asciiTheme="majorBidi" w:hAnsiTheme="majorBidi"/>
                <w:b/>
                <w:sz w:val="20"/>
                <w:lang w:val="fr-FR"/>
              </w:rPr>
              <w:t>Total*</w:t>
            </w:r>
          </w:p>
        </w:tc>
        <w:tc>
          <w:tcPr>
            <w:tcW w:w="676" w:type="pct"/>
            <w:shd w:val="clear" w:color="auto" w:fill="auto"/>
          </w:tcPr>
          <w:p w14:paraId="21B63E0E" w14:textId="77777777" w:rsidR="006A1EE7" w:rsidRPr="006A1EE7" w:rsidRDefault="006A1EE7" w:rsidP="006A2E9B">
            <w:pPr>
              <w:pStyle w:val="Heading1"/>
              <w:numPr>
                <w:ilvl w:val="0"/>
                <w:numId w:val="0"/>
              </w:numPr>
              <w:spacing w:after="0"/>
              <w:jc w:val="center"/>
              <w:outlineLvl w:val="0"/>
              <w:rPr>
                <w:rFonts w:asciiTheme="majorBidi" w:hAnsiTheme="majorBidi" w:cstheme="majorBidi"/>
                <w:b/>
                <w:bCs/>
                <w:sz w:val="20"/>
                <w:szCs w:val="20"/>
                <w:lang w:val="fr-FR"/>
              </w:rPr>
            </w:pPr>
            <w:r w:rsidRPr="006A1EE7">
              <w:rPr>
                <w:rFonts w:asciiTheme="majorBidi" w:hAnsiTheme="majorBidi"/>
                <w:b/>
                <w:sz w:val="20"/>
                <w:lang w:val="fr-FR"/>
              </w:rPr>
              <w:t>35</w:t>
            </w:r>
          </w:p>
        </w:tc>
        <w:tc>
          <w:tcPr>
            <w:tcW w:w="560" w:type="pct"/>
            <w:shd w:val="clear" w:color="auto" w:fill="auto"/>
          </w:tcPr>
          <w:p w14:paraId="67776DC2"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p>
        </w:tc>
        <w:tc>
          <w:tcPr>
            <w:tcW w:w="1668" w:type="pct"/>
            <w:shd w:val="clear" w:color="auto" w:fill="auto"/>
          </w:tcPr>
          <w:p w14:paraId="6BBAA109"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p>
        </w:tc>
        <w:tc>
          <w:tcPr>
            <w:tcW w:w="577" w:type="pct"/>
            <w:shd w:val="clear" w:color="auto" w:fill="auto"/>
          </w:tcPr>
          <w:p w14:paraId="71C0D63F" w14:textId="77777777" w:rsidR="006A1EE7" w:rsidRPr="006A1EE7" w:rsidRDefault="006A1EE7" w:rsidP="006A2E9B">
            <w:pPr>
              <w:pStyle w:val="Heading1"/>
              <w:numPr>
                <w:ilvl w:val="0"/>
                <w:numId w:val="0"/>
              </w:numPr>
              <w:spacing w:after="0"/>
              <w:outlineLvl w:val="0"/>
              <w:rPr>
                <w:rFonts w:asciiTheme="majorBidi" w:hAnsiTheme="majorBidi" w:cstheme="majorBidi"/>
                <w:sz w:val="20"/>
                <w:szCs w:val="20"/>
                <w:lang w:val="fr-FR"/>
              </w:rPr>
            </w:pPr>
          </w:p>
        </w:tc>
      </w:tr>
    </w:tbl>
    <w:p w14:paraId="1B080949" w14:textId="77777777" w:rsidR="006A1EE7" w:rsidRPr="006A1EE7" w:rsidRDefault="006A1EE7" w:rsidP="006A1EE7">
      <w:pPr>
        <w:pStyle w:val="Heading1"/>
        <w:numPr>
          <w:ilvl w:val="0"/>
          <w:numId w:val="0"/>
        </w:numPr>
        <w:rPr>
          <w:sz w:val="16"/>
          <w:szCs w:val="16"/>
          <w:lang w:val="fr-FR"/>
        </w:rPr>
      </w:pPr>
      <w:r w:rsidRPr="006A1EE7">
        <w:rPr>
          <w:sz w:val="16"/>
          <w:lang w:val="fr-FR"/>
        </w:rPr>
        <w:t>*Excluant 18 projets intégrés à la partie sur les retards dans la mise en œuvre.</w:t>
      </w:r>
    </w:p>
    <w:p w14:paraId="1E58E33A" w14:textId="77777777" w:rsidR="006A1EE7" w:rsidRPr="006A1EE7" w:rsidRDefault="006A1EE7" w:rsidP="006A1EE7">
      <w:pPr>
        <w:rPr>
          <w:u w:val="single"/>
          <w:lang w:val="fr-FR"/>
        </w:rPr>
      </w:pPr>
      <w:r w:rsidRPr="006A1EE7">
        <w:rPr>
          <w:u w:val="single"/>
          <w:lang w:val="fr-FR"/>
        </w:rPr>
        <w:t xml:space="preserve">Recommandations formulées par le Bureau des services de contrôle interne des Nations Unies (BSCI) </w:t>
      </w:r>
    </w:p>
    <w:p w14:paraId="5311FA44" w14:textId="77777777" w:rsidR="006A1EE7" w:rsidRPr="006A1EE7" w:rsidRDefault="006A1EE7" w:rsidP="006A1EE7">
      <w:pPr>
        <w:rPr>
          <w:lang w:val="fr-FR"/>
        </w:rPr>
      </w:pPr>
    </w:p>
    <w:p w14:paraId="73BAE681" w14:textId="77777777" w:rsidR="006A1EE7" w:rsidRPr="006A1EE7" w:rsidRDefault="006A1EE7" w:rsidP="006A1EE7">
      <w:pPr>
        <w:pStyle w:val="Heading1"/>
        <w:rPr>
          <w:lang w:val="fr-FR"/>
        </w:rPr>
      </w:pPr>
      <w:r w:rsidRPr="006A1EE7">
        <w:rPr>
          <w:lang w:val="fr-FR"/>
        </w:rPr>
        <w:t>À la 88</w:t>
      </w:r>
      <w:r w:rsidRPr="006A1EE7">
        <w:rPr>
          <w:vertAlign w:val="superscript"/>
          <w:lang w:val="fr-FR"/>
        </w:rPr>
        <w:t>e</w:t>
      </w:r>
      <w:r w:rsidRPr="006A1EE7">
        <w:rPr>
          <w:lang w:val="fr-FR"/>
        </w:rPr>
        <w:t> réunion, dans le contexte de l’audit du Fonds multilatéral par le BSCI</w:t>
      </w:r>
      <w:r w:rsidRPr="006A1EE7">
        <w:rPr>
          <w:rStyle w:val="FootnoteReference"/>
          <w:lang w:val="fr-FR"/>
        </w:rPr>
        <w:footnoteReference w:id="3"/>
      </w:r>
      <w:r w:rsidRPr="006A1EE7">
        <w:rPr>
          <w:lang w:val="fr-FR"/>
        </w:rPr>
        <w:t>, le Comité exécutif a demandé au Secrétariat du Fonds, au trésorier et aux agences bilatérales et d’exécution d’achever la mise en œuvre des recommandations formulées par le BSCI, d’intégrer les informations appropriées dans les documents de réunion pertinents, et d’approfondir l’examen de la recommandation associée aux retards de mise en œuvre, entre autres, au titre du point pertinent de l’ordre du jour de la présente réunion (décision 88/1(d)). Conformément à la décision et en réponse à la recommandation sur la nécessité d’une analyse plus efficace des causes profondes des retards dans la mise en œuvre des projets et de mesures correctives pour régler les problèmes systémiques, le Secrétariat et les agences d'exécution ont identifié des problèmes opérationnels et systémiques comme causes profondes des raisons récurrentes aux retards de mise en œuvre des projets. Le Secrétariat a pris des mesures et demandé aux agences d'exécution de fournir, dans les futurs rapports périodiques remis au Comité exécutif, des informations détaillées sur les mesures spécifiques prises pour traiter les retards de mise en œuvre des activités, en intégrant l’analyse des causes profondes pertinentes et des informations sur la manière d’éviter que ces retards ne se reproduisent. Les agences d'exécution ont indiqué avoir établi des systèmes robustes de suivi en interne et d’assistance pour garantir une surveillance étroite de la mise en œuvre des projets afin de minimiser le nombre de projets en retard, et avoir également adopté des mesures pour empêcher que de tels retards se reproduisent.</w:t>
      </w:r>
    </w:p>
    <w:p w14:paraId="6429E0F7" w14:textId="77777777" w:rsidR="006A1EE7" w:rsidRPr="006A1EE7" w:rsidRDefault="006A1EE7" w:rsidP="006A1EE7">
      <w:pPr>
        <w:pStyle w:val="Heading1"/>
        <w:rPr>
          <w:lang w:val="fr-FR"/>
        </w:rPr>
      </w:pPr>
      <w:r w:rsidRPr="006A1EE7">
        <w:rPr>
          <w:lang w:val="fr-FR"/>
        </w:rPr>
        <w:t xml:space="preserve">Le Secrétariat a donc préparé une réponse aux recommandations de l’auditeur, qui a été communiquée au BSCI par l’intermédiaire du Directeur </w:t>
      </w:r>
      <w:proofErr w:type="gramStart"/>
      <w:r w:rsidRPr="006A1EE7">
        <w:rPr>
          <w:lang w:val="fr-FR"/>
        </w:rPr>
        <w:t>exécutif</w:t>
      </w:r>
      <w:proofErr w:type="gramEnd"/>
      <w:r w:rsidRPr="006A1EE7">
        <w:rPr>
          <w:lang w:val="fr-FR"/>
        </w:rPr>
        <w:t xml:space="preserve"> du PNUE le 12 avril 2022 ; en conséquence, 5 des 6 recommandations ont été clôturées par le BSCI,</w:t>
      </w:r>
      <w:r w:rsidRPr="006A1EE7">
        <w:rPr>
          <w:rStyle w:val="FootnoteReference"/>
          <w:lang w:val="fr-FR"/>
        </w:rPr>
        <w:footnoteReference w:id="4"/>
      </w:r>
      <w:r w:rsidRPr="006A1EE7">
        <w:rPr>
          <w:lang w:val="fr-FR"/>
        </w:rPr>
        <w:t xml:space="preserve"> après qu’elles ont été considérées comme mises en œuvre, y compris la recommandation relative aux retards de mise en œuvre.</w:t>
      </w:r>
    </w:p>
    <w:p w14:paraId="35A8588B" w14:textId="77777777" w:rsidR="006A1EE7" w:rsidRPr="006A1EE7" w:rsidRDefault="006A1EE7" w:rsidP="006A1EE7">
      <w:pPr>
        <w:pStyle w:val="a--"/>
        <w:keepNext/>
        <w:suppressAutoHyphens w:val="0"/>
        <w:jc w:val="left"/>
        <w:rPr>
          <w:sz w:val="22"/>
          <w:szCs w:val="22"/>
        </w:rPr>
      </w:pPr>
      <w:r w:rsidRPr="006A1EE7">
        <w:rPr>
          <w:sz w:val="22"/>
        </w:rPr>
        <w:t>Recommandation</w:t>
      </w:r>
    </w:p>
    <w:p w14:paraId="1659AD28" w14:textId="77777777" w:rsidR="006A1EE7" w:rsidRPr="006A1EE7" w:rsidRDefault="006A1EE7" w:rsidP="006A1EE7">
      <w:pPr>
        <w:pStyle w:val="0Heading0"/>
        <w:keepNext/>
        <w:rPr>
          <w:lang w:val="fr-FR"/>
        </w:rPr>
      </w:pPr>
    </w:p>
    <w:p w14:paraId="09549726" w14:textId="77777777" w:rsidR="006A1EE7" w:rsidRPr="006A1EE7" w:rsidRDefault="006A1EE7" w:rsidP="006A1EE7">
      <w:pPr>
        <w:pStyle w:val="Heading1"/>
        <w:rPr>
          <w:lang w:val="fr-FR"/>
        </w:rPr>
      </w:pPr>
      <w:r w:rsidRPr="006A1EE7">
        <w:rPr>
          <w:lang w:val="fr-FR"/>
        </w:rPr>
        <w:t>Le Comité exécutif pourrait envisager :</w:t>
      </w:r>
    </w:p>
    <w:p w14:paraId="0D374873" w14:textId="085C4324" w:rsidR="006A1EE7" w:rsidRPr="006A1EE7" w:rsidRDefault="006A2E9B" w:rsidP="006A2E9B">
      <w:pPr>
        <w:pStyle w:val="Heading2"/>
        <w:rPr>
          <w:lang w:val="fr-FR"/>
        </w:rPr>
      </w:pPr>
      <w:r>
        <w:rPr>
          <w:lang w:val="fr-FR"/>
        </w:rPr>
        <w:t>D</w:t>
      </w:r>
      <w:r w:rsidR="006A1EE7" w:rsidRPr="006A1EE7">
        <w:rPr>
          <w:lang w:val="fr-FR"/>
        </w:rPr>
        <w:t>e prendre note :</w:t>
      </w:r>
    </w:p>
    <w:p w14:paraId="1CE32DBC" w14:textId="48B9C873" w:rsidR="006A1EE7" w:rsidRPr="006A1EE7" w:rsidRDefault="006A2E9B" w:rsidP="006A1EE7">
      <w:pPr>
        <w:pStyle w:val="Heading3"/>
        <w:numPr>
          <w:ilvl w:val="2"/>
          <w:numId w:val="1"/>
        </w:numPr>
        <w:rPr>
          <w:lang w:val="fr-FR"/>
        </w:rPr>
      </w:pPr>
      <w:r>
        <w:rPr>
          <w:lang w:val="fr-FR"/>
        </w:rPr>
        <w:t>D</w:t>
      </w:r>
      <w:r w:rsidR="006A1EE7" w:rsidRPr="006A1EE7">
        <w:rPr>
          <w:lang w:val="fr-FR"/>
        </w:rPr>
        <w:t xml:space="preserve">es rapports sur les retards dans la mise en œuvre et des rapports de situation soumis par les agences bilatérales et d’exécution, présentés dans le document UNEP/OzL.Pro/ExCom/90/9 ; </w:t>
      </w:r>
    </w:p>
    <w:p w14:paraId="525E437D" w14:textId="690C0D2B" w:rsidR="006A1EE7" w:rsidRPr="006A1EE7" w:rsidRDefault="006A2E9B" w:rsidP="006A1EE7">
      <w:pPr>
        <w:pStyle w:val="Heading3"/>
        <w:numPr>
          <w:ilvl w:val="2"/>
          <w:numId w:val="1"/>
        </w:numPr>
        <w:rPr>
          <w:lang w:val="fr-FR"/>
        </w:rPr>
      </w:pPr>
      <w:r>
        <w:rPr>
          <w:lang w:val="fr-FR"/>
        </w:rPr>
        <w:t>Q</w:t>
      </w:r>
      <w:r w:rsidR="006A1EE7" w:rsidRPr="006A1EE7">
        <w:rPr>
          <w:lang w:val="fr-FR"/>
        </w:rPr>
        <w:t>ue le Secrétariat enverra des lettres aux gouvernements concernés et au PNUE en tant qu’agence d’exécution principale au sujet de la possible annulation des projets suivants :</w:t>
      </w:r>
    </w:p>
    <w:p w14:paraId="054FE31D" w14:textId="2DF15139" w:rsidR="006A1EE7" w:rsidRPr="006A1EE7" w:rsidRDefault="00307928" w:rsidP="006A1EE7">
      <w:pPr>
        <w:pStyle w:val="Header4"/>
        <w:rPr>
          <w:lang w:val="fr-FR"/>
        </w:rPr>
      </w:pPr>
      <w:r>
        <w:rPr>
          <w:lang w:val="fr-FR"/>
        </w:rPr>
        <w:t>P</w:t>
      </w:r>
      <w:r w:rsidR="006A1EE7" w:rsidRPr="006A1EE7">
        <w:rPr>
          <w:lang w:val="fr-FR"/>
        </w:rPr>
        <w:t>lan de gestion de l'élimination des HCFC (phase I, troisième tranche) pour le Congo (PRC/PHA/76/TAS/30) ; et</w:t>
      </w:r>
    </w:p>
    <w:p w14:paraId="64C874B3" w14:textId="4752AD0F" w:rsidR="006A1EE7" w:rsidRPr="006A1EE7" w:rsidRDefault="00307928" w:rsidP="006A1EE7">
      <w:pPr>
        <w:pStyle w:val="Header4"/>
        <w:rPr>
          <w:lang w:val="fr-FR"/>
        </w:rPr>
      </w:pPr>
      <w:r>
        <w:rPr>
          <w:lang w:val="fr-FR"/>
        </w:rPr>
        <w:t>P</w:t>
      </w:r>
      <w:r w:rsidR="006A1EE7" w:rsidRPr="006A1EE7">
        <w:rPr>
          <w:lang w:val="fr-FR"/>
        </w:rPr>
        <w:t>lan de gestion de l'élimination des HCFC (phase I, deuxième tranche) pour Saint-Kitts-et-Nevis (STK/PHA/74/TAS/20) ;</w:t>
      </w:r>
    </w:p>
    <w:p w14:paraId="7931D476" w14:textId="650689DC" w:rsidR="006A1EE7" w:rsidRPr="006A1EE7" w:rsidRDefault="006A2E9B" w:rsidP="006A1EE7">
      <w:pPr>
        <w:pStyle w:val="Heading3"/>
        <w:numPr>
          <w:ilvl w:val="2"/>
          <w:numId w:val="1"/>
        </w:numPr>
        <w:rPr>
          <w:lang w:val="fr-FR"/>
        </w:rPr>
      </w:pPr>
      <w:r>
        <w:rPr>
          <w:lang w:val="fr-FR"/>
        </w:rPr>
        <w:t>Q</w:t>
      </w:r>
      <w:r w:rsidR="006A1EE7" w:rsidRPr="006A1EE7">
        <w:rPr>
          <w:lang w:val="fr-FR"/>
        </w:rPr>
        <w:t>ue les agences bilatérales et d’exécution feront rapport au Comité exécutif, à la 91</w:t>
      </w:r>
      <w:r w:rsidR="006A1EE7" w:rsidRPr="006A1EE7">
        <w:rPr>
          <w:vertAlign w:val="superscript"/>
          <w:lang w:val="fr-FR"/>
        </w:rPr>
        <w:t>e</w:t>
      </w:r>
      <w:r w:rsidR="006A1EE7" w:rsidRPr="006A1EE7">
        <w:rPr>
          <w:lang w:val="fr-FR"/>
        </w:rPr>
        <w:t> réunion, sur 40 projets connaissant des retards dans la mise en œuvre figurant aux annexes I, II et III au présent document, et sur 23 projets pour lesquels des rapports de situation supplémentaires sont recommandés, figurant à l’annexe IV au présent document, dans le cadre du rapport périodique et financier des agences bilatérales et d’exécution pour l’année 2021 ; et</w:t>
      </w:r>
    </w:p>
    <w:p w14:paraId="07B0A01E" w14:textId="4B2064B7" w:rsidR="006A1EE7" w:rsidRPr="006A1EE7" w:rsidRDefault="00307928" w:rsidP="006A1EE7">
      <w:pPr>
        <w:pStyle w:val="Heading2"/>
        <w:rPr>
          <w:lang w:val="fr-FR"/>
        </w:rPr>
      </w:pPr>
      <w:r>
        <w:rPr>
          <w:lang w:val="fr-FR"/>
        </w:rPr>
        <w:t>D</w:t>
      </w:r>
      <w:r w:rsidR="006A1EE7" w:rsidRPr="006A1EE7">
        <w:rPr>
          <w:lang w:val="fr-FR"/>
        </w:rPr>
        <w:t>’approuver les recommandations pour les projets en cours comportant des difficultés particulières, données dans la dernière colonne du tableau de l’annexe IV au présent document.</w:t>
      </w:r>
    </w:p>
    <w:p w14:paraId="1DFB4C15" w14:textId="77777777" w:rsidR="006A1EE7" w:rsidRPr="006A1EE7" w:rsidRDefault="006A1EE7" w:rsidP="006A1EE7">
      <w:pPr>
        <w:rPr>
          <w:lang w:val="fr-FR"/>
        </w:rPr>
      </w:pPr>
    </w:p>
    <w:p w14:paraId="4CA28969" w14:textId="77777777" w:rsidR="006A1EE7" w:rsidRPr="006A1EE7" w:rsidRDefault="006A1EE7" w:rsidP="006A1EE7">
      <w:pPr>
        <w:pStyle w:val="ListParagraph"/>
        <w:numPr>
          <w:ilvl w:val="0"/>
          <w:numId w:val="24"/>
        </w:numPr>
        <w:rPr>
          <w:b/>
          <w:sz w:val="24"/>
          <w:szCs w:val="24"/>
        </w:rPr>
      </w:pPr>
      <w:r w:rsidRPr="006A1EE7">
        <w:rPr>
          <w:b/>
          <w:sz w:val="24"/>
        </w:rPr>
        <w:t xml:space="preserve">Projets comportant des exigences particulières pour la remise de rapports </w:t>
      </w:r>
    </w:p>
    <w:p w14:paraId="127E5B70" w14:textId="77777777" w:rsidR="006A1EE7" w:rsidRPr="006A1EE7" w:rsidRDefault="006A1EE7" w:rsidP="006A1EE7">
      <w:pPr>
        <w:rPr>
          <w:lang w:val="fr-FR"/>
        </w:rPr>
      </w:pPr>
    </w:p>
    <w:p w14:paraId="14868672" w14:textId="77777777" w:rsidR="006A1EE7" w:rsidRPr="006A1EE7" w:rsidRDefault="006A1EE7" w:rsidP="006A1EE7">
      <w:pPr>
        <w:ind w:left="1080"/>
        <w:rPr>
          <w:b/>
          <w:bCs/>
          <w:sz w:val="24"/>
          <w:szCs w:val="24"/>
          <w:lang w:val="fr-FR"/>
        </w:rPr>
      </w:pPr>
      <w:r w:rsidRPr="006A1EE7">
        <w:rPr>
          <w:b/>
          <w:sz w:val="24"/>
          <w:lang w:val="fr-FR"/>
        </w:rPr>
        <w:t>II.1</w:t>
      </w:r>
      <w:r w:rsidRPr="006A1EE7">
        <w:rPr>
          <w:b/>
          <w:sz w:val="24"/>
          <w:lang w:val="fr-FR"/>
        </w:rPr>
        <w:tab/>
        <w:t xml:space="preserve">Vue d’ensemble </w:t>
      </w:r>
    </w:p>
    <w:p w14:paraId="07E08415" w14:textId="77777777" w:rsidR="006A1EE7" w:rsidRPr="006A1EE7" w:rsidRDefault="006A1EE7" w:rsidP="006A1EE7">
      <w:pPr>
        <w:rPr>
          <w:lang w:val="fr-FR"/>
        </w:rPr>
      </w:pPr>
    </w:p>
    <w:p w14:paraId="4B37C3BD" w14:textId="77777777" w:rsidR="006A1EE7" w:rsidRPr="006A1EE7" w:rsidRDefault="006A1EE7" w:rsidP="006A1EE7">
      <w:pPr>
        <w:pStyle w:val="Heading1"/>
        <w:rPr>
          <w:lang w:val="fr-FR"/>
        </w:rPr>
      </w:pPr>
      <w:r w:rsidRPr="006A1EE7">
        <w:rPr>
          <w:lang w:val="fr-FR"/>
        </w:rPr>
        <w:t>Le tableau 2 dresse la liste des rapports sur les projets comportant des exigences particulières de remise de rapports proposés pour approbation générale à la 90</w:t>
      </w:r>
      <w:r w:rsidRPr="006A1EE7">
        <w:rPr>
          <w:vertAlign w:val="superscript"/>
          <w:lang w:val="fr-FR"/>
        </w:rPr>
        <w:t>e</w:t>
      </w:r>
      <w:r w:rsidRPr="006A1EE7">
        <w:rPr>
          <w:lang w:val="fr-FR"/>
        </w:rPr>
        <w:t> réunion.</w:t>
      </w:r>
    </w:p>
    <w:p w14:paraId="355D06A6" w14:textId="77777777" w:rsidR="006A1EE7" w:rsidRPr="006A1EE7" w:rsidRDefault="006A1EE7" w:rsidP="006A1EE7">
      <w:pPr>
        <w:rPr>
          <w:b/>
          <w:lang w:val="fr-FR"/>
        </w:rPr>
      </w:pPr>
      <w:r w:rsidRPr="006A1EE7">
        <w:rPr>
          <w:b/>
          <w:lang w:val="fr-FR"/>
        </w:rPr>
        <w:t>Tableau 2. Rapports sur les projets comportant des exigences particulières de remise de rapports recommandés pour approbation générale</w:t>
      </w:r>
    </w:p>
    <w:tbl>
      <w:tblPr>
        <w:tblStyle w:val="TableGrid"/>
        <w:tblW w:w="0" w:type="auto"/>
        <w:tblLook w:val="04A0" w:firstRow="1" w:lastRow="0" w:firstColumn="1" w:lastColumn="0" w:noHBand="0" w:noVBand="1"/>
      </w:tblPr>
      <w:tblGrid>
        <w:gridCol w:w="2335"/>
        <w:gridCol w:w="5310"/>
        <w:gridCol w:w="1705"/>
      </w:tblGrid>
      <w:tr w:rsidR="006A1EE7" w:rsidRPr="006A1EE7" w14:paraId="640FFFB2" w14:textId="77777777" w:rsidTr="006A2E9B">
        <w:trPr>
          <w:tblHeader/>
        </w:trPr>
        <w:tc>
          <w:tcPr>
            <w:tcW w:w="2335" w:type="dxa"/>
          </w:tcPr>
          <w:p w14:paraId="4CD4D1BD" w14:textId="77777777" w:rsidR="006A1EE7" w:rsidRPr="006A1EE7" w:rsidRDefault="006A1EE7" w:rsidP="006A2E9B">
            <w:pPr>
              <w:jc w:val="center"/>
              <w:rPr>
                <w:b/>
                <w:sz w:val="20"/>
                <w:szCs w:val="20"/>
                <w:lang w:val="fr-FR"/>
              </w:rPr>
            </w:pPr>
            <w:r w:rsidRPr="006A1EE7">
              <w:rPr>
                <w:b/>
                <w:sz w:val="20"/>
                <w:lang w:val="fr-FR"/>
              </w:rPr>
              <w:t>Pays</w:t>
            </w:r>
          </w:p>
        </w:tc>
        <w:tc>
          <w:tcPr>
            <w:tcW w:w="5310" w:type="dxa"/>
          </w:tcPr>
          <w:p w14:paraId="1B7F2BC9" w14:textId="77777777" w:rsidR="006A1EE7" w:rsidRPr="006A1EE7" w:rsidRDefault="006A1EE7" w:rsidP="006A2E9B">
            <w:pPr>
              <w:jc w:val="center"/>
              <w:rPr>
                <w:b/>
                <w:sz w:val="20"/>
                <w:szCs w:val="20"/>
                <w:lang w:val="fr-FR"/>
              </w:rPr>
            </w:pPr>
            <w:r w:rsidRPr="006A1EE7">
              <w:rPr>
                <w:b/>
                <w:sz w:val="20"/>
                <w:lang w:val="fr-FR"/>
              </w:rPr>
              <w:t>Titre du projet</w:t>
            </w:r>
          </w:p>
        </w:tc>
        <w:tc>
          <w:tcPr>
            <w:tcW w:w="1705" w:type="dxa"/>
          </w:tcPr>
          <w:p w14:paraId="78BF759D" w14:textId="77777777" w:rsidR="006A1EE7" w:rsidRPr="006A1EE7" w:rsidRDefault="006A1EE7" w:rsidP="006A2E9B">
            <w:pPr>
              <w:jc w:val="center"/>
              <w:rPr>
                <w:b/>
                <w:sz w:val="20"/>
                <w:szCs w:val="20"/>
                <w:lang w:val="fr-FR"/>
              </w:rPr>
            </w:pPr>
            <w:r w:rsidRPr="006A1EE7">
              <w:rPr>
                <w:b/>
                <w:sz w:val="20"/>
                <w:lang w:val="fr-FR"/>
              </w:rPr>
              <w:t>Paragraphes</w:t>
            </w:r>
          </w:p>
        </w:tc>
      </w:tr>
      <w:tr w:rsidR="006A1EE7" w:rsidRPr="00271AD8" w14:paraId="77AAC61A" w14:textId="77777777" w:rsidTr="006A2E9B">
        <w:trPr>
          <w:tblHeader/>
        </w:trPr>
        <w:tc>
          <w:tcPr>
            <w:tcW w:w="9350" w:type="dxa"/>
            <w:gridSpan w:val="3"/>
          </w:tcPr>
          <w:p w14:paraId="54D12CA6" w14:textId="77777777" w:rsidR="006A1EE7" w:rsidRPr="006A1EE7" w:rsidRDefault="006A1EE7" w:rsidP="006A2E9B">
            <w:pPr>
              <w:jc w:val="left"/>
              <w:rPr>
                <w:b/>
                <w:sz w:val="20"/>
                <w:szCs w:val="20"/>
                <w:lang w:val="fr-FR"/>
              </w:rPr>
            </w:pPr>
            <w:r w:rsidRPr="006A1EE7">
              <w:rPr>
                <w:b/>
                <w:sz w:val="20"/>
                <w:lang w:val="fr-FR"/>
              </w:rPr>
              <w:t>Rapports en lien avec les plans de gestion de l’élimination des HCFC</w:t>
            </w:r>
          </w:p>
        </w:tc>
      </w:tr>
      <w:tr w:rsidR="006A1EE7" w:rsidRPr="006A1EE7" w14:paraId="43386143" w14:textId="77777777" w:rsidTr="006A2E9B">
        <w:tc>
          <w:tcPr>
            <w:tcW w:w="2335" w:type="dxa"/>
          </w:tcPr>
          <w:p w14:paraId="6D7EBF90" w14:textId="77777777" w:rsidR="006A1EE7" w:rsidRPr="006A1EE7" w:rsidRDefault="006A1EE7" w:rsidP="006A2E9B">
            <w:pPr>
              <w:rPr>
                <w:sz w:val="20"/>
                <w:szCs w:val="20"/>
                <w:lang w:val="fr-FR"/>
              </w:rPr>
            </w:pPr>
            <w:r w:rsidRPr="006A1EE7">
              <w:rPr>
                <w:sz w:val="20"/>
                <w:lang w:val="fr-FR"/>
              </w:rPr>
              <w:t>Argentine</w:t>
            </w:r>
          </w:p>
        </w:tc>
        <w:tc>
          <w:tcPr>
            <w:tcW w:w="5310" w:type="dxa"/>
          </w:tcPr>
          <w:p w14:paraId="3287FBB6" w14:textId="77777777" w:rsidR="006A1EE7" w:rsidRPr="006A1EE7" w:rsidRDefault="006A1EE7" w:rsidP="006A2E9B">
            <w:pPr>
              <w:rPr>
                <w:sz w:val="20"/>
                <w:szCs w:val="20"/>
                <w:lang w:val="fr-FR"/>
              </w:rPr>
            </w:pPr>
            <w:r w:rsidRPr="006A1EE7">
              <w:rPr>
                <w:sz w:val="20"/>
                <w:lang w:val="fr-FR"/>
              </w:rPr>
              <w:t>Plan de gestion de l’élimination des HCFC (phase II – compte rendu mis à jour sur la viabilité financière de l’entreprise Celpack)</w:t>
            </w:r>
          </w:p>
        </w:tc>
        <w:tc>
          <w:tcPr>
            <w:tcW w:w="1705" w:type="dxa"/>
          </w:tcPr>
          <w:p w14:paraId="25D04D76" w14:textId="77777777" w:rsidR="006A1EE7" w:rsidRPr="006A1EE7" w:rsidRDefault="006A1EE7" w:rsidP="006A2E9B">
            <w:pPr>
              <w:jc w:val="center"/>
              <w:rPr>
                <w:sz w:val="20"/>
                <w:szCs w:val="20"/>
                <w:lang w:val="fr-FR"/>
              </w:rPr>
            </w:pPr>
            <w:r w:rsidRPr="006A1EE7">
              <w:rPr>
                <w:sz w:val="20"/>
                <w:lang w:val="fr-FR"/>
              </w:rPr>
              <w:t>10 - 13</w:t>
            </w:r>
          </w:p>
        </w:tc>
      </w:tr>
      <w:tr w:rsidR="006A1EE7" w:rsidRPr="006A1EE7" w14:paraId="10B9BFB2" w14:textId="77777777" w:rsidTr="006A2E9B">
        <w:tc>
          <w:tcPr>
            <w:tcW w:w="2335" w:type="dxa"/>
          </w:tcPr>
          <w:p w14:paraId="64F8266C" w14:textId="77777777" w:rsidR="006A1EE7" w:rsidRPr="006A1EE7" w:rsidRDefault="006A1EE7" w:rsidP="006A2E9B">
            <w:pPr>
              <w:rPr>
                <w:sz w:val="20"/>
                <w:szCs w:val="20"/>
                <w:lang w:val="fr-FR"/>
              </w:rPr>
            </w:pPr>
            <w:r w:rsidRPr="006A1EE7">
              <w:rPr>
                <w:sz w:val="20"/>
                <w:lang w:val="fr-FR"/>
              </w:rPr>
              <w:t>Bahreïn</w:t>
            </w:r>
          </w:p>
        </w:tc>
        <w:tc>
          <w:tcPr>
            <w:tcW w:w="5310" w:type="dxa"/>
          </w:tcPr>
          <w:p w14:paraId="1EE6EA55" w14:textId="77777777" w:rsidR="006A1EE7" w:rsidRPr="006A1EE7" w:rsidRDefault="006A1EE7" w:rsidP="006A2E9B">
            <w:pPr>
              <w:rPr>
                <w:sz w:val="20"/>
                <w:szCs w:val="20"/>
                <w:lang w:val="fr-FR"/>
              </w:rPr>
            </w:pPr>
            <w:r w:rsidRPr="006A1EE7">
              <w:rPr>
                <w:sz w:val="20"/>
                <w:lang w:val="fr-FR"/>
              </w:rPr>
              <w:t>Plan de gestion de l’élimination des HCFC (phase I – rapport périodique)</w:t>
            </w:r>
          </w:p>
        </w:tc>
        <w:tc>
          <w:tcPr>
            <w:tcW w:w="1705" w:type="dxa"/>
          </w:tcPr>
          <w:p w14:paraId="1BB88457" w14:textId="77777777" w:rsidR="006A1EE7" w:rsidRPr="006A1EE7" w:rsidRDefault="006A1EE7" w:rsidP="006A2E9B">
            <w:pPr>
              <w:jc w:val="center"/>
              <w:rPr>
                <w:sz w:val="20"/>
                <w:szCs w:val="20"/>
                <w:lang w:val="fr-FR"/>
              </w:rPr>
            </w:pPr>
            <w:r w:rsidRPr="006A1EE7">
              <w:rPr>
                <w:sz w:val="20"/>
                <w:lang w:val="fr-FR"/>
              </w:rPr>
              <w:t>14 - 21</w:t>
            </w:r>
          </w:p>
        </w:tc>
      </w:tr>
      <w:tr w:rsidR="006A1EE7" w:rsidRPr="006A1EE7" w14:paraId="2FD160CC" w14:textId="77777777" w:rsidTr="006A2E9B">
        <w:tc>
          <w:tcPr>
            <w:tcW w:w="2335" w:type="dxa"/>
          </w:tcPr>
          <w:p w14:paraId="40FBCB15" w14:textId="77777777" w:rsidR="006A1EE7" w:rsidRPr="006A1EE7" w:rsidRDefault="006A1EE7" w:rsidP="006A2E9B">
            <w:pPr>
              <w:rPr>
                <w:sz w:val="20"/>
                <w:szCs w:val="20"/>
                <w:lang w:val="fr-FR"/>
              </w:rPr>
            </w:pPr>
            <w:r w:rsidRPr="006A1EE7">
              <w:rPr>
                <w:sz w:val="20"/>
                <w:lang w:val="fr-FR"/>
              </w:rPr>
              <w:t>Brésil</w:t>
            </w:r>
          </w:p>
        </w:tc>
        <w:tc>
          <w:tcPr>
            <w:tcW w:w="5310" w:type="dxa"/>
          </w:tcPr>
          <w:p w14:paraId="16AAC00B" w14:textId="7BB11E56" w:rsidR="006A1EE7" w:rsidRPr="006A1EE7" w:rsidRDefault="006A1EE7" w:rsidP="006A2E9B">
            <w:pPr>
              <w:rPr>
                <w:sz w:val="20"/>
                <w:szCs w:val="20"/>
                <w:lang w:val="fr-FR"/>
              </w:rPr>
            </w:pPr>
            <w:r w:rsidRPr="006A1EE7">
              <w:rPr>
                <w:sz w:val="20"/>
                <w:lang w:val="fr-FR"/>
              </w:rPr>
              <w:t xml:space="preserve">Plan de gestion de l'élimination des HCFC (phase II – rapport sur l'utilisation temporaire d'une technologie à fort </w:t>
            </w:r>
            <w:r w:rsidR="0026119A">
              <w:rPr>
                <w:sz w:val="20"/>
                <w:lang w:val="fr-FR"/>
              </w:rPr>
              <w:t>PRG</w:t>
            </w:r>
            <w:r w:rsidRPr="006A1EE7">
              <w:rPr>
                <w:sz w:val="20"/>
                <w:lang w:val="fr-FR"/>
              </w:rPr>
              <w:t xml:space="preserve"> par U-Tech)</w:t>
            </w:r>
          </w:p>
        </w:tc>
        <w:tc>
          <w:tcPr>
            <w:tcW w:w="1705" w:type="dxa"/>
          </w:tcPr>
          <w:p w14:paraId="2F96308D" w14:textId="77777777" w:rsidR="006A1EE7" w:rsidRPr="006A1EE7" w:rsidRDefault="006A1EE7" w:rsidP="006A2E9B">
            <w:pPr>
              <w:jc w:val="center"/>
              <w:rPr>
                <w:sz w:val="20"/>
                <w:szCs w:val="20"/>
                <w:lang w:val="fr-FR"/>
              </w:rPr>
            </w:pPr>
            <w:r w:rsidRPr="006A1EE7">
              <w:rPr>
                <w:sz w:val="20"/>
                <w:lang w:val="fr-FR"/>
              </w:rPr>
              <w:t>22 - 27</w:t>
            </w:r>
          </w:p>
        </w:tc>
      </w:tr>
      <w:tr w:rsidR="006A1EE7" w:rsidRPr="006A1EE7" w14:paraId="4A4CE535" w14:textId="77777777" w:rsidTr="006A2E9B">
        <w:tc>
          <w:tcPr>
            <w:tcW w:w="2335" w:type="dxa"/>
          </w:tcPr>
          <w:p w14:paraId="0E7B4835" w14:textId="77777777" w:rsidR="006A1EE7" w:rsidRPr="006A1EE7" w:rsidRDefault="006A1EE7" w:rsidP="006A2E9B">
            <w:pPr>
              <w:rPr>
                <w:sz w:val="20"/>
                <w:szCs w:val="20"/>
                <w:lang w:val="fr-FR"/>
              </w:rPr>
            </w:pPr>
            <w:r w:rsidRPr="006A1EE7">
              <w:rPr>
                <w:sz w:val="20"/>
                <w:lang w:val="fr-FR"/>
              </w:rPr>
              <w:t>Chili</w:t>
            </w:r>
          </w:p>
        </w:tc>
        <w:tc>
          <w:tcPr>
            <w:tcW w:w="5310" w:type="dxa"/>
          </w:tcPr>
          <w:p w14:paraId="2A8DC16B" w14:textId="77777777" w:rsidR="006A1EE7" w:rsidRPr="006A1EE7" w:rsidRDefault="006A1EE7" w:rsidP="006A2E9B">
            <w:pPr>
              <w:rPr>
                <w:sz w:val="20"/>
                <w:szCs w:val="20"/>
                <w:lang w:val="fr-FR"/>
              </w:rPr>
            </w:pPr>
            <w:r w:rsidRPr="006A1EE7">
              <w:rPr>
                <w:sz w:val="20"/>
                <w:lang w:val="fr-FR"/>
              </w:rPr>
              <w:t>Plan de gestion de l’élimination des HCFC (phase II – rapport périodique annuel et demande de report de la date d’achèvement)</w:t>
            </w:r>
          </w:p>
        </w:tc>
        <w:tc>
          <w:tcPr>
            <w:tcW w:w="1705" w:type="dxa"/>
          </w:tcPr>
          <w:p w14:paraId="1B41E723" w14:textId="77777777" w:rsidR="006A1EE7" w:rsidRPr="006A1EE7" w:rsidRDefault="006A1EE7" w:rsidP="006A2E9B">
            <w:pPr>
              <w:jc w:val="center"/>
              <w:rPr>
                <w:sz w:val="20"/>
                <w:szCs w:val="20"/>
                <w:lang w:val="fr-FR"/>
              </w:rPr>
            </w:pPr>
            <w:r w:rsidRPr="006A1EE7">
              <w:rPr>
                <w:sz w:val="20"/>
                <w:lang w:val="fr-FR"/>
              </w:rPr>
              <w:t>28 - 42</w:t>
            </w:r>
          </w:p>
        </w:tc>
      </w:tr>
      <w:tr w:rsidR="006A1EE7" w:rsidRPr="006A1EE7" w14:paraId="51EDB630" w14:textId="77777777" w:rsidTr="006A2E9B">
        <w:tc>
          <w:tcPr>
            <w:tcW w:w="2335" w:type="dxa"/>
          </w:tcPr>
          <w:p w14:paraId="030204A4" w14:textId="77777777" w:rsidR="006A1EE7" w:rsidRPr="006A1EE7" w:rsidRDefault="006A1EE7" w:rsidP="006A2E9B">
            <w:pPr>
              <w:rPr>
                <w:sz w:val="20"/>
                <w:szCs w:val="20"/>
                <w:lang w:val="fr-FR"/>
              </w:rPr>
            </w:pPr>
            <w:r w:rsidRPr="006A1EE7">
              <w:rPr>
                <w:sz w:val="20"/>
                <w:lang w:val="fr-FR"/>
              </w:rPr>
              <w:t>Colombie</w:t>
            </w:r>
          </w:p>
        </w:tc>
        <w:tc>
          <w:tcPr>
            <w:tcW w:w="5310" w:type="dxa"/>
          </w:tcPr>
          <w:p w14:paraId="7F78A7A5" w14:textId="77777777" w:rsidR="006A1EE7" w:rsidRPr="006A1EE7" w:rsidRDefault="006A1EE7" w:rsidP="006A2E9B">
            <w:pPr>
              <w:rPr>
                <w:sz w:val="20"/>
                <w:szCs w:val="20"/>
                <w:lang w:val="fr-FR"/>
              </w:rPr>
            </w:pPr>
            <w:r w:rsidRPr="006A1EE7">
              <w:rPr>
                <w:sz w:val="20"/>
                <w:lang w:val="fr-FR"/>
              </w:rPr>
              <w:t>Plan de gestion de l’élimination des HCFC (phase II – compte rendu mis à jour des progrès visant la finalisation du projet de loi et de l’entrée en vigueur des interdictions décrites dans le document UNEP/OzL.Pro/ExCom/88/44)</w:t>
            </w:r>
          </w:p>
        </w:tc>
        <w:tc>
          <w:tcPr>
            <w:tcW w:w="1705" w:type="dxa"/>
          </w:tcPr>
          <w:p w14:paraId="52C45B41" w14:textId="77777777" w:rsidR="006A1EE7" w:rsidRPr="006A1EE7" w:rsidRDefault="006A1EE7" w:rsidP="006A2E9B">
            <w:pPr>
              <w:jc w:val="center"/>
              <w:rPr>
                <w:sz w:val="20"/>
                <w:szCs w:val="20"/>
                <w:lang w:val="fr-FR"/>
              </w:rPr>
            </w:pPr>
            <w:r w:rsidRPr="006A1EE7">
              <w:rPr>
                <w:sz w:val="20"/>
                <w:lang w:val="fr-FR"/>
              </w:rPr>
              <w:t>43 - 49</w:t>
            </w:r>
          </w:p>
        </w:tc>
      </w:tr>
      <w:tr w:rsidR="006A1EE7" w:rsidRPr="006A1EE7" w14:paraId="79C28AE3" w14:textId="77777777" w:rsidTr="006A2E9B">
        <w:tc>
          <w:tcPr>
            <w:tcW w:w="2335" w:type="dxa"/>
          </w:tcPr>
          <w:p w14:paraId="277326A8" w14:textId="77777777" w:rsidR="006A1EE7" w:rsidRPr="006A1EE7" w:rsidRDefault="006A1EE7" w:rsidP="006A2E9B">
            <w:pPr>
              <w:rPr>
                <w:sz w:val="20"/>
                <w:szCs w:val="20"/>
                <w:lang w:val="fr-FR"/>
              </w:rPr>
            </w:pPr>
            <w:r w:rsidRPr="006A1EE7">
              <w:rPr>
                <w:sz w:val="20"/>
                <w:lang w:val="fr-FR"/>
              </w:rPr>
              <w:t>République dominicaine</w:t>
            </w:r>
          </w:p>
        </w:tc>
        <w:tc>
          <w:tcPr>
            <w:tcW w:w="5310" w:type="dxa"/>
          </w:tcPr>
          <w:p w14:paraId="079EBEFF" w14:textId="77777777" w:rsidR="006A1EE7" w:rsidRPr="006A1EE7" w:rsidRDefault="006A1EE7" w:rsidP="006A2E9B">
            <w:pPr>
              <w:rPr>
                <w:sz w:val="20"/>
                <w:szCs w:val="20"/>
                <w:lang w:val="fr-FR"/>
              </w:rPr>
            </w:pPr>
            <w:r w:rsidRPr="006A1EE7">
              <w:rPr>
                <w:sz w:val="20"/>
                <w:lang w:val="fr-FR"/>
              </w:rPr>
              <w:t>Plan de gestion de l’élimination des HCFC (phase II – troisième et dernière tranche – rapport périodique)</w:t>
            </w:r>
          </w:p>
        </w:tc>
        <w:tc>
          <w:tcPr>
            <w:tcW w:w="1705" w:type="dxa"/>
          </w:tcPr>
          <w:p w14:paraId="7011E672" w14:textId="77777777" w:rsidR="006A1EE7" w:rsidRPr="006A1EE7" w:rsidRDefault="006A1EE7" w:rsidP="006A2E9B">
            <w:pPr>
              <w:jc w:val="center"/>
              <w:rPr>
                <w:sz w:val="20"/>
                <w:szCs w:val="20"/>
                <w:lang w:val="fr-FR"/>
              </w:rPr>
            </w:pPr>
            <w:r w:rsidRPr="006A1EE7">
              <w:rPr>
                <w:sz w:val="20"/>
                <w:lang w:val="fr-FR"/>
              </w:rPr>
              <w:t>50 -61</w:t>
            </w:r>
          </w:p>
        </w:tc>
      </w:tr>
      <w:tr w:rsidR="006A1EE7" w:rsidRPr="006A1EE7" w14:paraId="510D8F04" w14:textId="77777777" w:rsidTr="006A2E9B">
        <w:tc>
          <w:tcPr>
            <w:tcW w:w="2335" w:type="dxa"/>
          </w:tcPr>
          <w:p w14:paraId="375720D3" w14:textId="77777777" w:rsidR="006A1EE7" w:rsidRPr="006A1EE7" w:rsidRDefault="006A1EE7" w:rsidP="006A2E9B">
            <w:pPr>
              <w:rPr>
                <w:sz w:val="20"/>
                <w:szCs w:val="20"/>
                <w:lang w:val="fr-FR"/>
              </w:rPr>
            </w:pPr>
            <w:r w:rsidRPr="006A1EE7">
              <w:rPr>
                <w:sz w:val="20"/>
                <w:lang w:val="fr-FR"/>
              </w:rPr>
              <w:t>Jamaïque</w:t>
            </w:r>
          </w:p>
        </w:tc>
        <w:tc>
          <w:tcPr>
            <w:tcW w:w="5310" w:type="dxa"/>
          </w:tcPr>
          <w:p w14:paraId="249309F5" w14:textId="77777777" w:rsidR="006A1EE7" w:rsidRPr="006A1EE7" w:rsidRDefault="006A1EE7" w:rsidP="006A2E9B">
            <w:pPr>
              <w:rPr>
                <w:sz w:val="20"/>
                <w:szCs w:val="20"/>
                <w:lang w:val="fr-FR"/>
              </w:rPr>
            </w:pPr>
            <w:r w:rsidRPr="006A1EE7">
              <w:rPr>
                <w:sz w:val="20"/>
                <w:lang w:val="fr-FR"/>
              </w:rPr>
              <w:t>Plan de gestion de l'élimination des HCFC (phase II – compte rendu mis à jour de l’état de la mise en œuvre des mesures de renforcement du système d’octroi de permis et de quotas, et de surveillance et d’établissement de rapports sur la consommation de HCFC, recommandées dans le rapport de vérification)</w:t>
            </w:r>
          </w:p>
        </w:tc>
        <w:tc>
          <w:tcPr>
            <w:tcW w:w="1705" w:type="dxa"/>
          </w:tcPr>
          <w:p w14:paraId="37F1C489" w14:textId="77777777" w:rsidR="006A1EE7" w:rsidRPr="006A1EE7" w:rsidRDefault="006A1EE7" w:rsidP="006A2E9B">
            <w:pPr>
              <w:jc w:val="center"/>
              <w:rPr>
                <w:sz w:val="20"/>
                <w:szCs w:val="20"/>
                <w:lang w:val="fr-FR"/>
              </w:rPr>
            </w:pPr>
            <w:r w:rsidRPr="006A1EE7">
              <w:rPr>
                <w:sz w:val="20"/>
                <w:lang w:val="fr-FR"/>
              </w:rPr>
              <w:t>62 - 66</w:t>
            </w:r>
          </w:p>
        </w:tc>
      </w:tr>
      <w:tr w:rsidR="006A1EE7" w:rsidRPr="006A1EE7" w14:paraId="1DD32E97" w14:textId="77777777" w:rsidTr="006A2E9B">
        <w:tc>
          <w:tcPr>
            <w:tcW w:w="2335" w:type="dxa"/>
          </w:tcPr>
          <w:p w14:paraId="10345EBA" w14:textId="77777777" w:rsidR="006A1EE7" w:rsidRPr="006A1EE7" w:rsidRDefault="006A1EE7" w:rsidP="006A2E9B">
            <w:pPr>
              <w:rPr>
                <w:sz w:val="20"/>
                <w:szCs w:val="20"/>
                <w:lang w:val="fr-FR"/>
              </w:rPr>
            </w:pPr>
            <w:r w:rsidRPr="006A1EE7">
              <w:rPr>
                <w:sz w:val="20"/>
                <w:lang w:val="fr-FR"/>
              </w:rPr>
              <w:t>Kenya</w:t>
            </w:r>
          </w:p>
        </w:tc>
        <w:tc>
          <w:tcPr>
            <w:tcW w:w="5310" w:type="dxa"/>
          </w:tcPr>
          <w:p w14:paraId="4422C9FB" w14:textId="77777777" w:rsidR="006A1EE7" w:rsidRPr="006A1EE7" w:rsidRDefault="006A1EE7" w:rsidP="006A2E9B">
            <w:pPr>
              <w:rPr>
                <w:sz w:val="20"/>
                <w:szCs w:val="20"/>
                <w:lang w:val="fr-FR"/>
              </w:rPr>
            </w:pPr>
            <w:r w:rsidRPr="006A1EE7">
              <w:rPr>
                <w:sz w:val="20"/>
                <w:lang w:val="fr-FR"/>
              </w:rPr>
              <w:t>Plan de gestion de l’élimination des HCFC (phase II, deuxième tranche – mise à jour sur l’état de la mise en œuvre des activités de renforcement du système d’octroi de permis et de quotas pour les HCFC et de partage d’informations sur les importations de HCFC avec les autorités fiscales du Kenya)</w:t>
            </w:r>
          </w:p>
        </w:tc>
        <w:tc>
          <w:tcPr>
            <w:tcW w:w="1705" w:type="dxa"/>
          </w:tcPr>
          <w:p w14:paraId="05AB75CF" w14:textId="77777777" w:rsidR="006A1EE7" w:rsidRPr="006A1EE7" w:rsidRDefault="006A1EE7" w:rsidP="006A2E9B">
            <w:pPr>
              <w:jc w:val="center"/>
              <w:rPr>
                <w:sz w:val="20"/>
                <w:szCs w:val="20"/>
                <w:lang w:val="fr-FR"/>
              </w:rPr>
            </w:pPr>
            <w:r w:rsidRPr="006A1EE7">
              <w:rPr>
                <w:sz w:val="20"/>
                <w:lang w:val="fr-FR"/>
              </w:rPr>
              <w:t>67 – 71</w:t>
            </w:r>
          </w:p>
        </w:tc>
      </w:tr>
      <w:tr w:rsidR="006A1EE7" w:rsidRPr="006A1EE7" w14:paraId="651E7D53" w14:textId="77777777" w:rsidTr="006A2E9B">
        <w:tc>
          <w:tcPr>
            <w:tcW w:w="2335" w:type="dxa"/>
          </w:tcPr>
          <w:p w14:paraId="49AF06A9" w14:textId="77777777" w:rsidR="006A1EE7" w:rsidRPr="006A1EE7" w:rsidRDefault="006A1EE7" w:rsidP="006A2E9B">
            <w:pPr>
              <w:rPr>
                <w:sz w:val="20"/>
                <w:szCs w:val="20"/>
                <w:lang w:val="fr-FR"/>
              </w:rPr>
            </w:pPr>
            <w:r w:rsidRPr="006A1EE7">
              <w:rPr>
                <w:sz w:val="20"/>
                <w:lang w:val="fr-FR"/>
              </w:rPr>
              <w:t>Kirghizistan</w:t>
            </w:r>
          </w:p>
        </w:tc>
        <w:tc>
          <w:tcPr>
            <w:tcW w:w="5310" w:type="dxa"/>
          </w:tcPr>
          <w:p w14:paraId="5A9F56E3" w14:textId="77777777" w:rsidR="006A1EE7" w:rsidRPr="006A1EE7" w:rsidRDefault="006A1EE7" w:rsidP="006A2E9B">
            <w:pPr>
              <w:rPr>
                <w:sz w:val="20"/>
                <w:szCs w:val="20"/>
                <w:lang w:val="fr-FR"/>
              </w:rPr>
            </w:pPr>
            <w:r w:rsidRPr="006A1EE7">
              <w:rPr>
                <w:sz w:val="20"/>
                <w:lang w:val="fr-FR"/>
              </w:rPr>
              <w:t>Plan de gestion de l’élimination des HCFC (phase II – rapport périodique final)</w:t>
            </w:r>
          </w:p>
        </w:tc>
        <w:tc>
          <w:tcPr>
            <w:tcW w:w="1705" w:type="dxa"/>
          </w:tcPr>
          <w:p w14:paraId="2DD525F9" w14:textId="77777777" w:rsidR="006A1EE7" w:rsidRPr="006A1EE7" w:rsidRDefault="006A1EE7" w:rsidP="006A2E9B">
            <w:pPr>
              <w:jc w:val="center"/>
              <w:rPr>
                <w:sz w:val="20"/>
                <w:szCs w:val="20"/>
                <w:lang w:val="fr-FR"/>
              </w:rPr>
            </w:pPr>
            <w:r w:rsidRPr="006A1EE7">
              <w:rPr>
                <w:sz w:val="20"/>
                <w:lang w:val="fr-FR"/>
              </w:rPr>
              <w:t>72 - 79</w:t>
            </w:r>
          </w:p>
        </w:tc>
      </w:tr>
      <w:tr w:rsidR="006A1EE7" w:rsidRPr="006A1EE7" w14:paraId="52FC2825" w14:textId="77777777" w:rsidTr="006A2E9B">
        <w:tc>
          <w:tcPr>
            <w:tcW w:w="2335" w:type="dxa"/>
          </w:tcPr>
          <w:p w14:paraId="5DBAB803" w14:textId="77777777" w:rsidR="006A1EE7" w:rsidRPr="006A1EE7" w:rsidRDefault="006A1EE7" w:rsidP="006A2E9B">
            <w:pPr>
              <w:rPr>
                <w:sz w:val="20"/>
                <w:szCs w:val="20"/>
                <w:lang w:val="fr-FR"/>
              </w:rPr>
            </w:pPr>
            <w:r w:rsidRPr="006A1EE7">
              <w:rPr>
                <w:sz w:val="20"/>
                <w:lang w:val="fr-FR"/>
              </w:rPr>
              <w:t>Oman</w:t>
            </w:r>
          </w:p>
        </w:tc>
        <w:tc>
          <w:tcPr>
            <w:tcW w:w="5310" w:type="dxa"/>
          </w:tcPr>
          <w:p w14:paraId="5F322347" w14:textId="77777777" w:rsidR="006A1EE7" w:rsidRPr="006A1EE7" w:rsidRDefault="006A1EE7" w:rsidP="006A2E9B">
            <w:pPr>
              <w:rPr>
                <w:sz w:val="20"/>
                <w:szCs w:val="20"/>
                <w:lang w:val="fr-FR"/>
              </w:rPr>
            </w:pPr>
            <w:r w:rsidRPr="006A1EE7">
              <w:rPr>
                <w:sz w:val="20"/>
                <w:lang w:val="fr-FR"/>
              </w:rPr>
              <w:t>Plan de gestion de l’élimination des HCFC (phase II – rapport périodique final)</w:t>
            </w:r>
          </w:p>
        </w:tc>
        <w:tc>
          <w:tcPr>
            <w:tcW w:w="1705" w:type="dxa"/>
          </w:tcPr>
          <w:p w14:paraId="218052FB" w14:textId="77777777" w:rsidR="006A1EE7" w:rsidRPr="006A1EE7" w:rsidRDefault="006A1EE7" w:rsidP="006A2E9B">
            <w:pPr>
              <w:jc w:val="center"/>
              <w:rPr>
                <w:sz w:val="20"/>
                <w:szCs w:val="20"/>
                <w:lang w:val="fr-FR"/>
              </w:rPr>
            </w:pPr>
            <w:r w:rsidRPr="006A1EE7">
              <w:rPr>
                <w:sz w:val="20"/>
                <w:lang w:val="fr-FR"/>
              </w:rPr>
              <w:t>90 – 99</w:t>
            </w:r>
          </w:p>
        </w:tc>
      </w:tr>
      <w:tr w:rsidR="006A1EE7" w:rsidRPr="006A1EE7" w14:paraId="79978016" w14:textId="77777777" w:rsidTr="006A2E9B">
        <w:tc>
          <w:tcPr>
            <w:tcW w:w="2335" w:type="dxa"/>
          </w:tcPr>
          <w:p w14:paraId="2E9CFFCA" w14:textId="77777777" w:rsidR="006A1EE7" w:rsidRPr="006A1EE7" w:rsidRDefault="006A1EE7" w:rsidP="006A2E9B">
            <w:pPr>
              <w:rPr>
                <w:sz w:val="20"/>
                <w:szCs w:val="20"/>
                <w:lang w:val="fr-FR"/>
              </w:rPr>
            </w:pPr>
            <w:r w:rsidRPr="006A1EE7">
              <w:rPr>
                <w:sz w:val="20"/>
                <w:lang w:val="fr-FR"/>
              </w:rPr>
              <w:t>Philippines</w:t>
            </w:r>
          </w:p>
        </w:tc>
        <w:tc>
          <w:tcPr>
            <w:tcW w:w="5310" w:type="dxa"/>
          </w:tcPr>
          <w:p w14:paraId="580DB4E2" w14:textId="77777777" w:rsidR="006A1EE7" w:rsidRPr="006A1EE7" w:rsidRDefault="006A1EE7" w:rsidP="006A2E9B">
            <w:pPr>
              <w:rPr>
                <w:sz w:val="20"/>
                <w:szCs w:val="20"/>
                <w:lang w:val="fr-FR"/>
              </w:rPr>
            </w:pPr>
            <w:r w:rsidRPr="006A1EE7">
              <w:rPr>
                <w:sz w:val="20"/>
                <w:lang w:val="fr-FR"/>
              </w:rPr>
              <w:t>Plan de gestion de l’élimination des HCFC (phase II – rapport périodique et demande de report de la date d’achèvement)</w:t>
            </w:r>
          </w:p>
        </w:tc>
        <w:tc>
          <w:tcPr>
            <w:tcW w:w="1705" w:type="dxa"/>
          </w:tcPr>
          <w:p w14:paraId="20E12D67" w14:textId="77777777" w:rsidR="006A1EE7" w:rsidRPr="006A1EE7" w:rsidRDefault="006A1EE7" w:rsidP="006A2E9B">
            <w:pPr>
              <w:jc w:val="center"/>
              <w:rPr>
                <w:sz w:val="20"/>
                <w:szCs w:val="20"/>
                <w:lang w:val="fr-FR"/>
              </w:rPr>
            </w:pPr>
            <w:r w:rsidRPr="006A1EE7">
              <w:rPr>
                <w:sz w:val="20"/>
                <w:lang w:val="fr-FR"/>
              </w:rPr>
              <w:t>100 – 113</w:t>
            </w:r>
          </w:p>
        </w:tc>
      </w:tr>
      <w:tr w:rsidR="006A1EE7" w:rsidRPr="006A1EE7" w14:paraId="0EB5881A" w14:textId="77777777" w:rsidTr="006A2E9B">
        <w:tc>
          <w:tcPr>
            <w:tcW w:w="2335" w:type="dxa"/>
          </w:tcPr>
          <w:p w14:paraId="4419CA9F" w14:textId="77777777" w:rsidR="006A1EE7" w:rsidRPr="006A1EE7" w:rsidRDefault="006A1EE7" w:rsidP="006A2E9B">
            <w:pPr>
              <w:rPr>
                <w:sz w:val="20"/>
                <w:szCs w:val="20"/>
                <w:lang w:val="fr-FR"/>
              </w:rPr>
            </w:pPr>
            <w:r w:rsidRPr="006A1EE7">
              <w:rPr>
                <w:sz w:val="20"/>
                <w:lang w:val="fr-FR"/>
              </w:rPr>
              <w:t>Sainte-Lucie</w:t>
            </w:r>
          </w:p>
        </w:tc>
        <w:tc>
          <w:tcPr>
            <w:tcW w:w="5310" w:type="dxa"/>
          </w:tcPr>
          <w:p w14:paraId="2C7F0EB4" w14:textId="77777777" w:rsidR="006A1EE7" w:rsidRPr="006A1EE7" w:rsidRDefault="006A1EE7" w:rsidP="006A2E9B">
            <w:pPr>
              <w:rPr>
                <w:sz w:val="20"/>
                <w:szCs w:val="20"/>
                <w:lang w:val="fr-FR"/>
              </w:rPr>
            </w:pPr>
            <w:r w:rsidRPr="006A1EE7">
              <w:rPr>
                <w:sz w:val="20"/>
                <w:lang w:val="fr-FR"/>
              </w:rPr>
              <w:t>Plan de gestion de l’élimination des HCFC (phase I, cinquième tranche et phase II, première tranche – mise à jour de l’état de la signature de l’accord de financement à petite échelle (AFPE) et du décaissement de la première tranche dans le cadre de l’AFPE)</w:t>
            </w:r>
          </w:p>
        </w:tc>
        <w:tc>
          <w:tcPr>
            <w:tcW w:w="1705" w:type="dxa"/>
          </w:tcPr>
          <w:p w14:paraId="2163DA2C" w14:textId="77777777" w:rsidR="006A1EE7" w:rsidRPr="006A1EE7" w:rsidRDefault="006A1EE7" w:rsidP="006A2E9B">
            <w:pPr>
              <w:jc w:val="center"/>
              <w:rPr>
                <w:sz w:val="20"/>
                <w:szCs w:val="20"/>
                <w:lang w:val="fr-FR"/>
              </w:rPr>
            </w:pPr>
            <w:r w:rsidRPr="006A1EE7">
              <w:rPr>
                <w:sz w:val="20"/>
                <w:lang w:val="fr-FR"/>
              </w:rPr>
              <w:t>114 - 117</w:t>
            </w:r>
          </w:p>
        </w:tc>
      </w:tr>
      <w:tr w:rsidR="006A1EE7" w:rsidRPr="006A1EE7" w14:paraId="4EF1AC95" w14:textId="77777777" w:rsidTr="006A2E9B">
        <w:tc>
          <w:tcPr>
            <w:tcW w:w="2335" w:type="dxa"/>
          </w:tcPr>
          <w:p w14:paraId="6533172C" w14:textId="77777777" w:rsidR="006A1EE7" w:rsidRPr="006A1EE7" w:rsidRDefault="006A1EE7" w:rsidP="006A2E9B">
            <w:pPr>
              <w:rPr>
                <w:sz w:val="20"/>
                <w:szCs w:val="20"/>
                <w:lang w:val="fr-FR"/>
              </w:rPr>
            </w:pPr>
            <w:r w:rsidRPr="006A1EE7">
              <w:rPr>
                <w:sz w:val="20"/>
                <w:lang w:val="fr-FR"/>
              </w:rPr>
              <w:t>Uruguay</w:t>
            </w:r>
          </w:p>
        </w:tc>
        <w:tc>
          <w:tcPr>
            <w:tcW w:w="5310" w:type="dxa"/>
          </w:tcPr>
          <w:p w14:paraId="740CE8FE" w14:textId="77777777" w:rsidR="006A1EE7" w:rsidRPr="006A1EE7" w:rsidRDefault="006A1EE7" w:rsidP="006A2E9B">
            <w:pPr>
              <w:rPr>
                <w:sz w:val="20"/>
                <w:szCs w:val="20"/>
                <w:lang w:val="fr-FR"/>
              </w:rPr>
            </w:pPr>
            <w:r w:rsidRPr="006A1EE7">
              <w:rPr>
                <w:sz w:val="20"/>
                <w:lang w:val="fr-FR"/>
              </w:rPr>
              <w:t>Plan de gestion de l'élimination des HCFC (phase II - rapport périodique sur la mise en œuvre de la reconversion des entreprises de fabrication de mousses)</w:t>
            </w:r>
          </w:p>
        </w:tc>
        <w:tc>
          <w:tcPr>
            <w:tcW w:w="1705" w:type="dxa"/>
          </w:tcPr>
          <w:p w14:paraId="2E535BB3" w14:textId="77777777" w:rsidR="006A1EE7" w:rsidRPr="006A1EE7" w:rsidRDefault="006A1EE7" w:rsidP="006A2E9B">
            <w:pPr>
              <w:jc w:val="center"/>
              <w:rPr>
                <w:sz w:val="20"/>
                <w:szCs w:val="20"/>
                <w:lang w:val="fr-FR"/>
              </w:rPr>
            </w:pPr>
            <w:r w:rsidRPr="006A1EE7">
              <w:rPr>
                <w:sz w:val="20"/>
                <w:lang w:val="fr-FR"/>
              </w:rPr>
              <w:t>118 - 128</w:t>
            </w:r>
          </w:p>
        </w:tc>
      </w:tr>
      <w:tr w:rsidR="006A1EE7" w:rsidRPr="00271AD8" w14:paraId="69D9927B" w14:textId="77777777" w:rsidTr="006A2E9B">
        <w:tc>
          <w:tcPr>
            <w:tcW w:w="9350" w:type="dxa"/>
            <w:gridSpan w:val="3"/>
          </w:tcPr>
          <w:p w14:paraId="28769FB4" w14:textId="77777777" w:rsidR="006A1EE7" w:rsidRPr="006A1EE7" w:rsidRDefault="006A1EE7" w:rsidP="006A2E9B">
            <w:pPr>
              <w:jc w:val="left"/>
              <w:rPr>
                <w:b/>
                <w:sz w:val="20"/>
                <w:szCs w:val="20"/>
                <w:lang w:val="fr-FR"/>
              </w:rPr>
            </w:pPr>
            <w:r w:rsidRPr="006A1EE7">
              <w:rPr>
                <w:b/>
                <w:sz w:val="20"/>
                <w:lang w:val="fr-FR"/>
              </w:rPr>
              <w:t>Rapports sur les projets liés aux HFC</w:t>
            </w:r>
          </w:p>
        </w:tc>
      </w:tr>
      <w:tr w:rsidR="006A1EE7" w:rsidRPr="006A1EE7" w14:paraId="37DFA16B" w14:textId="77777777" w:rsidTr="006A2E9B">
        <w:tc>
          <w:tcPr>
            <w:tcW w:w="2335" w:type="dxa"/>
          </w:tcPr>
          <w:p w14:paraId="5AD56D92" w14:textId="77777777" w:rsidR="006A1EE7" w:rsidRPr="006A1EE7" w:rsidRDefault="006A1EE7" w:rsidP="006A2E9B">
            <w:pPr>
              <w:rPr>
                <w:sz w:val="20"/>
                <w:szCs w:val="20"/>
                <w:lang w:val="fr-FR"/>
              </w:rPr>
            </w:pPr>
            <w:r w:rsidRPr="006A1EE7">
              <w:rPr>
                <w:sz w:val="20"/>
                <w:lang w:val="fr-FR"/>
              </w:rPr>
              <w:t>Argentine</w:t>
            </w:r>
          </w:p>
        </w:tc>
        <w:tc>
          <w:tcPr>
            <w:tcW w:w="5310" w:type="dxa"/>
          </w:tcPr>
          <w:p w14:paraId="48D961AA" w14:textId="77777777" w:rsidR="006A1EE7" w:rsidRPr="006A1EE7" w:rsidRDefault="006A1EE7" w:rsidP="006A2E9B">
            <w:pPr>
              <w:rPr>
                <w:sz w:val="20"/>
                <w:szCs w:val="20"/>
                <w:lang w:val="fr-FR"/>
              </w:rPr>
            </w:pPr>
            <w:r w:rsidRPr="006A1EE7">
              <w:rPr>
                <w:sz w:val="20"/>
                <w:lang w:val="fr-FR"/>
              </w:rPr>
              <w:t>Contrôle des émissions de HFC-23 engendrées par la production de HCFC-22</w:t>
            </w:r>
          </w:p>
        </w:tc>
        <w:tc>
          <w:tcPr>
            <w:tcW w:w="1705" w:type="dxa"/>
          </w:tcPr>
          <w:p w14:paraId="5684989D" w14:textId="77777777" w:rsidR="006A1EE7" w:rsidRPr="006A1EE7" w:rsidRDefault="006A1EE7" w:rsidP="006A2E9B">
            <w:pPr>
              <w:jc w:val="center"/>
              <w:rPr>
                <w:sz w:val="20"/>
                <w:szCs w:val="20"/>
                <w:lang w:val="fr-FR"/>
              </w:rPr>
            </w:pPr>
            <w:r w:rsidRPr="006A1EE7">
              <w:rPr>
                <w:sz w:val="20"/>
                <w:lang w:val="fr-FR"/>
              </w:rPr>
              <w:t>129 - 142</w:t>
            </w:r>
          </w:p>
        </w:tc>
      </w:tr>
      <w:tr w:rsidR="006A1EE7" w:rsidRPr="00271AD8" w14:paraId="52BC1C49" w14:textId="77777777" w:rsidTr="006A2E9B">
        <w:tc>
          <w:tcPr>
            <w:tcW w:w="9350" w:type="dxa"/>
            <w:gridSpan w:val="3"/>
          </w:tcPr>
          <w:p w14:paraId="19404C4E" w14:textId="77777777" w:rsidR="006A1EE7" w:rsidRPr="006A1EE7" w:rsidRDefault="006A1EE7" w:rsidP="006A2E9B">
            <w:pPr>
              <w:rPr>
                <w:b/>
                <w:sz w:val="20"/>
                <w:szCs w:val="20"/>
                <w:lang w:val="fr-FR"/>
              </w:rPr>
            </w:pPr>
            <w:r w:rsidRPr="006A1EE7">
              <w:rPr>
                <w:b/>
                <w:sz w:val="20"/>
                <w:lang w:val="fr-FR"/>
              </w:rPr>
              <w:t>Projets relatifs au faible potentiel de réchauffement de la planète</w:t>
            </w:r>
          </w:p>
        </w:tc>
      </w:tr>
      <w:tr w:rsidR="006A1EE7" w:rsidRPr="006A1EE7" w14:paraId="087C87BB" w14:textId="77777777" w:rsidTr="006A2E9B">
        <w:tc>
          <w:tcPr>
            <w:tcW w:w="2335" w:type="dxa"/>
          </w:tcPr>
          <w:p w14:paraId="1595EF18" w14:textId="77777777" w:rsidR="006A1EE7" w:rsidRPr="006A1EE7" w:rsidRDefault="006A1EE7" w:rsidP="006A2E9B">
            <w:pPr>
              <w:rPr>
                <w:sz w:val="20"/>
                <w:szCs w:val="20"/>
                <w:lang w:val="fr-FR"/>
              </w:rPr>
            </w:pPr>
            <w:r w:rsidRPr="006A1EE7">
              <w:rPr>
                <w:sz w:val="20"/>
                <w:lang w:val="fr-FR"/>
              </w:rPr>
              <w:t>Arabie saoudite</w:t>
            </w:r>
          </w:p>
        </w:tc>
        <w:tc>
          <w:tcPr>
            <w:tcW w:w="5310" w:type="dxa"/>
          </w:tcPr>
          <w:p w14:paraId="340225A4" w14:textId="77777777" w:rsidR="006A1EE7" w:rsidRPr="006A1EE7" w:rsidRDefault="006A1EE7" w:rsidP="006A2E9B">
            <w:pPr>
              <w:rPr>
                <w:sz w:val="20"/>
                <w:szCs w:val="20"/>
                <w:lang w:val="fr-FR"/>
              </w:rPr>
            </w:pPr>
            <w:r w:rsidRPr="006A1EE7">
              <w:rPr>
                <w:sz w:val="20"/>
                <w:lang w:val="fr-FR"/>
              </w:rPr>
              <w:t>Projet de démonstration sur la promotion des frigorigènes à base de HFO à faible potentiel de réchauffement de la planète pour le secteur de la climatisation dans des températures ambiantes élevées (rapport périodique)</w:t>
            </w:r>
          </w:p>
        </w:tc>
        <w:tc>
          <w:tcPr>
            <w:tcW w:w="1705" w:type="dxa"/>
          </w:tcPr>
          <w:p w14:paraId="516AC7B7" w14:textId="77777777" w:rsidR="006A1EE7" w:rsidRPr="006A1EE7" w:rsidRDefault="006A1EE7" w:rsidP="006A2E9B">
            <w:pPr>
              <w:jc w:val="center"/>
              <w:rPr>
                <w:sz w:val="20"/>
                <w:szCs w:val="20"/>
                <w:lang w:val="fr-FR"/>
              </w:rPr>
            </w:pPr>
            <w:r w:rsidRPr="006A1EE7">
              <w:rPr>
                <w:sz w:val="20"/>
                <w:lang w:val="fr-FR"/>
              </w:rPr>
              <w:t>143 - 150</w:t>
            </w:r>
          </w:p>
        </w:tc>
      </w:tr>
    </w:tbl>
    <w:p w14:paraId="2C6FD904" w14:textId="77777777" w:rsidR="006A1EE7" w:rsidRPr="006A1EE7" w:rsidRDefault="006A1EE7" w:rsidP="006A1EE7">
      <w:pPr>
        <w:rPr>
          <w:lang w:val="fr-FR"/>
        </w:rPr>
      </w:pPr>
    </w:p>
    <w:p w14:paraId="59E53E40" w14:textId="77777777" w:rsidR="006A1EE7" w:rsidRPr="006A1EE7" w:rsidRDefault="006A1EE7" w:rsidP="006A1EE7">
      <w:pPr>
        <w:pStyle w:val="Heading1"/>
        <w:rPr>
          <w:lang w:val="fr-FR"/>
        </w:rPr>
      </w:pPr>
      <w:r w:rsidRPr="006A1EE7">
        <w:rPr>
          <w:lang w:val="fr-FR"/>
        </w:rPr>
        <w:t>Le tableau 3 contient la liste des rapports sur les projets comportant des exigences particulières de remise de rapport remis à la 90</w:t>
      </w:r>
      <w:r w:rsidRPr="006A1EE7">
        <w:rPr>
          <w:vertAlign w:val="superscript"/>
          <w:lang w:val="fr-FR"/>
        </w:rPr>
        <w:t>e</w:t>
      </w:r>
      <w:r w:rsidRPr="006A1EE7">
        <w:rPr>
          <w:lang w:val="fr-FR"/>
        </w:rPr>
        <w:t> réunion pour examen individuel et une courte explication des questions qui s’y rapportent.</w:t>
      </w:r>
    </w:p>
    <w:p w14:paraId="4A92083F" w14:textId="77777777" w:rsidR="006A1EE7" w:rsidRPr="006A1EE7" w:rsidRDefault="006A1EE7" w:rsidP="006A1EE7">
      <w:pPr>
        <w:rPr>
          <w:b/>
          <w:lang w:val="fr-FR"/>
        </w:rPr>
      </w:pPr>
      <w:r w:rsidRPr="006A1EE7">
        <w:rPr>
          <w:b/>
          <w:lang w:val="fr-FR"/>
        </w:rPr>
        <w:t>Tableau 3. Rapport sur les projets comportant des exigences particulières de remise de rapport proposés pour examen individuel</w:t>
      </w:r>
    </w:p>
    <w:tbl>
      <w:tblPr>
        <w:tblStyle w:val="TableGrid"/>
        <w:tblW w:w="0" w:type="auto"/>
        <w:tblLook w:val="04A0" w:firstRow="1" w:lastRow="0" w:firstColumn="1" w:lastColumn="0" w:noHBand="0" w:noVBand="1"/>
      </w:tblPr>
      <w:tblGrid>
        <w:gridCol w:w="2337"/>
        <w:gridCol w:w="2337"/>
        <w:gridCol w:w="3061"/>
        <w:gridCol w:w="1615"/>
      </w:tblGrid>
      <w:tr w:rsidR="006A1EE7" w:rsidRPr="006A1EE7" w14:paraId="240E72E0" w14:textId="77777777" w:rsidTr="006A2E9B">
        <w:trPr>
          <w:tblHeader/>
        </w:trPr>
        <w:tc>
          <w:tcPr>
            <w:tcW w:w="2337" w:type="dxa"/>
          </w:tcPr>
          <w:p w14:paraId="5F534169" w14:textId="77777777" w:rsidR="006A1EE7" w:rsidRPr="006A1EE7" w:rsidRDefault="006A1EE7" w:rsidP="006A2E9B">
            <w:pPr>
              <w:jc w:val="center"/>
              <w:rPr>
                <w:b/>
                <w:sz w:val="20"/>
                <w:szCs w:val="20"/>
                <w:lang w:val="fr-FR"/>
              </w:rPr>
            </w:pPr>
            <w:r w:rsidRPr="006A1EE7">
              <w:rPr>
                <w:b/>
                <w:sz w:val="20"/>
                <w:lang w:val="fr-FR"/>
              </w:rPr>
              <w:t>Pays</w:t>
            </w:r>
          </w:p>
        </w:tc>
        <w:tc>
          <w:tcPr>
            <w:tcW w:w="2337" w:type="dxa"/>
          </w:tcPr>
          <w:p w14:paraId="180141E6" w14:textId="77777777" w:rsidR="006A1EE7" w:rsidRPr="006A1EE7" w:rsidRDefault="006A1EE7" w:rsidP="006A2E9B">
            <w:pPr>
              <w:jc w:val="center"/>
              <w:rPr>
                <w:b/>
                <w:sz w:val="20"/>
                <w:szCs w:val="20"/>
                <w:lang w:val="fr-FR"/>
              </w:rPr>
            </w:pPr>
            <w:r w:rsidRPr="006A1EE7">
              <w:rPr>
                <w:b/>
                <w:sz w:val="20"/>
                <w:lang w:val="fr-FR"/>
              </w:rPr>
              <w:t>Titre du projet</w:t>
            </w:r>
          </w:p>
        </w:tc>
        <w:tc>
          <w:tcPr>
            <w:tcW w:w="3061" w:type="dxa"/>
          </w:tcPr>
          <w:p w14:paraId="0349C57D" w14:textId="77777777" w:rsidR="006A1EE7" w:rsidRPr="006A1EE7" w:rsidRDefault="006A1EE7" w:rsidP="006A2E9B">
            <w:pPr>
              <w:jc w:val="center"/>
              <w:rPr>
                <w:b/>
                <w:sz w:val="20"/>
                <w:szCs w:val="20"/>
                <w:lang w:val="fr-FR"/>
              </w:rPr>
            </w:pPr>
            <w:r w:rsidRPr="006A1EE7">
              <w:rPr>
                <w:b/>
                <w:sz w:val="20"/>
                <w:lang w:val="fr-FR"/>
              </w:rPr>
              <w:t>Question</w:t>
            </w:r>
          </w:p>
        </w:tc>
        <w:tc>
          <w:tcPr>
            <w:tcW w:w="1615" w:type="dxa"/>
          </w:tcPr>
          <w:p w14:paraId="4029F0FA" w14:textId="77777777" w:rsidR="006A1EE7" w:rsidRPr="006A1EE7" w:rsidRDefault="006A1EE7" w:rsidP="006A2E9B">
            <w:pPr>
              <w:jc w:val="center"/>
              <w:rPr>
                <w:b/>
                <w:sz w:val="20"/>
                <w:szCs w:val="20"/>
                <w:lang w:val="fr-FR"/>
              </w:rPr>
            </w:pPr>
            <w:r w:rsidRPr="006A1EE7">
              <w:rPr>
                <w:b/>
                <w:sz w:val="20"/>
                <w:lang w:val="fr-FR"/>
              </w:rPr>
              <w:t>Paragraphes</w:t>
            </w:r>
          </w:p>
        </w:tc>
      </w:tr>
      <w:tr w:rsidR="006A1EE7" w:rsidRPr="00271AD8" w14:paraId="6621B2FA" w14:textId="77777777" w:rsidTr="006A2E9B">
        <w:trPr>
          <w:tblHeader/>
        </w:trPr>
        <w:tc>
          <w:tcPr>
            <w:tcW w:w="9350" w:type="dxa"/>
            <w:gridSpan w:val="4"/>
          </w:tcPr>
          <w:p w14:paraId="5959D3DD" w14:textId="77777777" w:rsidR="006A1EE7" w:rsidRPr="006A1EE7" w:rsidRDefault="006A1EE7" w:rsidP="006A2E9B">
            <w:pPr>
              <w:rPr>
                <w:sz w:val="20"/>
                <w:szCs w:val="20"/>
                <w:lang w:val="fr-FR"/>
              </w:rPr>
            </w:pPr>
            <w:r w:rsidRPr="006A1EE7">
              <w:rPr>
                <w:b/>
                <w:sz w:val="20"/>
                <w:lang w:val="fr-FR"/>
              </w:rPr>
              <w:t>Rapports en lien avec les plans de gestion de l’élimination des HCFC</w:t>
            </w:r>
          </w:p>
        </w:tc>
      </w:tr>
      <w:tr w:rsidR="006A1EE7" w:rsidRPr="006A1EE7" w14:paraId="54F307D6" w14:textId="77777777" w:rsidTr="006A2E9B">
        <w:tc>
          <w:tcPr>
            <w:tcW w:w="2337" w:type="dxa"/>
          </w:tcPr>
          <w:p w14:paraId="35DC1E07" w14:textId="77777777" w:rsidR="006A1EE7" w:rsidRPr="006A1EE7" w:rsidRDefault="006A1EE7" w:rsidP="006A2E9B">
            <w:pPr>
              <w:rPr>
                <w:sz w:val="20"/>
                <w:szCs w:val="20"/>
                <w:lang w:val="fr-FR"/>
              </w:rPr>
            </w:pPr>
            <w:r w:rsidRPr="006A1EE7">
              <w:rPr>
                <w:sz w:val="20"/>
                <w:lang w:val="fr-FR"/>
              </w:rPr>
              <w:t>République populaire démocratique de Corée</w:t>
            </w:r>
          </w:p>
        </w:tc>
        <w:tc>
          <w:tcPr>
            <w:tcW w:w="2337" w:type="dxa"/>
          </w:tcPr>
          <w:p w14:paraId="5878BA06" w14:textId="77777777" w:rsidR="006A1EE7" w:rsidRPr="006A1EE7" w:rsidRDefault="006A1EE7" w:rsidP="006A2E9B">
            <w:pPr>
              <w:rPr>
                <w:sz w:val="20"/>
                <w:szCs w:val="20"/>
                <w:lang w:val="fr-FR"/>
              </w:rPr>
            </w:pPr>
            <w:r w:rsidRPr="006A1EE7">
              <w:rPr>
                <w:sz w:val="20"/>
                <w:lang w:val="fr-FR"/>
              </w:rPr>
              <w:t>Plan de gestion de l’élimination des HCFC (phase I – rapport périodique sur la mise en œuvre des activités)</w:t>
            </w:r>
          </w:p>
        </w:tc>
        <w:tc>
          <w:tcPr>
            <w:tcW w:w="3061" w:type="dxa"/>
          </w:tcPr>
          <w:p w14:paraId="2A855CF6" w14:textId="77777777" w:rsidR="006A1EE7" w:rsidRPr="006A1EE7" w:rsidRDefault="006A1EE7" w:rsidP="006A2E9B">
            <w:pPr>
              <w:rPr>
                <w:sz w:val="20"/>
                <w:szCs w:val="20"/>
                <w:lang w:val="fr-FR"/>
              </w:rPr>
            </w:pPr>
            <w:r w:rsidRPr="006A1EE7">
              <w:rPr>
                <w:sz w:val="20"/>
                <w:lang w:val="fr-FR"/>
              </w:rPr>
              <w:t>Demande d’orientation concernant les difficultés à mettre en œuvre les activités à cause des résolutions du Conseil de sécurité des Nations Unies</w:t>
            </w:r>
          </w:p>
        </w:tc>
        <w:tc>
          <w:tcPr>
            <w:tcW w:w="1615" w:type="dxa"/>
          </w:tcPr>
          <w:p w14:paraId="594C089B" w14:textId="77777777" w:rsidR="006A1EE7" w:rsidRPr="006A1EE7" w:rsidRDefault="006A1EE7" w:rsidP="006A2E9B">
            <w:pPr>
              <w:jc w:val="center"/>
              <w:rPr>
                <w:sz w:val="20"/>
                <w:szCs w:val="20"/>
                <w:lang w:val="fr-FR"/>
              </w:rPr>
            </w:pPr>
            <w:r w:rsidRPr="006A1EE7">
              <w:rPr>
                <w:sz w:val="20"/>
                <w:lang w:val="fr-FR"/>
              </w:rPr>
              <w:t>151 - 166</w:t>
            </w:r>
          </w:p>
        </w:tc>
      </w:tr>
      <w:tr w:rsidR="006A1EE7" w:rsidRPr="006A1EE7" w14:paraId="19A011AB" w14:textId="77777777" w:rsidTr="006A2E9B">
        <w:tc>
          <w:tcPr>
            <w:tcW w:w="2337" w:type="dxa"/>
          </w:tcPr>
          <w:p w14:paraId="0A807B4E" w14:textId="77777777" w:rsidR="006A1EE7" w:rsidRPr="006A1EE7" w:rsidRDefault="006A1EE7" w:rsidP="006A2E9B">
            <w:pPr>
              <w:rPr>
                <w:sz w:val="20"/>
                <w:szCs w:val="20"/>
                <w:lang w:val="fr-FR"/>
              </w:rPr>
            </w:pPr>
            <w:r w:rsidRPr="006A1EE7">
              <w:rPr>
                <w:sz w:val="20"/>
                <w:lang w:val="fr-FR"/>
              </w:rPr>
              <w:t>Viet Nam</w:t>
            </w:r>
          </w:p>
        </w:tc>
        <w:tc>
          <w:tcPr>
            <w:tcW w:w="2337" w:type="dxa"/>
          </w:tcPr>
          <w:p w14:paraId="7E071BA6" w14:textId="77777777" w:rsidR="006A1EE7" w:rsidRPr="006A1EE7" w:rsidRDefault="006A1EE7" w:rsidP="006A2E9B">
            <w:pPr>
              <w:rPr>
                <w:sz w:val="20"/>
                <w:szCs w:val="20"/>
                <w:lang w:val="fr-FR"/>
              </w:rPr>
            </w:pPr>
            <w:r w:rsidRPr="006A1EE7">
              <w:rPr>
                <w:sz w:val="20"/>
                <w:lang w:val="fr-FR"/>
              </w:rPr>
              <w:t>Plan de gestion de l’élimination des HCFC (phase II, troisième tranche – rapport périodique sur la mise en œuvre des activités)</w:t>
            </w:r>
          </w:p>
        </w:tc>
        <w:tc>
          <w:tcPr>
            <w:tcW w:w="3061" w:type="dxa"/>
          </w:tcPr>
          <w:p w14:paraId="71BCB7F9" w14:textId="77777777" w:rsidR="006A1EE7" w:rsidRPr="006A1EE7" w:rsidRDefault="006A1EE7" w:rsidP="006A2E9B">
            <w:pPr>
              <w:rPr>
                <w:sz w:val="20"/>
                <w:szCs w:val="20"/>
                <w:lang w:val="fr-FR"/>
              </w:rPr>
            </w:pPr>
            <w:r w:rsidRPr="006A1EE7">
              <w:rPr>
                <w:sz w:val="20"/>
                <w:lang w:val="fr-FR"/>
              </w:rPr>
              <w:t>Modifications importantes de la phase II, y compris dans les secteurs de la fabrication et de l’entretien en réfrigération, l’assistance technique et l’unité de mise en œuvre de projet et de gestion, et autres modifications, dont les conditions associées au financement révisé</w:t>
            </w:r>
          </w:p>
        </w:tc>
        <w:tc>
          <w:tcPr>
            <w:tcW w:w="1615" w:type="dxa"/>
          </w:tcPr>
          <w:p w14:paraId="6FEAB148" w14:textId="77777777" w:rsidR="006A1EE7" w:rsidRPr="006A1EE7" w:rsidRDefault="006A1EE7" w:rsidP="006A2E9B">
            <w:pPr>
              <w:jc w:val="center"/>
              <w:rPr>
                <w:sz w:val="20"/>
                <w:szCs w:val="20"/>
                <w:lang w:val="fr-FR"/>
              </w:rPr>
            </w:pPr>
            <w:r w:rsidRPr="006A1EE7">
              <w:rPr>
                <w:sz w:val="20"/>
                <w:lang w:val="fr-FR"/>
              </w:rPr>
              <w:t>167 - 208</w:t>
            </w:r>
          </w:p>
        </w:tc>
      </w:tr>
      <w:tr w:rsidR="006A1EE7" w:rsidRPr="006A1EE7" w14:paraId="6C861FA7" w14:textId="77777777" w:rsidTr="006A2E9B">
        <w:tc>
          <w:tcPr>
            <w:tcW w:w="2337" w:type="dxa"/>
          </w:tcPr>
          <w:p w14:paraId="2CD28000" w14:textId="77777777" w:rsidR="006A1EE7" w:rsidRPr="006A1EE7" w:rsidRDefault="006A1EE7" w:rsidP="006A2E9B">
            <w:pPr>
              <w:rPr>
                <w:sz w:val="20"/>
                <w:szCs w:val="20"/>
                <w:lang w:val="fr-FR"/>
              </w:rPr>
            </w:pPr>
            <w:r w:rsidRPr="006A1EE7">
              <w:rPr>
                <w:sz w:val="20"/>
                <w:lang w:val="fr-FR"/>
              </w:rPr>
              <w:t>Seize pays</w:t>
            </w:r>
          </w:p>
        </w:tc>
        <w:tc>
          <w:tcPr>
            <w:tcW w:w="2337" w:type="dxa"/>
          </w:tcPr>
          <w:p w14:paraId="2285404A" w14:textId="77777777" w:rsidR="006A1EE7" w:rsidRPr="006A1EE7" w:rsidRDefault="006A1EE7" w:rsidP="006A2E9B">
            <w:pPr>
              <w:rPr>
                <w:sz w:val="20"/>
                <w:szCs w:val="20"/>
                <w:lang w:val="fr-FR"/>
              </w:rPr>
            </w:pPr>
            <w:r w:rsidRPr="006A1EE7">
              <w:rPr>
                <w:sz w:val="20"/>
                <w:lang w:val="fr-FR"/>
              </w:rPr>
              <w:t>État de la mise en œuvre des activités dans les 16 pays visés à l’Article 5 pour lesquels un report des dates d’achèvement de la phase I et la phase II de leurs plans de gestion de l’élimination des HCFC au-delà du 31 décembre 2022 a été demandé (décision 88/29)</w:t>
            </w:r>
          </w:p>
        </w:tc>
        <w:tc>
          <w:tcPr>
            <w:tcW w:w="3061" w:type="dxa"/>
          </w:tcPr>
          <w:p w14:paraId="6D002AE0" w14:textId="77777777" w:rsidR="006A1EE7" w:rsidRPr="006A1EE7" w:rsidRDefault="006A1EE7" w:rsidP="006A2E9B">
            <w:pPr>
              <w:rPr>
                <w:sz w:val="20"/>
                <w:szCs w:val="20"/>
                <w:lang w:val="fr-FR"/>
              </w:rPr>
            </w:pPr>
            <w:r w:rsidRPr="006A1EE7">
              <w:rPr>
                <w:sz w:val="20"/>
                <w:lang w:val="fr-FR"/>
              </w:rPr>
              <w:t>Demandes de report, remise des rapports de situation et demandes de remise des plans de mise en œuvre à une future réunion, pour les pays concernés</w:t>
            </w:r>
          </w:p>
        </w:tc>
        <w:tc>
          <w:tcPr>
            <w:tcW w:w="1615" w:type="dxa"/>
          </w:tcPr>
          <w:p w14:paraId="3A79C4F8" w14:textId="77777777" w:rsidR="006A1EE7" w:rsidRPr="006A1EE7" w:rsidRDefault="006A1EE7" w:rsidP="006A2E9B">
            <w:pPr>
              <w:jc w:val="center"/>
              <w:rPr>
                <w:sz w:val="20"/>
                <w:szCs w:val="20"/>
                <w:lang w:val="fr-FR"/>
              </w:rPr>
            </w:pPr>
            <w:r w:rsidRPr="006A1EE7">
              <w:rPr>
                <w:sz w:val="20"/>
                <w:lang w:val="fr-FR"/>
              </w:rPr>
              <w:t>209 - 218</w:t>
            </w:r>
          </w:p>
        </w:tc>
      </w:tr>
      <w:tr w:rsidR="006A1EE7" w:rsidRPr="00271AD8" w14:paraId="77B4E619" w14:textId="77777777" w:rsidTr="006A2E9B">
        <w:tc>
          <w:tcPr>
            <w:tcW w:w="9350" w:type="dxa"/>
            <w:gridSpan w:val="4"/>
          </w:tcPr>
          <w:p w14:paraId="70794765" w14:textId="77777777" w:rsidR="006A1EE7" w:rsidRPr="006A1EE7" w:rsidRDefault="006A1EE7" w:rsidP="006A2E9B">
            <w:pPr>
              <w:rPr>
                <w:b/>
                <w:sz w:val="20"/>
                <w:szCs w:val="20"/>
                <w:lang w:val="fr-FR"/>
              </w:rPr>
            </w:pPr>
            <w:r w:rsidRPr="006A1EE7">
              <w:rPr>
                <w:b/>
                <w:sz w:val="20"/>
                <w:lang w:val="fr-FR"/>
              </w:rPr>
              <w:t>Rapports sur les projets liés aux HFC</w:t>
            </w:r>
          </w:p>
        </w:tc>
      </w:tr>
      <w:tr w:rsidR="006A1EE7" w:rsidRPr="006A1EE7" w14:paraId="73DEC159" w14:textId="77777777" w:rsidTr="006A2E9B">
        <w:tc>
          <w:tcPr>
            <w:tcW w:w="2337" w:type="dxa"/>
          </w:tcPr>
          <w:p w14:paraId="71EC4963" w14:textId="77777777" w:rsidR="006A1EE7" w:rsidRPr="006A1EE7" w:rsidRDefault="006A1EE7" w:rsidP="006A2E9B">
            <w:pPr>
              <w:rPr>
                <w:sz w:val="20"/>
                <w:szCs w:val="20"/>
                <w:lang w:val="fr-FR"/>
              </w:rPr>
            </w:pPr>
            <w:r w:rsidRPr="006A1EE7">
              <w:rPr>
                <w:sz w:val="20"/>
                <w:lang w:val="fr-FR"/>
              </w:rPr>
              <w:t>Jordanie</w:t>
            </w:r>
          </w:p>
        </w:tc>
        <w:tc>
          <w:tcPr>
            <w:tcW w:w="2337" w:type="dxa"/>
          </w:tcPr>
          <w:p w14:paraId="10C841FF" w14:textId="77777777" w:rsidR="006A1EE7" w:rsidRPr="006A1EE7" w:rsidRDefault="006A1EE7" w:rsidP="006A2E9B">
            <w:pPr>
              <w:rPr>
                <w:sz w:val="20"/>
                <w:szCs w:val="20"/>
                <w:lang w:val="fr-FR"/>
              </w:rPr>
            </w:pPr>
            <w:r w:rsidRPr="006A1EE7">
              <w:rPr>
                <w:sz w:val="20"/>
                <w:lang w:val="fr-FR"/>
              </w:rPr>
              <w:t>Rapport sur le projet de reconversion des HFC au propane de l’installation de Petra Engineering Industries Co. fabriquant de grandes unités de climatisation de toiture monoblocs commerciales pouvant atteindre 400 kW</w:t>
            </w:r>
          </w:p>
        </w:tc>
        <w:tc>
          <w:tcPr>
            <w:tcW w:w="3061" w:type="dxa"/>
          </w:tcPr>
          <w:p w14:paraId="6D987DD2" w14:textId="77777777" w:rsidR="006A1EE7" w:rsidRPr="006A1EE7" w:rsidRDefault="006A1EE7" w:rsidP="006A2E9B">
            <w:pPr>
              <w:rPr>
                <w:sz w:val="20"/>
                <w:szCs w:val="20"/>
                <w:lang w:val="fr-FR"/>
              </w:rPr>
            </w:pPr>
            <w:r w:rsidRPr="006A1EE7">
              <w:rPr>
                <w:sz w:val="20"/>
                <w:lang w:val="fr-FR"/>
              </w:rPr>
              <w:t>Demande d’orientation sur la souplesse pour affecter un financement approuvé des surcoûts de fonctionnement aux surcoûts d'investissement, et sur la décision de détruire ou de rendre inutilisables certains équipements de base</w:t>
            </w:r>
          </w:p>
        </w:tc>
        <w:tc>
          <w:tcPr>
            <w:tcW w:w="1615" w:type="dxa"/>
          </w:tcPr>
          <w:p w14:paraId="0E1FC53F" w14:textId="77777777" w:rsidR="006A1EE7" w:rsidRPr="006A1EE7" w:rsidRDefault="006A1EE7" w:rsidP="006A2E9B">
            <w:pPr>
              <w:jc w:val="center"/>
              <w:rPr>
                <w:sz w:val="20"/>
                <w:szCs w:val="20"/>
                <w:lang w:val="fr-FR"/>
              </w:rPr>
            </w:pPr>
            <w:r w:rsidRPr="006A1EE7">
              <w:rPr>
                <w:sz w:val="20"/>
                <w:lang w:val="fr-FR"/>
              </w:rPr>
              <w:t>219 – 237</w:t>
            </w:r>
          </w:p>
        </w:tc>
      </w:tr>
      <w:tr w:rsidR="006A1EE7" w:rsidRPr="006A1EE7" w14:paraId="5872999D" w14:textId="77777777" w:rsidTr="006A2E9B">
        <w:tc>
          <w:tcPr>
            <w:tcW w:w="2337" w:type="dxa"/>
          </w:tcPr>
          <w:p w14:paraId="43AC6DC4" w14:textId="77777777" w:rsidR="006A1EE7" w:rsidRPr="006A1EE7" w:rsidRDefault="006A1EE7" w:rsidP="006A2E9B">
            <w:pPr>
              <w:rPr>
                <w:sz w:val="20"/>
                <w:szCs w:val="20"/>
                <w:lang w:val="fr-FR"/>
              </w:rPr>
            </w:pPr>
            <w:r w:rsidRPr="006A1EE7">
              <w:rPr>
                <w:sz w:val="20"/>
                <w:lang w:val="fr-FR"/>
              </w:rPr>
              <w:t>Seize pays</w:t>
            </w:r>
          </w:p>
        </w:tc>
        <w:tc>
          <w:tcPr>
            <w:tcW w:w="2337" w:type="dxa"/>
          </w:tcPr>
          <w:p w14:paraId="48FBCA8D" w14:textId="77777777" w:rsidR="006A1EE7" w:rsidRPr="006A1EE7" w:rsidRDefault="006A1EE7" w:rsidP="006A2E9B">
            <w:pPr>
              <w:rPr>
                <w:sz w:val="20"/>
                <w:szCs w:val="20"/>
                <w:lang w:val="fr-FR"/>
              </w:rPr>
            </w:pPr>
            <w:r w:rsidRPr="006A1EE7">
              <w:rPr>
                <w:sz w:val="20"/>
                <w:lang w:val="fr-FR"/>
              </w:rPr>
              <w:t>Demandes de report des dates d’achèvement des activités de facilitation de la réduction progressive des HFC</w:t>
            </w:r>
          </w:p>
        </w:tc>
        <w:tc>
          <w:tcPr>
            <w:tcW w:w="3061" w:type="dxa"/>
          </w:tcPr>
          <w:p w14:paraId="7E964E99" w14:textId="77777777" w:rsidR="006A1EE7" w:rsidRPr="006A1EE7" w:rsidRDefault="006A1EE7" w:rsidP="006A2E9B">
            <w:pPr>
              <w:rPr>
                <w:sz w:val="20"/>
                <w:szCs w:val="20"/>
                <w:lang w:val="fr-FR"/>
              </w:rPr>
            </w:pPr>
            <w:r w:rsidRPr="006A1EE7">
              <w:rPr>
                <w:sz w:val="20"/>
                <w:lang w:val="fr-FR"/>
              </w:rPr>
              <w:t>Achèvement du projet des activités de facilitation retardé et approbation du report par le Comité exécutif nécessaire pour l’achèvement des autres activités au titre des projets pertinents</w:t>
            </w:r>
          </w:p>
        </w:tc>
        <w:tc>
          <w:tcPr>
            <w:tcW w:w="1615" w:type="dxa"/>
          </w:tcPr>
          <w:p w14:paraId="67523971" w14:textId="77777777" w:rsidR="006A1EE7" w:rsidRPr="006A1EE7" w:rsidRDefault="006A1EE7" w:rsidP="006A2E9B">
            <w:pPr>
              <w:jc w:val="center"/>
              <w:rPr>
                <w:sz w:val="20"/>
                <w:szCs w:val="20"/>
                <w:lang w:val="fr-FR"/>
              </w:rPr>
            </w:pPr>
            <w:r w:rsidRPr="006A1EE7">
              <w:rPr>
                <w:sz w:val="20"/>
                <w:lang w:val="fr-FR"/>
              </w:rPr>
              <w:t>238 - 243</w:t>
            </w:r>
          </w:p>
        </w:tc>
      </w:tr>
    </w:tbl>
    <w:p w14:paraId="3F7BF5A6" w14:textId="77777777" w:rsidR="006A1EE7" w:rsidRPr="006A1EE7" w:rsidRDefault="006A1EE7" w:rsidP="006A1EE7">
      <w:pPr>
        <w:rPr>
          <w:lang w:val="fr-FR"/>
        </w:rPr>
      </w:pPr>
    </w:p>
    <w:p w14:paraId="118BC470" w14:textId="77777777" w:rsidR="006A1EE7" w:rsidRPr="006A1EE7" w:rsidRDefault="006A1EE7" w:rsidP="006A1EE7">
      <w:pPr>
        <w:rPr>
          <w:sz w:val="24"/>
          <w:szCs w:val="24"/>
          <w:lang w:val="fr-FR"/>
        </w:rPr>
      </w:pPr>
    </w:p>
    <w:p w14:paraId="39FBBC14" w14:textId="77777777" w:rsidR="006A1EE7" w:rsidRPr="006A1EE7" w:rsidRDefault="006A1EE7" w:rsidP="006A1EE7">
      <w:pPr>
        <w:ind w:left="1440"/>
        <w:rPr>
          <w:b/>
          <w:sz w:val="24"/>
          <w:szCs w:val="24"/>
          <w:lang w:val="fr-FR"/>
        </w:rPr>
      </w:pPr>
      <w:r w:rsidRPr="006A1EE7">
        <w:rPr>
          <w:b/>
          <w:sz w:val="24"/>
          <w:lang w:val="fr-FR"/>
        </w:rPr>
        <w:t>II.2</w:t>
      </w:r>
      <w:r w:rsidRPr="006A1EE7">
        <w:rPr>
          <w:b/>
          <w:sz w:val="24"/>
          <w:lang w:val="fr-FR"/>
        </w:rPr>
        <w:tab/>
        <w:t xml:space="preserve">Pour approbation générale </w:t>
      </w:r>
    </w:p>
    <w:p w14:paraId="096B185F" w14:textId="77777777" w:rsidR="006A1EE7" w:rsidRPr="006A1EE7" w:rsidRDefault="006A1EE7" w:rsidP="006A1EE7">
      <w:pPr>
        <w:rPr>
          <w:lang w:val="fr-FR"/>
        </w:rPr>
      </w:pPr>
    </w:p>
    <w:p w14:paraId="6C92A477" w14:textId="0D9EF57A" w:rsidR="006A1EE7" w:rsidRDefault="006A1EE7" w:rsidP="006A1EE7">
      <w:pPr>
        <w:pStyle w:val="Heading1"/>
        <w:rPr>
          <w:lang w:val="fr-FR"/>
        </w:rPr>
      </w:pPr>
      <w:r w:rsidRPr="006A1EE7">
        <w:rPr>
          <w:lang w:val="fr-FR"/>
        </w:rPr>
        <w:t xml:space="preserve">Cette partie comprend des rapports sur les projets associés aux plans de gestion de l’élimination des HCFC, un rapport sur un projet relatif aux HFC et un rapport sur un projet traitant des substances à faible </w:t>
      </w:r>
      <w:r w:rsidR="0026119A">
        <w:rPr>
          <w:lang w:val="fr-FR"/>
        </w:rPr>
        <w:t>PRG</w:t>
      </w:r>
      <w:r w:rsidRPr="006A1EE7">
        <w:rPr>
          <w:lang w:val="fr-FR"/>
        </w:rPr>
        <w:t>.</w:t>
      </w:r>
    </w:p>
    <w:p w14:paraId="041C3C86" w14:textId="77777777" w:rsidR="006023A6" w:rsidRDefault="006023A6" w:rsidP="006023A6">
      <w:pPr>
        <w:rPr>
          <w:lang w:val="fr-FR"/>
        </w:rPr>
      </w:pPr>
    </w:p>
    <w:p w14:paraId="4A4A9AAD" w14:textId="77777777" w:rsidR="006023A6" w:rsidRDefault="006023A6" w:rsidP="006023A6">
      <w:pPr>
        <w:rPr>
          <w:lang w:val="fr-FR"/>
        </w:rPr>
      </w:pPr>
    </w:p>
    <w:p w14:paraId="2B1CA8F4" w14:textId="77777777" w:rsidR="006023A6" w:rsidRPr="006023A6" w:rsidRDefault="006023A6" w:rsidP="006023A6">
      <w:pPr>
        <w:rPr>
          <w:lang w:val="fr-FR"/>
        </w:rPr>
      </w:pPr>
    </w:p>
    <w:p w14:paraId="50BC4CA9" w14:textId="77777777" w:rsidR="006A1EE7" w:rsidRPr="006023A6" w:rsidRDefault="006A1EE7" w:rsidP="006023A6">
      <w:pPr>
        <w:pStyle w:val="ListParagraph"/>
        <w:numPr>
          <w:ilvl w:val="0"/>
          <w:numId w:val="23"/>
        </w:numPr>
        <w:rPr>
          <w:b/>
        </w:rPr>
      </w:pPr>
      <w:r w:rsidRPr="006023A6">
        <w:rPr>
          <w:b/>
          <w:lang w:val="fr-CA"/>
        </w:rPr>
        <w:t>Rapports en lien avec les plans de gestion de l’élimination des HCFC</w:t>
      </w:r>
    </w:p>
    <w:p w14:paraId="62D5CABB" w14:textId="77777777" w:rsidR="006A1EE7" w:rsidRPr="006A1EE7" w:rsidRDefault="006A1EE7" w:rsidP="006A1EE7">
      <w:pPr>
        <w:rPr>
          <w:lang w:val="fr-FR"/>
        </w:rPr>
      </w:pPr>
    </w:p>
    <w:p w14:paraId="3ECF51E2" w14:textId="77777777" w:rsidR="006A1EE7" w:rsidRPr="006A1EE7" w:rsidRDefault="006A1EE7" w:rsidP="006A1EE7">
      <w:pPr>
        <w:spacing w:after="240"/>
        <w:rPr>
          <w:b/>
          <w:bCs/>
          <w:u w:val="single"/>
          <w:lang w:val="fr-FR"/>
        </w:rPr>
      </w:pPr>
      <w:r w:rsidRPr="006A1EE7">
        <w:rPr>
          <w:b/>
          <w:u w:val="single"/>
          <w:lang w:val="fr-FR"/>
        </w:rPr>
        <w:t>Argentine : Plan de gestion de l’élimination des HCFC (phase II – compte rendu mis à jour sur la viabilité financière de l’entreprise Celpack)</w:t>
      </w:r>
      <w:r w:rsidRPr="006A1EE7">
        <w:rPr>
          <w:b/>
          <w:lang w:val="fr-FR"/>
        </w:rPr>
        <w:t xml:space="preserve"> (ONUDI et gouvernement de l’Italie)</w:t>
      </w:r>
    </w:p>
    <w:p w14:paraId="32851ECC" w14:textId="77777777" w:rsidR="006A1EE7" w:rsidRPr="006A1EE7" w:rsidRDefault="006A1EE7" w:rsidP="006A1EE7">
      <w:pPr>
        <w:spacing w:after="240"/>
        <w:rPr>
          <w:b/>
          <w:lang w:val="fr-FR"/>
        </w:rPr>
      </w:pPr>
      <w:r w:rsidRPr="006A1EE7">
        <w:rPr>
          <w:b/>
          <w:lang w:val="fr-FR"/>
        </w:rPr>
        <w:t>Contexte</w:t>
      </w:r>
    </w:p>
    <w:p w14:paraId="37FB4DD4" w14:textId="77777777" w:rsidR="006A1EE7" w:rsidRPr="006A1EE7" w:rsidRDefault="006A1EE7" w:rsidP="006A1EE7">
      <w:pPr>
        <w:pStyle w:val="Heading1"/>
        <w:rPr>
          <w:lang w:val="fr-FR"/>
        </w:rPr>
      </w:pPr>
      <w:r w:rsidRPr="006A1EE7">
        <w:rPr>
          <w:lang w:val="fr-FR"/>
        </w:rPr>
        <w:t>À sa 84</w:t>
      </w:r>
      <w:r w:rsidRPr="006A1EE7">
        <w:rPr>
          <w:vertAlign w:val="superscript"/>
          <w:lang w:val="fr-FR"/>
        </w:rPr>
        <w:t>e</w:t>
      </w:r>
      <w:r w:rsidRPr="006A1EE7">
        <w:rPr>
          <w:lang w:val="fr-FR"/>
        </w:rPr>
        <w:t> réunion, le Comité exécutif a examiné la demande de financement de la deuxième tranche de la phase II du PGEH pour l’Argentine.</w:t>
      </w:r>
      <w:r w:rsidRPr="006A1EE7">
        <w:rPr>
          <w:rStyle w:val="FootnoteReference"/>
          <w:lang w:val="fr-FR"/>
        </w:rPr>
        <w:footnoteReference w:id="5"/>
      </w:r>
      <w:r w:rsidRPr="006A1EE7">
        <w:rPr>
          <w:lang w:val="fr-FR"/>
        </w:rPr>
        <w:t xml:space="preserve"> La demande comprenait un rapport périodique indiquant notamment que la reconversion de l’entreprise de fabrication de mousse de polystyrène extrudé Celpack du HCFC-22 au CO</w:t>
      </w:r>
      <w:r w:rsidRPr="006A1EE7">
        <w:rPr>
          <w:vertAlign w:val="subscript"/>
          <w:lang w:val="fr-FR"/>
        </w:rPr>
        <w:t>2</w:t>
      </w:r>
      <w:r w:rsidRPr="006A1EE7">
        <w:rPr>
          <w:lang w:val="fr-FR"/>
        </w:rPr>
        <w:t xml:space="preserve"> avait été retardée à cause des difficultés économiques auxquelles faisait face l’entreprise et de son intérêt à évaluer le butane comme solution de remplacement des HCFC. En approuvant la tranche de financement, le Comité a demandé à l’ONUDI de remettre, à la 85</w:t>
      </w:r>
      <w:r w:rsidRPr="006A1EE7">
        <w:rPr>
          <w:vertAlign w:val="superscript"/>
          <w:lang w:val="fr-FR"/>
        </w:rPr>
        <w:t>e</w:t>
      </w:r>
      <w:r w:rsidRPr="006A1EE7">
        <w:rPr>
          <w:lang w:val="fr-FR"/>
        </w:rPr>
        <w:t> réunion, un compte rendu mis à jour sur la viabilité financière de l’entreprise et d’indiquer si elle comptait faire appel à l’assistance du Fonds multilatéral, étant entendu que les sommes destinées à la reconversion devront être restituées si l’entreprise est retirée du projet (décision 84/64(d)(ii)).</w:t>
      </w:r>
    </w:p>
    <w:p w14:paraId="3EE59010" w14:textId="77777777" w:rsidR="006A1EE7" w:rsidRPr="006A1EE7" w:rsidRDefault="006A1EE7" w:rsidP="006A1EE7">
      <w:pPr>
        <w:pStyle w:val="Heading1"/>
        <w:rPr>
          <w:lang w:val="fr-FR"/>
        </w:rPr>
      </w:pPr>
      <w:r w:rsidRPr="006A1EE7">
        <w:rPr>
          <w:lang w:val="fr-FR"/>
        </w:rPr>
        <w:t xml:space="preserve">Conformément à la décision 84/64(d)(ii), l’ONUDI a remis des rapports périodiques à chacune des réunions du Comité exécutif </w:t>
      </w:r>
      <w:r w:rsidRPr="006A1EE7">
        <w:rPr>
          <w:rStyle w:val="FootnoteReference"/>
          <w:lang w:val="fr-FR"/>
        </w:rPr>
        <w:footnoteReference w:id="6"/>
      </w:r>
      <w:r w:rsidRPr="006A1EE7">
        <w:rPr>
          <w:lang w:val="fr-FR"/>
        </w:rPr>
        <w:t xml:space="preserve"> depuis la 84</w:t>
      </w:r>
      <w:r w:rsidRPr="006A1EE7">
        <w:rPr>
          <w:vertAlign w:val="superscript"/>
          <w:lang w:val="fr-FR"/>
        </w:rPr>
        <w:t>e</w:t>
      </w:r>
      <w:r w:rsidRPr="006A1EE7">
        <w:rPr>
          <w:lang w:val="fr-FR"/>
        </w:rPr>
        <w:t> réunion, indiquant que la majorité de la dette de Celpack concernait l’Agence fédérale des revenus publics (AFIP), et que le parlement de l'Argentine, reconnaissant l'incidence économique de la COVID</w:t>
      </w:r>
      <w:r w:rsidRPr="006A1EE7">
        <w:rPr>
          <w:lang w:val="fr-FR"/>
        </w:rPr>
        <w:noBreakHyphen/>
        <w:t>19, a approuvé un moratoire pour les dettes de financement à échéance du 31 juillet 2020. Depuis lors, Celpack rembourse sa dette conformément au calendrier approuvé par les autorités fiscales. Il était attendu que ceci ait un impact positif sur la viabilité financière de l’entreprise.</w:t>
      </w:r>
    </w:p>
    <w:p w14:paraId="07D48BAF" w14:textId="77777777" w:rsidR="006A1EE7" w:rsidRPr="006A1EE7" w:rsidRDefault="006A1EE7" w:rsidP="006A1EE7">
      <w:pPr>
        <w:pStyle w:val="Heading1"/>
        <w:keepNext/>
        <w:widowControl w:val="0"/>
        <w:numPr>
          <w:ilvl w:val="0"/>
          <w:numId w:val="0"/>
        </w:numPr>
        <w:rPr>
          <w:b/>
          <w:lang w:val="fr-FR"/>
        </w:rPr>
      </w:pPr>
      <w:r w:rsidRPr="006A1EE7">
        <w:rPr>
          <w:b/>
          <w:lang w:val="fr-FR"/>
        </w:rPr>
        <w:t xml:space="preserve">Rapport périodique </w:t>
      </w:r>
    </w:p>
    <w:p w14:paraId="7FFF7231" w14:textId="77777777" w:rsidR="006A1EE7" w:rsidRPr="006A1EE7" w:rsidRDefault="006A1EE7" w:rsidP="006A1EE7">
      <w:pPr>
        <w:pStyle w:val="Heading1"/>
        <w:rPr>
          <w:lang w:val="fr-FR"/>
        </w:rPr>
      </w:pPr>
      <w:r w:rsidRPr="006A1EE7">
        <w:rPr>
          <w:lang w:val="fr-FR"/>
        </w:rPr>
        <w:t>L’ONUDI a remis un compte rendu mis à jour à la 90</w:t>
      </w:r>
      <w:r w:rsidRPr="006A1EE7">
        <w:rPr>
          <w:vertAlign w:val="superscript"/>
          <w:lang w:val="fr-FR"/>
        </w:rPr>
        <w:t>e</w:t>
      </w:r>
      <w:r w:rsidRPr="006A1EE7">
        <w:rPr>
          <w:lang w:val="fr-FR"/>
        </w:rPr>
        <w:t> réunion, indiquant que Celpack a continué à satisfaire à tous les paiements programmés tels qu’approuvés par l’AFIP. Le gouvernement de l’Argentine et l’ONUDI ont affirmé qu’ils continueraient à surveiller la situation financière de Celpack, et le gouvernement a également répété que le financement associé à Celpack ne serait pas décaissé tant que le problème n’aura pas été résolu (c’est-à-dire que la bonne santé financière de l’entreprise soit confirmée) et sa résolution examinée par le Comité exécutif. Si l’entreprise devait être déclarée non viable financièrement, les sommes à restituer au Fonds multilatéral seraient calculées en tenant compte des dispositions de souplesse appliquées pour l’approbation des fonds pour le secteur de la mousse de polystyrène extrudé en Argentine.</w:t>
      </w:r>
      <w:r w:rsidRPr="006A1EE7">
        <w:rPr>
          <w:rStyle w:val="FootnoteReference"/>
          <w:lang w:val="fr-FR"/>
        </w:rPr>
        <w:footnoteReference w:id="7"/>
      </w:r>
      <w:r w:rsidRPr="006A1EE7">
        <w:rPr>
          <w:lang w:val="fr-FR"/>
        </w:rPr>
        <w:t xml:space="preserve"> </w:t>
      </w:r>
    </w:p>
    <w:p w14:paraId="05CCB5CB" w14:textId="77777777" w:rsidR="006A1EE7" w:rsidRPr="006A1EE7" w:rsidRDefault="006A1EE7" w:rsidP="006A1EE7">
      <w:pPr>
        <w:pStyle w:val="Heading1"/>
        <w:keepNext/>
        <w:keepLines/>
        <w:numPr>
          <w:ilvl w:val="0"/>
          <w:numId w:val="0"/>
        </w:numPr>
        <w:rPr>
          <w:b/>
          <w:lang w:val="fr-FR"/>
        </w:rPr>
      </w:pPr>
      <w:r w:rsidRPr="006A1EE7">
        <w:rPr>
          <w:b/>
          <w:lang w:val="fr-FR"/>
        </w:rPr>
        <w:t>Recommandation</w:t>
      </w:r>
    </w:p>
    <w:p w14:paraId="1966E71E" w14:textId="77777777" w:rsidR="006A1EE7" w:rsidRPr="006A1EE7" w:rsidRDefault="006A1EE7" w:rsidP="006A1EE7">
      <w:pPr>
        <w:pStyle w:val="Heading1"/>
        <w:rPr>
          <w:lang w:val="fr-FR"/>
        </w:rPr>
      </w:pPr>
      <w:r w:rsidRPr="006A1EE7">
        <w:rPr>
          <w:lang w:val="fr-FR"/>
        </w:rPr>
        <w:t>Le Comité exécutif pourrait envisager :</w:t>
      </w:r>
    </w:p>
    <w:p w14:paraId="1BBD307C" w14:textId="78384CBD" w:rsidR="006A1EE7" w:rsidRPr="006A1EE7" w:rsidRDefault="00307928" w:rsidP="006A1EE7">
      <w:pPr>
        <w:pStyle w:val="Heading2"/>
        <w:rPr>
          <w:lang w:val="fr-FR"/>
        </w:rPr>
      </w:pPr>
      <w:r>
        <w:rPr>
          <w:lang w:val="fr-FR"/>
        </w:rPr>
        <w:t>D</w:t>
      </w:r>
      <w:r w:rsidR="006A1EE7" w:rsidRPr="006A1EE7">
        <w:rPr>
          <w:lang w:val="fr-FR"/>
        </w:rPr>
        <w:t xml:space="preserve">e prendre note du compte rendu mis à jour sur la viabilité financière de l’entreprise de fabrication de mousse de polystyrène extrudé Celpack financée au titre de la phase II du plan de gestion de l’élimination des HCFC pour l’Argentine, présenté par l’ONUDI et figurant dans le document UNEP/Ozl.Pro/ExCom/90/9 ; </w:t>
      </w:r>
    </w:p>
    <w:p w14:paraId="43F9BC92" w14:textId="429592A7" w:rsidR="006A1EE7" w:rsidRPr="006A1EE7" w:rsidRDefault="00307928" w:rsidP="006A1EE7">
      <w:pPr>
        <w:pStyle w:val="Heading2"/>
        <w:rPr>
          <w:lang w:val="fr-FR"/>
        </w:rPr>
      </w:pPr>
      <w:r>
        <w:rPr>
          <w:lang w:val="fr-FR"/>
        </w:rPr>
        <w:t>D</w:t>
      </w:r>
      <w:r w:rsidR="006A1EE7" w:rsidRPr="006A1EE7">
        <w:rPr>
          <w:lang w:val="fr-FR"/>
        </w:rPr>
        <w:t>e demander au gouvernement de l’Argentine, par l’entremise de l’ONUDI, de remettre à la 91</w:t>
      </w:r>
      <w:r w:rsidR="006A1EE7" w:rsidRPr="006A1EE7">
        <w:rPr>
          <w:vertAlign w:val="superscript"/>
          <w:lang w:val="fr-FR"/>
        </w:rPr>
        <w:t>e</w:t>
      </w:r>
      <w:r w:rsidR="006A1EE7" w:rsidRPr="006A1EE7">
        <w:rPr>
          <w:lang w:val="fr-FR"/>
        </w:rPr>
        <w:t> réunion un compte rendu mis à jour sur la viabilité financière de l’entreprise de fabrication de mousse de polystyrène extrudé Celpack et de lui faire connaître sa décision de fournir ou non l’assistance du Fonds multilatéral à l’entreprise au titre de la phase II du PGEH pour l’Argentine, conformément à la décision 84/64(d)(ii) ; et</w:t>
      </w:r>
    </w:p>
    <w:p w14:paraId="5EC3F75E" w14:textId="380BFE08" w:rsidR="006A1EE7" w:rsidRPr="006A1EE7" w:rsidRDefault="00307928" w:rsidP="006A1EE7">
      <w:pPr>
        <w:pStyle w:val="Heading2"/>
        <w:rPr>
          <w:lang w:val="fr-FR"/>
        </w:rPr>
      </w:pPr>
      <w:r>
        <w:rPr>
          <w:lang w:val="fr-FR"/>
        </w:rPr>
        <w:t>D</w:t>
      </w:r>
      <w:r w:rsidR="006A1EE7" w:rsidRPr="006A1EE7">
        <w:rPr>
          <w:lang w:val="fr-FR"/>
        </w:rPr>
        <w:t>e prendre note que si l’entreprise dont il est question à l’alinéa (b) ci-dessus ne reçoit pas l’assistance du Fonds multilatéral, les sommes associées à la reconversion seraient calculées en tenant compte de la souplesse accordée au gouvernement de l’Argentine dans l’affectation des fonds approuvés pour le secteur de la mousse de polystyrène extrudée et soustraites de la prochaine tranche de la phase II du PGEH pour l’Argentine.</w:t>
      </w:r>
    </w:p>
    <w:p w14:paraId="1EF5B22F" w14:textId="77777777" w:rsidR="006A1EE7" w:rsidRPr="006A1EE7" w:rsidRDefault="006A1EE7" w:rsidP="006A1EE7">
      <w:pPr>
        <w:keepNext/>
        <w:keepLines/>
        <w:rPr>
          <w:b/>
          <w:bCs/>
          <w:u w:val="single"/>
          <w:lang w:val="fr-FR"/>
        </w:rPr>
      </w:pPr>
      <w:r w:rsidRPr="006A1EE7">
        <w:rPr>
          <w:b/>
          <w:u w:val="single"/>
          <w:lang w:val="fr-FR"/>
        </w:rPr>
        <w:t>Bahreïn : Plan de gestion de l’élimination des HCFC (phase I – rapport périodique)</w:t>
      </w:r>
      <w:r w:rsidRPr="006A1EE7">
        <w:rPr>
          <w:b/>
          <w:lang w:val="fr-FR"/>
        </w:rPr>
        <w:t xml:space="preserve"> (PNUE et ONUDI)</w:t>
      </w:r>
    </w:p>
    <w:p w14:paraId="52C1712A" w14:textId="77777777" w:rsidR="006A1EE7" w:rsidRPr="006A1EE7" w:rsidRDefault="006A1EE7" w:rsidP="006A1EE7">
      <w:pPr>
        <w:keepNext/>
        <w:keepLines/>
        <w:rPr>
          <w:lang w:val="fr-FR"/>
        </w:rPr>
      </w:pPr>
    </w:p>
    <w:p w14:paraId="621F4C05" w14:textId="77777777" w:rsidR="006A1EE7" w:rsidRPr="006A1EE7" w:rsidRDefault="006A1EE7" w:rsidP="006A1EE7">
      <w:pPr>
        <w:keepNext/>
        <w:keepLines/>
        <w:rPr>
          <w:b/>
          <w:lang w:val="fr-FR"/>
        </w:rPr>
      </w:pPr>
      <w:r w:rsidRPr="006A1EE7">
        <w:rPr>
          <w:b/>
          <w:lang w:val="fr-FR"/>
        </w:rPr>
        <w:t>Contexte</w:t>
      </w:r>
    </w:p>
    <w:p w14:paraId="65B44E01" w14:textId="77777777" w:rsidR="006A1EE7" w:rsidRPr="006A1EE7" w:rsidRDefault="006A1EE7" w:rsidP="006A1EE7">
      <w:pPr>
        <w:keepNext/>
        <w:keepLines/>
        <w:rPr>
          <w:lang w:val="fr-FR"/>
        </w:rPr>
      </w:pPr>
    </w:p>
    <w:p w14:paraId="512175AC" w14:textId="77777777" w:rsidR="006A1EE7" w:rsidRPr="006A1EE7" w:rsidRDefault="006A1EE7" w:rsidP="006A2E9B">
      <w:pPr>
        <w:pStyle w:val="Heading1"/>
        <w:rPr>
          <w:lang w:val="fr-FR"/>
        </w:rPr>
      </w:pPr>
      <w:r w:rsidRPr="006A1EE7">
        <w:rPr>
          <w:lang w:val="fr-FR"/>
        </w:rPr>
        <w:t>La phase I du PGEH de Bahreïn a initialement été approuvée à la 68</w:t>
      </w:r>
      <w:r w:rsidRPr="006A1EE7">
        <w:rPr>
          <w:vertAlign w:val="superscript"/>
          <w:lang w:val="fr-FR"/>
        </w:rPr>
        <w:t>e</w:t>
      </w:r>
      <w:r w:rsidRPr="006A1EE7">
        <w:rPr>
          <w:lang w:val="fr-FR"/>
        </w:rPr>
        <w:t> réunion,</w:t>
      </w:r>
      <w:r w:rsidRPr="006A1EE7">
        <w:rPr>
          <w:vertAlign w:val="superscript"/>
          <w:lang w:val="fr-FR"/>
        </w:rPr>
        <w:footnoteReference w:id="8"/>
      </w:r>
      <w:r w:rsidRPr="006A1EE7">
        <w:rPr>
          <w:lang w:val="fr-FR"/>
        </w:rPr>
        <w:t xml:space="preserve"> mise à jour à la 80</w:t>
      </w:r>
      <w:r w:rsidRPr="006A1EE7">
        <w:rPr>
          <w:vertAlign w:val="superscript"/>
          <w:lang w:val="fr-FR"/>
        </w:rPr>
        <w:t>e</w:t>
      </w:r>
      <w:r w:rsidRPr="006A1EE7">
        <w:rPr>
          <w:lang w:val="fr-FR"/>
        </w:rPr>
        <w:t> réunion</w:t>
      </w:r>
      <w:r w:rsidRPr="006A1EE7">
        <w:rPr>
          <w:rStyle w:val="FootnoteReference"/>
          <w:lang w:val="fr-FR"/>
        </w:rPr>
        <w:footnoteReference w:id="9"/>
      </w:r>
      <w:r w:rsidRPr="006A1EE7">
        <w:rPr>
          <w:lang w:val="fr-FR"/>
        </w:rPr>
        <w:t xml:space="preserve"> et révisée à la 84</w:t>
      </w:r>
      <w:r w:rsidRPr="006A1EE7">
        <w:rPr>
          <w:vertAlign w:val="superscript"/>
          <w:lang w:val="fr-FR"/>
        </w:rPr>
        <w:t>e</w:t>
      </w:r>
      <w:r w:rsidRPr="006A1EE7">
        <w:rPr>
          <w:lang w:val="fr-FR"/>
        </w:rPr>
        <w:t> réunion,</w:t>
      </w:r>
      <w:r w:rsidRPr="006A1EE7">
        <w:rPr>
          <w:vertAlign w:val="superscript"/>
          <w:lang w:val="fr-FR"/>
        </w:rPr>
        <w:footnoteReference w:id="10"/>
      </w:r>
      <w:r w:rsidRPr="006A1EE7">
        <w:rPr>
          <w:lang w:val="fr-FR"/>
        </w:rPr>
        <w:t xml:space="preserve"> pour satisfaire à la réduction de 35 pour cent par rapport à la référence d’ici 2020, pour un montant total de 1 019 455 $ US, plus des coûts d’appui d’agence, afin d’éliminer 18,03 tonnes PAO de HCFC utilisés dans le secteur de l’entretien des équipements de réfrigération et de climatisation. À la 88</w:t>
      </w:r>
      <w:r w:rsidRPr="006A1EE7">
        <w:rPr>
          <w:vertAlign w:val="superscript"/>
          <w:lang w:val="fr-FR"/>
        </w:rPr>
        <w:t>e</w:t>
      </w:r>
      <w:r w:rsidRPr="006A1EE7">
        <w:rPr>
          <w:lang w:val="fr-FR"/>
        </w:rPr>
        <w:t> réunion, le gouvernement a demandé d’annuler la quatrième et dernière tranche et d’achever la phase I du PGEH d’ici la fin de 2021. Le Comité exécutif a pris note de l’annulation de la quatrième tranche, approuvé l’Accord mis à jour entre le gouvernement de Bahreïn et le Comité exécutif</w:t>
      </w:r>
      <w:r w:rsidRPr="006A1EE7">
        <w:rPr>
          <w:rStyle w:val="FootnoteReference"/>
          <w:lang w:val="fr-FR"/>
        </w:rPr>
        <w:footnoteReference w:id="11"/>
      </w:r>
      <w:r w:rsidRPr="006A1EE7">
        <w:rPr>
          <w:lang w:val="fr-FR"/>
        </w:rPr>
        <w:t xml:space="preserve"> afin de refléter l’annulation de la quatrième tranche, et demandé au gouvernement de Bahreïn, au PNUE et à l’ONUDI de remettre un rapport périodique sur la mise en œuvre du programme de travail associé à la troisième tranche et le rapport d'achèvement des projets à la 90</w:t>
      </w:r>
      <w:r w:rsidRPr="006A1EE7">
        <w:rPr>
          <w:vertAlign w:val="superscript"/>
          <w:lang w:val="fr-FR"/>
        </w:rPr>
        <w:t>e</w:t>
      </w:r>
      <w:r w:rsidRPr="006A1EE7">
        <w:rPr>
          <w:lang w:val="fr-FR"/>
        </w:rPr>
        <w:t> réunion ; et de restituer le solde du financement restant de la phase I du PGEH à la 91</w:t>
      </w:r>
      <w:r w:rsidRPr="006A1EE7">
        <w:rPr>
          <w:vertAlign w:val="superscript"/>
          <w:lang w:val="fr-FR"/>
        </w:rPr>
        <w:t>e</w:t>
      </w:r>
      <w:r w:rsidRPr="006A1EE7">
        <w:rPr>
          <w:lang w:val="fr-FR"/>
        </w:rPr>
        <w:t> réunion (décision 88/45).</w:t>
      </w:r>
    </w:p>
    <w:p w14:paraId="0BAC2440" w14:textId="77777777" w:rsidR="006A1EE7" w:rsidRPr="006A1EE7" w:rsidRDefault="006A1EE7" w:rsidP="006A2E9B">
      <w:pPr>
        <w:pStyle w:val="Heading1"/>
        <w:rPr>
          <w:lang w:val="fr-FR"/>
        </w:rPr>
      </w:pPr>
      <w:r w:rsidRPr="006A1EE7">
        <w:rPr>
          <w:lang w:val="fr-FR"/>
        </w:rPr>
        <w:t>Au nom du gouvernement de Bahreïn, le PNUE et l’ONUDI ont remis un rapport périodique sur la mise en œuvre du programme de travail associé à la troisième tranche. Un rapport d'achèvement des projets a également été remis à la 90</w:t>
      </w:r>
      <w:r w:rsidRPr="006A1EE7">
        <w:rPr>
          <w:vertAlign w:val="superscript"/>
          <w:lang w:val="fr-FR"/>
        </w:rPr>
        <w:t>e</w:t>
      </w:r>
      <w:r w:rsidRPr="006A1EE7">
        <w:rPr>
          <w:lang w:val="fr-FR"/>
        </w:rPr>
        <w:t> réunion.</w:t>
      </w:r>
    </w:p>
    <w:p w14:paraId="65F759C7" w14:textId="77777777" w:rsidR="006A1EE7" w:rsidRPr="006A1EE7" w:rsidRDefault="006A1EE7" w:rsidP="006C2F59">
      <w:pPr>
        <w:keepNext/>
        <w:keepLines/>
        <w:spacing w:after="120"/>
        <w:outlineLvl w:val="0"/>
        <w:rPr>
          <w:b/>
          <w:bCs/>
          <w:iCs/>
          <w:lang w:val="fr-FR"/>
        </w:rPr>
      </w:pPr>
      <w:r w:rsidRPr="006A1EE7">
        <w:rPr>
          <w:b/>
          <w:lang w:val="fr-FR"/>
        </w:rPr>
        <w:t>Consommation de HCFC</w:t>
      </w:r>
    </w:p>
    <w:p w14:paraId="5D3C1FC7" w14:textId="77777777" w:rsidR="006A1EE7" w:rsidRPr="006A1EE7" w:rsidRDefault="006A1EE7" w:rsidP="006A2E9B">
      <w:pPr>
        <w:pStyle w:val="Heading1"/>
        <w:rPr>
          <w:lang w:val="fr-FR"/>
        </w:rPr>
      </w:pPr>
      <w:r w:rsidRPr="006A1EE7">
        <w:rPr>
          <w:lang w:val="fr-FR"/>
        </w:rPr>
        <w:t xml:space="preserve">Le gouvernement de Bahreïn a communiqué une consommation de 24,61 tonnes PAO de HCFC-22 en 2021, ce qui représente 53 pour cent de moins que la valeur de référence définie aux fins de conformité de 51,9 tonnes PAO. De plus, le Royaume de Bahreïn a également importé 115,18 tonnes métriques de HCFC-141b contenu dans des polyols prémélangés, ce qui représente une augmentation de 28 pour cent par rapport à la quantité communiquée pour 2020.  </w:t>
      </w:r>
    </w:p>
    <w:p w14:paraId="669BF221" w14:textId="77777777" w:rsidR="006A1EE7" w:rsidRPr="006A1EE7" w:rsidRDefault="006A1EE7" w:rsidP="006C2F59">
      <w:pPr>
        <w:keepNext/>
        <w:keepLines/>
        <w:widowControl w:val="0"/>
        <w:spacing w:after="240"/>
        <w:outlineLvl w:val="0"/>
        <w:rPr>
          <w:b/>
          <w:bCs/>
          <w:iCs/>
          <w:lang w:val="fr-FR"/>
        </w:rPr>
      </w:pPr>
      <w:r w:rsidRPr="006A1EE7">
        <w:rPr>
          <w:b/>
          <w:lang w:val="fr-FR"/>
        </w:rPr>
        <w:t>Rapport périodique</w:t>
      </w:r>
    </w:p>
    <w:p w14:paraId="07A4B7DB" w14:textId="77777777" w:rsidR="006A1EE7" w:rsidRPr="006A1EE7" w:rsidRDefault="006A1EE7" w:rsidP="006A2E9B">
      <w:pPr>
        <w:pStyle w:val="Heading1"/>
        <w:rPr>
          <w:lang w:val="fr-FR"/>
        </w:rPr>
      </w:pPr>
      <w:r w:rsidRPr="006A1EE7">
        <w:rPr>
          <w:lang w:val="fr-FR"/>
        </w:rPr>
        <w:t>Les progrès faits dans la mise en œuvre des activités dans le secteur de l’entretien de l’équipement de réfrigération depuis la 88</w:t>
      </w:r>
      <w:r w:rsidRPr="006A1EE7">
        <w:rPr>
          <w:vertAlign w:val="superscript"/>
          <w:lang w:val="fr-FR"/>
        </w:rPr>
        <w:t>e</w:t>
      </w:r>
      <w:r w:rsidRPr="006A1EE7">
        <w:rPr>
          <w:lang w:val="fr-FR"/>
        </w:rPr>
        <w:t> réunion sont résumés ci-dessous :</w:t>
      </w:r>
    </w:p>
    <w:p w14:paraId="552DF432" w14:textId="60729849" w:rsidR="006A1EE7" w:rsidRPr="006A1EE7" w:rsidRDefault="00307928" w:rsidP="006C2F59">
      <w:pPr>
        <w:pStyle w:val="Heading2"/>
        <w:rPr>
          <w:lang w:val="fr-FR"/>
        </w:rPr>
      </w:pPr>
      <w:r>
        <w:rPr>
          <w:lang w:val="fr-FR"/>
        </w:rPr>
        <w:t>P</w:t>
      </w:r>
      <w:r w:rsidR="006A1EE7" w:rsidRPr="006A1EE7">
        <w:rPr>
          <w:lang w:val="fr-FR"/>
        </w:rPr>
        <w:t>réparation de documents de formation, et formation de 40 agents des douanes, 36 agents gouvernementaux, 60 importateurs et 64 distributeurs et négociants à l’application du système d’octroi de licences et de quotas et aux réglementations sur les SAO ; surveillance et prévention du commerce illicite ; formation de 25 négociants à la demande appropriée de licence avant d’importer ou de vendre/acheter des frigorigènes ;</w:t>
      </w:r>
    </w:p>
    <w:p w14:paraId="5EFDFF60" w14:textId="38734382" w:rsidR="006A1EE7" w:rsidRPr="006A1EE7" w:rsidRDefault="00307928" w:rsidP="006A1EE7">
      <w:pPr>
        <w:pStyle w:val="Heading2"/>
        <w:rPr>
          <w:lang w:val="fr-FR"/>
        </w:rPr>
      </w:pPr>
      <w:r>
        <w:rPr>
          <w:lang w:val="fr-FR"/>
        </w:rPr>
        <w:t>A</w:t>
      </w:r>
      <w:r w:rsidR="006A1EE7" w:rsidRPr="006A1EE7">
        <w:rPr>
          <w:lang w:val="fr-FR"/>
        </w:rPr>
        <w:t>chat de sept identificateurs de frigorigène pour la formation de 100 agents des douanes et d’exécution lors de quatre sessions sur l’identification des SAO et des frigorigènes de remplacement, car il n’y avait pas besoin d’autres identificateurs de frigorigène neufs ;</w:t>
      </w:r>
    </w:p>
    <w:p w14:paraId="513ADE37" w14:textId="26D0C2FA" w:rsidR="006A1EE7" w:rsidRPr="006A1EE7" w:rsidRDefault="00307928" w:rsidP="006A1EE7">
      <w:pPr>
        <w:pStyle w:val="Heading2"/>
        <w:rPr>
          <w:lang w:val="fr-FR"/>
        </w:rPr>
      </w:pPr>
      <w:r>
        <w:rPr>
          <w:lang w:val="fr-FR"/>
        </w:rPr>
        <w:t>T</w:t>
      </w:r>
      <w:r w:rsidR="006A1EE7" w:rsidRPr="006A1EE7">
        <w:rPr>
          <w:lang w:val="fr-FR"/>
        </w:rPr>
        <w:t>enue de quatre sessions de formation pour former 28 formateurs au cours de certification des techniciens, dédié à la récupération, au recyclage et à la régénération, au confinement et à la détection des fuites, à la manipulation sans danger des frigorigènes, et traitant de l’installation, de l’entretien et du fonctionnement des climatiseurs d’une capacité de refroidissement inférieure à 15 tonnes de réfrigération, supérieure à 15 tonnes de réfrigération, et des unités fonctionnant avec des frigorigènes de remplacement ;</w:t>
      </w:r>
    </w:p>
    <w:p w14:paraId="5A6BC3BD" w14:textId="468A3F74" w:rsidR="006A1EE7" w:rsidRPr="006A1EE7" w:rsidRDefault="00307928" w:rsidP="006A1EE7">
      <w:pPr>
        <w:pStyle w:val="Heading2"/>
        <w:keepNext/>
        <w:keepLines/>
        <w:rPr>
          <w:lang w:val="fr-FR"/>
        </w:rPr>
      </w:pPr>
      <w:r>
        <w:rPr>
          <w:lang w:val="fr-FR"/>
        </w:rPr>
        <w:t>F</w:t>
      </w:r>
      <w:r w:rsidR="006A1EE7" w:rsidRPr="006A1EE7">
        <w:rPr>
          <w:lang w:val="fr-FR"/>
        </w:rPr>
        <w:t>ormation de 150 techniciens à l’utilisation et à la manipulation des frigorigènes de remplacement inflammables et toxiques (HFC</w:t>
      </w:r>
      <w:r w:rsidR="006A1EE7" w:rsidRPr="006A1EE7">
        <w:rPr>
          <w:lang w:val="fr-FR"/>
        </w:rPr>
        <w:noBreakHyphen/>
        <w:t>32, R-290, R-600a et R-717) ; et</w:t>
      </w:r>
    </w:p>
    <w:p w14:paraId="734108BE" w14:textId="64FBA07E" w:rsidR="006A1EE7" w:rsidRPr="006A1EE7" w:rsidRDefault="00307928" w:rsidP="006A1EE7">
      <w:pPr>
        <w:pStyle w:val="Heading2"/>
        <w:rPr>
          <w:lang w:val="fr-FR"/>
        </w:rPr>
      </w:pPr>
      <w:r>
        <w:rPr>
          <w:lang w:val="fr-FR"/>
        </w:rPr>
        <w:t>É</w:t>
      </w:r>
      <w:r w:rsidR="006A1EE7" w:rsidRPr="006A1EE7">
        <w:rPr>
          <w:lang w:val="fr-FR"/>
        </w:rPr>
        <w:t xml:space="preserve">laboration et présentation de normes et codes nationaux, comprenant les exigences d’étiquetage ; les exigences d’enregistrement et de communication ; des normes relatives au fonctionnement des équipements aux hydrocarbures et à l’ammoniac ; et des procédures pour l’installation, l’exploitation et l’entretien des équipements utilisant des frigorigènes inflammables et toxiques. </w:t>
      </w:r>
    </w:p>
    <w:p w14:paraId="20F94E1F" w14:textId="77777777" w:rsidR="006A1EE7" w:rsidRPr="006A1EE7" w:rsidRDefault="006A1EE7" w:rsidP="006A1EE7">
      <w:pPr>
        <w:pStyle w:val="Heading1"/>
        <w:rPr>
          <w:lang w:val="fr-FR"/>
        </w:rPr>
      </w:pPr>
      <w:r w:rsidRPr="006A1EE7">
        <w:rPr>
          <w:lang w:val="fr-FR"/>
        </w:rPr>
        <w:t xml:space="preserve">Le Conseil suprême pour l'environnement, en collaboration avec la Société des ingénieurs de Bahreïn, a mise en œuvre le projet, suivi l’avancement et collecté des données pour rédiger des rapports. </w:t>
      </w:r>
    </w:p>
    <w:p w14:paraId="1736C0B9" w14:textId="77777777" w:rsidR="006A1EE7" w:rsidRPr="006A1EE7" w:rsidRDefault="006A1EE7" w:rsidP="006A1EE7">
      <w:pPr>
        <w:keepNext/>
        <w:spacing w:after="240"/>
        <w:outlineLvl w:val="0"/>
        <w:rPr>
          <w:b/>
          <w:bCs/>
          <w:iCs/>
          <w:lang w:val="fr-FR"/>
        </w:rPr>
      </w:pPr>
      <w:r w:rsidRPr="006A1EE7">
        <w:rPr>
          <w:b/>
          <w:lang w:val="fr-FR"/>
        </w:rPr>
        <w:t xml:space="preserve">Décaissement des fonds </w:t>
      </w:r>
    </w:p>
    <w:p w14:paraId="2A8C3B4C" w14:textId="77777777" w:rsidR="006A1EE7" w:rsidRPr="006A1EE7" w:rsidRDefault="006A1EE7" w:rsidP="006A2E9B">
      <w:pPr>
        <w:pStyle w:val="Heading1"/>
        <w:rPr>
          <w:lang w:val="fr-FR"/>
        </w:rPr>
      </w:pPr>
      <w:r w:rsidRPr="006A1EE7">
        <w:rPr>
          <w:lang w:val="fr-FR"/>
        </w:rPr>
        <w:t>En date d’avril 2022, des 994 455 $ US approuvés pour la phase I du PGEH,</w:t>
      </w:r>
      <w:r w:rsidRPr="006A1EE7">
        <w:rPr>
          <w:vertAlign w:val="superscript"/>
          <w:lang w:val="fr-FR"/>
        </w:rPr>
        <w:footnoteReference w:id="12"/>
      </w:r>
      <w:r w:rsidRPr="006A1EE7">
        <w:rPr>
          <w:lang w:val="fr-FR"/>
        </w:rPr>
        <w:t xml:space="preserve"> 984 455 $ US (99 pour cent) avaient été décaissés. Le solde de financement de 10 000 $ US sera décaissé en 2022. </w:t>
      </w:r>
    </w:p>
    <w:p w14:paraId="60CB8E07" w14:textId="77777777" w:rsidR="006A1EE7" w:rsidRPr="006A1EE7" w:rsidRDefault="006A1EE7" w:rsidP="006A1EE7">
      <w:pPr>
        <w:widowControl w:val="0"/>
        <w:spacing w:after="240"/>
        <w:outlineLvl w:val="0"/>
        <w:rPr>
          <w:b/>
          <w:bCs/>
          <w:lang w:val="fr-FR"/>
        </w:rPr>
      </w:pPr>
      <w:r w:rsidRPr="006A1EE7">
        <w:rPr>
          <w:b/>
          <w:lang w:val="fr-FR"/>
        </w:rPr>
        <w:t>Observations du Secrétariat</w:t>
      </w:r>
    </w:p>
    <w:p w14:paraId="7C147DF4" w14:textId="77777777" w:rsidR="006A1EE7" w:rsidRPr="006A1EE7" w:rsidRDefault="006A1EE7" w:rsidP="006A1EE7">
      <w:pPr>
        <w:pStyle w:val="Heading1"/>
        <w:rPr>
          <w:lang w:val="fr-FR"/>
        </w:rPr>
      </w:pPr>
      <w:r w:rsidRPr="006A1EE7">
        <w:rPr>
          <w:lang w:val="fr-FR"/>
        </w:rPr>
        <w:t>La mise en œuvre de la dernière tranche de la phase I du PGEH progresse bien et toutes les activités planifiées pour la troisième tranche ont été achevées. Le PNUE a fait savoir que tout solde des 10 000 $ US non décaissé dans les mois à venir sera restitué à la 91</w:t>
      </w:r>
      <w:r w:rsidRPr="006A1EE7">
        <w:rPr>
          <w:vertAlign w:val="superscript"/>
          <w:lang w:val="fr-FR"/>
        </w:rPr>
        <w:t>e</w:t>
      </w:r>
      <w:r w:rsidRPr="006A1EE7">
        <w:rPr>
          <w:lang w:val="fr-FR"/>
        </w:rPr>
        <w:t xml:space="preserve"> réunion. </w:t>
      </w:r>
    </w:p>
    <w:p w14:paraId="3930EA8F" w14:textId="77777777" w:rsidR="006A1EE7" w:rsidRPr="006A1EE7" w:rsidRDefault="006A1EE7" w:rsidP="006A1EE7">
      <w:pPr>
        <w:widowControl w:val="0"/>
        <w:tabs>
          <w:tab w:val="left" w:pos="720"/>
        </w:tabs>
        <w:spacing w:after="240"/>
        <w:outlineLvl w:val="0"/>
        <w:rPr>
          <w:b/>
          <w:lang w:val="fr-FR"/>
        </w:rPr>
      </w:pPr>
      <w:r w:rsidRPr="006A1EE7">
        <w:rPr>
          <w:b/>
          <w:lang w:val="fr-FR"/>
        </w:rPr>
        <w:t>Recommandation</w:t>
      </w:r>
    </w:p>
    <w:p w14:paraId="24A33F9A" w14:textId="77777777" w:rsidR="006A1EE7" w:rsidRPr="006A1EE7" w:rsidRDefault="006A1EE7" w:rsidP="006A1EE7">
      <w:pPr>
        <w:pStyle w:val="Heading1"/>
        <w:rPr>
          <w:lang w:val="fr-FR"/>
        </w:rPr>
      </w:pPr>
      <w:r w:rsidRPr="006A1EE7">
        <w:rPr>
          <w:lang w:val="fr-FR"/>
        </w:rPr>
        <w:t>Le Comité exécutif pourrait souhaiter prendre note du rapport périodique sur la mise en œuvre de la phase I du plan de gestion de l’élimination des HCFC pour Bahreïn, remis par le PNUE et l’ONUDI, et présenté dans le document UNEP/OzL.Pro/ExCom/90/9.</w:t>
      </w:r>
    </w:p>
    <w:p w14:paraId="25CBADA5" w14:textId="65D1161E" w:rsidR="006A1EE7" w:rsidRPr="006A1EE7" w:rsidRDefault="006A1EE7" w:rsidP="006A1EE7">
      <w:pPr>
        <w:rPr>
          <w:b/>
          <w:bCs/>
          <w:u w:val="single"/>
          <w:lang w:val="fr-FR"/>
        </w:rPr>
      </w:pPr>
      <w:r w:rsidRPr="006A1EE7">
        <w:rPr>
          <w:b/>
          <w:u w:val="single"/>
          <w:lang w:val="fr-FR"/>
        </w:rPr>
        <w:t xml:space="preserve">Brésil :  Plan de gestion de l'élimination des HCFC (phase II – rapport sur l'utilisation temporaire d'une technologie à fort </w:t>
      </w:r>
      <w:r w:rsidR="0026119A">
        <w:rPr>
          <w:b/>
          <w:u w:val="single"/>
          <w:lang w:val="fr-FR"/>
        </w:rPr>
        <w:t>PRG</w:t>
      </w:r>
      <w:r w:rsidRPr="006A1EE7">
        <w:rPr>
          <w:b/>
          <w:u w:val="single"/>
          <w:lang w:val="fr-FR"/>
        </w:rPr>
        <w:t xml:space="preserve"> par U-Tech)</w:t>
      </w:r>
      <w:r w:rsidRPr="006A1EE7">
        <w:rPr>
          <w:b/>
          <w:lang w:val="fr-FR"/>
        </w:rPr>
        <w:t xml:space="preserve"> (PNUD)</w:t>
      </w:r>
    </w:p>
    <w:p w14:paraId="11D15D59" w14:textId="77777777" w:rsidR="006A1EE7" w:rsidRPr="006A1EE7" w:rsidRDefault="006A1EE7" w:rsidP="006A1EE7">
      <w:pPr>
        <w:rPr>
          <w:lang w:val="fr-FR"/>
        </w:rPr>
      </w:pPr>
    </w:p>
    <w:p w14:paraId="27F6E0F9" w14:textId="77777777" w:rsidR="006A1EE7" w:rsidRPr="006A1EE7" w:rsidRDefault="006A1EE7" w:rsidP="006A1EE7">
      <w:pPr>
        <w:rPr>
          <w:b/>
          <w:bCs/>
          <w:lang w:val="fr-FR"/>
        </w:rPr>
      </w:pPr>
      <w:r w:rsidRPr="006A1EE7">
        <w:rPr>
          <w:b/>
          <w:lang w:val="fr-FR"/>
        </w:rPr>
        <w:t>Contexte</w:t>
      </w:r>
    </w:p>
    <w:p w14:paraId="4521686E" w14:textId="77777777" w:rsidR="006A1EE7" w:rsidRPr="006A1EE7" w:rsidRDefault="006A1EE7" w:rsidP="006A1EE7">
      <w:pPr>
        <w:rPr>
          <w:lang w:val="fr-FR"/>
        </w:rPr>
      </w:pPr>
    </w:p>
    <w:p w14:paraId="2DB011BD" w14:textId="77777777" w:rsidR="006A1EE7" w:rsidRPr="006A1EE7" w:rsidRDefault="006A1EE7" w:rsidP="006A1EE7">
      <w:pPr>
        <w:pStyle w:val="Heading1"/>
        <w:rPr>
          <w:lang w:val="fr-FR"/>
        </w:rPr>
      </w:pPr>
      <w:r w:rsidRPr="006A1EE7">
        <w:rPr>
          <w:lang w:val="fr-FR"/>
        </w:rPr>
        <w:t>À la 80</w:t>
      </w:r>
      <w:r w:rsidRPr="006A1EE7">
        <w:rPr>
          <w:vertAlign w:val="superscript"/>
          <w:lang w:val="fr-FR"/>
        </w:rPr>
        <w:t>e</w:t>
      </w:r>
      <w:r w:rsidRPr="006A1EE7">
        <w:rPr>
          <w:lang w:val="fr-FR"/>
        </w:rPr>
        <w:t xml:space="preserve"> réunion, le PNUD a informé le Secrétariat que la société de formulation U-Tech avait demandé d’utiliser temporairement du HFC-134 à la place du HCFC-22 dans des applications de gonflage de mousse, car les HFO n'étaient pas encore disponibles sur le marché national. U-Tech avait signé un engagement de cesser l’utilisation temporaire des mélanges de HFC lorsque les HFO seraient disponibles sur le marché, et les systèmes ont été établis et optimisés sans entrainer de coûts supplémentaires pour le Fonds multilatéral. </w:t>
      </w:r>
    </w:p>
    <w:p w14:paraId="56A547F7" w14:textId="139FFF74" w:rsidR="006A1EE7" w:rsidRPr="006A1EE7" w:rsidRDefault="006A1EE7" w:rsidP="006A1EE7">
      <w:pPr>
        <w:pStyle w:val="Heading1"/>
        <w:rPr>
          <w:lang w:val="fr-FR"/>
        </w:rPr>
      </w:pPr>
      <w:r w:rsidRPr="006A1EE7">
        <w:rPr>
          <w:lang w:val="fr-FR"/>
        </w:rPr>
        <w:t xml:space="preserve">En conséquence, le Comité exécutif a demandé au PNUD de continuer à aider U-Tech à assurer l’approvisionnement en technologies de remplacement choisies, étant entendu que les surcoûts de fonctionnement ne seront pas pris en charge tant que la technologie de remplacement choisie ou une autre technologie à faible </w:t>
      </w:r>
      <w:r w:rsidR="0026119A">
        <w:rPr>
          <w:lang w:val="fr-FR"/>
        </w:rPr>
        <w:t>PRG</w:t>
      </w:r>
      <w:r w:rsidRPr="006A1EE7">
        <w:rPr>
          <w:lang w:val="fr-FR"/>
        </w:rPr>
        <w:t xml:space="preserve"> n’aura pas été entièrement adoptée, et de faire rapport sur l’état d’utilisation de la technologie transitoire jusqu’à ce que la technologie choisie à l’origine ou une autre technologie à faible </w:t>
      </w:r>
      <w:r w:rsidR="0026119A">
        <w:rPr>
          <w:lang w:val="fr-FR"/>
        </w:rPr>
        <w:t>PRG</w:t>
      </w:r>
      <w:r w:rsidRPr="006A1EE7">
        <w:rPr>
          <w:lang w:val="fr-FR"/>
        </w:rPr>
        <w:t xml:space="preserve"> ait été entièrement adoptée (décision 80/12(e)). À la 81</w:t>
      </w:r>
      <w:r w:rsidRPr="006A1EE7">
        <w:rPr>
          <w:vertAlign w:val="superscript"/>
          <w:lang w:val="fr-FR"/>
        </w:rPr>
        <w:t>e</w:t>
      </w:r>
      <w:r w:rsidRPr="006A1EE7">
        <w:rPr>
          <w:lang w:val="fr-FR"/>
        </w:rPr>
        <w:t> réunion, le PNUD a également demandé de fournir à chaque réunion un compte rendu mis à jour des fournisseurs sur les progrès accomplis afin que les technologies choisies, y compris les composants associés, soient disponibles sur le marché national (décision 81/9(b)). Depuis, le PNUD a remis un rapport sur l’état de l’utilisation de la technologie transitoire à chaque réunion.</w:t>
      </w:r>
    </w:p>
    <w:p w14:paraId="1DC6B370" w14:textId="77777777" w:rsidR="006A1EE7" w:rsidRPr="006A1EE7" w:rsidRDefault="006A1EE7" w:rsidP="006A1EE7">
      <w:pPr>
        <w:pStyle w:val="Heading1"/>
        <w:keepNext/>
        <w:keepLines/>
        <w:rPr>
          <w:lang w:val="fr-FR"/>
        </w:rPr>
      </w:pPr>
      <w:r w:rsidRPr="006A1EE7">
        <w:rPr>
          <w:lang w:val="fr-FR"/>
        </w:rPr>
        <w:t>À la 88</w:t>
      </w:r>
      <w:r w:rsidRPr="006A1EE7">
        <w:rPr>
          <w:vertAlign w:val="superscript"/>
          <w:lang w:val="fr-FR"/>
        </w:rPr>
        <w:t>e</w:t>
      </w:r>
      <w:r w:rsidRPr="006A1EE7">
        <w:rPr>
          <w:lang w:val="fr-FR"/>
        </w:rPr>
        <w:t> réunion, le PNUD a indiqué qu’U-Tech avait conclus l’élaboration d’une formulation utilisant des HFO gazeux (Solstice GBA), en indiquant que le coût élevé de la substance en empêchait la viabilité commerciale. En outre, un incident dans une usine de production de HFO avait encore affecté la disponibilité des HFO au Brésil. Le Secrétariat a demandé si d’autres voies avaient été envisagées et, dans le cas contraire, quelle était le délai prévu pour le remplacement de l’utilisation temporaire de HFC-134a dans cette application (c’est-à-dire s’il était prévu que le prix du Solstice GBA diminue dans le temps prévu pour la mise en œuvre de la phase II). Le PNUD a confirmé que, si la disponibilité commerciale du Solstice GBA n’était pas établie d’ici 2024, le financement restant pour la reconversion de U</w:t>
      </w:r>
      <w:r w:rsidRPr="006A1EE7">
        <w:rPr>
          <w:lang w:val="fr-FR"/>
        </w:rPr>
        <w:noBreakHyphen/>
        <w:t>Tech associé à l’élimination du HCFC-22 serait restitué au Fonds d’ici la fin de la phase II.</w:t>
      </w:r>
    </w:p>
    <w:p w14:paraId="6ADE87F5" w14:textId="77777777" w:rsidR="006A1EE7" w:rsidRPr="006A1EE7" w:rsidRDefault="006A1EE7" w:rsidP="006A1EE7">
      <w:pPr>
        <w:pStyle w:val="Heading1"/>
        <w:rPr>
          <w:lang w:val="fr-FR"/>
        </w:rPr>
      </w:pPr>
      <w:r w:rsidRPr="006A1EE7">
        <w:rPr>
          <w:lang w:val="fr-FR"/>
        </w:rPr>
        <w:t>Conformément aux décisions 80/12(e) et 81/9(b), à la présente réunion, le PNUD a informé le Secrétariat qu’aucun progrès n’avait été effectué depuis la 88</w:t>
      </w:r>
      <w:r w:rsidRPr="006A1EE7">
        <w:rPr>
          <w:vertAlign w:val="superscript"/>
          <w:lang w:val="fr-FR"/>
        </w:rPr>
        <w:t>e</w:t>
      </w:r>
      <w:r w:rsidRPr="006A1EE7">
        <w:rPr>
          <w:lang w:val="fr-FR"/>
        </w:rPr>
        <w:t> réunion en ce qui concerne la situation de l’utilisation temporaire de HFC-134a par l’entreprise U-Tech.</w:t>
      </w:r>
    </w:p>
    <w:p w14:paraId="7612ABA6" w14:textId="77777777" w:rsidR="006A1EE7" w:rsidRPr="006A1EE7" w:rsidRDefault="006A1EE7" w:rsidP="006A1EE7">
      <w:pPr>
        <w:rPr>
          <w:b/>
          <w:bCs/>
          <w:lang w:val="fr-FR"/>
        </w:rPr>
      </w:pPr>
      <w:r w:rsidRPr="006A1EE7">
        <w:rPr>
          <w:b/>
          <w:lang w:val="fr-FR"/>
        </w:rPr>
        <w:t>Observations du Secrétariat</w:t>
      </w:r>
    </w:p>
    <w:p w14:paraId="45500401" w14:textId="77777777" w:rsidR="006A1EE7" w:rsidRPr="006A1EE7" w:rsidRDefault="006A1EE7" w:rsidP="006A1EE7">
      <w:pPr>
        <w:rPr>
          <w:lang w:val="fr-FR"/>
        </w:rPr>
      </w:pPr>
    </w:p>
    <w:p w14:paraId="29B66837" w14:textId="33DEC4E9" w:rsidR="006A1EE7" w:rsidRPr="006A1EE7" w:rsidRDefault="006A1EE7" w:rsidP="006A1EE7">
      <w:pPr>
        <w:pStyle w:val="Heading1"/>
        <w:rPr>
          <w:lang w:val="fr-FR"/>
        </w:rPr>
      </w:pPr>
      <w:r w:rsidRPr="006A1EE7">
        <w:rPr>
          <w:lang w:val="fr-FR"/>
        </w:rPr>
        <w:t>Prenant note que les problèmes liés à la disponibilité et au coût de la technologie de remplacement n’ont pas évolué depuis la 88</w:t>
      </w:r>
      <w:r w:rsidRPr="006A1EE7">
        <w:rPr>
          <w:vertAlign w:val="superscript"/>
          <w:lang w:val="fr-FR"/>
        </w:rPr>
        <w:t>e</w:t>
      </w:r>
      <w:r w:rsidRPr="006A1EE7">
        <w:rPr>
          <w:lang w:val="fr-FR"/>
        </w:rPr>
        <w:t> réunion, et que la mise en œuvre de la phase II se prolonge jusqu’en décembre 2024, le Secrétariat recommande, conformément aux décisions 80/12(e) et 81/9(b), que le PNUD continue à aider U</w:t>
      </w:r>
      <w:r w:rsidRPr="006A1EE7">
        <w:rPr>
          <w:lang w:val="fr-FR"/>
        </w:rPr>
        <w:noBreakHyphen/>
        <w:t xml:space="preserve">Tech à assurer l’approvisionnement en technologie de remplacement choisie ou d’une autre technologie à faible </w:t>
      </w:r>
      <w:r w:rsidR="0026119A">
        <w:rPr>
          <w:lang w:val="fr-FR"/>
        </w:rPr>
        <w:t>PRG</w:t>
      </w:r>
      <w:r w:rsidRPr="006A1EE7">
        <w:rPr>
          <w:lang w:val="fr-FR"/>
        </w:rPr>
        <w:t xml:space="preserve">, et à faire rapport de l’utilisation temporaire de HFC-134a par U-Tech et de l’état de disponibilité commerciale de la technologie de remplacement choisie. </w:t>
      </w:r>
    </w:p>
    <w:p w14:paraId="55C8D541" w14:textId="77777777" w:rsidR="006A1EE7" w:rsidRPr="006A1EE7" w:rsidRDefault="006A1EE7" w:rsidP="006A1EE7">
      <w:pPr>
        <w:rPr>
          <w:b/>
          <w:bCs/>
          <w:lang w:val="fr-FR"/>
        </w:rPr>
      </w:pPr>
      <w:r w:rsidRPr="006A1EE7">
        <w:rPr>
          <w:b/>
          <w:lang w:val="fr-FR"/>
        </w:rPr>
        <w:t>Recommandation</w:t>
      </w:r>
    </w:p>
    <w:p w14:paraId="14A9FF33" w14:textId="77777777" w:rsidR="006A1EE7" w:rsidRPr="006A1EE7" w:rsidRDefault="006A1EE7" w:rsidP="006A1EE7">
      <w:pPr>
        <w:rPr>
          <w:lang w:val="fr-FR"/>
        </w:rPr>
      </w:pPr>
    </w:p>
    <w:p w14:paraId="58B0002C" w14:textId="77777777" w:rsidR="006A1EE7" w:rsidRPr="006A1EE7" w:rsidRDefault="006A1EE7" w:rsidP="006A1EE7">
      <w:pPr>
        <w:pStyle w:val="Heading1"/>
        <w:rPr>
          <w:lang w:val="fr-FR"/>
        </w:rPr>
      </w:pPr>
      <w:r w:rsidRPr="006A1EE7">
        <w:rPr>
          <w:lang w:val="fr-FR"/>
        </w:rPr>
        <w:t>Le Comité exécutif pourrait envisager :</w:t>
      </w:r>
    </w:p>
    <w:p w14:paraId="73037E1C" w14:textId="1DE3BC42" w:rsidR="006A1EE7" w:rsidRPr="006A1EE7" w:rsidRDefault="00307928" w:rsidP="006A1EE7">
      <w:pPr>
        <w:pStyle w:val="Heading2"/>
        <w:rPr>
          <w:lang w:val="fr-FR"/>
        </w:rPr>
      </w:pPr>
      <w:r>
        <w:rPr>
          <w:lang w:val="fr-FR"/>
        </w:rPr>
        <w:t>D</w:t>
      </w:r>
      <w:r w:rsidR="006A1EE7" w:rsidRPr="006A1EE7">
        <w:rPr>
          <w:lang w:val="fr-FR"/>
        </w:rPr>
        <w:t>e prendre note du rapport fourni par le PNUD sur l’utilisation temporaire de technologies de remplacement à fort potentiel de réchauffement de la planète (</w:t>
      </w:r>
      <w:r w:rsidR="0026119A">
        <w:rPr>
          <w:lang w:val="fr-FR"/>
        </w:rPr>
        <w:t>PRG</w:t>
      </w:r>
      <w:r w:rsidR="006A1EE7" w:rsidRPr="006A1EE7">
        <w:rPr>
          <w:lang w:val="fr-FR"/>
        </w:rPr>
        <w:t>) par la société de formulation U-tech et présenté dans le document UNEP/OzL.Pro/ExCom/90/9 ; et</w:t>
      </w:r>
    </w:p>
    <w:p w14:paraId="6809E81D" w14:textId="29BC71CC" w:rsidR="006A1EE7" w:rsidRPr="006A1EE7" w:rsidRDefault="00307928" w:rsidP="006A1EE7">
      <w:pPr>
        <w:pStyle w:val="Heading2"/>
        <w:rPr>
          <w:lang w:val="fr-FR"/>
        </w:rPr>
      </w:pPr>
      <w:r>
        <w:rPr>
          <w:lang w:val="fr-FR"/>
        </w:rPr>
        <w:t>D</w:t>
      </w:r>
      <w:r w:rsidR="006A1EE7" w:rsidRPr="006A1EE7">
        <w:rPr>
          <w:lang w:val="fr-FR"/>
        </w:rPr>
        <w:t xml:space="preserve">e demander au PNUD de continuer à aider le gouvernement du Brésil à assurer l’approvisionnement en technologies de remplacement à faible </w:t>
      </w:r>
      <w:r w:rsidR="0026119A">
        <w:rPr>
          <w:lang w:val="fr-FR"/>
        </w:rPr>
        <w:t>PRG</w:t>
      </w:r>
      <w:r w:rsidR="006A1EE7" w:rsidRPr="006A1EE7">
        <w:rPr>
          <w:lang w:val="fr-FR"/>
        </w:rPr>
        <w:t xml:space="preserve"> à la société de formulation U-Tech, étant entendu que les surcoûts d’exploitation liés à la reconversion des applications de gonflage de mousse ne seront pas pris en charge au titre de la phase II du plan de gestion de l’élimination des HCFC tant que la technologie choisie à l’origine ou une autre technologie à faible </w:t>
      </w:r>
      <w:r w:rsidR="0026119A">
        <w:rPr>
          <w:lang w:val="fr-FR"/>
        </w:rPr>
        <w:t>PRG</w:t>
      </w:r>
      <w:r w:rsidR="006A1EE7" w:rsidRPr="006A1EE7">
        <w:rPr>
          <w:lang w:val="fr-FR"/>
        </w:rPr>
        <w:t xml:space="preserve"> n’aura pas été entièrement adoptée, et de faire rapport à chaque réunion sur l’état de la reconversion tant que cet établissement n’aura pas eu lieu, avec une mise à jour des fournisseurs sur les progrès accomplis pour ce qui est de s’assurer que les technologies choisies, y compris les composants associés, sont disponibles sur le marché national.</w:t>
      </w:r>
    </w:p>
    <w:p w14:paraId="5F1A88C2" w14:textId="77777777" w:rsidR="006A1EE7" w:rsidRPr="006A1EE7" w:rsidRDefault="006A1EE7" w:rsidP="006A1EE7">
      <w:pPr>
        <w:keepNext/>
        <w:rPr>
          <w:lang w:val="fr-FR"/>
        </w:rPr>
      </w:pPr>
    </w:p>
    <w:p w14:paraId="17FD6DB8" w14:textId="77777777" w:rsidR="006A1EE7" w:rsidRPr="006A1EE7" w:rsidRDefault="006A1EE7" w:rsidP="006A1EE7">
      <w:pPr>
        <w:keepNext/>
        <w:spacing w:after="240"/>
        <w:rPr>
          <w:b/>
          <w:lang w:val="fr-FR"/>
        </w:rPr>
      </w:pPr>
      <w:r w:rsidRPr="006A1EE7">
        <w:rPr>
          <w:b/>
          <w:u w:val="single"/>
          <w:lang w:val="fr-FR"/>
        </w:rPr>
        <w:t>Chili : Plan de gestion de l’élimination des HCFC (phase II – rapport périodique annuel et demande de report de la date d’achèvement)</w:t>
      </w:r>
      <w:r w:rsidRPr="006A1EE7">
        <w:rPr>
          <w:b/>
          <w:lang w:val="fr-FR"/>
        </w:rPr>
        <w:t xml:space="preserve"> (PNUD, PNUE et ONUDI)</w:t>
      </w:r>
    </w:p>
    <w:p w14:paraId="7066ED41" w14:textId="77777777" w:rsidR="006A1EE7" w:rsidRPr="006A1EE7" w:rsidRDefault="006A1EE7" w:rsidP="006A1EE7">
      <w:pPr>
        <w:keepNext/>
        <w:spacing w:after="240"/>
        <w:ind w:left="1440" w:hanging="1440"/>
        <w:rPr>
          <w:b/>
          <w:lang w:val="fr-FR"/>
        </w:rPr>
      </w:pPr>
      <w:r w:rsidRPr="006A1EE7">
        <w:rPr>
          <w:b/>
          <w:lang w:val="fr-FR"/>
        </w:rPr>
        <w:t>Contexte</w:t>
      </w:r>
    </w:p>
    <w:p w14:paraId="37A8C668" w14:textId="77777777" w:rsidR="006A1EE7" w:rsidRPr="006A1EE7" w:rsidRDefault="006A1EE7" w:rsidP="006A1EE7">
      <w:pPr>
        <w:pStyle w:val="Heading1"/>
        <w:keepNext/>
        <w:rPr>
          <w:iCs/>
          <w:lang w:val="fr-FR"/>
        </w:rPr>
      </w:pPr>
      <w:r w:rsidRPr="006A1EE7">
        <w:rPr>
          <w:lang w:val="fr-FR"/>
        </w:rPr>
        <w:t>Au nom du gouvernement du Chili, le PNUD, à titre d’agence d’exécution principale, a remis le rapport périodique annuel sur la mise en œuvre du programme de travail associé à la troisième et dernière tranche de la phase II du plan de gestion de l’élimination des HCFC (PGEH) conformément à la décision 85/22(a)</w:t>
      </w:r>
      <w:r w:rsidRPr="006A1EE7">
        <w:rPr>
          <w:rStyle w:val="FootnoteReference"/>
          <w:lang w:val="fr-FR"/>
        </w:rPr>
        <w:footnoteReference w:id="13"/>
      </w:r>
      <w:r w:rsidRPr="006A1EE7">
        <w:rPr>
          <w:lang w:val="fr-FR"/>
        </w:rPr>
        <w:t xml:space="preserve"> et une demande de prolongation de la mise en œuvre de la phase II. </w:t>
      </w:r>
    </w:p>
    <w:p w14:paraId="60D05DEB" w14:textId="77777777" w:rsidR="006A1EE7" w:rsidRPr="006A1EE7" w:rsidRDefault="006A1EE7" w:rsidP="006A1EE7">
      <w:pPr>
        <w:spacing w:after="240"/>
        <w:jc w:val="left"/>
        <w:rPr>
          <w:i/>
          <w:lang w:val="fr-FR"/>
        </w:rPr>
      </w:pPr>
      <w:r w:rsidRPr="006A1EE7">
        <w:rPr>
          <w:i/>
          <w:lang w:val="fr-FR"/>
        </w:rPr>
        <w:t>Consommation de HCFC</w:t>
      </w:r>
    </w:p>
    <w:p w14:paraId="34AFEDEB" w14:textId="77777777" w:rsidR="006A1EE7" w:rsidRPr="006A1EE7" w:rsidRDefault="006A1EE7" w:rsidP="006A1EE7">
      <w:pPr>
        <w:pStyle w:val="Heading1"/>
        <w:rPr>
          <w:lang w:val="fr-FR"/>
        </w:rPr>
      </w:pPr>
      <w:r w:rsidRPr="006A1EE7">
        <w:rPr>
          <w:lang w:val="fr-FR"/>
        </w:rPr>
        <w:t xml:space="preserve">Le Gouvernement du Chili a indiqué, dans le rapport sur la mise en œuvre du programme de pays, une consommation de 14,79 tonnes PAO de HCFC en 2021, qui est inférieure de 83 pour cent au niveau de référence de HCFC pour conformité de 87,5 tonnes PAO. </w:t>
      </w:r>
    </w:p>
    <w:p w14:paraId="5C471946" w14:textId="77777777" w:rsidR="006A1EE7" w:rsidRPr="006A1EE7" w:rsidRDefault="006A1EE7" w:rsidP="006A1EE7">
      <w:pPr>
        <w:rPr>
          <w:u w:val="single"/>
          <w:lang w:val="fr-FR"/>
        </w:rPr>
      </w:pPr>
      <w:r w:rsidRPr="006A1EE7">
        <w:rPr>
          <w:u w:val="single"/>
          <w:lang w:val="fr-FR"/>
        </w:rPr>
        <w:t>Rapport périodique sur la mise en œuvre de la troisième et dernière tranche de la phase II du PGEH</w:t>
      </w:r>
    </w:p>
    <w:p w14:paraId="2EA18885" w14:textId="77777777" w:rsidR="006A1EE7" w:rsidRPr="006A1EE7" w:rsidRDefault="006A1EE7" w:rsidP="006A1EE7">
      <w:pPr>
        <w:rPr>
          <w:lang w:val="fr-FR"/>
        </w:rPr>
      </w:pPr>
    </w:p>
    <w:p w14:paraId="05FF13FC" w14:textId="77777777" w:rsidR="006A1EE7" w:rsidRPr="006A1EE7" w:rsidRDefault="006A1EE7" w:rsidP="006A1EE7">
      <w:pPr>
        <w:keepNext/>
        <w:spacing w:after="240"/>
        <w:jc w:val="left"/>
        <w:rPr>
          <w:i/>
          <w:lang w:val="fr-FR"/>
        </w:rPr>
      </w:pPr>
      <w:bookmarkStart w:id="1" w:name="_Hlk104490205"/>
      <w:r w:rsidRPr="006A1EE7">
        <w:rPr>
          <w:i/>
          <w:lang w:val="fr-FR"/>
        </w:rPr>
        <w:t>Cadre juridique</w:t>
      </w:r>
    </w:p>
    <w:bookmarkEnd w:id="1"/>
    <w:p w14:paraId="25AE70D5" w14:textId="77777777" w:rsidR="006A1EE7" w:rsidRPr="006A1EE7" w:rsidRDefault="006A1EE7" w:rsidP="006A1EE7">
      <w:pPr>
        <w:pStyle w:val="Heading1"/>
        <w:rPr>
          <w:lang w:val="fr-FR"/>
        </w:rPr>
      </w:pPr>
      <w:r w:rsidRPr="006A1EE7">
        <w:rPr>
          <w:lang w:val="fr-FR"/>
        </w:rPr>
        <w:t>L’interdiction d’importer et d’utiliser le HCFC-141b dans la fabrication de mousse de polyuréthane (PU) et d’importer et d’exporter le HCFC-141b contenu dans les polyols prémélangés est en place depuis le 1</w:t>
      </w:r>
      <w:r w:rsidRPr="006A1EE7">
        <w:rPr>
          <w:vertAlign w:val="superscript"/>
          <w:lang w:val="fr-FR"/>
        </w:rPr>
        <w:t>er</w:t>
      </w:r>
      <w:r w:rsidRPr="006A1EE7">
        <w:rPr>
          <w:lang w:val="fr-FR"/>
        </w:rPr>
        <w:t> janvier 2020. L’entrée en vigueur de cette interdiction a été déclarée dans le rapport de vérification, qui n’a recensé aucune importation de cette substance, et le service douanier n’a trouvé aucune trace de tentative d’importation clandestine. La mise à jour du code national des douanes pour les HCFC, les HFC et leurs solutions de remplacement, pour les substances pures, les mélanges et les polyols entièrement développés est en place depuis le 1</w:t>
      </w:r>
      <w:r w:rsidRPr="006A1EE7">
        <w:rPr>
          <w:vertAlign w:val="superscript"/>
          <w:lang w:val="fr-FR"/>
        </w:rPr>
        <w:t>er</w:t>
      </w:r>
      <w:r w:rsidRPr="006A1EE7">
        <w:rPr>
          <w:lang w:val="fr-FR"/>
        </w:rPr>
        <w:t> janvier 2022. Le système d’enregistrement des produits et des équipements</w:t>
      </w:r>
      <w:r w:rsidRPr="006A1EE7">
        <w:rPr>
          <w:rStyle w:val="FootnoteReference"/>
          <w:lang w:val="fr-FR" w:eastAsia="zh-CN"/>
        </w:rPr>
        <w:footnoteReference w:id="14"/>
      </w:r>
      <w:r w:rsidRPr="006A1EE7">
        <w:rPr>
          <w:lang w:val="fr-FR"/>
        </w:rPr>
        <w:t xml:space="preserve"> contenant ou utilisant des HCFC a été finalisé et testé, et il est en cours d’ajustement pour l’intégration à la plateforme Web sur le registre des émissions et des transferts de polluants du ministère de l’Environnement.</w:t>
      </w:r>
    </w:p>
    <w:p w14:paraId="302B5D64" w14:textId="25FF4FFF" w:rsidR="006A1EE7" w:rsidRPr="006A1EE7" w:rsidRDefault="006A1EE7" w:rsidP="006A1EE7">
      <w:pPr>
        <w:pStyle w:val="Heading1"/>
        <w:rPr>
          <w:lang w:val="fr-FR"/>
        </w:rPr>
      </w:pPr>
      <w:r w:rsidRPr="006A1EE7">
        <w:rPr>
          <w:lang w:val="fr-FR"/>
        </w:rPr>
        <w:t xml:space="preserve">Une formation a été dispensée à 91 agents des douanes (dont 36 femmes) et un livret de formation a été élaboré pour soutenir le processus d’enregistrement au service national des douanes. Bien que le processus d’appel d’offre ait été lancé pour les identificateurs de frigorigène destinés aux agents des douanes afin de soutenir les activités d’exécution, les prix ont considérablement augmenté et le maintien du prix proposé est incertain ; </w:t>
      </w:r>
      <w:r w:rsidR="00344B84">
        <w:rPr>
          <w:lang w:val="fr-FR"/>
        </w:rPr>
        <w:t>le Bureau national de l’ozone</w:t>
      </w:r>
      <w:r w:rsidRPr="006A1EE7">
        <w:rPr>
          <w:lang w:val="fr-FR"/>
        </w:rPr>
        <w:t xml:space="preserve"> évalue la meilleure manière de poursuivre avec l’agence d’exécution.</w:t>
      </w:r>
    </w:p>
    <w:p w14:paraId="0AAAA025" w14:textId="77777777" w:rsidR="006A1EE7" w:rsidRPr="006A1EE7" w:rsidRDefault="006A1EE7" w:rsidP="006C2F59">
      <w:pPr>
        <w:pStyle w:val="Heading1"/>
        <w:keepNext/>
        <w:keepLines/>
        <w:widowControl w:val="0"/>
        <w:numPr>
          <w:ilvl w:val="0"/>
          <w:numId w:val="0"/>
        </w:numPr>
        <w:tabs>
          <w:tab w:val="left" w:pos="720"/>
        </w:tabs>
        <w:rPr>
          <w:lang w:val="fr-FR"/>
        </w:rPr>
      </w:pPr>
      <w:r w:rsidRPr="006A1EE7">
        <w:rPr>
          <w:i/>
          <w:lang w:val="fr-FR"/>
        </w:rPr>
        <w:t>Secteur de la fabrication des mousses de polyuréthane</w:t>
      </w:r>
    </w:p>
    <w:p w14:paraId="4ECE649C" w14:textId="77777777" w:rsidR="006A1EE7" w:rsidRPr="006A1EE7" w:rsidRDefault="006A1EE7" w:rsidP="006C2F59">
      <w:pPr>
        <w:pStyle w:val="Heading1"/>
        <w:keepNext/>
        <w:keepLines/>
        <w:widowControl w:val="0"/>
        <w:rPr>
          <w:lang w:val="fr-FR"/>
        </w:rPr>
      </w:pPr>
      <w:bookmarkStart w:id="2" w:name="_Hlk104655080"/>
      <w:r w:rsidRPr="006A1EE7">
        <w:rPr>
          <w:lang w:val="fr-FR"/>
        </w:rPr>
        <w:t>Les entreprises de mousse suivantes avaient reconverti leurs installations à des technologies de remplacement avant la présentation de la troisième tranche :</w:t>
      </w:r>
    </w:p>
    <w:p w14:paraId="5EF6A536" w14:textId="1E0461EB" w:rsidR="006A1EE7" w:rsidRPr="006A1EE7" w:rsidRDefault="00307928" w:rsidP="006A1EE7">
      <w:pPr>
        <w:pStyle w:val="Heading2"/>
        <w:tabs>
          <w:tab w:val="clear" w:pos="0"/>
          <w:tab w:val="num" w:pos="90"/>
        </w:tabs>
        <w:ind w:left="1530"/>
        <w:rPr>
          <w:lang w:val="fr-FR"/>
        </w:rPr>
      </w:pPr>
      <w:r>
        <w:rPr>
          <w:lang w:val="fr-FR"/>
        </w:rPr>
        <w:t>D</w:t>
      </w:r>
      <w:r w:rsidR="006A1EE7" w:rsidRPr="006A1EE7">
        <w:rPr>
          <w:lang w:val="fr-FR"/>
        </w:rPr>
        <w:t>eux entreprises individuelles : une d’entre-elles (Inema) au cyclopentane/aux hydrofluorooléfines (HFO) et l’autre (Polchile et Claudia Letelier F&amp;C) à une technologie à base de HFO, ce qui a mené à l’élimination de 7,22 tonnes PAO (77,36 tonnes métriques) de HCFC-141b ;</w:t>
      </w:r>
    </w:p>
    <w:p w14:paraId="372D0214" w14:textId="47C29A73" w:rsidR="006A1EE7" w:rsidRPr="006A1EE7" w:rsidRDefault="00307928" w:rsidP="006A1EE7">
      <w:pPr>
        <w:pStyle w:val="Heading2"/>
        <w:tabs>
          <w:tab w:val="clear" w:pos="0"/>
          <w:tab w:val="num" w:pos="90"/>
        </w:tabs>
        <w:ind w:left="1530"/>
        <w:rPr>
          <w:lang w:val="fr-FR"/>
        </w:rPr>
      </w:pPr>
      <w:r>
        <w:rPr>
          <w:lang w:val="fr-FR"/>
        </w:rPr>
        <w:t>D</w:t>
      </w:r>
      <w:r w:rsidR="006A1EE7" w:rsidRPr="006A1EE7">
        <w:rPr>
          <w:lang w:val="fr-FR"/>
        </w:rPr>
        <w:t>eux petites et moyennes entreprises (PME) : Ingepur et Sociedad Aislaciones Térmicas qui faisaient anciennement partie du groupe Austral et dont la consommation totale était de 1,03 tonne PAO (9,36 tm) de HCFC-141b, et une PME (Fidel Valenzuela) qui faisait anciennement partie du groupe Ixom et dont la consommation totale était de 0,26 tonne PAO (2,36 tm) de HCFC-141b, ont terminé leur reconversion à une technologie à base de HFO en tant qu’« entreprises individuelles », sans soutien financier supplémentaire du Fonds multilatéral ; et</w:t>
      </w:r>
    </w:p>
    <w:p w14:paraId="54B57D99" w14:textId="53122813" w:rsidR="006A1EE7" w:rsidRPr="006A1EE7" w:rsidRDefault="00307928" w:rsidP="006A1EE7">
      <w:pPr>
        <w:pStyle w:val="Heading2"/>
        <w:tabs>
          <w:tab w:val="clear" w:pos="0"/>
          <w:tab w:val="num" w:pos="90"/>
        </w:tabs>
        <w:ind w:left="1530"/>
        <w:rPr>
          <w:lang w:val="fr-FR"/>
        </w:rPr>
      </w:pPr>
      <w:r>
        <w:rPr>
          <w:lang w:val="fr-FR"/>
        </w:rPr>
        <w:t>V</w:t>
      </w:r>
      <w:r w:rsidR="006A1EE7" w:rsidRPr="006A1EE7">
        <w:rPr>
          <w:lang w:val="fr-FR"/>
        </w:rPr>
        <w:t>ingt-sept PME du groupe Austral (une entreprise, Victor Himmers, est passée d’Ixom à Austral pendant la mise en œuvre du projet) se sont reconverties à une technologie à base de HFO, ce qui a mené à une élimination totale de 6,37 tonnes PAO (57,91 tm) de HCFC-141b.</w:t>
      </w:r>
    </w:p>
    <w:bookmarkEnd w:id="2"/>
    <w:p w14:paraId="51A04999" w14:textId="12D85D8C" w:rsidR="006A1EE7" w:rsidRPr="006A1EE7" w:rsidRDefault="006A1EE7" w:rsidP="006A1EE7">
      <w:pPr>
        <w:pStyle w:val="Heading1"/>
        <w:widowControl w:val="0"/>
        <w:rPr>
          <w:lang w:val="fr-FR"/>
        </w:rPr>
      </w:pPr>
      <w:r w:rsidRPr="006A1EE7">
        <w:rPr>
          <w:lang w:val="fr-FR"/>
        </w:rPr>
        <w:t>Les trois entreprises restantes (Danica, Refricentro et Superfrigo) et une société de formulation (Ixom, qui comprenait à l’origine la reconversion de huit PME</w:t>
      </w:r>
      <w:r w:rsidRPr="006A1EE7">
        <w:rPr>
          <w:vertAlign w:val="superscript"/>
          <w:lang w:val="fr-FR"/>
        </w:rPr>
        <w:footnoteReference w:id="15"/>
      </w:r>
      <w:r w:rsidRPr="006A1EE7">
        <w:rPr>
          <w:lang w:val="fr-FR"/>
        </w:rPr>
        <w:t xml:space="preserve">) devaient se reconvertir au cours de la mise en œuvre de la troisième tranche. En mai 2020, Superfrigo a envoyé une lettre </w:t>
      </w:r>
      <w:r w:rsidR="00344B84">
        <w:rPr>
          <w:lang w:val="fr-FR"/>
        </w:rPr>
        <w:t>au Bureau national de l’ozone</w:t>
      </w:r>
      <w:r w:rsidRPr="006A1EE7">
        <w:rPr>
          <w:lang w:val="fr-FR"/>
        </w:rPr>
        <w:t xml:space="preserve"> pour annuler sa participation au projet ; Danica et Refricentro ont achevé leur reconversion au HFO respectivement en octobre et en décembre 2020, éliminant 4,16 tonnes PAO (37,82 tm) de HCFC-141b.</w:t>
      </w:r>
    </w:p>
    <w:p w14:paraId="0D344575" w14:textId="77777777" w:rsidR="006A1EE7" w:rsidRPr="006A1EE7" w:rsidRDefault="006A1EE7" w:rsidP="006A1EE7">
      <w:pPr>
        <w:pStyle w:val="Heading1"/>
        <w:widowControl w:val="0"/>
        <w:rPr>
          <w:lang w:val="fr-FR"/>
        </w:rPr>
      </w:pPr>
      <w:r w:rsidRPr="006A1EE7">
        <w:rPr>
          <w:lang w:val="fr-FR"/>
        </w:rPr>
        <w:t>La société de formulation Ixom a signé l’Accord avec sept PME en aval en juillet 2020, la reconversion à la technologie des HFO a commencé en 2021 et trois entreprises ont achevé le processus, éliminant 0,77 tonne PAO (7,34 tm) de HCFC-141b. Les quatre entreprises restantes devraient achever leur reconversion au cours de la seconde moitié de 2022.</w:t>
      </w:r>
    </w:p>
    <w:p w14:paraId="295948EF" w14:textId="77777777" w:rsidR="006A1EE7" w:rsidRPr="006A1EE7" w:rsidRDefault="006A1EE7" w:rsidP="006A1EE7">
      <w:pPr>
        <w:keepNext/>
        <w:keepLines/>
        <w:jc w:val="left"/>
        <w:rPr>
          <w:i/>
          <w:lang w:val="fr-FR"/>
        </w:rPr>
      </w:pPr>
      <w:r w:rsidRPr="006A1EE7">
        <w:rPr>
          <w:i/>
          <w:lang w:val="fr-FR"/>
        </w:rPr>
        <w:t>Secteur de l’entretien des équipements de réfrigération</w:t>
      </w:r>
    </w:p>
    <w:p w14:paraId="614FD1D6" w14:textId="77777777" w:rsidR="006A1EE7" w:rsidRPr="006A1EE7" w:rsidRDefault="006A1EE7" w:rsidP="006A1EE7">
      <w:pPr>
        <w:keepNext/>
        <w:keepLines/>
        <w:jc w:val="left"/>
        <w:rPr>
          <w:i/>
          <w:lang w:val="fr-FR"/>
        </w:rPr>
      </w:pPr>
    </w:p>
    <w:p w14:paraId="4E31F6DA" w14:textId="77777777" w:rsidR="006A1EE7" w:rsidRPr="006A1EE7" w:rsidRDefault="006A1EE7" w:rsidP="006A1EE7">
      <w:pPr>
        <w:pStyle w:val="Heading1"/>
        <w:rPr>
          <w:lang w:val="fr-FR"/>
        </w:rPr>
      </w:pPr>
      <w:r w:rsidRPr="006A1EE7">
        <w:rPr>
          <w:lang w:val="fr-FR"/>
        </w:rPr>
        <w:t>Les activités suivantes ont été mises en œuvre :</w:t>
      </w:r>
    </w:p>
    <w:p w14:paraId="6DD7E98D" w14:textId="3C8E22A5" w:rsidR="006A1EE7" w:rsidRPr="006A1EE7" w:rsidRDefault="00307928" w:rsidP="006A1EE7">
      <w:pPr>
        <w:pStyle w:val="Heading2"/>
        <w:tabs>
          <w:tab w:val="clear" w:pos="0"/>
          <w:tab w:val="num" w:pos="90"/>
        </w:tabs>
        <w:ind w:left="1530"/>
        <w:rPr>
          <w:rFonts w:eastAsia="SimSun"/>
          <w:lang w:val="fr-FR"/>
        </w:rPr>
      </w:pPr>
      <w:r>
        <w:rPr>
          <w:lang w:val="fr-FR"/>
        </w:rPr>
        <w:t>U</w:t>
      </w:r>
      <w:r w:rsidR="006A1EE7" w:rsidRPr="006A1EE7">
        <w:rPr>
          <w:lang w:val="fr-FR"/>
        </w:rPr>
        <w:t xml:space="preserve">ne formation des formateurs en ligne pour huit femmes ; vingt formations en ligne aux bonnes pratiques de réfrigération pour 290 techniciens de réfrigération et climatisation (dont 17 femmes) ; cinq formations en personne aux bonnes pratiques de réfrigération avec 81 étudiants (dont 19 femmes) dans quatre centres d’enseignement ; achèvement d’un manuel de formation aux bonnes pratiques de réfrigération, comprenant les frigorigènes inflammables, qui a été publié sur le site Web </w:t>
      </w:r>
      <w:r w:rsidR="00344B84">
        <w:rPr>
          <w:lang w:val="fr-FR"/>
        </w:rPr>
        <w:t>du Bureau national de l’ozone</w:t>
      </w:r>
      <w:r w:rsidR="006A1EE7" w:rsidRPr="006A1EE7">
        <w:rPr>
          <w:lang w:val="fr-FR"/>
        </w:rPr>
        <w:t xml:space="preserve"> ; </w:t>
      </w:r>
    </w:p>
    <w:p w14:paraId="0F27B6B1" w14:textId="63EE67FB" w:rsidR="006A1EE7" w:rsidRPr="006A1EE7" w:rsidRDefault="00307928" w:rsidP="006A1EE7">
      <w:pPr>
        <w:pStyle w:val="Heading2"/>
        <w:tabs>
          <w:tab w:val="clear" w:pos="0"/>
          <w:tab w:val="num" w:pos="90"/>
        </w:tabs>
        <w:ind w:left="1530"/>
        <w:rPr>
          <w:rFonts w:eastAsia="SimSun"/>
          <w:lang w:val="fr-FR"/>
        </w:rPr>
      </w:pPr>
      <w:r>
        <w:rPr>
          <w:lang w:val="fr-FR"/>
        </w:rPr>
        <w:t>L</w:t>
      </w:r>
      <w:r w:rsidR="00344B84">
        <w:rPr>
          <w:lang w:val="fr-FR"/>
        </w:rPr>
        <w:t>e Bureau national de l’ozone</w:t>
      </w:r>
      <w:r w:rsidR="006A1EE7" w:rsidRPr="006A1EE7">
        <w:rPr>
          <w:lang w:val="fr-FR"/>
        </w:rPr>
        <w:t xml:space="preserve"> a continué à collaborer avec le Centre d’évaluation et de certification des compétences professionnelles en tant qu’homologue technique pour l’évaluation des exigences dans les secteurs de la réfrigération et la climatisation et du chauffage pour la création de normes et l’élaboration de profils de compétences professionnelles. En conséquence de la mise en œuvre du processus de certification, 227 techniciens (dont 8 femmes) ont été certifiés depuis janvier 2021 ;</w:t>
      </w:r>
      <w:r w:rsidR="006A1EE7" w:rsidRPr="006A1EE7">
        <w:rPr>
          <w:rStyle w:val="FootnoteReference"/>
          <w:rFonts w:eastAsia="SimSun"/>
          <w:lang w:val="fr-FR" w:eastAsia="zh-CN"/>
        </w:rPr>
        <w:footnoteReference w:id="16"/>
      </w:r>
    </w:p>
    <w:p w14:paraId="01987082" w14:textId="5031D935" w:rsidR="006A1EE7" w:rsidRPr="006A1EE7" w:rsidRDefault="00307928" w:rsidP="006A1EE7">
      <w:pPr>
        <w:pStyle w:val="Heading2"/>
        <w:tabs>
          <w:tab w:val="clear" w:pos="0"/>
          <w:tab w:val="num" w:pos="90"/>
        </w:tabs>
        <w:ind w:left="1530"/>
        <w:rPr>
          <w:rFonts w:eastAsia="SimSun"/>
          <w:lang w:val="fr-FR"/>
        </w:rPr>
      </w:pPr>
      <w:r>
        <w:rPr>
          <w:lang w:val="fr-FR"/>
        </w:rPr>
        <w:t>L</w:t>
      </w:r>
      <w:r w:rsidR="006A1EE7" w:rsidRPr="006A1EE7">
        <w:rPr>
          <w:lang w:val="fr-FR"/>
        </w:rPr>
        <w:t xml:space="preserve">e travail d’établissement des centres de récupération et de recyclage a commencé, y compris l’embauche d’un consultant pour aider aux spécifications techniques des équipements nécessaires. Le processus d’appel d’offres pour l’établissement de trois centres de régénération s’est achevé et deux entreprises ont été retenues pour la mise en œuvre de la récupération et du recyclage dans la partie centrale et au sud du pays. Le processus d’appel d’offres pour le troisième centre, dans le nord, a été déclaré nul, car aucune offre qualifiée n’a été reçue. Le processus d’appel d’offres pour l’achat des machines et des équipements a été finalisé et la livraison des équipements est prévue d’ici juin 2022. Par conséquent, les centres de régénération devraient être opérationnels d’ici la fin de 2022 ; </w:t>
      </w:r>
    </w:p>
    <w:p w14:paraId="5020D449" w14:textId="32BC8E88" w:rsidR="006A1EE7" w:rsidRPr="006A1EE7" w:rsidRDefault="00307928" w:rsidP="006A1EE7">
      <w:pPr>
        <w:pStyle w:val="Heading2"/>
        <w:tabs>
          <w:tab w:val="clear" w:pos="0"/>
          <w:tab w:val="num" w:pos="90"/>
        </w:tabs>
        <w:ind w:left="1530"/>
        <w:rPr>
          <w:rFonts w:eastAsia="SimSun"/>
          <w:lang w:val="fr-FR"/>
        </w:rPr>
      </w:pPr>
      <w:r>
        <w:rPr>
          <w:lang w:val="fr-FR"/>
        </w:rPr>
        <w:t>L</w:t>
      </w:r>
      <w:r w:rsidR="00344B84">
        <w:rPr>
          <w:lang w:val="fr-FR"/>
        </w:rPr>
        <w:t>e Bureau national de l’ozone</w:t>
      </w:r>
      <w:r w:rsidR="006A1EE7" w:rsidRPr="006A1EE7">
        <w:rPr>
          <w:lang w:val="fr-FR"/>
        </w:rPr>
        <w:t xml:space="preserve"> coopère au 4</w:t>
      </w:r>
      <w:r w:rsidR="006A1EE7" w:rsidRPr="006A1EE7">
        <w:rPr>
          <w:vertAlign w:val="superscript"/>
          <w:lang w:val="fr-FR"/>
        </w:rPr>
        <w:t>e</w:t>
      </w:r>
      <w:r w:rsidR="006A1EE7" w:rsidRPr="006A1EE7">
        <w:rPr>
          <w:lang w:val="fr-FR"/>
        </w:rPr>
        <w:t xml:space="preserve"> Accord de production propre</w:t>
      </w:r>
      <w:r w:rsidR="006A1EE7" w:rsidRPr="006A1EE7">
        <w:rPr>
          <w:rStyle w:val="FootnoteReference"/>
          <w:lang w:val="fr-FR" w:eastAsia="zh-CN"/>
        </w:rPr>
        <w:footnoteReference w:id="17"/>
      </w:r>
      <w:r w:rsidR="006A1EE7" w:rsidRPr="006A1EE7">
        <w:rPr>
          <w:lang w:val="fr-FR"/>
        </w:rPr>
        <w:t xml:space="preserve"> dans le secteur de l’agroindustrie en encourageant la formation et la certification des techniciens d’entretien des équipements de réfrigération et de climatisation et l’utilisation des solutions de remplacement des HCFC et des HFC dans les installations industrielles ; </w:t>
      </w:r>
    </w:p>
    <w:p w14:paraId="167CE30B" w14:textId="5E7F1594" w:rsidR="006A1EE7" w:rsidRPr="006A1EE7" w:rsidRDefault="00307928" w:rsidP="006A1EE7">
      <w:pPr>
        <w:pStyle w:val="Heading2"/>
        <w:tabs>
          <w:tab w:val="clear" w:pos="0"/>
          <w:tab w:val="num" w:pos="90"/>
        </w:tabs>
        <w:ind w:left="1530"/>
        <w:rPr>
          <w:rFonts w:eastAsia="SimSun"/>
          <w:lang w:val="fr-FR"/>
        </w:rPr>
      </w:pPr>
      <w:r>
        <w:rPr>
          <w:lang w:val="fr-FR"/>
        </w:rPr>
        <w:t>D</w:t>
      </w:r>
      <w:r w:rsidR="006A1EE7" w:rsidRPr="006A1EE7">
        <w:rPr>
          <w:lang w:val="fr-FR"/>
        </w:rPr>
        <w:t>es caractéristiques techniques pour identifier les entreprises bénéficiaires d’un projet de démonstration sur la reconversion de chambres frigorifiques et de climatiseurs au CO</w:t>
      </w:r>
      <w:r w:rsidR="006A1EE7" w:rsidRPr="006A1EE7">
        <w:rPr>
          <w:vertAlign w:val="subscript"/>
          <w:lang w:val="fr-FR"/>
        </w:rPr>
        <w:t>2</w:t>
      </w:r>
      <w:r w:rsidR="006A1EE7" w:rsidRPr="006A1EE7">
        <w:rPr>
          <w:lang w:val="fr-FR"/>
        </w:rPr>
        <w:t xml:space="preserve"> transcritique, CO</w:t>
      </w:r>
      <w:r w:rsidR="006A1EE7" w:rsidRPr="006A1EE7">
        <w:rPr>
          <w:vertAlign w:val="subscript"/>
          <w:lang w:val="fr-FR"/>
        </w:rPr>
        <w:t>2</w:t>
      </w:r>
      <w:r w:rsidR="006A1EE7" w:rsidRPr="006A1EE7">
        <w:rPr>
          <w:lang w:val="fr-FR"/>
        </w:rPr>
        <w:t xml:space="preserve"> transcritique/ammoniac, et ammoniac, avec l’aide d’un consultant international ; un atelier a été tenu pour diffuser le processus de cofinancement ; et</w:t>
      </w:r>
    </w:p>
    <w:p w14:paraId="501ED8DD" w14:textId="5C776E37" w:rsidR="006A1EE7" w:rsidRPr="006A1EE7" w:rsidRDefault="00307928" w:rsidP="006A1EE7">
      <w:pPr>
        <w:pStyle w:val="Heading2"/>
        <w:tabs>
          <w:tab w:val="clear" w:pos="0"/>
          <w:tab w:val="num" w:pos="90"/>
        </w:tabs>
        <w:ind w:left="1530"/>
        <w:rPr>
          <w:rFonts w:eastAsia="SimSun"/>
          <w:lang w:val="fr-FR"/>
        </w:rPr>
      </w:pPr>
      <w:r>
        <w:rPr>
          <w:lang w:val="fr-FR"/>
        </w:rPr>
        <w:t>D</w:t>
      </w:r>
      <w:r w:rsidR="006A1EE7" w:rsidRPr="006A1EE7">
        <w:rPr>
          <w:lang w:val="fr-FR"/>
        </w:rPr>
        <w:t xml:space="preserve">es activités de sensibilisation ont ciblé le secteur de la réfrigération et de la climatisation pour soutenir la mise en œuvre d’activités et se sont concentrées, par l’intermédiaire de plusieurs plateformes en ligne, sur l’ajustement aux conditions imposées par la pandémie de COVID-19 ; </w:t>
      </w:r>
      <w:r w:rsidR="00344B84">
        <w:rPr>
          <w:lang w:val="fr-FR"/>
        </w:rPr>
        <w:t>le Bureau national de l’ozone</w:t>
      </w:r>
      <w:r w:rsidR="006A1EE7" w:rsidRPr="006A1EE7">
        <w:rPr>
          <w:lang w:val="fr-FR"/>
        </w:rPr>
        <w:t xml:space="preserve"> a continué à publier des bulletins mensuels et a posté des informations dans divers médias en ligne afin de promouvoir le passage aux technologies sans HCFC ; publication de plusieurs vidéos disponibles en ligne au sujet des bonnes pratiques de réfrigération, du centre de régénération de frigorigènes et de l’Amendement de Kigali.</w:t>
      </w:r>
    </w:p>
    <w:p w14:paraId="4A727525" w14:textId="77777777" w:rsidR="006A1EE7" w:rsidRPr="006A1EE7" w:rsidRDefault="006A1EE7" w:rsidP="006A1EE7">
      <w:pPr>
        <w:pStyle w:val="Heading2"/>
        <w:numPr>
          <w:ilvl w:val="0"/>
          <w:numId w:val="0"/>
        </w:numPr>
        <w:tabs>
          <w:tab w:val="num" w:pos="360"/>
        </w:tabs>
        <w:rPr>
          <w:rFonts w:eastAsia="SimSun"/>
          <w:lang w:val="fr-FR"/>
        </w:rPr>
      </w:pPr>
      <w:r w:rsidRPr="006A1EE7">
        <w:rPr>
          <w:i/>
          <w:lang w:val="fr-FR"/>
        </w:rPr>
        <w:t>Unité de mise en œuvre et de suivi du projet (PMU)</w:t>
      </w:r>
    </w:p>
    <w:p w14:paraId="2404E4A2" w14:textId="7BE1917E" w:rsidR="006A1EE7" w:rsidRPr="006A1EE7" w:rsidRDefault="006A1EE7" w:rsidP="006A1EE7">
      <w:pPr>
        <w:pStyle w:val="Heading1"/>
        <w:widowControl w:val="0"/>
        <w:rPr>
          <w:lang w:val="fr-FR"/>
        </w:rPr>
      </w:pPr>
      <w:r w:rsidRPr="006A1EE7">
        <w:rPr>
          <w:lang w:val="fr-FR"/>
        </w:rPr>
        <w:t xml:space="preserve">Les 14 200 $ US (4 830 $ US pour le PNUD et 9 370 $ US pour l’ONUDI) approuvés pour le suivi du projet et la mise en œuvre de la troisième tranche ont permis de retenir les services d’un consultant pour vérifier la consommation de HCFC, d’experts pour offrir un soutien technique </w:t>
      </w:r>
      <w:r w:rsidR="00344B84">
        <w:rPr>
          <w:lang w:val="fr-FR"/>
        </w:rPr>
        <w:t xml:space="preserve">au </w:t>
      </w:r>
      <w:proofErr w:type="gramStart"/>
      <w:r w:rsidR="00344B84">
        <w:rPr>
          <w:lang w:val="fr-FR"/>
        </w:rPr>
        <w:t>Bureau  national</w:t>
      </w:r>
      <w:proofErr w:type="gramEnd"/>
      <w:r w:rsidR="00344B84">
        <w:rPr>
          <w:lang w:val="fr-FR"/>
        </w:rPr>
        <w:t xml:space="preserve"> de l’ozone</w:t>
      </w:r>
      <w:r w:rsidRPr="006A1EE7">
        <w:rPr>
          <w:lang w:val="fr-FR"/>
        </w:rPr>
        <w:t>, ainsi que d’un adjoint.</w:t>
      </w:r>
    </w:p>
    <w:p w14:paraId="6AC3ECAC" w14:textId="77777777" w:rsidR="006A1EE7" w:rsidRPr="006A1EE7" w:rsidRDefault="006A1EE7" w:rsidP="006A1EE7">
      <w:pPr>
        <w:keepNext/>
        <w:keepLines/>
        <w:spacing w:after="240"/>
        <w:jc w:val="left"/>
        <w:rPr>
          <w:i/>
          <w:lang w:val="fr-FR"/>
        </w:rPr>
      </w:pPr>
      <w:r w:rsidRPr="006A1EE7">
        <w:rPr>
          <w:i/>
          <w:lang w:val="fr-FR"/>
        </w:rPr>
        <w:t>État des décaissements</w:t>
      </w:r>
    </w:p>
    <w:p w14:paraId="795B69CF" w14:textId="77777777" w:rsidR="006A1EE7" w:rsidRPr="006A1EE7" w:rsidRDefault="006A1EE7" w:rsidP="006A1EE7">
      <w:pPr>
        <w:pStyle w:val="Heading1"/>
        <w:keepNext/>
        <w:keepLines/>
        <w:rPr>
          <w:lang w:val="fr-FR"/>
        </w:rPr>
      </w:pPr>
      <w:r w:rsidRPr="006A1EE7">
        <w:rPr>
          <w:lang w:val="fr-FR"/>
        </w:rPr>
        <w:t>En date de mars 2022, des 3 394 017 $ US approuvés pour la phase II, la somme de 2 325 279 $ US (69 pour cent) (1 720 375 $ US pour le PNUD, 82 363 $ US pour le PNUE et 522 541 $ US pour l’ONUDI) avait été décaissée, comme indiqué dans le tableau 4. Le solde sera décaissé d’ici le 30 juin 2023.</w:t>
      </w:r>
    </w:p>
    <w:p w14:paraId="42F7168C" w14:textId="77777777" w:rsidR="006A1EE7" w:rsidRPr="006A1EE7" w:rsidRDefault="006A1EE7" w:rsidP="006A1EE7">
      <w:pPr>
        <w:keepNext/>
        <w:rPr>
          <w:lang w:val="fr-FR"/>
        </w:rPr>
      </w:pPr>
      <w:r w:rsidRPr="006A1EE7">
        <w:rPr>
          <w:b/>
          <w:lang w:val="fr-FR"/>
        </w:rPr>
        <w:t>Tableau 4. Rapport financier de la phase II du PGEH pour le Chili ($ US)</w:t>
      </w:r>
    </w:p>
    <w:tbl>
      <w:tblPr>
        <w:tblW w:w="93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65"/>
        <w:gridCol w:w="2047"/>
        <w:gridCol w:w="2048"/>
        <w:gridCol w:w="2047"/>
        <w:gridCol w:w="2048"/>
      </w:tblGrid>
      <w:tr w:rsidR="006A1EE7" w:rsidRPr="006A1EE7" w14:paraId="4C3E792F" w14:textId="77777777" w:rsidTr="006A2E9B">
        <w:tc>
          <w:tcPr>
            <w:tcW w:w="1165" w:type="dxa"/>
            <w:vAlign w:val="center"/>
            <w:hideMark/>
          </w:tcPr>
          <w:p w14:paraId="1C28C583" w14:textId="77777777" w:rsidR="006A1EE7" w:rsidRPr="006A1EE7" w:rsidRDefault="006A1EE7" w:rsidP="006A2E9B">
            <w:pPr>
              <w:spacing w:line="256" w:lineRule="auto"/>
              <w:jc w:val="center"/>
              <w:rPr>
                <w:b/>
                <w:bCs/>
                <w:sz w:val="20"/>
                <w:szCs w:val="20"/>
                <w:lang w:val="fr-FR"/>
              </w:rPr>
            </w:pPr>
            <w:r w:rsidRPr="006A1EE7">
              <w:rPr>
                <w:b/>
                <w:sz w:val="20"/>
                <w:lang w:val="fr-FR"/>
              </w:rPr>
              <w:t>Agence</w:t>
            </w:r>
          </w:p>
        </w:tc>
        <w:tc>
          <w:tcPr>
            <w:tcW w:w="2047" w:type="dxa"/>
            <w:vAlign w:val="center"/>
            <w:hideMark/>
          </w:tcPr>
          <w:p w14:paraId="632E0575" w14:textId="77777777" w:rsidR="006A1EE7" w:rsidRPr="006A1EE7" w:rsidRDefault="006A1EE7" w:rsidP="006A2E9B">
            <w:pPr>
              <w:spacing w:line="256" w:lineRule="auto"/>
              <w:jc w:val="center"/>
              <w:rPr>
                <w:b/>
                <w:bCs/>
                <w:sz w:val="20"/>
                <w:szCs w:val="20"/>
                <w:lang w:val="fr-FR"/>
              </w:rPr>
            </w:pPr>
            <w:r w:rsidRPr="006A1EE7">
              <w:rPr>
                <w:b/>
                <w:sz w:val="20"/>
                <w:lang w:val="fr-FR"/>
              </w:rPr>
              <w:t>Financement approuvé</w:t>
            </w:r>
          </w:p>
        </w:tc>
        <w:tc>
          <w:tcPr>
            <w:tcW w:w="2048" w:type="dxa"/>
            <w:vAlign w:val="center"/>
            <w:hideMark/>
          </w:tcPr>
          <w:p w14:paraId="779455A8" w14:textId="77777777" w:rsidR="006A1EE7" w:rsidRPr="006A1EE7" w:rsidRDefault="006A1EE7" w:rsidP="006A2E9B">
            <w:pPr>
              <w:spacing w:line="256" w:lineRule="auto"/>
              <w:jc w:val="center"/>
              <w:rPr>
                <w:b/>
                <w:bCs/>
                <w:sz w:val="20"/>
                <w:szCs w:val="20"/>
                <w:lang w:val="fr-FR"/>
              </w:rPr>
            </w:pPr>
            <w:r w:rsidRPr="006A1EE7">
              <w:rPr>
                <w:b/>
                <w:sz w:val="20"/>
                <w:lang w:val="fr-FR"/>
              </w:rPr>
              <w:t>Montant décaissé</w:t>
            </w:r>
          </w:p>
        </w:tc>
        <w:tc>
          <w:tcPr>
            <w:tcW w:w="2047" w:type="dxa"/>
            <w:vAlign w:val="center"/>
            <w:hideMark/>
          </w:tcPr>
          <w:p w14:paraId="10A70D6A" w14:textId="77777777" w:rsidR="006A1EE7" w:rsidRPr="006A1EE7" w:rsidRDefault="006A1EE7" w:rsidP="006A2E9B">
            <w:pPr>
              <w:spacing w:line="256" w:lineRule="auto"/>
              <w:jc w:val="center"/>
              <w:rPr>
                <w:b/>
                <w:sz w:val="20"/>
                <w:szCs w:val="20"/>
                <w:lang w:val="fr-FR"/>
              </w:rPr>
            </w:pPr>
            <w:r w:rsidRPr="006A1EE7">
              <w:rPr>
                <w:b/>
                <w:sz w:val="20"/>
                <w:lang w:val="fr-FR"/>
              </w:rPr>
              <w:t>Solde</w:t>
            </w:r>
          </w:p>
        </w:tc>
        <w:tc>
          <w:tcPr>
            <w:tcW w:w="2048" w:type="dxa"/>
            <w:vAlign w:val="center"/>
            <w:hideMark/>
          </w:tcPr>
          <w:p w14:paraId="73BA46E3" w14:textId="77777777" w:rsidR="006A1EE7" w:rsidRPr="006A1EE7" w:rsidRDefault="006A1EE7" w:rsidP="006A2E9B">
            <w:pPr>
              <w:spacing w:line="256" w:lineRule="auto"/>
              <w:jc w:val="center"/>
              <w:rPr>
                <w:b/>
                <w:bCs/>
                <w:sz w:val="20"/>
                <w:szCs w:val="20"/>
                <w:lang w:val="fr-FR"/>
              </w:rPr>
            </w:pPr>
            <w:r w:rsidRPr="006A1EE7">
              <w:rPr>
                <w:b/>
                <w:sz w:val="20"/>
                <w:lang w:val="fr-FR"/>
              </w:rPr>
              <w:t>Taux de décaissement (%)</w:t>
            </w:r>
          </w:p>
        </w:tc>
      </w:tr>
      <w:tr w:rsidR="006A1EE7" w:rsidRPr="006A1EE7" w14:paraId="16C7FE46" w14:textId="77777777" w:rsidTr="006A2E9B">
        <w:tc>
          <w:tcPr>
            <w:tcW w:w="1165" w:type="dxa"/>
            <w:vAlign w:val="center"/>
            <w:hideMark/>
          </w:tcPr>
          <w:p w14:paraId="13BBF0B2" w14:textId="77777777" w:rsidR="006A1EE7" w:rsidRPr="006A1EE7" w:rsidRDefault="006A1EE7" w:rsidP="006A2E9B">
            <w:pPr>
              <w:spacing w:line="256" w:lineRule="auto"/>
              <w:jc w:val="left"/>
              <w:rPr>
                <w:sz w:val="20"/>
                <w:szCs w:val="20"/>
                <w:lang w:val="fr-FR"/>
              </w:rPr>
            </w:pPr>
            <w:r w:rsidRPr="006A1EE7">
              <w:rPr>
                <w:sz w:val="20"/>
                <w:lang w:val="fr-FR"/>
              </w:rPr>
              <w:t>PNUD</w:t>
            </w:r>
          </w:p>
        </w:tc>
        <w:tc>
          <w:tcPr>
            <w:tcW w:w="2047" w:type="dxa"/>
            <w:tcMar>
              <w:top w:w="0" w:type="dxa"/>
              <w:left w:w="115" w:type="dxa"/>
              <w:bottom w:w="0" w:type="dxa"/>
              <w:right w:w="216" w:type="dxa"/>
            </w:tcMar>
            <w:vAlign w:val="center"/>
            <w:hideMark/>
          </w:tcPr>
          <w:p w14:paraId="2C0D905E" w14:textId="77777777" w:rsidR="006A1EE7" w:rsidRPr="006A1EE7" w:rsidRDefault="006A1EE7" w:rsidP="006A2E9B">
            <w:pPr>
              <w:spacing w:line="256" w:lineRule="auto"/>
              <w:jc w:val="right"/>
              <w:rPr>
                <w:sz w:val="20"/>
                <w:szCs w:val="20"/>
                <w:lang w:val="fr-FR"/>
              </w:rPr>
            </w:pPr>
            <w:r w:rsidRPr="006A1EE7">
              <w:rPr>
                <w:sz w:val="20"/>
                <w:lang w:val="fr-FR"/>
              </w:rPr>
              <w:t>2 145 047</w:t>
            </w:r>
          </w:p>
        </w:tc>
        <w:tc>
          <w:tcPr>
            <w:tcW w:w="2048" w:type="dxa"/>
            <w:tcMar>
              <w:top w:w="0" w:type="dxa"/>
              <w:left w:w="115" w:type="dxa"/>
              <w:bottom w:w="0" w:type="dxa"/>
              <w:right w:w="216" w:type="dxa"/>
            </w:tcMar>
            <w:vAlign w:val="center"/>
            <w:hideMark/>
          </w:tcPr>
          <w:p w14:paraId="1F68265D" w14:textId="77777777" w:rsidR="006A1EE7" w:rsidRPr="006A1EE7" w:rsidRDefault="006A1EE7" w:rsidP="006A2E9B">
            <w:pPr>
              <w:spacing w:line="256" w:lineRule="auto"/>
              <w:jc w:val="right"/>
              <w:rPr>
                <w:sz w:val="20"/>
                <w:szCs w:val="20"/>
                <w:lang w:val="fr-FR"/>
              </w:rPr>
            </w:pPr>
            <w:r w:rsidRPr="006A1EE7">
              <w:rPr>
                <w:sz w:val="20"/>
                <w:lang w:val="fr-FR"/>
              </w:rPr>
              <w:t>1 720 375</w:t>
            </w:r>
          </w:p>
        </w:tc>
        <w:tc>
          <w:tcPr>
            <w:tcW w:w="2047" w:type="dxa"/>
            <w:tcMar>
              <w:top w:w="0" w:type="dxa"/>
              <w:left w:w="115" w:type="dxa"/>
              <w:bottom w:w="0" w:type="dxa"/>
              <w:right w:w="216" w:type="dxa"/>
            </w:tcMar>
            <w:vAlign w:val="center"/>
            <w:hideMark/>
          </w:tcPr>
          <w:p w14:paraId="79948ACF" w14:textId="77777777" w:rsidR="006A1EE7" w:rsidRPr="006A1EE7" w:rsidRDefault="006A1EE7" w:rsidP="006A2E9B">
            <w:pPr>
              <w:spacing w:line="256" w:lineRule="auto"/>
              <w:jc w:val="right"/>
              <w:rPr>
                <w:sz w:val="20"/>
                <w:szCs w:val="20"/>
                <w:lang w:val="fr-FR"/>
              </w:rPr>
            </w:pPr>
            <w:r w:rsidRPr="006A1EE7">
              <w:rPr>
                <w:sz w:val="20"/>
                <w:lang w:val="fr-FR"/>
              </w:rPr>
              <w:t>424 672</w:t>
            </w:r>
          </w:p>
        </w:tc>
        <w:tc>
          <w:tcPr>
            <w:tcW w:w="2048" w:type="dxa"/>
            <w:hideMark/>
          </w:tcPr>
          <w:p w14:paraId="529E1CE9" w14:textId="77777777" w:rsidR="006A1EE7" w:rsidRPr="006A1EE7" w:rsidRDefault="006A1EE7" w:rsidP="006A2E9B">
            <w:pPr>
              <w:jc w:val="right"/>
              <w:rPr>
                <w:sz w:val="20"/>
                <w:szCs w:val="20"/>
                <w:lang w:val="fr-FR"/>
              </w:rPr>
            </w:pPr>
            <w:r w:rsidRPr="006A1EE7">
              <w:rPr>
                <w:sz w:val="20"/>
                <w:lang w:val="fr-FR"/>
              </w:rPr>
              <w:t>80</w:t>
            </w:r>
          </w:p>
        </w:tc>
      </w:tr>
      <w:tr w:rsidR="006A1EE7" w:rsidRPr="006A1EE7" w14:paraId="101460C7" w14:textId="77777777" w:rsidTr="006A2E9B">
        <w:tc>
          <w:tcPr>
            <w:tcW w:w="1165" w:type="dxa"/>
            <w:vAlign w:val="center"/>
            <w:hideMark/>
          </w:tcPr>
          <w:p w14:paraId="11727EED" w14:textId="77777777" w:rsidR="006A1EE7" w:rsidRPr="006A1EE7" w:rsidRDefault="006A1EE7" w:rsidP="006A2E9B">
            <w:pPr>
              <w:spacing w:line="256" w:lineRule="auto"/>
              <w:jc w:val="left"/>
              <w:rPr>
                <w:sz w:val="20"/>
                <w:szCs w:val="20"/>
                <w:lang w:val="fr-FR"/>
              </w:rPr>
            </w:pPr>
            <w:r w:rsidRPr="006A1EE7">
              <w:rPr>
                <w:sz w:val="20"/>
                <w:lang w:val="fr-FR"/>
              </w:rPr>
              <w:t>PNUE</w:t>
            </w:r>
          </w:p>
        </w:tc>
        <w:tc>
          <w:tcPr>
            <w:tcW w:w="2047" w:type="dxa"/>
            <w:tcMar>
              <w:top w:w="0" w:type="dxa"/>
              <w:left w:w="115" w:type="dxa"/>
              <w:bottom w:w="0" w:type="dxa"/>
              <w:right w:w="216" w:type="dxa"/>
            </w:tcMar>
            <w:vAlign w:val="center"/>
            <w:hideMark/>
          </w:tcPr>
          <w:p w14:paraId="707C061D" w14:textId="77777777" w:rsidR="006A1EE7" w:rsidRPr="006A1EE7" w:rsidRDefault="006A1EE7" w:rsidP="006A2E9B">
            <w:pPr>
              <w:spacing w:line="256" w:lineRule="auto"/>
              <w:jc w:val="right"/>
              <w:rPr>
                <w:sz w:val="20"/>
                <w:szCs w:val="20"/>
                <w:lang w:val="fr-FR"/>
              </w:rPr>
            </w:pPr>
            <w:r w:rsidRPr="006A1EE7">
              <w:rPr>
                <w:sz w:val="20"/>
                <w:lang w:val="fr-FR"/>
              </w:rPr>
              <w:t>218 270</w:t>
            </w:r>
          </w:p>
        </w:tc>
        <w:tc>
          <w:tcPr>
            <w:tcW w:w="2048" w:type="dxa"/>
            <w:tcMar>
              <w:top w:w="0" w:type="dxa"/>
              <w:left w:w="115" w:type="dxa"/>
              <w:bottom w:w="0" w:type="dxa"/>
              <w:right w:w="216" w:type="dxa"/>
            </w:tcMar>
            <w:vAlign w:val="center"/>
            <w:hideMark/>
          </w:tcPr>
          <w:p w14:paraId="61037354" w14:textId="77777777" w:rsidR="006A1EE7" w:rsidRPr="006A1EE7" w:rsidRDefault="006A1EE7" w:rsidP="006A2E9B">
            <w:pPr>
              <w:spacing w:line="256" w:lineRule="auto"/>
              <w:jc w:val="right"/>
              <w:rPr>
                <w:sz w:val="20"/>
                <w:szCs w:val="20"/>
                <w:lang w:val="fr-FR"/>
              </w:rPr>
            </w:pPr>
            <w:r w:rsidRPr="006A1EE7">
              <w:rPr>
                <w:sz w:val="20"/>
                <w:lang w:val="fr-FR"/>
              </w:rPr>
              <w:t>82 363</w:t>
            </w:r>
          </w:p>
        </w:tc>
        <w:tc>
          <w:tcPr>
            <w:tcW w:w="2047" w:type="dxa"/>
            <w:tcMar>
              <w:top w:w="0" w:type="dxa"/>
              <w:left w:w="115" w:type="dxa"/>
              <w:bottom w:w="0" w:type="dxa"/>
              <w:right w:w="216" w:type="dxa"/>
            </w:tcMar>
            <w:vAlign w:val="center"/>
            <w:hideMark/>
          </w:tcPr>
          <w:p w14:paraId="5C6C53D3" w14:textId="77777777" w:rsidR="006A1EE7" w:rsidRPr="006A1EE7" w:rsidRDefault="006A1EE7" w:rsidP="006A2E9B">
            <w:pPr>
              <w:spacing w:line="256" w:lineRule="auto"/>
              <w:jc w:val="right"/>
              <w:rPr>
                <w:sz w:val="20"/>
                <w:szCs w:val="20"/>
                <w:lang w:val="fr-FR"/>
              </w:rPr>
            </w:pPr>
            <w:r w:rsidRPr="006A1EE7">
              <w:rPr>
                <w:sz w:val="20"/>
                <w:lang w:val="fr-FR"/>
              </w:rPr>
              <w:t>135 907</w:t>
            </w:r>
          </w:p>
        </w:tc>
        <w:tc>
          <w:tcPr>
            <w:tcW w:w="2048" w:type="dxa"/>
            <w:hideMark/>
          </w:tcPr>
          <w:p w14:paraId="42D8BE96" w14:textId="77777777" w:rsidR="006A1EE7" w:rsidRPr="006A1EE7" w:rsidRDefault="006A1EE7" w:rsidP="006A2E9B">
            <w:pPr>
              <w:jc w:val="right"/>
              <w:rPr>
                <w:sz w:val="20"/>
                <w:szCs w:val="20"/>
                <w:lang w:val="fr-FR"/>
              </w:rPr>
            </w:pPr>
            <w:r w:rsidRPr="006A1EE7">
              <w:rPr>
                <w:sz w:val="20"/>
                <w:lang w:val="fr-FR"/>
              </w:rPr>
              <w:t>38</w:t>
            </w:r>
          </w:p>
        </w:tc>
      </w:tr>
      <w:tr w:rsidR="006A1EE7" w:rsidRPr="006A1EE7" w14:paraId="4DA2C808" w14:textId="77777777" w:rsidTr="006A2E9B">
        <w:tc>
          <w:tcPr>
            <w:tcW w:w="1165" w:type="dxa"/>
            <w:vAlign w:val="center"/>
            <w:hideMark/>
          </w:tcPr>
          <w:p w14:paraId="78D1756D" w14:textId="77777777" w:rsidR="006A1EE7" w:rsidRPr="006A1EE7" w:rsidRDefault="006A1EE7" w:rsidP="006A2E9B">
            <w:pPr>
              <w:spacing w:line="256" w:lineRule="auto"/>
              <w:jc w:val="left"/>
              <w:rPr>
                <w:sz w:val="20"/>
                <w:szCs w:val="20"/>
                <w:lang w:val="fr-FR"/>
              </w:rPr>
            </w:pPr>
            <w:r w:rsidRPr="006A1EE7">
              <w:rPr>
                <w:sz w:val="20"/>
                <w:lang w:val="fr-FR"/>
              </w:rPr>
              <w:t>ONUDI</w:t>
            </w:r>
          </w:p>
        </w:tc>
        <w:tc>
          <w:tcPr>
            <w:tcW w:w="2047" w:type="dxa"/>
            <w:tcMar>
              <w:top w:w="0" w:type="dxa"/>
              <w:left w:w="115" w:type="dxa"/>
              <w:bottom w:w="0" w:type="dxa"/>
              <w:right w:w="216" w:type="dxa"/>
            </w:tcMar>
            <w:vAlign w:val="center"/>
            <w:hideMark/>
          </w:tcPr>
          <w:p w14:paraId="1692CD36" w14:textId="77777777" w:rsidR="006A1EE7" w:rsidRPr="006A1EE7" w:rsidRDefault="006A1EE7" w:rsidP="006A2E9B">
            <w:pPr>
              <w:spacing w:line="256" w:lineRule="auto"/>
              <w:jc w:val="right"/>
              <w:rPr>
                <w:sz w:val="20"/>
                <w:szCs w:val="20"/>
                <w:lang w:val="fr-FR"/>
              </w:rPr>
            </w:pPr>
            <w:r w:rsidRPr="006A1EE7">
              <w:rPr>
                <w:sz w:val="20"/>
                <w:lang w:val="fr-FR"/>
              </w:rPr>
              <w:t>1 030 700</w:t>
            </w:r>
          </w:p>
        </w:tc>
        <w:tc>
          <w:tcPr>
            <w:tcW w:w="2048" w:type="dxa"/>
            <w:tcMar>
              <w:top w:w="0" w:type="dxa"/>
              <w:left w:w="115" w:type="dxa"/>
              <w:bottom w:w="0" w:type="dxa"/>
              <w:right w:w="216" w:type="dxa"/>
            </w:tcMar>
            <w:vAlign w:val="center"/>
            <w:hideMark/>
          </w:tcPr>
          <w:p w14:paraId="18D758C7" w14:textId="77777777" w:rsidR="006A1EE7" w:rsidRPr="006A1EE7" w:rsidRDefault="006A1EE7" w:rsidP="006A2E9B">
            <w:pPr>
              <w:spacing w:line="256" w:lineRule="auto"/>
              <w:jc w:val="right"/>
              <w:rPr>
                <w:sz w:val="20"/>
                <w:szCs w:val="20"/>
                <w:lang w:val="fr-FR"/>
              </w:rPr>
            </w:pPr>
            <w:r w:rsidRPr="006A1EE7">
              <w:rPr>
                <w:sz w:val="20"/>
                <w:lang w:val="fr-FR"/>
              </w:rPr>
              <w:t>522 541</w:t>
            </w:r>
          </w:p>
        </w:tc>
        <w:tc>
          <w:tcPr>
            <w:tcW w:w="2047" w:type="dxa"/>
            <w:tcMar>
              <w:top w:w="0" w:type="dxa"/>
              <w:left w:w="115" w:type="dxa"/>
              <w:bottom w:w="0" w:type="dxa"/>
              <w:right w:w="216" w:type="dxa"/>
            </w:tcMar>
            <w:vAlign w:val="center"/>
            <w:hideMark/>
          </w:tcPr>
          <w:p w14:paraId="18757AB3" w14:textId="77777777" w:rsidR="006A1EE7" w:rsidRPr="006A1EE7" w:rsidRDefault="006A1EE7" w:rsidP="006A2E9B">
            <w:pPr>
              <w:spacing w:line="256" w:lineRule="auto"/>
              <w:jc w:val="right"/>
              <w:rPr>
                <w:sz w:val="20"/>
                <w:szCs w:val="20"/>
                <w:lang w:val="fr-FR"/>
              </w:rPr>
            </w:pPr>
            <w:r w:rsidRPr="006A1EE7">
              <w:rPr>
                <w:sz w:val="20"/>
                <w:lang w:val="fr-FR"/>
              </w:rPr>
              <w:t>508 159</w:t>
            </w:r>
          </w:p>
        </w:tc>
        <w:tc>
          <w:tcPr>
            <w:tcW w:w="2048" w:type="dxa"/>
            <w:hideMark/>
          </w:tcPr>
          <w:p w14:paraId="6DF0E58A" w14:textId="77777777" w:rsidR="006A1EE7" w:rsidRPr="006A1EE7" w:rsidRDefault="006A1EE7" w:rsidP="006A2E9B">
            <w:pPr>
              <w:jc w:val="right"/>
              <w:rPr>
                <w:sz w:val="20"/>
                <w:szCs w:val="20"/>
                <w:lang w:val="fr-FR"/>
              </w:rPr>
            </w:pPr>
            <w:r w:rsidRPr="006A1EE7">
              <w:rPr>
                <w:sz w:val="20"/>
                <w:lang w:val="fr-FR"/>
              </w:rPr>
              <w:t>51</w:t>
            </w:r>
          </w:p>
        </w:tc>
      </w:tr>
      <w:tr w:rsidR="006A1EE7" w:rsidRPr="006A1EE7" w14:paraId="2641E804" w14:textId="77777777" w:rsidTr="006A2E9B">
        <w:tc>
          <w:tcPr>
            <w:tcW w:w="1165" w:type="dxa"/>
            <w:vAlign w:val="center"/>
            <w:hideMark/>
          </w:tcPr>
          <w:p w14:paraId="78E0C022" w14:textId="77777777" w:rsidR="006A1EE7" w:rsidRPr="006A1EE7" w:rsidRDefault="006A1EE7" w:rsidP="006A2E9B">
            <w:pPr>
              <w:spacing w:line="256" w:lineRule="auto"/>
              <w:jc w:val="left"/>
              <w:rPr>
                <w:b/>
                <w:bCs/>
                <w:sz w:val="20"/>
                <w:szCs w:val="20"/>
                <w:lang w:val="fr-FR"/>
              </w:rPr>
            </w:pPr>
            <w:r w:rsidRPr="006A1EE7">
              <w:rPr>
                <w:b/>
                <w:sz w:val="20"/>
                <w:lang w:val="fr-FR"/>
              </w:rPr>
              <w:t>Total</w:t>
            </w:r>
          </w:p>
        </w:tc>
        <w:tc>
          <w:tcPr>
            <w:tcW w:w="2047" w:type="dxa"/>
            <w:tcMar>
              <w:top w:w="0" w:type="dxa"/>
              <w:left w:w="115" w:type="dxa"/>
              <w:bottom w:w="0" w:type="dxa"/>
              <w:right w:w="216" w:type="dxa"/>
            </w:tcMar>
            <w:vAlign w:val="center"/>
            <w:hideMark/>
          </w:tcPr>
          <w:p w14:paraId="6137C166" w14:textId="77777777" w:rsidR="006A1EE7" w:rsidRPr="006A1EE7" w:rsidRDefault="006A1EE7" w:rsidP="006A2E9B">
            <w:pPr>
              <w:spacing w:line="256" w:lineRule="auto"/>
              <w:jc w:val="right"/>
              <w:rPr>
                <w:b/>
                <w:bCs/>
                <w:sz w:val="20"/>
                <w:szCs w:val="20"/>
                <w:lang w:val="fr-FR"/>
              </w:rPr>
            </w:pPr>
            <w:r w:rsidRPr="006A1EE7">
              <w:rPr>
                <w:b/>
                <w:sz w:val="20"/>
                <w:lang w:val="fr-FR"/>
              </w:rPr>
              <w:t>3 394 017</w:t>
            </w:r>
          </w:p>
        </w:tc>
        <w:tc>
          <w:tcPr>
            <w:tcW w:w="2048" w:type="dxa"/>
            <w:tcMar>
              <w:top w:w="0" w:type="dxa"/>
              <w:left w:w="115" w:type="dxa"/>
              <w:bottom w:w="0" w:type="dxa"/>
              <w:right w:w="216" w:type="dxa"/>
            </w:tcMar>
            <w:vAlign w:val="center"/>
            <w:hideMark/>
          </w:tcPr>
          <w:p w14:paraId="3303595F" w14:textId="77777777" w:rsidR="006A1EE7" w:rsidRPr="006A1EE7" w:rsidRDefault="006A1EE7" w:rsidP="006A2E9B">
            <w:pPr>
              <w:spacing w:line="256" w:lineRule="auto"/>
              <w:jc w:val="right"/>
              <w:rPr>
                <w:b/>
                <w:bCs/>
                <w:sz w:val="20"/>
                <w:szCs w:val="20"/>
                <w:lang w:val="fr-FR"/>
              </w:rPr>
            </w:pPr>
            <w:r w:rsidRPr="006A1EE7">
              <w:rPr>
                <w:b/>
                <w:sz w:val="20"/>
                <w:lang w:val="fr-FR"/>
              </w:rPr>
              <w:t>2 325 279</w:t>
            </w:r>
          </w:p>
        </w:tc>
        <w:tc>
          <w:tcPr>
            <w:tcW w:w="2047" w:type="dxa"/>
            <w:tcMar>
              <w:top w:w="0" w:type="dxa"/>
              <w:left w:w="115" w:type="dxa"/>
              <w:bottom w:w="0" w:type="dxa"/>
              <w:right w:w="216" w:type="dxa"/>
            </w:tcMar>
            <w:vAlign w:val="center"/>
            <w:hideMark/>
          </w:tcPr>
          <w:p w14:paraId="228859E5" w14:textId="77777777" w:rsidR="006A1EE7" w:rsidRPr="006A1EE7" w:rsidRDefault="006A1EE7" w:rsidP="006A2E9B">
            <w:pPr>
              <w:spacing w:line="256" w:lineRule="auto"/>
              <w:jc w:val="right"/>
              <w:rPr>
                <w:b/>
                <w:sz w:val="20"/>
                <w:szCs w:val="20"/>
                <w:lang w:val="fr-FR"/>
              </w:rPr>
            </w:pPr>
            <w:r w:rsidRPr="006A1EE7">
              <w:rPr>
                <w:b/>
                <w:sz w:val="20"/>
                <w:lang w:val="fr-FR"/>
              </w:rPr>
              <w:t>1 068 738</w:t>
            </w:r>
          </w:p>
        </w:tc>
        <w:tc>
          <w:tcPr>
            <w:tcW w:w="2048" w:type="dxa"/>
            <w:hideMark/>
          </w:tcPr>
          <w:p w14:paraId="63ED6B80" w14:textId="77777777" w:rsidR="006A1EE7" w:rsidRPr="006A1EE7" w:rsidRDefault="006A1EE7" w:rsidP="006A2E9B">
            <w:pPr>
              <w:jc w:val="right"/>
              <w:rPr>
                <w:b/>
                <w:sz w:val="20"/>
                <w:szCs w:val="20"/>
                <w:lang w:val="fr-FR"/>
              </w:rPr>
            </w:pPr>
            <w:r w:rsidRPr="006A1EE7">
              <w:rPr>
                <w:b/>
                <w:sz w:val="20"/>
                <w:lang w:val="fr-FR"/>
              </w:rPr>
              <w:t>69</w:t>
            </w:r>
          </w:p>
        </w:tc>
      </w:tr>
    </w:tbl>
    <w:p w14:paraId="496EA51D" w14:textId="77777777" w:rsidR="006A1EE7" w:rsidRPr="006A1EE7" w:rsidRDefault="006A1EE7" w:rsidP="006A1EE7">
      <w:pPr>
        <w:rPr>
          <w:u w:val="single"/>
          <w:lang w:val="fr-FR"/>
        </w:rPr>
      </w:pPr>
    </w:p>
    <w:p w14:paraId="34C12433" w14:textId="77777777" w:rsidR="006A1EE7" w:rsidRPr="006A1EE7" w:rsidRDefault="006A1EE7" w:rsidP="006A1EE7">
      <w:pPr>
        <w:keepNext/>
        <w:rPr>
          <w:u w:val="single"/>
          <w:lang w:val="fr-FR"/>
        </w:rPr>
      </w:pPr>
      <w:r w:rsidRPr="006A1EE7">
        <w:rPr>
          <w:u w:val="single"/>
          <w:lang w:val="fr-FR"/>
        </w:rPr>
        <w:t>Proposition de révision du plan de mise en œuvre de la phase II du PGEH</w:t>
      </w:r>
    </w:p>
    <w:p w14:paraId="70968A1F" w14:textId="77777777" w:rsidR="006A1EE7" w:rsidRPr="006A1EE7" w:rsidRDefault="006A1EE7" w:rsidP="006A1EE7">
      <w:pPr>
        <w:keepNext/>
        <w:rPr>
          <w:u w:val="single"/>
          <w:lang w:val="fr-FR"/>
        </w:rPr>
      </w:pPr>
    </w:p>
    <w:p w14:paraId="5A3DC00B" w14:textId="2B9CD54E" w:rsidR="006A1EE7" w:rsidRPr="006A1EE7" w:rsidRDefault="006A1EE7" w:rsidP="006A1EE7">
      <w:pPr>
        <w:pStyle w:val="Heading1"/>
        <w:rPr>
          <w:iCs/>
          <w:lang w:val="fr-FR"/>
        </w:rPr>
      </w:pPr>
      <w:r w:rsidRPr="006A1EE7">
        <w:rPr>
          <w:lang w:val="fr-FR"/>
        </w:rPr>
        <w:t>La Phase II du PGEH doit être achevée en décembre 2022, comme précisé dans l’Accord entre le gouvernement du Chili et le Comité exécutif. Cependant des difficultés mondiales de la chaîne logistique et une augmentation des prix ont affecté la livraison au pays des équipements, des polyols et des catalyseurs. De plus, des retards des processus internes du ministère de l’Environnement (en conséquence des restrictions sanitaires adoptées en raison de la pandémie de COVID-19) ont empêché la mise en œuvre en temps voulus des activités dans le secteur de l’entretien des équipements de réfrigération et de climatisation. Au nom du gouvernement du Chili, le PNUD présente donc une demande de prolongation et un plan d’action révisé à mettre en œuvre entre le 1</w:t>
      </w:r>
      <w:r w:rsidRPr="006A1EE7">
        <w:rPr>
          <w:vertAlign w:val="superscript"/>
          <w:lang w:val="fr-FR"/>
        </w:rPr>
        <w:t>er</w:t>
      </w:r>
      <w:r w:rsidRPr="006A1EE7">
        <w:rPr>
          <w:lang w:val="fr-FR"/>
        </w:rPr>
        <w:t> juillet 2022 et le 31 juin 2023 comme indiqué dans la liste ci</w:t>
      </w:r>
      <w:r w:rsidR="00254D8D">
        <w:rPr>
          <w:lang w:val="fr-FR"/>
        </w:rPr>
        <w:noBreakHyphen/>
      </w:r>
      <w:r w:rsidRPr="006A1EE7">
        <w:rPr>
          <w:lang w:val="fr-FR"/>
        </w:rPr>
        <w:t>dessous :</w:t>
      </w:r>
    </w:p>
    <w:p w14:paraId="0DFD5EB5" w14:textId="77777777" w:rsidR="006A1EE7" w:rsidRPr="006A1EE7" w:rsidRDefault="006A1EE7" w:rsidP="006A1EE7">
      <w:pPr>
        <w:pStyle w:val="Heading1"/>
        <w:keepNext/>
        <w:widowControl w:val="0"/>
        <w:rPr>
          <w:lang w:val="fr-FR"/>
        </w:rPr>
      </w:pPr>
      <w:r w:rsidRPr="006A1EE7">
        <w:rPr>
          <w:lang w:val="fr-FR"/>
        </w:rPr>
        <w:t>Les activités suivantes seront effectuées :</w:t>
      </w:r>
    </w:p>
    <w:p w14:paraId="4C271122" w14:textId="4D088154" w:rsidR="006A1EE7" w:rsidRPr="006A1EE7" w:rsidRDefault="006F5813" w:rsidP="006F5813">
      <w:pPr>
        <w:pStyle w:val="Heading2"/>
        <w:numPr>
          <w:ilvl w:val="0"/>
          <w:numId w:val="0"/>
        </w:numPr>
        <w:ind w:left="1530"/>
        <w:rPr>
          <w:rFonts w:cstheme="minorHAnsi"/>
          <w:lang w:val="fr-FR"/>
        </w:rPr>
      </w:pPr>
      <w:r>
        <w:rPr>
          <w:i/>
          <w:lang w:val="fr-FR"/>
        </w:rPr>
        <w:t>A</w:t>
      </w:r>
      <w:r w:rsidR="006A1EE7" w:rsidRPr="006A1EE7">
        <w:rPr>
          <w:i/>
          <w:lang w:val="fr-FR"/>
        </w:rPr>
        <w:t>ssistance technique pour les politiques/l’application et le service des douanes :</w:t>
      </w:r>
      <w:r w:rsidR="006A1EE7" w:rsidRPr="006A1EE7">
        <w:rPr>
          <w:lang w:val="fr-FR"/>
        </w:rPr>
        <w:t xml:space="preserve"> finalisation de la livraison de pièces de rechange au laboratoire des douanes afin de renforcer ses capacités de contrôle ; conduite d’un nouveau processus d’appel d’offres pour l’acquisition des identificateurs de frigorigène portables ; finalisation de l’intégration du « Système d’enregistrement de l’ozone » avec le registre des émissions et des transferts de polluants et lancement d’un registre Web national des substances, produits et équipements réglementés au titre du Protocole de Montréal ;</w:t>
      </w:r>
    </w:p>
    <w:p w14:paraId="11C914DB" w14:textId="3E6650C3" w:rsidR="006A1EE7" w:rsidRPr="006A1EE7" w:rsidRDefault="006F5813" w:rsidP="006A1EE7">
      <w:pPr>
        <w:pStyle w:val="Heading2"/>
        <w:tabs>
          <w:tab w:val="clear" w:pos="0"/>
          <w:tab w:val="num" w:pos="90"/>
        </w:tabs>
        <w:ind w:left="1530"/>
        <w:rPr>
          <w:rFonts w:cstheme="minorHAnsi"/>
          <w:lang w:val="fr-FR"/>
        </w:rPr>
      </w:pPr>
      <w:r>
        <w:rPr>
          <w:i/>
          <w:lang w:val="fr-FR"/>
        </w:rPr>
        <w:t>R</w:t>
      </w:r>
      <w:r w:rsidR="006A1EE7" w:rsidRPr="006A1EE7">
        <w:rPr>
          <w:i/>
          <w:lang w:val="fr-FR"/>
        </w:rPr>
        <w:t>econversion des fabricants de panneaux discontinus et d’applications de mousse de PU pulvérisée :</w:t>
      </w:r>
      <w:r w:rsidR="006A1EE7" w:rsidRPr="006A1EE7">
        <w:rPr>
          <w:lang w:val="fr-FR"/>
        </w:rPr>
        <w:t xml:space="preserve"> achèvement de la reconversion d’Ixom aux HFO et paiement des surcoûts de fonctionnement aux quatre entreprises restantes ;</w:t>
      </w:r>
    </w:p>
    <w:p w14:paraId="6A31BE51" w14:textId="6F1303CB" w:rsidR="006A1EE7" w:rsidRPr="006A1EE7" w:rsidRDefault="006F5813" w:rsidP="006A1EE7">
      <w:pPr>
        <w:pStyle w:val="Heading2"/>
        <w:tabs>
          <w:tab w:val="clear" w:pos="0"/>
          <w:tab w:val="num" w:pos="90"/>
        </w:tabs>
        <w:ind w:left="1530"/>
        <w:rPr>
          <w:rFonts w:cstheme="minorHAnsi"/>
          <w:lang w:val="fr-FR"/>
        </w:rPr>
      </w:pPr>
      <w:r>
        <w:rPr>
          <w:i/>
          <w:lang w:val="fr-FR"/>
        </w:rPr>
        <w:t>A</w:t>
      </w:r>
      <w:r w:rsidR="006A1EE7" w:rsidRPr="006A1EE7">
        <w:rPr>
          <w:i/>
          <w:lang w:val="fr-FR"/>
        </w:rPr>
        <w:t>ssistance technique pour la promotion des solutions de rechange à faible potentiel de réchauffement de la planète (</w:t>
      </w:r>
      <w:r w:rsidR="0026119A">
        <w:rPr>
          <w:i/>
          <w:lang w:val="fr-FR"/>
        </w:rPr>
        <w:t>PRG</w:t>
      </w:r>
      <w:r w:rsidR="006A1EE7" w:rsidRPr="006A1EE7">
        <w:rPr>
          <w:i/>
          <w:lang w:val="fr-FR"/>
        </w:rPr>
        <w:t xml:space="preserve">) pour le secteur de la réfrigération et de la climatisation et pour la récupération et le recyclage : </w:t>
      </w:r>
      <w:r w:rsidR="006A1EE7" w:rsidRPr="006A1EE7">
        <w:rPr>
          <w:lang w:val="fr-FR"/>
        </w:rPr>
        <w:t xml:space="preserve">poursuite des formations aux bonnes pratiques de réfrigération en cours, de la certification des techniciens, et participation aux réunions de l’Accord de production propre ; ouverture d’un nouvel appel d’offres public afin d’établir le centre de régénération dans la zone nord ; livraison des machines de régénération aux centres de récupération et de recyclage, lancement du processus de régénération, et conduite d’activités régionales de vulgarisation pour soutenir le réseau de récupération et de recyclage ; </w:t>
      </w:r>
    </w:p>
    <w:p w14:paraId="115F2270" w14:textId="6864F15E" w:rsidR="006A1EE7" w:rsidRPr="006A1EE7" w:rsidRDefault="006F5813" w:rsidP="006A1EE7">
      <w:pPr>
        <w:pStyle w:val="Heading2"/>
        <w:tabs>
          <w:tab w:val="clear" w:pos="0"/>
          <w:tab w:val="num" w:pos="90"/>
        </w:tabs>
        <w:ind w:left="1530"/>
        <w:rPr>
          <w:lang w:val="fr-FR"/>
        </w:rPr>
      </w:pPr>
      <w:r>
        <w:rPr>
          <w:i/>
          <w:lang w:val="fr-FR"/>
        </w:rPr>
        <w:t>D</w:t>
      </w:r>
      <w:r w:rsidR="006A1EE7" w:rsidRPr="006A1EE7">
        <w:rPr>
          <w:i/>
          <w:lang w:val="fr-FR"/>
        </w:rPr>
        <w:t>émonstration de reconversions pour des chambres frigorifiques et des climatiseurs :</w:t>
      </w:r>
      <w:r w:rsidR="006A1EE7" w:rsidRPr="006A1EE7">
        <w:rPr>
          <w:lang w:val="fr-FR"/>
        </w:rPr>
        <w:t xml:space="preserve"> achèvement de la sélection du bénéficiaire et signature des accords pour la mise en œuvre des projets de démonstration de reconversion à des solutions de remplacement à faible </w:t>
      </w:r>
      <w:r w:rsidR="0026119A">
        <w:rPr>
          <w:lang w:val="fr-FR"/>
        </w:rPr>
        <w:t>PRG</w:t>
      </w:r>
      <w:r w:rsidR="006A1EE7" w:rsidRPr="006A1EE7">
        <w:rPr>
          <w:lang w:val="fr-FR"/>
        </w:rPr>
        <w:t>. Avec l’accord signé par les deux parties, le ministère de l’Environnement publie une Résolution d’approbation, qui permet la mise en œuvre des deux projets de démonstration de reconversion pour un système de climatisation et un système de chambre frigorifique. Les reconversions sont prévues en mai 2023 pour le système de climatisation et en juin 2023 pour le système de chambre frigorifique ; et</w:t>
      </w:r>
    </w:p>
    <w:p w14:paraId="09B8E394" w14:textId="41615389" w:rsidR="006A1EE7" w:rsidRPr="006A1EE7" w:rsidRDefault="006F5813" w:rsidP="006A1EE7">
      <w:pPr>
        <w:pStyle w:val="Heading2"/>
        <w:tabs>
          <w:tab w:val="clear" w:pos="0"/>
          <w:tab w:val="num" w:pos="90"/>
        </w:tabs>
        <w:ind w:left="1530"/>
        <w:rPr>
          <w:lang w:val="fr-FR"/>
        </w:rPr>
      </w:pPr>
      <w:r>
        <w:rPr>
          <w:i/>
          <w:lang w:val="fr-FR"/>
        </w:rPr>
        <w:t>P</w:t>
      </w:r>
      <w:r w:rsidR="006A1EE7" w:rsidRPr="006A1EE7">
        <w:rPr>
          <w:i/>
          <w:lang w:val="fr-FR"/>
        </w:rPr>
        <w:t xml:space="preserve">rogramme de sensibilisation : </w:t>
      </w:r>
      <w:r w:rsidR="006A1EE7" w:rsidRPr="006A1EE7">
        <w:rPr>
          <w:lang w:val="fr-FR"/>
        </w:rPr>
        <w:t>poursuite de l’intégration de la politique d’égalité des genres dans les activités et suivi de l’exécution des activités planifiées.</w:t>
      </w:r>
    </w:p>
    <w:p w14:paraId="14FF63C9" w14:textId="77777777" w:rsidR="006A1EE7" w:rsidRPr="006A1EE7" w:rsidRDefault="006A1EE7" w:rsidP="006A1EE7">
      <w:pPr>
        <w:keepNext/>
        <w:spacing w:before="240"/>
        <w:rPr>
          <w:i/>
          <w:lang w:val="fr-FR"/>
        </w:rPr>
      </w:pPr>
      <w:r w:rsidRPr="006A1EE7">
        <w:rPr>
          <w:b/>
          <w:lang w:val="fr-FR"/>
        </w:rPr>
        <w:t>Observations du Secrétariat</w:t>
      </w:r>
      <w:r w:rsidRPr="006A1EE7">
        <w:rPr>
          <w:i/>
          <w:lang w:val="fr-FR"/>
        </w:rPr>
        <w:t xml:space="preserve"> </w:t>
      </w:r>
    </w:p>
    <w:p w14:paraId="24A3C048" w14:textId="77777777" w:rsidR="006A1EE7" w:rsidRPr="006A1EE7" w:rsidRDefault="006A1EE7" w:rsidP="006A1EE7">
      <w:pPr>
        <w:keepNext/>
        <w:rPr>
          <w:i/>
          <w:lang w:val="fr-FR"/>
        </w:rPr>
      </w:pPr>
    </w:p>
    <w:p w14:paraId="39144EB7" w14:textId="77777777" w:rsidR="006A1EE7" w:rsidRPr="006A1EE7" w:rsidRDefault="006A1EE7" w:rsidP="006A1EE7">
      <w:pPr>
        <w:keepNext/>
        <w:rPr>
          <w:i/>
          <w:lang w:val="fr-FR"/>
        </w:rPr>
      </w:pPr>
      <w:r w:rsidRPr="006A1EE7">
        <w:rPr>
          <w:i/>
          <w:lang w:val="fr-FR"/>
        </w:rPr>
        <w:t>Secteur de la fabrication des mousses de polyuréthane</w:t>
      </w:r>
    </w:p>
    <w:p w14:paraId="5B1CA409" w14:textId="77777777" w:rsidR="006A1EE7" w:rsidRPr="006A1EE7" w:rsidRDefault="006A1EE7" w:rsidP="006A1EE7">
      <w:pPr>
        <w:keepNext/>
        <w:rPr>
          <w:i/>
          <w:lang w:val="fr-FR"/>
        </w:rPr>
      </w:pPr>
    </w:p>
    <w:p w14:paraId="74CDDA23" w14:textId="0690D50C" w:rsidR="006A1EE7" w:rsidRPr="006A1EE7" w:rsidRDefault="006A1EE7" w:rsidP="006A1EE7">
      <w:pPr>
        <w:pStyle w:val="Heading1"/>
        <w:rPr>
          <w:lang w:val="fr-FR"/>
        </w:rPr>
      </w:pPr>
      <w:r w:rsidRPr="006A1EE7">
        <w:rPr>
          <w:lang w:val="fr-FR"/>
        </w:rPr>
        <w:t>Sur demande d’éclaircissement au sujet de l’annulation du projet individuel de Superfrigo et des projets de groupe d’Austral et Ixom pour les entreprises qui avaient été identifiées mais se sont ensuite retirées, le PNUD a confirmé que le solde du financement (111 443 $ US), après déduction des fonds affectés aux entreprises qui ont rejoint le projet de groupe, serait restitué à la présente réunion. Le solde des fonds affectés à restituer au Secrétariat est indiqué dans le tableau 5 ci-dessous. Le PNUD a également expliqué que Superfrigo s’était reconvertie à un système de PU à base de HFC (à savoir un mélange HFC</w:t>
      </w:r>
      <w:r w:rsidR="00254D8D">
        <w:rPr>
          <w:lang w:val="fr-FR"/>
        </w:rPr>
        <w:noBreakHyphen/>
      </w:r>
      <w:r w:rsidRPr="006A1EE7">
        <w:rPr>
          <w:lang w:val="fr-FR"/>
        </w:rPr>
        <w:t>365mfc (93 pour cent) avec du HFC-227ea (7 pour cent)).</w:t>
      </w:r>
    </w:p>
    <w:p w14:paraId="18366DFF" w14:textId="77777777" w:rsidR="006A1EE7" w:rsidRPr="006A1EE7" w:rsidRDefault="006A1EE7" w:rsidP="006A1EE7">
      <w:pPr>
        <w:rPr>
          <w:b/>
          <w:lang w:val="fr-FR"/>
        </w:rPr>
      </w:pPr>
      <w:r w:rsidRPr="006A1EE7">
        <w:rPr>
          <w:b/>
          <w:lang w:val="fr-FR"/>
        </w:rPr>
        <w:t>Tableau 5. Solde du financement associé au retrait des entreprises des reconversions pour la mousse de PU</w:t>
      </w:r>
    </w:p>
    <w:tbl>
      <w:tblPr>
        <w:tblW w:w="9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078"/>
        <w:gridCol w:w="2422"/>
        <w:gridCol w:w="1517"/>
        <w:gridCol w:w="15"/>
        <w:gridCol w:w="1585"/>
        <w:gridCol w:w="8"/>
        <w:gridCol w:w="1823"/>
        <w:gridCol w:w="9"/>
      </w:tblGrid>
      <w:tr w:rsidR="006A1EE7" w:rsidRPr="006A1EE7" w14:paraId="796F1951" w14:textId="77777777" w:rsidTr="006A2E9B">
        <w:trPr>
          <w:gridAfter w:val="1"/>
          <w:wAfter w:w="9" w:type="dxa"/>
          <w:trHeight w:val="682"/>
          <w:tblHeader/>
        </w:trPr>
        <w:tc>
          <w:tcPr>
            <w:tcW w:w="2111" w:type="dxa"/>
            <w:tcMar>
              <w:top w:w="0" w:type="dxa"/>
              <w:left w:w="108" w:type="dxa"/>
              <w:bottom w:w="0" w:type="dxa"/>
              <w:right w:w="108" w:type="dxa"/>
            </w:tcMar>
            <w:hideMark/>
          </w:tcPr>
          <w:p w14:paraId="7B269E15" w14:textId="77777777" w:rsidR="006A1EE7" w:rsidRPr="006A1EE7" w:rsidRDefault="006A1EE7" w:rsidP="006A2E9B">
            <w:pPr>
              <w:jc w:val="left"/>
              <w:rPr>
                <w:b/>
                <w:bCs/>
                <w:sz w:val="20"/>
                <w:szCs w:val="20"/>
                <w:lang w:val="fr-FR"/>
              </w:rPr>
            </w:pPr>
            <w:r w:rsidRPr="006A1EE7">
              <w:rPr>
                <w:b/>
                <w:sz w:val="20"/>
                <w:lang w:val="fr-FR"/>
              </w:rPr>
              <w:t>Entreprise</w:t>
            </w:r>
          </w:p>
        </w:tc>
        <w:tc>
          <w:tcPr>
            <w:tcW w:w="2469" w:type="dxa"/>
            <w:tcMar>
              <w:top w:w="0" w:type="dxa"/>
              <w:left w:w="108" w:type="dxa"/>
              <w:bottom w:w="0" w:type="dxa"/>
              <w:right w:w="108" w:type="dxa"/>
            </w:tcMar>
            <w:hideMark/>
          </w:tcPr>
          <w:p w14:paraId="138B92A7" w14:textId="77777777" w:rsidR="006A1EE7" w:rsidRPr="006A1EE7" w:rsidRDefault="006A1EE7" w:rsidP="006A2E9B">
            <w:pPr>
              <w:jc w:val="center"/>
              <w:rPr>
                <w:sz w:val="20"/>
                <w:szCs w:val="20"/>
                <w:lang w:val="fr-FR"/>
              </w:rPr>
            </w:pPr>
            <w:r w:rsidRPr="006A1EE7">
              <w:rPr>
                <w:b/>
                <w:sz w:val="20"/>
                <w:lang w:val="fr-FR"/>
              </w:rPr>
              <w:t>Projet</w:t>
            </w:r>
          </w:p>
        </w:tc>
        <w:tc>
          <w:tcPr>
            <w:tcW w:w="1417" w:type="dxa"/>
            <w:tcMar>
              <w:top w:w="0" w:type="dxa"/>
              <w:left w:w="108" w:type="dxa"/>
              <w:bottom w:w="0" w:type="dxa"/>
              <w:right w:w="108" w:type="dxa"/>
            </w:tcMar>
            <w:hideMark/>
          </w:tcPr>
          <w:p w14:paraId="6C85D06E" w14:textId="77777777" w:rsidR="006A1EE7" w:rsidRPr="006A1EE7" w:rsidRDefault="006A1EE7" w:rsidP="006A2E9B">
            <w:pPr>
              <w:jc w:val="center"/>
              <w:rPr>
                <w:sz w:val="20"/>
                <w:szCs w:val="20"/>
                <w:lang w:val="fr-FR"/>
              </w:rPr>
            </w:pPr>
            <w:r w:rsidRPr="006A1EE7">
              <w:rPr>
                <w:b/>
                <w:sz w:val="20"/>
                <w:lang w:val="fr-FR"/>
              </w:rPr>
              <w:t>Consommation HCFC-141b (kg)</w:t>
            </w:r>
          </w:p>
        </w:tc>
        <w:tc>
          <w:tcPr>
            <w:tcW w:w="1603" w:type="dxa"/>
            <w:gridSpan w:val="2"/>
            <w:tcMar>
              <w:top w:w="0" w:type="dxa"/>
              <w:left w:w="108" w:type="dxa"/>
              <w:bottom w:w="0" w:type="dxa"/>
              <w:right w:w="108" w:type="dxa"/>
            </w:tcMar>
            <w:hideMark/>
          </w:tcPr>
          <w:p w14:paraId="6499FBE7" w14:textId="77777777" w:rsidR="006A1EE7" w:rsidRPr="006A1EE7" w:rsidRDefault="006A1EE7" w:rsidP="006A2E9B">
            <w:pPr>
              <w:jc w:val="center"/>
              <w:rPr>
                <w:sz w:val="20"/>
                <w:szCs w:val="20"/>
                <w:lang w:val="fr-FR"/>
              </w:rPr>
            </w:pPr>
            <w:r w:rsidRPr="006A1EE7">
              <w:rPr>
                <w:b/>
                <w:sz w:val="20"/>
                <w:lang w:val="fr-FR"/>
              </w:rPr>
              <w:t>Consommation HCFC-141b (tonnes PAO)</w:t>
            </w:r>
          </w:p>
        </w:tc>
        <w:tc>
          <w:tcPr>
            <w:tcW w:w="1848" w:type="dxa"/>
            <w:gridSpan w:val="2"/>
            <w:tcMar>
              <w:top w:w="0" w:type="dxa"/>
              <w:left w:w="108" w:type="dxa"/>
              <w:bottom w:w="0" w:type="dxa"/>
              <w:right w:w="108" w:type="dxa"/>
            </w:tcMar>
            <w:hideMark/>
          </w:tcPr>
          <w:p w14:paraId="0261B526" w14:textId="77777777" w:rsidR="006A1EE7" w:rsidRPr="006A1EE7" w:rsidRDefault="006A1EE7" w:rsidP="006A2E9B">
            <w:pPr>
              <w:jc w:val="center"/>
              <w:rPr>
                <w:sz w:val="20"/>
                <w:szCs w:val="20"/>
                <w:lang w:val="fr-FR"/>
              </w:rPr>
            </w:pPr>
            <w:r w:rsidRPr="006A1EE7">
              <w:rPr>
                <w:b/>
                <w:sz w:val="20"/>
                <w:lang w:val="fr-FR"/>
              </w:rPr>
              <w:t>Financement affecté ($ US)</w:t>
            </w:r>
          </w:p>
        </w:tc>
      </w:tr>
      <w:tr w:rsidR="006A1EE7" w:rsidRPr="00271AD8" w14:paraId="2F7F4B53" w14:textId="77777777" w:rsidTr="006A2E9B">
        <w:trPr>
          <w:trHeight w:val="227"/>
          <w:tblHeader/>
        </w:trPr>
        <w:tc>
          <w:tcPr>
            <w:tcW w:w="9457" w:type="dxa"/>
            <w:gridSpan w:val="8"/>
            <w:tcMar>
              <w:top w:w="0" w:type="dxa"/>
              <w:left w:w="108" w:type="dxa"/>
              <w:bottom w:w="0" w:type="dxa"/>
              <w:right w:w="108" w:type="dxa"/>
            </w:tcMar>
            <w:hideMark/>
          </w:tcPr>
          <w:p w14:paraId="362B2034" w14:textId="77777777" w:rsidR="006A1EE7" w:rsidRPr="006A1EE7" w:rsidRDefault="006A1EE7" w:rsidP="006A2E9B">
            <w:pPr>
              <w:rPr>
                <w:sz w:val="20"/>
                <w:szCs w:val="20"/>
                <w:lang w:val="fr-FR"/>
              </w:rPr>
            </w:pPr>
            <w:r w:rsidRPr="006A1EE7">
              <w:rPr>
                <w:b/>
                <w:sz w:val="20"/>
                <w:lang w:val="fr-FR"/>
              </w:rPr>
              <w:t>Entreprises qui n’ont pas participé au projet</w:t>
            </w:r>
          </w:p>
        </w:tc>
      </w:tr>
      <w:tr w:rsidR="006A1EE7" w:rsidRPr="006A1EE7" w14:paraId="3F61BC1A" w14:textId="77777777" w:rsidTr="006A2E9B">
        <w:trPr>
          <w:gridAfter w:val="1"/>
          <w:wAfter w:w="9" w:type="dxa"/>
          <w:trHeight w:val="227"/>
        </w:trPr>
        <w:tc>
          <w:tcPr>
            <w:tcW w:w="2111" w:type="dxa"/>
            <w:tcMar>
              <w:top w:w="0" w:type="dxa"/>
              <w:left w:w="108" w:type="dxa"/>
              <w:bottom w:w="0" w:type="dxa"/>
              <w:right w:w="108" w:type="dxa"/>
            </w:tcMar>
            <w:hideMark/>
          </w:tcPr>
          <w:p w14:paraId="4179803A" w14:textId="77777777" w:rsidR="006A1EE7" w:rsidRPr="006A1EE7" w:rsidRDefault="006A1EE7" w:rsidP="006A2E9B">
            <w:pPr>
              <w:rPr>
                <w:sz w:val="20"/>
                <w:szCs w:val="20"/>
                <w:lang w:val="fr-FR"/>
              </w:rPr>
            </w:pPr>
            <w:proofErr w:type="spellStart"/>
            <w:r w:rsidRPr="006A1EE7">
              <w:rPr>
                <w:sz w:val="20"/>
                <w:lang w:val="fr-FR"/>
              </w:rPr>
              <w:t>Térmica</w:t>
            </w:r>
            <w:proofErr w:type="spellEnd"/>
            <w:r w:rsidRPr="006A1EE7">
              <w:rPr>
                <w:sz w:val="20"/>
                <w:lang w:val="fr-FR"/>
              </w:rPr>
              <w:t xml:space="preserve"> </w:t>
            </w:r>
            <w:proofErr w:type="spellStart"/>
            <w:r w:rsidRPr="006A1EE7">
              <w:rPr>
                <w:sz w:val="20"/>
                <w:lang w:val="fr-FR"/>
              </w:rPr>
              <w:t>Camval</w:t>
            </w:r>
            <w:proofErr w:type="spellEnd"/>
          </w:p>
        </w:tc>
        <w:tc>
          <w:tcPr>
            <w:tcW w:w="2469" w:type="dxa"/>
            <w:tcMar>
              <w:top w:w="0" w:type="dxa"/>
              <w:left w:w="108" w:type="dxa"/>
              <w:bottom w:w="0" w:type="dxa"/>
              <w:right w:w="108" w:type="dxa"/>
            </w:tcMar>
            <w:hideMark/>
          </w:tcPr>
          <w:p w14:paraId="6D38F913" w14:textId="77777777" w:rsidR="006A1EE7" w:rsidRPr="006A1EE7" w:rsidRDefault="006A1EE7" w:rsidP="006A2E9B">
            <w:pPr>
              <w:rPr>
                <w:sz w:val="20"/>
                <w:szCs w:val="20"/>
                <w:lang w:val="fr-FR"/>
              </w:rPr>
            </w:pPr>
            <w:r w:rsidRPr="006A1EE7">
              <w:rPr>
                <w:sz w:val="20"/>
                <w:lang w:val="fr-FR"/>
              </w:rPr>
              <w:t>Austral Chemicals</w:t>
            </w:r>
          </w:p>
        </w:tc>
        <w:tc>
          <w:tcPr>
            <w:tcW w:w="1417" w:type="dxa"/>
            <w:tcMar>
              <w:top w:w="0" w:type="dxa"/>
              <w:left w:w="108" w:type="dxa"/>
              <w:bottom w:w="0" w:type="dxa"/>
              <w:right w:w="108" w:type="dxa"/>
            </w:tcMar>
            <w:hideMark/>
          </w:tcPr>
          <w:p w14:paraId="3DB83D19" w14:textId="77777777" w:rsidR="006A1EE7" w:rsidRPr="006A1EE7" w:rsidRDefault="006A1EE7" w:rsidP="006A2E9B">
            <w:pPr>
              <w:jc w:val="right"/>
              <w:rPr>
                <w:sz w:val="20"/>
                <w:szCs w:val="20"/>
                <w:lang w:val="fr-FR"/>
              </w:rPr>
            </w:pPr>
            <w:r w:rsidRPr="006A1EE7">
              <w:rPr>
                <w:sz w:val="20"/>
                <w:lang w:val="fr-FR"/>
              </w:rPr>
              <w:t>410</w:t>
            </w:r>
          </w:p>
        </w:tc>
        <w:tc>
          <w:tcPr>
            <w:tcW w:w="1603" w:type="dxa"/>
            <w:gridSpan w:val="2"/>
            <w:tcMar>
              <w:top w:w="0" w:type="dxa"/>
              <w:left w:w="108" w:type="dxa"/>
              <w:bottom w:w="0" w:type="dxa"/>
              <w:right w:w="108" w:type="dxa"/>
            </w:tcMar>
            <w:hideMark/>
          </w:tcPr>
          <w:p w14:paraId="600CB0D6" w14:textId="77777777" w:rsidR="006A1EE7" w:rsidRPr="006A1EE7" w:rsidRDefault="006A1EE7" w:rsidP="006A2E9B">
            <w:pPr>
              <w:jc w:val="right"/>
              <w:rPr>
                <w:sz w:val="20"/>
                <w:szCs w:val="20"/>
                <w:lang w:val="fr-FR"/>
              </w:rPr>
            </w:pPr>
            <w:r w:rsidRPr="006A1EE7">
              <w:rPr>
                <w:sz w:val="20"/>
                <w:lang w:val="fr-FR"/>
              </w:rPr>
              <w:t>0,0451</w:t>
            </w:r>
          </w:p>
        </w:tc>
        <w:tc>
          <w:tcPr>
            <w:tcW w:w="1848" w:type="dxa"/>
            <w:gridSpan w:val="2"/>
            <w:tcMar>
              <w:top w:w="0" w:type="dxa"/>
              <w:left w:w="108" w:type="dxa"/>
              <w:bottom w:w="0" w:type="dxa"/>
              <w:right w:w="108" w:type="dxa"/>
            </w:tcMar>
            <w:hideMark/>
          </w:tcPr>
          <w:p w14:paraId="61E8E9E4" w14:textId="77777777" w:rsidR="006A1EE7" w:rsidRPr="006A1EE7" w:rsidRDefault="006A1EE7" w:rsidP="006A2E9B">
            <w:pPr>
              <w:jc w:val="right"/>
              <w:rPr>
                <w:sz w:val="20"/>
                <w:szCs w:val="20"/>
                <w:lang w:val="fr-FR"/>
              </w:rPr>
            </w:pPr>
            <w:r w:rsidRPr="006A1EE7">
              <w:rPr>
                <w:sz w:val="20"/>
                <w:lang w:val="fr-FR"/>
              </w:rPr>
              <w:t>3 976</w:t>
            </w:r>
          </w:p>
        </w:tc>
      </w:tr>
      <w:tr w:rsidR="006A1EE7" w:rsidRPr="006A1EE7" w14:paraId="65FF2FF0" w14:textId="77777777" w:rsidTr="006A2E9B">
        <w:trPr>
          <w:gridAfter w:val="1"/>
          <w:wAfter w:w="9" w:type="dxa"/>
          <w:trHeight w:val="227"/>
        </w:trPr>
        <w:tc>
          <w:tcPr>
            <w:tcW w:w="2111" w:type="dxa"/>
            <w:tcMar>
              <w:top w:w="0" w:type="dxa"/>
              <w:left w:w="108" w:type="dxa"/>
              <w:bottom w:w="0" w:type="dxa"/>
              <w:right w:w="108" w:type="dxa"/>
            </w:tcMar>
            <w:hideMark/>
          </w:tcPr>
          <w:p w14:paraId="2379F6FB" w14:textId="77777777" w:rsidR="006A1EE7" w:rsidRPr="006A1EE7" w:rsidRDefault="006A1EE7" w:rsidP="006A2E9B">
            <w:pPr>
              <w:rPr>
                <w:sz w:val="20"/>
                <w:szCs w:val="20"/>
                <w:lang w:val="fr-FR"/>
              </w:rPr>
            </w:pPr>
            <w:r w:rsidRPr="006A1EE7">
              <w:rPr>
                <w:sz w:val="20"/>
                <w:lang w:val="fr-FR"/>
              </w:rPr>
              <w:t>Refritec</w:t>
            </w:r>
          </w:p>
        </w:tc>
        <w:tc>
          <w:tcPr>
            <w:tcW w:w="2469" w:type="dxa"/>
            <w:tcMar>
              <w:top w:w="0" w:type="dxa"/>
              <w:left w:w="108" w:type="dxa"/>
              <w:bottom w:w="0" w:type="dxa"/>
              <w:right w:w="108" w:type="dxa"/>
            </w:tcMar>
            <w:hideMark/>
          </w:tcPr>
          <w:p w14:paraId="1904C43E" w14:textId="77777777" w:rsidR="006A1EE7" w:rsidRPr="006A1EE7" w:rsidRDefault="006A1EE7" w:rsidP="006A2E9B">
            <w:pPr>
              <w:rPr>
                <w:sz w:val="20"/>
                <w:szCs w:val="20"/>
                <w:lang w:val="fr-FR"/>
              </w:rPr>
            </w:pPr>
            <w:r w:rsidRPr="006A1EE7">
              <w:rPr>
                <w:sz w:val="20"/>
                <w:lang w:val="fr-FR"/>
              </w:rPr>
              <w:t>Austral Chemicals</w:t>
            </w:r>
          </w:p>
        </w:tc>
        <w:tc>
          <w:tcPr>
            <w:tcW w:w="1417" w:type="dxa"/>
            <w:tcMar>
              <w:top w:w="0" w:type="dxa"/>
              <w:left w:w="108" w:type="dxa"/>
              <w:bottom w:w="0" w:type="dxa"/>
              <w:right w:w="108" w:type="dxa"/>
            </w:tcMar>
            <w:hideMark/>
          </w:tcPr>
          <w:p w14:paraId="66E935D2" w14:textId="77777777" w:rsidR="006A1EE7" w:rsidRPr="006A1EE7" w:rsidRDefault="006A1EE7" w:rsidP="006A2E9B">
            <w:pPr>
              <w:jc w:val="right"/>
              <w:rPr>
                <w:sz w:val="20"/>
                <w:szCs w:val="20"/>
                <w:lang w:val="fr-FR"/>
              </w:rPr>
            </w:pPr>
            <w:r w:rsidRPr="006A1EE7">
              <w:rPr>
                <w:sz w:val="20"/>
                <w:lang w:val="fr-FR"/>
              </w:rPr>
              <w:t>222</w:t>
            </w:r>
          </w:p>
        </w:tc>
        <w:tc>
          <w:tcPr>
            <w:tcW w:w="1603" w:type="dxa"/>
            <w:gridSpan w:val="2"/>
            <w:tcMar>
              <w:top w:w="0" w:type="dxa"/>
              <w:left w:w="108" w:type="dxa"/>
              <w:bottom w:w="0" w:type="dxa"/>
              <w:right w:w="108" w:type="dxa"/>
            </w:tcMar>
            <w:hideMark/>
          </w:tcPr>
          <w:p w14:paraId="1BC29514" w14:textId="77777777" w:rsidR="006A1EE7" w:rsidRPr="006A1EE7" w:rsidRDefault="006A1EE7" w:rsidP="006A2E9B">
            <w:pPr>
              <w:jc w:val="right"/>
              <w:rPr>
                <w:sz w:val="20"/>
                <w:szCs w:val="20"/>
                <w:lang w:val="fr-FR"/>
              </w:rPr>
            </w:pPr>
            <w:r w:rsidRPr="006A1EE7">
              <w:rPr>
                <w:sz w:val="20"/>
                <w:lang w:val="fr-FR"/>
              </w:rPr>
              <w:t>0,0244</w:t>
            </w:r>
          </w:p>
        </w:tc>
        <w:tc>
          <w:tcPr>
            <w:tcW w:w="1848" w:type="dxa"/>
            <w:gridSpan w:val="2"/>
            <w:tcMar>
              <w:top w:w="0" w:type="dxa"/>
              <w:left w:w="108" w:type="dxa"/>
              <w:bottom w:w="0" w:type="dxa"/>
              <w:right w:w="108" w:type="dxa"/>
            </w:tcMar>
            <w:hideMark/>
          </w:tcPr>
          <w:p w14:paraId="12DDE74D" w14:textId="77777777" w:rsidR="006A1EE7" w:rsidRPr="006A1EE7" w:rsidRDefault="006A1EE7" w:rsidP="006A2E9B">
            <w:pPr>
              <w:jc w:val="right"/>
              <w:rPr>
                <w:sz w:val="20"/>
                <w:szCs w:val="20"/>
                <w:lang w:val="fr-FR"/>
              </w:rPr>
            </w:pPr>
            <w:r w:rsidRPr="006A1EE7">
              <w:rPr>
                <w:sz w:val="20"/>
                <w:lang w:val="fr-FR"/>
              </w:rPr>
              <w:t>2 154</w:t>
            </w:r>
          </w:p>
        </w:tc>
      </w:tr>
      <w:tr w:rsidR="006A1EE7" w:rsidRPr="006A1EE7" w14:paraId="2E757AEC" w14:textId="77777777" w:rsidTr="006A2E9B">
        <w:trPr>
          <w:gridAfter w:val="1"/>
          <w:wAfter w:w="9" w:type="dxa"/>
          <w:trHeight w:val="227"/>
        </w:trPr>
        <w:tc>
          <w:tcPr>
            <w:tcW w:w="2111" w:type="dxa"/>
            <w:tcMar>
              <w:top w:w="0" w:type="dxa"/>
              <w:left w:w="108" w:type="dxa"/>
              <w:bottom w:w="0" w:type="dxa"/>
              <w:right w:w="108" w:type="dxa"/>
            </w:tcMar>
            <w:hideMark/>
          </w:tcPr>
          <w:p w14:paraId="09DF0885" w14:textId="77777777" w:rsidR="006A1EE7" w:rsidRPr="006A1EE7" w:rsidRDefault="006A1EE7" w:rsidP="006A2E9B">
            <w:pPr>
              <w:rPr>
                <w:sz w:val="20"/>
                <w:szCs w:val="20"/>
                <w:lang w:val="fr-FR"/>
              </w:rPr>
            </w:pPr>
            <w:r w:rsidRPr="006A1EE7">
              <w:rPr>
                <w:sz w:val="20"/>
                <w:lang w:val="fr-FR"/>
              </w:rPr>
              <w:t>Kaefer Souyet</w:t>
            </w:r>
          </w:p>
        </w:tc>
        <w:tc>
          <w:tcPr>
            <w:tcW w:w="2469" w:type="dxa"/>
            <w:tcMar>
              <w:top w:w="0" w:type="dxa"/>
              <w:left w:w="108" w:type="dxa"/>
              <w:bottom w:w="0" w:type="dxa"/>
              <w:right w:w="108" w:type="dxa"/>
            </w:tcMar>
            <w:hideMark/>
          </w:tcPr>
          <w:p w14:paraId="4C56933C" w14:textId="77777777" w:rsidR="006A1EE7" w:rsidRPr="006A1EE7" w:rsidRDefault="006A1EE7" w:rsidP="006A2E9B">
            <w:pPr>
              <w:rPr>
                <w:sz w:val="20"/>
                <w:szCs w:val="20"/>
                <w:lang w:val="fr-FR"/>
              </w:rPr>
            </w:pPr>
            <w:r w:rsidRPr="006A1EE7">
              <w:rPr>
                <w:sz w:val="20"/>
                <w:lang w:val="fr-FR"/>
              </w:rPr>
              <w:t>Ixom</w:t>
            </w:r>
          </w:p>
        </w:tc>
        <w:tc>
          <w:tcPr>
            <w:tcW w:w="1417" w:type="dxa"/>
            <w:tcMar>
              <w:top w:w="0" w:type="dxa"/>
              <w:left w:w="108" w:type="dxa"/>
              <w:bottom w:w="0" w:type="dxa"/>
              <w:right w:w="108" w:type="dxa"/>
            </w:tcMar>
            <w:hideMark/>
          </w:tcPr>
          <w:p w14:paraId="305B3220" w14:textId="77777777" w:rsidR="006A1EE7" w:rsidRPr="006A1EE7" w:rsidRDefault="006A1EE7" w:rsidP="006A2E9B">
            <w:pPr>
              <w:jc w:val="right"/>
              <w:rPr>
                <w:sz w:val="20"/>
                <w:szCs w:val="20"/>
                <w:lang w:val="fr-FR"/>
              </w:rPr>
            </w:pPr>
            <w:r w:rsidRPr="006A1EE7">
              <w:rPr>
                <w:sz w:val="20"/>
                <w:lang w:val="fr-FR"/>
              </w:rPr>
              <w:t>2 084</w:t>
            </w:r>
          </w:p>
        </w:tc>
        <w:tc>
          <w:tcPr>
            <w:tcW w:w="1603" w:type="dxa"/>
            <w:gridSpan w:val="2"/>
            <w:tcMar>
              <w:top w:w="0" w:type="dxa"/>
              <w:left w:w="108" w:type="dxa"/>
              <w:bottom w:w="0" w:type="dxa"/>
              <w:right w:w="108" w:type="dxa"/>
            </w:tcMar>
            <w:hideMark/>
          </w:tcPr>
          <w:p w14:paraId="359EBA7C" w14:textId="77777777" w:rsidR="006A1EE7" w:rsidRPr="006A1EE7" w:rsidRDefault="006A1EE7" w:rsidP="006A2E9B">
            <w:pPr>
              <w:jc w:val="right"/>
              <w:rPr>
                <w:sz w:val="20"/>
                <w:szCs w:val="20"/>
                <w:lang w:val="fr-FR"/>
              </w:rPr>
            </w:pPr>
            <w:r w:rsidRPr="006A1EE7">
              <w:rPr>
                <w:sz w:val="20"/>
                <w:lang w:val="fr-FR"/>
              </w:rPr>
              <w:t>0,2292</w:t>
            </w:r>
          </w:p>
        </w:tc>
        <w:tc>
          <w:tcPr>
            <w:tcW w:w="1848" w:type="dxa"/>
            <w:gridSpan w:val="2"/>
            <w:tcMar>
              <w:top w:w="0" w:type="dxa"/>
              <w:left w:w="108" w:type="dxa"/>
              <w:bottom w:w="0" w:type="dxa"/>
              <w:right w:w="108" w:type="dxa"/>
            </w:tcMar>
            <w:hideMark/>
          </w:tcPr>
          <w:p w14:paraId="2564FE1E" w14:textId="77777777" w:rsidR="006A1EE7" w:rsidRPr="006A1EE7" w:rsidRDefault="006A1EE7" w:rsidP="006A2E9B">
            <w:pPr>
              <w:jc w:val="right"/>
              <w:rPr>
                <w:sz w:val="20"/>
                <w:szCs w:val="20"/>
                <w:lang w:val="fr-FR"/>
              </w:rPr>
            </w:pPr>
            <w:r w:rsidRPr="006A1EE7">
              <w:rPr>
                <w:sz w:val="20"/>
                <w:lang w:val="fr-FR"/>
              </w:rPr>
              <w:t>19 307</w:t>
            </w:r>
          </w:p>
        </w:tc>
      </w:tr>
      <w:tr w:rsidR="006A1EE7" w:rsidRPr="006A1EE7" w14:paraId="0D079F27" w14:textId="77777777" w:rsidTr="006A2E9B">
        <w:trPr>
          <w:gridAfter w:val="1"/>
          <w:wAfter w:w="9" w:type="dxa"/>
          <w:trHeight w:val="240"/>
        </w:trPr>
        <w:tc>
          <w:tcPr>
            <w:tcW w:w="2111" w:type="dxa"/>
            <w:tcMar>
              <w:top w:w="0" w:type="dxa"/>
              <w:left w:w="108" w:type="dxa"/>
              <w:bottom w:w="0" w:type="dxa"/>
              <w:right w:w="108" w:type="dxa"/>
            </w:tcMar>
            <w:hideMark/>
          </w:tcPr>
          <w:p w14:paraId="6BF98826" w14:textId="77777777" w:rsidR="006A1EE7" w:rsidRPr="006A1EE7" w:rsidRDefault="006A1EE7" w:rsidP="006A2E9B">
            <w:pPr>
              <w:rPr>
                <w:sz w:val="20"/>
                <w:szCs w:val="20"/>
                <w:lang w:val="fr-FR"/>
              </w:rPr>
            </w:pPr>
            <w:r w:rsidRPr="006A1EE7">
              <w:rPr>
                <w:sz w:val="20"/>
                <w:lang w:val="fr-FR"/>
              </w:rPr>
              <w:t>Tulio Mosso</w:t>
            </w:r>
          </w:p>
        </w:tc>
        <w:tc>
          <w:tcPr>
            <w:tcW w:w="2469" w:type="dxa"/>
            <w:tcMar>
              <w:top w:w="0" w:type="dxa"/>
              <w:left w:w="108" w:type="dxa"/>
              <w:bottom w:w="0" w:type="dxa"/>
              <w:right w:w="108" w:type="dxa"/>
            </w:tcMar>
            <w:hideMark/>
          </w:tcPr>
          <w:p w14:paraId="5EE90088" w14:textId="77777777" w:rsidR="006A1EE7" w:rsidRPr="006A1EE7" w:rsidRDefault="006A1EE7" w:rsidP="006A2E9B">
            <w:pPr>
              <w:rPr>
                <w:sz w:val="20"/>
                <w:szCs w:val="20"/>
                <w:lang w:val="fr-FR"/>
              </w:rPr>
            </w:pPr>
            <w:r w:rsidRPr="006A1EE7">
              <w:rPr>
                <w:sz w:val="20"/>
                <w:lang w:val="fr-FR"/>
              </w:rPr>
              <w:t>Ixom</w:t>
            </w:r>
          </w:p>
        </w:tc>
        <w:tc>
          <w:tcPr>
            <w:tcW w:w="1417" w:type="dxa"/>
            <w:tcMar>
              <w:top w:w="0" w:type="dxa"/>
              <w:left w:w="108" w:type="dxa"/>
              <w:bottom w:w="0" w:type="dxa"/>
              <w:right w:w="108" w:type="dxa"/>
            </w:tcMar>
            <w:hideMark/>
          </w:tcPr>
          <w:p w14:paraId="2BC63C72" w14:textId="77777777" w:rsidR="006A1EE7" w:rsidRPr="006A1EE7" w:rsidRDefault="006A1EE7" w:rsidP="006A2E9B">
            <w:pPr>
              <w:jc w:val="right"/>
              <w:rPr>
                <w:sz w:val="20"/>
                <w:szCs w:val="20"/>
                <w:lang w:val="fr-FR"/>
              </w:rPr>
            </w:pPr>
            <w:r w:rsidRPr="006A1EE7">
              <w:rPr>
                <w:sz w:val="20"/>
                <w:lang w:val="fr-FR"/>
              </w:rPr>
              <w:t>316</w:t>
            </w:r>
          </w:p>
        </w:tc>
        <w:tc>
          <w:tcPr>
            <w:tcW w:w="1603" w:type="dxa"/>
            <w:gridSpan w:val="2"/>
            <w:tcMar>
              <w:top w:w="0" w:type="dxa"/>
              <w:left w:w="108" w:type="dxa"/>
              <w:bottom w:w="0" w:type="dxa"/>
              <w:right w:w="108" w:type="dxa"/>
            </w:tcMar>
            <w:hideMark/>
          </w:tcPr>
          <w:p w14:paraId="6F09AF7D" w14:textId="77777777" w:rsidR="006A1EE7" w:rsidRPr="006A1EE7" w:rsidRDefault="006A1EE7" w:rsidP="006A2E9B">
            <w:pPr>
              <w:jc w:val="right"/>
              <w:rPr>
                <w:sz w:val="20"/>
                <w:szCs w:val="20"/>
                <w:lang w:val="fr-FR"/>
              </w:rPr>
            </w:pPr>
            <w:r w:rsidRPr="006A1EE7">
              <w:rPr>
                <w:sz w:val="20"/>
                <w:lang w:val="fr-FR"/>
              </w:rPr>
              <w:t>0,0348</w:t>
            </w:r>
          </w:p>
        </w:tc>
        <w:tc>
          <w:tcPr>
            <w:tcW w:w="1848" w:type="dxa"/>
            <w:gridSpan w:val="2"/>
            <w:tcMar>
              <w:top w:w="0" w:type="dxa"/>
              <w:left w:w="108" w:type="dxa"/>
              <w:bottom w:w="0" w:type="dxa"/>
              <w:right w:w="108" w:type="dxa"/>
            </w:tcMar>
            <w:hideMark/>
          </w:tcPr>
          <w:p w14:paraId="619E3296" w14:textId="77777777" w:rsidR="006A1EE7" w:rsidRPr="006A1EE7" w:rsidRDefault="006A1EE7" w:rsidP="006A2E9B">
            <w:pPr>
              <w:jc w:val="right"/>
              <w:rPr>
                <w:sz w:val="20"/>
                <w:szCs w:val="20"/>
                <w:lang w:val="fr-FR"/>
              </w:rPr>
            </w:pPr>
            <w:r w:rsidRPr="006A1EE7">
              <w:rPr>
                <w:sz w:val="20"/>
                <w:lang w:val="fr-FR"/>
              </w:rPr>
              <w:t>2 925</w:t>
            </w:r>
          </w:p>
        </w:tc>
      </w:tr>
      <w:tr w:rsidR="006A1EE7" w:rsidRPr="006A1EE7" w14:paraId="7F298266" w14:textId="77777777" w:rsidTr="006A2E9B">
        <w:trPr>
          <w:gridAfter w:val="1"/>
          <w:wAfter w:w="9" w:type="dxa"/>
          <w:trHeight w:val="227"/>
        </w:trPr>
        <w:tc>
          <w:tcPr>
            <w:tcW w:w="2111" w:type="dxa"/>
            <w:tcMar>
              <w:top w:w="0" w:type="dxa"/>
              <w:left w:w="108" w:type="dxa"/>
              <w:bottom w:w="0" w:type="dxa"/>
              <w:right w:w="108" w:type="dxa"/>
            </w:tcMar>
            <w:hideMark/>
          </w:tcPr>
          <w:p w14:paraId="78715BE7" w14:textId="77777777" w:rsidR="006A1EE7" w:rsidRPr="006A1EE7" w:rsidRDefault="006A1EE7" w:rsidP="006A2E9B">
            <w:pPr>
              <w:rPr>
                <w:sz w:val="20"/>
                <w:szCs w:val="20"/>
                <w:lang w:val="fr-FR"/>
              </w:rPr>
            </w:pPr>
            <w:r w:rsidRPr="006A1EE7">
              <w:rPr>
                <w:sz w:val="20"/>
                <w:lang w:val="fr-FR"/>
              </w:rPr>
              <w:t>Superfrigo</w:t>
            </w:r>
          </w:p>
        </w:tc>
        <w:tc>
          <w:tcPr>
            <w:tcW w:w="2469" w:type="dxa"/>
            <w:tcMar>
              <w:top w:w="0" w:type="dxa"/>
              <w:left w:w="108" w:type="dxa"/>
              <w:bottom w:w="0" w:type="dxa"/>
              <w:right w:w="108" w:type="dxa"/>
            </w:tcMar>
            <w:hideMark/>
          </w:tcPr>
          <w:p w14:paraId="2FDFAAB9" w14:textId="77777777" w:rsidR="006A1EE7" w:rsidRPr="006A1EE7" w:rsidRDefault="006A1EE7" w:rsidP="006A2E9B">
            <w:pPr>
              <w:rPr>
                <w:sz w:val="20"/>
                <w:szCs w:val="20"/>
                <w:lang w:val="fr-FR"/>
              </w:rPr>
            </w:pPr>
            <w:r w:rsidRPr="006A1EE7">
              <w:rPr>
                <w:sz w:val="20"/>
                <w:lang w:val="fr-FR"/>
              </w:rPr>
              <w:t>Individuel</w:t>
            </w:r>
          </w:p>
        </w:tc>
        <w:tc>
          <w:tcPr>
            <w:tcW w:w="1417" w:type="dxa"/>
            <w:tcMar>
              <w:top w:w="0" w:type="dxa"/>
              <w:left w:w="108" w:type="dxa"/>
              <w:bottom w:w="0" w:type="dxa"/>
              <w:right w:w="108" w:type="dxa"/>
            </w:tcMar>
            <w:hideMark/>
          </w:tcPr>
          <w:p w14:paraId="32A55426" w14:textId="77777777" w:rsidR="006A1EE7" w:rsidRPr="006A1EE7" w:rsidRDefault="006A1EE7" w:rsidP="006A2E9B">
            <w:pPr>
              <w:jc w:val="right"/>
              <w:rPr>
                <w:sz w:val="20"/>
                <w:szCs w:val="20"/>
                <w:lang w:val="fr-FR"/>
              </w:rPr>
            </w:pPr>
            <w:r w:rsidRPr="006A1EE7">
              <w:rPr>
                <w:sz w:val="20"/>
                <w:lang w:val="fr-FR"/>
              </w:rPr>
              <w:t>9 510</w:t>
            </w:r>
          </w:p>
        </w:tc>
        <w:tc>
          <w:tcPr>
            <w:tcW w:w="1603" w:type="dxa"/>
            <w:gridSpan w:val="2"/>
            <w:tcMar>
              <w:top w:w="0" w:type="dxa"/>
              <w:left w:w="108" w:type="dxa"/>
              <w:bottom w:w="0" w:type="dxa"/>
              <w:right w:w="108" w:type="dxa"/>
            </w:tcMar>
            <w:hideMark/>
          </w:tcPr>
          <w:p w14:paraId="0B9A0096" w14:textId="77777777" w:rsidR="006A1EE7" w:rsidRPr="006A1EE7" w:rsidRDefault="006A1EE7" w:rsidP="006A2E9B">
            <w:pPr>
              <w:jc w:val="right"/>
              <w:rPr>
                <w:sz w:val="20"/>
                <w:szCs w:val="20"/>
                <w:lang w:val="fr-FR"/>
              </w:rPr>
            </w:pPr>
            <w:r w:rsidRPr="006A1EE7">
              <w:rPr>
                <w:sz w:val="20"/>
                <w:lang w:val="fr-FR"/>
              </w:rPr>
              <w:t>1,0461</w:t>
            </w:r>
          </w:p>
        </w:tc>
        <w:tc>
          <w:tcPr>
            <w:tcW w:w="1848" w:type="dxa"/>
            <w:gridSpan w:val="2"/>
            <w:tcMar>
              <w:top w:w="0" w:type="dxa"/>
              <w:left w:w="108" w:type="dxa"/>
              <w:bottom w:w="0" w:type="dxa"/>
              <w:right w:w="108" w:type="dxa"/>
            </w:tcMar>
            <w:hideMark/>
          </w:tcPr>
          <w:p w14:paraId="2E15389C" w14:textId="77777777" w:rsidR="006A1EE7" w:rsidRPr="006A1EE7" w:rsidRDefault="006A1EE7" w:rsidP="006A2E9B">
            <w:pPr>
              <w:jc w:val="right"/>
              <w:rPr>
                <w:sz w:val="20"/>
                <w:szCs w:val="20"/>
                <w:lang w:val="fr-FR"/>
              </w:rPr>
            </w:pPr>
            <w:r w:rsidRPr="006A1EE7">
              <w:rPr>
                <w:sz w:val="20"/>
                <w:lang w:val="fr-FR"/>
              </w:rPr>
              <w:t>103 201</w:t>
            </w:r>
          </w:p>
        </w:tc>
      </w:tr>
      <w:tr w:rsidR="006A1EE7" w:rsidRPr="006A1EE7" w14:paraId="1A2B55A5" w14:textId="77777777" w:rsidTr="006A2E9B">
        <w:trPr>
          <w:trHeight w:val="227"/>
        </w:trPr>
        <w:tc>
          <w:tcPr>
            <w:tcW w:w="4580" w:type="dxa"/>
            <w:gridSpan w:val="2"/>
            <w:tcMar>
              <w:top w:w="0" w:type="dxa"/>
              <w:left w:w="108" w:type="dxa"/>
              <w:bottom w:w="0" w:type="dxa"/>
              <w:right w:w="108" w:type="dxa"/>
            </w:tcMar>
            <w:hideMark/>
          </w:tcPr>
          <w:p w14:paraId="767C7910" w14:textId="77777777" w:rsidR="006A1EE7" w:rsidRPr="006A1EE7" w:rsidRDefault="006A1EE7" w:rsidP="006A2E9B">
            <w:pPr>
              <w:jc w:val="left"/>
              <w:rPr>
                <w:b/>
                <w:bCs/>
                <w:sz w:val="20"/>
                <w:szCs w:val="20"/>
                <w:lang w:val="fr-FR"/>
              </w:rPr>
            </w:pPr>
            <w:r w:rsidRPr="006A1EE7">
              <w:rPr>
                <w:b/>
                <w:sz w:val="20"/>
                <w:lang w:val="fr-FR"/>
              </w:rPr>
              <w:t xml:space="preserve">Total partiel des entreprises qui n’ont pas participé (a) </w:t>
            </w:r>
          </w:p>
        </w:tc>
        <w:tc>
          <w:tcPr>
            <w:tcW w:w="1432" w:type="dxa"/>
            <w:gridSpan w:val="2"/>
            <w:tcMar>
              <w:top w:w="0" w:type="dxa"/>
              <w:left w:w="108" w:type="dxa"/>
              <w:bottom w:w="0" w:type="dxa"/>
              <w:right w:w="108" w:type="dxa"/>
            </w:tcMar>
            <w:hideMark/>
          </w:tcPr>
          <w:p w14:paraId="203D5E50" w14:textId="77777777" w:rsidR="006A1EE7" w:rsidRPr="006A1EE7" w:rsidRDefault="006A1EE7" w:rsidP="006A2E9B">
            <w:pPr>
              <w:jc w:val="right"/>
              <w:rPr>
                <w:b/>
                <w:bCs/>
                <w:sz w:val="20"/>
                <w:szCs w:val="20"/>
                <w:lang w:val="fr-FR"/>
              </w:rPr>
            </w:pPr>
            <w:r w:rsidRPr="006A1EE7">
              <w:rPr>
                <w:b/>
                <w:sz w:val="20"/>
                <w:lang w:val="fr-FR"/>
              </w:rPr>
              <w:t>12 542</w:t>
            </w:r>
          </w:p>
        </w:tc>
        <w:tc>
          <w:tcPr>
            <w:tcW w:w="1596" w:type="dxa"/>
            <w:gridSpan w:val="2"/>
            <w:tcMar>
              <w:top w:w="0" w:type="dxa"/>
              <w:left w:w="108" w:type="dxa"/>
              <w:bottom w:w="0" w:type="dxa"/>
              <w:right w:w="108" w:type="dxa"/>
            </w:tcMar>
            <w:hideMark/>
          </w:tcPr>
          <w:p w14:paraId="6D57F482" w14:textId="77777777" w:rsidR="006A1EE7" w:rsidRPr="006A1EE7" w:rsidRDefault="006A1EE7" w:rsidP="006A2E9B">
            <w:pPr>
              <w:jc w:val="right"/>
              <w:rPr>
                <w:b/>
                <w:bCs/>
                <w:sz w:val="20"/>
                <w:szCs w:val="20"/>
                <w:lang w:val="fr-FR"/>
              </w:rPr>
            </w:pPr>
            <w:r w:rsidRPr="006A1EE7">
              <w:rPr>
                <w:b/>
                <w:sz w:val="20"/>
                <w:lang w:val="fr-FR"/>
              </w:rPr>
              <w:t>1,3796</w:t>
            </w:r>
          </w:p>
        </w:tc>
        <w:tc>
          <w:tcPr>
            <w:tcW w:w="1849" w:type="dxa"/>
            <w:gridSpan w:val="2"/>
            <w:tcMar>
              <w:top w:w="0" w:type="dxa"/>
              <w:left w:w="108" w:type="dxa"/>
              <w:bottom w:w="0" w:type="dxa"/>
              <w:right w:w="108" w:type="dxa"/>
            </w:tcMar>
            <w:hideMark/>
          </w:tcPr>
          <w:p w14:paraId="624C0A13" w14:textId="77777777" w:rsidR="006A1EE7" w:rsidRPr="006A1EE7" w:rsidRDefault="006A1EE7" w:rsidP="006A2E9B">
            <w:pPr>
              <w:jc w:val="right"/>
              <w:rPr>
                <w:b/>
                <w:bCs/>
                <w:sz w:val="20"/>
                <w:szCs w:val="20"/>
                <w:lang w:val="fr-FR"/>
              </w:rPr>
            </w:pPr>
            <w:r w:rsidRPr="006A1EE7">
              <w:rPr>
                <w:b/>
                <w:sz w:val="20"/>
                <w:lang w:val="fr-FR"/>
              </w:rPr>
              <w:t>131 563</w:t>
            </w:r>
          </w:p>
        </w:tc>
      </w:tr>
      <w:tr w:rsidR="006A1EE7" w:rsidRPr="00271AD8" w14:paraId="7A7952BD" w14:textId="77777777" w:rsidTr="006A2E9B">
        <w:trPr>
          <w:trHeight w:val="227"/>
        </w:trPr>
        <w:tc>
          <w:tcPr>
            <w:tcW w:w="9457" w:type="dxa"/>
            <w:gridSpan w:val="8"/>
            <w:tcMar>
              <w:top w:w="0" w:type="dxa"/>
              <w:left w:w="108" w:type="dxa"/>
              <w:bottom w:w="0" w:type="dxa"/>
              <w:right w:w="108" w:type="dxa"/>
            </w:tcMar>
            <w:hideMark/>
          </w:tcPr>
          <w:p w14:paraId="0B814D26" w14:textId="77777777" w:rsidR="006A1EE7" w:rsidRPr="006A1EE7" w:rsidRDefault="006A1EE7" w:rsidP="006A2E9B">
            <w:pPr>
              <w:rPr>
                <w:sz w:val="20"/>
                <w:szCs w:val="20"/>
                <w:lang w:val="fr-FR"/>
              </w:rPr>
            </w:pPr>
            <w:r w:rsidRPr="006A1EE7">
              <w:rPr>
                <w:b/>
                <w:sz w:val="20"/>
                <w:lang w:val="fr-FR"/>
              </w:rPr>
              <w:t>Entreprises admissibles qui ont rejoint le projet</w:t>
            </w:r>
          </w:p>
        </w:tc>
      </w:tr>
      <w:tr w:rsidR="006A1EE7" w:rsidRPr="006A1EE7" w14:paraId="12A69DCA" w14:textId="77777777" w:rsidTr="006A2E9B">
        <w:trPr>
          <w:gridAfter w:val="1"/>
          <w:wAfter w:w="9" w:type="dxa"/>
          <w:trHeight w:val="227"/>
        </w:trPr>
        <w:tc>
          <w:tcPr>
            <w:tcW w:w="2111" w:type="dxa"/>
            <w:tcMar>
              <w:top w:w="0" w:type="dxa"/>
              <w:left w:w="108" w:type="dxa"/>
              <w:bottom w:w="0" w:type="dxa"/>
              <w:right w:w="108" w:type="dxa"/>
            </w:tcMar>
            <w:hideMark/>
          </w:tcPr>
          <w:p w14:paraId="1B6815BF" w14:textId="77777777" w:rsidR="006A1EE7" w:rsidRPr="006A1EE7" w:rsidRDefault="006A1EE7" w:rsidP="006A2E9B">
            <w:pPr>
              <w:rPr>
                <w:sz w:val="20"/>
                <w:szCs w:val="20"/>
                <w:lang w:val="fr-FR"/>
              </w:rPr>
            </w:pPr>
            <w:proofErr w:type="spellStart"/>
            <w:r w:rsidRPr="006A1EE7">
              <w:rPr>
                <w:sz w:val="20"/>
                <w:lang w:val="fr-FR"/>
              </w:rPr>
              <w:t>Génesis</w:t>
            </w:r>
            <w:proofErr w:type="spellEnd"/>
          </w:p>
        </w:tc>
        <w:tc>
          <w:tcPr>
            <w:tcW w:w="2469" w:type="dxa"/>
            <w:tcMar>
              <w:top w:w="0" w:type="dxa"/>
              <w:left w:w="108" w:type="dxa"/>
              <w:bottom w:w="0" w:type="dxa"/>
              <w:right w:w="108" w:type="dxa"/>
            </w:tcMar>
            <w:hideMark/>
          </w:tcPr>
          <w:p w14:paraId="0317083F" w14:textId="77777777" w:rsidR="006A1EE7" w:rsidRPr="006A1EE7" w:rsidRDefault="006A1EE7" w:rsidP="006A2E9B">
            <w:pPr>
              <w:rPr>
                <w:sz w:val="20"/>
                <w:szCs w:val="20"/>
                <w:lang w:val="fr-FR"/>
              </w:rPr>
            </w:pPr>
            <w:r w:rsidRPr="006A1EE7">
              <w:rPr>
                <w:sz w:val="20"/>
                <w:lang w:val="fr-FR"/>
              </w:rPr>
              <w:t>Ixom</w:t>
            </w:r>
          </w:p>
        </w:tc>
        <w:tc>
          <w:tcPr>
            <w:tcW w:w="1417" w:type="dxa"/>
            <w:tcMar>
              <w:top w:w="0" w:type="dxa"/>
              <w:left w:w="108" w:type="dxa"/>
              <w:bottom w:w="0" w:type="dxa"/>
              <w:right w:w="108" w:type="dxa"/>
            </w:tcMar>
            <w:hideMark/>
          </w:tcPr>
          <w:p w14:paraId="25A413C8" w14:textId="77777777" w:rsidR="006A1EE7" w:rsidRPr="006A1EE7" w:rsidRDefault="006A1EE7" w:rsidP="006A2E9B">
            <w:pPr>
              <w:jc w:val="right"/>
              <w:rPr>
                <w:sz w:val="20"/>
                <w:szCs w:val="20"/>
                <w:lang w:val="fr-FR"/>
              </w:rPr>
            </w:pPr>
            <w:r w:rsidRPr="006A1EE7">
              <w:rPr>
                <w:sz w:val="20"/>
                <w:lang w:val="fr-FR"/>
              </w:rPr>
              <w:t>1 175</w:t>
            </w:r>
          </w:p>
        </w:tc>
        <w:tc>
          <w:tcPr>
            <w:tcW w:w="1603" w:type="dxa"/>
            <w:gridSpan w:val="2"/>
            <w:tcMar>
              <w:top w:w="0" w:type="dxa"/>
              <w:left w:w="108" w:type="dxa"/>
              <w:bottom w:w="0" w:type="dxa"/>
              <w:right w:w="108" w:type="dxa"/>
            </w:tcMar>
            <w:hideMark/>
          </w:tcPr>
          <w:p w14:paraId="2297B0A8" w14:textId="77777777" w:rsidR="006A1EE7" w:rsidRPr="006A1EE7" w:rsidRDefault="006A1EE7" w:rsidP="006A2E9B">
            <w:pPr>
              <w:jc w:val="right"/>
              <w:rPr>
                <w:sz w:val="20"/>
                <w:szCs w:val="20"/>
                <w:lang w:val="fr-FR"/>
              </w:rPr>
            </w:pPr>
            <w:r w:rsidRPr="006A1EE7">
              <w:rPr>
                <w:sz w:val="20"/>
                <w:lang w:val="fr-FR"/>
              </w:rPr>
              <w:t>0,1293</w:t>
            </w:r>
          </w:p>
        </w:tc>
        <w:tc>
          <w:tcPr>
            <w:tcW w:w="1848" w:type="dxa"/>
            <w:gridSpan w:val="2"/>
            <w:tcMar>
              <w:top w:w="0" w:type="dxa"/>
              <w:left w:w="108" w:type="dxa"/>
              <w:bottom w:w="0" w:type="dxa"/>
              <w:right w:w="108" w:type="dxa"/>
            </w:tcMar>
            <w:hideMark/>
          </w:tcPr>
          <w:p w14:paraId="3060F513" w14:textId="77777777" w:rsidR="006A1EE7" w:rsidRPr="006A1EE7" w:rsidRDefault="006A1EE7" w:rsidP="006A2E9B">
            <w:pPr>
              <w:jc w:val="right"/>
              <w:rPr>
                <w:sz w:val="20"/>
                <w:szCs w:val="20"/>
                <w:lang w:val="fr-FR"/>
              </w:rPr>
            </w:pPr>
            <w:r w:rsidRPr="006A1EE7">
              <w:rPr>
                <w:sz w:val="20"/>
                <w:lang w:val="fr-FR"/>
              </w:rPr>
              <w:t>11 157</w:t>
            </w:r>
          </w:p>
        </w:tc>
      </w:tr>
      <w:tr w:rsidR="006A1EE7" w:rsidRPr="006A1EE7" w14:paraId="5B1B089E" w14:textId="77777777" w:rsidTr="006A2E9B">
        <w:trPr>
          <w:gridAfter w:val="1"/>
          <w:wAfter w:w="9" w:type="dxa"/>
          <w:trHeight w:val="240"/>
        </w:trPr>
        <w:tc>
          <w:tcPr>
            <w:tcW w:w="2111" w:type="dxa"/>
            <w:tcMar>
              <w:top w:w="0" w:type="dxa"/>
              <w:left w:w="108" w:type="dxa"/>
              <w:bottom w:w="0" w:type="dxa"/>
              <w:right w:w="108" w:type="dxa"/>
            </w:tcMar>
            <w:hideMark/>
          </w:tcPr>
          <w:p w14:paraId="1D001797" w14:textId="77777777" w:rsidR="006A1EE7" w:rsidRPr="006A1EE7" w:rsidRDefault="006A1EE7" w:rsidP="006A2E9B">
            <w:pPr>
              <w:rPr>
                <w:sz w:val="20"/>
                <w:szCs w:val="20"/>
                <w:lang w:val="fr-FR"/>
              </w:rPr>
            </w:pPr>
            <w:r w:rsidRPr="006A1EE7">
              <w:rPr>
                <w:sz w:val="20"/>
                <w:lang w:val="fr-FR"/>
              </w:rPr>
              <w:t>Soldaduras Edith Paz</w:t>
            </w:r>
          </w:p>
        </w:tc>
        <w:tc>
          <w:tcPr>
            <w:tcW w:w="2469" w:type="dxa"/>
            <w:tcMar>
              <w:top w:w="0" w:type="dxa"/>
              <w:left w:w="108" w:type="dxa"/>
              <w:bottom w:w="0" w:type="dxa"/>
              <w:right w:w="108" w:type="dxa"/>
            </w:tcMar>
            <w:hideMark/>
          </w:tcPr>
          <w:p w14:paraId="2795C117" w14:textId="77777777" w:rsidR="006A1EE7" w:rsidRPr="006A1EE7" w:rsidRDefault="006A1EE7" w:rsidP="006A2E9B">
            <w:pPr>
              <w:rPr>
                <w:sz w:val="20"/>
                <w:szCs w:val="20"/>
                <w:lang w:val="fr-FR"/>
              </w:rPr>
            </w:pPr>
            <w:r w:rsidRPr="006A1EE7">
              <w:rPr>
                <w:sz w:val="20"/>
                <w:lang w:val="fr-FR"/>
              </w:rPr>
              <w:t>Ixom</w:t>
            </w:r>
          </w:p>
        </w:tc>
        <w:tc>
          <w:tcPr>
            <w:tcW w:w="1417" w:type="dxa"/>
            <w:tcMar>
              <w:top w:w="0" w:type="dxa"/>
              <w:left w:w="108" w:type="dxa"/>
              <w:bottom w:w="0" w:type="dxa"/>
              <w:right w:w="108" w:type="dxa"/>
            </w:tcMar>
            <w:hideMark/>
          </w:tcPr>
          <w:p w14:paraId="371D62E7" w14:textId="77777777" w:rsidR="006A1EE7" w:rsidRPr="006A1EE7" w:rsidRDefault="006A1EE7" w:rsidP="006A2E9B">
            <w:pPr>
              <w:jc w:val="right"/>
              <w:rPr>
                <w:sz w:val="20"/>
                <w:szCs w:val="20"/>
                <w:lang w:val="fr-FR"/>
              </w:rPr>
            </w:pPr>
            <w:r w:rsidRPr="006A1EE7">
              <w:rPr>
                <w:sz w:val="20"/>
                <w:lang w:val="fr-FR"/>
              </w:rPr>
              <w:t>471</w:t>
            </w:r>
          </w:p>
        </w:tc>
        <w:tc>
          <w:tcPr>
            <w:tcW w:w="1603" w:type="dxa"/>
            <w:gridSpan w:val="2"/>
            <w:tcMar>
              <w:top w:w="0" w:type="dxa"/>
              <w:left w:w="108" w:type="dxa"/>
              <w:bottom w:w="0" w:type="dxa"/>
              <w:right w:w="108" w:type="dxa"/>
            </w:tcMar>
            <w:hideMark/>
          </w:tcPr>
          <w:p w14:paraId="7D67FFB2" w14:textId="77777777" w:rsidR="006A1EE7" w:rsidRPr="006A1EE7" w:rsidRDefault="006A1EE7" w:rsidP="006A2E9B">
            <w:pPr>
              <w:jc w:val="right"/>
              <w:rPr>
                <w:sz w:val="20"/>
                <w:szCs w:val="20"/>
                <w:lang w:val="fr-FR"/>
              </w:rPr>
            </w:pPr>
            <w:r w:rsidRPr="006A1EE7">
              <w:rPr>
                <w:sz w:val="20"/>
                <w:lang w:val="fr-FR"/>
              </w:rPr>
              <w:t>0,0518</w:t>
            </w:r>
          </w:p>
        </w:tc>
        <w:tc>
          <w:tcPr>
            <w:tcW w:w="1848" w:type="dxa"/>
            <w:gridSpan w:val="2"/>
            <w:tcMar>
              <w:top w:w="0" w:type="dxa"/>
              <w:left w:w="108" w:type="dxa"/>
              <w:bottom w:w="0" w:type="dxa"/>
              <w:right w:w="108" w:type="dxa"/>
            </w:tcMar>
            <w:hideMark/>
          </w:tcPr>
          <w:p w14:paraId="19C95052" w14:textId="77777777" w:rsidR="006A1EE7" w:rsidRPr="006A1EE7" w:rsidRDefault="006A1EE7" w:rsidP="006A2E9B">
            <w:pPr>
              <w:jc w:val="right"/>
              <w:rPr>
                <w:sz w:val="20"/>
                <w:szCs w:val="20"/>
                <w:lang w:val="fr-FR"/>
              </w:rPr>
            </w:pPr>
            <w:r w:rsidRPr="006A1EE7">
              <w:rPr>
                <w:sz w:val="20"/>
                <w:lang w:val="fr-FR"/>
              </w:rPr>
              <w:t>4 472</w:t>
            </w:r>
          </w:p>
        </w:tc>
      </w:tr>
      <w:tr w:rsidR="006A1EE7" w:rsidRPr="006A1EE7" w14:paraId="518C0A4F" w14:textId="77777777" w:rsidTr="006A2E9B">
        <w:trPr>
          <w:gridAfter w:val="1"/>
          <w:wAfter w:w="9" w:type="dxa"/>
          <w:trHeight w:val="227"/>
        </w:trPr>
        <w:tc>
          <w:tcPr>
            <w:tcW w:w="2111" w:type="dxa"/>
            <w:tcMar>
              <w:top w:w="0" w:type="dxa"/>
              <w:left w:w="108" w:type="dxa"/>
              <w:bottom w:w="0" w:type="dxa"/>
              <w:right w:w="108" w:type="dxa"/>
            </w:tcMar>
            <w:hideMark/>
          </w:tcPr>
          <w:p w14:paraId="37268365" w14:textId="77777777" w:rsidR="006A1EE7" w:rsidRPr="006A1EE7" w:rsidRDefault="006A1EE7" w:rsidP="006A2E9B">
            <w:pPr>
              <w:rPr>
                <w:sz w:val="20"/>
                <w:szCs w:val="20"/>
                <w:lang w:val="fr-FR"/>
              </w:rPr>
            </w:pPr>
            <w:r w:rsidRPr="006A1EE7">
              <w:rPr>
                <w:sz w:val="20"/>
                <w:lang w:val="fr-FR"/>
              </w:rPr>
              <w:t>Servicios Polares</w:t>
            </w:r>
          </w:p>
        </w:tc>
        <w:tc>
          <w:tcPr>
            <w:tcW w:w="2469" w:type="dxa"/>
            <w:tcMar>
              <w:top w:w="0" w:type="dxa"/>
              <w:left w:w="108" w:type="dxa"/>
              <w:bottom w:w="0" w:type="dxa"/>
              <w:right w:w="108" w:type="dxa"/>
            </w:tcMar>
            <w:hideMark/>
          </w:tcPr>
          <w:p w14:paraId="5B8B860B" w14:textId="77777777" w:rsidR="006A1EE7" w:rsidRPr="006A1EE7" w:rsidRDefault="006A1EE7" w:rsidP="006A2E9B">
            <w:pPr>
              <w:rPr>
                <w:sz w:val="20"/>
                <w:szCs w:val="20"/>
                <w:lang w:val="fr-FR"/>
              </w:rPr>
            </w:pPr>
            <w:r w:rsidRPr="006A1EE7">
              <w:rPr>
                <w:sz w:val="20"/>
                <w:lang w:val="fr-FR"/>
              </w:rPr>
              <w:t>Ixom</w:t>
            </w:r>
          </w:p>
        </w:tc>
        <w:tc>
          <w:tcPr>
            <w:tcW w:w="1417" w:type="dxa"/>
            <w:tcMar>
              <w:top w:w="0" w:type="dxa"/>
              <w:left w:w="108" w:type="dxa"/>
              <w:bottom w:w="0" w:type="dxa"/>
              <w:right w:w="108" w:type="dxa"/>
            </w:tcMar>
            <w:hideMark/>
          </w:tcPr>
          <w:p w14:paraId="12A2315C" w14:textId="77777777" w:rsidR="006A1EE7" w:rsidRPr="006A1EE7" w:rsidRDefault="006A1EE7" w:rsidP="006A2E9B">
            <w:pPr>
              <w:jc w:val="right"/>
              <w:rPr>
                <w:sz w:val="20"/>
                <w:szCs w:val="20"/>
                <w:lang w:val="fr-FR"/>
              </w:rPr>
            </w:pPr>
            <w:r w:rsidRPr="006A1EE7">
              <w:rPr>
                <w:sz w:val="20"/>
                <w:lang w:val="fr-FR"/>
              </w:rPr>
              <w:t>473</w:t>
            </w:r>
          </w:p>
        </w:tc>
        <w:tc>
          <w:tcPr>
            <w:tcW w:w="1603" w:type="dxa"/>
            <w:gridSpan w:val="2"/>
            <w:tcMar>
              <w:top w:w="0" w:type="dxa"/>
              <w:left w:w="108" w:type="dxa"/>
              <w:bottom w:w="0" w:type="dxa"/>
              <w:right w:w="108" w:type="dxa"/>
            </w:tcMar>
            <w:hideMark/>
          </w:tcPr>
          <w:p w14:paraId="734C5655" w14:textId="77777777" w:rsidR="006A1EE7" w:rsidRPr="006A1EE7" w:rsidRDefault="006A1EE7" w:rsidP="006A2E9B">
            <w:pPr>
              <w:jc w:val="right"/>
              <w:rPr>
                <w:sz w:val="20"/>
                <w:szCs w:val="20"/>
                <w:lang w:val="fr-FR"/>
              </w:rPr>
            </w:pPr>
            <w:r w:rsidRPr="006A1EE7">
              <w:rPr>
                <w:sz w:val="20"/>
                <w:lang w:val="fr-FR"/>
              </w:rPr>
              <w:t>0,0520</w:t>
            </w:r>
          </w:p>
        </w:tc>
        <w:tc>
          <w:tcPr>
            <w:tcW w:w="1848" w:type="dxa"/>
            <w:gridSpan w:val="2"/>
            <w:tcMar>
              <w:top w:w="0" w:type="dxa"/>
              <w:left w:w="108" w:type="dxa"/>
              <w:bottom w:w="0" w:type="dxa"/>
              <w:right w:w="108" w:type="dxa"/>
            </w:tcMar>
            <w:hideMark/>
          </w:tcPr>
          <w:p w14:paraId="5298F8C2" w14:textId="77777777" w:rsidR="006A1EE7" w:rsidRPr="006A1EE7" w:rsidRDefault="006A1EE7" w:rsidP="006A2E9B">
            <w:pPr>
              <w:jc w:val="right"/>
              <w:rPr>
                <w:sz w:val="20"/>
                <w:szCs w:val="20"/>
                <w:lang w:val="fr-FR"/>
              </w:rPr>
            </w:pPr>
            <w:r w:rsidRPr="006A1EE7">
              <w:rPr>
                <w:sz w:val="20"/>
                <w:lang w:val="fr-FR"/>
              </w:rPr>
              <w:t>4 491</w:t>
            </w:r>
          </w:p>
        </w:tc>
      </w:tr>
      <w:tr w:rsidR="006A1EE7" w:rsidRPr="006A1EE7" w14:paraId="4F2A5882" w14:textId="77777777" w:rsidTr="006A2E9B">
        <w:trPr>
          <w:trHeight w:val="227"/>
        </w:trPr>
        <w:tc>
          <w:tcPr>
            <w:tcW w:w="4580" w:type="dxa"/>
            <w:gridSpan w:val="2"/>
            <w:tcMar>
              <w:top w:w="0" w:type="dxa"/>
              <w:left w:w="108" w:type="dxa"/>
              <w:bottom w:w="0" w:type="dxa"/>
              <w:right w:w="108" w:type="dxa"/>
            </w:tcMar>
            <w:hideMark/>
          </w:tcPr>
          <w:p w14:paraId="04745EC1" w14:textId="77777777" w:rsidR="006A1EE7" w:rsidRPr="006A1EE7" w:rsidRDefault="006A1EE7" w:rsidP="006A2E9B">
            <w:pPr>
              <w:jc w:val="left"/>
              <w:rPr>
                <w:sz w:val="20"/>
                <w:szCs w:val="20"/>
                <w:lang w:val="fr-FR"/>
              </w:rPr>
            </w:pPr>
            <w:r w:rsidRPr="006A1EE7">
              <w:rPr>
                <w:b/>
                <w:sz w:val="20"/>
                <w:lang w:val="fr-FR"/>
              </w:rPr>
              <w:t>Total partiel des entreprises qui ont rejoint le projet (b)</w:t>
            </w:r>
          </w:p>
        </w:tc>
        <w:tc>
          <w:tcPr>
            <w:tcW w:w="1432" w:type="dxa"/>
            <w:gridSpan w:val="2"/>
            <w:tcMar>
              <w:top w:w="0" w:type="dxa"/>
              <w:left w:w="108" w:type="dxa"/>
              <w:bottom w:w="0" w:type="dxa"/>
              <w:right w:w="108" w:type="dxa"/>
            </w:tcMar>
            <w:hideMark/>
          </w:tcPr>
          <w:p w14:paraId="7F63D4B9" w14:textId="77777777" w:rsidR="006A1EE7" w:rsidRPr="006A1EE7" w:rsidRDefault="006A1EE7" w:rsidP="006A2E9B">
            <w:pPr>
              <w:jc w:val="right"/>
              <w:rPr>
                <w:b/>
                <w:bCs/>
                <w:sz w:val="20"/>
                <w:szCs w:val="20"/>
                <w:lang w:val="fr-FR"/>
              </w:rPr>
            </w:pPr>
            <w:r w:rsidRPr="006A1EE7">
              <w:rPr>
                <w:b/>
                <w:sz w:val="20"/>
                <w:lang w:val="fr-FR"/>
              </w:rPr>
              <w:t>2 119</w:t>
            </w:r>
          </w:p>
        </w:tc>
        <w:tc>
          <w:tcPr>
            <w:tcW w:w="1596" w:type="dxa"/>
            <w:gridSpan w:val="2"/>
            <w:tcMar>
              <w:top w:w="0" w:type="dxa"/>
              <w:left w:w="108" w:type="dxa"/>
              <w:bottom w:w="0" w:type="dxa"/>
              <w:right w:w="108" w:type="dxa"/>
            </w:tcMar>
            <w:hideMark/>
          </w:tcPr>
          <w:p w14:paraId="33E4A968" w14:textId="77777777" w:rsidR="006A1EE7" w:rsidRPr="006A1EE7" w:rsidRDefault="006A1EE7" w:rsidP="006A2E9B">
            <w:pPr>
              <w:jc w:val="right"/>
              <w:rPr>
                <w:b/>
                <w:bCs/>
                <w:sz w:val="20"/>
                <w:szCs w:val="20"/>
                <w:lang w:val="fr-FR"/>
              </w:rPr>
            </w:pPr>
            <w:r w:rsidRPr="006A1EE7">
              <w:rPr>
                <w:b/>
                <w:sz w:val="20"/>
                <w:lang w:val="fr-FR"/>
              </w:rPr>
              <w:t>0,2331</w:t>
            </w:r>
          </w:p>
        </w:tc>
        <w:tc>
          <w:tcPr>
            <w:tcW w:w="1849" w:type="dxa"/>
            <w:gridSpan w:val="2"/>
            <w:tcMar>
              <w:top w:w="0" w:type="dxa"/>
              <w:left w:w="108" w:type="dxa"/>
              <w:bottom w:w="0" w:type="dxa"/>
              <w:right w:w="108" w:type="dxa"/>
            </w:tcMar>
            <w:hideMark/>
          </w:tcPr>
          <w:p w14:paraId="6643B958" w14:textId="77777777" w:rsidR="006A1EE7" w:rsidRPr="006A1EE7" w:rsidRDefault="006A1EE7" w:rsidP="006A2E9B">
            <w:pPr>
              <w:jc w:val="right"/>
              <w:rPr>
                <w:b/>
                <w:bCs/>
                <w:sz w:val="20"/>
                <w:szCs w:val="20"/>
                <w:lang w:val="fr-FR"/>
              </w:rPr>
            </w:pPr>
            <w:r w:rsidRPr="006A1EE7">
              <w:rPr>
                <w:b/>
                <w:sz w:val="20"/>
                <w:lang w:val="fr-FR"/>
              </w:rPr>
              <w:t>20 120</w:t>
            </w:r>
          </w:p>
        </w:tc>
      </w:tr>
      <w:tr w:rsidR="006A1EE7" w:rsidRPr="006A1EE7" w14:paraId="562790E6" w14:textId="77777777" w:rsidTr="006A2E9B">
        <w:trPr>
          <w:trHeight w:val="227"/>
        </w:trPr>
        <w:tc>
          <w:tcPr>
            <w:tcW w:w="9457" w:type="dxa"/>
            <w:gridSpan w:val="8"/>
            <w:tcMar>
              <w:top w:w="0" w:type="dxa"/>
              <w:left w:w="108" w:type="dxa"/>
              <w:bottom w:w="0" w:type="dxa"/>
              <w:right w:w="108" w:type="dxa"/>
            </w:tcMar>
            <w:hideMark/>
          </w:tcPr>
          <w:p w14:paraId="26925084" w14:textId="77777777" w:rsidR="006A1EE7" w:rsidRPr="006A1EE7" w:rsidRDefault="006A1EE7" w:rsidP="006A2E9B">
            <w:pPr>
              <w:jc w:val="right"/>
              <w:rPr>
                <w:sz w:val="20"/>
                <w:szCs w:val="20"/>
                <w:lang w:val="fr-FR"/>
              </w:rPr>
            </w:pPr>
            <w:r w:rsidRPr="006A1EE7">
              <w:rPr>
                <w:sz w:val="20"/>
                <w:lang w:val="fr-FR"/>
              </w:rPr>
              <w:t> </w:t>
            </w:r>
          </w:p>
        </w:tc>
      </w:tr>
      <w:tr w:rsidR="006A1EE7" w:rsidRPr="006A1EE7" w14:paraId="0249E604" w14:textId="77777777" w:rsidTr="006A2E9B">
        <w:trPr>
          <w:trHeight w:val="240"/>
        </w:trPr>
        <w:tc>
          <w:tcPr>
            <w:tcW w:w="4580" w:type="dxa"/>
            <w:gridSpan w:val="2"/>
            <w:tcMar>
              <w:top w:w="0" w:type="dxa"/>
              <w:left w:w="108" w:type="dxa"/>
              <w:bottom w:w="0" w:type="dxa"/>
              <w:right w:w="108" w:type="dxa"/>
            </w:tcMar>
            <w:hideMark/>
          </w:tcPr>
          <w:p w14:paraId="46EEA331" w14:textId="77777777" w:rsidR="006A1EE7" w:rsidRPr="006A1EE7" w:rsidRDefault="006A1EE7" w:rsidP="006A2E9B">
            <w:pPr>
              <w:jc w:val="left"/>
              <w:rPr>
                <w:b/>
                <w:bCs/>
                <w:sz w:val="20"/>
                <w:szCs w:val="20"/>
                <w:lang w:val="fr-FR"/>
              </w:rPr>
            </w:pPr>
            <w:bookmarkStart w:id="3" w:name="_Hlk104411582"/>
            <w:r w:rsidRPr="006A1EE7">
              <w:rPr>
                <w:b/>
                <w:sz w:val="20"/>
                <w:lang w:val="fr-FR"/>
              </w:rPr>
              <w:t>Total à restituer au Fonds = (a)-(b)</w:t>
            </w:r>
          </w:p>
        </w:tc>
        <w:tc>
          <w:tcPr>
            <w:tcW w:w="1432" w:type="dxa"/>
            <w:gridSpan w:val="2"/>
            <w:tcMar>
              <w:top w:w="0" w:type="dxa"/>
              <w:left w:w="108" w:type="dxa"/>
              <w:bottom w:w="0" w:type="dxa"/>
              <w:right w:w="108" w:type="dxa"/>
            </w:tcMar>
            <w:hideMark/>
          </w:tcPr>
          <w:p w14:paraId="4BF76E42" w14:textId="77777777" w:rsidR="006A1EE7" w:rsidRPr="006A1EE7" w:rsidRDefault="006A1EE7" w:rsidP="006A2E9B">
            <w:pPr>
              <w:jc w:val="right"/>
              <w:rPr>
                <w:b/>
                <w:bCs/>
                <w:sz w:val="20"/>
                <w:szCs w:val="20"/>
                <w:lang w:val="fr-FR"/>
              </w:rPr>
            </w:pPr>
            <w:r w:rsidRPr="006A1EE7">
              <w:rPr>
                <w:b/>
                <w:sz w:val="20"/>
                <w:lang w:val="fr-FR"/>
              </w:rPr>
              <w:t>10 423</w:t>
            </w:r>
          </w:p>
        </w:tc>
        <w:tc>
          <w:tcPr>
            <w:tcW w:w="1596" w:type="dxa"/>
            <w:gridSpan w:val="2"/>
            <w:tcMar>
              <w:top w:w="0" w:type="dxa"/>
              <w:left w:w="108" w:type="dxa"/>
              <w:bottom w:w="0" w:type="dxa"/>
              <w:right w:w="108" w:type="dxa"/>
            </w:tcMar>
            <w:hideMark/>
          </w:tcPr>
          <w:p w14:paraId="6E4DC38C" w14:textId="77777777" w:rsidR="006A1EE7" w:rsidRPr="006A1EE7" w:rsidRDefault="006A1EE7" w:rsidP="006A2E9B">
            <w:pPr>
              <w:jc w:val="right"/>
              <w:rPr>
                <w:b/>
                <w:bCs/>
                <w:sz w:val="20"/>
                <w:szCs w:val="20"/>
                <w:lang w:val="fr-FR"/>
              </w:rPr>
            </w:pPr>
            <w:r w:rsidRPr="006A1EE7">
              <w:rPr>
                <w:b/>
                <w:sz w:val="20"/>
                <w:lang w:val="fr-FR"/>
              </w:rPr>
              <w:t>1,1465</w:t>
            </w:r>
          </w:p>
        </w:tc>
        <w:tc>
          <w:tcPr>
            <w:tcW w:w="1849" w:type="dxa"/>
            <w:gridSpan w:val="2"/>
            <w:tcMar>
              <w:top w:w="0" w:type="dxa"/>
              <w:left w:w="108" w:type="dxa"/>
              <w:bottom w:w="0" w:type="dxa"/>
              <w:right w:w="108" w:type="dxa"/>
            </w:tcMar>
            <w:hideMark/>
          </w:tcPr>
          <w:p w14:paraId="3853CF71" w14:textId="77777777" w:rsidR="006A1EE7" w:rsidRPr="006A1EE7" w:rsidRDefault="006A1EE7" w:rsidP="006A2E9B">
            <w:pPr>
              <w:jc w:val="right"/>
              <w:rPr>
                <w:b/>
                <w:bCs/>
                <w:sz w:val="20"/>
                <w:szCs w:val="20"/>
                <w:lang w:val="fr-FR"/>
              </w:rPr>
            </w:pPr>
            <w:r w:rsidRPr="006A1EE7">
              <w:rPr>
                <w:b/>
                <w:sz w:val="20"/>
                <w:lang w:val="fr-FR"/>
              </w:rPr>
              <w:t>111 443</w:t>
            </w:r>
          </w:p>
        </w:tc>
      </w:tr>
    </w:tbl>
    <w:bookmarkEnd w:id="3"/>
    <w:p w14:paraId="5BADDED1" w14:textId="77777777" w:rsidR="006A1EE7" w:rsidRPr="006A1EE7" w:rsidRDefault="006A1EE7" w:rsidP="006A1EE7">
      <w:pPr>
        <w:keepNext/>
        <w:keepLines/>
        <w:rPr>
          <w:i/>
          <w:lang w:val="fr-FR"/>
        </w:rPr>
      </w:pPr>
      <w:r w:rsidRPr="006A1EE7">
        <w:rPr>
          <w:i/>
          <w:lang w:val="fr-FR"/>
        </w:rPr>
        <w:t xml:space="preserve">Secteur de l’entretien des équipements de réfrigération </w:t>
      </w:r>
    </w:p>
    <w:p w14:paraId="3849E2D9" w14:textId="77777777" w:rsidR="006A1EE7" w:rsidRPr="006A1EE7" w:rsidRDefault="006A1EE7" w:rsidP="006A1EE7">
      <w:pPr>
        <w:keepNext/>
        <w:keepLines/>
        <w:rPr>
          <w:lang w:val="fr-FR"/>
        </w:rPr>
      </w:pPr>
    </w:p>
    <w:p w14:paraId="05908064" w14:textId="77777777" w:rsidR="006A1EE7" w:rsidRPr="006A1EE7" w:rsidRDefault="006A1EE7" w:rsidP="006A1EE7">
      <w:pPr>
        <w:pStyle w:val="Heading1"/>
        <w:keepNext/>
        <w:keepLines/>
        <w:rPr>
          <w:lang w:val="fr-FR"/>
        </w:rPr>
      </w:pPr>
      <w:r w:rsidRPr="006A1EE7">
        <w:rPr>
          <w:lang w:val="fr-FR"/>
        </w:rPr>
        <w:t>En ce qui concerne l’établissement des centres de récupération et de recyclage, le PNUD a expliqué qu’un bon de commande a été préparé pour les machines et l’équipement (comprenant trois machines de régénération de frigorigène avec des régulateurs de pression, trois machines de recyclage des gaz, trois identificateurs de frigorigène, des bouteilles de récupération de frigorigène réutilisables (90 de faible contenance, 90 de contenance moyenne et six de grande contenance), et trois tubes de type Goetz), et devaient être livrés avant la fin avril 2022 ; toutefois, le fournisseur a signalé avoir rencontré de grands problèmes de chaîne logistique, qui ont entraîné un retard de livraison, celle-ci devant maintenant avoir lieu en juin 2022. Le Secrétariat comprend les raisons des retards dans la livraison du projet et soutient la prolongation demandée nécessaire à la livraison des équipements et à l’installation des centres de récupération et de recyclage.</w:t>
      </w:r>
    </w:p>
    <w:p w14:paraId="139A42D7" w14:textId="77777777" w:rsidR="006A1EE7" w:rsidRPr="006A1EE7" w:rsidRDefault="006A1EE7" w:rsidP="006A1EE7">
      <w:pPr>
        <w:spacing w:after="240"/>
        <w:jc w:val="left"/>
        <w:rPr>
          <w:b/>
          <w:lang w:val="fr-FR"/>
        </w:rPr>
      </w:pPr>
      <w:r w:rsidRPr="006A1EE7">
        <w:rPr>
          <w:b/>
          <w:lang w:val="fr-FR"/>
        </w:rPr>
        <w:t>Recommandation</w:t>
      </w:r>
    </w:p>
    <w:p w14:paraId="2002E2A9" w14:textId="77777777" w:rsidR="006A1EE7" w:rsidRPr="006A1EE7" w:rsidRDefault="006A1EE7" w:rsidP="006A1EE7">
      <w:pPr>
        <w:pStyle w:val="Heading1"/>
        <w:jc w:val="left"/>
        <w:rPr>
          <w:lang w:val="fr-FR"/>
        </w:rPr>
      </w:pPr>
      <w:r w:rsidRPr="006A1EE7">
        <w:rPr>
          <w:lang w:val="fr-FR"/>
        </w:rPr>
        <w:t>Le Comité exécutif pourrait envisager :</w:t>
      </w:r>
    </w:p>
    <w:p w14:paraId="29BE3BD9" w14:textId="094CE3F9" w:rsidR="006A1EE7" w:rsidRPr="006A1EE7" w:rsidRDefault="006F5813" w:rsidP="006A1EE7">
      <w:pPr>
        <w:pStyle w:val="Heading2"/>
        <w:tabs>
          <w:tab w:val="clear" w:pos="0"/>
          <w:tab w:val="num" w:pos="90"/>
        </w:tabs>
        <w:ind w:left="1530"/>
        <w:rPr>
          <w:lang w:val="fr-FR"/>
        </w:rPr>
      </w:pPr>
      <w:r>
        <w:rPr>
          <w:lang w:val="fr-FR"/>
        </w:rPr>
        <w:t>D</w:t>
      </w:r>
      <w:r w:rsidR="006A1EE7" w:rsidRPr="006A1EE7">
        <w:rPr>
          <w:lang w:val="fr-FR"/>
        </w:rPr>
        <w:t>e prendre note du rapport périodique annuel sur la mise en œuvre de la troisième et dernière tranche de la phase II du plan de gestion de l’élimination des HCFC (PGEH) pour le Chili proposé par le PNUD et présenté dans le document UNEP/OzL.Pro/ExCom/90/9 ;</w:t>
      </w:r>
    </w:p>
    <w:p w14:paraId="020AAE21" w14:textId="5915F9B9" w:rsidR="006A1EE7" w:rsidRPr="006A1EE7" w:rsidRDefault="006F5813" w:rsidP="006A1EE7">
      <w:pPr>
        <w:pStyle w:val="Heading2"/>
        <w:tabs>
          <w:tab w:val="clear" w:pos="0"/>
          <w:tab w:val="num" w:pos="90"/>
        </w:tabs>
        <w:ind w:left="1530"/>
        <w:rPr>
          <w:lang w:val="fr-FR"/>
        </w:rPr>
      </w:pPr>
      <w:r>
        <w:rPr>
          <w:lang w:val="fr-FR"/>
        </w:rPr>
        <w:t>D</w:t>
      </w:r>
      <w:r w:rsidR="006A1EE7" w:rsidRPr="006A1EE7">
        <w:rPr>
          <w:lang w:val="fr-FR"/>
        </w:rPr>
        <w:t xml:space="preserve">e prendre note que l’entreprise individuelle Superfrigo et quatre entreprise associées aux deux projets cadres (Austral et Ixom) ont décidé de ne pas participer aux projets de reconversion pour la mousse de polyuréthane au titre de la phase II du PGEH ; que trois entreprises admissibles ont été identifiées et ont convenu de rejoindre le projet de reconversion du groupe Ixom ; et que le solde associé des fonds approuvés de 111 443 $ US, plus des coûts d’appui d’agence de 7 801 $ US seront restitués au Fonds par le PNUD à la présente réunion ; </w:t>
      </w:r>
    </w:p>
    <w:p w14:paraId="6EC6E79A" w14:textId="7506343D" w:rsidR="006A1EE7" w:rsidRPr="006A1EE7" w:rsidRDefault="006F5813" w:rsidP="006A1EE7">
      <w:pPr>
        <w:pStyle w:val="Heading2"/>
        <w:tabs>
          <w:tab w:val="clear" w:pos="0"/>
          <w:tab w:val="num" w:pos="90"/>
        </w:tabs>
        <w:ind w:left="1530"/>
        <w:rPr>
          <w:lang w:val="fr-FR"/>
        </w:rPr>
      </w:pPr>
      <w:r>
        <w:rPr>
          <w:lang w:val="fr-FR"/>
        </w:rPr>
        <w:t>D</w:t>
      </w:r>
      <w:r w:rsidR="006A1EE7" w:rsidRPr="006A1EE7">
        <w:rPr>
          <w:lang w:val="fr-FR"/>
        </w:rPr>
        <w:t>’approuver, à titre exceptionnel, le report de la date d’achèvement de la phase II du PGEH pour le Chili au 31 juin 2023, compte tenu du retard dans la mise en œuvre des activités d’élimination causé par la pandémie de COVID-19, étant entendu qu’aucune autre prorogation de la mise en œuvre du projet ne sera demandée ; et</w:t>
      </w:r>
    </w:p>
    <w:p w14:paraId="5FAFE0F4" w14:textId="7BA1620C" w:rsidR="006A1EE7" w:rsidRPr="006A1EE7" w:rsidRDefault="006F5813" w:rsidP="006A1EE7">
      <w:pPr>
        <w:pStyle w:val="Heading2"/>
        <w:tabs>
          <w:tab w:val="clear" w:pos="0"/>
          <w:tab w:val="num" w:pos="90"/>
        </w:tabs>
        <w:ind w:left="1530"/>
        <w:rPr>
          <w:lang w:val="fr-FR"/>
        </w:rPr>
      </w:pPr>
      <w:r>
        <w:rPr>
          <w:lang w:val="fr-FR"/>
        </w:rPr>
        <w:t>D</w:t>
      </w:r>
      <w:r w:rsidR="006A1EE7" w:rsidRPr="006A1EE7">
        <w:rPr>
          <w:lang w:val="fr-FR"/>
        </w:rPr>
        <w:t xml:space="preserve">e demander au gouvernement du Chili, par le biais du PNUD, en tant qu’agence d’exécution principale, de remettre des rapports périodiques sur la mise en œuvre du programme de travail de la dernière tranche et le rapport d’achèvement des projets à la seconde réunion de 2023. </w:t>
      </w:r>
    </w:p>
    <w:p w14:paraId="3FAFA03F" w14:textId="77777777" w:rsidR="00963F10" w:rsidRPr="00594BB3" w:rsidRDefault="00963F10" w:rsidP="00963F10">
      <w:pPr>
        <w:keepNext/>
        <w:spacing w:after="240"/>
        <w:rPr>
          <w:b/>
          <w:lang w:val="fr-FR"/>
        </w:rPr>
      </w:pPr>
      <w:r w:rsidRPr="006023A6">
        <w:rPr>
          <w:b/>
          <w:bCs/>
          <w:u w:val="single"/>
          <w:lang w:val="fr"/>
        </w:rPr>
        <w:t>Colombie : Plan de gestion de l’élimination des HCFC (phase II - mise à jour de l’état d’avancement du projet de loi et de l’entrée en vigueur des interdictions décrites dans le document UNEP/OzL.Pro/ExCom/88/44)</w:t>
      </w:r>
      <w:r w:rsidRPr="006023A6">
        <w:rPr>
          <w:b/>
          <w:bCs/>
          <w:lang w:val="fr"/>
        </w:rPr>
        <w:t xml:space="preserve"> (PNUD)</w:t>
      </w:r>
    </w:p>
    <w:p w14:paraId="4FA35D2A" w14:textId="77777777" w:rsidR="00963F10" w:rsidRPr="00085F79" w:rsidRDefault="00963F10" w:rsidP="00963F10">
      <w:pPr>
        <w:pStyle w:val="Heading1"/>
        <w:keepNext/>
        <w:numPr>
          <w:ilvl w:val="0"/>
          <w:numId w:val="0"/>
        </w:numPr>
        <w:rPr>
          <w:b/>
        </w:rPr>
      </w:pPr>
      <w:r>
        <w:rPr>
          <w:b/>
          <w:bCs/>
          <w:lang w:val="fr"/>
        </w:rPr>
        <w:t>Contexte</w:t>
      </w:r>
    </w:p>
    <w:p w14:paraId="4939EAA6" w14:textId="77777777" w:rsidR="00963F10" w:rsidRPr="00594BB3" w:rsidRDefault="00963F10" w:rsidP="00963F10">
      <w:pPr>
        <w:pStyle w:val="Heading1"/>
        <w:rPr>
          <w:lang w:val="fr-FR"/>
        </w:rPr>
      </w:pPr>
      <w:r>
        <w:rPr>
          <w:lang w:val="fr"/>
        </w:rPr>
        <w:t>Lors de la 88</w:t>
      </w:r>
      <w:r>
        <w:rPr>
          <w:vertAlign w:val="superscript"/>
          <w:lang w:val="fr"/>
        </w:rPr>
        <w:t>e</w:t>
      </w:r>
      <w:r>
        <w:rPr>
          <w:lang w:val="fr"/>
        </w:rPr>
        <w:t> réunion, dans la demande pour la quatrième tranche de la phase II du plan de gestion de l’élimination des HCFC pour la Colombie, il a été déclaré que les interdictions d’utilisation de HCFC</w:t>
      </w:r>
      <w:r>
        <w:rPr>
          <w:lang w:val="fr"/>
        </w:rPr>
        <w:noBreakHyphen/>
        <w:t>141b dans le secteur de la protection incendie (prévue au 31 décembre 2017, conformément à la décision 75/44(b)(ii)), pour tous les usages de HCFC-141b pur et importé sous forme de polyols prémélangés (prévue au 31 décembre 2020, conformément à la décision 75/44(b)(iii)), et de fabrication et d’importation de systèmes frigorifiques autonomes et d’équipement de climatisation à condensation utilisant du HCFC-22 avec une capacité de refroidissement de moins de 5 tonnes (prévue au 1</w:t>
      </w:r>
      <w:r>
        <w:rPr>
          <w:vertAlign w:val="superscript"/>
          <w:lang w:val="fr"/>
        </w:rPr>
        <w:t>er</w:t>
      </w:r>
      <w:r>
        <w:rPr>
          <w:lang w:val="fr"/>
        </w:rPr>
        <w:t xml:space="preserve"> janvier 2021, conformément à la décision 75/44(b)(iv)) ont été retardées par le gouvernement qui a décidé de combiner toutes ces mesures législatives en un unique projet de loi. Les étapes restantes pour finaliser le projet de loi sont l’approbation par le vice-ministre de l’Environnement et le Bureau des affaires juridiques ainsi que la signature du projet de loi par les ministres de l’Environnement et de l’Industrie et du Commerce, qui devait avoir lieu d’ici décembre 2021. L’entrée en vigueur de ces interdictions ne peut avoir lieu qu’après l’apposition de ces signatures. </w:t>
      </w:r>
    </w:p>
    <w:p w14:paraId="4DEBCCB4" w14:textId="77777777" w:rsidR="00963F10" w:rsidRPr="00594BB3" w:rsidRDefault="00963F10" w:rsidP="00963F10">
      <w:pPr>
        <w:pStyle w:val="Heading1"/>
        <w:autoSpaceDE w:val="0"/>
        <w:autoSpaceDN w:val="0"/>
        <w:adjustRightInd w:val="0"/>
        <w:rPr>
          <w:lang w:val="fr-FR"/>
        </w:rPr>
      </w:pPr>
      <w:r>
        <w:rPr>
          <w:lang w:val="fr"/>
        </w:rPr>
        <w:t>Par conséquent, lors de l’approbation de la demande pour la tranche, il a été demandé au PNUD de fournir lors de la 90</w:t>
      </w:r>
      <w:r>
        <w:rPr>
          <w:vertAlign w:val="superscript"/>
          <w:lang w:val="fr"/>
        </w:rPr>
        <w:t>e</w:t>
      </w:r>
      <w:r>
        <w:rPr>
          <w:lang w:val="fr"/>
        </w:rPr>
        <w:t> réunion une confirmation de la finalisation du projet de loi décrit dans le document UNEP/OzL.Pro/ExCom/88/44 et de l’entrée en vigueur des interdictions d’utilisation de HCFC</w:t>
      </w:r>
      <w:r>
        <w:rPr>
          <w:lang w:val="fr"/>
        </w:rPr>
        <w:noBreakHyphen/>
        <w:t>141b dans le secteur de la protection incendie, pour tous les usages de HCFC-141b pur et importé sous forme de polyols prémélangés et de fabrication et d’importation de systèmes de réfrigération et de climatisation à base de HCFC (décision 88/40(a)).</w:t>
      </w:r>
    </w:p>
    <w:p w14:paraId="6A18EC88" w14:textId="77777777" w:rsidR="00963F10" w:rsidRPr="00594BB3" w:rsidRDefault="00963F10" w:rsidP="00963F10">
      <w:pPr>
        <w:pStyle w:val="Heading1"/>
        <w:rPr>
          <w:lang w:val="fr-FR"/>
        </w:rPr>
      </w:pPr>
      <w:r>
        <w:rPr>
          <w:lang w:val="fr"/>
        </w:rPr>
        <w:t>Au nom du gouvernement de Colombie, le PNUD a fourni une mise à jour de l’état d’avancement de la finalisation du projet de loi et de l’entrée en vigueur des interdictions, mentionnées ci-dessus conformément à la décision 88/40(a).</w:t>
      </w:r>
    </w:p>
    <w:p w14:paraId="593700C3" w14:textId="77777777" w:rsidR="00963F10" w:rsidRPr="00085F79" w:rsidRDefault="00963F10" w:rsidP="00963F10">
      <w:pPr>
        <w:jc w:val="left"/>
        <w:rPr>
          <w:b/>
        </w:rPr>
      </w:pPr>
      <w:r>
        <w:rPr>
          <w:b/>
          <w:bCs/>
          <w:lang w:val="fr"/>
        </w:rPr>
        <w:t>Rapport périodique</w:t>
      </w:r>
    </w:p>
    <w:p w14:paraId="2E250D23" w14:textId="77777777" w:rsidR="00963F10" w:rsidRPr="00085F79" w:rsidRDefault="00963F10" w:rsidP="00963F10">
      <w:pPr>
        <w:jc w:val="left"/>
        <w:rPr>
          <w:b/>
        </w:rPr>
      </w:pPr>
    </w:p>
    <w:p w14:paraId="5E75B874" w14:textId="77777777" w:rsidR="00963F10" w:rsidRPr="00085F79" w:rsidRDefault="00963F10" w:rsidP="00963F10">
      <w:pPr>
        <w:pStyle w:val="Heading1"/>
      </w:pPr>
      <w:r>
        <w:rPr>
          <w:lang w:val="fr"/>
        </w:rPr>
        <w:t xml:space="preserve">Le projet de loi n’est toujours pas finalisé, car un nouveau code tarifaire est entré en vigueur le 1er janvier 2022 qui a nécessité une révision complète des codes et descriptions du projet de loi. Ces révisions ont depuis été réalisées par la Direction des impôts et des douanes (DIAN). En outre, le ministère de l’Environnement et du Développement durable (MADS) a demandé au DIAN et au ministère du Commerce, de l’Industrie et du Tourisme d’émettre des lettres d’approbation du projet de loi révisé. Ces lettres d’approbation ont été reçues. </w:t>
      </w:r>
    </w:p>
    <w:p w14:paraId="65321194" w14:textId="77777777" w:rsidR="00963F10" w:rsidRPr="00594BB3" w:rsidRDefault="00963F10" w:rsidP="00963F10">
      <w:pPr>
        <w:pStyle w:val="Heading1"/>
        <w:rPr>
          <w:lang w:val="fr-FR"/>
        </w:rPr>
      </w:pPr>
      <w:r>
        <w:rPr>
          <w:lang w:val="fr"/>
        </w:rPr>
        <w:t xml:space="preserve">Le PNUD a de plus noté que toutes les corporations qui seront surveillées ou associées à la loi, y compris les fabricants de systèmes de réfrigération et de climatisation, l’association des sapeurs-pompiers, et l’aéronautique civile ont indiqué leur soutien au projet de loi et </w:t>
      </w:r>
      <w:proofErr w:type="spellStart"/>
      <w:proofErr w:type="gramStart"/>
      <w:r>
        <w:rPr>
          <w:lang w:val="fr"/>
        </w:rPr>
        <w:t>on</w:t>
      </w:r>
      <w:proofErr w:type="spellEnd"/>
      <w:proofErr w:type="gramEnd"/>
      <w:r>
        <w:rPr>
          <w:lang w:val="fr"/>
        </w:rPr>
        <w:t xml:space="preserve"> demandé son adoption au MADS. De surcroît, il n’y a eu aucune importation de HCFC-141b en 2021 comme déclaré par la Colombie dans son rapport sur les données du programme du pays. </w:t>
      </w:r>
    </w:p>
    <w:p w14:paraId="4CD959FE" w14:textId="77777777" w:rsidR="00963F10" w:rsidRPr="00085F79" w:rsidRDefault="00963F10" w:rsidP="00963F10">
      <w:pPr>
        <w:pStyle w:val="Heading1"/>
        <w:numPr>
          <w:ilvl w:val="0"/>
          <w:numId w:val="0"/>
        </w:numPr>
        <w:rPr>
          <w:b/>
        </w:rPr>
      </w:pPr>
      <w:r>
        <w:rPr>
          <w:b/>
          <w:bCs/>
          <w:lang w:val="fr"/>
        </w:rPr>
        <w:t>Observations du Secrétariat</w:t>
      </w:r>
    </w:p>
    <w:p w14:paraId="495E4F72" w14:textId="77777777" w:rsidR="00963F10" w:rsidRPr="00594BB3" w:rsidRDefault="00963F10" w:rsidP="00963F10">
      <w:pPr>
        <w:pStyle w:val="Heading1"/>
        <w:rPr>
          <w:lang w:val="fr-FR"/>
        </w:rPr>
      </w:pPr>
      <w:r>
        <w:rPr>
          <w:lang w:val="fr"/>
        </w:rPr>
        <w:t>Le Secrétariat note avec satisfaction l’état d’avancement de la finalisation du projet de loi. Il reste à faire signer le projet de loi par les ministres de l’Environnement et de l’Industrie et du Commerce. Les interdictions entreront alors en vigueur trois mois après la finalisation de la loi, à l’exception de l’interdiction de HCFC-141b qui entrerait en vigueur immédiatement après finalisation. Il a été convenu que le PNUD fournirait lors de la 91</w:t>
      </w:r>
      <w:r>
        <w:rPr>
          <w:vertAlign w:val="superscript"/>
          <w:lang w:val="fr"/>
        </w:rPr>
        <w:t>e</w:t>
      </w:r>
      <w:r>
        <w:rPr>
          <w:lang w:val="fr"/>
        </w:rPr>
        <w:t xml:space="preserve"> réunion une confirmation de la finalisation du projet de loi et de l’entrée en vigueur des interdictions conformément au document UNEP/OzL.Pro/ExCom/88/44). </w:t>
      </w:r>
    </w:p>
    <w:p w14:paraId="421AB104" w14:textId="4506F38C" w:rsidR="00963F10" w:rsidRPr="00085F79" w:rsidRDefault="006023A6" w:rsidP="00963F10">
      <w:pPr>
        <w:keepNext/>
        <w:keepLines/>
        <w:rPr>
          <w:b/>
        </w:rPr>
      </w:pPr>
      <w:r>
        <w:rPr>
          <w:b/>
          <w:bCs/>
          <w:lang w:val="fr"/>
        </w:rPr>
        <w:t>Recomma</w:t>
      </w:r>
      <w:r w:rsidR="00963F10">
        <w:rPr>
          <w:b/>
          <w:bCs/>
          <w:lang w:val="fr"/>
        </w:rPr>
        <w:t>ndation</w:t>
      </w:r>
    </w:p>
    <w:p w14:paraId="1505AFD0" w14:textId="77777777" w:rsidR="00963F10" w:rsidRPr="00085F79" w:rsidRDefault="00963F10" w:rsidP="00963F10">
      <w:pPr>
        <w:keepNext/>
        <w:keepLines/>
        <w:rPr>
          <w:b/>
        </w:rPr>
      </w:pPr>
    </w:p>
    <w:p w14:paraId="16366B5F" w14:textId="77777777" w:rsidR="00963F10" w:rsidRPr="00594BB3" w:rsidRDefault="00963F10" w:rsidP="00963F10">
      <w:pPr>
        <w:pStyle w:val="Heading1"/>
        <w:keepNext/>
        <w:keepLines/>
        <w:rPr>
          <w:lang w:val="fr-FR"/>
        </w:rPr>
      </w:pPr>
      <w:r>
        <w:rPr>
          <w:lang w:val="fr"/>
        </w:rPr>
        <w:t>Le Comité exécutif pourrait souhaiter :</w:t>
      </w:r>
    </w:p>
    <w:p w14:paraId="40C1E6D1" w14:textId="77777777" w:rsidR="00963F10" w:rsidRPr="00594BB3" w:rsidRDefault="00963F10" w:rsidP="00963F10">
      <w:pPr>
        <w:pStyle w:val="Heading2"/>
        <w:rPr>
          <w:lang w:val="fr-FR"/>
        </w:rPr>
      </w:pPr>
      <w:r>
        <w:rPr>
          <w:lang w:val="fr"/>
        </w:rPr>
        <w:t xml:space="preserve">Prendre note de la mise à jour de l’état d’avancement de la finalisation du projet de loi et de l’entrée en vigueur des interdictions décrites dans le document UNEP/OzL.Pro/ExCom/88/44 dans le cadre de la phase II du plan de gestion de l’élimination des HCFC pour la Colombie, soumise par le PNUD et contenue dans le document UNEP/OzL.Pro/ExCom/90/9 ; et </w:t>
      </w:r>
    </w:p>
    <w:p w14:paraId="69C0A874" w14:textId="77777777" w:rsidR="00963F10" w:rsidRPr="00594BB3" w:rsidRDefault="00963F10" w:rsidP="003E673B">
      <w:pPr>
        <w:pStyle w:val="Heading2"/>
        <w:keepNext/>
        <w:keepLines/>
        <w:rPr>
          <w:lang w:val="fr-FR"/>
        </w:rPr>
      </w:pPr>
      <w:r>
        <w:rPr>
          <w:lang w:val="fr"/>
        </w:rPr>
        <w:t>Demander au PNUD de fournir, lors de la 91</w:t>
      </w:r>
      <w:r>
        <w:rPr>
          <w:vertAlign w:val="superscript"/>
          <w:lang w:val="fr"/>
        </w:rPr>
        <w:t>e</w:t>
      </w:r>
      <w:r>
        <w:rPr>
          <w:lang w:val="fr"/>
        </w:rPr>
        <w:t> réunion, une confirmation de la finalisation du projet de loi et de l’entrée en vigueur des interdictions mentionnées dans la mise à jour évoquée dans le sous-paragraphe (a) ci-dessus.</w:t>
      </w:r>
    </w:p>
    <w:p w14:paraId="1F0B63C0" w14:textId="77777777" w:rsidR="00963F10" w:rsidRPr="00594BB3" w:rsidRDefault="00963F10" w:rsidP="00963F10">
      <w:pPr>
        <w:rPr>
          <w:lang w:val="fr-FR"/>
        </w:rPr>
      </w:pPr>
    </w:p>
    <w:p w14:paraId="12FE8F06" w14:textId="77777777" w:rsidR="00963F10" w:rsidRPr="00594BB3" w:rsidRDefault="00963F10" w:rsidP="00963F10">
      <w:pPr>
        <w:keepNext/>
        <w:spacing w:after="240"/>
        <w:rPr>
          <w:b/>
          <w:lang w:val="fr-FR"/>
        </w:rPr>
      </w:pPr>
      <w:r>
        <w:rPr>
          <w:b/>
          <w:bCs/>
          <w:u w:val="single"/>
          <w:lang w:val="fr"/>
        </w:rPr>
        <w:t>République dominicaine (la) : Plan de gestion de l’élimination des HCFC (phase II - troisième et dernière tranche, rapport périodique)</w:t>
      </w:r>
      <w:r>
        <w:rPr>
          <w:b/>
          <w:bCs/>
          <w:lang w:val="fr"/>
        </w:rPr>
        <w:t xml:space="preserve"> (PNUD et PNUE)</w:t>
      </w:r>
    </w:p>
    <w:p w14:paraId="4AC19D97" w14:textId="77777777" w:rsidR="00963F10" w:rsidRPr="00085F79" w:rsidRDefault="00963F10" w:rsidP="00963F10">
      <w:pPr>
        <w:keepNext/>
        <w:spacing w:after="240"/>
        <w:ind w:left="1440" w:hanging="1440"/>
        <w:rPr>
          <w:b/>
          <w:color w:val="000000" w:themeColor="text1"/>
        </w:rPr>
      </w:pPr>
      <w:r>
        <w:rPr>
          <w:b/>
          <w:bCs/>
          <w:color w:val="000000" w:themeColor="text1"/>
          <w:lang w:val="fr"/>
        </w:rPr>
        <w:t>Contexte</w:t>
      </w:r>
    </w:p>
    <w:p w14:paraId="00C77D7B" w14:textId="77777777" w:rsidR="00963F10" w:rsidRPr="00594BB3" w:rsidRDefault="00963F10" w:rsidP="00963F10">
      <w:pPr>
        <w:pStyle w:val="Heading1"/>
        <w:keepNext/>
        <w:rPr>
          <w:lang w:val="fr-FR"/>
        </w:rPr>
      </w:pPr>
      <w:r>
        <w:rPr>
          <w:lang w:val="fr"/>
        </w:rPr>
        <w:t>La phase II du plan de gestion de l’élimination des HCFC (PGEH) pour la République dominicaine a été approuvée à la 77</w:t>
      </w:r>
      <w:r>
        <w:rPr>
          <w:vertAlign w:val="superscript"/>
          <w:lang w:val="fr"/>
        </w:rPr>
        <w:t>e</w:t>
      </w:r>
      <w:r>
        <w:rPr>
          <w:lang w:val="fr"/>
        </w:rPr>
        <w:t> réunion</w:t>
      </w:r>
      <w:r>
        <w:rPr>
          <w:rStyle w:val="FootnoteReference"/>
          <w:color w:val="000000" w:themeColor="text1"/>
          <w:lang w:val="fr"/>
        </w:rPr>
        <w:footnoteReference w:id="18"/>
      </w:r>
      <w:r>
        <w:rPr>
          <w:lang w:val="fr"/>
        </w:rPr>
        <w:t xml:space="preserve"> afin d’atteindre l’objectif de réduction de 40 pour cent par rapport à la valeur de référence avant 2020, pour un montant total de 1 589 477 $ US constitué de 1 279 558 $ US plus les coûts d’appui d’agence à hauteur de 89 569 $ US pour le PNUD, et de 195 000 $ US plus les coûts d’appui d’agence à hauteur de 25 350 $ US pour le PNUE afin d’éliminer 15,36 tonnes PAO de HCFC. </w:t>
      </w:r>
    </w:p>
    <w:p w14:paraId="00258013" w14:textId="77777777" w:rsidR="00963F10" w:rsidRPr="00594BB3" w:rsidRDefault="00963F10" w:rsidP="00963F10">
      <w:pPr>
        <w:pStyle w:val="Heading1"/>
        <w:rPr>
          <w:lang w:val="fr-FR"/>
        </w:rPr>
      </w:pPr>
      <w:r>
        <w:rPr>
          <w:lang w:val="fr"/>
        </w:rPr>
        <w:t>Lors de la 86</w:t>
      </w:r>
      <w:r>
        <w:rPr>
          <w:vertAlign w:val="superscript"/>
          <w:lang w:val="fr"/>
        </w:rPr>
        <w:t>e</w:t>
      </w:r>
      <w:r>
        <w:rPr>
          <w:lang w:val="fr"/>
        </w:rPr>
        <w:t xml:space="preserve"> réunion, le Comité exécutif a approuvé la troisième et dernière tranche de la phase II et a demandé au gouvernement de la République dominicaine, au PNUE et au PNUD de remettre un </w:t>
      </w:r>
      <w:bookmarkStart w:id="4" w:name="_Hlk104690707"/>
      <w:r>
        <w:rPr>
          <w:lang w:val="fr"/>
        </w:rPr>
        <w:t xml:space="preserve">rapport périodique sur la mise en œuvre du programme de travail de la dernière tranche, qui devait être achevée d’ici fin 2021, </w:t>
      </w:r>
      <w:bookmarkEnd w:id="4"/>
      <w:r>
        <w:rPr>
          <w:lang w:val="fr"/>
        </w:rPr>
        <w:t>à la première réunion du Comité exécutif en 2022.</w:t>
      </w:r>
      <w:r>
        <w:rPr>
          <w:rStyle w:val="FootnoteReference"/>
          <w:color w:val="000000" w:themeColor="text1"/>
          <w:lang w:val="fr"/>
        </w:rPr>
        <w:footnoteReference w:id="19"/>
      </w:r>
      <w:r>
        <w:rPr>
          <w:lang w:val="fr"/>
        </w:rPr>
        <w:t xml:space="preserve">  La phase III du PGEH été approuvée à la 86</w:t>
      </w:r>
      <w:r>
        <w:rPr>
          <w:vertAlign w:val="superscript"/>
          <w:lang w:val="fr"/>
        </w:rPr>
        <w:t>e</w:t>
      </w:r>
      <w:r>
        <w:rPr>
          <w:lang w:val="fr"/>
        </w:rPr>
        <w:t xml:space="preserve"> réunion. Conformément à la décision 86/53, au nom du gouvernement de la République dominicaine, le PNUD, en qualité d’agence d’exécution principale, a soumis le rapport périodique final sur la mise en œuvre de la phase II du PGEH. </w:t>
      </w:r>
    </w:p>
    <w:p w14:paraId="39AF08B5" w14:textId="77777777" w:rsidR="00963F10" w:rsidRPr="00085F79" w:rsidRDefault="00963F10" w:rsidP="00963F10">
      <w:pPr>
        <w:spacing w:after="240"/>
        <w:jc w:val="left"/>
        <w:rPr>
          <w:i/>
        </w:rPr>
      </w:pPr>
      <w:r>
        <w:rPr>
          <w:i/>
          <w:iCs/>
          <w:lang w:val="fr"/>
        </w:rPr>
        <w:t>Consommation de HCFC</w:t>
      </w:r>
    </w:p>
    <w:p w14:paraId="0AEDE8C0" w14:textId="77777777" w:rsidR="00963F10" w:rsidRPr="00594BB3" w:rsidRDefault="00963F10" w:rsidP="00963F10">
      <w:pPr>
        <w:pStyle w:val="Heading1"/>
        <w:rPr>
          <w:rFonts w:eastAsia="SimSun"/>
          <w:lang w:val="fr-FR"/>
        </w:rPr>
      </w:pPr>
      <w:r>
        <w:rPr>
          <w:lang w:val="fr"/>
        </w:rPr>
        <w:t xml:space="preserve">Le gouvernement de la République dominicaine a déclaré une consommation de 12,05 tonnes PAO de HCFC en 2021 au titre des données relatives au programme de pays, ce qui représente 76 pour cent de moins que la valeur de référence pour les HCFC aux fins de conformité qui s’élève à 51,2 tonnes PAO et 61 pour cent de moins que la consommation </w:t>
      </w:r>
      <w:bookmarkStart w:id="5" w:name="_Hlk104553744"/>
      <w:r>
        <w:rPr>
          <w:lang w:val="fr"/>
        </w:rPr>
        <w:t>maximale admissible de l’Accord avec le Comité exécutif qui s’élève à 30,72 tonnes PAO.</w:t>
      </w:r>
      <w:bookmarkEnd w:id="5"/>
      <w:r>
        <w:rPr>
          <w:lang w:val="fr"/>
        </w:rPr>
        <w:t xml:space="preserve">  </w:t>
      </w:r>
    </w:p>
    <w:p w14:paraId="6406C56B" w14:textId="77777777" w:rsidR="00963F10" w:rsidRPr="00594BB3" w:rsidRDefault="00963F10" w:rsidP="00963F10">
      <w:pPr>
        <w:rPr>
          <w:b/>
          <w:bCs/>
          <w:lang w:val="fr-FR"/>
        </w:rPr>
      </w:pPr>
      <w:r>
        <w:rPr>
          <w:b/>
          <w:bCs/>
          <w:lang w:val="fr"/>
        </w:rPr>
        <w:t>Rapport périodique sur la mise en œuvre de la dernière tranche de la phase II</w:t>
      </w:r>
    </w:p>
    <w:p w14:paraId="72D0987F" w14:textId="77777777" w:rsidR="00963F10" w:rsidRPr="00594BB3" w:rsidRDefault="00963F10" w:rsidP="00963F10">
      <w:pPr>
        <w:rPr>
          <w:rFonts w:eastAsia="SimSun"/>
          <w:lang w:val="fr-FR"/>
        </w:rPr>
      </w:pPr>
    </w:p>
    <w:p w14:paraId="47773F4A" w14:textId="77777777" w:rsidR="00963F10" w:rsidRPr="00085F79" w:rsidRDefault="00963F10" w:rsidP="00963F10">
      <w:pPr>
        <w:keepNext/>
        <w:spacing w:after="240"/>
        <w:jc w:val="left"/>
        <w:rPr>
          <w:i/>
        </w:rPr>
      </w:pPr>
      <w:r>
        <w:rPr>
          <w:i/>
          <w:iCs/>
          <w:lang w:val="fr"/>
        </w:rPr>
        <w:t>Cadre juridique</w:t>
      </w:r>
    </w:p>
    <w:p w14:paraId="44C3DD2A" w14:textId="77777777" w:rsidR="00963F10" w:rsidRPr="00594BB3" w:rsidRDefault="00963F10" w:rsidP="00963F10">
      <w:pPr>
        <w:pStyle w:val="Heading1"/>
        <w:rPr>
          <w:lang w:val="fr-FR"/>
        </w:rPr>
      </w:pPr>
      <w:r>
        <w:rPr>
          <w:lang w:val="fr"/>
        </w:rPr>
        <w:t xml:space="preserve">La République dominicaine a interdit l’importation d’équipement utilisant du HCFC (neuf ou d’occasion) et l’importation de HCFC-141b en vrac et/ou sous forme de polyols prémélangés. Ces deux interdictions sont entrées en vigueur le 1er janvier 2017. Depuis le 1er janvier 2019, le gouvernement a imposé des taxes administratives sur les importations de HCFC pour soutenir l’élimination de HCFC. La réglementation sur la supervision des importations de SAO inclut aussi la gestion des HFC, pour soutenir l’Amendement de Kigali, de nouveaux codes tarifaires pour les HCFC et les HFC ont été mis en place pour améliorer le contrôle des importations et des exportations de ces substances. </w:t>
      </w:r>
    </w:p>
    <w:p w14:paraId="29086196" w14:textId="1319A06D" w:rsidR="00963F10" w:rsidRPr="00594BB3" w:rsidRDefault="00963F10" w:rsidP="00963F10">
      <w:pPr>
        <w:pStyle w:val="Heading1"/>
        <w:rPr>
          <w:lang w:val="fr-FR"/>
        </w:rPr>
      </w:pPr>
      <w:r>
        <w:rPr>
          <w:lang w:val="fr"/>
        </w:rPr>
        <w:t xml:space="preserve">Un projet de norme portant sur l’utilisation des hydrocarbures (HC) comme frigorigènes a été rédigé et soumis à l’Institut dominicain de la qualité (INDOCAL) pour révision et des consultations ont eu lieu avec les différentes parties prenantes. Ce projet a depuis été ajusté conformément aux commentaires envoyés par un fabricant local d’équipement de réfrigération et de climatisation à base de HC et une nouvelle série de consultations est nécessaire. </w:t>
      </w:r>
      <w:r w:rsidR="00344B84">
        <w:rPr>
          <w:lang w:val="fr"/>
        </w:rPr>
        <w:t xml:space="preserve">Le Bureau </w:t>
      </w:r>
      <w:r w:rsidR="00344B84" w:rsidRPr="00344B84">
        <w:rPr>
          <w:rFonts w:ascii="Calibri" w:hAnsi="Calibri"/>
          <w:lang w:val="fr"/>
        </w:rPr>
        <w:t>national</w:t>
      </w:r>
      <w:r w:rsidR="00344B84">
        <w:rPr>
          <w:lang w:val="fr"/>
        </w:rPr>
        <w:t xml:space="preserve"> de l’ozone</w:t>
      </w:r>
      <w:r>
        <w:rPr>
          <w:lang w:val="fr"/>
        </w:rPr>
        <w:t xml:space="preserve"> suit de près le processus et assiste aux réunions du comité technique concernant la sécurité où la norme doit être adoptée avant d’être publiée par INDOCAL et le ministère de l’Environnement et des Ressources naturelles.</w:t>
      </w:r>
    </w:p>
    <w:p w14:paraId="41947C5A" w14:textId="77777777" w:rsidR="00963F10" w:rsidRPr="00594BB3" w:rsidRDefault="00963F10" w:rsidP="00963F10">
      <w:pPr>
        <w:pStyle w:val="Heading1"/>
        <w:rPr>
          <w:lang w:val="fr-FR"/>
        </w:rPr>
      </w:pPr>
      <w:r>
        <w:rPr>
          <w:lang w:val="fr"/>
        </w:rPr>
        <w:t>Un système d’enregistrement en ligne comprenant de la documentation numérique et une gestion des données enregistrées liées aux importations et exportations de HCFC est opérationnel et accessible via le site internet du ministère de l’Environnement et des Ressources naturelles ; 130 courtiers en douane et employés du bureau des douanes ont suivi une formation en ligne sur les procédures de contrôle liées aux HCFC, les frigorigènes de substitution et les technologies utilisant des HCFC ; une formation diplômante sur la gestion douanière des biens environnementaux en République dominicaine couvrant les procédures d’importation et d’exportation afin de renforcer le contrôle des substances en vertu du Protocole de Montréal est en cours de développement. Cette activité se poursuivra et sera achevée durant la phase III en coordination avec l’Association dominicaine des douanes.</w:t>
      </w:r>
    </w:p>
    <w:p w14:paraId="78735FC2" w14:textId="77777777" w:rsidR="00963F10" w:rsidRPr="00594BB3" w:rsidRDefault="00963F10" w:rsidP="00963F10">
      <w:pPr>
        <w:keepNext/>
        <w:keepLines/>
        <w:jc w:val="left"/>
        <w:rPr>
          <w:i/>
          <w:lang w:val="fr-FR"/>
        </w:rPr>
      </w:pPr>
      <w:r>
        <w:rPr>
          <w:i/>
          <w:iCs/>
          <w:lang w:val="fr"/>
        </w:rPr>
        <w:t>Secteur de l’entretien des équipements de réfrigération</w:t>
      </w:r>
    </w:p>
    <w:p w14:paraId="7D2D9839" w14:textId="77777777" w:rsidR="00963F10" w:rsidRPr="00594BB3" w:rsidRDefault="00963F10" w:rsidP="00963F10">
      <w:pPr>
        <w:keepNext/>
        <w:keepLines/>
        <w:rPr>
          <w:lang w:val="fr-FR"/>
        </w:rPr>
      </w:pPr>
    </w:p>
    <w:p w14:paraId="5935C18F" w14:textId="77777777" w:rsidR="00963F10" w:rsidRPr="00594BB3" w:rsidRDefault="00963F10" w:rsidP="00963F10">
      <w:pPr>
        <w:pStyle w:val="Heading1"/>
        <w:rPr>
          <w:lang w:val="fr-FR"/>
        </w:rPr>
      </w:pPr>
      <w:r>
        <w:rPr>
          <w:lang w:val="fr"/>
        </w:rPr>
        <w:t>Les activités suivantes ont été mises en œuvre dans le cadre de la dernière tranche :</w:t>
      </w:r>
    </w:p>
    <w:p w14:paraId="7E4F78B7" w14:textId="77777777" w:rsidR="00963F10" w:rsidRPr="00594BB3" w:rsidRDefault="00963F10" w:rsidP="00963F10">
      <w:pPr>
        <w:pStyle w:val="Heading2"/>
        <w:numPr>
          <w:ilvl w:val="1"/>
          <w:numId w:val="30"/>
        </w:numPr>
        <w:rPr>
          <w:lang w:val="fr-FR"/>
        </w:rPr>
      </w:pPr>
      <w:r>
        <w:rPr>
          <w:lang w:val="fr"/>
        </w:rPr>
        <w:t>Une procédure d’octroi de licences aux techniciens frigoristes, y compris à ceux du secteur informel, a été établie et est en train d’être mise en vigueur par le biais de la commission de certification nationale (CONALTRA) ; des informations sur les techniciens frigoristes ont été collectées pour les inclure dans une base de données afin de faciliter la procédure de certification ; des consultations régulières avec les parties prenantes ont eu lieu pour réviser la procédure de certification ; en coordination avec l’Association des techniciens en réfrigération et climatisation (ADOMTRA), 20 cours de perfectionnement ont été organisés auprès de techniciens frigoristes pour leur permettre de participer au processus de certification de leurs compétences professionnelles ; une campagne de sensibilisation aux exigences et aux procédures d’obtention du certificat professionnel en réfrigération pour tous les techniciens a été réalisée et lancée ;</w:t>
      </w:r>
    </w:p>
    <w:p w14:paraId="49D708A7" w14:textId="4D64F9FD" w:rsidR="00963F10" w:rsidRPr="00594BB3" w:rsidRDefault="00963F10" w:rsidP="00963F10">
      <w:pPr>
        <w:pStyle w:val="Heading2"/>
        <w:numPr>
          <w:ilvl w:val="1"/>
          <w:numId w:val="30"/>
        </w:numPr>
        <w:rPr>
          <w:lang w:val="fr-FR"/>
        </w:rPr>
      </w:pPr>
      <w:r>
        <w:rPr>
          <w:lang w:val="fr"/>
        </w:rPr>
        <w:t>Cent techniciens et utilisateurs finals ont terminé une formation en ligne de trois mois (15 h/semaine) sur les dernières technologies d’élimination des HCFC dans le secteur de la réfrigération et de la climatisation, traitant notamment de l’ammoniac et des hydrocarbures en réfrigération commerciale ; afin de renforcer l’éducation formelle des instituts techniques, 300 manuels sur les bonnes pratiques de réfrigération et 300 </w:t>
      </w:r>
      <w:r w:rsidR="00307928">
        <w:rPr>
          <w:lang w:val="fr"/>
        </w:rPr>
        <w:t>trousses</w:t>
      </w:r>
      <w:r>
        <w:rPr>
          <w:lang w:val="fr"/>
        </w:rPr>
        <w:t xml:space="preserve"> d’équipement de protection individuelle ont été distribués dans les 20 centres de formation ; en raison de la pandémie de COVID-19, l’Institut national de formation technico-professionnelle (INFOTEP) a fermé l’intégralité de ses centres durant la majorité de 2020 et 2021, ce qui a limité la possibilité de réaliser plus de formations auprès des techniciens frigoristes ; les bonnes pratiques de réfrigération ont été intégrées dans le programme</w:t>
      </w:r>
      <w:bookmarkStart w:id="6" w:name="_Hlk104565291"/>
      <w:bookmarkStart w:id="7" w:name="_Hlk104565837"/>
      <w:r>
        <w:rPr>
          <w:lang w:val="fr"/>
        </w:rPr>
        <w:t xml:space="preserve"> de l’INFOTEP ;</w:t>
      </w:r>
    </w:p>
    <w:p w14:paraId="5973D864" w14:textId="77777777" w:rsidR="00963F10" w:rsidRPr="00594BB3" w:rsidRDefault="00963F10" w:rsidP="00963F10">
      <w:pPr>
        <w:pStyle w:val="Heading2"/>
        <w:numPr>
          <w:ilvl w:val="1"/>
          <w:numId w:val="30"/>
        </w:numPr>
        <w:rPr>
          <w:lang w:val="fr-FR"/>
        </w:rPr>
      </w:pPr>
      <w:r>
        <w:rPr>
          <w:rFonts w:eastAsia="SimSun"/>
          <w:lang w:val="fr"/>
        </w:rPr>
        <w:t xml:space="preserve">Cinquante systèmes de climatisation utilisant du R-290 ont été fournis, mais leur livraison a été retardée </w:t>
      </w:r>
      <w:bookmarkEnd w:id="6"/>
      <w:bookmarkEnd w:id="7"/>
      <w:r>
        <w:rPr>
          <w:rFonts w:eastAsia="SimSun"/>
          <w:lang w:val="fr"/>
        </w:rPr>
        <w:t>en raison de la crise d’approvisionnement globale ; ces équipements sont arrivés en République dominicaine en janvier 2022. Ces équipements ont été installés dans les centres de formation (à visée pédagogique) et dans différents bureaux régionaux du ministère de l’Environnement et des Ressources naturelles. Les leçons apprises sur leur installation, leur entretien et leur utilisation (comme leur rendement énergétique et leurs performances) seront collectées après un an de fonctionnement ;</w:t>
      </w:r>
    </w:p>
    <w:p w14:paraId="4C41597B" w14:textId="3D7C7BAC" w:rsidR="00963F10" w:rsidRPr="00594BB3" w:rsidRDefault="006F5813" w:rsidP="00963F10">
      <w:pPr>
        <w:pStyle w:val="Heading2"/>
        <w:keepNext/>
        <w:keepLines/>
        <w:numPr>
          <w:ilvl w:val="1"/>
          <w:numId w:val="30"/>
        </w:numPr>
        <w:tabs>
          <w:tab w:val="clear" w:pos="0"/>
          <w:tab w:val="num" w:pos="360"/>
        </w:tabs>
        <w:rPr>
          <w:lang w:val="fr-FR"/>
        </w:rPr>
      </w:pPr>
      <w:r>
        <w:rPr>
          <w:lang w:val="fr"/>
        </w:rPr>
        <w:t xml:space="preserve">Six cent quatre-vingt-cinq premières trousses </w:t>
      </w:r>
      <w:r w:rsidR="00963F10">
        <w:rPr>
          <w:lang w:val="fr"/>
        </w:rPr>
        <w:t>d’outils et d’équipement pour faciliter les bonnes pratiques de réfrigération auprès des techniciens frigoristes ont été fournis grâce au financement approuvé dans le cadre de la deuxième tranche, et 125 </w:t>
      </w:r>
      <w:r w:rsidR="00307928">
        <w:rPr>
          <w:lang w:val="fr"/>
        </w:rPr>
        <w:t>trousses</w:t>
      </w:r>
      <w:r w:rsidR="00963F10">
        <w:rPr>
          <w:lang w:val="fr"/>
        </w:rPr>
        <w:t xml:space="preserve"> d’outils supplémentaires ont été acquis avec le financement initialement alloué à un projet incitatif d’installation d’un système à cycle transcritique au CO</w:t>
      </w:r>
      <w:r w:rsidR="00963F10">
        <w:rPr>
          <w:vertAlign w:val="subscript"/>
          <w:lang w:val="fr"/>
        </w:rPr>
        <w:t>2</w:t>
      </w:r>
      <w:r w:rsidR="00963F10">
        <w:rPr>
          <w:lang w:val="fr"/>
        </w:rPr>
        <w:t xml:space="preserve"> dans un supermarché ;</w:t>
      </w:r>
      <w:r w:rsidR="00963F10">
        <w:rPr>
          <w:rStyle w:val="FootnoteReference"/>
          <w:lang w:val="fr"/>
        </w:rPr>
        <w:footnoteReference w:id="20"/>
      </w:r>
      <w:r w:rsidR="00963F10">
        <w:rPr>
          <w:lang w:val="fr"/>
        </w:rPr>
        <w:t xml:space="preserve"> parmi ces </w:t>
      </w:r>
      <w:r w:rsidR="00307928">
        <w:rPr>
          <w:lang w:val="fr"/>
        </w:rPr>
        <w:t>trousses</w:t>
      </w:r>
      <w:r w:rsidR="00963F10">
        <w:rPr>
          <w:lang w:val="fr"/>
        </w:rPr>
        <w:t xml:space="preserve">, 405 ont déjà été reçus dans le pays et livrés au CONALTRA et 67 ont été distribués parmi les techniciens certifiés. Les </w:t>
      </w:r>
      <w:r w:rsidR="009B56C1">
        <w:rPr>
          <w:lang w:val="fr"/>
        </w:rPr>
        <w:t>trousses restantes</w:t>
      </w:r>
      <w:r w:rsidR="00963F10">
        <w:rPr>
          <w:lang w:val="fr"/>
        </w:rPr>
        <w:t xml:space="preserve"> sont en transit et devraient arriver dans le pays le 6 juin 2022 ;</w:t>
      </w:r>
    </w:p>
    <w:p w14:paraId="0212A5C5" w14:textId="77777777" w:rsidR="00963F10" w:rsidRPr="00594BB3" w:rsidRDefault="00963F10" w:rsidP="00963F10">
      <w:pPr>
        <w:pStyle w:val="Heading2"/>
        <w:numPr>
          <w:ilvl w:val="1"/>
          <w:numId w:val="30"/>
        </w:numPr>
        <w:rPr>
          <w:iCs/>
          <w:lang w:val="fr-FR"/>
        </w:rPr>
      </w:pPr>
      <w:r>
        <w:rPr>
          <w:lang w:val="fr"/>
        </w:rPr>
        <w:t>Vingt-neuf centres de récupération et de recyclage (R&amp;R) ont été établis, des outils et équipements (comme des bonbonnes, des machines de récupération, des manomètres, des pompes à vide, etc.) ont été distribués au sein du réseau de R&amp;R ; les centres de R&amp;R ont laissé les techniciens frigoristes accéder à leurs équipements et outils ; un annuaire des centres et des techniciens frigoristes associés a été développé pour renforcer la relation entre les techniciens frigoristes et les centres de R&amp;R ; la supervision du réseau de R&amp;R continue, mais en raison de la pandémie de COVID-19, le nombre de visites en personne a été limité ; et</w:t>
      </w:r>
    </w:p>
    <w:p w14:paraId="206E2121" w14:textId="77777777" w:rsidR="00963F10" w:rsidRPr="00594BB3" w:rsidRDefault="00963F10" w:rsidP="00963F10">
      <w:pPr>
        <w:pStyle w:val="Heading2"/>
        <w:numPr>
          <w:ilvl w:val="1"/>
          <w:numId w:val="30"/>
        </w:numPr>
        <w:rPr>
          <w:lang w:val="fr-FR"/>
        </w:rPr>
      </w:pPr>
      <w:r>
        <w:rPr>
          <w:lang w:val="fr"/>
        </w:rPr>
        <w:t>Des supports de sensibilisation relatifs aux alternatives aux HCFC et au programme de certification des techniciens frigoristes ont été conçus et produits ; ainsi qu’une campagne de sensibilisation afin de diffuser les mesures de contrôle et les initiatives d’élimination des HCFC et des équipements utilisant des HCFC et des informations sur l’utilisation de frigorigènes de substitution.</w:t>
      </w:r>
    </w:p>
    <w:p w14:paraId="3BF9A910" w14:textId="77777777" w:rsidR="00963F10" w:rsidRPr="00594BB3" w:rsidRDefault="00963F10" w:rsidP="00963F10">
      <w:pPr>
        <w:pStyle w:val="Heading1"/>
        <w:widowControl w:val="0"/>
        <w:numPr>
          <w:ilvl w:val="0"/>
          <w:numId w:val="0"/>
        </w:numPr>
        <w:tabs>
          <w:tab w:val="num" w:pos="360"/>
        </w:tabs>
        <w:jc w:val="left"/>
        <w:rPr>
          <w:i/>
          <w:lang w:val="fr-FR"/>
        </w:rPr>
      </w:pPr>
      <w:r>
        <w:rPr>
          <w:i/>
          <w:iCs/>
          <w:lang w:val="fr"/>
        </w:rPr>
        <w:t>Unité de mise en œuvre et de supervision du projet (PMU)</w:t>
      </w:r>
    </w:p>
    <w:p w14:paraId="73D78C86" w14:textId="77777777" w:rsidR="00963F10" w:rsidRPr="00594BB3" w:rsidRDefault="00963F10" w:rsidP="00963F10">
      <w:pPr>
        <w:pStyle w:val="Heading1"/>
        <w:rPr>
          <w:lang w:val="fr-FR"/>
        </w:rPr>
      </w:pPr>
      <w:r>
        <w:rPr>
          <w:lang w:val="fr"/>
        </w:rPr>
        <w:t>Sur le montant de 31 201 $ US convenu pour la supervision du projet, 30 000 $ US ont été utilisés pour les consultants de mise en œuvre et de supervision du projet et 1201 $ US pour les réunions avec les parties prenantes et des dépenses annexes.</w:t>
      </w:r>
    </w:p>
    <w:p w14:paraId="2F36D5FC" w14:textId="77777777" w:rsidR="00963F10" w:rsidRPr="00085F79" w:rsidRDefault="00963F10" w:rsidP="00963F10">
      <w:pPr>
        <w:widowControl w:val="0"/>
        <w:spacing w:after="240"/>
        <w:jc w:val="left"/>
        <w:rPr>
          <w:i/>
        </w:rPr>
      </w:pPr>
      <w:r>
        <w:rPr>
          <w:i/>
          <w:iCs/>
          <w:lang w:val="fr"/>
        </w:rPr>
        <w:t>État des décaissements</w:t>
      </w:r>
    </w:p>
    <w:p w14:paraId="65BBEE33" w14:textId="77777777" w:rsidR="00963F10" w:rsidRPr="00594BB3" w:rsidRDefault="00963F10" w:rsidP="00963F10">
      <w:pPr>
        <w:pStyle w:val="Heading1"/>
        <w:rPr>
          <w:lang w:val="fr-FR"/>
        </w:rPr>
      </w:pPr>
      <w:r>
        <w:rPr>
          <w:lang w:val="fr"/>
        </w:rPr>
        <w:t xml:space="preserve">En date de mai 2022, sur le montant de 1 474 558 $ US approuvé pour la phase II, 1 313 088 $ US (89 %) ont été décaissés (à savoir </w:t>
      </w:r>
      <w:r>
        <w:rPr>
          <w:color w:val="000000"/>
          <w:lang w:val="fr"/>
        </w:rPr>
        <w:t>1 123 955</w:t>
      </w:r>
      <w:r>
        <w:rPr>
          <w:lang w:val="fr"/>
        </w:rPr>
        <w:t> $ US pour le PNUD, 189 133 $ US pour le PNUE) et le solde restant de 161 470 $ US est engagé et devrait être décaissé d’ici le 31 décembre 2022.</w:t>
      </w:r>
    </w:p>
    <w:p w14:paraId="75AE0991" w14:textId="77777777" w:rsidR="00963F10" w:rsidRPr="00085F79" w:rsidRDefault="00963F10" w:rsidP="00963F10">
      <w:pPr>
        <w:rPr>
          <w:u w:val="single"/>
        </w:rPr>
      </w:pPr>
      <w:r>
        <w:rPr>
          <w:u w:val="single"/>
          <w:lang w:val="fr"/>
        </w:rPr>
        <w:t>Achèvement de la phase II</w:t>
      </w:r>
    </w:p>
    <w:p w14:paraId="30B20739" w14:textId="77777777" w:rsidR="00963F10" w:rsidRPr="00085F79" w:rsidRDefault="00963F10" w:rsidP="00963F10"/>
    <w:p w14:paraId="38CBDFD0" w14:textId="77777777" w:rsidR="00963F10" w:rsidRPr="00594BB3" w:rsidRDefault="00963F10" w:rsidP="00963F10">
      <w:pPr>
        <w:pStyle w:val="Heading1"/>
        <w:rPr>
          <w:lang w:val="fr-FR"/>
        </w:rPr>
      </w:pPr>
      <w:r>
        <w:rPr>
          <w:lang w:val="fr"/>
        </w:rPr>
        <w:t>Le PNUD a confirmé que la phase II du PGEH serait terminée de manière opérationnelle en décembre 2021, cependant les outils et équipements à destination des techniciens ont été retardés en raison de la pandémie de COVID-19 et des contraintes de la chaîne d’approvisionnement, ils devraient être livrés en juin 2022. Une fois que le CONALTRA aura reçu les équipements et outils, le PNUD pourra initier l’achèvement financier du projet. Les 161 470 $ US restants seront décaissés après confirmation de la livraison des équipements.</w:t>
      </w:r>
    </w:p>
    <w:p w14:paraId="0055FAB2" w14:textId="77777777" w:rsidR="00963F10" w:rsidRPr="00085F79" w:rsidRDefault="00963F10" w:rsidP="00963F10">
      <w:pPr>
        <w:keepNext/>
        <w:spacing w:before="240"/>
        <w:rPr>
          <w:i/>
        </w:rPr>
      </w:pPr>
      <w:r>
        <w:rPr>
          <w:b/>
          <w:bCs/>
          <w:lang w:val="fr"/>
        </w:rPr>
        <w:t>Observations du Secrétariat</w:t>
      </w:r>
      <w:r>
        <w:rPr>
          <w:i/>
          <w:iCs/>
          <w:lang w:val="fr"/>
        </w:rPr>
        <w:t xml:space="preserve"> </w:t>
      </w:r>
    </w:p>
    <w:p w14:paraId="7D7F20C1" w14:textId="77777777" w:rsidR="00963F10" w:rsidRPr="00085F79" w:rsidRDefault="00963F10" w:rsidP="00963F10">
      <w:pPr>
        <w:keepNext/>
        <w:rPr>
          <w:i/>
        </w:rPr>
      </w:pPr>
    </w:p>
    <w:p w14:paraId="11187EC2" w14:textId="77777777" w:rsidR="00963F10" w:rsidRPr="00594BB3" w:rsidRDefault="00963F10" w:rsidP="00963F10">
      <w:pPr>
        <w:pStyle w:val="Heading1"/>
        <w:rPr>
          <w:lang w:val="fr-FR"/>
        </w:rPr>
      </w:pPr>
      <w:r>
        <w:rPr>
          <w:lang w:val="fr"/>
        </w:rPr>
        <w:t>En ce qui concerne les équipements et outils restant pour le décaissement, le Secrétariat a demandé au PNUD de soumettre un rapport de livraison finale et de distribution de ces outils et équipements avec la demande pour la tranche suivante de la phase III du PGEH. Le PNUD a indiqué que les retards dans l’arrivée des outils et d’équipements ne devraient pas affecter l’achèvement financier en date du 31 décembre 2022 et que le solde restant serait restitué au Fonds multilatéral suivant la pratique établie.</w:t>
      </w:r>
    </w:p>
    <w:p w14:paraId="73C396E4" w14:textId="7574E210" w:rsidR="00963F10" w:rsidRPr="00085F79" w:rsidRDefault="00B91CD9" w:rsidP="00963F10">
      <w:pPr>
        <w:pStyle w:val="Heading1"/>
        <w:keepNext/>
        <w:keepLines/>
        <w:numPr>
          <w:ilvl w:val="0"/>
          <w:numId w:val="0"/>
        </w:numPr>
        <w:rPr>
          <w:b/>
        </w:rPr>
      </w:pPr>
      <w:r>
        <w:rPr>
          <w:b/>
          <w:bCs/>
          <w:lang w:val="fr"/>
        </w:rPr>
        <w:t>Recomma</w:t>
      </w:r>
      <w:r w:rsidR="00963F10">
        <w:rPr>
          <w:b/>
          <w:bCs/>
          <w:lang w:val="fr"/>
        </w:rPr>
        <w:t>ndation</w:t>
      </w:r>
    </w:p>
    <w:p w14:paraId="31808E6F" w14:textId="77777777" w:rsidR="00963F10" w:rsidRPr="00594BB3" w:rsidRDefault="00963F10" w:rsidP="00963F10">
      <w:pPr>
        <w:pStyle w:val="Heading1"/>
        <w:keepNext/>
        <w:keepLines/>
        <w:rPr>
          <w:lang w:val="fr-FR"/>
        </w:rPr>
      </w:pPr>
      <w:r>
        <w:rPr>
          <w:lang w:val="fr"/>
        </w:rPr>
        <w:t>Le Comité exécutif pourrait souhaiter :</w:t>
      </w:r>
    </w:p>
    <w:p w14:paraId="2BE4F77E" w14:textId="77777777" w:rsidR="00963F10" w:rsidRPr="00594BB3" w:rsidRDefault="00963F10" w:rsidP="00963F10">
      <w:pPr>
        <w:pStyle w:val="Heading2"/>
        <w:rPr>
          <w:lang w:val="fr-FR"/>
        </w:rPr>
      </w:pPr>
      <w:r>
        <w:rPr>
          <w:lang w:val="fr"/>
        </w:rPr>
        <w:t>Prendre note du rapport périodique sur la mise en œuvre du programme de travail de la troisième et dernière tranche de la phase II du plan de gestion de l’élimination des HCFC (PGEH) pour la République dominicaine, soumis par le PNUD et présenté dans le document UNEP/OzL.Pro/ExCom/90/9 ; et</w:t>
      </w:r>
    </w:p>
    <w:p w14:paraId="09F754F9" w14:textId="77777777" w:rsidR="00963F10" w:rsidRPr="00594BB3" w:rsidRDefault="00963F10" w:rsidP="00963F10">
      <w:pPr>
        <w:pStyle w:val="Heading2"/>
        <w:rPr>
          <w:lang w:val="fr-FR"/>
        </w:rPr>
      </w:pPr>
      <w:r>
        <w:rPr>
          <w:lang w:val="fr"/>
        </w:rPr>
        <w:t>Demander au PNUD de soumettre un rapport de livraison finale et de distribution de ces outils et équipements aux techniciens frigoristes avec la demande pour la dernière tranche de la phase III du PGEH.</w:t>
      </w:r>
    </w:p>
    <w:p w14:paraId="708390C6" w14:textId="77777777" w:rsidR="00963F10" w:rsidRPr="00594BB3" w:rsidRDefault="00963F10" w:rsidP="00963F10">
      <w:pPr>
        <w:rPr>
          <w:lang w:val="fr-FR"/>
        </w:rPr>
      </w:pPr>
    </w:p>
    <w:p w14:paraId="0255DE3D" w14:textId="77777777" w:rsidR="00963F10" w:rsidRPr="00594BB3" w:rsidRDefault="00963F10" w:rsidP="00963F10">
      <w:pPr>
        <w:pStyle w:val="Heading1"/>
        <w:keepNext/>
        <w:numPr>
          <w:ilvl w:val="0"/>
          <w:numId w:val="0"/>
        </w:numPr>
        <w:rPr>
          <w:b/>
          <w:u w:val="single"/>
          <w:lang w:val="fr-FR"/>
        </w:rPr>
      </w:pPr>
      <w:r>
        <w:rPr>
          <w:b/>
          <w:bCs/>
          <w:u w:val="single"/>
          <w:lang w:val="fr"/>
        </w:rPr>
        <w:t>Jamaïque : Plan de gestion de l’élimination des HCFC (phase II : mise à jour de l’état d’avancement de la mise en œuvre des mesures de renforcement du programme d’octroi de licences et de quotas, et de la supervision et de la communication des données de consommation de HCFC, recommandée dans le rapport de vérification)</w:t>
      </w:r>
      <w:r>
        <w:rPr>
          <w:b/>
          <w:bCs/>
          <w:lang w:val="fr"/>
        </w:rPr>
        <w:t xml:space="preserve"> (PNUD et PNUE)</w:t>
      </w:r>
    </w:p>
    <w:p w14:paraId="333B89A0" w14:textId="77777777" w:rsidR="00963F10" w:rsidRPr="00085F79" w:rsidRDefault="00963F10" w:rsidP="00963F10">
      <w:pPr>
        <w:pStyle w:val="Heading1"/>
        <w:keepNext/>
        <w:numPr>
          <w:ilvl w:val="0"/>
          <w:numId w:val="0"/>
        </w:numPr>
        <w:rPr>
          <w:b/>
        </w:rPr>
      </w:pPr>
      <w:r>
        <w:rPr>
          <w:b/>
          <w:bCs/>
          <w:lang w:val="fr"/>
        </w:rPr>
        <w:t>Contexte</w:t>
      </w:r>
    </w:p>
    <w:p w14:paraId="0E1B9333" w14:textId="77777777" w:rsidR="00963F10" w:rsidRPr="00594BB3" w:rsidRDefault="00963F10" w:rsidP="00963F10">
      <w:pPr>
        <w:pStyle w:val="Heading1"/>
        <w:keepNext/>
        <w:rPr>
          <w:lang w:val="fr-FR"/>
        </w:rPr>
      </w:pPr>
      <w:r>
        <w:rPr>
          <w:lang w:val="fr"/>
        </w:rPr>
        <w:t>Lors de la 88</w:t>
      </w:r>
      <w:r>
        <w:rPr>
          <w:vertAlign w:val="superscript"/>
          <w:lang w:val="fr"/>
        </w:rPr>
        <w:t>e</w:t>
      </w:r>
      <w:r>
        <w:rPr>
          <w:lang w:val="fr"/>
        </w:rPr>
        <w:t> réunion, le Comité exécutif a demandé au Gouvernement jamaïcain et au PNUD de soumettre lors de la 90</w:t>
      </w:r>
      <w:r>
        <w:rPr>
          <w:vertAlign w:val="superscript"/>
          <w:lang w:val="fr"/>
        </w:rPr>
        <w:t>e</w:t>
      </w:r>
      <w:r>
        <w:rPr>
          <w:lang w:val="fr"/>
        </w:rPr>
        <w:t> réunion un état d’avancement des étapes supplémentaires entreprises à la suite des recommandations du rapport de vérification soumis lors de la 85</w:t>
      </w:r>
      <w:r>
        <w:rPr>
          <w:vertAlign w:val="superscript"/>
          <w:lang w:val="fr"/>
        </w:rPr>
        <w:t>e</w:t>
      </w:r>
      <w:r>
        <w:rPr>
          <w:lang w:val="fr"/>
        </w:rPr>
        <w:t> réunion sur la mise en œuvre des mesures de renforcement du système d’octroi de licences et de quotas et sur la supervision et de communication des données de consommation de HCFC dans le cadre de la phase II du plan de gestion de l’élimination des HCFC (PGEH) (décision 88/19).</w:t>
      </w:r>
    </w:p>
    <w:p w14:paraId="52EACE5D" w14:textId="77777777" w:rsidR="00963F10" w:rsidRPr="00594BB3" w:rsidRDefault="00963F10" w:rsidP="00963F10">
      <w:pPr>
        <w:pStyle w:val="Heading1"/>
        <w:rPr>
          <w:lang w:val="fr-FR"/>
        </w:rPr>
      </w:pPr>
      <w:r>
        <w:rPr>
          <w:lang w:val="fr"/>
        </w:rPr>
        <w:t>En réponse à la décision 88/19, le PNUD a présenté à la 90</w:t>
      </w:r>
      <w:r>
        <w:rPr>
          <w:vertAlign w:val="superscript"/>
          <w:lang w:val="fr"/>
        </w:rPr>
        <w:t>e</w:t>
      </w:r>
      <w:r>
        <w:rPr>
          <w:lang w:val="fr"/>
        </w:rPr>
        <w:t> réunion, un rapport contenant les informations suivantes :</w:t>
      </w:r>
    </w:p>
    <w:p w14:paraId="14FBA087" w14:textId="48877E2F" w:rsidR="00963F10" w:rsidRPr="00594BB3" w:rsidRDefault="00963F10" w:rsidP="00963F10">
      <w:pPr>
        <w:pStyle w:val="Heading2"/>
        <w:rPr>
          <w:lang w:val="fr-FR"/>
        </w:rPr>
      </w:pPr>
      <w:r>
        <w:rPr>
          <w:lang w:val="fr"/>
        </w:rPr>
        <w:t xml:space="preserve">La révision de l’ordre d’achat et de vente (2014) afin de revoir les importations annuelles allouées de HCFC conformément à la phase II du PGEH et de rédiger un projet de loi relatif à l’importation d’équipement de refroidissement et de frigorigènes a été achevée en novembre 2021 après une consultation détaillée avec les parties prenantes et avec le soutien d’un conseiller juridique. </w:t>
      </w:r>
      <w:r w:rsidR="00344B84">
        <w:rPr>
          <w:lang w:val="fr"/>
        </w:rPr>
        <w:t>Le Bureau national de l’ozone</w:t>
      </w:r>
      <w:r>
        <w:rPr>
          <w:lang w:val="fr"/>
        </w:rPr>
        <w:t xml:space="preserve"> supervise les étapes suivantes relatives à l’approbation des clauses pertinentes de l’ordre d’achat et de vente (c’est-à-dire les quotas d’importation de HCFC alloués) par le président du Conseil parlementaire (CPC) ;</w:t>
      </w:r>
    </w:p>
    <w:p w14:paraId="144A0D3F" w14:textId="77777777" w:rsidR="00963F10" w:rsidRPr="00594BB3" w:rsidRDefault="00963F10" w:rsidP="00963F10">
      <w:pPr>
        <w:pStyle w:val="Heading2"/>
        <w:rPr>
          <w:lang w:val="fr-FR"/>
        </w:rPr>
      </w:pPr>
      <w:r>
        <w:rPr>
          <w:lang w:val="fr"/>
        </w:rPr>
        <w:t>Quatre ateliers virtuels de renforcement des capacités portant sur le contrôle et la supervision des importations de HCFC, à destination de 20 personnes issues de l’Agence nationale de l’Environnement et de la Planification (NEPA), de l’Agence douanière jamaïcaine ; du ministère de la Santé et du Bien-être ainsi que des courtiers en douane seront organisés en juin 2022 ; et</w:t>
      </w:r>
    </w:p>
    <w:p w14:paraId="77EAF82F" w14:textId="77777777" w:rsidR="00963F10" w:rsidRPr="00594BB3" w:rsidRDefault="00963F10" w:rsidP="00963F10">
      <w:pPr>
        <w:pStyle w:val="Heading2"/>
        <w:rPr>
          <w:lang w:val="fr-FR"/>
        </w:rPr>
      </w:pPr>
      <w:r>
        <w:rPr>
          <w:lang w:val="fr"/>
        </w:rPr>
        <w:t>Le format de communication des données a été finalisé en 2021 et est actuellement utilisé par les importateurs.</w:t>
      </w:r>
    </w:p>
    <w:p w14:paraId="20116DE2" w14:textId="77777777" w:rsidR="00B91CD9" w:rsidRDefault="00B91CD9" w:rsidP="00963F10">
      <w:pPr>
        <w:pStyle w:val="Heading1"/>
        <w:numPr>
          <w:ilvl w:val="0"/>
          <w:numId w:val="0"/>
        </w:numPr>
        <w:rPr>
          <w:b/>
          <w:bCs/>
          <w:lang w:val="fr"/>
        </w:rPr>
      </w:pPr>
    </w:p>
    <w:p w14:paraId="0C401C29" w14:textId="77777777" w:rsidR="00963F10" w:rsidRPr="00085F79" w:rsidRDefault="00963F10" w:rsidP="00963F10">
      <w:pPr>
        <w:pStyle w:val="Heading1"/>
        <w:numPr>
          <w:ilvl w:val="0"/>
          <w:numId w:val="0"/>
        </w:numPr>
        <w:rPr>
          <w:b/>
        </w:rPr>
      </w:pPr>
      <w:r>
        <w:rPr>
          <w:b/>
          <w:bCs/>
          <w:lang w:val="fr"/>
        </w:rPr>
        <w:t>Observations du Secrétariat</w:t>
      </w:r>
    </w:p>
    <w:p w14:paraId="128518C1" w14:textId="31F00399" w:rsidR="00963F10" w:rsidRPr="00594BB3" w:rsidRDefault="00963F10" w:rsidP="00963F10">
      <w:pPr>
        <w:pStyle w:val="Heading1"/>
        <w:rPr>
          <w:lang w:val="fr-FR"/>
        </w:rPr>
      </w:pPr>
      <w:r>
        <w:rPr>
          <w:lang w:val="fr"/>
        </w:rPr>
        <w:t xml:space="preserve">Le Secrétariat a demandé des informations supplémentaires concernant le calendrier d’achèvement des amendements à l’ordre d’achat et de vente (2014). Le PNUD a expliqué que dans l’état actuel des choses, </w:t>
      </w:r>
      <w:r w:rsidR="00344B84">
        <w:rPr>
          <w:lang w:val="fr"/>
        </w:rPr>
        <w:t>le Bureau national de l’ozone</w:t>
      </w:r>
      <w:r>
        <w:rPr>
          <w:lang w:val="fr"/>
        </w:rPr>
        <w:t xml:space="preserve"> est incapable de présenter un calendrier d’achèvement, car les procédures incluent d’autres ministères ; </w:t>
      </w:r>
      <w:r w:rsidR="00344B84">
        <w:rPr>
          <w:lang w:val="fr"/>
        </w:rPr>
        <w:t>le Bureau national de l’ozone</w:t>
      </w:r>
      <w:r>
        <w:rPr>
          <w:lang w:val="fr"/>
        </w:rPr>
        <w:t xml:space="preserve"> continue à superviser la procédure afin d’accélérer l’approbation de l’ordre d’achat et de vente. Le PNUD a en outre expliqué que les importateurs ont été dûment informés des quotas révisés de HCFC conformément à l’Accord relatif à la phase II du PGEH.</w:t>
      </w:r>
    </w:p>
    <w:p w14:paraId="17135F02" w14:textId="77777777" w:rsidR="00963F10" w:rsidRPr="00594BB3" w:rsidRDefault="00963F10" w:rsidP="00963F10">
      <w:pPr>
        <w:pStyle w:val="Heading1"/>
        <w:rPr>
          <w:lang w:val="fr-FR"/>
        </w:rPr>
      </w:pPr>
      <w:r>
        <w:rPr>
          <w:lang w:val="fr"/>
        </w:rPr>
        <w:t>Le Secrétariat prend note que le Gouvernement jamaïcain avec le soutien du PNUD et du PNUE a mis en vigueur les recommandations du rapport de vérification et continuera à superviser l’achèvement de l’ordre d’achat et de vente (2014).</w:t>
      </w:r>
    </w:p>
    <w:p w14:paraId="5D30A0B9" w14:textId="4783CA58" w:rsidR="00963F10" w:rsidRPr="00085F79" w:rsidRDefault="00B91CD9" w:rsidP="00963F10">
      <w:pPr>
        <w:pStyle w:val="Heading1"/>
        <w:numPr>
          <w:ilvl w:val="0"/>
          <w:numId w:val="0"/>
        </w:numPr>
        <w:rPr>
          <w:b/>
        </w:rPr>
      </w:pPr>
      <w:r>
        <w:rPr>
          <w:b/>
          <w:bCs/>
          <w:lang w:val="fr"/>
        </w:rPr>
        <w:t>Recomma</w:t>
      </w:r>
      <w:r w:rsidR="00963F10">
        <w:rPr>
          <w:b/>
          <w:bCs/>
          <w:lang w:val="fr"/>
        </w:rPr>
        <w:t>ndation</w:t>
      </w:r>
    </w:p>
    <w:p w14:paraId="2D92C09C" w14:textId="77777777" w:rsidR="00963F10" w:rsidRPr="00594BB3" w:rsidRDefault="00963F10" w:rsidP="00963F10">
      <w:pPr>
        <w:pStyle w:val="Heading1"/>
        <w:rPr>
          <w:lang w:val="fr-FR"/>
        </w:rPr>
      </w:pPr>
      <w:r>
        <w:rPr>
          <w:lang w:val="fr"/>
        </w:rPr>
        <w:t>Le Comité exécutif pourrait souhaiter :</w:t>
      </w:r>
    </w:p>
    <w:p w14:paraId="71F3ED9F" w14:textId="77777777" w:rsidR="00963F10" w:rsidRPr="00594BB3" w:rsidRDefault="00963F10" w:rsidP="00963F10">
      <w:pPr>
        <w:pStyle w:val="Heading2"/>
        <w:rPr>
          <w:lang w:val="fr-FR"/>
        </w:rPr>
      </w:pPr>
      <w:r>
        <w:rPr>
          <w:lang w:val="fr"/>
        </w:rPr>
        <w:t>Prendre note de la mise à jour de l’état d’avancement de la mise en œuvre des mesures de renforcement du système d’octroi de licences et de quotas, et de la supervision et de la communication des données de consommation de HCFC, recommandées dans le rapport de vérification au titre de la phase II du plan de gestion de l’élimination des HCFC (PGEH) pour la Jamaïque, soumis par le PNUD et présenté dans le document UNEP/OzL.Pro/ExCom/90/9 ; et</w:t>
      </w:r>
    </w:p>
    <w:p w14:paraId="35EFDB82" w14:textId="77777777" w:rsidR="00963F10" w:rsidRPr="00594BB3" w:rsidRDefault="00963F10" w:rsidP="00963F10">
      <w:pPr>
        <w:pStyle w:val="Heading2"/>
        <w:keepNext/>
        <w:widowControl/>
        <w:rPr>
          <w:lang w:val="fr-FR"/>
        </w:rPr>
      </w:pPr>
      <w:r>
        <w:rPr>
          <w:lang w:val="fr"/>
        </w:rPr>
        <w:t>Demander au Gouvernement jamaïcain et au PNUD de présenter une mise à jour de l’état d’avancement de l’approbation de l’ordre d’achat et de vente (2014) au moment de soumettre sa demande pour la deuxième tranche de la phase II du PGEH.</w:t>
      </w:r>
    </w:p>
    <w:p w14:paraId="4DC4CFAF" w14:textId="77777777" w:rsidR="00963F10" w:rsidRPr="00594BB3" w:rsidRDefault="00963F10" w:rsidP="00963F10">
      <w:pPr>
        <w:rPr>
          <w:b/>
          <w:lang w:val="fr-FR"/>
        </w:rPr>
      </w:pPr>
      <w:r>
        <w:rPr>
          <w:b/>
          <w:bCs/>
          <w:u w:val="single"/>
          <w:lang w:val="fr"/>
        </w:rPr>
        <w:t>Kenya : Plan de gestion de l’élimination des HCFC (phase II, deuxième tranche : mise à jour sur l’état de la mise en œuvre des mesures de renforcement du programme d’octroi de licences et de quotas de HCFC et de l’échange d’information avec les autorités fiscales kényanes sur les importations de HCFC)</w:t>
      </w:r>
      <w:r>
        <w:rPr>
          <w:b/>
          <w:bCs/>
          <w:lang w:val="fr"/>
        </w:rPr>
        <w:t xml:space="preserve"> (gouvernement français)</w:t>
      </w:r>
    </w:p>
    <w:p w14:paraId="12605507" w14:textId="77777777" w:rsidR="00963F10" w:rsidRPr="00594BB3" w:rsidRDefault="00963F10" w:rsidP="00963F10">
      <w:pPr>
        <w:rPr>
          <w:lang w:val="fr-FR"/>
        </w:rPr>
      </w:pPr>
    </w:p>
    <w:p w14:paraId="14AAA8F7" w14:textId="77777777" w:rsidR="00963F10" w:rsidRPr="00085F79" w:rsidRDefault="00963F10" w:rsidP="00963F10">
      <w:pPr>
        <w:rPr>
          <w:b/>
          <w:bCs/>
        </w:rPr>
      </w:pPr>
      <w:r>
        <w:rPr>
          <w:b/>
          <w:bCs/>
          <w:lang w:val="fr"/>
        </w:rPr>
        <w:t>Contexte</w:t>
      </w:r>
    </w:p>
    <w:p w14:paraId="7220C0C7" w14:textId="77777777" w:rsidR="00963F10" w:rsidRPr="00085F79" w:rsidRDefault="00963F10" w:rsidP="00963F10"/>
    <w:p w14:paraId="6D908335" w14:textId="77777777" w:rsidR="00963F10" w:rsidRPr="00594BB3" w:rsidRDefault="00963F10" w:rsidP="00963F10">
      <w:pPr>
        <w:pStyle w:val="Heading1"/>
        <w:rPr>
          <w:lang w:val="fr-FR"/>
        </w:rPr>
      </w:pPr>
      <w:r>
        <w:rPr>
          <w:lang w:val="fr"/>
        </w:rPr>
        <w:t>Le Comité exécutif, lors de sa 88</w:t>
      </w:r>
      <w:r>
        <w:rPr>
          <w:vertAlign w:val="superscript"/>
          <w:lang w:val="fr"/>
        </w:rPr>
        <w:t>e</w:t>
      </w:r>
      <w:r>
        <w:rPr>
          <w:lang w:val="fr"/>
        </w:rPr>
        <w:t> réunion, a pris note du rapport d’avancement soumis par le gouvernement kényan</w:t>
      </w:r>
      <w:r>
        <w:rPr>
          <w:rStyle w:val="FootnoteReference"/>
          <w:lang w:val="fr"/>
        </w:rPr>
        <w:footnoteReference w:id="21"/>
      </w:r>
      <w:r>
        <w:rPr>
          <w:lang w:val="fr"/>
        </w:rPr>
        <w:t xml:space="preserve"> sur le renforcement du système d’octroi de licences et de quotas de HCFC et du partage d’information avec les autorités fiscales kényanes (KRA) sur les importations de HCFC, au regard des recommandations issues du rapport de vérification lié à la seconde tranche de la phase II de son plan de gestion de l’élimination des HCFC (PGEH) ; et a demandé au gouvernement kényan, par le biais du gouvernement français, de fournir, lors de la 90</w:t>
      </w:r>
      <w:r>
        <w:rPr>
          <w:vertAlign w:val="superscript"/>
          <w:lang w:val="fr"/>
        </w:rPr>
        <w:t>e</w:t>
      </w:r>
      <w:r>
        <w:rPr>
          <w:lang w:val="fr"/>
        </w:rPr>
        <w:t> réunion, une mise à jour de l’état d’avancement de la mise en œuvre des activités de renforcement du système d’octroi de licences et de quotas de HCFC et de l’échange d’informations avec le KRA concernant les importations de HCFC (décision 88/20).</w:t>
      </w:r>
    </w:p>
    <w:p w14:paraId="5C067E44" w14:textId="77777777" w:rsidR="00963F10" w:rsidRPr="00594BB3" w:rsidRDefault="00963F10" w:rsidP="00963F10">
      <w:pPr>
        <w:pStyle w:val="Heading1"/>
        <w:rPr>
          <w:lang w:val="fr-FR"/>
        </w:rPr>
      </w:pPr>
      <w:r>
        <w:rPr>
          <w:lang w:val="fr"/>
        </w:rPr>
        <w:t>En réponse à cette décision, le gouvernement français a soumis les informations suivantes :</w:t>
      </w:r>
    </w:p>
    <w:p w14:paraId="0026D3D8" w14:textId="1AA718D6" w:rsidR="00963F10" w:rsidRPr="00594BB3" w:rsidRDefault="00963F10" w:rsidP="00963F10">
      <w:pPr>
        <w:pStyle w:val="Heading2"/>
        <w:rPr>
          <w:lang w:val="fr-FR"/>
        </w:rPr>
      </w:pPr>
      <w:r>
        <w:rPr>
          <w:lang w:val="fr"/>
        </w:rPr>
        <w:t xml:space="preserve">En novembre 2021, </w:t>
      </w:r>
      <w:r w:rsidR="00B91CD9">
        <w:rPr>
          <w:lang w:val="fr"/>
        </w:rPr>
        <w:t>le Bureau national</w:t>
      </w:r>
      <w:r>
        <w:rPr>
          <w:lang w:val="fr"/>
        </w:rPr>
        <w:t xml:space="preserve"> de l’ozone et l’autorité nationale de gestion environnementale (NEMA) ont organisé une réunion au port sur la mise en vigueur du système d’octroi de licences sur les importations de HCFC avec le responsable des opérations du KRA, qui a confirmé qu’aucune substance contrôlée n’était autorisée sans une licence originale émise par le NEMA ;  </w:t>
      </w:r>
    </w:p>
    <w:p w14:paraId="6C99B07A" w14:textId="324A1516" w:rsidR="00963F10" w:rsidRPr="00594BB3" w:rsidRDefault="00963F10" w:rsidP="00963F10">
      <w:pPr>
        <w:pStyle w:val="Heading2"/>
        <w:rPr>
          <w:lang w:val="fr-FR"/>
        </w:rPr>
      </w:pPr>
      <w:r>
        <w:rPr>
          <w:lang w:val="fr"/>
        </w:rPr>
        <w:t xml:space="preserve">En décembre 2021, un programme de formation de deux jours en présentiel portant sur les mesures de contrôle des SAO, les produits de substitution aux SAO et les équipements utilisant des SAO a eu lieu à Kisumu auquel ont assisté 15 agents des douanes postées à différents lieux d’introduction dans l’ouest du pays ainsi que trois facilitateurs du KRA, du NEMA et </w:t>
      </w:r>
      <w:r w:rsidR="00B91CD9">
        <w:rPr>
          <w:lang w:val="fr"/>
        </w:rPr>
        <w:t>du Bureau national de l’ozone</w:t>
      </w:r>
      <w:r>
        <w:rPr>
          <w:lang w:val="fr"/>
        </w:rPr>
        <w:t xml:space="preserve"> relevant du ministère de l’Environnement et de la Foresterie ; et</w:t>
      </w:r>
    </w:p>
    <w:p w14:paraId="5F141C33" w14:textId="40FAD449" w:rsidR="00963F10" w:rsidRPr="00594BB3" w:rsidRDefault="00963F10" w:rsidP="00963F10">
      <w:pPr>
        <w:pStyle w:val="Heading2"/>
        <w:rPr>
          <w:lang w:val="fr-FR"/>
        </w:rPr>
      </w:pPr>
      <w:r>
        <w:rPr>
          <w:lang w:val="fr"/>
        </w:rPr>
        <w:t xml:space="preserve">En mars 2022, </w:t>
      </w:r>
      <w:r w:rsidR="00B91CD9">
        <w:rPr>
          <w:lang w:val="fr"/>
        </w:rPr>
        <w:t>le Bureau national de l’ozone</w:t>
      </w:r>
      <w:r>
        <w:rPr>
          <w:lang w:val="fr"/>
        </w:rPr>
        <w:t xml:space="preserve"> a rendu visite aux importateurs pour échanger des informations relatives à la collecte des données sur les SAO ainsi que sur les systèmes de communication et de supervision.</w:t>
      </w:r>
    </w:p>
    <w:p w14:paraId="218ABDB3" w14:textId="77777777" w:rsidR="00963F10" w:rsidRPr="00085F79" w:rsidRDefault="00963F10" w:rsidP="00963F10">
      <w:pPr>
        <w:keepNext/>
        <w:keepLines/>
        <w:rPr>
          <w:b/>
          <w:bCs/>
        </w:rPr>
      </w:pPr>
      <w:r>
        <w:rPr>
          <w:b/>
          <w:bCs/>
          <w:lang w:val="fr"/>
        </w:rPr>
        <w:t>Observations du Secrétariat</w:t>
      </w:r>
    </w:p>
    <w:p w14:paraId="629C4874" w14:textId="77777777" w:rsidR="00963F10" w:rsidRPr="00085F79" w:rsidRDefault="00963F10" w:rsidP="00963F10">
      <w:pPr>
        <w:keepNext/>
        <w:keepLines/>
      </w:pPr>
    </w:p>
    <w:p w14:paraId="20946E79" w14:textId="37FB7868" w:rsidR="00963F10" w:rsidRPr="00594BB3" w:rsidRDefault="00B91CD9" w:rsidP="00963F10">
      <w:pPr>
        <w:pStyle w:val="Heading1"/>
        <w:keepNext/>
        <w:keepLines/>
        <w:rPr>
          <w:lang w:val="fr-FR"/>
        </w:rPr>
      </w:pPr>
      <w:r>
        <w:rPr>
          <w:lang w:val="fr"/>
        </w:rPr>
        <w:t>Le Secrétariat a pris note que le Bureau national de l’ozone</w:t>
      </w:r>
      <w:r w:rsidR="00963F10">
        <w:rPr>
          <w:lang w:val="fr"/>
        </w:rPr>
        <w:t xml:space="preserve"> continue à discuter et à échanger des informations avec les douanes et avec les services répressifs depuis novembre 2021 ; en outre, le formateur des douanes prévoit de réaliser un programme de formation additionnel auprès des douanes et des services répressifs en mai 2022 et un programme de formation de formateurs en juin 2022. </w:t>
      </w:r>
    </w:p>
    <w:p w14:paraId="795ED3BF" w14:textId="77777777" w:rsidR="00963F10" w:rsidRPr="00594BB3" w:rsidRDefault="00963F10" w:rsidP="00963F10">
      <w:pPr>
        <w:pStyle w:val="Heading1"/>
        <w:rPr>
          <w:lang w:val="fr-FR"/>
        </w:rPr>
      </w:pPr>
      <w:r>
        <w:rPr>
          <w:lang w:val="fr"/>
        </w:rPr>
        <w:t xml:space="preserve">Il a été convenu que le gouvernement français soumettrait une mise à jour de l’état d’avancement des activités mises en œuvre relatives au renforcement du système d’octroi de licences et de quotas de HCFC et sur l’échange d’informations avec le KRA concernant les importations de HCFC lors de la soumission de la troisième tranche de la phase II du PGEH. </w:t>
      </w:r>
    </w:p>
    <w:p w14:paraId="45EE44A4" w14:textId="2668663E" w:rsidR="00963F10" w:rsidRPr="00085F79" w:rsidRDefault="00B91CD9" w:rsidP="00963F10">
      <w:pPr>
        <w:rPr>
          <w:b/>
          <w:bCs/>
        </w:rPr>
      </w:pPr>
      <w:r>
        <w:rPr>
          <w:b/>
          <w:bCs/>
          <w:lang w:val="fr"/>
        </w:rPr>
        <w:t>Recomma</w:t>
      </w:r>
      <w:r w:rsidR="00963F10">
        <w:rPr>
          <w:b/>
          <w:bCs/>
          <w:lang w:val="fr"/>
        </w:rPr>
        <w:t>ndation</w:t>
      </w:r>
    </w:p>
    <w:p w14:paraId="60CC23F7" w14:textId="77777777" w:rsidR="00963F10" w:rsidRPr="00085F79" w:rsidRDefault="00963F10" w:rsidP="00963F10"/>
    <w:p w14:paraId="128C9326" w14:textId="77777777" w:rsidR="00963F10" w:rsidRPr="00594BB3" w:rsidRDefault="00963F10" w:rsidP="00963F10">
      <w:pPr>
        <w:pStyle w:val="Heading1"/>
        <w:rPr>
          <w:lang w:val="fr-FR"/>
        </w:rPr>
      </w:pPr>
      <w:r>
        <w:rPr>
          <w:lang w:val="fr"/>
        </w:rPr>
        <w:t>Le Comité exécutif pourrait souhaiter :</w:t>
      </w:r>
    </w:p>
    <w:p w14:paraId="35F5D92B" w14:textId="77777777" w:rsidR="00963F10" w:rsidRPr="00594BB3" w:rsidRDefault="00963F10" w:rsidP="00963F10">
      <w:pPr>
        <w:pStyle w:val="Heading2"/>
        <w:rPr>
          <w:lang w:val="fr-FR"/>
        </w:rPr>
      </w:pPr>
      <w:r>
        <w:rPr>
          <w:lang w:val="fr"/>
        </w:rPr>
        <w:t>Prendre note de la mise à jour de l’état d’avancement de la mise en œuvre des activités de renforcement du système d’octroi de licences et de quotas de HCFC et de l’échange d’informations avec les autorités fiscales kényanes (KRA) sur les importations de HCFC, soumise par le gouvernement kényan par le biais du gouvernement français et présentée dans le document UNEP/OzL.Pro/ExCom/90/9 ; et</w:t>
      </w:r>
    </w:p>
    <w:p w14:paraId="33992196" w14:textId="77777777" w:rsidR="00963F10" w:rsidRPr="00594BB3" w:rsidRDefault="00963F10" w:rsidP="00963F10">
      <w:pPr>
        <w:pStyle w:val="Heading2"/>
        <w:rPr>
          <w:lang w:val="fr-FR"/>
        </w:rPr>
      </w:pPr>
      <w:r>
        <w:rPr>
          <w:lang w:val="fr"/>
        </w:rPr>
        <w:t>Demander au gouvernement kényan, par le biais du gouvernement français, de soumettre une mise à jour de l’état d’avancement des activités mises en œuvre relatives au renforcement du système d’octroi de licences et de quotas de HCFC et sur l’échange d’informations avec le KRA concernant les importations de HCFC lors de la soumission de la troisième tranche de la phase II de son plan de gestion de l’élimination des HCFC.</w:t>
      </w:r>
    </w:p>
    <w:p w14:paraId="14AA3E9A" w14:textId="77777777" w:rsidR="00963F10" w:rsidRPr="00594BB3" w:rsidRDefault="00963F10" w:rsidP="00963F10">
      <w:pPr>
        <w:keepNext/>
        <w:spacing w:after="240"/>
        <w:rPr>
          <w:b/>
          <w:u w:val="single"/>
          <w:lang w:val="fr-FR"/>
        </w:rPr>
      </w:pPr>
      <w:r>
        <w:rPr>
          <w:b/>
          <w:bCs/>
          <w:u w:val="single"/>
          <w:lang w:val="fr"/>
        </w:rPr>
        <w:t>Kirghizistan : Plan de gestion de l’élimination des HCFC (phase II - rapport périodique final)</w:t>
      </w:r>
      <w:r>
        <w:rPr>
          <w:b/>
          <w:bCs/>
          <w:lang w:val="fr"/>
        </w:rPr>
        <w:t xml:space="preserve"> (PNUD et PNUE)</w:t>
      </w:r>
    </w:p>
    <w:p w14:paraId="62305BE1" w14:textId="77777777" w:rsidR="00963F10" w:rsidRPr="00085F79" w:rsidRDefault="00963F10" w:rsidP="00963F10">
      <w:pPr>
        <w:keepNext/>
        <w:spacing w:after="240"/>
        <w:rPr>
          <w:b/>
        </w:rPr>
      </w:pPr>
      <w:r>
        <w:rPr>
          <w:b/>
          <w:bCs/>
          <w:lang w:val="fr"/>
        </w:rPr>
        <w:t>Contexte</w:t>
      </w:r>
    </w:p>
    <w:p w14:paraId="7441C0F2" w14:textId="77777777" w:rsidR="00963F10" w:rsidRPr="00594BB3" w:rsidRDefault="00963F10" w:rsidP="00963F10">
      <w:pPr>
        <w:pStyle w:val="Heading1"/>
        <w:autoSpaceDE w:val="0"/>
        <w:autoSpaceDN w:val="0"/>
        <w:adjustRightInd w:val="0"/>
        <w:rPr>
          <w:lang w:val="fr-FR"/>
        </w:rPr>
      </w:pPr>
      <w:r>
        <w:rPr>
          <w:lang w:val="fr"/>
        </w:rPr>
        <w:t>La phase II du PGEH a été approuvée à la 74</w:t>
      </w:r>
      <w:r>
        <w:rPr>
          <w:vertAlign w:val="superscript"/>
          <w:lang w:val="fr"/>
        </w:rPr>
        <w:t>e</w:t>
      </w:r>
      <w:r>
        <w:rPr>
          <w:lang w:val="fr"/>
        </w:rPr>
        <w:t> réunion,</w:t>
      </w:r>
      <w:r>
        <w:rPr>
          <w:rStyle w:val="FootnoteReference"/>
          <w:lang w:val="fr"/>
        </w:rPr>
        <w:footnoteReference w:id="22"/>
      </w:r>
      <w:r>
        <w:rPr>
          <w:lang w:val="fr"/>
        </w:rPr>
        <w:t xml:space="preserve"> et révisée à la 85</w:t>
      </w:r>
      <w:r>
        <w:rPr>
          <w:vertAlign w:val="superscript"/>
          <w:lang w:val="fr"/>
        </w:rPr>
        <w:t>e</w:t>
      </w:r>
      <w:r>
        <w:rPr>
          <w:lang w:val="fr"/>
        </w:rPr>
        <w:t> réunion</w:t>
      </w:r>
      <w:r>
        <w:rPr>
          <w:rStyle w:val="FootnoteReference"/>
          <w:lang w:val="fr"/>
        </w:rPr>
        <w:footnoteReference w:id="23"/>
      </w:r>
      <w:r>
        <w:rPr>
          <w:lang w:val="fr"/>
        </w:rPr>
        <w:t xml:space="preserve"> afin de respecter l’objectif de réduction de 97,5 pour cent par rapport à la valeur de référence d’ici 2020 et de 100 pour cent de réduction d’ici 2025, pour un montant total de 712 000 $ US plus les coûts d’appui d’agence, pour éliminer 2,40 tonnes PAO de HCFC utilisés dans le secteur de l’entretien des équipements de réfrigération et de climatisation. Lors de l’approbation de la troisième et dernière tranche à la 85</w:t>
      </w:r>
      <w:r>
        <w:rPr>
          <w:vertAlign w:val="superscript"/>
          <w:lang w:val="fr"/>
        </w:rPr>
        <w:t>e</w:t>
      </w:r>
      <w:r>
        <w:rPr>
          <w:lang w:val="fr"/>
        </w:rPr>
        <w:t> réunion,</w:t>
      </w:r>
      <w:r>
        <w:rPr>
          <w:rStyle w:val="FootnoteReference"/>
          <w:lang w:val="fr"/>
        </w:rPr>
        <w:footnoteReference w:id="24"/>
      </w:r>
      <w:r>
        <w:rPr>
          <w:lang w:val="fr"/>
        </w:rPr>
        <w:t xml:space="preserve"> il a été demandé, entre autres, la soumission d’un rapport périodique sur la mise en œuvre du programme de travail associé à la tranche finale lors de la première réunion du Comité exécutif en 2022</w:t>
      </w:r>
      <w:bookmarkStart w:id="8" w:name="_Hlk103763950"/>
      <w:r>
        <w:rPr>
          <w:lang w:val="fr"/>
        </w:rPr>
        <w:t xml:space="preserve">, et des rapports détaillés sur les résultats des projets de démonstration et du programme incitatif aux utilisateurs finals </w:t>
      </w:r>
      <w:bookmarkEnd w:id="8"/>
      <w:r>
        <w:rPr>
          <w:lang w:val="fr"/>
        </w:rPr>
        <w:t>une fois ceux-ci terminés (décisions 84/84(d) et 85/22(a)).</w:t>
      </w:r>
    </w:p>
    <w:p w14:paraId="1993E792" w14:textId="77777777" w:rsidR="00963F10" w:rsidRPr="00594BB3" w:rsidRDefault="00963F10" w:rsidP="00963F10">
      <w:pPr>
        <w:pStyle w:val="Heading1"/>
        <w:rPr>
          <w:lang w:val="fr-FR"/>
        </w:rPr>
      </w:pPr>
      <w:r>
        <w:rPr>
          <w:lang w:val="fr"/>
        </w:rPr>
        <w:t>Conformément à ces décisions et au nom du gouvernement du Kirghizistan, le PNUD a soumis les rapports susnommés.</w:t>
      </w:r>
    </w:p>
    <w:p w14:paraId="5A2795FE" w14:textId="77777777" w:rsidR="00963F10" w:rsidRPr="00085F79" w:rsidRDefault="00963F10" w:rsidP="00963F10">
      <w:pPr>
        <w:rPr>
          <w:b/>
        </w:rPr>
      </w:pPr>
      <w:r>
        <w:rPr>
          <w:b/>
          <w:bCs/>
          <w:lang w:val="fr"/>
        </w:rPr>
        <w:t>Consommation de HCFC</w:t>
      </w:r>
    </w:p>
    <w:p w14:paraId="3BB215D4" w14:textId="77777777" w:rsidR="00963F10" w:rsidRPr="00085F79" w:rsidRDefault="00963F10" w:rsidP="00963F10"/>
    <w:p w14:paraId="39FC36B7" w14:textId="77777777" w:rsidR="00963F10" w:rsidRPr="00594BB3" w:rsidRDefault="00963F10" w:rsidP="00963F10">
      <w:pPr>
        <w:numPr>
          <w:ilvl w:val="0"/>
          <w:numId w:val="1"/>
        </w:numPr>
        <w:spacing w:after="240"/>
        <w:outlineLvl w:val="0"/>
        <w:rPr>
          <w:lang w:val="fr-FR"/>
        </w:rPr>
      </w:pPr>
      <w:r>
        <w:rPr>
          <w:lang w:val="fr"/>
        </w:rPr>
        <w:t>Le Gouvernement du Kirghizistan a indiqué, dans le rapport de mise en œuvre du programme de pays, une consommation de 0,00 tonne PAO de HCFC en 2021, ce qui est inférieur de 100 % à la valeur de référence pour les HCFC aux fins de conformité. Les données communiquées en vertu de l’article 7 pour l’année 2021 n’ont pas encore été transmises.</w:t>
      </w:r>
    </w:p>
    <w:p w14:paraId="1BCBD603" w14:textId="77777777" w:rsidR="00963F10" w:rsidRPr="00085F79" w:rsidRDefault="00963F10" w:rsidP="00963F10">
      <w:pPr>
        <w:keepNext/>
        <w:keepLines/>
        <w:spacing w:after="240"/>
        <w:rPr>
          <w:b/>
        </w:rPr>
      </w:pPr>
      <w:r>
        <w:rPr>
          <w:b/>
          <w:bCs/>
          <w:lang w:val="fr"/>
        </w:rPr>
        <w:t>Rapport périodique</w:t>
      </w:r>
    </w:p>
    <w:p w14:paraId="75DDE829" w14:textId="77777777" w:rsidR="00963F10" w:rsidRPr="00594BB3" w:rsidRDefault="00963F10" w:rsidP="00963F10">
      <w:pPr>
        <w:numPr>
          <w:ilvl w:val="0"/>
          <w:numId w:val="1"/>
        </w:numPr>
        <w:spacing w:after="240"/>
        <w:outlineLvl w:val="0"/>
        <w:rPr>
          <w:lang w:val="fr-FR"/>
        </w:rPr>
      </w:pPr>
      <w:r>
        <w:rPr>
          <w:lang w:val="fr"/>
        </w:rPr>
        <w:t>Dans le cadre juridique,</w:t>
      </w:r>
      <w:r>
        <w:rPr>
          <w:color w:val="000000" w:themeColor="text1"/>
          <w:lang w:val="fr"/>
        </w:rPr>
        <w:t xml:space="preserve"> un total cumulé de 3686 agents des douanes et personnel connexe, comprenant des agents des douanes, des agents des forces de l’ordre et des inspecteurs ont été formés dans le cadre de la phase II. De plus, le pays a développé et mis à jour des réglementations conformément aux exigences du protocole de Montréal et de l’Union économique eurasiatique (EAEU), comprenant :</w:t>
      </w:r>
    </w:p>
    <w:p w14:paraId="5D205A23" w14:textId="77777777" w:rsidR="00963F10" w:rsidRPr="00594BB3" w:rsidRDefault="00963F10" w:rsidP="00963F10">
      <w:pPr>
        <w:pStyle w:val="Heading2"/>
        <w:rPr>
          <w:lang w:val="fr-FR"/>
        </w:rPr>
      </w:pPr>
      <w:r>
        <w:rPr>
          <w:lang w:val="fr"/>
        </w:rPr>
        <w:t>L’introduction d’un système d’octroi de licences pour les importations et exportations de HFC ;</w:t>
      </w:r>
    </w:p>
    <w:p w14:paraId="3D2EEAA0" w14:textId="77777777" w:rsidR="00963F10" w:rsidRPr="00594BB3" w:rsidRDefault="00963F10" w:rsidP="00963F10">
      <w:pPr>
        <w:pStyle w:val="Heading2"/>
        <w:rPr>
          <w:lang w:val="fr-FR"/>
        </w:rPr>
      </w:pPr>
      <w:r>
        <w:rPr>
          <w:lang w:val="fr"/>
        </w:rPr>
        <w:t>L’adoption de la décision d’inclure les HFC dans la liste unifiée de biens auxquels des mesures réglementaires non tarifaires sont appliquées lors de leur commerce avec des pays hors EAEU </w:t>
      </w:r>
      <w:r>
        <w:rPr>
          <w:color w:val="000000" w:themeColor="text1"/>
          <w:lang w:val="fr"/>
        </w:rPr>
        <w:t>;</w:t>
      </w:r>
    </w:p>
    <w:p w14:paraId="4BEBC3E8" w14:textId="77777777" w:rsidR="00963F10" w:rsidRPr="00594BB3" w:rsidRDefault="00963F10" w:rsidP="00963F10">
      <w:pPr>
        <w:pStyle w:val="Heading2"/>
        <w:rPr>
          <w:lang w:val="fr-FR"/>
        </w:rPr>
      </w:pPr>
      <w:r>
        <w:rPr>
          <w:lang w:val="fr"/>
        </w:rPr>
        <w:t>Le développement d’un projet de réglementation sur les importations et exportations de SAO, de HFC et de produits contenant des SAO et des HFC ;</w:t>
      </w:r>
    </w:p>
    <w:p w14:paraId="2EC77592" w14:textId="77777777" w:rsidR="00963F10" w:rsidRPr="00594BB3" w:rsidRDefault="00963F10" w:rsidP="00963F10">
      <w:pPr>
        <w:pStyle w:val="Heading2"/>
        <w:rPr>
          <w:lang w:val="fr-FR"/>
        </w:rPr>
      </w:pPr>
      <w:r>
        <w:rPr>
          <w:lang w:val="fr"/>
        </w:rPr>
        <w:t>Le développement d’une norme de formation technique sur les systèmes de réfrigération et les pompes à chaleur portant sur la manipulation en sécurité des frigorigènes de substitution utilisés dans la certification des techniciens ;</w:t>
      </w:r>
    </w:p>
    <w:p w14:paraId="34F63729" w14:textId="77777777" w:rsidR="00963F10" w:rsidRPr="00594BB3" w:rsidRDefault="00963F10" w:rsidP="00963F10">
      <w:pPr>
        <w:pStyle w:val="Heading2"/>
        <w:rPr>
          <w:lang w:val="fr-FR"/>
        </w:rPr>
      </w:pPr>
      <w:r>
        <w:rPr>
          <w:lang w:val="fr"/>
        </w:rPr>
        <w:t>L’interdiction du commerce avec les pays n’ayant pas ratifié l’Amendement de Kigali, effectif à partir du 1er janvier 2033 ; et</w:t>
      </w:r>
    </w:p>
    <w:p w14:paraId="64AEE08E" w14:textId="77777777" w:rsidR="00963F10" w:rsidRPr="00594BB3" w:rsidRDefault="00963F10" w:rsidP="00963F10">
      <w:pPr>
        <w:pStyle w:val="Heading2"/>
        <w:rPr>
          <w:color w:val="000000" w:themeColor="text1"/>
          <w:lang w:val="fr-FR"/>
        </w:rPr>
      </w:pPr>
      <w:r>
        <w:rPr>
          <w:color w:val="000000" w:themeColor="text1"/>
          <w:lang w:val="fr"/>
        </w:rPr>
        <w:t xml:space="preserve">La ratification de l’Amendement de Kigali en septembre 2021. </w:t>
      </w:r>
    </w:p>
    <w:p w14:paraId="23E99E6D" w14:textId="77777777" w:rsidR="00963F10" w:rsidRPr="00594BB3" w:rsidRDefault="00963F10" w:rsidP="00963F10">
      <w:pPr>
        <w:numPr>
          <w:ilvl w:val="0"/>
          <w:numId w:val="1"/>
        </w:numPr>
        <w:spacing w:after="240"/>
        <w:outlineLvl w:val="0"/>
        <w:rPr>
          <w:lang w:val="fr-FR"/>
        </w:rPr>
      </w:pPr>
      <w:r>
        <w:rPr>
          <w:lang w:val="fr"/>
        </w:rPr>
        <w:t>Les activités suivantes ont été mises en œuvre dans le secteur de l’entretien :</w:t>
      </w:r>
    </w:p>
    <w:p w14:paraId="546F7238" w14:textId="2696F17E" w:rsidR="00963F10" w:rsidRPr="00594BB3" w:rsidRDefault="00963F10" w:rsidP="00963F10">
      <w:pPr>
        <w:pStyle w:val="Heading2"/>
        <w:spacing w:after="120"/>
        <w:rPr>
          <w:lang w:val="fr-FR"/>
        </w:rPr>
      </w:pPr>
      <w:r>
        <w:rPr>
          <w:lang w:val="fr"/>
        </w:rPr>
        <w:t>Fourniture de 56 </w:t>
      </w:r>
      <w:r w:rsidR="009B56C1">
        <w:rPr>
          <w:lang w:val="fr"/>
        </w:rPr>
        <w:t>trousses</w:t>
      </w:r>
      <w:r>
        <w:rPr>
          <w:lang w:val="fr"/>
        </w:rPr>
        <w:t xml:space="preserve"> d’équipement de formation (comprenant des pompes à vide, des manomètres, du matériel de soudure, des outils d’emboutissage, des coupe-tubes et des appareils à mandriner les tubes) et d’outils d’entretien distribués aux techniciens et aux centres de formation ; et de cinq </w:t>
      </w:r>
      <w:r w:rsidR="009B56C1">
        <w:rPr>
          <w:lang w:val="fr"/>
        </w:rPr>
        <w:t>trousses</w:t>
      </w:r>
      <w:r>
        <w:rPr>
          <w:lang w:val="fr"/>
        </w:rPr>
        <w:t xml:space="preserve"> d’équipement de récupération et de recyclage (comprenant une unité de récupération, une station de récupération, des pièces de rechange et des bonbonnes) distribués aux centres de recyclage et de récupération et à l’association nationale de réfrigération et de climatisation ;</w:t>
      </w:r>
    </w:p>
    <w:p w14:paraId="527DB824" w14:textId="77777777" w:rsidR="00963F10" w:rsidRPr="00594BB3" w:rsidRDefault="00963F10" w:rsidP="00963F10">
      <w:pPr>
        <w:pStyle w:val="Heading2"/>
        <w:spacing w:after="120"/>
        <w:rPr>
          <w:color w:val="000000" w:themeColor="text1"/>
          <w:lang w:val="fr-FR"/>
        </w:rPr>
      </w:pPr>
      <w:r>
        <w:rPr>
          <w:color w:val="000000" w:themeColor="text1"/>
          <w:lang w:val="fr"/>
        </w:rPr>
        <w:t>Finalisation d’un programme incitatif à destination des utilisateurs finals et fourniture d’équipements utilisant des substances à faible PRG aux utilisateurs finals ;</w:t>
      </w:r>
    </w:p>
    <w:p w14:paraId="3C0E2933" w14:textId="77777777" w:rsidR="00963F10" w:rsidRPr="00594BB3" w:rsidRDefault="00963F10" w:rsidP="00963F10">
      <w:pPr>
        <w:pStyle w:val="Heading2"/>
        <w:spacing w:after="120"/>
        <w:rPr>
          <w:lang w:val="fr-FR"/>
        </w:rPr>
      </w:pPr>
      <w:r>
        <w:rPr>
          <w:lang w:val="fr"/>
        </w:rPr>
        <w:t>Organisation de deux événements annuels de sensibilisation à destination des techniciens frigoristes et des utilisateurs finals afin de partager des informations sur le Protocole de Montréal, les bonnes pratiques d’entretien des équipements, les substances de remplacement à faible PRG, le système d’octroi de licences pour les HFC, les normes de rendement énergétique ainsi que les occasions d’améliorer l’efficacité des équipements de réfrigération et de climatisation ;</w:t>
      </w:r>
    </w:p>
    <w:p w14:paraId="064F677E" w14:textId="77777777" w:rsidR="00963F10" w:rsidRPr="00594BB3" w:rsidRDefault="00963F10" w:rsidP="00963F10">
      <w:pPr>
        <w:pStyle w:val="Heading2"/>
        <w:spacing w:after="120"/>
        <w:rPr>
          <w:color w:val="4A442A" w:themeColor="background2" w:themeShade="40"/>
          <w:lang w:val="fr-FR"/>
        </w:rPr>
      </w:pPr>
      <w:r>
        <w:rPr>
          <w:lang w:val="fr"/>
        </w:rPr>
        <w:t>Organisation de 30 ateliers réunissant 666 participants en 2020 et 2021, comprenant cinq ateliers pour les techniciens frigoristes et les utilisateurs finals portant sur l’élimination des HCFC et sur la récupération et le recyclage des frigorigènes ;</w:t>
      </w:r>
    </w:p>
    <w:p w14:paraId="2F41F7B5" w14:textId="77777777" w:rsidR="00963F10" w:rsidRPr="00594BB3" w:rsidRDefault="00963F10" w:rsidP="00963F10">
      <w:pPr>
        <w:pStyle w:val="Heading2"/>
        <w:rPr>
          <w:color w:val="4A442A" w:themeColor="background2" w:themeShade="40"/>
          <w:lang w:val="fr-FR"/>
        </w:rPr>
      </w:pPr>
      <w:r>
        <w:rPr>
          <w:lang w:val="fr"/>
        </w:rPr>
        <w:t>Formation de 1449 techniciens dans le cadre de la phase II, parmi lesquels 398 ont été certifiés ; et</w:t>
      </w:r>
    </w:p>
    <w:p w14:paraId="10C8B7AB" w14:textId="77777777" w:rsidR="00963F10" w:rsidRPr="00594BB3" w:rsidRDefault="00963F10" w:rsidP="00963F10">
      <w:pPr>
        <w:pStyle w:val="Heading2"/>
        <w:rPr>
          <w:rFonts w:eastAsia="Calibri"/>
          <w:lang w:val="fr-FR"/>
        </w:rPr>
      </w:pPr>
      <w:r>
        <w:rPr>
          <w:lang w:val="fr"/>
        </w:rPr>
        <w:t>Poursuite des activités de supervision du PGEH, comprenant la supervision de la récupération et du recyclage des frigorigènes. Un total de 20,8 tonnes métriques de CFC</w:t>
      </w:r>
      <w:r>
        <w:rPr>
          <w:lang w:val="fr"/>
        </w:rPr>
        <w:noBreakHyphen/>
        <w:t xml:space="preserve">12 et de 13,1 tonnes métriques de HCFC-22 a été récupéré durant la phase II. </w:t>
      </w:r>
    </w:p>
    <w:p w14:paraId="7F3AD796" w14:textId="77777777" w:rsidR="00963F10" w:rsidRPr="00594BB3" w:rsidRDefault="00963F10" w:rsidP="00963F10">
      <w:pPr>
        <w:rPr>
          <w:iCs/>
          <w:u w:val="single"/>
          <w:lang w:val="fr-FR"/>
        </w:rPr>
      </w:pPr>
      <w:r>
        <w:rPr>
          <w:u w:val="single"/>
          <w:lang w:val="fr"/>
        </w:rPr>
        <w:t>Programme incitatif à destination des utilisateurs finals</w:t>
      </w:r>
    </w:p>
    <w:p w14:paraId="0F6D85BD" w14:textId="77777777" w:rsidR="00963F10" w:rsidRPr="00594BB3" w:rsidRDefault="00963F10" w:rsidP="00963F10">
      <w:pPr>
        <w:rPr>
          <w:i/>
          <w:lang w:val="fr-FR"/>
        </w:rPr>
      </w:pPr>
    </w:p>
    <w:p w14:paraId="77B05B07" w14:textId="77777777" w:rsidR="00963F10" w:rsidRPr="00594BB3" w:rsidRDefault="00963F10" w:rsidP="00963F10">
      <w:pPr>
        <w:pStyle w:val="Heading1"/>
        <w:rPr>
          <w:lang w:val="fr-FR"/>
        </w:rPr>
      </w:pPr>
      <w:r>
        <w:rPr>
          <w:lang w:val="fr"/>
        </w:rPr>
        <w:t>Dans le cadre de la seconde tranche, le PNUD a prévu d’importer des composants clés et d’assembler in situ une ou deux chambres froides dans des installations commerciales utilisant des frigorigènes naturels comme l’ammoniac et le CO</w:t>
      </w:r>
      <w:r>
        <w:rPr>
          <w:vertAlign w:val="subscript"/>
          <w:lang w:val="fr"/>
        </w:rPr>
        <w:t>2</w:t>
      </w:r>
      <w:r>
        <w:rPr>
          <w:lang w:val="fr"/>
        </w:rPr>
        <w:t xml:space="preserve"> afin d’introduire la technologie sur le marché et de démontrer ses bénéfices. Cependant, les technologies à base d’ammoniac et de CO</w:t>
      </w:r>
      <w:r>
        <w:rPr>
          <w:vertAlign w:val="subscript"/>
          <w:lang w:val="fr"/>
        </w:rPr>
        <w:t>2</w:t>
      </w:r>
      <w:r>
        <w:rPr>
          <w:lang w:val="fr"/>
        </w:rPr>
        <w:t xml:space="preserve"> se sont avérées trop onéreuses pour le faible niveau d’investissement des utilisateurs finals du pays et le projet a été redirigé vers des équipements de réfrigération à plus petite échelle utilisant du R-290.</w:t>
      </w:r>
    </w:p>
    <w:p w14:paraId="43A124A9" w14:textId="77777777" w:rsidR="00963F10" w:rsidRPr="00594BB3" w:rsidRDefault="00963F10" w:rsidP="00963F10">
      <w:pPr>
        <w:pStyle w:val="Heading1"/>
        <w:rPr>
          <w:lang w:val="fr-FR"/>
        </w:rPr>
      </w:pPr>
      <w:r>
        <w:rPr>
          <w:lang w:val="fr"/>
        </w:rPr>
        <w:t>Cinq ateliers de sensibilisation ont été organisés auprès de propriétaires de magasins de détail, d’hôtels et d’autres organisations utilisant des équipements de réfrigération ; ces ateliers comprenaient aussi une formation sur la manipulation en sécurité des frigorigènes inflammables ainsi que sur les bonnes pratiques d’entretien. Douze utilisateurs finals intéressés ont été sélectionnés pour fournir au moins 50 % de cofinancement et promouvoir l’utilisation de la technologie auprès de leurs réseaux ; 30 unités de réfrigération utilisant du R-290 ont été achetés et installés chez ces utilisateurs finals.</w:t>
      </w:r>
    </w:p>
    <w:p w14:paraId="180850D2" w14:textId="77777777" w:rsidR="00963F10" w:rsidRPr="00594BB3" w:rsidRDefault="00963F10" w:rsidP="00963F10">
      <w:pPr>
        <w:pStyle w:val="Heading1"/>
        <w:rPr>
          <w:lang w:val="fr-FR"/>
        </w:rPr>
      </w:pPr>
      <w:r>
        <w:rPr>
          <w:lang w:val="fr"/>
        </w:rPr>
        <w:t>Pour promouvoir l’essor de cette technologie, des équipements utilisant du R-290 ont été montrés et le gouvernement du Kirghizistan a mis en vigueur une réglementation exigeant une certification nationale des spécialistes en réfrigération travaillant avec du HCFC, du HFC et des frigorigènes inflammables, ainsi que le renouvellement de cette certification par le biais de formation tous les deux ans. La certification est basée sur les compétences et suit la norme sur la formation technique nouvellement développée.</w:t>
      </w:r>
    </w:p>
    <w:p w14:paraId="12115192" w14:textId="77777777" w:rsidR="00963F10" w:rsidRPr="00085F79" w:rsidRDefault="00963F10" w:rsidP="00963F10">
      <w:pPr>
        <w:keepNext/>
        <w:rPr>
          <w:iCs/>
          <w:u w:val="single"/>
        </w:rPr>
      </w:pPr>
      <w:r>
        <w:rPr>
          <w:u w:val="single"/>
          <w:lang w:val="fr"/>
        </w:rPr>
        <w:t>Projets de démonstration</w:t>
      </w:r>
    </w:p>
    <w:p w14:paraId="3D731A3E" w14:textId="77777777" w:rsidR="00963F10" w:rsidRPr="00085F79" w:rsidRDefault="00963F10" w:rsidP="00963F10">
      <w:pPr>
        <w:keepNext/>
        <w:rPr>
          <w:i/>
        </w:rPr>
      </w:pPr>
    </w:p>
    <w:p w14:paraId="03C28BF4" w14:textId="6B196E8B" w:rsidR="00963F10" w:rsidRPr="00594BB3" w:rsidRDefault="00963F10" w:rsidP="00963F10">
      <w:pPr>
        <w:pStyle w:val="Heading1"/>
        <w:keepNext/>
        <w:rPr>
          <w:lang w:val="fr-FR"/>
        </w:rPr>
      </w:pPr>
      <w:r>
        <w:rPr>
          <w:lang w:val="fr"/>
        </w:rPr>
        <w:t xml:space="preserve">Six unités de réfrigération utilisant du R-290 et trois chambres isolantes connexes, ainsi que six vitrines frigorifiques utilisant des unités de réfrigération à base de R-290 vont être installées. Elles ont été achetées pour promouvoir la technologie à base de R-290. La fourniture de ces équipements était </w:t>
      </w:r>
      <w:r w:rsidR="00CA3C3F">
        <w:rPr>
          <w:lang w:val="fr"/>
        </w:rPr>
        <w:t>indépendante</w:t>
      </w:r>
      <w:r>
        <w:rPr>
          <w:lang w:val="fr"/>
        </w:rPr>
        <w:t xml:space="preserve"> du programme incitatif à destination des utilisateurs finals. </w:t>
      </w:r>
      <w:r w:rsidR="00CA3C3F">
        <w:rPr>
          <w:lang w:val="fr"/>
        </w:rPr>
        <w:t>Le Bureau national</w:t>
      </w:r>
      <w:r>
        <w:rPr>
          <w:lang w:val="fr"/>
        </w:rPr>
        <w:t xml:space="preserve"> de l’ozone a utilisé ces équipements lors de séminaires de formation à destination des utilisateurs finals et des techniciens frigoristes pour démontrer le fonctionnement des équipements dans différentes conditions météorologiques à travers le pays.</w:t>
      </w:r>
    </w:p>
    <w:p w14:paraId="597FB16F" w14:textId="77777777" w:rsidR="00963F10" w:rsidRPr="00594BB3" w:rsidRDefault="00963F10" w:rsidP="00963F10">
      <w:pPr>
        <w:pStyle w:val="Heading1"/>
        <w:rPr>
          <w:lang w:val="fr-FR"/>
        </w:rPr>
      </w:pPr>
      <w:r>
        <w:rPr>
          <w:lang w:val="fr"/>
        </w:rPr>
        <w:t>De plus, huit systèmes à refroidissement par une source naturelle</w:t>
      </w:r>
      <w:r>
        <w:rPr>
          <w:rStyle w:val="FootnoteReference"/>
          <w:lang w:val="fr"/>
        </w:rPr>
        <w:footnoteReference w:id="25"/>
      </w:r>
      <w:r>
        <w:rPr>
          <w:lang w:val="fr"/>
        </w:rPr>
        <w:t xml:space="preserve"> utilisant une technologie de contrôle intelligent ont été installés dans des stations de communication téléphonique qui utilisent des unités de climatisation à base de HCFC-22. Ces installations devaient démontrer les bénéfices de technologies d’une nature différente en réduisant la consommation d’énergie et l’utilisation d’équipements de climatisation, ce qui réduirait par conséquent la demande d’entretien des équipements de climatisation. </w:t>
      </w:r>
    </w:p>
    <w:p w14:paraId="12C6C618" w14:textId="77777777" w:rsidR="00963F10" w:rsidRPr="00085F79" w:rsidRDefault="00963F10" w:rsidP="00963F10">
      <w:pPr>
        <w:rPr>
          <w:rFonts w:eastAsia="SimSun"/>
          <w:iCs/>
          <w:u w:val="single"/>
        </w:rPr>
      </w:pPr>
      <w:r>
        <w:rPr>
          <w:rFonts w:eastAsia="SimSun"/>
          <w:u w:val="single"/>
          <w:lang w:val="fr"/>
        </w:rPr>
        <w:t>Niveau de décaissement des fonds</w:t>
      </w:r>
    </w:p>
    <w:p w14:paraId="6EAA473B" w14:textId="77777777" w:rsidR="00963F10" w:rsidRPr="00085F79" w:rsidRDefault="00963F10" w:rsidP="00963F10">
      <w:pPr>
        <w:rPr>
          <w:rFonts w:eastAsia="SimSun"/>
          <w:i/>
        </w:rPr>
      </w:pPr>
    </w:p>
    <w:p w14:paraId="157B8B56" w14:textId="77777777" w:rsidR="00963F10" w:rsidRPr="00594BB3" w:rsidRDefault="00963F10" w:rsidP="00963F10">
      <w:pPr>
        <w:numPr>
          <w:ilvl w:val="0"/>
          <w:numId w:val="1"/>
        </w:numPr>
        <w:spacing w:after="240"/>
        <w:outlineLvl w:val="0"/>
        <w:rPr>
          <w:lang w:val="fr-FR"/>
        </w:rPr>
      </w:pPr>
      <w:r>
        <w:rPr>
          <w:lang w:val="fr"/>
        </w:rPr>
        <w:t>En date de décembre 2021, 99,9 % des fonds ont été décaissés (399 496 $ US pour le PNUD et 312 000 $ US pour le PNUE). Le PNUD a confirmé que le projet serait achevé d’ici décembre 2021 et serait achevé financièrement d’ici décembre 2022.</w:t>
      </w:r>
    </w:p>
    <w:p w14:paraId="3F9D211B" w14:textId="77777777" w:rsidR="00963F10" w:rsidRPr="00594BB3" w:rsidRDefault="00963F10" w:rsidP="00963F10">
      <w:pPr>
        <w:keepNext/>
        <w:keepLines/>
        <w:spacing w:before="240" w:after="240"/>
        <w:outlineLvl w:val="0"/>
        <w:rPr>
          <w:rFonts w:eastAsiaTheme="minorEastAsia"/>
          <w:b/>
          <w:lang w:val="fr-FR"/>
        </w:rPr>
      </w:pPr>
      <w:r>
        <w:rPr>
          <w:rFonts w:eastAsiaTheme="minorEastAsia"/>
          <w:b/>
          <w:bCs/>
          <w:lang w:val="fr"/>
        </w:rPr>
        <w:t>Observations du Secrétariat</w:t>
      </w:r>
    </w:p>
    <w:p w14:paraId="0A0BF1DD" w14:textId="77777777" w:rsidR="00963F10" w:rsidRPr="00594BB3" w:rsidRDefault="00963F10" w:rsidP="00963F10">
      <w:pPr>
        <w:pStyle w:val="Heading1"/>
        <w:numPr>
          <w:ilvl w:val="0"/>
          <w:numId w:val="0"/>
        </w:numPr>
        <w:rPr>
          <w:rFonts w:eastAsia="SimSun"/>
          <w:iCs/>
          <w:color w:val="000000"/>
          <w:u w:val="single"/>
          <w:lang w:val="fr-FR"/>
        </w:rPr>
      </w:pPr>
      <w:r>
        <w:rPr>
          <w:rFonts w:eastAsia="SimSun"/>
          <w:color w:val="000000"/>
          <w:u w:val="single"/>
          <w:lang w:val="fr"/>
        </w:rPr>
        <w:t>Consommation de HCFC</w:t>
      </w:r>
    </w:p>
    <w:p w14:paraId="074A51BA" w14:textId="77777777" w:rsidR="00963F10" w:rsidRPr="00594BB3" w:rsidRDefault="00963F10" w:rsidP="00963F10">
      <w:pPr>
        <w:pStyle w:val="Heading1"/>
        <w:rPr>
          <w:rFonts w:eastAsia="SimSun"/>
          <w:color w:val="000000"/>
          <w:lang w:val="fr-FR"/>
        </w:rPr>
      </w:pPr>
      <w:r>
        <w:rPr>
          <w:rFonts w:eastAsia="SimSun"/>
          <w:color w:val="000000"/>
          <w:lang w:val="fr"/>
        </w:rPr>
        <w:t>Le gouvernement a émis ses quotas pour 2022 à un niveau de zéro tonne PAO, ce qui est inférieur à l’objectif de réglementation du Protocole de Montréal pour cette année et conforme aux objectifs spécifiés dans la ligne 1.2 de l’Accord (consommation maximale admissible) établi entre le pays et le Comité exécutif.</w:t>
      </w:r>
    </w:p>
    <w:p w14:paraId="492E0704" w14:textId="77777777" w:rsidR="00963F10" w:rsidRPr="00594BB3" w:rsidRDefault="00963F10" w:rsidP="00963F10">
      <w:pPr>
        <w:pStyle w:val="Heading1"/>
        <w:spacing w:after="0"/>
        <w:rPr>
          <w:lang w:val="fr-FR"/>
        </w:rPr>
      </w:pPr>
      <w:r>
        <w:rPr>
          <w:lang w:val="fr"/>
        </w:rPr>
        <w:t>Le Secrétariat a noté avec satisfaction que le PNUD a inclus dans son programme de travail pour 2022 une demande de financement du rapport de vérification de la consommation du Kirghizistan de 2019 à 2022, conformément à la décision 85/22(a).</w:t>
      </w:r>
    </w:p>
    <w:p w14:paraId="05CFF202" w14:textId="77777777" w:rsidR="00963F10" w:rsidRPr="00594BB3" w:rsidRDefault="00963F10" w:rsidP="00963F10">
      <w:pPr>
        <w:rPr>
          <w:rFonts w:eastAsia="SimSun"/>
          <w:lang w:val="fr-FR"/>
        </w:rPr>
      </w:pPr>
    </w:p>
    <w:p w14:paraId="1583EA21" w14:textId="77777777" w:rsidR="00963F10" w:rsidRPr="00594BB3" w:rsidRDefault="00963F10" w:rsidP="00963F10">
      <w:pPr>
        <w:keepNext/>
        <w:keepLines/>
        <w:spacing w:after="240"/>
        <w:outlineLvl w:val="0"/>
        <w:rPr>
          <w:iCs/>
          <w:color w:val="000000" w:themeColor="text1"/>
          <w:u w:val="single"/>
          <w:lang w:val="fr-FR"/>
        </w:rPr>
      </w:pPr>
      <w:r>
        <w:rPr>
          <w:color w:val="000000" w:themeColor="text1"/>
          <w:u w:val="single"/>
          <w:lang w:val="fr"/>
        </w:rPr>
        <w:t>Programme incitatif à destination des utilisateurs finals</w:t>
      </w:r>
    </w:p>
    <w:p w14:paraId="00B9BEB2" w14:textId="77777777" w:rsidR="00963F10" w:rsidRPr="00594BB3" w:rsidRDefault="00963F10" w:rsidP="00963F10">
      <w:pPr>
        <w:pStyle w:val="Heading1"/>
        <w:keepNext/>
        <w:keepLines/>
        <w:rPr>
          <w:lang w:val="fr-FR"/>
        </w:rPr>
      </w:pPr>
      <w:r>
        <w:rPr>
          <w:lang w:val="fr"/>
        </w:rPr>
        <w:t>Conformément aux décisions 84/84(d) et 85/22(a), le PNUD a communiqué un rapport détaillé concernant les résultats du programme incitatif à destination des utilisateurs finals au Kirghizistan. Le Secrétariat va préparer une fiche descriptive du programme et inclura les résultats du projet dans le document qu’il préparera pour la première réunion de 2023, conformément à la décision 84/84(e).</w:t>
      </w:r>
    </w:p>
    <w:p w14:paraId="70D569CF" w14:textId="77777777" w:rsidR="00963F10" w:rsidRPr="00085F79" w:rsidRDefault="00963F10" w:rsidP="00963F10">
      <w:pPr>
        <w:rPr>
          <w:iCs/>
          <w:u w:val="single"/>
        </w:rPr>
      </w:pPr>
      <w:r>
        <w:rPr>
          <w:u w:val="single"/>
          <w:lang w:val="fr"/>
        </w:rPr>
        <w:t>Projets de démonstration</w:t>
      </w:r>
    </w:p>
    <w:p w14:paraId="46491E6A" w14:textId="77777777" w:rsidR="00963F10" w:rsidRPr="00085F79" w:rsidRDefault="00963F10" w:rsidP="00963F10">
      <w:pPr>
        <w:rPr>
          <w:i/>
        </w:rPr>
      </w:pPr>
    </w:p>
    <w:p w14:paraId="7E20A364" w14:textId="3E886BA3" w:rsidR="00963F10" w:rsidRPr="00594BB3" w:rsidRDefault="00963F10" w:rsidP="00963F10">
      <w:pPr>
        <w:pStyle w:val="Heading1"/>
        <w:rPr>
          <w:lang w:val="fr-FR"/>
        </w:rPr>
      </w:pPr>
      <w:r>
        <w:rPr>
          <w:lang w:val="fr"/>
        </w:rPr>
        <w:t>Le Secrétariat a demandé des clarifications concernant l’appartenance des équipements de réfrigération utilisant du R-290 utilisés pour les projets de démonstration après l’achèvement de ces projets, ainsi que des informations sur les performances des équipements utilisant du R-290 par rapport aux équipements de référence utilisant du HCFC-22, du HFC-134a et du R-404a qui étaient majoritaires dans le pays.</w:t>
      </w:r>
      <w:r>
        <w:rPr>
          <w:rStyle w:val="FootnoteReference"/>
          <w:lang w:val="fr"/>
        </w:rPr>
        <w:footnoteReference w:id="26"/>
      </w:r>
      <w:r>
        <w:rPr>
          <w:lang w:val="fr"/>
        </w:rPr>
        <w:t xml:space="preserve"> Les unités de réfrigération utilisant du R-290 fournies dans le cadre des projets de démonstration ont été utilisées par </w:t>
      </w:r>
      <w:r w:rsidR="00CA3C3F">
        <w:rPr>
          <w:lang w:val="fr"/>
        </w:rPr>
        <w:t>le Bureau national de l’ozone</w:t>
      </w:r>
      <w:r>
        <w:rPr>
          <w:lang w:val="fr"/>
        </w:rPr>
        <w:t xml:space="preserve"> lors de séminaires de formation ; l’Association nationale de réfrigération et de climatisation prendra possession de ces équipements après trois ans de démonstration. Les six unités de réfrigération utilisant du R-290 ont été installées en 2021 et </w:t>
      </w:r>
      <w:r w:rsidR="00CA3C3F">
        <w:rPr>
          <w:lang w:val="fr"/>
        </w:rPr>
        <w:t>le Bureau national de l’ozone</w:t>
      </w:r>
      <w:r>
        <w:rPr>
          <w:lang w:val="fr"/>
        </w:rPr>
        <w:t xml:space="preserve"> a supervisé leurs performances ; jusqu’à présent, les unités ont démontré de bonnes performances, notamment des températures de réfrigération stables même dans des conditions météorologiques extrêmes ; il faudra plus de temps pour superviser leurs performances à long terme. Les vitrines frigorifiques utilisant du R-290 n’ont pas encore été installées chez les utilisateurs finals, car elles étaient utilisées à des fins de démonstration ; par conséquent, les informations sur leurs performances n’étaient pas encore disponibles. </w:t>
      </w:r>
    </w:p>
    <w:p w14:paraId="45294031" w14:textId="7C462289" w:rsidR="00963F10" w:rsidRPr="00594BB3" w:rsidRDefault="00963F10" w:rsidP="00963F10">
      <w:pPr>
        <w:pStyle w:val="Heading1"/>
        <w:rPr>
          <w:lang w:val="fr-FR"/>
        </w:rPr>
      </w:pPr>
      <w:r>
        <w:rPr>
          <w:lang w:val="fr"/>
        </w:rPr>
        <w:t xml:space="preserve">Les performances des systèmes à refroidissement par une source naturelle ont aussi été collectées. L’utilisation d’équipements à refroidissement par une source naturelle a réduit le besoin d’entretien des équipements de climatisation au niveau des stations de communications téléphoniques, notamment le besoin de recharger l’équipement en HCFC-22. Les données concernant la consommation d’énergie étaient toujours en cours de collecte. </w:t>
      </w:r>
      <w:r w:rsidR="00CA3C3F">
        <w:rPr>
          <w:lang w:val="fr"/>
        </w:rPr>
        <w:t xml:space="preserve">Le Bureau national de l’ozone </w:t>
      </w:r>
      <w:r>
        <w:rPr>
          <w:lang w:val="fr"/>
        </w:rPr>
        <w:t>supervisera l’utilisation de ces équipements pendant trois ans, après quoi l’opérateur téléphonique prendra possession de cet équipement. L</w:t>
      </w:r>
      <w:r w:rsidR="00CA3C3F">
        <w:rPr>
          <w:lang w:val="fr"/>
        </w:rPr>
        <w:t>e Bureau national de l’ozone</w:t>
      </w:r>
      <w:r>
        <w:rPr>
          <w:lang w:val="fr"/>
        </w:rPr>
        <w:t xml:space="preserve"> planifie d’organiser un atelier en 2024 pour diffuser les résultats de ce projet, notamment les données d’économies réalisées grâce aux réductions de consommation d’énergie.</w:t>
      </w:r>
    </w:p>
    <w:p w14:paraId="5A908439" w14:textId="77777777" w:rsidR="00963F10" w:rsidRPr="00594BB3" w:rsidRDefault="00963F10" w:rsidP="00963F10">
      <w:pPr>
        <w:pStyle w:val="Heading1"/>
        <w:numPr>
          <w:ilvl w:val="0"/>
          <w:numId w:val="0"/>
        </w:numPr>
        <w:rPr>
          <w:iCs/>
          <w:u w:val="single"/>
          <w:lang w:val="fr-FR"/>
        </w:rPr>
      </w:pPr>
      <w:r>
        <w:rPr>
          <w:u w:val="single"/>
          <w:lang w:val="fr"/>
        </w:rPr>
        <w:t>Adoption d’équipements utilisant du R-290</w:t>
      </w:r>
    </w:p>
    <w:p w14:paraId="752D522D" w14:textId="77777777" w:rsidR="00963F10" w:rsidRPr="00594BB3" w:rsidRDefault="00963F10" w:rsidP="00963F10">
      <w:pPr>
        <w:pStyle w:val="Heading1"/>
        <w:rPr>
          <w:lang w:val="fr-FR"/>
        </w:rPr>
      </w:pPr>
      <w:r>
        <w:rPr>
          <w:lang w:val="fr"/>
        </w:rPr>
        <w:t>Contenu du programme incitatif à destination des utilisateurs finals et des projets de démonstration utilisant du R-290, le Secrétariat a demandé si les utilisateurs finals avaient acheté des équipements utilisant du R-290 depuis l’achèvement du projet. Le PNUD a noté que bien qu’il y ait eu un essor substantiel des équipements de réfrigération autonomes d’une charge pouvant aller jusqu’à 100 g de R-290 dans le pays, et que les performances des plus gros équipements de réfrigération commerciale utilisant du R-290 ont été satisfaisantes jusqu’ici, les utilisateurs finals restent hésitants à adopter les technologies utilisant du R-290 pour les charges plus importantes requises par les entrepôts frigorifiques pour des raisons de sécurité. Ces inquiétudes devraient être apaisées au fur et à mesure de l’arrivée des résultats des projets de démonstration et grâce à la diffusion du programme incitatif à destination des utilisateurs finals.</w:t>
      </w:r>
    </w:p>
    <w:p w14:paraId="66B66F86" w14:textId="296F5560" w:rsidR="00963F10" w:rsidRPr="00085F79" w:rsidRDefault="00CA3C3F" w:rsidP="00963F10">
      <w:pPr>
        <w:spacing w:after="240"/>
        <w:outlineLvl w:val="0"/>
        <w:rPr>
          <w:rFonts w:eastAsiaTheme="minorEastAsia"/>
        </w:rPr>
      </w:pPr>
      <w:r>
        <w:rPr>
          <w:b/>
          <w:bCs/>
          <w:color w:val="000000" w:themeColor="text1"/>
          <w:lang w:val="fr"/>
        </w:rPr>
        <w:t>Recomma</w:t>
      </w:r>
      <w:r w:rsidR="00963F10">
        <w:rPr>
          <w:b/>
          <w:bCs/>
          <w:color w:val="000000" w:themeColor="text1"/>
          <w:lang w:val="fr"/>
        </w:rPr>
        <w:t>ndation</w:t>
      </w:r>
    </w:p>
    <w:p w14:paraId="7FE14629" w14:textId="77777777" w:rsidR="00963F10" w:rsidRPr="00594BB3" w:rsidRDefault="00963F10" w:rsidP="00963F10">
      <w:pPr>
        <w:pStyle w:val="Heading1"/>
        <w:rPr>
          <w:lang w:val="fr-FR"/>
        </w:rPr>
      </w:pPr>
      <w:r>
        <w:rPr>
          <w:lang w:val="fr"/>
        </w:rPr>
        <w:t>Le Comité exécutif pourrait souhaiter prendre note du rapport périodique sur la mise en œuvre du programme de travail de la dernière tranche de la phase II</w:t>
      </w:r>
      <w:r>
        <w:rPr>
          <w:color w:val="000000"/>
          <w:lang w:val="fr"/>
        </w:rPr>
        <w:t xml:space="preserve"> du plan de gestion de l’élimination des HCFC pour </w:t>
      </w:r>
      <w:r>
        <w:rPr>
          <w:lang w:val="fr"/>
        </w:rPr>
        <w:t>le Kirghizistan et des résultats du programme incitatif à destination des utilisateurs finals et des projets de démonstration au Kirghizistan,</w:t>
      </w:r>
      <w:r>
        <w:rPr>
          <w:color w:val="000000"/>
          <w:lang w:val="fr"/>
        </w:rPr>
        <w:t xml:space="preserve"> soumis par le PNUD</w:t>
      </w:r>
      <w:r>
        <w:rPr>
          <w:lang w:val="fr"/>
        </w:rPr>
        <w:t xml:space="preserve"> conformément aux décisions 84/84(d) et 85/22(a),</w:t>
      </w:r>
      <w:r>
        <w:rPr>
          <w:color w:val="000000"/>
          <w:lang w:val="fr"/>
        </w:rPr>
        <w:t xml:space="preserve"> et présenté dans le document UNEP/OzL.Pro/ExCom/90/9.</w:t>
      </w:r>
    </w:p>
    <w:p w14:paraId="004D94F9" w14:textId="77777777" w:rsidR="00963F10" w:rsidRPr="00594BB3" w:rsidRDefault="00963F10" w:rsidP="00963F10">
      <w:pPr>
        <w:keepNext/>
        <w:keepLines/>
        <w:spacing w:after="240"/>
        <w:rPr>
          <w:b/>
          <w:u w:val="single"/>
          <w:lang w:val="fr-FR"/>
        </w:rPr>
      </w:pPr>
      <w:r>
        <w:rPr>
          <w:b/>
          <w:bCs/>
          <w:u w:val="single"/>
          <w:lang w:val="fr"/>
        </w:rPr>
        <w:t>Oman Plan de gestion de l’élimination des HCFC (phase II - rapport périodique final)</w:t>
      </w:r>
      <w:r>
        <w:rPr>
          <w:b/>
          <w:bCs/>
          <w:lang w:val="fr"/>
        </w:rPr>
        <w:t xml:space="preserve"> (ONUDI et PNUE)</w:t>
      </w:r>
    </w:p>
    <w:p w14:paraId="3B58D485" w14:textId="77777777" w:rsidR="00963F10" w:rsidRPr="00085F79" w:rsidRDefault="00963F10" w:rsidP="00963F10">
      <w:pPr>
        <w:keepNext/>
        <w:keepLines/>
        <w:spacing w:after="240"/>
        <w:rPr>
          <w:b/>
        </w:rPr>
      </w:pPr>
      <w:r>
        <w:rPr>
          <w:b/>
          <w:bCs/>
          <w:lang w:val="fr"/>
        </w:rPr>
        <w:t>Contexte</w:t>
      </w:r>
    </w:p>
    <w:p w14:paraId="59DDD7C5" w14:textId="77777777" w:rsidR="00963F10" w:rsidRPr="00594BB3" w:rsidRDefault="00963F10" w:rsidP="00963F10">
      <w:pPr>
        <w:pStyle w:val="Heading1"/>
        <w:rPr>
          <w:lang w:val="fr-FR"/>
        </w:rPr>
      </w:pPr>
      <w:r>
        <w:rPr>
          <w:lang w:val="fr"/>
        </w:rPr>
        <w:t>Lors de la 75</w:t>
      </w:r>
      <w:r>
        <w:rPr>
          <w:vertAlign w:val="superscript"/>
          <w:lang w:val="fr"/>
        </w:rPr>
        <w:t>e</w:t>
      </w:r>
      <w:r>
        <w:rPr>
          <w:lang w:val="fr"/>
        </w:rPr>
        <w:t> réunion,</w:t>
      </w:r>
      <w:r>
        <w:rPr>
          <w:vertAlign w:val="superscript"/>
          <w:lang w:val="fr"/>
        </w:rPr>
        <w:footnoteReference w:id="27"/>
      </w:r>
      <w:r>
        <w:rPr>
          <w:lang w:val="fr"/>
        </w:rPr>
        <w:t xml:space="preserve"> le Comité exécutif a approuvé en principe la phase II du plan d’élimination des HCFC (PGEH) pour Oman, avec l’ONUDI comme agence d’exécution principale et le PNUE comme agence d’exécution de coopération, pour la période 2016-2020 pour un montant total de 485 000 $ US, plus les coûts d’appui d’agence, afin d’éliminer 5,32 tonnes PAO de HCFC utilisés dans le secteur de l’entretien des équipements de réfrigération et de climatisation et d’atteindre l’objectif de réduction de 35 % par rapport à la consommation de référence d’ici 2020. La troisième et dernière tranche a été approuvée lors de la 86</w:t>
      </w:r>
      <w:r>
        <w:rPr>
          <w:vertAlign w:val="superscript"/>
          <w:lang w:val="fr"/>
        </w:rPr>
        <w:t>e</w:t>
      </w:r>
      <w:r>
        <w:rPr>
          <w:lang w:val="fr"/>
        </w:rPr>
        <w:t> réunion.</w:t>
      </w:r>
      <w:r>
        <w:rPr>
          <w:vertAlign w:val="superscript"/>
          <w:lang w:val="fr"/>
        </w:rPr>
        <w:footnoteReference w:id="28"/>
      </w:r>
    </w:p>
    <w:p w14:paraId="2EAB868C" w14:textId="77777777" w:rsidR="00963F10" w:rsidRPr="00594BB3" w:rsidRDefault="00963F10" w:rsidP="00963F10">
      <w:pPr>
        <w:pStyle w:val="Heading1"/>
        <w:rPr>
          <w:lang w:val="fr-FR"/>
        </w:rPr>
      </w:pPr>
      <w:r>
        <w:rPr>
          <w:lang w:val="fr"/>
        </w:rPr>
        <w:t>L’ONUDI a présenté au nom du gouvernement d’Oman, le rapport périodique sur la mise en œuvre du programme de pays de la dernière tranche de la phase II, conformément à la décision 86/53(a).</w:t>
      </w:r>
    </w:p>
    <w:p w14:paraId="2F2B1DF1" w14:textId="77777777" w:rsidR="00CA3C3F" w:rsidRDefault="00CA3C3F" w:rsidP="00963F10">
      <w:pPr>
        <w:spacing w:after="120"/>
        <w:rPr>
          <w:b/>
          <w:bCs/>
          <w:lang w:val="fr"/>
        </w:rPr>
      </w:pPr>
    </w:p>
    <w:p w14:paraId="242866C4" w14:textId="77777777" w:rsidR="00CA3C3F" w:rsidRDefault="00CA3C3F" w:rsidP="00963F10">
      <w:pPr>
        <w:spacing w:after="120"/>
        <w:rPr>
          <w:b/>
          <w:bCs/>
          <w:lang w:val="fr"/>
        </w:rPr>
      </w:pPr>
    </w:p>
    <w:p w14:paraId="05556482" w14:textId="77777777" w:rsidR="00963F10" w:rsidRPr="00085F79" w:rsidRDefault="00963F10" w:rsidP="00963F10">
      <w:pPr>
        <w:spacing w:after="120"/>
      </w:pPr>
      <w:r>
        <w:rPr>
          <w:b/>
          <w:bCs/>
          <w:lang w:val="fr"/>
        </w:rPr>
        <w:t>Consommation de HCFC</w:t>
      </w:r>
    </w:p>
    <w:p w14:paraId="37FD72D1" w14:textId="77777777" w:rsidR="00963F10" w:rsidRPr="00594BB3" w:rsidRDefault="00963F10" w:rsidP="00963F10">
      <w:pPr>
        <w:numPr>
          <w:ilvl w:val="0"/>
          <w:numId w:val="1"/>
        </w:numPr>
        <w:spacing w:after="240"/>
        <w:outlineLvl w:val="0"/>
        <w:rPr>
          <w:lang w:val="fr-FR"/>
        </w:rPr>
      </w:pPr>
      <w:r>
        <w:rPr>
          <w:lang w:val="fr"/>
        </w:rPr>
        <w:t>Le gouvernement d’Oman a déclaré en vertu de l’article 7 du Protocole de Montréal une consommation de 14,85 tonnes PAO de HCFC en 2021, ce qui représente 53 pour cent de moins que la valeur de référence pour les HCFC aux fins de conformité. Ces données sont conformes aux données de consommation de HCFC déclarées dans le rapport de mise en œuvre du programme du pays en 2021.</w:t>
      </w:r>
    </w:p>
    <w:p w14:paraId="112AA07C" w14:textId="77777777" w:rsidR="00963F10" w:rsidRPr="00085F79" w:rsidRDefault="00963F10" w:rsidP="00963F10">
      <w:pPr>
        <w:keepNext/>
        <w:keepLines/>
        <w:spacing w:after="120"/>
        <w:rPr>
          <w:b/>
        </w:rPr>
      </w:pPr>
      <w:r>
        <w:rPr>
          <w:b/>
          <w:bCs/>
          <w:lang w:val="fr"/>
        </w:rPr>
        <w:t>Rapport périodique</w:t>
      </w:r>
    </w:p>
    <w:p w14:paraId="2B5B5F62" w14:textId="77777777" w:rsidR="00963F10" w:rsidRPr="00594BB3" w:rsidRDefault="00963F10" w:rsidP="00963F10">
      <w:pPr>
        <w:numPr>
          <w:ilvl w:val="0"/>
          <w:numId w:val="1"/>
        </w:numPr>
        <w:spacing w:after="120"/>
        <w:outlineLvl w:val="0"/>
        <w:rPr>
          <w:lang w:val="fr-FR"/>
        </w:rPr>
      </w:pPr>
      <w:r>
        <w:rPr>
          <w:lang w:val="fr"/>
        </w:rPr>
        <w:t>Les activités suivantes ont été mises en œuvre dans le secteur de l’entretien :</w:t>
      </w:r>
    </w:p>
    <w:p w14:paraId="6B66FE21" w14:textId="77777777" w:rsidR="00963F10" w:rsidRPr="00594BB3" w:rsidRDefault="00963F10" w:rsidP="00963F10">
      <w:pPr>
        <w:pStyle w:val="Heading2"/>
        <w:spacing w:after="120"/>
        <w:rPr>
          <w:lang w:val="fr-FR"/>
        </w:rPr>
      </w:pPr>
      <w:r>
        <w:rPr>
          <w:lang w:val="fr"/>
        </w:rPr>
        <w:t>Poursuite de l’organisation de réunions par le Comité national de l’ozone (NOC) afin de superviser et contrôler la mise en œuvre du PGEH, le fonctionnement du système d’octroi de licences et de quotas, et la mise à jour des normes pour faciliter l’essor des technologies de remplacement à faible potentiel de réchauffement global (PRG), notamment l’introduction d’équipement à rendement énergétique plus élevé, l’étiquetage et la manipulation en sécurité des frigorigènes inflammables et toxiques ;</w:t>
      </w:r>
    </w:p>
    <w:p w14:paraId="6930156C" w14:textId="77777777" w:rsidR="00963F10" w:rsidRPr="00594BB3" w:rsidRDefault="00963F10" w:rsidP="00963F10">
      <w:pPr>
        <w:pStyle w:val="Heading2"/>
        <w:rPr>
          <w:lang w:val="fr-FR"/>
        </w:rPr>
      </w:pPr>
      <w:r>
        <w:rPr>
          <w:lang w:val="fr"/>
        </w:rPr>
        <w:t>Achèvement d’un rapport technique évaluant les technologies à faible PRG dans le secteur de la pêche, et développement d’une vidéo de formation sur le sujet partagée avec les parties prenantes ; l’organisation d’un atelier en personne est planifiée pour octobre 2022 dans le cadre de la phase III ;</w:t>
      </w:r>
    </w:p>
    <w:p w14:paraId="74B2BD8D" w14:textId="77777777" w:rsidR="00963F10" w:rsidRPr="00594BB3" w:rsidRDefault="00963F10" w:rsidP="00963F10">
      <w:pPr>
        <w:pStyle w:val="Heading2"/>
        <w:rPr>
          <w:lang w:val="fr-FR"/>
        </w:rPr>
      </w:pPr>
      <w:r>
        <w:rPr>
          <w:lang w:val="fr"/>
        </w:rPr>
        <w:t>Poursuite du renforcement du réseau de récupération et de recyclage en fournissant à deux centres de collectes et à un laboratoire des outils et équipements (deux chromatographes en phase gazeuse, 10 unités de récupération de frigorigènes avec modules de recyclage, 20 bonbonnes de 50 lb et 100 bonbonnes de 30 lb) ;</w:t>
      </w:r>
    </w:p>
    <w:p w14:paraId="081ECAF4" w14:textId="77777777" w:rsidR="00963F10" w:rsidRPr="00594BB3" w:rsidRDefault="00963F10" w:rsidP="00963F10">
      <w:pPr>
        <w:pStyle w:val="Heading2"/>
        <w:rPr>
          <w:lang w:val="fr-FR"/>
        </w:rPr>
      </w:pPr>
      <w:r>
        <w:rPr>
          <w:lang w:val="fr"/>
        </w:rPr>
        <w:t xml:space="preserve">Organisation de deux formations en personne portant sur la chaîne logistique de récupération et sur l’équipement des centres de récupération auprès de 33 participants issus d’ateliers d’entretien ; </w:t>
      </w:r>
    </w:p>
    <w:p w14:paraId="205CA884" w14:textId="77777777" w:rsidR="00963F10" w:rsidRPr="00594BB3" w:rsidRDefault="00963F10" w:rsidP="00963F10">
      <w:pPr>
        <w:pStyle w:val="Heading2"/>
        <w:rPr>
          <w:lang w:val="fr-FR"/>
        </w:rPr>
      </w:pPr>
      <w:r>
        <w:rPr>
          <w:lang w:val="fr"/>
        </w:rPr>
        <w:t>Organisation d’une campagne ciblée de sensibilisation à destination du grand public, des parties prenantes et des utilisateurs finals sur les sujets afférents au Protocole de Montréal et au PGEH ;</w:t>
      </w:r>
    </w:p>
    <w:p w14:paraId="1DB99A6F" w14:textId="77777777" w:rsidR="00963F10" w:rsidRPr="00594BB3" w:rsidRDefault="00963F10" w:rsidP="00963F10">
      <w:pPr>
        <w:pStyle w:val="Heading2"/>
        <w:widowControl/>
        <w:rPr>
          <w:lang w:val="fr-FR"/>
        </w:rPr>
      </w:pPr>
      <w:r>
        <w:rPr>
          <w:lang w:val="fr"/>
        </w:rPr>
        <w:t>Un projet de mémorandum d’accord a été rédigé et plusieurs réunions ont eu lieu pour finaliser le plan de mise en œuvre d’un programme de certification des techniciens frigoristes, coordonné par le ministère du Travail ; le lancement de ce programme a été retardé et est prévu d’ici décembre 2022 ;</w:t>
      </w:r>
    </w:p>
    <w:p w14:paraId="74665CED" w14:textId="77777777" w:rsidR="00963F10" w:rsidRPr="00594BB3" w:rsidRDefault="00963F10" w:rsidP="00963F10">
      <w:pPr>
        <w:pStyle w:val="Heading2"/>
        <w:keepNext/>
        <w:keepLines/>
        <w:rPr>
          <w:lang w:val="fr-FR"/>
        </w:rPr>
      </w:pPr>
      <w:r>
        <w:rPr>
          <w:lang w:val="fr"/>
        </w:rPr>
        <w:t>Deux ateliers ont eu lieu, et 41 techniciens supplémentaires ont été formés à la gestion des frigorigènes et aux bonnes pratiques d’entretien des systèmes de réfrigération ; et</w:t>
      </w:r>
    </w:p>
    <w:p w14:paraId="1607F0AD" w14:textId="77777777" w:rsidR="00963F10" w:rsidRPr="00594BB3" w:rsidRDefault="00963F10" w:rsidP="00963F10">
      <w:pPr>
        <w:pStyle w:val="Heading2"/>
        <w:rPr>
          <w:lang w:val="fr-FR"/>
        </w:rPr>
      </w:pPr>
      <w:r>
        <w:rPr>
          <w:lang w:val="fr"/>
        </w:rPr>
        <w:t>Supervision des projets en cours et vérification de la mise en œuvre, comprenant notamment les rapports de vérification de consommation couvrant 2018 à 2020 et la supervision de la récupération et du recyclage des frigorigènes ; en 2021 et 2022, un total de 10,2 tm de frigorigènes a été récupéré et 9,2 tm ont été recyclées.</w:t>
      </w:r>
      <w:r>
        <w:rPr>
          <w:rStyle w:val="FootnoteReference"/>
          <w:rFonts w:eastAsia="Calibri"/>
          <w:lang w:val="fr"/>
        </w:rPr>
        <w:footnoteReference w:id="29"/>
      </w:r>
    </w:p>
    <w:p w14:paraId="047EDF96" w14:textId="77777777" w:rsidR="00CA3C3F" w:rsidRDefault="00CA3C3F" w:rsidP="00963F10">
      <w:pPr>
        <w:rPr>
          <w:rFonts w:eastAsia="SimSun"/>
          <w:b/>
          <w:bCs/>
          <w:lang w:val="fr"/>
        </w:rPr>
      </w:pPr>
    </w:p>
    <w:p w14:paraId="12541D31" w14:textId="77777777" w:rsidR="00CA3C3F" w:rsidRDefault="00CA3C3F" w:rsidP="00963F10">
      <w:pPr>
        <w:rPr>
          <w:rFonts w:eastAsia="SimSun"/>
          <w:b/>
          <w:bCs/>
          <w:lang w:val="fr"/>
        </w:rPr>
      </w:pPr>
    </w:p>
    <w:p w14:paraId="3FF08DE8" w14:textId="77777777" w:rsidR="00CA3C3F" w:rsidRDefault="00CA3C3F" w:rsidP="00963F10">
      <w:pPr>
        <w:rPr>
          <w:rFonts w:eastAsia="SimSun"/>
          <w:b/>
          <w:bCs/>
          <w:lang w:val="fr"/>
        </w:rPr>
      </w:pPr>
    </w:p>
    <w:p w14:paraId="49A8EAFF" w14:textId="77777777" w:rsidR="00963F10" w:rsidRPr="00CA3C3F" w:rsidRDefault="00963F10" w:rsidP="00963F10">
      <w:pPr>
        <w:rPr>
          <w:rFonts w:eastAsia="SimSun"/>
          <w:b/>
          <w:lang w:val="fr-CA"/>
        </w:rPr>
      </w:pPr>
      <w:r>
        <w:rPr>
          <w:rFonts w:eastAsia="SimSun"/>
          <w:b/>
          <w:bCs/>
          <w:lang w:val="fr"/>
        </w:rPr>
        <w:t>Niveau de décaissement des fonds</w:t>
      </w:r>
    </w:p>
    <w:p w14:paraId="704C23C8" w14:textId="77777777" w:rsidR="00963F10" w:rsidRPr="00CA3C3F" w:rsidRDefault="00963F10" w:rsidP="00963F10">
      <w:pPr>
        <w:rPr>
          <w:rFonts w:eastAsia="SimSun"/>
          <w:i/>
          <w:lang w:val="fr-CA"/>
        </w:rPr>
      </w:pPr>
    </w:p>
    <w:p w14:paraId="3405A61E" w14:textId="77777777" w:rsidR="00963F10" w:rsidRPr="00594BB3" w:rsidRDefault="00963F10" w:rsidP="00963F10">
      <w:pPr>
        <w:numPr>
          <w:ilvl w:val="0"/>
          <w:numId w:val="1"/>
        </w:numPr>
        <w:spacing w:after="240"/>
        <w:outlineLvl w:val="0"/>
        <w:rPr>
          <w:lang w:val="fr-FR"/>
        </w:rPr>
      </w:pPr>
      <w:r>
        <w:rPr>
          <w:lang w:val="fr"/>
        </w:rPr>
        <w:t xml:space="preserve">En date d’avril 2022, 91 pour cent des fonds ont été décaissés comme indiqué dans le tableau 6. L’ONUDI a confirmé que le projet serait achevé de manière opérationnelle d’ici le 31 décembre 2021 et serait financièrement terminé d’ici le 31 décembre 2022. </w:t>
      </w:r>
    </w:p>
    <w:p w14:paraId="57C2AD7B" w14:textId="77777777" w:rsidR="00963F10" w:rsidRPr="00594BB3" w:rsidRDefault="00963F10" w:rsidP="00963F10">
      <w:pPr>
        <w:rPr>
          <w:b/>
          <w:lang w:val="fr-FR"/>
        </w:rPr>
      </w:pPr>
      <w:r>
        <w:rPr>
          <w:b/>
          <w:bCs/>
          <w:lang w:val="fr"/>
        </w:rPr>
        <w:t>Tableau 6. Rapport financier de la phase II du PGEH pour Oman ($ US)</w:t>
      </w:r>
    </w:p>
    <w:tbl>
      <w:tblPr>
        <w:tblStyle w:val="TableGrid"/>
        <w:tblW w:w="5002"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24"/>
        <w:gridCol w:w="1002"/>
        <w:gridCol w:w="1004"/>
        <w:gridCol w:w="1005"/>
        <w:gridCol w:w="1005"/>
        <w:gridCol w:w="1003"/>
        <w:gridCol w:w="1005"/>
        <w:gridCol w:w="1005"/>
        <w:gridCol w:w="1001"/>
      </w:tblGrid>
      <w:tr w:rsidR="00963F10" w:rsidRPr="00085F79" w14:paraId="66CB6E9A" w14:textId="77777777" w:rsidTr="00963F10">
        <w:trPr>
          <w:tblHeader/>
        </w:trPr>
        <w:tc>
          <w:tcPr>
            <w:tcW w:w="708" w:type="pct"/>
            <w:vMerge w:val="restart"/>
            <w:tcMar>
              <w:left w:w="85" w:type="dxa"/>
              <w:right w:w="85" w:type="dxa"/>
            </w:tcMar>
            <w:vAlign w:val="center"/>
          </w:tcPr>
          <w:p w14:paraId="628626B1" w14:textId="77777777" w:rsidR="00963F10" w:rsidRPr="00085F79" w:rsidRDefault="00963F10" w:rsidP="00963F10">
            <w:pPr>
              <w:keepNext/>
              <w:jc w:val="center"/>
              <w:rPr>
                <w:b/>
                <w:sz w:val="19"/>
                <w:szCs w:val="19"/>
              </w:rPr>
            </w:pPr>
            <w:r>
              <w:rPr>
                <w:b/>
                <w:bCs/>
                <w:sz w:val="19"/>
                <w:szCs w:val="19"/>
                <w:lang w:val="fr"/>
              </w:rPr>
              <w:t>Agence</w:t>
            </w:r>
          </w:p>
        </w:tc>
        <w:tc>
          <w:tcPr>
            <w:tcW w:w="1073" w:type="pct"/>
            <w:gridSpan w:val="2"/>
            <w:tcMar>
              <w:left w:w="85" w:type="dxa"/>
              <w:right w:w="85" w:type="dxa"/>
            </w:tcMar>
            <w:vAlign w:val="center"/>
          </w:tcPr>
          <w:p w14:paraId="4F873A6D" w14:textId="77777777" w:rsidR="00963F10" w:rsidRPr="00085F79" w:rsidRDefault="00963F10" w:rsidP="00963F10">
            <w:pPr>
              <w:keepNext/>
              <w:jc w:val="center"/>
              <w:rPr>
                <w:b/>
                <w:sz w:val="19"/>
                <w:szCs w:val="19"/>
              </w:rPr>
            </w:pPr>
            <w:r>
              <w:rPr>
                <w:b/>
                <w:bCs/>
                <w:sz w:val="19"/>
                <w:szCs w:val="19"/>
                <w:lang w:val="fr"/>
              </w:rPr>
              <w:t>Première tranche</w:t>
            </w:r>
          </w:p>
        </w:tc>
        <w:tc>
          <w:tcPr>
            <w:tcW w:w="1073" w:type="pct"/>
            <w:gridSpan w:val="2"/>
            <w:tcMar>
              <w:left w:w="85" w:type="dxa"/>
              <w:right w:w="85" w:type="dxa"/>
            </w:tcMar>
            <w:vAlign w:val="center"/>
          </w:tcPr>
          <w:p w14:paraId="11D9578B" w14:textId="77777777" w:rsidR="00963F10" w:rsidRPr="00085F79" w:rsidRDefault="00963F10" w:rsidP="00963F10">
            <w:pPr>
              <w:keepNext/>
              <w:jc w:val="center"/>
              <w:rPr>
                <w:b/>
                <w:sz w:val="19"/>
                <w:szCs w:val="19"/>
              </w:rPr>
            </w:pPr>
            <w:r>
              <w:rPr>
                <w:b/>
                <w:bCs/>
                <w:sz w:val="19"/>
                <w:szCs w:val="19"/>
                <w:lang w:val="fr"/>
              </w:rPr>
              <w:t>Deuxième tranche</w:t>
            </w:r>
          </w:p>
        </w:tc>
        <w:tc>
          <w:tcPr>
            <w:tcW w:w="1073" w:type="pct"/>
            <w:gridSpan w:val="2"/>
            <w:tcMar>
              <w:left w:w="85" w:type="dxa"/>
              <w:right w:w="85" w:type="dxa"/>
            </w:tcMar>
            <w:vAlign w:val="center"/>
          </w:tcPr>
          <w:p w14:paraId="5A003135" w14:textId="77777777" w:rsidR="00963F10" w:rsidRPr="00085F79" w:rsidRDefault="00963F10" w:rsidP="00963F10">
            <w:pPr>
              <w:keepNext/>
              <w:jc w:val="center"/>
              <w:rPr>
                <w:b/>
                <w:sz w:val="19"/>
                <w:szCs w:val="19"/>
              </w:rPr>
            </w:pPr>
            <w:r>
              <w:rPr>
                <w:b/>
                <w:bCs/>
                <w:sz w:val="19"/>
                <w:szCs w:val="19"/>
                <w:lang w:val="fr"/>
              </w:rPr>
              <w:t>Troisième tranche</w:t>
            </w:r>
          </w:p>
        </w:tc>
        <w:tc>
          <w:tcPr>
            <w:tcW w:w="1073" w:type="pct"/>
            <w:gridSpan w:val="2"/>
            <w:tcMar>
              <w:left w:w="85" w:type="dxa"/>
              <w:right w:w="85" w:type="dxa"/>
            </w:tcMar>
            <w:vAlign w:val="center"/>
          </w:tcPr>
          <w:p w14:paraId="546CA38E" w14:textId="77777777" w:rsidR="00963F10" w:rsidRPr="00085F79" w:rsidRDefault="00963F10" w:rsidP="00963F10">
            <w:pPr>
              <w:keepNext/>
              <w:jc w:val="center"/>
              <w:rPr>
                <w:b/>
                <w:sz w:val="19"/>
                <w:szCs w:val="19"/>
              </w:rPr>
            </w:pPr>
            <w:r>
              <w:rPr>
                <w:b/>
                <w:bCs/>
                <w:sz w:val="19"/>
                <w:szCs w:val="19"/>
                <w:lang w:val="fr"/>
              </w:rPr>
              <w:t>Total</w:t>
            </w:r>
          </w:p>
        </w:tc>
      </w:tr>
      <w:tr w:rsidR="00963F10" w:rsidRPr="00085F79" w14:paraId="53EAF126" w14:textId="77777777" w:rsidTr="00963F10">
        <w:trPr>
          <w:tblHeader/>
        </w:trPr>
        <w:tc>
          <w:tcPr>
            <w:tcW w:w="708" w:type="pct"/>
            <w:vMerge/>
            <w:tcMar>
              <w:left w:w="85" w:type="dxa"/>
              <w:right w:w="85" w:type="dxa"/>
            </w:tcMar>
            <w:vAlign w:val="center"/>
          </w:tcPr>
          <w:p w14:paraId="255EF8FE" w14:textId="77777777" w:rsidR="00963F10" w:rsidRPr="00085F79" w:rsidRDefault="00963F10" w:rsidP="00963F10">
            <w:pPr>
              <w:keepNext/>
              <w:jc w:val="center"/>
              <w:rPr>
                <w:b/>
                <w:sz w:val="19"/>
                <w:szCs w:val="19"/>
              </w:rPr>
            </w:pPr>
          </w:p>
        </w:tc>
        <w:tc>
          <w:tcPr>
            <w:tcW w:w="536" w:type="pct"/>
            <w:tcMar>
              <w:left w:w="85" w:type="dxa"/>
              <w:right w:w="85" w:type="dxa"/>
            </w:tcMar>
            <w:vAlign w:val="center"/>
          </w:tcPr>
          <w:p w14:paraId="4782E318" w14:textId="77777777" w:rsidR="00963F10" w:rsidRPr="00085F79" w:rsidRDefault="00963F10" w:rsidP="00963F10">
            <w:pPr>
              <w:keepNext/>
              <w:jc w:val="center"/>
              <w:rPr>
                <w:b/>
                <w:sz w:val="19"/>
                <w:szCs w:val="19"/>
              </w:rPr>
            </w:pPr>
            <w:r>
              <w:rPr>
                <w:b/>
                <w:bCs/>
                <w:sz w:val="19"/>
                <w:szCs w:val="19"/>
                <w:lang w:val="fr"/>
              </w:rPr>
              <w:t>Approuvée</w:t>
            </w:r>
          </w:p>
        </w:tc>
        <w:tc>
          <w:tcPr>
            <w:tcW w:w="537" w:type="pct"/>
            <w:tcMar>
              <w:left w:w="85" w:type="dxa"/>
              <w:right w:w="85" w:type="dxa"/>
            </w:tcMar>
            <w:vAlign w:val="center"/>
          </w:tcPr>
          <w:p w14:paraId="034ED9C0" w14:textId="77777777" w:rsidR="00963F10" w:rsidRPr="00085F79" w:rsidRDefault="00963F10" w:rsidP="00963F10">
            <w:pPr>
              <w:keepNext/>
              <w:jc w:val="center"/>
              <w:rPr>
                <w:b/>
                <w:sz w:val="19"/>
                <w:szCs w:val="19"/>
              </w:rPr>
            </w:pPr>
            <w:r>
              <w:rPr>
                <w:b/>
                <w:bCs/>
                <w:sz w:val="19"/>
                <w:szCs w:val="19"/>
                <w:lang w:val="fr"/>
              </w:rPr>
              <w:t>Décaissée</w:t>
            </w:r>
          </w:p>
        </w:tc>
        <w:tc>
          <w:tcPr>
            <w:tcW w:w="537" w:type="pct"/>
            <w:tcMar>
              <w:left w:w="85" w:type="dxa"/>
              <w:right w:w="85" w:type="dxa"/>
            </w:tcMar>
            <w:vAlign w:val="center"/>
          </w:tcPr>
          <w:p w14:paraId="03045FEA" w14:textId="77777777" w:rsidR="00963F10" w:rsidRPr="00085F79" w:rsidRDefault="00963F10" w:rsidP="00963F10">
            <w:pPr>
              <w:keepNext/>
              <w:jc w:val="center"/>
              <w:rPr>
                <w:b/>
                <w:sz w:val="19"/>
                <w:szCs w:val="19"/>
              </w:rPr>
            </w:pPr>
            <w:r>
              <w:rPr>
                <w:b/>
                <w:bCs/>
                <w:sz w:val="19"/>
                <w:szCs w:val="19"/>
                <w:lang w:val="fr"/>
              </w:rPr>
              <w:t>Approuvée</w:t>
            </w:r>
          </w:p>
        </w:tc>
        <w:tc>
          <w:tcPr>
            <w:tcW w:w="537" w:type="pct"/>
            <w:tcMar>
              <w:left w:w="85" w:type="dxa"/>
              <w:right w:w="85" w:type="dxa"/>
            </w:tcMar>
            <w:vAlign w:val="center"/>
          </w:tcPr>
          <w:p w14:paraId="59E03A39" w14:textId="77777777" w:rsidR="00963F10" w:rsidRPr="00085F79" w:rsidRDefault="00963F10" w:rsidP="00963F10">
            <w:pPr>
              <w:keepNext/>
              <w:jc w:val="center"/>
              <w:rPr>
                <w:b/>
                <w:sz w:val="19"/>
                <w:szCs w:val="19"/>
              </w:rPr>
            </w:pPr>
            <w:r>
              <w:rPr>
                <w:b/>
                <w:bCs/>
                <w:sz w:val="19"/>
                <w:szCs w:val="19"/>
                <w:lang w:val="fr"/>
              </w:rPr>
              <w:t>Décaissée</w:t>
            </w:r>
          </w:p>
        </w:tc>
        <w:tc>
          <w:tcPr>
            <w:tcW w:w="536" w:type="pct"/>
            <w:tcMar>
              <w:left w:w="85" w:type="dxa"/>
              <w:right w:w="85" w:type="dxa"/>
            </w:tcMar>
            <w:vAlign w:val="center"/>
          </w:tcPr>
          <w:p w14:paraId="0A267F9C" w14:textId="77777777" w:rsidR="00963F10" w:rsidRPr="00085F79" w:rsidRDefault="00963F10" w:rsidP="00963F10">
            <w:pPr>
              <w:keepNext/>
              <w:jc w:val="center"/>
              <w:rPr>
                <w:b/>
                <w:sz w:val="19"/>
                <w:szCs w:val="19"/>
              </w:rPr>
            </w:pPr>
            <w:r>
              <w:rPr>
                <w:b/>
                <w:bCs/>
                <w:sz w:val="19"/>
                <w:szCs w:val="19"/>
                <w:lang w:val="fr"/>
              </w:rPr>
              <w:t>Approuvée</w:t>
            </w:r>
          </w:p>
        </w:tc>
        <w:tc>
          <w:tcPr>
            <w:tcW w:w="537" w:type="pct"/>
            <w:tcMar>
              <w:left w:w="85" w:type="dxa"/>
              <w:right w:w="85" w:type="dxa"/>
            </w:tcMar>
            <w:vAlign w:val="center"/>
          </w:tcPr>
          <w:p w14:paraId="01FA4CE2" w14:textId="77777777" w:rsidR="00963F10" w:rsidRPr="00085F79" w:rsidRDefault="00963F10" w:rsidP="00963F10">
            <w:pPr>
              <w:keepNext/>
              <w:jc w:val="center"/>
              <w:rPr>
                <w:b/>
                <w:sz w:val="19"/>
                <w:szCs w:val="19"/>
              </w:rPr>
            </w:pPr>
            <w:r>
              <w:rPr>
                <w:b/>
                <w:bCs/>
                <w:sz w:val="19"/>
                <w:szCs w:val="19"/>
                <w:lang w:val="fr"/>
              </w:rPr>
              <w:t>Décaissée</w:t>
            </w:r>
          </w:p>
        </w:tc>
        <w:tc>
          <w:tcPr>
            <w:tcW w:w="537" w:type="pct"/>
            <w:tcMar>
              <w:left w:w="85" w:type="dxa"/>
              <w:right w:w="85" w:type="dxa"/>
            </w:tcMar>
            <w:vAlign w:val="center"/>
          </w:tcPr>
          <w:p w14:paraId="7A6418F8" w14:textId="77777777" w:rsidR="00963F10" w:rsidRPr="00085F79" w:rsidRDefault="00963F10" w:rsidP="00963F10">
            <w:pPr>
              <w:keepNext/>
              <w:jc w:val="center"/>
              <w:rPr>
                <w:b/>
                <w:sz w:val="19"/>
                <w:szCs w:val="19"/>
              </w:rPr>
            </w:pPr>
            <w:r>
              <w:rPr>
                <w:b/>
                <w:bCs/>
                <w:sz w:val="19"/>
                <w:szCs w:val="19"/>
                <w:lang w:val="fr"/>
              </w:rPr>
              <w:t>Approuvée</w:t>
            </w:r>
          </w:p>
        </w:tc>
        <w:tc>
          <w:tcPr>
            <w:tcW w:w="537" w:type="pct"/>
            <w:tcMar>
              <w:left w:w="85" w:type="dxa"/>
              <w:right w:w="85" w:type="dxa"/>
            </w:tcMar>
            <w:vAlign w:val="center"/>
          </w:tcPr>
          <w:p w14:paraId="6D1EDC01" w14:textId="77777777" w:rsidR="00963F10" w:rsidRPr="00085F79" w:rsidRDefault="00963F10" w:rsidP="00963F10">
            <w:pPr>
              <w:keepNext/>
              <w:jc w:val="center"/>
              <w:rPr>
                <w:b/>
                <w:sz w:val="19"/>
                <w:szCs w:val="19"/>
              </w:rPr>
            </w:pPr>
            <w:r>
              <w:rPr>
                <w:b/>
                <w:bCs/>
                <w:sz w:val="19"/>
                <w:szCs w:val="19"/>
                <w:lang w:val="fr"/>
              </w:rPr>
              <w:t>Décaissée</w:t>
            </w:r>
          </w:p>
        </w:tc>
      </w:tr>
      <w:tr w:rsidR="00963F10" w:rsidRPr="00085F79" w14:paraId="703206C9" w14:textId="77777777" w:rsidTr="00963F10">
        <w:tc>
          <w:tcPr>
            <w:tcW w:w="708" w:type="pct"/>
            <w:tcMar>
              <w:left w:w="85" w:type="dxa"/>
              <w:right w:w="85" w:type="dxa"/>
            </w:tcMar>
            <w:vAlign w:val="center"/>
          </w:tcPr>
          <w:p w14:paraId="77321019" w14:textId="77777777" w:rsidR="00963F10" w:rsidRPr="00085F79" w:rsidRDefault="00963F10" w:rsidP="00963F10">
            <w:pPr>
              <w:jc w:val="left"/>
              <w:rPr>
                <w:sz w:val="19"/>
                <w:szCs w:val="19"/>
              </w:rPr>
            </w:pPr>
            <w:r>
              <w:rPr>
                <w:sz w:val="19"/>
                <w:szCs w:val="19"/>
                <w:lang w:val="fr"/>
              </w:rPr>
              <w:t>ONUDI</w:t>
            </w:r>
          </w:p>
        </w:tc>
        <w:tc>
          <w:tcPr>
            <w:tcW w:w="536" w:type="pct"/>
            <w:tcMar>
              <w:left w:w="85" w:type="dxa"/>
              <w:right w:w="85" w:type="dxa"/>
            </w:tcMar>
            <w:vAlign w:val="center"/>
          </w:tcPr>
          <w:p w14:paraId="56A0925B" w14:textId="77777777" w:rsidR="00963F10" w:rsidRPr="00085F79" w:rsidRDefault="00963F10" w:rsidP="00963F10">
            <w:pPr>
              <w:keepNext/>
              <w:jc w:val="right"/>
              <w:rPr>
                <w:sz w:val="19"/>
                <w:szCs w:val="19"/>
              </w:rPr>
            </w:pPr>
            <w:r>
              <w:rPr>
                <w:color w:val="000000"/>
                <w:sz w:val="19"/>
                <w:szCs w:val="19"/>
                <w:lang w:val="fr"/>
              </w:rPr>
              <w:t>215 000</w:t>
            </w:r>
          </w:p>
        </w:tc>
        <w:tc>
          <w:tcPr>
            <w:tcW w:w="537" w:type="pct"/>
            <w:tcMar>
              <w:left w:w="85" w:type="dxa"/>
              <w:right w:w="85" w:type="dxa"/>
            </w:tcMar>
            <w:vAlign w:val="center"/>
          </w:tcPr>
          <w:p w14:paraId="691B8FE3" w14:textId="77777777" w:rsidR="00963F10" w:rsidRPr="00085F79" w:rsidRDefault="00963F10" w:rsidP="00963F10">
            <w:pPr>
              <w:keepNext/>
              <w:jc w:val="right"/>
              <w:rPr>
                <w:sz w:val="19"/>
                <w:szCs w:val="19"/>
              </w:rPr>
            </w:pPr>
            <w:r>
              <w:rPr>
                <w:color w:val="000000"/>
                <w:sz w:val="19"/>
                <w:szCs w:val="19"/>
                <w:lang w:val="fr"/>
              </w:rPr>
              <w:t>214 443</w:t>
            </w:r>
          </w:p>
        </w:tc>
        <w:tc>
          <w:tcPr>
            <w:tcW w:w="537" w:type="pct"/>
            <w:tcMar>
              <w:left w:w="85" w:type="dxa"/>
              <w:right w:w="85" w:type="dxa"/>
            </w:tcMar>
            <w:vAlign w:val="center"/>
          </w:tcPr>
          <w:p w14:paraId="616BE7B5" w14:textId="77777777" w:rsidR="00963F10" w:rsidRPr="00085F79" w:rsidRDefault="00963F10" w:rsidP="00963F10">
            <w:pPr>
              <w:keepNext/>
              <w:jc w:val="right"/>
              <w:rPr>
                <w:sz w:val="19"/>
                <w:szCs w:val="19"/>
              </w:rPr>
            </w:pPr>
            <w:r>
              <w:rPr>
                <w:color w:val="000000"/>
                <w:sz w:val="19"/>
                <w:szCs w:val="19"/>
                <w:lang w:val="fr"/>
              </w:rPr>
              <w:t>50 000</w:t>
            </w:r>
          </w:p>
        </w:tc>
        <w:tc>
          <w:tcPr>
            <w:tcW w:w="537" w:type="pct"/>
            <w:tcMar>
              <w:left w:w="85" w:type="dxa"/>
              <w:right w:w="85" w:type="dxa"/>
            </w:tcMar>
            <w:vAlign w:val="center"/>
          </w:tcPr>
          <w:p w14:paraId="03A4E858" w14:textId="77777777" w:rsidR="00963F10" w:rsidRPr="00085F79" w:rsidRDefault="00963F10" w:rsidP="00963F10">
            <w:pPr>
              <w:keepNext/>
              <w:jc w:val="right"/>
              <w:rPr>
                <w:sz w:val="19"/>
                <w:szCs w:val="19"/>
              </w:rPr>
            </w:pPr>
            <w:r>
              <w:rPr>
                <w:color w:val="000000"/>
                <w:sz w:val="19"/>
                <w:szCs w:val="19"/>
                <w:lang w:val="fr"/>
              </w:rPr>
              <w:t>49 913</w:t>
            </w:r>
          </w:p>
        </w:tc>
        <w:tc>
          <w:tcPr>
            <w:tcW w:w="536" w:type="pct"/>
            <w:tcMar>
              <w:left w:w="85" w:type="dxa"/>
              <w:right w:w="85" w:type="dxa"/>
            </w:tcMar>
            <w:vAlign w:val="center"/>
          </w:tcPr>
          <w:p w14:paraId="6872266C" w14:textId="77777777" w:rsidR="00963F10" w:rsidRPr="00085F79" w:rsidRDefault="00963F10" w:rsidP="00963F10">
            <w:pPr>
              <w:keepNext/>
              <w:jc w:val="right"/>
              <w:rPr>
                <w:sz w:val="19"/>
                <w:szCs w:val="19"/>
              </w:rPr>
            </w:pPr>
            <w:r>
              <w:rPr>
                <w:color w:val="000000"/>
                <w:sz w:val="19"/>
                <w:szCs w:val="19"/>
                <w:lang w:val="fr"/>
              </w:rPr>
              <w:t>20 000</w:t>
            </w:r>
          </w:p>
        </w:tc>
        <w:tc>
          <w:tcPr>
            <w:tcW w:w="537" w:type="pct"/>
            <w:tcMar>
              <w:left w:w="85" w:type="dxa"/>
              <w:right w:w="85" w:type="dxa"/>
            </w:tcMar>
            <w:vAlign w:val="center"/>
          </w:tcPr>
          <w:p w14:paraId="7E38EEBF" w14:textId="77777777" w:rsidR="00963F10" w:rsidRPr="00085F79" w:rsidRDefault="00963F10" w:rsidP="00963F10">
            <w:pPr>
              <w:keepNext/>
              <w:jc w:val="right"/>
              <w:rPr>
                <w:sz w:val="19"/>
                <w:szCs w:val="19"/>
              </w:rPr>
            </w:pPr>
            <w:r>
              <w:rPr>
                <w:color w:val="000000"/>
                <w:sz w:val="19"/>
                <w:szCs w:val="19"/>
                <w:lang w:val="fr"/>
              </w:rPr>
              <w:t>19 336</w:t>
            </w:r>
          </w:p>
        </w:tc>
        <w:tc>
          <w:tcPr>
            <w:tcW w:w="537" w:type="pct"/>
            <w:tcMar>
              <w:left w:w="85" w:type="dxa"/>
              <w:right w:w="85" w:type="dxa"/>
            </w:tcMar>
            <w:vAlign w:val="center"/>
          </w:tcPr>
          <w:p w14:paraId="692C1CB4" w14:textId="77777777" w:rsidR="00963F10" w:rsidRPr="00085F79" w:rsidRDefault="00963F10" w:rsidP="00963F10">
            <w:pPr>
              <w:keepNext/>
              <w:jc w:val="right"/>
              <w:rPr>
                <w:sz w:val="19"/>
                <w:szCs w:val="19"/>
              </w:rPr>
            </w:pPr>
            <w:r>
              <w:rPr>
                <w:color w:val="000000"/>
                <w:sz w:val="19"/>
                <w:szCs w:val="19"/>
                <w:lang w:val="fr"/>
              </w:rPr>
              <w:t>285 000</w:t>
            </w:r>
          </w:p>
        </w:tc>
        <w:tc>
          <w:tcPr>
            <w:tcW w:w="537" w:type="pct"/>
            <w:tcMar>
              <w:left w:w="85" w:type="dxa"/>
              <w:right w:w="85" w:type="dxa"/>
            </w:tcMar>
            <w:vAlign w:val="center"/>
          </w:tcPr>
          <w:p w14:paraId="5C562764" w14:textId="77777777" w:rsidR="00963F10" w:rsidRPr="00085F79" w:rsidRDefault="00963F10" w:rsidP="00963F10">
            <w:pPr>
              <w:keepNext/>
              <w:jc w:val="right"/>
              <w:rPr>
                <w:sz w:val="19"/>
                <w:szCs w:val="19"/>
              </w:rPr>
            </w:pPr>
            <w:r>
              <w:rPr>
                <w:color w:val="000000"/>
                <w:sz w:val="19"/>
                <w:szCs w:val="19"/>
                <w:lang w:val="fr"/>
              </w:rPr>
              <w:t>283 692</w:t>
            </w:r>
          </w:p>
        </w:tc>
      </w:tr>
      <w:tr w:rsidR="00963F10" w:rsidRPr="00085F79" w14:paraId="68733E78" w14:textId="77777777" w:rsidTr="00963F10">
        <w:tc>
          <w:tcPr>
            <w:tcW w:w="708" w:type="pct"/>
            <w:tcMar>
              <w:left w:w="85" w:type="dxa"/>
              <w:right w:w="85" w:type="dxa"/>
            </w:tcMar>
            <w:vAlign w:val="center"/>
          </w:tcPr>
          <w:p w14:paraId="4A3B3698" w14:textId="77777777" w:rsidR="00963F10" w:rsidRPr="00085F79" w:rsidRDefault="00963F10" w:rsidP="00963F10">
            <w:pPr>
              <w:jc w:val="left"/>
              <w:rPr>
                <w:sz w:val="19"/>
                <w:szCs w:val="19"/>
              </w:rPr>
            </w:pPr>
            <w:r>
              <w:rPr>
                <w:sz w:val="19"/>
                <w:szCs w:val="19"/>
                <w:lang w:val="fr"/>
              </w:rPr>
              <w:t>PNUE</w:t>
            </w:r>
          </w:p>
        </w:tc>
        <w:tc>
          <w:tcPr>
            <w:tcW w:w="536" w:type="pct"/>
            <w:tcMar>
              <w:left w:w="85" w:type="dxa"/>
              <w:right w:w="85" w:type="dxa"/>
            </w:tcMar>
            <w:vAlign w:val="center"/>
          </w:tcPr>
          <w:p w14:paraId="5CAA3C82" w14:textId="77777777" w:rsidR="00963F10" w:rsidRPr="00085F79" w:rsidRDefault="00963F10" w:rsidP="00963F10">
            <w:pPr>
              <w:jc w:val="right"/>
              <w:rPr>
                <w:sz w:val="19"/>
                <w:szCs w:val="19"/>
              </w:rPr>
            </w:pPr>
            <w:r>
              <w:rPr>
                <w:color w:val="000000"/>
                <w:sz w:val="19"/>
                <w:szCs w:val="19"/>
                <w:lang w:val="fr"/>
              </w:rPr>
              <w:t>83 500</w:t>
            </w:r>
          </w:p>
        </w:tc>
        <w:tc>
          <w:tcPr>
            <w:tcW w:w="537" w:type="pct"/>
            <w:tcMar>
              <w:left w:w="85" w:type="dxa"/>
              <w:right w:w="85" w:type="dxa"/>
            </w:tcMar>
            <w:vAlign w:val="center"/>
          </w:tcPr>
          <w:p w14:paraId="09E03886" w14:textId="77777777" w:rsidR="00963F10" w:rsidRPr="00085F79" w:rsidRDefault="00963F10" w:rsidP="00963F10">
            <w:pPr>
              <w:jc w:val="right"/>
              <w:rPr>
                <w:sz w:val="19"/>
                <w:szCs w:val="19"/>
              </w:rPr>
            </w:pPr>
            <w:r>
              <w:rPr>
                <w:color w:val="000000"/>
                <w:sz w:val="19"/>
                <w:szCs w:val="19"/>
                <w:lang w:val="fr"/>
              </w:rPr>
              <w:t>83 500*</w:t>
            </w:r>
          </w:p>
        </w:tc>
        <w:tc>
          <w:tcPr>
            <w:tcW w:w="537" w:type="pct"/>
            <w:tcMar>
              <w:left w:w="85" w:type="dxa"/>
              <w:right w:w="85" w:type="dxa"/>
            </w:tcMar>
            <w:vAlign w:val="center"/>
          </w:tcPr>
          <w:p w14:paraId="79E5125E" w14:textId="77777777" w:rsidR="00963F10" w:rsidRPr="00085F79" w:rsidRDefault="00963F10" w:rsidP="00963F10">
            <w:pPr>
              <w:jc w:val="right"/>
              <w:rPr>
                <w:sz w:val="19"/>
                <w:szCs w:val="19"/>
              </w:rPr>
            </w:pPr>
            <w:r>
              <w:rPr>
                <w:color w:val="000000"/>
                <w:sz w:val="19"/>
                <w:szCs w:val="19"/>
                <w:lang w:val="fr"/>
              </w:rPr>
              <w:t>59 500</w:t>
            </w:r>
          </w:p>
        </w:tc>
        <w:tc>
          <w:tcPr>
            <w:tcW w:w="537" w:type="pct"/>
            <w:tcMar>
              <w:left w:w="85" w:type="dxa"/>
              <w:right w:w="85" w:type="dxa"/>
            </w:tcMar>
            <w:vAlign w:val="center"/>
          </w:tcPr>
          <w:p w14:paraId="63FE87FF" w14:textId="77777777" w:rsidR="00963F10" w:rsidRPr="00085F79" w:rsidRDefault="00963F10" w:rsidP="00963F10">
            <w:pPr>
              <w:jc w:val="right"/>
              <w:rPr>
                <w:sz w:val="19"/>
                <w:szCs w:val="19"/>
              </w:rPr>
            </w:pPr>
            <w:r>
              <w:rPr>
                <w:color w:val="000000"/>
                <w:sz w:val="19"/>
                <w:szCs w:val="19"/>
                <w:lang w:val="fr"/>
              </w:rPr>
              <w:t>54 550**</w:t>
            </w:r>
          </w:p>
        </w:tc>
        <w:tc>
          <w:tcPr>
            <w:tcW w:w="536" w:type="pct"/>
            <w:tcMar>
              <w:left w:w="85" w:type="dxa"/>
              <w:right w:w="85" w:type="dxa"/>
            </w:tcMar>
            <w:vAlign w:val="center"/>
          </w:tcPr>
          <w:p w14:paraId="36B4388C" w14:textId="77777777" w:rsidR="00963F10" w:rsidRPr="00085F79" w:rsidRDefault="00963F10" w:rsidP="00963F10">
            <w:pPr>
              <w:jc w:val="right"/>
              <w:rPr>
                <w:sz w:val="19"/>
                <w:szCs w:val="19"/>
              </w:rPr>
            </w:pPr>
            <w:r>
              <w:rPr>
                <w:color w:val="000000"/>
                <w:sz w:val="19"/>
                <w:szCs w:val="19"/>
                <w:lang w:val="fr"/>
              </w:rPr>
              <w:t>57 000</w:t>
            </w:r>
          </w:p>
        </w:tc>
        <w:tc>
          <w:tcPr>
            <w:tcW w:w="537" w:type="pct"/>
            <w:tcMar>
              <w:left w:w="85" w:type="dxa"/>
              <w:right w:w="85" w:type="dxa"/>
            </w:tcMar>
            <w:vAlign w:val="center"/>
          </w:tcPr>
          <w:p w14:paraId="3AEA36D0" w14:textId="77777777" w:rsidR="00963F10" w:rsidRPr="00085F79" w:rsidRDefault="00963F10" w:rsidP="00963F10">
            <w:pPr>
              <w:jc w:val="right"/>
              <w:rPr>
                <w:sz w:val="19"/>
                <w:szCs w:val="19"/>
              </w:rPr>
            </w:pPr>
            <w:r>
              <w:rPr>
                <w:color w:val="000000"/>
                <w:sz w:val="19"/>
                <w:szCs w:val="19"/>
                <w:lang w:val="fr"/>
              </w:rPr>
              <w:t>20 000**</w:t>
            </w:r>
          </w:p>
        </w:tc>
        <w:tc>
          <w:tcPr>
            <w:tcW w:w="537" w:type="pct"/>
            <w:tcMar>
              <w:left w:w="85" w:type="dxa"/>
              <w:right w:w="85" w:type="dxa"/>
            </w:tcMar>
            <w:vAlign w:val="center"/>
          </w:tcPr>
          <w:p w14:paraId="4645AF3D" w14:textId="77777777" w:rsidR="00963F10" w:rsidRPr="00085F79" w:rsidRDefault="00963F10" w:rsidP="00963F10">
            <w:pPr>
              <w:jc w:val="right"/>
              <w:rPr>
                <w:sz w:val="19"/>
                <w:szCs w:val="19"/>
              </w:rPr>
            </w:pPr>
            <w:r>
              <w:rPr>
                <w:color w:val="000000"/>
                <w:sz w:val="19"/>
                <w:szCs w:val="19"/>
                <w:lang w:val="fr"/>
              </w:rPr>
              <w:t>200 000</w:t>
            </w:r>
          </w:p>
        </w:tc>
        <w:tc>
          <w:tcPr>
            <w:tcW w:w="537" w:type="pct"/>
            <w:tcMar>
              <w:left w:w="85" w:type="dxa"/>
              <w:right w:w="85" w:type="dxa"/>
            </w:tcMar>
            <w:vAlign w:val="center"/>
          </w:tcPr>
          <w:p w14:paraId="7A60A3A7" w14:textId="77777777" w:rsidR="00963F10" w:rsidRPr="00085F79" w:rsidRDefault="00963F10" w:rsidP="00963F10">
            <w:pPr>
              <w:jc w:val="right"/>
              <w:rPr>
                <w:sz w:val="19"/>
                <w:szCs w:val="19"/>
              </w:rPr>
            </w:pPr>
            <w:r>
              <w:rPr>
                <w:sz w:val="19"/>
                <w:szCs w:val="19"/>
                <w:lang w:val="fr"/>
              </w:rPr>
              <w:t>158 050</w:t>
            </w:r>
          </w:p>
        </w:tc>
      </w:tr>
      <w:tr w:rsidR="00963F10" w:rsidRPr="00085F79" w14:paraId="08CA36AA" w14:textId="77777777" w:rsidTr="00963F10">
        <w:tc>
          <w:tcPr>
            <w:tcW w:w="708" w:type="pct"/>
            <w:tcMar>
              <w:left w:w="85" w:type="dxa"/>
              <w:right w:w="85" w:type="dxa"/>
            </w:tcMar>
            <w:vAlign w:val="center"/>
          </w:tcPr>
          <w:p w14:paraId="283064BA" w14:textId="77777777" w:rsidR="00963F10" w:rsidRPr="00085F79" w:rsidRDefault="00963F10" w:rsidP="00963F10">
            <w:pPr>
              <w:jc w:val="left"/>
              <w:rPr>
                <w:b/>
                <w:sz w:val="19"/>
                <w:szCs w:val="19"/>
              </w:rPr>
            </w:pPr>
            <w:r>
              <w:rPr>
                <w:b/>
                <w:bCs/>
                <w:sz w:val="19"/>
                <w:szCs w:val="19"/>
                <w:lang w:val="fr"/>
              </w:rPr>
              <w:t>Total</w:t>
            </w:r>
          </w:p>
        </w:tc>
        <w:tc>
          <w:tcPr>
            <w:tcW w:w="536" w:type="pct"/>
            <w:tcMar>
              <w:left w:w="85" w:type="dxa"/>
              <w:right w:w="85" w:type="dxa"/>
            </w:tcMar>
            <w:vAlign w:val="center"/>
          </w:tcPr>
          <w:p w14:paraId="6394F2F5" w14:textId="77777777" w:rsidR="00963F10" w:rsidRPr="00085F79" w:rsidRDefault="00963F10" w:rsidP="00963F10">
            <w:pPr>
              <w:jc w:val="right"/>
              <w:rPr>
                <w:b/>
                <w:sz w:val="19"/>
                <w:szCs w:val="19"/>
              </w:rPr>
            </w:pPr>
            <w:r>
              <w:rPr>
                <w:b/>
                <w:bCs/>
                <w:color w:val="000000"/>
                <w:sz w:val="19"/>
                <w:szCs w:val="19"/>
                <w:lang w:val="fr"/>
              </w:rPr>
              <w:t>298 500</w:t>
            </w:r>
          </w:p>
        </w:tc>
        <w:tc>
          <w:tcPr>
            <w:tcW w:w="537" w:type="pct"/>
            <w:tcMar>
              <w:left w:w="85" w:type="dxa"/>
              <w:right w:w="85" w:type="dxa"/>
            </w:tcMar>
            <w:vAlign w:val="center"/>
          </w:tcPr>
          <w:p w14:paraId="64399477" w14:textId="77777777" w:rsidR="00963F10" w:rsidRPr="00085F79" w:rsidRDefault="00963F10" w:rsidP="00963F10">
            <w:pPr>
              <w:jc w:val="right"/>
              <w:rPr>
                <w:b/>
                <w:sz w:val="19"/>
                <w:szCs w:val="19"/>
              </w:rPr>
            </w:pPr>
            <w:r>
              <w:rPr>
                <w:b/>
                <w:bCs/>
                <w:color w:val="000000"/>
                <w:sz w:val="19"/>
                <w:szCs w:val="19"/>
                <w:lang w:val="fr"/>
              </w:rPr>
              <w:t>297 943</w:t>
            </w:r>
          </w:p>
        </w:tc>
        <w:tc>
          <w:tcPr>
            <w:tcW w:w="537" w:type="pct"/>
            <w:tcMar>
              <w:left w:w="85" w:type="dxa"/>
              <w:right w:w="85" w:type="dxa"/>
            </w:tcMar>
            <w:vAlign w:val="center"/>
          </w:tcPr>
          <w:p w14:paraId="100195EA" w14:textId="77777777" w:rsidR="00963F10" w:rsidRPr="00085F79" w:rsidRDefault="00963F10" w:rsidP="00963F10">
            <w:pPr>
              <w:jc w:val="right"/>
              <w:rPr>
                <w:b/>
                <w:sz w:val="19"/>
                <w:szCs w:val="19"/>
              </w:rPr>
            </w:pPr>
            <w:r>
              <w:rPr>
                <w:b/>
                <w:bCs/>
                <w:color w:val="000000"/>
                <w:sz w:val="19"/>
                <w:szCs w:val="19"/>
                <w:lang w:val="fr"/>
              </w:rPr>
              <w:t>109 500</w:t>
            </w:r>
          </w:p>
        </w:tc>
        <w:tc>
          <w:tcPr>
            <w:tcW w:w="537" w:type="pct"/>
            <w:tcMar>
              <w:left w:w="85" w:type="dxa"/>
              <w:right w:w="85" w:type="dxa"/>
            </w:tcMar>
            <w:vAlign w:val="center"/>
          </w:tcPr>
          <w:p w14:paraId="27E0EF13" w14:textId="77777777" w:rsidR="00963F10" w:rsidRPr="00085F79" w:rsidRDefault="00963F10" w:rsidP="00963F10">
            <w:pPr>
              <w:jc w:val="right"/>
              <w:rPr>
                <w:b/>
                <w:sz w:val="19"/>
                <w:szCs w:val="19"/>
              </w:rPr>
            </w:pPr>
            <w:r>
              <w:rPr>
                <w:b/>
                <w:bCs/>
                <w:color w:val="000000"/>
                <w:sz w:val="19"/>
                <w:szCs w:val="19"/>
                <w:lang w:val="fr"/>
              </w:rPr>
              <w:t>104 463</w:t>
            </w:r>
          </w:p>
        </w:tc>
        <w:tc>
          <w:tcPr>
            <w:tcW w:w="536" w:type="pct"/>
            <w:tcMar>
              <w:left w:w="85" w:type="dxa"/>
              <w:right w:w="85" w:type="dxa"/>
            </w:tcMar>
            <w:vAlign w:val="center"/>
          </w:tcPr>
          <w:p w14:paraId="7B408729" w14:textId="77777777" w:rsidR="00963F10" w:rsidRPr="00085F79" w:rsidRDefault="00963F10" w:rsidP="00963F10">
            <w:pPr>
              <w:jc w:val="right"/>
              <w:rPr>
                <w:b/>
                <w:sz w:val="19"/>
                <w:szCs w:val="19"/>
              </w:rPr>
            </w:pPr>
            <w:r>
              <w:rPr>
                <w:b/>
                <w:bCs/>
                <w:color w:val="000000"/>
                <w:sz w:val="19"/>
                <w:szCs w:val="19"/>
                <w:lang w:val="fr"/>
              </w:rPr>
              <w:t>77 000</w:t>
            </w:r>
          </w:p>
        </w:tc>
        <w:tc>
          <w:tcPr>
            <w:tcW w:w="537" w:type="pct"/>
            <w:tcMar>
              <w:left w:w="85" w:type="dxa"/>
              <w:right w:w="85" w:type="dxa"/>
            </w:tcMar>
            <w:vAlign w:val="center"/>
          </w:tcPr>
          <w:p w14:paraId="758E393C" w14:textId="77777777" w:rsidR="00963F10" w:rsidRPr="00085F79" w:rsidRDefault="00963F10" w:rsidP="00963F10">
            <w:pPr>
              <w:jc w:val="right"/>
              <w:rPr>
                <w:b/>
                <w:sz w:val="19"/>
                <w:szCs w:val="19"/>
              </w:rPr>
            </w:pPr>
            <w:r>
              <w:rPr>
                <w:b/>
                <w:bCs/>
                <w:color w:val="000000"/>
                <w:sz w:val="19"/>
                <w:szCs w:val="19"/>
                <w:lang w:val="fr"/>
              </w:rPr>
              <w:t>39 336</w:t>
            </w:r>
          </w:p>
        </w:tc>
        <w:tc>
          <w:tcPr>
            <w:tcW w:w="537" w:type="pct"/>
            <w:tcMar>
              <w:left w:w="85" w:type="dxa"/>
              <w:right w:w="85" w:type="dxa"/>
            </w:tcMar>
            <w:vAlign w:val="center"/>
          </w:tcPr>
          <w:p w14:paraId="6C36B10C" w14:textId="77777777" w:rsidR="00963F10" w:rsidRPr="00085F79" w:rsidRDefault="00963F10" w:rsidP="00963F10">
            <w:pPr>
              <w:jc w:val="right"/>
              <w:rPr>
                <w:b/>
                <w:sz w:val="19"/>
                <w:szCs w:val="19"/>
              </w:rPr>
            </w:pPr>
            <w:r>
              <w:rPr>
                <w:b/>
                <w:bCs/>
                <w:color w:val="000000"/>
                <w:sz w:val="19"/>
                <w:szCs w:val="19"/>
                <w:lang w:val="fr"/>
              </w:rPr>
              <w:t>485 000</w:t>
            </w:r>
          </w:p>
        </w:tc>
        <w:tc>
          <w:tcPr>
            <w:tcW w:w="537" w:type="pct"/>
            <w:tcMar>
              <w:left w:w="85" w:type="dxa"/>
              <w:right w:w="85" w:type="dxa"/>
            </w:tcMar>
            <w:vAlign w:val="center"/>
          </w:tcPr>
          <w:p w14:paraId="09331C1D" w14:textId="77777777" w:rsidR="00963F10" w:rsidRPr="00085F79" w:rsidRDefault="00963F10" w:rsidP="00963F10">
            <w:pPr>
              <w:jc w:val="right"/>
              <w:rPr>
                <w:b/>
                <w:sz w:val="19"/>
                <w:szCs w:val="19"/>
              </w:rPr>
            </w:pPr>
            <w:r>
              <w:rPr>
                <w:b/>
                <w:bCs/>
                <w:sz w:val="19"/>
                <w:szCs w:val="19"/>
                <w:lang w:val="fr"/>
              </w:rPr>
              <w:t>441 742</w:t>
            </w:r>
          </w:p>
        </w:tc>
      </w:tr>
      <w:tr w:rsidR="00963F10" w:rsidRPr="00085F79" w14:paraId="2B2E6DC3" w14:textId="77777777" w:rsidTr="00963F10">
        <w:tc>
          <w:tcPr>
            <w:tcW w:w="708" w:type="pct"/>
            <w:tcMar>
              <w:left w:w="85" w:type="dxa"/>
              <w:right w:w="85" w:type="dxa"/>
            </w:tcMar>
            <w:vAlign w:val="center"/>
          </w:tcPr>
          <w:p w14:paraId="509FDF17" w14:textId="77777777" w:rsidR="00963F10" w:rsidRPr="00085F79" w:rsidRDefault="00963F10" w:rsidP="00963F10">
            <w:pPr>
              <w:jc w:val="left"/>
              <w:rPr>
                <w:b/>
                <w:sz w:val="19"/>
                <w:szCs w:val="19"/>
              </w:rPr>
            </w:pPr>
            <w:r>
              <w:rPr>
                <w:b/>
                <w:bCs/>
                <w:sz w:val="19"/>
                <w:szCs w:val="19"/>
                <w:lang w:val="fr"/>
              </w:rPr>
              <w:t>Taux de décaissement (%)</w:t>
            </w:r>
          </w:p>
        </w:tc>
        <w:tc>
          <w:tcPr>
            <w:tcW w:w="1073" w:type="pct"/>
            <w:gridSpan w:val="2"/>
            <w:tcMar>
              <w:left w:w="85" w:type="dxa"/>
              <w:right w:w="85" w:type="dxa"/>
            </w:tcMar>
            <w:vAlign w:val="center"/>
          </w:tcPr>
          <w:p w14:paraId="203E4C33" w14:textId="77777777" w:rsidR="00963F10" w:rsidRPr="00085F79" w:rsidRDefault="00963F10" w:rsidP="00963F10">
            <w:pPr>
              <w:jc w:val="center"/>
              <w:rPr>
                <w:b/>
                <w:sz w:val="19"/>
                <w:szCs w:val="19"/>
              </w:rPr>
            </w:pPr>
            <w:r>
              <w:rPr>
                <w:b/>
                <w:bCs/>
                <w:color w:val="000000"/>
                <w:sz w:val="19"/>
                <w:szCs w:val="19"/>
                <w:lang w:val="fr"/>
              </w:rPr>
              <w:t>100</w:t>
            </w:r>
          </w:p>
        </w:tc>
        <w:tc>
          <w:tcPr>
            <w:tcW w:w="1073" w:type="pct"/>
            <w:gridSpan w:val="2"/>
            <w:tcMar>
              <w:left w:w="85" w:type="dxa"/>
              <w:right w:w="85" w:type="dxa"/>
            </w:tcMar>
            <w:vAlign w:val="center"/>
          </w:tcPr>
          <w:p w14:paraId="10FE0803" w14:textId="77777777" w:rsidR="00963F10" w:rsidRPr="00085F79" w:rsidRDefault="00963F10" w:rsidP="00963F10">
            <w:pPr>
              <w:jc w:val="center"/>
              <w:rPr>
                <w:b/>
                <w:sz w:val="19"/>
                <w:szCs w:val="19"/>
              </w:rPr>
            </w:pPr>
            <w:r>
              <w:rPr>
                <w:b/>
                <w:bCs/>
                <w:color w:val="000000"/>
                <w:sz w:val="19"/>
                <w:szCs w:val="19"/>
                <w:lang w:val="fr"/>
              </w:rPr>
              <w:t>95</w:t>
            </w:r>
          </w:p>
        </w:tc>
        <w:tc>
          <w:tcPr>
            <w:tcW w:w="1073" w:type="pct"/>
            <w:gridSpan w:val="2"/>
            <w:tcMar>
              <w:left w:w="85" w:type="dxa"/>
              <w:right w:w="85" w:type="dxa"/>
            </w:tcMar>
            <w:vAlign w:val="center"/>
          </w:tcPr>
          <w:p w14:paraId="7C861980" w14:textId="77777777" w:rsidR="00963F10" w:rsidRPr="00085F79" w:rsidRDefault="00963F10" w:rsidP="00963F10">
            <w:pPr>
              <w:jc w:val="center"/>
              <w:rPr>
                <w:b/>
                <w:sz w:val="19"/>
                <w:szCs w:val="19"/>
              </w:rPr>
            </w:pPr>
            <w:r>
              <w:rPr>
                <w:b/>
                <w:bCs/>
                <w:color w:val="000000"/>
                <w:sz w:val="19"/>
                <w:szCs w:val="19"/>
                <w:lang w:val="fr"/>
              </w:rPr>
              <w:t>51</w:t>
            </w:r>
          </w:p>
        </w:tc>
        <w:tc>
          <w:tcPr>
            <w:tcW w:w="1073" w:type="pct"/>
            <w:gridSpan w:val="2"/>
            <w:tcMar>
              <w:left w:w="85" w:type="dxa"/>
              <w:right w:w="85" w:type="dxa"/>
            </w:tcMar>
            <w:vAlign w:val="center"/>
          </w:tcPr>
          <w:p w14:paraId="3F8D4F77" w14:textId="77777777" w:rsidR="00963F10" w:rsidRPr="00085F79" w:rsidRDefault="00963F10" w:rsidP="00963F10">
            <w:pPr>
              <w:jc w:val="center"/>
              <w:rPr>
                <w:b/>
                <w:sz w:val="19"/>
                <w:szCs w:val="19"/>
              </w:rPr>
            </w:pPr>
            <w:r>
              <w:rPr>
                <w:b/>
                <w:bCs/>
                <w:color w:val="000000"/>
                <w:sz w:val="19"/>
                <w:szCs w:val="19"/>
                <w:lang w:val="fr"/>
              </w:rPr>
              <w:t>91</w:t>
            </w:r>
          </w:p>
        </w:tc>
      </w:tr>
    </w:tbl>
    <w:p w14:paraId="2F358A0A" w14:textId="77777777" w:rsidR="00963F10" w:rsidRPr="00594BB3" w:rsidRDefault="00963F10" w:rsidP="00963F10">
      <w:pPr>
        <w:keepNext/>
        <w:keepLines/>
        <w:outlineLvl w:val="0"/>
        <w:rPr>
          <w:rFonts w:eastAsiaTheme="minorEastAsia"/>
          <w:bCs/>
          <w:sz w:val="16"/>
          <w:szCs w:val="16"/>
          <w:lang w:val="fr-FR"/>
        </w:rPr>
      </w:pPr>
      <w:r>
        <w:rPr>
          <w:rFonts w:eastAsiaTheme="minorEastAsia"/>
          <w:sz w:val="16"/>
          <w:szCs w:val="16"/>
          <w:lang w:val="fr"/>
        </w:rPr>
        <w:t>*Comprenant la restitution de 7846 $ US plus les coûts d’appui d’agence lors de la 84</w:t>
      </w:r>
      <w:r>
        <w:rPr>
          <w:rFonts w:eastAsiaTheme="minorEastAsia"/>
          <w:sz w:val="16"/>
          <w:szCs w:val="16"/>
          <w:vertAlign w:val="superscript"/>
          <w:lang w:val="fr"/>
        </w:rPr>
        <w:t>e</w:t>
      </w:r>
      <w:r>
        <w:rPr>
          <w:rFonts w:eastAsiaTheme="minorEastAsia"/>
          <w:sz w:val="16"/>
          <w:szCs w:val="16"/>
          <w:lang w:val="fr"/>
        </w:rPr>
        <w:t> réunion.</w:t>
      </w:r>
    </w:p>
    <w:p w14:paraId="33FD5DF3" w14:textId="77777777" w:rsidR="00963F10" w:rsidRPr="00594BB3" w:rsidRDefault="00963F10" w:rsidP="00963F10">
      <w:pPr>
        <w:keepNext/>
        <w:keepLines/>
        <w:outlineLvl w:val="0"/>
        <w:rPr>
          <w:rFonts w:eastAsiaTheme="minorEastAsia"/>
          <w:bCs/>
          <w:sz w:val="16"/>
          <w:szCs w:val="16"/>
          <w:lang w:val="fr-FR"/>
        </w:rPr>
      </w:pPr>
      <w:r>
        <w:rPr>
          <w:rFonts w:eastAsiaTheme="minorEastAsia"/>
          <w:sz w:val="16"/>
          <w:szCs w:val="16"/>
          <w:lang w:val="fr"/>
        </w:rPr>
        <w:t>**Un niveau de décaissement plus élevé avait été indiqué par erreur lors de la 88</w:t>
      </w:r>
      <w:r>
        <w:rPr>
          <w:rFonts w:eastAsiaTheme="minorEastAsia"/>
          <w:sz w:val="16"/>
          <w:szCs w:val="16"/>
          <w:vertAlign w:val="superscript"/>
          <w:lang w:val="fr"/>
        </w:rPr>
        <w:t>e</w:t>
      </w:r>
      <w:r>
        <w:rPr>
          <w:rFonts w:eastAsiaTheme="minorEastAsia"/>
          <w:sz w:val="16"/>
          <w:szCs w:val="16"/>
          <w:lang w:val="fr"/>
        </w:rPr>
        <w:t> réunion.</w:t>
      </w:r>
    </w:p>
    <w:p w14:paraId="1A0A1596" w14:textId="77777777" w:rsidR="00963F10" w:rsidRPr="00594BB3" w:rsidRDefault="00963F10" w:rsidP="00963F10">
      <w:pPr>
        <w:keepNext/>
        <w:keepLines/>
        <w:spacing w:before="240" w:after="240"/>
        <w:outlineLvl w:val="0"/>
        <w:rPr>
          <w:rFonts w:eastAsiaTheme="minorEastAsia"/>
          <w:b/>
          <w:lang w:val="fr-FR"/>
        </w:rPr>
      </w:pPr>
      <w:r>
        <w:rPr>
          <w:rFonts w:eastAsiaTheme="minorEastAsia"/>
          <w:b/>
          <w:bCs/>
          <w:lang w:val="fr"/>
        </w:rPr>
        <w:t>Observations du Secrétariat</w:t>
      </w:r>
    </w:p>
    <w:p w14:paraId="0FEADAF6" w14:textId="77777777" w:rsidR="00963F10" w:rsidRPr="00594BB3" w:rsidRDefault="00963F10" w:rsidP="00963F10">
      <w:pPr>
        <w:pStyle w:val="Heading1"/>
        <w:numPr>
          <w:ilvl w:val="0"/>
          <w:numId w:val="0"/>
        </w:numPr>
        <w:rPr>
          <w:rFonts w:eastAsia="SimSun"/>
          <w:iCs/>
          <w:color w:val="000000"/>
          <w:u w:val="single"/>
          <w:lang w:val="fr-FR"/>
        </w:rPr>
      </w:pPr>
      <w:r>
        <w:rPr>
          <w:rFonts w:eastAsia="SimSun"/>
          <w:color w:val="000000"/>
          <w:u w:val="single"/>
          <w:lang w:val="fr"/>
        </w:rPr>
        <w:t>Consommation de HCFC</w:t>
      </w:r>
    </w:p>
    <w:p w14:paraId="3FDEBD13" w14:textId="77777777" w:rsidR="00963F10" w:rsidRPr="00594BB3" w:rsidRDefault="00963F10" w:rsidP="00963F10">
      <w:pPr>
        <w:pStyle w:val="Heading1"/>
        <w:rPr>
          <w:rFonts w:eastAsia="SimSun"/>
          <w:color w:val="000000"/>
          <w:lang w:val="fr-FR"/>
        </w:rPr>
      </w:pPr>
      <w:r>
        <w:rPr>
          <w:rFonts w:eastAsia="SimSun"/>
          <w:color w:val="000000"/>
          <w:lang w:val="fr"/>
        </w:rPr>
        <w:t>Le gouvernement a émis ses quotas pour 2022 à un niveau de 14,33 tonnes PAO, ce qui est inférieur à l’objectif de réglementation du protocole de Montréal pour cette année et conforme aux objectifs spécifiés dans la ligne 1.2 de l’Accord (consommation maximale admissible) établi entre le pays et le Comité exécutif.</w:t>
      </w:r>
    </w:p>
    <w:p w14:paraId="5F085419" w14:textId="77777777" w:rsidR="00963F10" w:rsidRPr="00085F79" w:rsidRDefault="00963F10" w:rsidP="00963F10">
      <w:pPr>
        <w:keepNext/>
        <w:keepLines/>
        <w:spacing w:after="240"/>
        <w:rPr>
          <w:iCs/>
          <w:u w:val="single"/>
        </w:rPr>
      </w:pPr>
      <w:r>
        <w:rPr>
          <w:u w:val="single"/>
          <w:lang w:val="fr"/>
        </w:rPr>
        <w:t>Rapport périodique</w:t>
      </w:r>
    </w:p>
    <w:p w14:paraId="5D8F26E3" w14:textId="77777777" w:rsidR="00963F10" w:rsidRPr="00594BB3" w:rsidRDefault="00963F10" w:rsidP="00963F10">
      <w:pPr>
        <w:pStyle w:val="Heading1"/>
        <w:keepNext/>
        <w:rPr>
          <w:lang w:val="fr-FR"/>
        </w:rPr>
      </w:pPr>
      <w:r>
        <w:rPr>
          <w:lang w:val="fr"/>
        </w:rPr>
        <w:t>Lors de la 86</w:t>
      </w:r>
      <w:r>
        <w:rPr>
          <w:vertAlign w:val="superscript"/>
          <w:lang w:val="fr"/>
        </w:rPr>
        <w:t>e</w:t>
      </w:r>
      <w:r>
        <w:rPr>
          <w:lang w:val="fr"/>
        </w:rPr>
        <w:t xml:space="preserve"> réunion, il a été noté que le développement d’un plan d’activités pour le centre de récupération avait été retardé, car il fallait d’abord organiser des sessions de formation portant sur la récupération. L’ONUDI a clarifié que bien que les sessions aient été organisées début 2021, le développement du plan d’activités avait été de nouveau retardé, car il fallait réparer la machine de récupération du bénéficiaire. L’ONUDI prévoit de développer le plan d’activités d’ici début 2023 dans le cadre des activités de la première tranche de la phase III du PGEH. </w:t>
      </w:r>
    </w:p>
    <w:p w14:paraId="57D3AA34" w14:textId="77777777" w:rsidR="00963F10" w:rsidRPr="00594BB3" w:rsidRDefault="00963F10" w:rsidP="00963F10">
      <w:pPr>
        <w:pStyle w:val="Heading1"/>
        <w:keepNext/>
        <w:rPr>
          <w:lang w:val="fr-FR"/>
        </w:rPr>
      </w:pPr>
      <w:r>
        <w:rPr>
          <w:lang w:val="fr"/>
        </w:rPr>
        <w:t>De plus, lors de la 86</w:t>
      </w:r>
      <w:r>
        <w:rPr>
          <w:vertAlign w:val="superscript"/>
          <w:lang w:val="fr"/>
        </w:rPr>
        <w:t>e</w:t>
      </w:r>
      <w:r>
        <w:rPr>
          <w:lang w:val="fr"/>
        </w:rPr>
        <w:t> réunion, il a été noté que l’ONUDI inclurait les informations relatives à l’état de la mise en œuvre du journal de bord obligatoire afin d’enregistrer les fuites et les réparations et de la détection obligatoire des fuites de toutes les substances contrôlées dans les systèmes de réfrigération et de climatisation d’une charge supérieure à 3 kg, ainsi que de la mise en œuvre du programme de certification des techniciens frigoristes, comprenant le nombre de techniciens certifiés dans le cadre du PGEH, au sein du rapport périodique final à soumettre lors de la première réunion en 2022.</w:t>
      </w:r>
      <w:r>
        <w:rPr>
          <w:rStyle w:val="FootnoteReference"/>
          <w:lang w:val="fr"/>
        </w:rPr>
        <w:footnoteReference w:id="30"/>
      </w:r>
      <w:r>
        <w:rPr>
          <w:lang w:val="fr"/>
        </w:rPr>
        <w:t>Par conséquent, l’ONUDI a confirmé que toutes les principales entreprises de maintenance enregistrent désormais les fuites et les réparations dans un journal de bord et mettent en œuvre les procédures de test de détection des fuites. Comme indiqué lors de la 88</w:t>
      </w:r>
      <w:r>
        <w:rPr>
          <w:vertAlign w:val="superscript"/>
          <w:lang w:val="fr"/>
        </w:rPr>
        <w:t>e</w:t>
      </w:r>
      <w:r>
        <w:rPr>
          <w:lang w:val="fr"/>
        </w:rPr>
        <w:t xml:space="preserve"> réunion, le lancement du programme de certification des techniciens frigoristes a été retardé, car le gouvernement est en cours de restructuration, ce programme devrait être en place d’ici le 1er janvier 2022. Cependant, l’ONUDI a indiqué que la mise en œuvre du programme de certification avait été encore retardée, le programme devant désormais être lancé d’ici décembre 2022. </w:t>
      </w:r>
    </w:p>
    <w:p w14:paraId="6E3581A0" w14:textId="77777777" w:rsidR="00963F10" w:rsidRPr="00594BB3" w:rsidRDefault="00963F10" w:rsidP="00963F10">
      <w:pPr>
        <w:pStyle w:val="Heading1"/>
        <w:keepNext/>
        <w:rPr>
          <w:lang w:val="fr-FR"/>
        </w:rPr>
      </w:pPr>
      <w:r>
        <w:rPr>
          <w:lang w:val="fr"/>
        </w:rPr>
        <w:t>Lors de la 88</w:t>
      </w:r>
      <w:r>
        <w:rPr>
          <w:vertAlign w:val="superscript"/>
          <w:lang w:val="fr"/>
        </w:rPr>
        <w:t>e</w:t>
      </w:r>
      <w:r>
        <w:rPr>
          <w:lang w:val="fr"/>
        </w:rPr>
        <w:t> réunion, il a été noté que la formation en cours de 1000 techniciens (en plus des 200 déjà formés dans le cadre des première et deuxième tranches) a été retardée en raison de la pandémie de COVID-19 et qu’elle devrait être achevée d’ici décembre 2021 ; cependant seuls 41 techniciens supplémentaires ont pu être formés en raison du maintien des restrictions liées au COVID-19. La plupart des restrictions liées à la pandémie ont été levées en mars 2022 et le PNUE espère que la mise en œuvre des activités de formation pourra reprendre dans le cadre de la première tranche de la phase III. Le PNUE a confirmé que les montants économisés liés aux formations des techniciens n’ayant pas pu avoir lieu seraient restitués au Fonds multilatéral après clôture financière du projet en 2022.</w:t>
      </w:r>
    </w:p>
    <w:p w14:paraId="15BAD72E" w14:textId="563F2516" w:rsidR="00963F10" w:rsidRPr="00085F79" w:rsidRDefault="00963F10" w:rsidP="00963F10">
      <w:pPr>
        <w:spacing w:after="240"/>
        <w:outlineLvl w:val="0"/>
        <w:rPr>
          <w:rFonts w:eastAsiaTheme="minorEastAsia"/>
        </w:rPr>
      </w:pPr>
      <w:r>
        <w:rPr>
          <w:b/>
          <w:bCs/>
          <w:color w:val="000000" w:themeColor="text1"/>
          <w:lang w:val="fr"/>
        </w:rPr>
        <w:t>Recommandation</w:t>
      </w:r>
    </w:p>
    <w:p w14:paraId="53298C17" w14:textId="3BDDC386" w:rsidR="006A1EE7" w:rsidRPr="00963F10" w:rsidRDefault="00963F10" w:rsidP="00963F10">
      <w:pPr>
        <w:pStyle w:val="Heading1"/>
        <w:rPr>
          <w:rFonts w:eastAsia="SimSun"/>
          <w:color w:val="000000"/>
          <w:lang w:val="fr-CA"/>
        </w:rPr>
      </w:pPr>
      <w:r>
        <w:rPr>
          <w:color w:val="000000"/>
          <w:lang w:val="fr"/>
        </w:rPr>
        <w:t xml:space="preserve"> Le Comité exécutif pourrait souhaiter prendre note du rapport périodique</w:t>
      </w:r>
      <w:r>
        <w:rPr>
          <w:lang w:val="fr"/>
        </w:rPr>
        <w:t xml:space="preserve"> sur la mise en œuvre de la dernière tranche de la phase II</w:t>
      </w:r>
      <w:r>
        <w:rPr>
          <w:color w:val="000000"/>
          <w:lang w:val="fr"/>
        </w:rPr>
        <w:t xml:space="preserve"> du plan de gestion de l’élimination des HCFC pour Oman, soumis par l’ONUDI</w:t>
      </w:r>
      <w:r>
        <w:rPr>
          <w:lang w:val="fr"/>
        </w:rPr>
        <w:t xml:space="preserve"> conformément à la décision 86/53(a)</w:t>
      </w:r>
      <w:r>
        <w:rPr>
          <w:color w:val="000000"/>
          <w:lang w:val="fr"/>
        </w:rPr>
        <w:t>et présenté dans le document UNEP/OzL.Pro/ExCom/90/9.</w:t>
      </w:r>
    </w:p>
    <w:p w14:paraId="10791FFA" w14:textId="77777777" w:rsidR="00963F10" w:rsidRPr="00724583" w:rsidRDefault="00963F10" w:rsidP="00963F10">
      <w:pPr>
        <w:rPr>
          <w:b/>
          <w:u w:val="single"/>
          <w:lang w:val="fr-CA"/>
        </w:rPr>
      </w:pPr>
      <w:r w:rsidRPr="00724583">
        <w:rPr>
          <w:b/>
          <w:u w:val="single"/>
          <w:lang w:val="fr-CA"/>
        </w:rPr>
        <w:t>Philippines</w:t>
      </w:r>
      <w:r>
        <w:rPr>
          <w:b/>
          <w:u w:val="single"/>
          <w:lang w:val="fr-CA"/>
        </w:rPr>
        <w:t> </w:t>
      </w:r>
      <w:r w:rsidRPr="00724583">
        <w:rPr>
          <w:b/>
          <w:u w:val="single"/>
          <w:lang w:val="fr-CA"/>
        </w:rPr>
        <w:t>: Plan de gestion de l'élimination des HCFC (phase II - rapport périodique et demande de prolongation de la date d'achèvement) (ONUDI)</w:t>
      </w:r>
    </w:p>
    <w:p w14:paraId="68C96274" w14:textId="77777777" w:rsidR="00963F10" w:rsidRPr="00963F10" w:rsidRDefault="00963F10" w:rsidP="00963F10">
      <w:pPr>
        <w:keepNext/>
        <w:keepLines/>
        <w:rPr>
          <w:lang w:val="fr-CA"/>
        </w:rPr>
      </w:pPr>
    </w:p>
    <w:p w14:paraId="10D2F29B" w14:textId="77777777" w:rsidR="00963F10" w:rsidRPr="00CA3C3F" w:rsidRDefault="00963F10" w:rsidP="00963F10">
      <w:pPr>
        <w:keepNext/>
        <w:keepLines/>
        <w:rPr>
          <w:b/>
          <w:u w:val="single"/>
          <w:lang w:val="fr-CA"/>
        </w:rPr>
      </w:pPr>
      <w:r w:rsidRPr="00CA3C3F">
        <w:rPr>
          <w:b/>
          <w:lang w:val="fr-CA"/>
        </w:rPr>
        <w:t>Contexte</w:t>
      </w:r>
    </w:p>
    <w:p w14:paraId="07B1DE75" w14:textId="77777777" w:rsidR="00963F10" w:rsidRPr="00085F79" w:rsidRDefault="00963F10" w:rsidP="00963F10">
      <w:pPr>
        <w:keepNext/>
        <w:keepLines/>
        <w:rPr>
          <w:u w:val="single"/>
        </w:rPr>
      </w:pPr>
    </w:p>
    <w:p w14:paraId="4DAFE02E" w14:textId="77777777" w:rsidR="00963F10" w:rsidRPr="001A773B" w:rsidRDefault="00963F10" w:rsidP="00963F10">
      <w:pPr>
        <w:pStyle w:val="Heading1"/>
        <w:rPr>
          <w:lang w:val="fr-CA"/>
        </w:rPr>
      </w:pPr>
      <w:r>
        <w:rPr>
          <w:lang w:val="fr-CA"/>
        </w:rPr>
        <w:t>L</w:t>
      </w:r>
      <w:r w:rsidRPr="001A773B">
        <w:rPr>
          <w:lang w:val="fr-CA"/>
        </w:rPr>
        <w:t xml:space="preserve">e Comité exécutif </w:t>
      </w:r>
      <w:r>
        <w:rPr>
          <w:lang w:val="fr-CA"/>
        </w:rPr>
        <w:t>à sa 87</w:t>
      </w:r>
      <w:r w:rsidRPr="001A773B">
        <w:rPr>
          <w:vertAlign w:val="superscript"/>
          <w:lang w:val="fr-CA"/>
        </w:rPr>
        <w:t>e</w:t>
      </w:r>
      <w:r>
        <w:rPr>
          <w:lang w:val="fr-CA"/>
        </w:rPr>
        <w:t> réunion a</w:t>
      </w:r>
      <w:r w:rsidRPr="001A773B">
        <w:rPr>
          <w:lang w:val="fr-CA"/>
        </w:rPr>
        <w:t xml:space="preserve">, entre </w:t>
      </w:r>
      <w:r>
        <w:rPr>
          <w:lang w:val="fr-CA"/>
        </w:rPr>
        <w:t>autres, approuvé la demande du g</w:t>
      </w:r>
      <w:r w:rsidRPr="001A773B">
        <w:rPr>
          <w:lang w:val="fr-CA"/>
        </w:rPr>
        <w:t>ouvernement des Philippines</w:t>
      </w:r>
      <w:r>
        <w:rPr>
          <w:lang w:val="fr-CA"/>
        </w:rPr>
        <w:t xml:space="preserve"> de retirer</w:t>
      </w:r>
      <w:r w:rsidRPr="001A773B">
        <w:rPr>
          <w:lang w:val="fr-CA"/>
        </w:rPr>
        <w:t xml:space="preserve">, par l'intermédiaire de l'ONUDI </w:t>
      </w:r>
      <w:r>
        <w:rPr>
          <w:lang w:val="fr-CA"/>
        </w:rPr>
        <w:t>à titre d</w:t>
      </w:r>
      <w:r w:rsidRPr="001A773B">
        <w:rPr>
          <w:lang w:val="fr-CA"/>
        </w:rPr>
        <w:t xml:space="preserve">'agence d'exécution désignée, le plan </w:t>
      </w:r>
      <w:r>
        <w:rPr>
          <w:lang w:val="fr-CA"/>
        </w:rPr>
        <w:t>du secteur de la</w:t>
      </w:r>
      <w:r w:rsidRPr="001A773B">
        <w:rPr>
          <w:lang w:val="fr-CA"/>
        </w:rPr>
        <w:t xml:space="preserve"> fabrication de climatiseurs initialement inclus dans la phase</w:t>
      </w:r>
      <w:r>
        <w:rPr>
          <w:lang w:val="fr-CA"/>
        </w:rPr>
        <w:t> </w:t>
      </w:r>
      <w:r w:rsidRPr="001A773B">
        <w:rPr>
          <w:lang w:val="fr-CA"/>
        </w:rPr>
        <w:t>II du plan de gestion de l'élimination des HCFC (PGEH) lors de la 80</w:t>
      </w:r>
      <w:r w:rsidRPr="001A773B">
        <w:rPr>
          <w:vertAlign w:val="superscript"/>
          <w:lang w:val="fr-CA"/>
        </w:rPr>
        <w:t>e</w:t>
      </w:r>
      <w:r>
        <w:rPr>
          <w:lang w:val="fr-CA"/>
        </w:rPr>
        <w:t> </w:t>
      </w:r>
      <w:r w:rsidRPr="001A773B">
        <w:rPr>
          <w:lang w:val="fr-CA"/>
        </w:rPr>
        <w:t>réunion et a approuvé un plan de mise en œuvre révisé pour les activités combinées des première, deuxième et troisième tranches dans le secteur de l'entretien et l'assistance technique dans le secteur de la fabrication de climatiseurs; demandé à l'ONUDI de restituer au Fonds multilatéral, lors de la 90</w:t>
      </w:r>
      <w:r w:rsidRPr="005D19FC">
        <w:rPr>
          <w:vertAlign w:val="superscript"/>
          <w:lang w:val="fr-CA"/>
        </w:rPr>
        <w:t>e</w:t>
      </w:r>
      <w:r>
        <w:rPr>
          <w:lang w:val="fr-CA"/>
        </w:rPr>
        <w:t> </w:t>
      </w:r>
      <w:r w:rsidRPr="001A773B">
        <w:rPr>
          <w:lang w:val="fr-CA"/>
        </w:rPr>
        <w:t>réunion, le montant de 212</w:t>
      </w:r>
      <w:r>
        <w:rPr>
          <w:lang w:val="fr-CA"/>
        </w:rPr>
        <w:t> </w:t>
      </w:r>
      <w:r w:rsidRPr="001A773B">
        <w:rPr>
          <w:lang w:val="fr-CA"/>
        </w:rPr>
        <w:t>152</w:t>
      </w:r>
      <w:r>
        <w:rPr>
          <w:lang w:val="fr-CA"/>
        </w:rPr>
        <w:t> </w:t>
      </w:r>
      <w:r w:rsidRPr="001A773B">
        <w:rPr>
          <w:lang w:val="fr-CA"/>
        </w:rPr>
        <w:t>$US approuvé dans le cadre de la première tranche de la phase</w:t>
      </w:r>
      <w:r>
        <w:rPr>
          <w:lang w:val="fr-CA"/>
        </w:rPr>
        <w:t> II du PGEH</w:t>
      </w:r>
      <w:r w:rsidRPr="001A773B">
        <w:rPr>
          <w:lang w:val="fr-CA"/>
        </w:rPr>
        <w:t xml:space="preserve">; et demandé en outre au gouvernement des Philippines et à l'ONUDI de </w:t>
      </w:r>
      <w:r>
        <w:rPr>
          <w:lang w:val="fr-CA"/>
        </w:rPr>
        <w:t xml:space="preserve">remettre </w:t>
      </w:r>
      <w:r w:rsidRPr="001A773B">
        <w:rPr>
          <w:lang w:val="fr-CA"/>
        </w:rPr>
        <w:t>des rapports périodiques annuels sur la mise en œuvre du programme de travail associé aux tranches combinées jusqu'à l'achèvement du projet, des rapports de vérification jusqu'à l'approbation de la phase</w:t>
      </w:r>
      <w:r>
        <w:rPr>
          <w:lang w:val="fr-CA"/>
        </w:rPr>
        <w:t> </w:t>
      </w:r>
      <w:r w:rsidRPr="001A773B">
        <w:rPr>
          <w:lang w:val="fr-CA"/>
        </w:rPr>
        <w:t>III, et le rapport d'achèvement du projet à la deuxième réunion en 2023 (décision</w:t>
      </w:r>
      <w:r>
        <w:rPr>
          <w:lang w:val="fr-CA"/>
        </w:rPr>
        <w:t> </w:t>
      </w:r>
      <w:r w:rsidRPr="001A773B">
        <w:rPr>
          <w:lang w:val="fr-CA"/>
        </w:rPr>
        <w:t>87/19).</w:t>
      </w:r>
    </w:p>
    <w:p w14:paraId="6F382EF5" w14:textId="77777777" w:rsidR="00963F10" w:rsidRPr="004E131E" w:rsidRDefault="00963F10" w:rsidP="00963F10">
      <w:pPr>
        <w:pStyle w:val="Heading1"/>
        <w:rPr>
          <w:lang w:val="fr-CA"/>
        </w:rPr>
      </w:pPr>
      <w:r w:rsidRPr="004E131E">
        <w:rPr>
          <w:lang w:val="fr-CA"/>
        </w:rPr>
        <w:t>Conformément à la décision</w:t>
      </w:r>
      <w:r>
        <w:rPr>
          <w:lang w:val="fr-CA"/>
        </w:rPr>
        <w:t> </w:t>
      </w:r>
      <w:r w:rsidRPr="004E131E">
        <w:rPr>
          <w:lang w:val="fr-CA"/>
        </w:rPr>
        <w:t xml:space="preserve">87/19, l'ONUDI, au nom du </w:t>
      </w:r>
      <w:r>
        <w:rPr>
          <w:lang w:val="fr-CA"/>
        </w:rPr>
        <w:t>g</w:t>
      </w:r>
      <w:r w:rsidRPr="004E131E">
        <w:rPr>
          <w:lang w:val="fr-CA"/>
        </w:rPr>
        <w:t xml:space="preserve">ouvernement </w:t>
      </w:r>
      <w:r>
        <w:rPr>
          <w:lang w:val="fr-CA"/>
        </w:rPr>
        <w:t>des P</w:t>
      </w:r>
      <w:r w:rsidRPr="004E131E">
        <w:rPr>
          <w:lang w:val="fr-CA"/>
        </w:rPr>
        <w:t>hilippin</w:t>
      </w:r>
      <w:r>
        <w:rPr>
          <w:lang w:val="fr-CA"/>
        </w:rPr>
        <w:t>es</w:t>
      </w:r>
      <w:r w:rsidRPr="004E131E">
        <w:rPr>
          <w:lang w:val="fr-CA"/>
        </w:rPr>
        <w:t xml:space="preserve">, a soumis à la présente réunion le rapport périodique susmentionné. </w:t>
      </w:r>
      <w:r>
        <w:rPr>
          <w:lang w:val="fr-CA"/>
        </w:rPr>
        <w:t>L</w:t>
      </w:r>
      <w:r w:rsidRPr="004E131E">
        <w:rPr>
          <w:lang w:val="fr-CA"/>
        </w:rPr>
        <w:t xml:space="preserve">e </w:t>
      </w:r>
      <w:r>
        <w:rPr>
          <w:lang w:val="fr-CA"/>
        </w:rPr>
        <w:t>g</w:t>
      </w:r>
      <w:r w:rsidRPr="004E131E">
        <w:rPr>
          <w:lang w:val="fr-CA"/>
        </w:rPr>
        <w:t>ouvernement des Philippines</w:t>
      </w:r>
      <w:r>
        <w:rPr>
          <w:lang w:val="fr-CA"/>
        </w:rPr>
        <w:t xml:space="preserve"> demande</w:t>
      </w:r>
      <w:r w:rsidRPr="004E131E">
        <w:rPr>
          <w:lang w:val="fr-CA"/>
        </w:rPr>
        <w:t xml:space="preserve">, par l'intermédiaire de l'ONUDI, </w:t>
      </w:r>
      <w:r>
        <w:rPr>
          <w:lang w:val="fr-CA"/>
        </w:rPr>
        <w:t>la</w:t>
      </w:r>
      <w:r w:rsidRPr="004E131E">
        <w:rPr>
          <w:lang w:val="fr-CA"/>
        </w:rPr>
        <w:t xml:space="preserve"> prolongation de la mise en œuvre de la phase</w:t>
      </w:r>
      <w:r>
        <w:rPr>
          <w:lang w:val="fr-CA"/>
        </w:rPr>
        <w:t> </w:t>
      </w:r>
      <w:r w:rsidRPr="004E131E">
        <w:rPr>
          <w:lang w:val="fr-CA"/>
        </w:rPr>
        <w:t>II jusqu'au 31</w:t>
      </w:r>
      <w:r>
        <w:rPr>
          <w:lang w:val="fr-CA"/>
        </w:rPr>
        <w:t> </w:t>
      </w:r>
      <w:r w:rsidRPr="004E131E">
        <w:rPr>
          <w:lang w:val="fr-CA"/>
        </w:rPr>
        <w:t>décembre</w:t>
      </w:r>
      <w:r>
        <w:rPr>
          <w:lang w:val="fr-CA"/>
        </w:rPr>
        <w:t> </w:t>
      </w:r>
      <w:r w:rsidRPr="004E131E">
        <w:rPr>
          <w:lang w:val="fr-CA"/>
        </w:rPr>
        <w:t>2023.</w:t>
      </w:r>
    </w:p>
    <w:p w14:paraId="596E5C92" w14:textId="77777777" w:rsidR="00963F10" w:rsidRPr="00CA3C3F" w:rsidRDefault="00963F10" w:rsidP="00963F10">
      <w:pPr>
        <w:pStyle w:val="Heading1"/>
        <w:numPr>
          <w:ilvl w:val="0"/>
          <w:numId w:val="0"/>
        </w:numPr>
        <w:rPr>
          <w:b/>
          <w:lang w:val="fr-CA"/>
        </w:rPr>
      </w:pPr>
      <w:r w:rsidRPr="00CA3C3F">
        <w:rPr>
          <w:b/>
          <w:lang w:val="fr-CA"/>
        </w:rPr>
        <w:t>Consommation de HCFC</w:t>
      </w:r>
    </w:p>
    <w:p w14:paraId="79E238B5" w14:textId="77777777" w:rsidR="00963F10" w:rsidRPr="004E131E" w:rsidRDefault="00963F10" w:rsidP="00963F10">
      <w:pPr>
        <w:pStyle w:val="Heading1"/>
        <w:rPr>
          <w:lang w:val="fr-CA"/>
        </w:rPr>
      </w:pPr>
      <w:r w:rsidRPr="004E131E">
        <w:rPr>
          <w:lang w:val="fr-CA"/>
        </w:rPr>
        <w:t>Le gouvernement des Philippines a fait état d'une consommation de 60,40</w:t>
      </w:r>
      <w:r>
        <w:rPr>
          <w:lang w:val="fr-CA"/>
        </w:rPr>
        <w:t> </w:t>
      </w:r>
      <w:r w:rsidRPr="004E131E">
        <w:rPr>
          <w:lang w:val="fr-CA"/>
        </w:rPr>
        <w:t>tonnes</w:t>
      </w:r>
      <w:r>
        <w:rPr>
          <w:lang w:val="fr-CA"/>
        </w:rPr>
        <w:t> </w:t>
      </w:r>
      <w:r w:rsidRPr="004E131E">
        <w:rPr>
          <w:lang w:val="fr-CA"/>
        </w:rPr>
        <w:t>PAO de HCFC en 2021, soit 63</w:t>
      </w:r>
      <w:r>
        <w:rPr>
          <w:lang w:val="fr-CA"/>
        </w:rPr>
        <w:t> </w:t>
      </w:r>
      <w:r w:rsidRPr="004E131E">
        <w:rPr>
          <w:lang w:val="fr-CA"/>
        </w:rPr>
        <w:t xml:space="preserve">% de moins que le niveau de référence </w:t>
      </w:r>
      <w:r>
        <w:rPr>
          <w:lang w:val="fr-CA"/>
        </w:rPr>
        <w:t xml:space="preserve">de ces substances </w:t>
      </w:r>
      <w:r w:rsidRPr="004E131E">
        <w:rPr>
          <w:lang w:val="fr-CA"/>
        </w:rPr>
        <w:t>et 27</w:t>
      </w:r>
      <w:r>
        <w:rPr>
          <w:lang w:val="fr-CA"/>
        </w:rPr>
        <w:t> </w:t>
      </w:r>
      <w:r w:rsidRPr="004E131E">
        <w:rPr>
          <w:lang w:val="fr-CA"/>
        </w:rPr>
        <w:t xml:space="preserve">% de moins </w:t>
      </w:r>
      <w:r>
        <w:rPr>
          <w:lang w:val="fr-CA"/>
        </w:rPr>
        <w:t>que les objectifs fixés dans l'A</w:t>
      </w:r>
      <w:r w:rsidRPr="004E131E">
        <w:rPr>
          <w:lang w:val="fr-CA"/>
        </w:rPr>
        <w:t>ccord avec le Comité exécutif pour cette année-là. La consommation de HCFC pour la période 2017-2021 est présentée dans le tableau</w:t>
      </w:r>
      <w:r>
        <w:rPr>
          <w:lang w:val="fr-CA"/>
        </w:rPr>
        <w:t> </w:t>
      </w:r>
      <w:r w:rsidRPr="004E131E">
        <w:rPr>
          <w:lang w:val="fr-CA"/>
        </w:rPr>
        <w:t>7.</w:t>
      </w:r>
    </w:p>
    <w:p w14:paraId="76A678A1" w14:textId="77777777" w:rsidR="00963F10" w:rsidRPr="00CA3C3F" w:rsidRDefault="00963F10" w:rsidP="00963F10">
      <w:pPr>
        <w:rPr>
          <w:b/>
          <w:lang w:val="fr-CA"/>
        </w:rPr>
      </w:pPr>
      <w:r w:rsidRPr="00CA3C3F">
        <w:rPr>
          <w:b/>
          <w:lang w:val="fr-CA"/>
        </w:rPr>
        <w:t>Tableau 7. Consommation de HCFC aux Philippines (données de l'article 7 pour 2017-2021)</w:t>
      </w:r>
    </w:p>
    <w:tbl>
      <w:tblPr>
        <w:tblW w:w="5000" w:type="pct"/>
        <w:tblLayout w:type="fixed"/>
        <w:tblCellMar>
          <w:left w:w="86" w:type="dxa"/>
          <w:right w:w="86" w:type="dxa"/>
        </w:tblCellMar>
        <w:tblLook w:val="04A0" w:firstRow="1" w:lastRow="0" w:firstColumn="1" w:lastColumn="0" w:noHBand="0" w:noVBand="1"/>
      </w:tblPr>
      <w:tblGrid>
        <w:gridCol w:w="1867"/>
        <w:gridCol w:w="1248"/>
        <w:gridCol w:w="1247"/>
        <w:gridCol w:w="1247"/>
        <w:gridCol w:w="1247"/>
        <w:gridCol w:w="1247"/>
        <w:gridCol w:w="1247"/>
      </w:tblGrid>
      <w:tr w:rsidR="00963F10" w:rsidRPr="00CA3C3F" w14:paraId="7FDF04D2" w14:textId="77777777" w:rsidTr="00963F10">
        <w:trPr>
          <w:cantSplit/>
          <w:trHeight w:val="249"/>
          <w:tblHeader/>
        </w:trPr>
        <w:tc>
          <w:tcPr>
            <w:tcW w:w="998" w:type="pct"/>
            <w:tcBorders>
              <w:top w:val="single" w:sz="4" w:space="0" w:color="auto"/>
              <w:left w:val="single" w:sz="4" w:space="0" w:color="auto"/>
              <w:bottom w:val="single" w:sz="4" w:space="0" w:color="auto"/>
              <w:right w:val="single" w:sz="4" w:space="0" w:color="auto"/>
            </w:tcBorders>
            <w:noWrap/>
            <w:hideMark/>
          </w:tcPr>
          <w:p w14:paraId="6B6EA282" w14:textId="77777777" w:rsidR="00963F10" w:rsidRPr="00CA3C3F" w:rsidRDefault="00963F10" w:rsidP="00963F10">
            <w:pPr>
              <w:keepNext/>
              <w:ind w:left="25"/>
              <w:jc w:val="left"/>
              <w:rPr>
                <w:b/>
                <w:color w:val="000000" w:themeColor="text1"/>
                <w:sz w:val="20"/>
                <w:szCs w:val="20"/>
                <w:lang w:val="fr-CA"/>
              </w:rPr>
            </w:pPr>
            <w:r w:rsidRPr="00CA3C3F">
              <w:rPr>
                <w:b/>
                <w:color w:val="000000" w:themeColor="text1"/>
                <w:sz w:val="20"/>
                <w:szCs w:val="20"/>
                <w:lang w:val="fr-CA"/>
              </w:rPr>
              <w:t>HCFC</w:t>
            </w:r>
          </w:p>
        </w:tc>
        <w:tc>
          <w:tcPr>
            <w:tcW w:w="667" w:type="pct"/>
            <w:tcBorders>
              <w:top w:val="single" w:sz="4" w:space="0" w:color="auto"/>
              <w:left w:val="single" w:sz="4" w:space="0" w:color="auto"/>
              <w:bottom w:val="single" w:sz="4" w:space="0" w:color="auto"/>
              <w:right w:val="single" w:sz="4" w:space="0" w:color="auto"/>
            </w:tcBorders>
          </w:tcPr>
          <w:p w14:paraId="0E5D5655" w14:textId="77777777" w:rsidR="00963F10" w:rsidRPr="00CA3C3F" w:rsidRDefault="00963F10" w:rsidP="00963F10">
            <w:pPr>
              <w:keepNext/>
              <w:jc w:val="center"/>
              <w:rPr>
                <w:b/>
                <w:color w:val="000000" w:themeColor="text1"/>
                <w:sz w:val="20"/>
                <w:szCs w:val="20"/>
                <w:lang w:val="fr-CA"/>
              </w:rPr>
            </w:pPr>
            <w:r w:rsidRPr="00CA3C3F">
              <w:rPr>
                <w:b/>
                <w:color w:val="000000" w:themeColor="text1"/>
                <w:sz w:val="20"/>
                <w:szCs w:val="20"/>
                <w:lang w:val="fr-CA"/>
              </w:rPr>
              <w:t>2017</w:t>
            </w:r>
          </w:p>
        </w:tc>
        <w:tc>
          <w:tcPr>
            <w:tcW w:w="667" w:type="pct"/>
            <w:tcBorders>
              <w:top w:val="single" w:sz="4" w:space="0" w:color="auto"/>
              <w:left w:val="single" w:sz="4" w:space="0" w:color="auto"/>
              <w:bottom w:val="single" w:sz="4" w:space="0" w:color="auto"/>
              <w:right w:val="single" w:sz="4" w:space="0" w:color="auto"/>
            </w:tcBorders>
          </w:tcPr>
          <w:p w14:paraId="2DC5AD28" w14:textId="77777777" w:rsidR="00963F10" w:rsidRPr="00CA3C3F" w:rsidRDefault="00963F10" w:rsidP="00963F10">
            <w:pPr>
              <w:keepNext/>
              <w:jc w:val="center"/>
              <w:rPr>
                <w:b/>
                <w:color w:val="000000" w:themeColor="text1"/>
                <w:sz w:val="20"/>
                <w:szCs w:val="20"/>
                <w:lang w:val="fr-CA"/>
              </w:rPr>
            </w:pPr>
            <w:r w:rsidRPr="00CA3C3F">
              <w:rPr>
                <w:b/>
                <w:color w:val="000000" w:themeColor="text1"/>
                <w:sz w:val="20"/>
                <w:szCs w:val="20"/>
                <w:lang w:val="fr-CA"/>
              </w:rPr>
              <w:t>2018</w:t>
            </w:r>
          </w:p>
        </w:tc>
        <w:tc>
          <w:tcPr>
            <w:tcW w:w="667" w:type="pct"/>
            <w:tcBorders>
              <w:top w:val="single" w:sz="4" w:space="0" w:color="auto"/>
              <w:left w:val="single" w:sz="4" w:space="0" w:color="auto"/>
              <w:bottom w:val="single" w:sz="4" w:space="0" w:color="auto"/>
              <w:right w:val="single" w:sz="4" w:space="0" w:color="auto"/>
            </w:tcBorders>
          </w:tcPr>
          <w:p w14:paraId="1390ACCD" w14:textId="77777777" w:rsidR="00963F10" w:rsidRPr="00CA3C3F" w:rsidRDefault="00963F10" w:rsidP="00963F10">
            <w:pPr>
              <w:keepNext/>
              <w:jc w:val="center"/>
              <w:rPr>
                <w:b/>
                <w:color w:val="000000" w:themeColor="text1"/>
                <w:sz w:val="20"/>
                <w:szCs w:val="20"/>
                <w:lang w:val="fr-CA"/>
              </w:rPr>
            </w:pPr>
            <w:r w:rsidRPr="00CA3C3F">
              <w:rPr>
                <w:b/>
                <w:color w:val="000000" w:themeColor="text1"/>
                <w:sz w:val="20"/>
                <w:szCs w:val="20"/>
                <w:lang w:val="fr-CA"/>
              </w:rPr>
              <w:t>2019</w:t>
            </w:r>
          </w:p>
        </w:tc>
        <w:tc>
          <w:tcPr>
            <w:tcW w:w="667" w:type="pct"/>
            <w:tcBorders>
              <w:top w:val="single" w:sz="4" w:space="0" w:color="auto"/>
              <w:left w:val="single" w:sz="4" w:space="0" w:color="auto"/>
              <w:bottom w:val="single" w:sz="4" w:space="0" w:color="auto"/>
              <w:right w:val="single" w:sz="4" w:space="0" w:color="auto"/>
            </w:tcBorders>
          </w:tcPr>
          <w:p w14:paraId="30420313" w14:textId="77777777" w:rsidR="00963F10" w:rsidRPr="00CA3C3F" w:rsidRDefault="00963F10" w:rsidP="00963F10">
            <w:pPr>
              <w:keepNext/>
              <w:jc w:val="center"/>
              <w:rPr>
                <w:b/>
                <w:color w:val="000000" w:themeColor="text1"/>
                <w:sz w:val="20"/>
                <w:szCs w:val="20"/>
                <w:lang w:val="fr-CA"/>
              </w:rPr>
            </w:pPr>
            <w:r w:rsidRPr="00CA3C3F">
              <w:rPr>
                <w:b/>
                <w:color w:val="000000" w:themeColor="text1"/>
                <w:sz w:val="20"/>
                <w:szCs w:val="20"/>
                <w:lang w:val="fr-CA"/>
              </w:rPr>
              <w:t>2020</w:t>
            </w:r>
          </w:p>
        </w:tc>
        <w:tc>
          <w:tcPr>
            <w:tcW w:w="667" w:type="pct"/>
            <w:tcBorders>
              <w:top w:val="single" w:sz="4" w:space="0" w:color="auto"/>
              <w:left w:val="single" w:sz="4" w:space="0" w:color="auto"/>
              <w:bottom w:val="single" w:sz="4" w:space="0" w:color="auto"/>
              <w:right w:val="single" w:sz="4" w:space="0" w:color="auto"/>
            </w:tcBorders>
          </w:tcPr>
          <w:p w14:paraId="6F7CB821" w14:textId="77777777" w:rsidR="00963F10" w:rsidRPr="00CA3C3F" w:rsidRDefault="00963F10" w:rsidP="00963F10">
            <w:pPr>
              <w:keepNext/>
              <w:jc w:val="center"/>
              <w:rPr>
                <w:b/>
                <w:color w:val="000000" w:themeColor="text1"/>
                <w:sz w:val="20"/>
                <w:szCs w:val="20"/>
                <w:lang w:val="fr-CA"/>
              </w:rPr>
            </w:pPr>
            <w:r w:rsidRPr="00CA3C3F">
              <w:rPr>
                <w:b/>
                <w:color w:val="000000" w:themeColor="text1"/>
                <w:sz w:val="20"/>
                <w:lang w:val="fr-CA"/>
              </w:rPr>
              <w:t>2021</w:t>
            </w:r>
          </w:p>
        </w:tc>
        <w:tc>
          <w:tcPr>
            <w:tcW w:w="667" w:type="pct"/>
            <w:tcBorders>
              <w:top w:val="single" w:sz="4" w:space="0" w:color="auto"/>
              <w:left w:val="single" w:sz="4" w:space="0" w:color="auto"/>
              <w:bottom w:val="single" w:sz="4" w:space="0" w:color="auto"/>
              <w:right w:val="single" w:sz="4" w:space="0" w:color="auto"/>
            </w:tcBorders>
          </w:tcPr>
          <w:p w14:paraId="1EB0CE17" w14:textId="77777777" w:rsidR="00963F10" w:rsidRPr="00CA3C3F" w:rsidRDefault="00963F10" w:rsidP="00963F10">
            <w:pPr>
              <w:keepNext/>
              <w:jc w:val="center"/>
              <w:rPr>
                <w:b/>
                <w:color w:val="000000" w:themeColor="text1"/>
                <w:sz w:val="20"/>
                <w:szCs w:val="20"/>
                <w:lang w:val="fr-CA"/>
              </w:rPr>
            </w:pPr>
            <w:r w:rsidRPr="00CA3C3F">
              <w:rPr>
                <w:b/>
                <w:color w:val="000000" w:themeColor="text1"/>
                <w:sz w:val="20"/>
                <w:szCs w:val="20"/>
                <w:lang w:val="fr-CA"/>
              </w:rPr>
              <w:t>Référence</w:t>
            </w:r>
          </w:p>
        </w:tc>
      </w:tr>
      <w:tr w:rsidR="00963F10" w:rsidRPr="00CA3C3F" w14:paraId="3785156E" w14:textId="77777777" w:rsidTr="00963F10">
        <w:trPr>
          <w:cantSplit/>
          <w:trHeight w:val="170"/>
        </w:trPr>
        <w:tc>
          <w:tcPr>
            <w:tcW w:w="998" w:type="pct"/>
            <w:tcBorders>
              <w:top w:val="single" w:sz="4" w:space="0" w:color="auto"/>
              <w:left w:val="single" w:sz="4" w:space="0" w:color="auto"/>
              <w:bottom w:val="single" w:sz="4" w:space="0" w:color="auto"/>
              <w:right w:val="single" w:sz="4" w:space="0" w:color="auto"/>
            </w:tcBorders>
            <w:noWrap/>
          </w:tcPr>
          <w:p w14:paraId="29C8DC89" w14:textId="77777777" w:rsidR="00963F10" w:rsidRPr="00CA3C3F" w:rsidRDefault="00963F10" w:rsidP="00963F10">
            <w:pPr>
              <w:keepNext/>
              <w:ind w:left="25"/>
              <w:jc w:val="left"/>
              <w:rPr>
                <w:b/>
                <w:color w:val="000000" w:themeColor="text1"/>
                <w:sz w:val="20"/>
                <w:szCs w:val="20"/>
                <w:lang w:val="fr-CA"/>
              </w:rPr>
            </w:pPr>
            <w:r w:rsidRPr="00CA3C3F">
              <w:rPr>
                <w:b/>
                <w:color w:val="000000" w:themeColor="text1"/>
                <w:sz w:val="20"/>
                <w:szCs w:val="20"/>
                <w:lang w:val="fr-CA"/>
              </w:rPr>
              <w:t>Tonnes métriques (tm)</w:t>
            </w:r>
          </w:p>
        </w:tc>
        <w:tc>
          <w:tcPr>
            <w:tcW w:w="667" w:type="pct"/>
            <w:tcBorders>
              <w:top w:val="single" w:sz="4" w:space="0" w:color="auto"/>
              <w:left w:val="single" w:sz="4" w:space="0" w:color="auto"/>
              <w:bottom w:val="single" w:sz="4" w:space="0" w:color="auto"/>
              <w:right w:val="single" w:sz="4" w:space="0" w:color="auto"/>
            </w:tcBorders>
          </w:tcPr>
          <w:p w14:paraId="19C12B25" w14:textId="77777777" w:rsidR="00963F10" w:rsidRPr="00CA3C3F" w:rsidRDefault="00963F10" w:rsidP="00963F10">
            <w:pPr>
              <w:keepNext/>
              <w:jc w:val="center"/>
              <w:rPr>
                <w:b/>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22A0E6D6" w14:textId="77777777" w:rsidR="00963F10" w:rsidRPr="00CA3C3F" w:rsidRDefault="00963F10" w:rsidP="00963F10">
            <w:pPr>
              <w:keepNext/>
              <w:jc w:val="center"/>
              <w:rPr>
                <w:b/>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11C462A8" w14:textId="77777777" w:rsidR="00963F10" w:rsidRPr="00CA3C3F" w:rsidRDefault="00963F10" w:rsidP="00963F10">
            <w:pPr>
              <w:keepNext/>
              <w:jc w:val="center"/>
              <w:rPr>
                <w:b/>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36098260" w14:textId="77777777" w:rsidR="00963F10" w:rsidRPr="00CA3C3F" w:rsidRDefault="00963F10" w:rsidP="00963F10">
            <w:pPr>
              <w:keepNext/>
              <w:jc w:val="center"/>
              <w:rPr>
                <w:b/>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25DB7152" w14:textId="77777777" w:rsidR="00963F10" w:rsidRPr="00CA3C3F" w:rsidRDefault="00963F10" w:rsidP="00963F10">
            <w:pPr>
              <w:keepNext/>
              <w:jc w:val="right"/>
              <w:rPr>
                <w:b/>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6E972576" w14:textId="77777777" w:rsidR="00963F10" w:rsidRPr="00CA3C3F" w:rsidRDefault="00963F10" w:rsidP="00963F10">
            <w:pPr>
              <w:keepNext/>
              <w:jc w:val="right"/>
              <w:rPr>
                <w:b/>
                <w:color w:val="000000" w:themeColor="text1"/>
                <w:sz w:val="20"/>
                <w:szCs w:val="20"/>
                <w:lang w:val="fr-CA"/>
              </w:rPr>
            </w:pPr>
          </w:p>
        </w:tc>
      </w:tr>
      <w:tr w:rsidR="00963F10" w:rsidRPr="00CA3C3F" w14:paraId="479D5560" w14:textId="77777777" w:rsidTr="00963F10">
        <w:trPr>
          <w:cantSplit/>
          <w:trHeight w:val="249"/>
        </w:trPr>
        <w:tc>
          <w:tcPr>
            <w:tcW w:w="998" w:type="pct"/>
            <w:tcBorders>
              <w:top w:val="nil"/>
              <w:left w:val="single" w:sz="4" w:space="0" w:color="auto"/>
              <w:bottom w:val="single" w:sz="4" w:space="0" w:color="auto"/>
              <w:right w:val="single" w:sz="4" w:space="0" w:color="auto"/>
            </w:tcBorders>
            <w:noWrap/>
            <w:hideMark/>
          </w:tcPr>
          <w:p w14:paraId="0793F6A7"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HCFC-22</w:t>
            </w:r>
          </w:p>
        </w:tc>
        <w:tc>
          <w:tcPr>
            <w:tcW w:w="667" w:type="pct"/>
            <w:tcBorders>
              <w:top w:val="single" w:sz="4" w:space="0" w:color="auto"/>
              <w:left w:val="single" w:sz="4" w:space="0" w:color="auto"/>
              <w:bottom w:val="single" w:sz="4" w:space="0" w:color="auto"/>
              <w:right w:val="single" w:sz="4" w:space="0" w:color="auto"/>
            </w:tcBorders>
          </w:tcPr>
          <w:p w14:paraId="526A2867"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1653,69</w:t>
            </w:r>
          </w:p>
        </w:tc>
        <w:tc>
          <w:tcPr>
            <w:tcW w:w="667" w:type="pct"/>
            <w:tcBorders>
              <w:top w:val="single" w:sz="4" w:space="0" w:color="auto"/>
              <w:left w:val="single" w:sz="4" w:space="0" w:color="auto"/>
              <w:bottom w:val="single" w:sz="4" w:space="0" w:color="auto"/>
              <w:right w:val="single" w:sz="4" w:space="0" w:color="auto"/>
            </w:tcBorders>
          </w:tcPr>
          <w:p w14:paraId="4D9CD90D"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1615,61</w:t>
            </w:r>
          </w:p>
        </w:tc>
        <w:tc>
          <w:tcPr>
            <w:tcW w:w="667" w:type="pct"/>
            <w:tcBorders>
              <w:top w:val="single" w:sz="4" w:space="0" w:color="auto"/>
              <w:left w:val="single" w:sz="4" w:space="0" w:color="auto"/>
              <w:bottom w:val="single" w:sz="4" w:space="0" w:color="auto"/>
              <w:right w:val="single" w:sz="4" w:space="0" w:color="auto"/>
            </w:tcBorders>
          </w:tcPr>
          <w:p w14:paraId="153F9534"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1643,24</w:t>
            </w:r>
          </w:p>
        </w:tc>
        <w:tc>
          <w:tcPr>
            <w:tcW w:w="667" w:type="pct"/>
            <w:tcBorders>
              <w:top w:val="single" w:sz="4" w:space="0" w:color="auto"/>
              <w:left w:val="single" w:sz="4" w:space="0" w:color="auto"/>
              <w:bottom w:val="single" w:sz="4" w:space="0" w:color="auto"/>
              <w:right w:val="single" w:sz="4" w:space="0" w:color="auto"/>
            </w:tcBorders>
          </w:tcPr>
          <w:p w14:paraId="434B9853"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843,69</w:t>
            </w:r>
          </w:p>
        </w:tc>
        <w:tc>
          <w:tcPr>
            <w:tcW w:w="667" w:type="pct"/>
            <w:tcBorders>
              <w:top w:val="single" w:sz="4" w:space="0" w:color="auto"/>
              <w:left w:val="single" w:sz="4" w:space="0" w:color="auto"/>
              <w:bottom w:val="single" w:sz="4" w:space="0" w:color="auto"/>
              <w:right w:val="single" w:sz="4" w:space="0" w:color="auto"/>
            </w:tcBorders>
          </w:tcPr>
          <w:p w14:paraId="461F76FA"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1039,63</w:t>
            </w:r>
          </w:p>
        </w:tc>
        <w:tc>
          <w:tcPr>
            <w:tcW w:w="667" w:type="pct"/>
            <w:tcBorders>
              <w:top w:val="single" w:sz="4" w:space="0" w:color="auto"/>
              <w:left w:val="single" w:sz="4" w:space="0" w:color="auto"/>
              <w:bottom w:val="single" w:sz="4" w:space="0" w:color="auto"/>
              <w:right w:val="single" w:sz="4" w:space="0" w:color="auto"/>
            </w:tcBorders>
            <w:noWrap/>
            <w:hideMark/>
          </w:tcPr>
          <w:p w14:paraId="402431F5"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1 959,45</w:t>
            </w:r>
          </w:p>
        </w:tc>
      </w:tr>
      <w:tr w:rsidR="00963F10" w:rsidRPr="00CA3C3F" w14:paraId="46479A1D" w14:textId="77777777" w:rsidTr="00963F10">
        <w:trPr>
          <w:cantSplit/>
          <w:trHeight w:val="249"/>
        </w:trPr>
        <w:tc>
          <w:tcPr>
            <w:tcW w:w="998" w:type="pct"/>
            <w:tcBorders>
              <w:top w:val="nil"/>
              <w:left w:val="single" w:sz="4" w:space="0" w:color="auto"/>
              <w:bottom w:val="single" w:sz="4" w:space="0" w:color="auto"/>
              <w:right w:val="single" w:sz="4" w:space="0" w:color="auto"/>
            </w:tcBorders>
            <w:noWrap/>
            <w:hideMark/>
          </w:tcPr>
          <w:p w14:paraId="79E127C0"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HCFC-141b</w:t>
            </w:r>
          </w:p>
        </w:tc>
        <w:tc>
          <w:tcPr>
            <w:tcW w:w="667" w:type="pct"/>
            <w:tcBorders>
              <w:top w:val="single" w:sz="4" w:space="0" w:color="auto"/>
              <w:left w:val="single" w:sz="4" w:space="0" w:color="auto"/>
              <w:bottom w:val="single" w:sz="4" w:space="0" w:color="auto"/>
              <w:right w:val="single" w:sz="4" w:space="0" w:color="auto"/>
            </w:tcBorders>
          </w:tcPr>
          <w:p w14:paraId="4DBEF5D2"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183,46</w:t>
            </w:r>
          </w:p>
        </w:tc>
        <w:tc>
          <w:tcPr>
            <w:tcW w:w="667" w:type="pct"/>
            <w:tcBorders>
              <w:top w:val="single" w:sz="4" w:space="0" w:color="auto"/>
              <w:left w:val="single" w:sz="4" w:space="0" w:color="auto"/>
              <w:bottom w:val="single" w:sz="4" w:space="0" w:color="auto"/>
              <w:right w:val="single" w:sz="4" w:space="0" w:color="auto"/>
            </w:tcBorders>
          </w:tcPr>
          <w:p w14:paraId="31E969E8"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144,5</w:t>
            </w:r>
          </w:p>
        </w:tc>
        <w:tc>
          <w:tcPr>
            <w:tcW w:w="667" w:type="pct"/>
            <w:tcBorders>
              <w:top w:val="single" w:sz="4" w:space="0" w:color="auto"/>
              <w:left w:val="single" w:sz="4" w:space="0" w:color="auto"/>
              <w:bottom w:val="single" w:sz="4" w:space="0" w:color="auto"/>
              <w:right w:val="single" w:sz="4" w:space="0" w:color="auto"/>
            </w:tcBorders>
          </w:tcPr>
          <w:p w14:paraId="6290C358"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110,98</w:t>
            </w:r>
          </w:p>
        </w:tc>
        <w:tc>
          <w:tcPr>
            <w:tcW w:w="667" w:type="pct"/>
            <w:tcBorders>
              <w:top w:val="single" w:sz="4" w:space="0" w:color="auto"/>
              <w:left w:val="single" w:sz="4" w:space="0" w:color="auto"/>
              <w:bottom w:val="single" w:sz="4" w:space="0" w:color="auto"/>
              <w:right w:val="single" w:sz="4" w:space="0" w:color="auto"/>
            </w:tcBorders>
          </w:tcPr>
          <w:p w14:paraId="66A2ED8B"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18,90</w:t>
            </w:r>
          </w:p>
        </w:tc>
        <w:tc>
          <w:tcPr>
            <w:tcW w:w="667" w:type="pct"/>
            <w:tcBorders>
              <w:top w:val="single" w:sz="4" w:space="0" w:color="auto"/>
              <w:left w:val="single" w:sz="4" w:space="0" w:color="auto"/>
              <w:bottom w:val="single" w:sz="4" w:space="0" w:color="auto"/>
              <w:right w:val="single" w:sz="4" w:space="0" w:color="auto"/>
            </w:tcBorders>
          </w:tcPr>
          <w:p w14:paraId="137FE0E4"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18,90</w:t>
            </w:r>
          </w:p>
        </w:tc>
        <w:tc>
          <w:tcPr>
            <w:tcW w:w="667" w:type="pct"/>
            <w:tcBorders>
              <w:top w:val="single" w:sz="4" w:space="0" w:color="auto"/>
              <w:left w:val="single" w:sz="4" w:space="0" w:color="auto"/>
              <w:bottom w:val="single" w:sz="4" w:space="0" w:color="auto"/>
              <w:right w:val="single" w:sz="4" w:space="0" w:color="auto"/>
            </w:tcBorders>
            <w:noWrap/>
            <w:hideMark/>
          </w:tcPr>
          <w:p w14:paraId="2BE333D1"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475,05</w:t>
            </w:r>
          </w:p>
        </w:tc>
      </w:tr>
      <w:tr w:rsidR="00963F10" w:rsidRPr="00CA3C3F" w14:paraId="15E5E95C" w14:textId="77777777" w:rsidTr="00963F10">
        <w:trPr>
          <w:cantSplit/>
          <w:trHeight w:val="249"/>
        </w:trPr>
        <w:tc>
          <w:tcPr>
            <w:tcW w:w="998" w:type="pct"/>
            <w:tcBorders>
              <w:top w:val="nil"/>
              <w:left w:val="single" w:sz="4" w:space="0" w:color="auto"/>
              <w:bottom w:val="single" w:sz="4" w:space="0" w:color="auto"/>
              <w:right w:val="single" w:sz="4" w:space="0" w:color="auto"/>
            </w:tcBorders>
            <w:noWrap/>
          </w:tcPr>
          <w:p w14:paraId="43F0256C"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HCFC-142b</w:t>
            </w:r>
          </w:p>
        </w:tc>
        <w:tc>
          <w:tcPr>
            <w:tcW w:w="667" w:type="pct"/>
            <w:tcBorders>
              <w:top w:val="single" w:sz="4" w:space="0" w:color="auto"/>
              <w:left w:val="single" w:sz="4" w:space="0" w:color="auto"/>
              <w:bottom w:val="single" w:sz="4" w:space="0" w:color="auto"/>
              <w:right w:val="single" w:sz="4" w:space="0" w:color="auto"/>
            </w:tcBorders>
          </w:tcPr>
          <w:p w14:paraId="6ED886B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03B5C6B9"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6F955463"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4ED3481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1A82349D"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noWrap/>
          </w:tcPr>
          <w:p w14:paraId="102927BB"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3,99</w:t>
            </w:r>
          </w:p>
        </w:tc>
      </w:tr>
      <w:tr w:rsidR="00963F10" w:rsidRPr="00CA3C3F" w14:paraId="13CC411F" w14:textId="77777777" w:rsidTr="00963F10">
        <w:trPr>
          <w:cantSplit/>
          <w:trHeight w:val="249"/>
        </w:trPr>
        <w:tc>
          <w:tcPr>
            <w:tcW w:w="998" w:type="pct"/>
            <w:tcBorders>
              <w:top w:val="nil"/>
              <w:left w:val="single" w:sz="4" w:space="0" w:color="auto"/>
              <w:bottom w:val="single" w:sz="4" w:space="0" w:color="auto"/>
              <w:right w:val="single" w:sz="4" w:space="0" w:color="auto"/>
            </w:tcBorders>
            <w:noWrap/>
            <w:hideMark/>
          </w:tcPr>
          <w:p w14:paraId="30361948"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HCFC-123</w:t>
            </w:r>
          </w:p>
        </w:tc>
        <w:tc>
          <w:tcPr>
            <w:tcW w:w="667" w:type="pct"/>
            <w:tcBorders>
              <w:top w:val="single" w:sz="4" w:space="0" w:color="auto"/>
              <w:left w:val="single" w:sz="4" w:space="0" w:color="auto"/>
              <w:bottom w:val="single" w:sz="4" w:space="0" w:color="auto"/>
              <w:right w:val="single" w:sz="4" w:space="0" w:color="auto"/>
            </w:tcBorders>
          </w:tcPr>
          <w:p w14:paraId="2674B51A"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57,13</w:t>
            </w:r>
          </w:p>
        </w:tc>
        <w:tc>
          <w:tcPr>
            <w:tcW w:w="667" w:type="pct"/>
            <w:tcBorders>
              <w:top w:val="single" w:sz="4" w:space="0" w:color="auto"/>
              <w:left w:val="single" w:sz="4" w:space="0" w:color="auto"/>
              <w:bottom w:val="single" w:sz="4" w:space="0" w:color="auto"/>
              <w:right w:val="single" w:sz="4" w:space="0" w:color="auto"/>
            </w:tcBorders>
          </w:tcPr>
          <w:p w14:paraId="66546708"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57,4</w:t>
            </w:r>
          </w:p>
        </w:tc>
        <w:tc>
          <w:tcPr>
            <w:tcW w:w="667" w:type="pct"/>
            <w:tcBorders>
              <w:top w:val="single" w:sz="4" w:space="0" w:color="auto"/>
              <w:left w:val="single" w:sz="4" w:space="0" w:color="auto"/>
              <w:bottom w:val="single" w:sz="4" w:space="0" w:color="auto"/>
              <w:right w:val="single" w:sz="4" w:space="0" w:color="auto"/>
            </w:tcBorders>
          </w:tcPr>
          <w:p w14:paraId="4F018DC6"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57,13</w:t>
            </w:r>
          </w:p>
        </w:tc>
        <w:tc>
          <w:tcPr>
            <w:tcW w:w="667" w:type="pct"/>
            <w:tcBorders>
              <w:top w:val="single" w:sz="4" w:space="0" w:color="auto"/>
              <w:left w:val="single" w:sz="4" w:space="0" w:color="auto"/>
              <w:bottom w:val="single" w:sz="4" w:space="0" w:color="auto"/>
              <w:right w:val="single" w:sz="4" w:space="0" w:color="auto"/>
            </w:tcBorders>
          </w:tcPr>
          <w:p w14:paraId="09A8C60A"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106,66</w:t>
            </w:r>
          </w:p>
        </w:tc>
        <w:tc>
          <w:tcPr>
            <w:tcW w:w="667" w:type="pct"/>
            <w:tcBorders>
              <w:top w:val="single" w:sz="4" w:space="0" w:color="auto"/>
              <w:left w:val="single" w:sz="4" w:space="0" w:color="auto"/>
              <w:bottom w:val="single" w:sz="4" w:space="0" w:color="auto"/>
              <w:right w:val="single" w:sz="4" w:space="0" w:color="auto"/>
            </w:tcBorders>
          </w:tcPr>
          <w:p w14:paraId="2AC230B2"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57,12</w:t>
            </w:r>
          </w:p>
        </w:tc>
        <w:tc>
          <w:tcPr>
            <w:tcW w:w="667" w:type="pct"/>
            <w:tcBorders>
              <w:top w:val="single" w:sz="4" w:space="0" w:color="auto"/>
              <w:left w:val="single" w:sz="4" w:space="0" w:color="auto"/>
              <w:bottom w:val="single" w:sz="4" w:space="0" w:color="auto"/>
              <w:right w:val="single" w:sz="4" w:space="0" w:color="auto"/>
            </w:tcBorders>
            <w:noWrap/>
            <w:hideMark/>
          </w:tcPr>
          <w:p w14:paraId="76D2E5F1"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84,38</w:t>
            </w:r>
          </w:p>
        </w:tc>
      </w:tr>
      <w:tr w:rsidR="00963F10" w:rsidRPr="00CA3C3F" w14:paraId="7D187185" w14:textId="77777777" w:rsidTr="00963F10">
        <w:trPr>
          <w:cantSplit/>
          <w:trHeight w:val="249"/>
        </w:trPr>
        <w:tc>
          <w:tcPr>
            <w:tcW w:w="998" w:type="pct"/>
            <w:tcBorders>
              <w:top w:val="nil"/>
              <w:left w:val="single" w:sz="4" w:space="0" w:color="auto"/>
              <w:bottom w:val="single" w:sz="4" w:space="0" w:color="auto"/>
              <w:right w:val="single" w:sz="4" w:space="0" w:color="auto"/>
            </w:tcBorders>
            <w:noWrap/>
          </w:tcPr>
          <w:p w14:paraId="1DEAEB66"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HCFC-225ca</w:t>
            </w:r>
          </w:p>
        </w:tc>
        <w:tc>
          <w:tcPr>
            <w:tcW w:w="667" w:type="pct"/>
            <w:tcBorders>
              <w:top w:val="single" w:sz="4" w:space="0" w:color="auto"/>
              <w:left w:val="single" w:sz="4" w:space="0" w:color="auto"/>
              <w:bottom w:val="single" w:sz="4" w:space="0" w:color="auto"/>
              <w:right w:val="single" w:sz="4" w:space="0" w:color="auto"/>
            </w:tcBorders>
          </w:tcPr>
          <w:p w14:paraId="5855772E" w14:textId="77777777" w:rsidR="00963F10" w:rsidRPr="00CA3C3F" w:rsidRDefault="00963F10" w:rsidP="00963F10">
            <w:pPr>
              <w:jc w:val="right"/>
              <w:rPr>
                <w:color w:val="000000" w:themeColor="text1"/>
                <w:sz w:val="20"/>
                <w:szCs w:val="20"/>
                <w:lang w:val="fr-CA"/>
              </w:rPr>
            </w:pPr>
            <w:r w:rsidRPr="00CA3C3F">
              <w:rPr>
                <w:sz w:val="20"/>
                <w:szCs w:val="20"/>
                <w:lang w:val="fr-CA"/>
              </w:rPr>
              <w:t>0,31</w:t>
            </w:r>
          </w:p>
        </w:tc>
        <w:tc>
          <w:tcPr>
            <w:tcW w:w="667" w:type="pct"/>
            <w:tcBorders>
              <w:top w:val="single" w:sz="4" w:space="0" w:color="auto"/>
              <w:left w:val="single" w:sz="4" w:space="0" w:color="auto"/>
              <w:bottom w:val="single" w:sz="4" w:space="0" w:color="auto"/>
              <w:right w:val="single" w:sz="4" w:space="0" w:color="auto"/>
            </w:tcBorders>
          </w:tcPr>
          <w:p w14:paraId="61C9F25B" w14:textId="77777777" w:rsidR="00963F10" w:rsidRPr="00CA3C3F" w:rsidRDefault="00963F10" w:rsidP="00963F10">
            <w:pPr>
              <w:jc w:val="right"/>
              <w:rPr>
                <w:color w:val="000000" w:themeColor="text1"/>
                <w:sz w:val="20"/>
                <w:szCs w:val="20"/>
                <w:lang w:val="fr-CA"/>
              </w:rPr>
            </w:pPr>
            <w:r w:rsidRPr="00CA3C3F">
              <w:rPr>
                <w:sz w:val="20"/>
                <w:szCs w:val="20"/>
                <w:lang w:val="fr-CA"/>
              </w:rPr>
              <w:t>0,15</w:t>
            </w:r>
          </w:p>
        </w:tc>
        <w:tc>
          <w:tcPr>
            <w:tcW w:w="667" w:type="pct"/>
            <w:tcBorders>
              <w:top w:val="single" w:sz="4" w:space="0" w:color="auto"/>
              <w:left w:val="single" w:sz="4" w:space="0" w:color="auto"/>
              <w:bottom w:val="single" w:sz="4" w:space="0" w:color="auto"/>
              <w:right w:val="single" w:sz="4" w:space="0" w:color="auto"/>
            </w:tcBorders>
          </w:tcPr>
          <w:p w14:paraId="1B637450" w14:textId="77777777" w:rsidR="00963F10" w:rsidRPr="00CA3C3F" w:rsidRDefault="00963F10" w:rsidP="00963F10">
            <w:pPr>
              <w:jc w:val="right"/>
              <w:rPr>
                <w:color w:val="000000" w:themeColor="text1"/>
                <w:sz w:val="20"/>
                <w:szCs w:val="20"/>
                <w:lang w:val="fr-CA"/>
              </w:rPr>
            </w:pPr>
            <w:r w:rsidRPr="00CA3C3F">
              <w:rPr>
                <w:sz w:val="20"/>
                <w:szCs w:val="20"/>
                <w:lang w:val="fr-CA"/>
              </w:rPr>
              <w:t>0,38</w:t>
            </w:r>
          </w:p>
        </w:tc>
        <w:tc>
          <w:tcPr>
            <w:tcW w:w="667" w:type="pct"/>
            <w:tcBorders>
              <w:top w:val="single" w:sz="4" w:space="0" w:color="auto"/>
              <w:left w:val="single" w:sz="4" w:space="0" w:color="auto"/>
              <w:bottom w:val="single" w:sz="4" w:space="0" w:color="auto"/>
              <w:right w:val="single" w:sz="4" w:space="0" w:color="auto"/>
            </w:tcBorders>
          </w:tcPr>
          <w:p w14:paraId="5171E014"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18AE2FE4" w14:textId="77777777" w:rsidR="00963F10" w:rsidRPr="00CA3C3F" w:rsidRDefault="00963F10" w:rsidP="00963F10">
            <w:pPr>
              <w:tabs>
                <w:tab w:val="left" w:pos="1220"/>
              </w:tabs>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noWrap/>
          </w:tcPr>
          <w:p w14:paraId="6D700263" w14:textId="77777777" w:rsidR="00963F10" w:rsidRPr="00CA3C3F" w:rsidRDefault="00963F10" w:rsidP="00963F10">
            <w:pPr>
              <w:tabs>
                <w:tab w:val="left" w:pos="1220"/>
              </w:tabs>
              <w:jc w:val="right"/>
              <w:rPr>
                <w:color w:val="000000" w:themeColor="text1"/>
                <w:sz w:val="20"/>
                <w:szCs w:val="20"/>
                <w:lang w:val="fr-CA"/>
              </w:rPr>
            </w:pPr>
            <w:r w:rsidRPr="00CA3C3F">
              <w:rPr>
                <w:color w:val="000000" w:themeColor="text1"/>
                <w:sz w:val="20"/>
                <w:szCs w:val="20"/>
                <w:lang w:val="fr-CA"/>
              </w:rPr>
              <w:t>0,17</w:t>
            </w:r>
          </w:p>
        </w:tc>
      </w:tr>
      <w:tr w:rsidR="00963F10" w:rsidRPr="00CA3C3F" w14:paraId="4CDDAE4E" w14:textId="77777777" w:rsidTr="00963F10">
        <w:trPr>
          <w:cantSplit/>
          <w:trHeight w:val="249"/>
        </w:trPr>
        <w:tc>
          <w:tcPr>
            <w:tcW w:w="998" w:type="pct"/>
            <w:tcBorders>
              <w:top w:val="nil"/>
              <w:left w:val="single" w:sz="4" w:space="0" w:color="auto"/>
              <w:bottom w:val="single" w:sz="4" w:space="0" w:color="auto"/>
              <w:right w:val="single" w:sz="4" w:space="0" w:color="auto"/>
            </w:tcBorders>
            <w:noWrap/>
          </w:tcPr>
          <w:p w14:paraId="2DC7E857"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HCFC-225cb</w:t>
            </w:r>
          </w:p>
        </w:tc>
        <w:tc>
          <w:tcPr>
            <w:tcW w:w="667" w:type="pct"/>
            <w:tcBorders>
              <w:top w:val="single" w:sz="4" w:space="0" w:color="auto"/>
              <w:left w:val="single" w:sz="4" w:space="0" w:color="auto"/>
              <w:bottom w:val="single" w:sz="4" w:space="0" w:color="auto"/>
              <w:right w:val="single" w:sz="4" w:space="0" w:color="auto"/>
            </w:tcBorders>
          </w:tcPr>
          <w:p w14:paraId="6929102B" w14:textId="77777777" w:rsidR="00963F10" w:rsidRPr="00CA3C3F" w:rsidRDefault="00963F10" w:rsidP="00963F10">
            <w:pPr>
              <w:jc w:val="right"/>
              <w:rPr>
                <w:color w:val="000000" w:themeColor="text1"/>
                <w:sz w:val="20"/>
                <w:szCs w:val="20"/>
                <w:lang w:val="fr-CA"/>
              </w:rPr>
            </w:pPr>
            <w:r w:rsidRPr="00CA3C3F">
              <w:rPr>
                <w:sz w:val="20"/>
                <w:szCs w:val="20"/>
                <w:lang w:val="fr-CA"/>
              </w:rPr>
              <w:t>0,31</w:t>
            </w:r>
          </w:p>
        </w:tc>
        <w:tc>
          <w:tcPr>
            <w:tcW w:w="667" w:type="pct"/>
            <w:tcBorders>
              <w:top w:val="single" w:sz="4" w:space="0" w:color="auto"/>
              <w:left w:val="single" w:sz="4" w:space="0" w:color="auto"/>
              <w:bottom w:val="single" w:sz="4" w:space="0" w:color="auto"/>
              <w:right w:val="single" w:sz="4" w:space="0" w:color="auto"/>
            </w:tcBorders>
          </w:tcPr>
          <w:p w14:paraId="675E3529" w14:textId="77777777" w:rsidR="00963F10" w:rsidRPr="00CA3C3F" w:rsidRDefault="00963F10" w:rsidP="00963F10">
            <w:pPr>
              <w:jc w:val="right"/>
              <w:rPr>
                <w:color w:val="000000" w:themeColor="text1"/>
                <w:sz w:val="20"/>
                <w:szCs w:val="20"/>
                <w:lang w:val="fr-CA"/>
              </w:rPr>
            </w:pPr>
            <w:r w:rsidRPr="00CA3C3F">
              <w:rPr>
                <w:sz w:val="20"/>
                <w:szCs w:val="20"/>
                <w:lang w:val="fr-CA"/>
              </w:rPr>
              <w:t>0,16</w:t>
            </w:r>
          </w:p>
        </w:tc>
        <w:tc>
          <w:tcPr>
            <w:tcW w:w="667" w:type="pct"/>
            <w:tcBorders>
              <w:top w:val="single" w:sz="4" w:space="0" w:color="auto"/>
              <w:left w:val="single" w:sz="4" w:space="0" w:color="auto"/>
              <w:bottom w:val="single" w:sz="4" w:space="0" w:color="auto"/>
              <w:right w:val="single" w:sz="4" w:space="0" w:color="auto"/>
            </w:tcBorders>
          </w:tcPr>
          <w:p w14:paraId="242A432F" w14:textId="77777777" w:rsidR="00963F10" w:rsidRPr="00CA3C3F" w:rsidRDefault="00963F10" w:rsidP="00963F10">
            <w:pPr>
              <w:jc w:val="right"/>
              <w:rPr>
                <w:color w:val="000000" w:themeColor="text1"/>
                <w:sz w:val="20"/>
                <w:szCs w:val="20"/>
                <w:lang w:val="fr-CA"/>
              </w:rPr>
            </w:pPr>
            <w:r w:rsidRPr="00CA3C3F">
              <w:rPr>
                <w:sz w:val="20"/>
                <w:szCs w:val="20"/>
                <w:lang w:val="fr-CA"/>
              </w:rPr>
              <w:t>0,38</w:t>
            </w:r>
          </w:p>
        </w:tc>
        <w:tc>
          <w:tcPr>
            <w:tcW w:w="667" w:type="pct"/>
            <w:tcBorders>
              <w:top w:val="single" w:sz="4" w:space="0" w:color="auto"/>
              <w:left w:val="single" w:sz="4" w:space="0" w:color="auto"/>
              <w:bottom w:val="single" w:sz="4" w:space="0" w:color="auto"/>
              <w:right w:val="single" w:sz="4" w:space="0" w:color="auto"/>
            </w:tcBorders>
          </w:tcPr>
          <w:p w14:paraId="04601B06"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75F96A73"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noWrap/>
          </w:tcPr>
          <w:p w14:paraId="7C75C399"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0,17</w:t>
            </w:r>
          </w:p>
        </w:tc>
      </w:tr>
      <w:tr w:rsidR="00963F10" w:rsidRPr="00CA3C3F" w14:paraId="7A0DDD96" w14:textId="77777777" w:rsidTr="00963F10">
        <w:trPr>
          <w:cantSplit/>
          <w:trHeight w:val="249"/>
        </w:trPr>
        <w:tc>
          <w:tcPr>
            <w:tcW w:w="998" w:type="pct"/>
            <w:tcBorders>
              <w:top w:val="nil"/>
              <w:left w:val="single" w:sz="4" w:space="0" w:color="auto"/>
              <w:bottom w:val="single" w:sz="4" w:space="0" w:color="auto"/>
              <w:right w:val="single" w:sz="4" w:space="0" w:color="auto"/>
            </w:tcBorders>
            <w:noWrap/>
            <w:hideMark/>
          </w:tcPr>
          <w:p w14:paraId="6F74CB90" w14:textId="77777777" w:rsidR="00963F10" w:rsidRPr="00CA3C3F" w:rsidRDefault="00963F10" w:rsidP="00963F10">
            <w:pPr>
              <w:ind w:left="25"/>
              <w:jc w:val="left"/>
              <w:rPr>
                <w:b/>
                <w:color w:val="000000" w:themeColor="text1"/>
                <w:sz w:val="20"/>
                <w:szCs w:val="20"/>
                <w:lang w:val="fr-CA"/>
              </w:rPr>
            </w:pPr>
            <w:r w:rsidRPr="00CA3C3F">
              <w:rPr>
                <w:b/>
                <w:color w:val="000000" w:themeColor="text1"/>
                <w:sz w:val="20"/>
                <w:szCs w:val="20"/>
                <w:lang w:val="fr-CA"/>
              </w:rPr>
              <w:t>Total</w:t>
            </w:r>
          </w:p>
        </w:tc>
        <w:tc>
          <w:tcPr>
            <w:tcW w:w="667" w:type="pct"/>
            <w:tcBorders>
              <w:top w:val="single" w:sz="4" w:space="0" w:color="auto"/>
              <w:left w:val="single" w:sz="4" w:space="0" w:color="auto"/>
              <w:bottom w:val="single" w:sz="4" w:space="0" w:color="auto"/>
              <w:right w:val="single" w:sz="4" w:space="0" w:color="auto"/>
            </w:tcBorders>
          </w:tcPr>
          <w:p w14:paraId="6EB23C5C"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1 894,28</w:t>
            </w:r>
          </w:p>
        </w:tc>
        <w:tc>
          <w:tcPr>
            <w:tcW w:w="667" w:type="pct"/>
            <w:tcBorders>
              <w:top w:val="single" w:sz="4" w:space="0" w:color="auto"/>
              <w:left w:val="single" w:sz="4" w:space="0" w:color="auto"/>
              <w:bottom w:val="single" w:sz="4" w:space="0" w:color="auto"/>
              <w:right w:val="single" w:sz="4" w:space="0" w:color="auto"/>
            </w:tcBorders>
          </w:tcPr>
          <w:p w14:paraId="46C288BD"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1 817,51</w:t>
            </w:r>
          </w:p>
        </w:tc>
        <w:tc>
          <w:tcPr>
            <w:tcW w:w="667" w:type="pct"/>
            <w:tcBorders>
              <w:top w:val="single" w:sz="4" w:space="0" w:color="auto"/>
              <w:left w:val="single" w:sz="4" w:space="0" w:color="auto"/>
              <w:bottom w:val="single" w:sz="4" w:space="0" w:color="auto"/>
              <w:right w:val="single" w:sz="4" w:space="0" w:color="auto"/>
            </w:tcBorders>
          </w:tcPr>
          <w:p w14:paraId="3004831E"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1 811,36</w:t>
            </w:r>
          </w:p>
        </w:tc>
        <w:tc>
          <w:tcPr>
            <w:tcW w:w="667" w:type="pct"/>
            <w:tcBorders>
              <w:top w:val="single" w:sz="4" w:space="0" w:color="auto"/>
              <w:left w:val="single" w:sz="4" w:space="0" w:color="auto"/>
              <w:bottom w:val="single" w:sz="4" w:space="0" w:color="auto"/>
              <w:right w:val="single" w:sz="4" w:space="0" w:color="auto"/>
            </w:tcBorders>
          </w:tcPr>
          <w:p w14:paraId="3826E22D"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969,25</w:t>
            </w:r>
          </w:p>
        </w:tc>
        <w:tc>
          <w:tcPr>
            <w:tcW w:w="667" w:type="pct"/>
            <w:tcBorders>
              <w:top w:val="single" w:sz="4" w:space="0" w:color="auto"/>
              <w:left w:val="single" w:sz="4" w:space="0" w:color="auto"/>
              <w:bottom w:val="single" w:sz="4" w:space="0" w:color="auto"/>
              <w:right w:val="single" w:sz="4" w:space="0" w:color="auto"/>
            </w:tcBorders>
          </w:tcPr>
          <w:p w14:paraId="46BFAEBD"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1 115,65</w:t>
            </w:r>
          </w:p>
        </w:tc>
        <w:tc>
          <w:tcPr>
            <w:tcW w:w="667" w:type="pct"/>
            <w:tcBorders>
              <w:top w:val="single" w:sz="4" w:space="0" w:color="auto"/>
              <w:left w:val="single" w:sz="4" w:space="0" w:color="auto"/>
              <w:bottom w:val="single" w:sz="4" w:space="0" w:color="auto"/>
              <w:right w:val="single" w:sz="4" w:space="0" w:color="auto"/>
            </w:tcBorders>
            <w:noWrap/>
            <w:hideMark/>
          </w:tcPr>
          <w:p w14:paraId="429F730F"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2 523,21</w:t>
            </w:r>
          </w:p>
        </w:tc>
      </w:tr>
      <w:tr w:rsidR="00963F10" w:rsidRPr="00CA3C3F" w14:paraId="1D3A0DFF"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00FACD37" w14:textId="77777777" w:rsidR="00963F10" w:rsidRPr="00CA3C3F" w:rsidRDefault="00963F10" w:rsidP="00963F10">
            <w:pPr>
              <w:ind w:left="25"/>
              <w:jc w:val="left"/>
              <w:rPr>
                <w:b/>
                <w:bCs/>
                <w:color w:val="000000" w:themeColor="text1"/>
                <w:sz w:val="20"/>
                <w:szCs w:val="20"/>
                <w:lang w:val="fr-CA"/>
              </w:rPr>
            </w:pPr>
            <w:r w:rsidRPr="00CA3C3F">
              <w:rPr>
                <w:b/>
                <w:bCs/>
                <w:color w:val="000000" w:themeColor="text1"/>
                <w:sz w:val="20"/>
                <w:szCs w:val="20"/>
                <w:lang w:val="fr-CA"/>
              </w:rPr>
              <w:t>Tonnes PAO</w:t>
            </w:r>
          </w:p>
        </w:tc>
        <w:tc>
          <w:tcPr>
            <w:tcW w:w="667" w:type="pct"/>
            <w:tcBorders>
              <w:top w:val="single" w:sz="4" w:space="0" w:color="auto"/>
              <w:left w:val="single" w:sz="4" w:space="0" w:color="auto"/>
              <w:bottom w:val="single" w:sz="4" w:space="0" w:color="auto"/>
              <w:right w:val="single" w:sz="4" w:space="0" w:color="auto"/>
            </w:tcBorders>
          </w:tcPr>
          <w:p w14:paraId="309F6510" w14:textId="77777777" w:rsidR="00963F10" w:rsidRPr="00CA3C3F" w:rsidRDefault="00963F10" w:rsidP="00963F10">
            <w:pPr>
              <w:jc w:val="right"/>
              <w:rPr>
                <w:b/>
                <w:bCs/>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6DF4E57C" w14:textId="77777777" w:rsidR="00963F10" w:rsidRPr="00CA3C3F" w:rsidRDefault="00963F10" w:rsidP="00963F10">
            <w:pPr>
              <w:jc w:val="right"/>
              <w:rPr>
                <w:b/>
                <w:bCs/>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6714C71C" w14:textId="77777777" w:rsidR="00963F10" w:rsidRPr="00CA3C3F" w:rsidRDefault="00963F10" w:rsidP="00963F10">
            <w:pPr>
              <w:jc w:val="right"/>
              <w:rPr>
                <w:b/>
                <w:bCs/>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2327658D" w14:textId="77777777" w:rsidR="00963F10" w:rsidRPr="00CA3C3F" w:rsidRDefault="00963F10" w:rsidP="00963F10">
            <w:pPr>
              <w:jc w:val="right"/>
              <w:rPr>
                <w:b/>
                <w:bCs/>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tcPr>
          <w:p w14:paraId="396F86AC" w14:textId="77777777" w:rsidR="00963F10" w:rsidRPr="00CA3C3F" w:rsidRDefault="00963F10" w:rsidP="00963F10">
            <w:pPr>
              <w:jc w:val="right"/>
              <w:rPr>
                <w:b/>
                <w:bCs/>
                <w:color w:val="000000" w:themeColor="text1"/>
                <w:sz w:val="20"/>
                <w:szCs w:val="20"/>
                <w:lang w:val="fr-CA"/>
              </w:rPr>
            </w:pPr>
          </w:p>
        </w:tc>
        <w:tc>
          <w:tcPr>
            <w:tcW w:w="667" w:type="pct"/>
            <w:tcBorders>
              <w:top w:val="single" w:sz="4" w:space="0" w:color="auto"/>
              <w:left w:val="single" w:sz="4" w:space="0" w:color="auto"/>
              <w:bottom w:val="single" w:sz="4" w:space="0" w:color="auto"/>
              <w:right w:val="single" w:sz="4" w:space="0" w:color="auto"/>
            </w:tcBorders>
            <w:noWrap/>
          </w:tcPr>
          <w:p w14:paraId="068E5406" w14:textId="77777777" w:rsidR="00963F10" w:rsidRPr="00CA3C3F" w:rsidRDefault="00963F10" w:rsidP="00963F10">
            <w:pPr>
              <w:jc w:val="right"/>
              <w:rPr>
                <w:b/>
                <w:bCs/>
                <w:color w:val="000000" w:themeColor="text1"/>
                <w:sz w:val="20"/>
                <w:szCs w:val="20"/>
                <w:lang w:val="fr-CA"/>
              </w:rPr>
            </w:pPr>
          </w:p>
        </w:tc>
      </w:tr>
      <w:tr w:rsidR="00963F10" w:rsidRPr="00CA3C3F" w14:paraId="22C62FBE"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5737C2BB"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HCFC-22</w:t>
            </w:r>
          </w:p>
        </w:tc>
        <w:tc>
          <w:tcPr>
            <w:tcW w:w="667" w:type="pct"/>
            <w:tcBorders>
              <w:top w:val="single" w:sz="4" w:space="0" w:color="auto"/>
              <w:left w:val="single" w:sz="4" w:space="0" w:color="auto"/>
              <w:bottom w:val="single" w:sz="4" w:space="0" w:color="auto"/>
              <w:right w:val="single" w:sz="4" w:space="0" w:color="auto"/>
            </w:tcBorders>
          </w:tcPr>
          <w:p w14:paraId="11366AA2"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90,95</w:t>
            </w:r>
          </w:p>
        </w:tc>
        <w:tc>
          <w:tcPr>
            <w:tcW w:w="667" w:type="pct"/>
            <w:tcBorders>
              <w:top w:val="single" w:sz="4" w:space="0" w:color="auto"/>
              <w:left w:val="single" w:sz="4" w:space="0" w:color="auto"/>
              <w:bottom w:val="single" w:sz="4" w:space="0" w:color="auto"/>
              <w:right w:val="single" w:sz="4" w:space="0" w:color="auto"/>
            </w:tcBorders>
          </w:tcPr>
          <w:p w14:paraId="6FA59580"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88,86</w:t>
            </w:r>
          </w:p>
        </w:tc>
        <w:tc>
          <w:tcPr>
            <w:tcW w:w="667" w:type="pct"/>
            <w:tcBorders>
              <w:top w:val="single" w:sz="4" w:space="0" w:color="auto"/>
              <w:left w:val="single" w:sz="4" w:space="0" w:color="auto"/>
              <w:bottom w:val="single" w:sz="4" w:space="0" w:color="auto"/>
              <w:right w:val="single" w:sz="4" w:space="0" w:color="auto"/>
            </w:tcBorders>
          </w:tcPr>
          <w:p w14:paraId="3E6548B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90,38</w:t>
            </w:r>
          </w:p>
        </w:tc>
        <w:tc>
          <w:tcPr>
            <w:tcW w:w="667" w:type="pct"/>
            <w:tcBorders>
              <w:top w:val="single" w:sz="4" w:space="0" w:color="auto"/>
              <w:left w:val="single" w:sz="4" w:space="0" w:color="auto"/>
              <w:bottom w:val="single" w:sz="4" w:space="0" w:color="auto"/>
              <w:right w:val="single" w:sz="4" w:space="0" w:color="auto"/>
            </w:tcBorders>
          </w:tcPr>
          <w:p w14:paraId="4EA42A3D"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46,40</w:t>
            </w:r>
          </w:p>
        </w:tc>
        <w:tc>
          <w:tcPr>
            <w:tcW w:w="667" w:type="pct"/>
            <w:tcBorders>
              <w:top w:val="single" w:sz="4" w:space="0" w:color="auto"/>
              <w:left w:val="single" w:sz="4" w:space="0" w:color="auto"/>
              <w:bottom w:val="single" w:sz="4" w:space="0" w:color="auto"/>
              <w:right w:val="single" w:sz="4" w:space="0" w:color="auto"/>
            </w:tcBorders>
          </w:tcPr>
          <w:p w14:paraId="0AF54D1D"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57,18</w:t>
            </w:r>
          </w:p>
        </w:tc>
        <w:tc>
          <w:tcPr>
            <w:tcW w:w="667" w:type="pct"/>
            <w:tcBorders>
              <w:top w:val="single" w:sz="4" w:space="0" w:color="auto"/>
              <w:left w:val="single" w:sz="4" w:space="0" w:color="auto"/>
              <w:bottom w:val="single" w:sz="4" w:space="0" w:color="auto"/>
              <w:right w:val="single" w:sz="4" w:space="0" w:color="auto"/>
            </w:tcBorders>
            <w:noWrap/>
            <w:hideMark/>
          </w:tcPr>
          <w:p w14:paraId="7F9C1B09"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107,77</w:t>
            </w:r>
          </w:p>
        </w:tc>
      </w:tr>
      <w:tr w:rsidR="00963F10" w:rsidRPr="00CA3C3F" w14:paraId="731462E9"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28224F16"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HCFC-141b</w:t>
            </w:r>
          </w:p>
        </w:tc>
        <w:tc>
          <w:tcPr>
            <w:tcW w:w="667" w:type="pct"/>
            <w:tcBorders>
              <w:top w:val="single" w:sz="4" w:space="0" w:color="auto"/>
              <w:left w:val="single" w:sz="4" w:space="0" w:color="auto"/>
              <w:bottom w:val="single" w:sz="4" w:space="0" w:color="auto"/>
              <w:right w:val="single" w:sz="4" w:space="0" w:color="auto"/>
            </w:tcBorders>
          </w:tcPr>
          <w:p w14:paraId="4740C846"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20,18</w:t>
            </w:r>
          </w:p>
        </w:tc>
        <w:tc>
          <w:tcPr>
            <w:tcW w:w="667" w:type="pct"/>
            <w:tcBorders>
              <w:top w:val="single" w:sz="4" w:space="0" w:color="auto"/>
              <w:left w:val="single" w:sz="4" w:space="0" w:color="auto"/>
              <w:bottom w:val="single" w:sz="4" w:space="0" w:color="auto"/>
              <w:right w:val="single" w:sz="4" w:space="0" w:color="auto"/>
            </w:tcBorders>
          </w:tcPr>
          <w:p w14:paraId="1B4FF1A2"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15,90</w:t>
            </w:r>
          </w:p>
        </w:tc>
        <w:tc>
          <w:tcPr>
            <w:tcW w:w="667" w:type="pct"/>
            <w:tcBorders>
              <w:top w:val="single" w:sz="4" w:space="0" w:color="auto"/>
              <w:left w:val="single" w:sz="4" w:space="0" w:color="auto"/>
              <w:bottom w:val="single" w:sz="4" w:space="0" w:color="auto"/>
              <w:right w:val="single" w:sz="4" w:space="0" w:color="auto"/>
            </w:tcBorders>
          </w:tcPr>
          <w:p w14:paraId="64F5A346"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12,21</w:t>
            </w:r>
          </w:p>
        </w:tc>
        <w:tc>
          <w:tcPr>
            <w:tcW w:w="667" w:type="pct"/>
            <w:tcBorders>
              <w:top w:val="single" w:sz="4" w:space="0" w:color="auto"/>
              <w:left w:val="single" w:sz="4" w:space="0" w:color="auto"/>
              <w:bottom w:val="single" w:sz="4" w:space="0" w:color="auto"/>
              <w:right w:val="single" w:sz="4" w:space="0" w:color="auto"/>
            </w:tcBorders>
          </w:tcPr>
          <w:p w14:paraId="3E85A2F3"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2,08</w:t>
            </w:r>
          </w:p>
        </w:tc>
        <w:tc>
          <w:tcPr>
            <w:tcW w:w="667" w:type="pct"/>
            <w:tcBorders>
              <w:top w:val="single" w:sz="4" w:space="0" w:color="auto"/>
              <w:left w:val="single" w:sz="4" w:space="0" w:color="auto"/>
              <w:bottom w:val="single" w:sz="4" w:space="0" w:color="auto"/>
              <w:right w:val="single" w:sz="4" w:space="0" w:color="auto"/>
            </w:tcBorders>
          </w:tcPr>
          <w:p w14:paraId="27C91B0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2,08</w:t>
            </w:r>
          </w:p>
        </w:tc>
        <w:tc>
          <w:tcPr>
            <w:tcW w:w="667" w:type="pct"/>
            <w:tcBorders>
              <w:top w:val="single" w:sz="4" w:space="0" w:color="auto"/>
              <w:left w:val="single" w:sz="4" w:space="0" w:color="auto"/>
              <w:bottom w:val="single" w:sz="4" w:space="0" w:color="auto"/>
              <w:right w:val="single" w:sz="4" w:space="0" w:color="auto"/>
            </w:tcBorders>
            <w:noWrap/>
            <w:hideMark/>
          </w:tcPr>
          <w:p w14:paraId="691F5BDF"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52,26</w:t>
            </w:r>
          </w:p>
        </w:tc>
      </w:tr>
      <w:tr w:rsidR="00963F10" w:rsidRPr="00CA3C3F" w14:paraId="65C8E0F3"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702369DF"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HCFC-142b</w:t>
            </w:r>
          </w:p>
        </w:tc>
        <w:tc>
          <w:tcPr>
            <w:tcW w:w="667" w:type="pct"/>
            <w:tcBorders>
              <w:top w:val="single" w:sz="4" w:space="0" w:color="auto"/>
              <w:left w:val="single" w:sz="4" w:space="0" w:color="auto"/>
              <w:bottom w:val="single" w:sz="4" w:space="0" w:color="auto"/>
              <w:right w:val="single" w:sz="4" w:space="0" w:color="auto"/>
            </w:tcBorders>
          </w:tcPr>
          <w:p w14:paraId="19A17924"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62B1078F"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3C7BDC9B"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76CAF01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626A5F27"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noWrap/>
          </w:tcPr>
          <w:p w14:paraId="25D1341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0,26</w:t>
            </w:r>
          </w:p>
        </w:tc>
      </w:tr>
      <w:tr w:rsidR="00963F10" w:rsidRPr="00CA3C3F" w14:paraId="2906D0F3"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666AAEC1"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HCFC-123</w:t>
            </w:r>
          </w:p>
        </w:tc>
        <w:tc>
          <w:tcPr>
            <w:tcW w:w="667" w:type="pct"/>
            <w:tcBorders>
              <w:top w:val="single" w:sz="4" w:space="0" w:color="auto"/>
              <w:left w:val="single" w:sz="4" w:space="0" w:color="auto"/>
              <w:bottom w:val="single" w:sz="4" w:space="0" w:color="auto"/>
              <w:right w:val="single" w:sz="4" w:space="0" w:color="auto"/>
            </w:tcBorders>
          </w:tcPr>
          <w:p w14:paraId="25BF1235"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1,14</w:t>
            </w:r>
          </w:p>
        </w:tc>
        <w:tc>
          <w:tcPr>
            <w:tcW w:w="667" w:type="pct"/>
            <w:tcBorders>
              <w:top w:val="single" w:sz="4" w:space="0" w:color="auto"/>
              <w:left w:val="single" w:sz="4" w:space="0" w:color="auto"/>
              <w:bottom w:val="single" w:sz="4" w:space="0" w:color="auto"/>
              <w:right w:val="single" w:sz="4" w:space="0" w:color="auto"/>
            </w:tcBorders>
          </w:tcPr>
          <w:p w14:paraId="2E2A4AE7"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1,15</w:t>
            </w:r>
          </w:p>
        </w:tc>
        <w:tc>
          <w:tcPr>
            <w:tcW w:w="667" w:type="pct"/>
            <w:tcBorders>
              <w:top w:val="single" w:sz="4" w:space="0" w:color="auto"/>
              <w:left w:val="single" w:sz="4" w:space="0" w:color="auto"/>
              <w:bottom w:val="single" w:sz="4" w:space="0" w:color="auto"/>
              <w:right w:val="single" w:sz="4" w:space="0" w:color="auto"/>
            </w:tcBorders>
          </w:tcPr>
          <w:p w14:paraId="27885CFB"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1,14</w:t>
            </w:r>
          </w:p>
        </w:tc>
        <w:tc>
          <w:tcPr>
            <w:tcW w:w="667" w:type="pct"/>
            <w:tcBorders>
              <w:top w:val="single" w:sz="4" w:space="0" w:color="auto"/>
              <w:left w:val="single" w:sz="4" w:space="0" w:color="auto"/>
              <w:bottom w:val="single" w:sz="4" w:space="0" w:color="auto"/>
              <w:right w:val="single" w:sz="4" w:space="0" w:color="auto"/>
            </w:tcBorders>
          </w:tcPr>
          <w:p w14:paraId="3563D397"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2,13</w:t>
            </w:r>
          </w:p>
        </w:tc>
        <w:tc>
          <w:tcPr>
            <w:tcW w:w="667" w:type="pct"/>
            <w:tcBorders>
              <w:top w:val="single" w:sz="4" w:space="0" w:color="auto"/>
              <w:left w:val="single" w:sz="4" w:space="0" w:color="auto"/>
              <w:bottom w:val="single" w:sz="4" w:space="0" w:color="auto"/>
              <w:right w:val="single" w:sz="4" w:space="0" w:color="auto"/>
            </w:tcBorders>
          </w:tcPr>
          <w:p w14:paraId="51B9097E"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1,14</w:t>
            </w:r>
          </w:p>
        </w:tc>
        <w:tc>
          <w:tcPr>
            <w:tcW w:w="667" w:type="pct"/>
            <w:tcBorders>
              <w:top w:val="single" w:sz="4" w:space="0" w:color="auto"/>
              <w:left w:val="single" w:sz="4" w:space="0" w:color="auto"/>
              <w:bottom w:val="single" w:sz="4" w:space="0" w:color="auto"/>
              <w:right w:val="single" w:sz="4" w:space="0" w:color="auto"/>
            </w:tcBorders>
            <w:noWrap/>
            <w:hideMark/>
          </w:tcPr>
          <w:p w14:paraId="42AE051C"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1,69</w:t>
            </w:r>
          </w:p>
        </w:tc>
      </w:tr>
      <w:tr w:rsidR="00963F10" w:rsidRPr="00CA3C3F" w14:paraId="6674C5DC"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tcPr>
          <w:p w14:paraId="058AC296"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HCFC-225ca</w:t>
            </w:r>
          </w:p>
        </w:tc>
        <w:tc>
          <w:tcPr>
            <w:tcW w:w="667" w:type="pct"/>
            <w:tcBorders>
              <w:top w:val="single" w:sz="4" w:space="0" w:color="auto"/>
              <w:left w:val="single" w:sz="4" w:space="0" w:color="auto"/>
              <w:bottom w:val="single" w:sz="4" w:space="0" w:color="auto"/>
              <w:right w:val="single" w:sz="4" w:space="0" w:color="auto"/>
            </w:tcBorders>
            <w:vAlign w:val="bottom"/>
          </w:tcPr>
          <w:p w14:paraId="3757B2D5" w14:textId="77777777" w:rsidR="00963F10" w:rsidRPr="00CA3C3F" w:rsidRDefault="00963F10" w:rsidP="00963F10">
            <w:pPr>
              <w:jc w:val="right"/>
              <w:rPr>
                <w:color w:val="000000" w:themeColor="text1"/>
                <w:sz w:val="20"/>
                <w:szCs w:val="20"/>
                <w:lang w:val="fr-CA"/>
              </w:rPr>
            </w:pPr>
            <w:r w:rsidRPr="00CA3C3F">
              <w:rPr>
                <w:color w:val="000000"/>
                <w:sz w:val="20"/>
                <w:szCs w:val="20"/>
                <w:lang w:val="fr-CA"/>
              </w:rPr>
              <w:t>0,01</w:t>
            </w:r>
          </w:p>
        </w:tc>
        <w:tc>
          <w:tcPr>
            <w:tcW w:w="667" w:type="pct"/>
            <w:tcBorders>
              <w:top w:val="single" w:sz="4" w:space="0" w:color="auto"/>
              <w:left w:val="single" w:sz="4" w:space="0" w:color="auto"/>
              <w:bottom w:val="single" w:sz="4" w:space="0" w:color="auto"/>
              <w:right w:val="single" w:sz="4" w:space="0" w:color="auto"/>
            </w:tcBorders>
            <w:vAlign w:val="bottom"/>
          </w:tcPr>
          <w:p w14:paraId="3A747404" w14:textId="77777777" w:rsidR="00963F10" w:rsidRPr="00CA3C3F" w:rsidRDefault="00963F10" w:rsidP="00963F10">
            <w:pPr>
              <w:jc w:val="right"/>
              <w:rPr>
                <w:color w:val="000000" w:themeColor="text1"/>
                <w:sz w:val="20"/>
                <w:szCs w:val="20"/>
                <w:lang w:val="fr-CA"/>
              </w:rPr>
            </w:pPr>
            <w:r w:rsidRPr="00CA3C3F">
              <w:rPr>
                <w:color w:val="000000"/>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vAlign w:val="bottom"/>
          </w:tcPr>
          <w:p w14:paraId="209380BE" w14:textId="77777777" w:rsidR="00963F10" w:rsidRPr="00CA3C3F" w:rsidRDefault="00963F10" w:rsidP="00963F10">
            <w:pPr>
              <w:jc w:val="right"/>
              <w:rPr>
                <w:color w:val="000000" w:themeColor="text1"/>
                <w:sz w:val="20"/>
                <w:szCs w:val="20"/>
                <w:lang w:val="fr-CA"/>
              </w:rPr>
            </w:pPr>
            <w:r w:rsidRPr="00CA3C3F">
              <w:rPr>
                <w:color w:val="000000"/>
                <w:sz w:val="20"/>
                <w:szCs w:val="20"/>
                <w:lang w:val="fr-CA"/>
              </w:rPr>
              <w:t>0,01</w:t>
            </w:r>
          </w:p>
        </w:tc>
        <w:tc>
          <w:tcPr>
            <w:tcW w:w="667" w:type="pct"/>
            <w:tcBorders>
              <w:top w:val="single" w:sz="4" w:space="0" w:color="auto"/>
              <w:left w:val="single" w:sz="4" w:space="0" w:color="auto"/>
              <w:bottom w:val="single" w:sz="4" w:space="0" w:color="auto"/>
              <w:right w:val="single" w:sz="4" w:space="0" w:color="auto"/>
            </w:tcBorders>
          </w:tcPr>
          <w:p w14:paraId="55BEB0D8"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0F9334AD"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noWrap/>
          </w:tcPr>
          <w:p w14:paraId="1D587B09"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r>
      <w:tr w:rsidR="00963F10" w:rsidRPr="00CA3C3F" w14:paraId="1375BFB8" w14:textId="77777777" w:rsidTr="00963F10">
        <w:trPr>
          <w:cantSplit/>
          <w:trHeight w:val="50"/>
        </w:trPr>
        <w:tc>
          <w:tcPr>
            <w:tcW w:w="998" w:type="pct"/>
            <w:tcBorders>
              <w:top w:val="single" w:sz="4" w:space="0" w:color="auto"/>
              <w:left w:val="single" w:sz="4" w:space="0" w:color="auto"/>
              <w:bottom w:val="single" w:sz="4" w:space="0" w:color="auto"/>
              <w:right w:val="single" w:sz="4" w:space="0" w:color="auto"/>
            </w:tcBorders>
            <w:noWrap/>
          </w:tcPr>
          <w:p w14:paraId="28D76E9A" w14:textId="77777777" w:rsidR="00963F10" w:rsidRPr="00CA3C3F" w:rsidRDefault="00963F10" w:rsidP="00963F10">
            <w:pPr>
              <w:ind w:left="25"/>
              <w:jc w:val="left"/>
              <w:rPr>
                <w:color w:val="000000" w:themeColor="text1"/>
                <w:sz w:val="20"/>
                <w:szCs w:val="20"/>
                <w:lang w:val="fr-CA"/>
              </w:rPr>
            </w:pPr>
            <w:r w:rsidRPr="00CA3C3F">
              <w:rPr>
                <w:color w:val="000000" w:themeColor="text1"/>
                <w:sz w:val="20"/>
                <w:szCs w:val="20"/>
                <w:lang w:val="fr-CA"/>
              </w:rPr>
              <w:t>HCFC-225cb</w:t>
            </w:r>
          </w:p>
        </w:tc>
        <w:tc>
          <w:tcPr>
            <w:tcW w:w="667" w:type="pct"/>
            <w:tcBorders>
              <w:top w:val="single" w:sz="4" w:space="0" w:color="auto"/>
              <w:left w:val="single" w:sz="4" w:space="0" w:color="auto"/>
              <w:bottom w:val="single" w:sz="4" w:space="0" w:color="auto"/>
              <w:right w:val="single" w:sz="4" w:space="0" w:color="auto"/>
            </w:tcBorders>
            <w:vAlign w:val="bottom"/>
          </w:tcPr>
          <w:p w14:paraId="6BBAD013" w14:textId="77777777" w:rsidR="00963F10" w:rsidRPr="00CA3C3F" w:rsidRDefault="00963F10" w:rsidP="00963F10">
            <w:pPr>
              <w:jc w:val="right"/>
              <w:rPr>
                <w:color w:val="000000" w:themeColor="text1"/>
                <w:sz w:val="20"/>
                <w:szCs w:val="20"/>
                <w:lang w:val="fr-CA"/>
              </w:rPr>
            </w:pPr>
            <w:r w:rsidRPr="00CA3C3F">
              <w:rPr>
                <w:color w:val="000000"/>
                <w:sz w:val="20"/>
                <w:szCs w:val="20"/>
                <w:lang w:val="fr-CA"/>
              </w:rPr>
              <w:t>0,01</w:t>
            </w:r>
          </w:p>
        </w:tc>
        <w:tc>
          <w:tcPr>
            <w:tcW w:w="667" w:type="pct"/>
            <w:tcBorders>
              <w:top w:val="single" w:sz="4" w:space="0" w:color="auto"/>
              <w:left w:val="single" w:sz="4" w:space="0" w:color="auto"/>
              <w:bottom w:val="single" w:sz="4" w:space="0" w:color="auto"/>
              <w:right w:val="single" w:sz="4" w:space="0" w:color="auto"/>
            </w:tcBorders>
            <w:vAlign w:val="bottom"/>
          </w:tcPr>
          <w:p w14:paraId="78CD69B3" w14:textId="77777777" w:rsidR="00963F10" w:rsidRPr="00CA3C3F" w:rsidRDefault="00963F10" w:rsidP="00963F10">
            <w:pPr>
              <w:jc w:val="right"/>
              <w:rPr>
                <w:color w:val="000000" w:themeColor="text1"/>
                <w:sz w:val="20"/>
                <w:szCs w:val="20"/>
                <w:lang w:val="fr-CA"/>
              </w:rPr>
            </w:pPr>
            <w:r w:rsidRPr="00CA3C3F">
              <w:rPr>
                <w:color w:val="000000"/>
                <w:sz w:val="20"/>
                <w:szCs w:val="20"/>
                <w:lang w:val="fr-CA"/>
              </w:rPr>
              <w:t>0,01</w:t>
            </w:r>
          </w:p>
        </w:tc>
        <w:tc>
          <w:tcPr>
            <w:tcW w:w="667" w:type="pct"/>
            <w:tcBorders>
              <w:top w:val="single" w:sz="4" w:space="0" w:color="auto"/>
              <w:left w:val="single" w:sz="4" w:space="0" w:color="auto"/>
              <w:bottom w:val="single" w:sz="4" w:space="0" w:color="auto"/>
              <w:right w:val="single" w:sz="4" w:space="0" w:color="auto"/>
            </w:tcBorders>
            <w:vAlign w:val="bottom"/>
          </w:tcPr>
          <w:p w14:paraId="7B5D0184" w14:textId="77777777" w:rsidR="00963F10" w:rsidRPr="00CA3C3F" w:rsidRDefault="00963F10" w:rsidP="00963F10">
            <w:pPr>
              <w:jc w:val="right"/>
              <w:rPr>
                <w:color w:val="000000" w:themeColor="text1"/>
                <w:sz w:val="20"/>
                <w:szCs w:val="20"/>
                <w:lang w:val="fr-CA"/>
              </w:rPr>
            </w:pPr>
            <w:r w:rsidRPr="00CA3C3F">
              <w:rPr>
                <w:color w:val="000000"/>
                <w:sz w:val="20"/>
                <w:szCs w:val="20"/>
                <w:lang w:val="fr-CA"/>
              </w:rPr>
              <w:t>0,01</w:t>
            </w:r>
          </w:p>
        </w:tc>
        <w:tc>
          <w:tcPr>
            <w:tcW w:w="667" w:type="pct"/>
            <w:tcBorders>
              <w:top w:val="single" w:sz="4" w:space="0" w:color="auto"/>
              <w:left w:val="single" w:sz="4" w:space="0" w:color="auto"/>
              <w:bottom w:val="single" w:sz="4" w:space="0" w:color="auto"/>
              <w:right w:val="single" w:sz="4" w:space="0" w:color="auto"/>
            </w:tcBorders>
          </w:tcPr>
          <w:p w14:paraId="3A103125"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tcPr>
          <w:p w14:paraId="1A3A2C97"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c>
          <w:tcPr>
            <w:tcW w:w="667" w:type="pct"/>
            <w:tcBorders>
              <w:top w:val="single" w:sz="4" w:space="0" w:color="auto"/>
              <w:left w:val="single" w:sz="4" w:space="0" w:color="auto"/>
              <w:bottom w:val="single" w:sz="4" w:space="0" w:color="auto"/>
              <w:right w:val="single" w:sz="4" w:space="0" w:color="auto"/>
            </w:tcBorders>
            <w:noWrap/>
          </w:tcPr>
          <w:p w14:paraId="44CD4FA8" w14:textId="77777777" w:rsidR="00963F10" w:rsidRPr="00CA3C3F" w:rsidRDefault="00963F10" w:rsidP="00963F10">
            <w:pPr>
              <w:jc w:val="right"/>
              <w:rPr>
                <w:color w:val="000000" w:themeColor="text1"/>
                <w:sz w:val="20"/>
                <w:szCs w:val="20"/>
                <w:lang w:val="fr-CA"/>
              </w:rPr>
            </w:pPr>
            <w:r w:rsidRPr="00CA3C3F">
              <w:rPr>
                <w:color w:val="000000" w:themeColor="text1"/>
                <w:sz w:val="20"/>
                <w:szCs w:val="20"/>
                <w:lang w:val="fr-CA"/>
              </w:rPr>
              <w:t>0,00</w:t>
            </w:r>
          </w:p>
        </w:tc>
      </w:tr>
      <w:tr w:rsidR="00963F10" w:rsidRPr="00CA3C3F" w14:paraId="0BBDD60E" w14:textId="77777777" w:rsidTr="00963F10">
        <w:trPr>
          <w:cantSplit/>
          <w:trHeight w:val="249"/>
        </w:trPr>
        <w:tc>
          <w:tcPr>
            <w:tcW w:w="998" w:type="pct"/>
            <w:tcBorders>
              <w:top w:val="single" w:sz="4" w:space="0" w:color="auto"/>
              <w:left w:val="single" w:sz="4" w:space="0" w:color="auto"/>
              <w:bottom w:val="single" w:sz="4" w:space="0" w:color="auto"/>
              <w:right w:val="single" w:sz="4" w:space="0" w:color="auto"/>
            </w:tcBorders>
            <w:noWrap/>
            <w:hideMark/>
          </w:tcPr>
          <w:p w14:paraId="2748A799" w14:textId="77777777" w:rsidR="00963F10" w:rsidRPr="00CA3C3F" w:rsidRDefault="00963F10" w:rsidP="00963F10">
            <w:pPr>
              <w:ind w:left="25"/>
              <w:jc w:val="left"/>
              <w:rPr>
                <w:b/>
                <w:color w:val="000000" w:themeColor="text1"/>
                <w:sz w:val="20"/>
                <w:szCs w:val="20"/>
                <w:lang w:val="fr-CA"/>
              </w:rPr>
            </w:pPr>
            <w:r w:rsidRPr="00CA3C3F">
              <w:rPr>
                <w:b/>
                <w:color w:val="000000" w:themeColor="text1"/>
                <w:sz w:val="20"/>
                <w:szCs w:val="20"/>
                <w:lang w:val="fr-CA"/>
              </w:rPr>
              <w:t xml:space="preserve">Total </w:t>
            </w:r>
          </w:p>
        </w:tc>
        <w:tc>
          <w:tcPr>
            <w:tcW w:w="667" w:type="pct"/>
            <w:tcBorders>
              <w:top w:val="single" w:sz="4" w:space="0" w:color="auto"/>
              <w:left w:val="single" w:sz="4" w:space="0" w:color="auto"/>
              <w:bottom w:val="single" w:sz="4" w:space="0" w:color="auto"/>
              <w:right w:val="single" w:sz="4" w:space="0" w:color="auto"/>
            </w:tcBorders>
          </w:tcPr>
          <w:p w14:paraId="29526370"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112,28</w:t>
            </w:r>
          </w:p>
        </w:tc>
        <w:tc>
          <w:tcPr>
            <w:tcW w:w="667" w:type="pct"/>
            <w:tcBorders>
              <w:top w:val="single" w:sz="4" w:space="0" w:color="auto"/>
              <w:left w:val="single" w:sz="4" w:space="0" w:color="auto"/>
              <w:bottom w:val="single" w:sz="4" w:space="0" w:color="auto"/>
              <w:right w:val="single" w:sz="4" w:space="0" w:color="auto"/>
            </w:tcBorders>
          </w:tcPr>
          <w:p w14:paraId="58BD84C5"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105,90</w:t>
            </w:r>
          </w:p>
        </w:tc>
        <w:tc>
          <w:tcPr>
            <w:tcW w:w="667" w:type="pct"/>
            <w:tcBorders>
              <w:top w:val="single" w:sz="4" w:space="0" w:color="auto"/>
              <w:left w:val="single" w:sz="4" w:space="0" w:color="auto"/>
              <w:bottom w:val="single" w:sz="4" w:space="0" w:color="auto"/>
              <w:right w:val="single" w:sz="4" w:space="0" w:color="auto"/>
            </w:tcBorders>
          </w:tcPr>
          <w:p w14:paraId="799B6589"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103,73</w:t>
            </w:r>
          </w:p>
        </w:tc>
        <w:tc>
          <w:tcPr>
            <w:tcW w:w="667" w:type="pct"/>
            <w:tcBorders>
              <w:top w:val="single" w:sz="4" w:space="0" w:color="auto"/>
              <w:left w:val="single" w:sz="4" w:space="0" w:color="auto"/>
              <w:bottom w:val="single" w:sz="4" w:space="0" w:color="auto"/>
              <w:right w:val="single" w:sz="4" w:space="0" w:color="auto"/>
            </w:tcBorders>
          </w:tcPr>
          <w:p w14:paraId="59932F28"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50,62</w:t>
            </w:r>
          </w:p>
        </w:tc>
        <w:tc>
          <w:tcPr>
            <w:tcW w:w="667" w:type="pct"/>
            <w:tcBorders>
              <w:top w:val="single" w:sz="4" w:space="0" w:color="auto"/>
              <w:left w:val="single" w:sz="4" w:space="0" w:color="auto"/>
              <w:bottom w:val="single" w:sz="4" w:space="0" w:color="auto"/>
              <w:right w:val="single" w:sz="4" w:space="0" w:color="auto"/>
            </w:tcBorders>
          </w:tcPr>
          <w:p w14:paraId="7E84EB11"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60,40</w:t>
            </w:r>
          </w:p>
        </w:tc>
        <w:tc>
          <w:tcPr>
            <w:tcW w:w="667" w:type="pct"/>
            <w:tcBorders>
              <w:top w:val="single" w:sz="4" w:space="0" w:color="auto"/>
              <w:left w:val="single" w:sz="4" w:space="0" w:color="auto"/>
              <w:bottom w:val="single" w:sz="4" w:space="0" w:color="auto"/>
              <w:right w:val="single" w:sz="4" w:space="0" w:color="auto"/>
            </w:tcBorders>
            <w:noWrap/>
            <w:hideMark/>
          </w:tcPr>
          <w:p w14:paraId="4C3AEDB3" w14:textId="77777777" w:rsidR="00963F10" w:rsidRPr="00CA3C3F" w:rsidRDefault="00963F10" w:rsidP="00963F10">
            <w:pPr>
              <w:jc w:val="right"/>
              <w:rPr>
                <w:b/>
                <w:color w:val="000000" w:themeColor="text1"/>
                <w:sz w:val="20"/>
                <w:szCs w:val="20"/>
                <w:lang w:val="fr-CA"/>
              </w:rPr>
            </w:pPr>
            <w:r w:rsidRPr="00CA3C3F">
              <w:rPr>
                <w:b/>
                <w:color w:val="000000" w:themeColor="text1"/>
                <w:sz w:val="20"/>
                <w:szCs w:val="20"/>
                <w:lang w:val="fr-CA"/>
              </w:rPr>
              <w:t>161,98</w:t>
            </w:r>
          </w:p>
        </w:tc>
      </w:tr>
    </w:tbl>
    <w:p w14:paraId="0CC98B64" w14:textId="77777777" w:rsidR="00963F10" w:rsidRPr="00CA3C3F" w:rsidRDefault="00963F10" w:rsidP="00963F10">
      <w:pPr>
        <w:rPr>
          <w:lang w:val="fr-CA"/>
        </w:rPr>
      </w:pPr>
    </w:p>
    <w:p w14:paraId="2AF52690" w14:textId="77777777" w:rsidR="00963F10" w:rsidRPr="00841788" w:rsidRDefault="00963F10" w:rsidP="00963F10">
      <w:pPr>
        <w:pStyle w:val="Heading1"/>
        <w:rPr>
          <w:lang w:val="fr-CA"/>
        </w:rPr>
      </w:pPr>
      <w:r w:rsidRPr="00841788">
        <w:rPr>
          <w:lang w:val="fr-CA"/>
        </w:rPr>
        <w:t xml:space="preserve">Le gouvernement des Philippines a communiqué des données sur la consommation du secteur des HCFC dans le cadre du rapport </w:t>
      </w:r>
      <w:r>
        <w:rPr>
          <w:lang w:val="fr-CA"/>
        </w:rPr>
        <w:t>sur la</w:t>
      </w:r>
      <w:r w:rsidRPr="00841788">
        <w:rPr>
          <w:lang w:val="fr-CA"/>
        </w:rPr>
        <w:t xml:space="preserve"> mise en œuvre du programme de pays 2021, ce qui est conforme aux données communiquées au titre de l'article</w:t>
      </w:r>
      <w:r>
        <w:rPr>
          <w:lang w:val="fr-CA"/>
        </w:rPr>
        <w:t> </w:t>
      </w:r>
      <w:r w:rsidRPr="00841788">
        <w:rPr>
          <w:lang w:val="fr-CA"/>
        </w:rPr>
        <w:t xml:space="preserve">7 du </w:t>
      </w:r>
      <w:r>
        <w:rPr>
          <w:lang w:val="fr-CA"/>
        </w:rPr>
        <w:t>P</w:t>
      </w:r>
      <w:r w:rsidRPr="00841788">
        <w:rPr>
          <w:lang w:val="fr-CA"/>
        </w:rPr>
        <w:t>rotocole de Montréal.</w:t>
      </w:r>
    </w:p>
    <w:p w14:paraId="19D534BC" w14:textId="77777777" w:rsidR="00963F10" w:rsidRDefault="00963F10" w:rsidP="00963F10">
      <w:pPr>
        <w:rPr>
          <w:b/>
          <w:lang w:val="fr-CA"/>
        </w:rPr>
      </w:pPr>
      <w:r w:rsidRPr="00841788">
        <w:rPr>
          <w:b/>
          <w:lang w:val="fr-CA"/>
        </w:rPr>
        <w:t>Plan de mise en œuvre révisé pour la phase</w:t>
      </w:r>
      <w:r>
        <w:rPr>
          <w:b/>
          <w:lang w:val="fr-CA"/>
        </w:rPr>
        <w:t> </w:t>
      </w:r>
      <w:r w:rsidRPr="00841788">
        <w:rPr>
          <w:b/>
          <w:lang w:val="fr-CA"/>
        </w:rPr>
        <w:t>II du PGEH</w:t>
      </w:r>
    </w:p>
    <w:p w14:paraId="2354E2A5" w14:textId="77777777" w:rsidR="00963F10" w:rsidRPr="00841788" w:rsidRDefault="00963F10" w:rsidP="00963F10">
      <w:pPr>
        <w:rPr>
          <w:b/>
          <w:lang w:val="fr-CA"/>
        </w:rPr>
      </w:pPr>
    </w:p>
    <w:p w14:paraId="0A879F53" w14:textId="77777777" w:rsidR="00963F10" w:rsidRDefault="00963F10" w:rsidP="00963F10">
      <w:pPr>
        <w:rPr>
          <w:bCs/>
          <w:u w:val="single"/>
          <w:lang w:val="fr-CA"/>
        </w:rPr>
      </w:pPr>
      <w:r w:rsidRPr="00841788">
        <w:rPr>
          <w:bCs/>
          <w:u w:val="single"/>
          <w:lang w:val="fr-CA"/>
        </w:rPr>
        <w:t>Rapport périod</w:t>
      </w:r>
      <w:r>
        <w:rPr>
          <w:bCs/>
          <w:u w:val="single"/>
          <w:lang w:val="fr-CA"/>
        </w:rPr>
        <w:t>ique sur la mise en œuvre de l'A</w:t>
      </w:r>
      <w:r w:rsidRPr="00841788">
        <w:rPr>
          <w:bCs/>
          <w:u w:val="single"/>
          <w:lang w:val="fr-CA"/>
        </w:rPr>
        <w:t>ccord</w:t>
      </w:r>
    </w:p>
    <w:p w14:paraId="0FF7DC4B" w14:textId="77777777" w:rsidR="00963F10" w:rsidRPr="00841788" w:rsidRDefault="00963F10" w:rsidP="00963F10">
      <w:pPr>
        <w:rPr>
          <w:bCs/>
          <w:u w:val="single"/>
          <w:lang w:val="fr-CA"/>
        </w:rPr>
      </w:pPr>
    </w:p>
    <w:p w14:paraId="32CAD202" w14:textId="04897E39" w:rsidR="00963F10" w:rsidRPr="00841788" w:rsidRDefault="00963F10" w:rsidP="00963F10">
      <w:pPr>
        <w:pStyle w:val="Heading1"/>
        <w:rPr>
          <w:lang w:val="fr-CA"/>
        </w:rPr>
      </w:pPr>
      <w:r>
        <w:rPr>
          <w:lang w:val="fr-CA"/>
        </w:rPr>
        <w:t xml:space="preserve">Outre les </w:t>
      </w:r>
      <w:r w:rsidRPr="00841788">
        <w:rPr>
          <w:lang w:val="fr-CA"/>
        </w:rPr>
        <w:t xml:space="preserve">activités </w:t>
      </w:r>
      <w:r>
        <w:rPr>
          <w:lang w:val="fr-CA"/>
        </w:rPr>
        <w:t xml:space="preserve">menées </w:t>
      </w:r>
      <w:r w:rsidRPr="00841788">
        <w:rPr>
          <w:lang w:val="fr-CA"/>
        </w:rPr>
        <w:t xml:space="preserve">dans le secteur de l'entretien </w:t>
      </w:r>
      <w:r>
        <w:rPr>
          <w:lang w:val="fr-CA"/>
        </w:rPr>
        <w:t>de l’équipement de réfrigération</w:t>
      </w:r>
      <w:r w:rsidRPr="00841788">
        <w:rPr>
          <w:lang w:val="fr-CA"/>
        </w:rPr>
        <w:t>, le plan de mise en œuvre révisé approuvé lors de la 87</w:t>
      </w:r>
      <w:r w:rsidRPr="00841788">
        <w:rPr>
          <w:vertAlign w:val="superscript"/>
          <w:lang w:val="fr-CA"/>
        </w:rPr>
        <w:t>e</w:t>
      </w:r>
      <w:r>
        <w:rPr>
          <w:lang w:val="fr-CA"/>
        </w:rPr>
        <w:t> </w:t>
      </w:r>
      <w:r w:rsidRPr="00841788">
        <w:rPr>
          <w:lang w:val="fr-CA"/>
        </w:rPr>
        <w:t xml:space="preserve">réunion a maintenu l'assistance technique au secteur de la fabrication de </w:t>
      </w:r>
      <w:r>
        <w:rPr>
          <w:lang w:val="fr-CA"/>
        </w:rPr>
        <w:t>climatiseurs</w:t>
      </w:r>
      <w:r w:rsidRPr="00841788">
        <w:rPr>
          <w:lang w:val="fr-CA"/>
        </w:rPr>
        <w:t xml:space="preserve"> </w:t>
      </w:r>
      <w:r>
        <w:rPr>
          <w:lang w:val="fr-CA"/>
        </w:rPr>
        <w:t>en vue d’</w:t>
      </w:r>
      <w:r w:rsidRPr="00841788">
        <w:rPr>
          <w:lang w:val="fr-CA"/>
        </w:rPr>
        <w:t xml:space="preserve">aider le secteur à </w:t>
      </w:r>
      <w:r>
        <w:rPr>
          <w:lang w:val="fr-CA"/>
        </w:rPr>
        <w:t>envisager</w:t>
      </w:r>
      <w:r w:rsidRPr="00841788">
        <w:rPr>
          <w:lang w:val="fr-CA"/>
        </w:rPr>
        <w:t xml:space="preserve"> l'utilisation d'équipement à faible </w:t>
      </w:r>
      <w:r w:rsidR="0026119A">
        <w:rPr>
          <w:lang w:val="fr-CA"/>
        </w:rPr>
        <w:t>PRG</w:t>
      </w:r>
      <w:r w:rsidRPr="00841788">
        <w:rPr>
          <w:lang w:val="fr-CA"/>
        </w:rPr>
        <w:t xml:space="preserve"> et </w:t>
      </w:r>
      <w:r>
        <w:rPr>
          <w:lang w:val="fr-CA"/>
        </w:rPr>
        <w:t xml:space="preserve">à </w:t>
      </w:r>
      <w:r w:rsidRPr="00841788">
        <w:rPr>
          <w:lang w:val="fr-CA"/>
        </w:rPr>
        <w:t xml:space="preserve">encourager leur adoption sur le marché. </w:t>
      </w:r>
    </w:p>
    <w:p w14:paraId="29E76960" w14:textId="77777777" w:rsidR="00963F10" w:rsidRPr="00841788" w:rsidRDefault="00963F10" w:rsidP="00963F10">
      <w:pPr>
        <w:pStyle w:val="Heading1"/>
        <w:rPr>
          <w:lang w:val="fr-CA"/>
        </w:rPr>
      </w:pPr>
      <w:r w:rsidRPr="00841788">
        <w:rPr>
          <w:lang w:val="fr-CA"/>
        </w:rPr>
        <w:t xml:space="preserve">La mise en œuvre des activités restantes </w:t>
      </w:r>
      <w:r>
        <w:rPr>
          <w:lang w:val="fr-CA"/>
        </w:rPr>
        <w:t>dans</w:t>
      </w:r>
      <w:r w:rsidRPr="00841788">
        <w:rPr>
          <w:lang w:val="fr-CA"/>
        </w:rPr>
        <w:t xml:space="preserve"> le secteur de l'entretien et </w:t>
      </w:r>
      <w:r>
        <w:rPr>
          <w:lang w:val="fr-CA"/>
        </w:rPr>
        <w:t>des</w:t>
      </w:r>
      <w:r w:rsidRPr="00841788">
        <w:rPr>
          <w:lang w:val="fr-CA"/>
        </w:rPr>
        <w:t xml:space="preserve"> activités d'assistance technique dans le secteur de la fabrication de </w:t>
      </w:r>
      <w:r>
        <w:rPr>
          <w:lang w:val="fr-CA"/>
        </w:rPr>
        <w:t>climatiseurs</w:t>
      </w:r>
      <w:r w:rsidRPr="00841788">
        <w:rPr>
          <w:lang w:val="fr-CA"/>
        </w:rPr>
        <w:t xml:space="preserve"> </w:t>
      </w:r>
      <w:r>
        <w:rPr>
          <w:lang w:val="fr-CA"/>
        </w:rPr>
        <w:t>a</w:t>
      </w:r>
      <w:r w:rsidRPr="00841788">
        <w:rPr>
          <w:lang w:val="fr-CA"/>
        </w:rPr>
        <w:t xml:space="preserve"> été </w:t>
      </w:r>
      <w:r>
        <w:rPr>
          <w:lang w:val="fr-CA"/>
        </w:rPr>
        <w:t>touchée</w:t>
      </w:r>
      <w:r w:rsidRPr="00841788">
        <w:rPr>
          <w:lang w:val="fr-CA"/>
        </w:rPr>
        <w:t xml:space="preserve"> par les restrictions </w:t>
      </w:r>
      <w:r>
        <w:rPr>
          <w:lang w:val="fr-CA"/>
        </w:rPr>
        <w:t xml:space="preserve">imposées en raison de la </w:t>
      </w:r>
      <w:r w:rsidRPr="00841788">
        <w:rPr>
          <w:lang w:val="fr-CA"/>
        </w:rPr>
        <w:t xml:space="preserve">COVID-19. Les Philippines ont connu </w:t>
      </w:r>
      <w:r>
        <w:rPr>
          <w:lang w:val="fr-CA"/>
        </w:rPr>
        <w:t>le confinement</w:t>
      </w:r>
      <w:r w:rsidRPr="00841788">
        <w:rPr>
          <w:lang w:val="fr-CA"/>
        </w:rPr>
        <w:t xml:space="preserve"> pendant la majeure partie de 2020 et 2021</w:t>
      </w:r>
      <w:r>
        <w:rPr>
          <w:lang w:val="fr-CA"/>
        </w:rPr>
        <w:t>,</w:t>
      </w:r>
      <w:r w:rsidRPr="00841788">
        <w:rPr>
          <w:lang w:val="fr-CA"/>
        </w:rPr>
        <w:t xml:space="preserve"> et seuls les rassemblements </w:t>
      </w:r>
      <w:r>
        <w:rPr>
          <w:lang w:val="fr-CA"/>
        </w:rPr>
        <w:t>en</w:t>
      </w:r>
      <w:r w:rsidRPr="00841788">
        <w:rPr>
          <w:lang w:val="fr-CA"/>
        </w:rPr>
        <w:t xml:space="preserve"> petits groupes étaient autorisés, ce qui a ralenti la </w:t>
      </w:r>
      <w:r>
        <w:rPr>
          <w:lang w:val="fr-CA"/>
        </w:rPr>
        <w:t>conduite</w:t>
      </w:r>
      <w:r w:rsidRPr="00841788">
        <w:rPr>
          <w:lang w:val="fr-CA"/>
        </w:rPr>
        <w:t xml:space="preserve"> des activités de formation et d'assistance technique. </w:t>
      </w:r>
    </w:p>
    <w:p w14:paraId="2DC248C4" w14:textId="77777777" w:rsidR="00963F10" w:rsidRPr="00841788" w:rsidRDefault="00963F10" w:rsidP="00963F10">
      <w:pPr>
        <w:pStyle w:val="Heading1"/>
        <w:rPr>
          <w:lang w:val="fr-CA"/>
        </w:rPr>
      </w:pPr>
      <w:r w:rsidRPr="00841788">
        <w:rPr>
          <w:lang w:val="fr-CA"/>
        </w:rPr>
        <w:t>Depuis la 87</w:t>
      </w:r>
      <w:r w:rsidRPr="00EA431A">
        <w:rPr>
          <w:vertAlign w:val="superscript"/>
          <w:lang w:val="fr-CA"/>
        </w:rPr>
        <w:t>e</w:t>
      </w:r>
      <w:r>
        <w:rPr>
          <w:lang w:val="fr-CA"/>
        </w:rPr>
        <w:t> </w:t>
      </w:r>
      <w:r w:rsidRPr="00841788">
        <w:rPr>
          <w:lang w:val="fr-CA"/>
        </w:rPr>
        <w:t>réunion, les activités suivantes ont été entreprises</w:t>
      </w:r>
      <w:r>
        <w:rPr>
          <w:lang w:val="fr-CA"/>
        </w:rPr>
        <w:t> </w:t>
      </w:r>
      <w:r w:rsidRPr="00841788">
        <w:rPr>
          <w:lang w:val="fr-CA"/>
        </w:rPr>
        <w:t>:</w:t>
      </w:r>
    </w:p>
    <w:p w14:paraId="116E4639" w14:textId="77777777" w:rsidR="00963F10" w:rsidRPr="00E33C45" w:rsidRDefault="00963F10" w:rsidP="00963F10">
      <w:pPr>
        <w:pStyle w:val="Heading2"/>
        <w:rPr>
          <w:lang w:val="fr-CA"/>
        </w:rPr>
      </w:pPr>
      <w:r w:rsidRPr="00E33C45">
        <w:rPr>
          <w:i/>
          <w:iCs/>
          <w:lang w:val="fr-CA"/>
        </w:rPr>
        <w:t>Assistance technique pour les autorités politiques</w:t>
      </w:r>
      <w:r>
        <w:rPr>
          <w:i/>
          <w:iCs/>
          <w:lang w:val="fr-CA"/>
        </w:rPr>
        <w:t>/</w:t>
      </w:r>
      <w:r w:rsidRPr="00E33C45">
        <w:rPr>
          <w:i/>
          <w:iCs/>
          <w:lang w:val="fr-CA"/>
        </w:rPr>
        <w:t>d’exécution de la loi et des douanes </w:t>
      </w:r>
      <w:r w:rsidRPr="00E33C45">
        <w:rPr>
          <w:lang w:val="fr-CA"/>
        </w:rPr>
        <w:t xml:space="preserve">: Les normes minimales d’efficacité énergétique ont été mises à jour par le ministère de l'Énergie, et les </w:t>
      </w:r>
      <w:r w:rsidRPr="00E33C45">
        <w:rPr>
          <w:lang w:val="fr-CA"/>
        </w:rPr>
        <w:tab/>
        <w:t xml:space="preserve">directives d'application du programme philippin d'étiquetage énergétique pour les climatiseurs ont été publiées en mai 2021; des identificateurs de frigorigènes multiples ont été distribués aux bureaux régionaux </w:t>
      </w:r>
      <w:r>
        <w:rPr>
          <w:lang w:val="fr-CA"/>
        </w:rPr>
        <w:t>de l’Office</w:t>
      </w:r>
      <w:r w:rsidRPr="00E33C45">
        <w:rPr>
          <w:lang w:val="fr-CA"/>
        </w:rPr>
        <w:t xml:space="preserve"> de gestion de l'environnement du ministère de l'Environnement et des Ressources naturelles en 2021; les discussions avec le Bureau des douanes pour mettre en œuvre le programme de formation douanière ont été finalisées; une formation en ligne </w:t>
      </w:r>
      <w:r>
        <w:rPr>
          <w:lang w:val="fr-CA"/>
        </w:rPr>
        <w:t xml:space="preserve">à l’intention de </w:t>
      </w:r>
      <w:r w:rsidRPr="00E33C45">
        <w:rPr>
          <w:lang w:val="fr-CA"/>
        </w:rPr>
        <w:t>30</w:t>
      </w:r>
      <w:r>
        <w:rPr>
          <w:lang w:val="fr-CA"/>
        </w:rPr>
        <w:t> </w:t>
      </w:r>
      <w:r w:rsidRPr="00E33C45">
        <w:rPr>
          <w:lang w:val="fr-CA"/>
        </w:rPr>
        <w:t xml:space="preserve">agents des douanes et autres </w:t>
      </w:r>
      <w:r>
        <w:rPr>
          <w:lang w:val="fr-CA"/>
        </w:rPr>
        <w:t xml:space="preserve">agents </w:t>
      </w:r>
      <w:r w:rsidRPr="00E33C45">
        <w:rPr>
          <w:lang w:val="fr-CA"/>
        </w:rPr>
        <w:t xml:space="preserve">d'exécution </w:t>
      </w:r>
      <w:r>
        <w:rPr>
          <w:lang w:val="fr-CA"/>
        </w:rPr>
        <w:t xml:space="preserve">de la loi </w:t>
      </w:r>
      <w:r w:rsidRPr="00E33C45">
        <w:rPr>
          <w:lang w:val="fr-CA"/>
        </w:rPr>
        <w:t>a été organisée et un atelier de formation des instructeurs en personne a été lancé le 5</w:t>
      </w:r>
      <w:r>
        <w:rPr>
          <w:lang w:val="fr-CA"/>
        </w:rPr>
        <w:t> </w:t>
      </w:r>
      <w:r w:rsidRPr="00E33C45">
        <w:rPr>
          <w:lang w:val="fr-CA"/>
        </w:rPr>
        <w:t>mai</w:t>
      </w:r>
      <w:r>
        <w:rPr>
          <w:lang w:val="fr-CA"/>
        </w:rPr>
        <w:t> </w:t>
      </w:r>
      <w:r w:rsidRPr="00E33C45">
        <w:rPr>
          <w:lang w:val="fr-CA"/>
        </w:rPr>
        <w:t>2022 pour 20</w:t>
      </w:r>
      <w:r>
        <w:rPr>
          <w:lang w:val="fr-CA"/>
        </w:rPr>
        <w:t> instructeurs</w:t>
      </w:r>
      <w:r w:rsidRPr="00E33C45">
        <w:rPr>
          <w:lang w:val="fr-CA"/>
        </w:rPr>
        <w:t xml:space="preserve">; </w:t>
      </w:r>
      <w:r>
        <w:rPr>
          <w:lang w:val="fr-CA"/>
        </w:rPr>
        <w:t>on a rédigé les mandats</w:t>
      </w:r>
      <w:r w:rsidRPr="00E33C45">
        <w:rPr>
          <w:lang w:val="fr-CA"/>
        </w:rPr>
        <w:t xml:space="preserve"> pour l'embauche d'un consultant en t</w:t>
      </w:r>
      <w:r>
        <w:rPr>
          <w:lang w:val="fr-CA"/>
        </w:rPr>
        <w:t>echnologie de l'information en vue d’</w:t>
      </w:r>
      <w:r w:rsidRPr="00E33C45">
        <w:rPr>
          <w:lang w:val="fr-CA"/>
        </w:rPr>
        <w:t>améliorer le système d'octroi de licences et de gestion des données de l'</w:t>
      </w:r>
      <w:r>
        <w:rPr>
          <w:lang w:val="fr-CA"/>
        </w:rPr>
        <w:t>u</w:t>
      </w:r>
      <w:r w:rsidRPr="00E33C45">
        <w:rPr>
          <w:lang w:val="fr-CA"/>
        </w:rPr>
        <w:t xml:space="preserve">nité nationale d'ozone; </w:t>
      </w:r>
    </w:p>
    <w:p w14:paraId="4E88A2F7" w14:textId="2BD9DDAE" w:rsidR="00963F10" w:rsidRPr="00475AE6" w:rsidRDefault="00963F10" w:rsidP="00963F10">
      <w:pPr>
        <w:pStyle w:val="Heading2"/>
        <w:rPr>
          <w:color w:val="000000" w:themeColor="text1"/>
          <w:lang w:val="fr-CA"/>
        </w:rPr>
      </w:pPr>
      <w:r w:rsidRPr="005266C6">
        <w:rPr>
          <w:i/>
          <w:color w:val="000000" w:themeColor="text1"/>
          <w:lang w:val="fr-CA"/>
        </w:rPr>
        <w:t xml:space="preserve">Assistance technique au secteur de l'entretien </w:t>
      </w:r>
      <w:r>
        <w:rPr>
          <w:i/>
          <w:color w:val="000000" w:themeColor="text1"/>
          <w:lang w:val="fr-CA"/>
        </w:rPr>
        <w:t>destinée à</w:t>
      </w:r>
      <w:r w:rsidRPr="005266C6">
        <w:rPr>
          <w:i/>
          <w:color w:val="000000" w:themeColor="text1"/>
          <w:lang w:val="fr-CA"/>
        </w:rPr>
        <w:t xml:space="preserve"> promouvoir les pratiques</w:t>
      </w:r>
      <w:r>
        <w:rPr>
          <w:i/>
          <w:color w:val="000000" w:themeColor="text1"/>
          <w:lang w:val="fr-CA"/>
        </w:rPr>
        <w:t xml:space="preserve"> exemplaires</w:t>
      </w:r>
      <w:r w:rsidRPr="005266C6">
        <w:rPr>
          <w:i/>
          <w:color w:val="000000" w:themeColor="text1"/>
          <w:lang w:val="fr-CA"/>
        </w:rPr>
        <w:t xml:space="preserve"> en matière de réfrigération</w:t>
      </w:r>
      <w:r>
        <w:rPr>
          <w:i/>
          <w:color w:val="000000" w:themeColor="text1"/>
          <w:lang w:val="fr-CA"/>
        </w:rPr>
        <w:t xml:space="preserve"> et à </w:t>
      </w:r>
      <w:r w:rsidRPr="005266C6">
        <w:rPr>
          <w:i/>
          <w:color w:val="000000" w:themeColor="text1"/>
          <w:lang w:val="fr-CA"/>
        </w:rPr>
        <w:t xml:space="preserve">démontrer et encourager l'utilisation de solutions de remplacement à faible </w:t>
      </w:r>
      <w:r w:rsidR="0026119A">
        <w:rPr>
          <w:i/>
          <w:color w:val="000000" w:themeColor="text1"/>
          <w:lang w:val="fr-CA"/>
        </w:rPr>
        <w:t>PRG</w:t>
      </w:r>
      <w:r>
        <w:rPr>
          <w:i/>
          <w:color w:val="000000" w:themeColor="text1"/>
          <w:lang w:val="fr-CA"/>
        </w:rPr>
        <w:t> </w:t>
      </w:r>
      <w:r>
        <w:rPr>
          <w:color w:val="000000" w:themeColor="text1"/>
          <w:lang w:val="fr-CA"/>
        </w:rPr>
        <w:t>: L</w:t>
      </w:r>
      <w:r w:rsidRPr="00475AE6">
        <w:rPr>
          <w:color w:val="000000" w:themeColor="text1"/>
          <w:lang w:val="fr-CA"/>
        </w:rPr>
        <w:t xml:space="preserve">a formation des techniciens n'a pas été achevée; </w:t>
      </w:r>
      <w:r>
        <w:rPr>
          <w:color w:val="000000" w:themeColor="text1"/>
          <w:lang w:val="fr-CA"/>
        </w:rPr>
        <w:t xml:space="preserve">on a, </w:t>
      </w:r>
      <w:r w:rsidRPr="00475AE6">
        <w:rPr>
          <w:color w:val="000000" w:themeColor="text1"/>
          <w:lang w:val="fr-CA"/>
        </w:rPr>
        <w:t xml:space="preserve">toutefois, </w:t>
      </w:r>
      <w:r>
        <w:rPr>
          <w:color w:val="000000" w:themeColor="text1"/>
          <w:lang w:val="fr-CA"/>
        </w:rPr>
        <w:t>assuré la</w:t>
      </w:r>
      <w:r w:rsidRPr="00475AE6">
        <w:rPr>
          <w:color w:val="000000" w:themeColor="text1"/>
          <w:lang w:val="fr-CA"/>
        </w:rPr>
        <w:t xml:space="preserve"> coordination avec l'institut de formation, l'autorité chargée de l'</w:t>
      </w:r>
      <w:r>
        <w:rPr>
          <w:color w:val="000000" w:themeColor="text1"/>
          <w:lang w:val="fr-CA"/>
        </w:rPr>
        <w:t xml:space="preserve">enseignement </w:t>
      </w:r>
      <w:r w:rsidRPr="00475AE6">
        <w:rPr>
          <w:color w:val="000000" w:themeColor="text1"/>
          <w:lang w:val="fr-CA"/>
        </w:rPr>
        <w:t xml:space="preserve">technique et du </w:t>
      </w:r>
      <w:r>
        <w:rPr>
          <w:color w:val="000000" w:themeColor="text1"/>
          <w:lang w:val="fr-CA"/>
        </w:rPr>
        <w:t>renforcement</w:t>
      </w:r>
      <w:r w:rsidRPr="00475AE6">
        <w:rPr>
          <w:color w:val="000000" w:themeColor="text1"/>
          <w:lang w:val="fr-CA"/>
        </w:rPr>
        <w:t xml:space="preserve"> des compétences (TESDA), </w:t>
      </w:r>
      <w:r>
        <w:rPr>
          <w:color w:val="000000" w:themeColor="text1"/>
          <w:lang w:val="fr-CA"/>
        </w:rPr>
        <w:t>a</w:t>
      </w:r>
      <w:r w:rsidRPr="00475AE6">
        <w:rPr>
          <w:color w:val="000000" w:themeColor="text1"/>
          <w:lang w:val="fr-CA"/>
        </w:rPr>
        <w:t xml:space="preserve">fin de faciliter l'organisation de la formation dans les meilleurs délais; un soutien technique a continué d'être </w:t>
      </w:r>
      <w:r>
        <w:rPr>
          <w:color w:val="000000" w:themeColor="text1"/>
          <w:lang w:val="fr-CA"/>
        </w:rPr>
        <w:t>procuré</w:t>
      </w:r>
      <w:r w:rsidRPr="00475AE6">
        <w:rPr>
          <w:color w:val="000000" w:themeColor="text1"/>
          <w:lang w:val="fr-CA"/>
        </w:rPr>
        <w:t xml:space="preserve"> au centre de recyclage désigné, DELSA </w:t>
      </w:r>
      <w:proofErr w:type="spellStart"/>
      <w:r w:rsidRPr="00475AE6">
        <w:rPr>
          <w:color w:val="000000" w:themeColor="text1"/>
          <w:lang w:val="fr-CA"/>
        </w:rPr>
        <w:t>Inc</w:t>
      </w:r>
      <w:proofErr w:type="spellEnd"/>
      <w:r w:rsidRPr="00475AE6">
        <w:rPr>
          <w:color w:val="000000" w:themeColor="text1"/>
          <w:lang w:val="fr-CA"/>
        </w:rPr>
        <w:t xml:space="preserve">; </w:t>
      </w:r>
      <w:r>
        <w:rPr>
          <w:color w:val="000000" w:themeColor="text1"/>
          <w:lang w:val="fr-CA"/>
        </w:rPr>
        <w:t xml:space="preserve">on analyse actuellement </w:t>
      </w:r>
      <w:r w:rsidRPr="00475AE6">
        <w:rPr>
          <w:color w:val="000000" w:themeColor="text1"/>
          <w:lang w:val="fr-CA"/>
        </w:rPr>
        <w:t xml:space="preserve">la quantité de HCFC et d'autres frigorigènes </w:t>
      </w:r>
      <w:r>
        <w:rPr>
          <w:color w:val="000000" w:themeColor="text1"/>
          <w:lang w:val="fr-CA"/>
        </w:rPr>
        <w:t>recueillis</w:t>
      </w:r>
      <w:r w:rsidRPr="00475AE6">
        <w:rPr>
          <w:color w:val="000000" w:themeColor="text1"/>
          <w:lang w:val="fr-CA"/>
        </w:rPr>
        <w:t xml:space="preserve"> dans les centres de collecte région</w:t>
      </w:r>
      <w:r>
        <w:rPr>
          <w:color w:val="000000" w:themeColor="text1"/>
          <w:lang w:val="fr-CA"/>
        </w:rPr>
        <w:t>aux et les centres de recyclage</w:t>
      </w:r>
      <w:r w:rsidRPr="00475AE6">
        <w:rPr>
          <w:color w:val="000000" w:themeColor="text1"/>
          <w:lang w:val="fr-CA"/>
        </w:rPr>
        <w:t xml:space="preserve">, </w:t>
      </w:r>
      <w:r>
        <w:rPr>
          <w:color w:val="000000" w:themeColor="text1"/>
          <w:lang w:val="fr-CA"/>
        </w:rPr>
        <w:t>en vue</w:t>
      </w:r>
      <w:r w:rsidRPr="00475AE6">
        <w:rPr>
          <w:color w:val="000000" w:themeColor="text1"/>
          <w:lang w:val="fr-CA"/>
        </w:rPr>
        <w:t xml:space="preserve"> de déterminer la marche à suivre pour leur élimination; </w:t>
      </w:r>
      <w:r>
        <w:rPr>
          <w:color w:val="000000" w:themeColor="text1"/>
          <w:lang w:val="fr-CA"/>
        </w:rPr>
        <w:t xml:space="preserve">on a lancé </w:t>
      </w:r>
      <w:r w:rsidRPr="00475AE6">
        <w:rPr>
          <w:color w:val="000000" w:themeColor="text1"/>
          <w:lang w:val="fr-CA"/>
        </w:rPr>
        <w:t xml:space="preserve">des activités de sensibilisation des autorités chargées de la lutte contre les incendies </w:t>
      </w:r>
      <w:r>
        <w:rPr>
          <w:color w:val="000000" w:themeColor="text1"/>
          <w:lang w:val="fr-CA"/>
        </w:rPr>
        <w:t>dans le but</w:t>
      </w:r>
      <w:r w:rsidRPr="00475AE6">
        <w:rPr>
          <w:color w:val="000000" w:themeColor="text1"/>
          <w:lang w:val="fr-CA"/>
        </w:rPr>
        <w:t xml:space="preserve"> d'envisager des solutions de remplacement potentielles pour les applications de protection; </w:t>
      </w:r>
    </w:p>
    <w:p w14:paraId="6AE0C8A7" w14:textId="127E35E0" w:rsidR="00963F10" w:rsidRPr="00475AE6" w:rsidRDefault="00963F10" w:rsidP="00963F10">
      <w:pPr>
        <w:pStyle w:val="Heading2"/>
        <w:rPr>
          <w:color w:val="000000" w:themeColor="text1"/>
          <w:lang w:val="fr-CA"/>
        </w:rPr>
      </w:pPr>
      <w:r w:rsidRPr="00455B51">
        <w:rPr>
          <w:i/>
          <w:color w:val="000000" w:themeColor="text1"/>
          <w:lang w:val="fr-CA"/>
        </w:rPr>
        <w:t xml:space="preserve">Assistance technique au secteur de la fabrication de climatiseurs </w:t>
      </w:r>
      <w:r>
        <w:rPr>
          <w:i/>
          <w:color w:val="000000" w:themeColor="text1"/>
          <w:lang w:val="fr-CA"/>
        </w:rPr>
        <w:t>en vue de</w:t>
      </w:r>
      <w:r w:rsidRPr="00455B51">
        <w:rPr>
          <w:i/>
          <w:color w:val="000000" w:themeColor="text1"/>
          <w:lang w:val="fr-CA"/>
        </w:rPr>
        <w:t xml:space="preserve"> promouvoir les solutions de remplacement à faible </w:t>
      </w:r>
      <w:r w:rsidR="0026119A">
        <w:rPr>
          <w:i/>
          <w:color w:val="000000" w:themeColor="text1"/>
          <w:lang w:val="fr-CA"/>
        </w:rPr>
        <w:t>PRG</w:t>
      </w:r>
      <w:r>
        <w:rPr>
          <w:i/>
          <w:color w:val="000000" w:themeColor="text1"/>
          <w:lang w:val="fr-CA"/>
        </w:rPr>
        <w:t> </w:t>
      </w:r>
      <w:r>
        <w:rPr>
          <w:color w:val="000000" w:themeColor="text1"/>
          <w:lang w:val="fr-CA"/>
        </w:rPr>
        <w:t>: L</w:t>
      </w:r>
      <w:r w:rsidRPr="00475AE6">
        <w:rPr>
          <w:color w:val="000000" w:themeColor="text1"/>
          <w:lang w:val="fr-CA"/>
        </w:rPr>
        <w:t xml:space="preserve">a préparation des modules de formation a commencé pour la conduite d'un programme de formation et de sensibilisation </w:t>
      </w:r>
      <w:r>
        <w:rPr>
          <w:color w:val="000000" w:themeColor="text1"/>
          <w:lang w:val="fr-CA"/>
        </w:rPr>
        <w:t xml:space="preserve">se rapportant </w:t>
      </w:r>
      <w:r w:rsidRPr="00475AE6">
        <w:rPr>
          <w:color w:val="000000" w:themeColor="text1"/>
          <w:lang w:val="fr-CA"/>
        </w:rPr>
        <w:t xml:space="preserve">à </w:t>
      </w:r>
      <w:r>
        <w:rPr>
          <w:color w:val="000000" w:themeColor="text1"/>
          <w:lang w:val="fr-CA"/>
        </w:rPr>
        <w:t>l’utilisation en toute sécurité d</w:t>
      </w:r>
      <w:r w:rsidRPr="00475AE6">
        <w:rPr>
          <w:color w:val="000000" w:themeColor="text1"/>
          <w:lang w:val="fr-CA"/>
        </w:rPr>
        <w:t xml:space="preserve">es solutions de remplacement à faible </w:t>
      </w:r>
      <w:r w:rsidR="0026119A">
        <w:rPr>
          <w:color w:val="000000" w:themeColor="text1"/>
          <w:lang w:val="fr-CA"/>
        </w:rPr>
        <w:t>PRG</w:t>
      </w:r>
      <w:r w:rsidRPr="00475AE6">
        <w:rPr>
          <w:color w:val="000000" w:themeColor="text1"/>
          <w:lang w:val="fr-CA"/>
        </w:rPr>
        <w:t xml:space="preserve"> (y compris le HFC-32) </w:t>
      </w:r>
      <w:r>
        <w:rPr>
          <w:color w:val="000000" w:themeColor="text1"/>
          <w:lang w:val="fr-CA"/>
        </w:rPr>
        <w:t>dans</w:t>
      </w:r>
      <w:r w:rsidRPr="00475AE6">
        <w:rPr>
          <w:color w:val="000000" w:themeColor="text1"/>
          <w:lang w:val="fr-CA"/>
        </w:rPr>
        <w:t xml:space="preserve"> la fabrication, l'installation et l'entretien des climatiseurs.</w:t>
      </w:r>
    </w:p>
    <w:p w14:paraId="4C7E9039" w14:textId="180779F4" w:rsidR="00963F10" w:rsidRPr="00475AE6" w:rsidRDefault="00963F10" w:rsidP="00963F10">
      <w:pPr>
        <w:pStyle w:val="Heading2"/>
        <w:rPr>
          <w:color w:val="000000" w:themeColor="text1"/>
          <w:lang w:val="fr-CA"/>
        </w:rPr>
      </w:pPr>
      <w:r w:rsidRPr="00DB5C58">
        <w:rPr>
          <w:i/>
          <w:color w:val="000000" w:themeColor="text1"/>
          <w:lang w:val="fr-CA"/>
        </w:rPr>
        <w:t>Unité de gestion du projet (PMU)</w:t>
      </w:r>
      <w:r>
        <w:rPr>
          <w:color w:val="000000" w:themeColor="text1"/>
          <w:lang w:val="fr-CA"/>
        </w:rPr>
        <w:t> </w:t>
      </w:r>
      <w:r w:rsidRPr="00475AE6">
        <w:rPr>
          <w:color w:val="000000" w:themeColor="text1"/>
          <w:lang w:val="fr-CA"/>
        </w:rPr>
        <w:t>: un coord</w:t>
      </w:r>
      <w:r>
        <w:rPr>
          <w:color w:val="000000" w:themeColor="text1"/>
          <w:lang w:val="fr-CA"/>
        </w:rPr>
        <w:t>on</w:t>
      </w:r>
      <w:r w:rsidRPr="00475AE6">
        <w:rPr>
          <w:color w:val="000000" w:themeColor="text1"/>
          <w:lang w:val="fr-CA"/>
        </w:rPr>
        <w:t xml:space="preserve">nateur national a été recruté pour suivre l'avancement et la mise en œuvre </w:t>
      </w:r>
      <w:r>
        <w:rPr>
          <w:color w:val="000000" w:themeColor="text1"/>
          <w:lang w:val="fr-CA"/>
        </w:rPr>
        <w:t>des activités restantes du PGEH</w:t>
      </w:r>
      <w:r w:rsidRPr="00475AE6">
        <w:rPr>
          <w:color w:val="000000" w:themeColor="text1"/>
          <w:lang w:val="fr-CA"/>
        </w:rPr>
        <w:t xml:space="preserve">; des visites ont été effectuées dans les bureaux régionaux </w:t>
      </w:r>
      <w:r>
        <w:rPr>
          <w:color w:val="000000" w:themeColor="text1"/>
          <w:lang w:val="fr-CA"/>
        </w:rPr>
        <w:t>afin de</w:t>
      </w:r>
      <w:r w:rsidRPr="00475AE6">
        <w:rPr>
          <w:color w:val="000000" w:themeColor="text1"/>
          <w:lang w:val="fr-CA"/>
        </w:rPr>
        <w:t xml:space="preserve"> discuter des engagements du pays vis-à-vis du Protocole de Montréal et </w:t>
      </w:r>
      <w:r>
        <w:rPr>
          <w:color w:val="000000" w:themeColor="text1"/>
          <w:lang w:val="fr-CA"/>
        </w:rPr>
        <w:t xml:space="preserve">de </w:t>
      </w:r>
      <w:r w:rsidRPr="00475AE6">
        <w:rPr>
          <w:color w:val="000000" w:themeColor="text1"/>
          <w:lang w:val="fr-CA"/>
        </w:rPr>
        <w:t xml:space="preserve">promouvoir l'utilisation de frigorigènes à faible </w:t>
      </w:r>
      <w:r w:rsidR="0026119A">
        <w:rPr>
          <w:color w:val="000000" w:themeColor="text1"/>
          <w:lang w:val="fr-CA"/>
        </w:rPr>
        <w:t>PRG</w:t>
      </w:r>
      <w:r w:rsidRPr="00475AE6">
        <w:rPr>
          <w:color w:val="000000" w:themeColor="text1"/>
          <w:lang w:val="fr-CA"/>
        </w:rPr>
        <w:t xml:space="preserve">; </w:t>
      </w:r>
      <w:r>
        <w:rPr>
          <w:color w:val="000000" w:themeColor="text1"/>
          <w:lang w:val="fr-CA"/>
        </w:rPr>
        <w:t xml:space="preserve">on a mis en œuvre </w:t>
      </w:r>
      <w:r w:rsidRPr="00475AE6">
        <w:rPr>
          <w:color w:val="000000" w:themeColor="text1"/>
          <w:lang w:val="fr-CA"/>
        </w:rPr>
        <w:t>des activités de renseignement et de sensibilisation (c.-à-d.</w:t>
      </w:r>
      <w:r>
        <w:rPr>
          <w:color w:val="000000" w:themeColor="text1"/>
          <w:lang w:val="fr-CA"/>
        </w:rPr>
        <w:t>,</w:t>
      </w:r>
      <w:r w:rsidRPr="00475AE6">
        <w:rPr>
          <w:color w:val="000000" w:themeColor="text1"/>
          <w:lang w:val="fr-CA"/>
        </w:rPr>
        <w:t xml:space="preserve">  webinaires sur le climat et la protection de l'ozone, etc.</w:t>
      </w:r>
      <w:r>
        <w:rPr>
          <w:color w:val="000000" w:themeColor="text1"/>
          <w:lang w:val="fr-CA"/>
        </w:rPr>
        <w:t xml:space="preserve">); les indicateurs d’égalité des sexes continuent d’être suivis. </w:t>
      </w:r>
      <w:r w:rsidRPr="00475AE6">
        <w:rPr>
          <w:color w:val="000000" w:themeColor="text1"/>
          <w:lang w:val="fr-CA"/>
        </w:rPr>
        <w:t xml:space="preserve"> Sur </w:t>
      </w:r>
      <w:r>
        <w:rPr>
          <w:color w:val="000000" w:themeColor="text1"/>
          <w:lang w:val="fr-CA"/>
        </w:rPr>
        <w:t>le montant alloué de</w:t>
      </w:r>
      <w:r w:rsidRPr="00475AE6">
        <w:rPr>
          <w:color w:val="000000" w:themeColor="text1"/>
          <w:lang w:val="fr-CA"/>
        </w:rPr>
        <w:t xml:space="preserve"> 75</w:t>
      </w:r>
      <w:r>
        <w:rPr>
          <w:color w:val="000000" w:themeColor="text1"/>
          <w:lang w:val="fr-CA"/>
        </w:rPr>
        <w:t> </w:t>
      </w:r>
      <w:r w:rsidRPr="00475AE6">
        <w:rPr>
          <w:color w:val="000000" w:themeColor="text1"/>
          <w:lang w:val="fr-CA"/>
        </w:rPr>
        <w:t>000</w:t>
      </w:r>
      <w:r>
        <w:rPr>
          <w:color w:val="000000" w:themeColor="text1"/>
          <w:lang w:val="fr-CA"/>
        </w:rPr>
        <w:t> </w:t>
      </w:r>
      <w:r w:rsidRPr="00475AE6">
        <w:rPr>
          <w:color w:val="000000" w:themeColor="text1"/>
          <w:lang w:val="fr-CA"/>
        </w:rPr>
        <w:t>$US, 30</w:t>
      </w:r>
      <w:r>
        <w:rPr>
          <w:color w:val="000000" w:themeColor="text1"/>
          <w:lang w:val="fr-CA"/>
        </w:rPr>
        <w:t> </w:t>
      </w:r>
      <w:r w:rsidRPr="00475AE6">
        <w:rPr>
          <w:color w:val="000000" w:themeColor="text1"/>
          <w:lang w:val="fr-CA"/>
        </w:rPr>
        <w:t>500</w:t>
      </w:r>
      <w:r>
        <w:rPr>
          <w:color w:val="000000" w:themeColor="text1"/>
          <w:lang w:val="fr-CA"/>
        </w:rPr>
        <w:t> </w:t>
      </w:r>
      <w:r w:rsidRPr="00475AE6">
        <w:rPr>
          <w:color w:val="000000" w:themeColor="text1"/>
          <w:lang w:val="fr-CA"/>
        </w:rPr>
        <w:t xml:space="preserve">$US ont été décaissés </w:t>
      </w:r>
      <w:r>
        <w:rPr>
          <w:color w:val="000000" w:themeColor="text1"/>
          <w:lang w:val="fr-CA"/>
        </w:rPr>
        <w:t>(</w:t>
      </w:r>
      <w:r w:rsidRPr="00475AE6">
        <w:rPr>
          <w:color w:val="000000" w:themeColor="text1"/>
          <w:lang w:val="fr-CA"/>
        </w:rPr>
        <w:t>personnel du projet (17</w:t>
      </w:r>
      <w:r>
        <w:rPr>
          <w:color w:val="000000" w:themeColor="text1"/>
          <w:lang w:val="fr-CA"/>
        </w:rPr>
        <w:t> </w:t>
      </w:r>
      <w:r w:rsidRPr="00475AE6">
        <w:rPr>
          <w:color w:val="000000" w:themeColor="text1"/>
          <w:lang w:val="fr-CA"/>
        </w:rPr>
        <w:t>500</w:t>
      </w:r>
      <w:r>
        <w:rPr>
          <w:color w:val="000000" w:themeColor="text1"/>
          <w:lang w:val="fr-CA"/>
        </w:rPr>
        <w:t> </w:t>
      </w:r>
      <w:r w:rsidRPr="00475AE6">
        <w:rPr>
          <w:color w:val="000000" w:themeColor="text1"/>
          <w:lang w:val="fr-CA"/>
        </w:rPr>
        <w:t xml:space="preserve">$US), services de </w:t>
      </w:r>
      <w:r>
        <w:rPr>
          <w:color w:val="000000" w:themeColor="text1"/>
          <w:lang w:val="fr-CA"/>
        </w:rPr>
        <w:t>consultation</w:t>
      </w:r>
      <w:r w:rsidRPr="00475AE6">
        <w:rPr>
          <w:color w:val="000000" w:themeColor="text1"/>
          <w:lang w:val="fr-CA"/>
        </w:rPr>
        <w:t xml:space="preserve"> et recrutement d'experts (8</w:t>
      </w:r>
      <w:r>
        <w:rPr>
          <w:color w:val="000000" w:themeColor="text1"/>
          <w:lang w:val="fr-CA"/>
        </w:rPr>
        <w:t> </w:t>
      </w:r>
      <w:r w:rsidRPr="00475AE6">
        <w:rPr>
          <w:color w:val="000000" w:themeColor="text1"/>
          <w:lang w:val="fr-CA"/>
        </w:rPr>
        <w:t>000</w:t>
      </w:r>
      <w:r>
        <w:rPr>
          <w:color w:val="000000" w:themeColor="text1"/>
          <w:lang w:val="fr-CA"/>
        </w:rPr>
        <w:t> </w:t>
      </w:r>
      <w:r w:rsidRPr="00475AE6">
        <w:rPr>
          <w:color w:val="000000" w:themeColor="text1"/>
          <w:lang w:val="fr-CA"/>
        </w:rPr>
        <w:t>$US) et déplacements à l'intérieur du pays (5</w:t>
      </w:r>
      <w:r>
        <w:rPr>
          <w:color w:val="000000" w:themeColor="text1"/>
          <w:lang w:val="fr-CA"/>
        </w:rPr>
        <w:t> </w:t>
      </w:r>
      <w:r w:rsidRPr="00475AE6">
        <w:rPr>
          <w:color w:val="000000" w:themeColor="text1"/>
          <w:lang w:val="fr-CA"/>
        </w:rPr>
        <w:t>000</w:t>
      </w:r>
      <w:r>
        <w:rPr>
          <w:color w:val="000000" w:themeColor="text1"/>
          <w:lang w:val="fr-CA"/>
        </w:rPr>
        <w:t> </w:t>
      </w:r>
      <w:r w:rsidRPr="00475AE6">
        <w:rPr>
          <w:color w:val="000000" w:themeColor="text1"/>
          <w:lang w:val="fr-CA"/>
        </w:rPr>
        <w:t>$US).</w:t>
      </w:r>
    </w:p>
    <w:p w14:paraId="2E6FC7BB" w14:textId="77777777" w:rsidR="00963F10" w:rsidRPr="006F5813" w:rsidRDefault="00963F10" w:rsidP="00963F10">
      <w:pPr>
        <w:pStyle w:val="Heading1"/>
        <w:keepNext/>
        <w:numPr>
          <w:ilvl w:val="0"/>
          <w:numId w:val="0"/>
        </w:numPr>
        <w:rPr>
          <w:u w:val="single"/>
          <w:lang w:val="fr-CA"/>
        </w:rPr>
      </w:pPr>
      <w:r w:rsidRPr="006F5813">
        <w:rPr>
          <w:u w:val="single"/>
          <w:lang w:val="fr-CA"/>
        </w:rPr>
        <w:t>Niveau de décaissement</w:t>
      </w:r>
    </w:p>
    <w:p w14:paraId="114E0F6D" w14:textId="77777777" w:rsidR="00963F10" w:rsidRPr="00431CAE" w:rsidRDefault="00963F10" w:rsidP="00963F10">
      <w:pPr>
        <w:pStyle w:val="Heading1"/>
        <w:rPr>
          <w:lang w:val="fr-CA"/>
        </w:rPr>
      </w:pPr>
      <w:r w:rsidRPr="00431CAE">
        <w:rPr>
          <w:lang w:val="fr-CA"/>
        </w:rPr>
        <w:t>En avril</w:t>
      </w:r>
      <w:r>
        <w:rPr>
          <w:lang w:val="fr-CA"/>
        </w:rPr>
        <w:t> </w:t>
      </w:r>
      <w:r w:rsidRPr="00431CAE">
        <w:rPr>
          <w:lang w:val="fr-CA"/>
        </w:rPr>
        <w:t xml:space="preserve">2022, sur </w:t>
      </w:r>
      <w:r>
        <w:rPr>
          <w:lang w:val="fr-CA"/>
        </w:rPr>
        <w:t>le montant de</w:t>
      </w:r>
      <w:r w:rsidRPr="00431CAE">
        <w:rPr>
          <w:lang w:val="fr-CA"/>
        </w:rPr>
        <w:t xml:space="preserve"> 811</w:t>
      </w:r>
      <w:r>
        <w:rPr>
          <w:lang w:val="fr-CA"/>
        </w:rPr>
        <w:t> </w:t>
      </w:r>
      <w:r w:rsidRPr="00431CAE">
        <w:rPr>
          <w:lang w:val="fr-CA"/>
        </w:rPr>
        <w:t>750</w:t>
      </w:r>
      <w:r>
        <w:rPr>
          <w:lang w:val="fr-CA"/>
        </w:rPr>
        <w:t> </w:t>
      </w:r>
      <w:r w:rsidRPr="00431CAE">
        <w:rPr>
          <w:lang w:val="fr-CA"/>
        </w:rPr>
        <w:t>$US approuvé pour la phase</w:t>
      </w:r>
      <w:r>
        <w:rPr>
          <w:lang w:val="fr-CA"/>
        </w:rPr>
        <w:t> </w:t>
      </w:r>
      <w:r w:rsidRPr="00431CAE">
        <w:rPr>
          <w:lang w:val="fr-CA"/>
        </w:rPr>
        <w:t>II, 251</w:t>
      </w:r>
      <w:r>
        <w:rPr>
          <w:lang w:val="fr-CA"/>
        </w:rPr>
        <w:t> </w:t>
      </w:r>
      <w:r w:rsidRPr="00431CAE">
        <w:rPr>
          <w:lang w:val="fr-CA"/>
        </w:rPr>
        <w:t>917</w:t>
      </w:r>
      <w:r>
        <w:rPr>
          <w:lang w:val="fr-CA"/>
        </w:rPr>
        <w:t> </w:t>
      </w:r>
      <w:r w:rsidRPr="00431CAE">
        <w:rPr>
          <w:lang w:val="fr-CA"/>
        </w:rPr>
        <w:t>$US (31</w:t>
      </w:r>
      <w:r>
        <w:rPr>
          <w:lang w:val="fr-CA"/>
        </w:rPr>
        <w:t> </w:t>
      </w:r>
      <w:r w:rsidRPr="00431CAE">
        <w:rPr>
          <w:lang w:val="fr-CA"/>
        </w:rPr>
        <w:t>%) avaient été décaissés. Le solde de 559</w:t>
      </w:r>
      <w:r>
        <w:rPr>
          <w:lang w:val="fr-CA"/>
        </w:rPr>
        <w:t> </w:t>
      </w:r>
      <w:r w:rsidRPr="00431CAE">
        <w:rPr>
          <w:lang w:val="fr-CA"/>
        </w:rPr>
        <w:t>833</w:t>
      </w:r>
      <w:r>
        <w:rPr>
          <w:lang w:val="fr-CA"/>
        </w:rPr>
        <w:t> </w:t>
      </w:r>
      <w:r w:rsidRPr="00431CAE">
        <w:rPr>
          <w:lang w:val="fr-CA"/>
        </w:rPr>
        <w:t>$US sera décaissé d'ici le 31</w:t>
      </w:r>
      <w:r>
        <w:rPr>
          <w:lang w:val="fr-CA"/>
        </w:rPr>
        <w:t> </w:t>
      </w:r>
      <w:r w:rsidRPr="00431CAE">
        <w:rPr>
          <w:lang w:val="fr-CA"/>
        </w:rPr>
        <w:t>décembre</w:t>
      </w:r>
      <w:r>
        <w:rPr>
          <w:lang w:val="fr-CA"/>
        </w:rPr>
        <w:t> </w:t>
      </w:r>
      <w:r w:rsidRPr="00431CAE">
        <w:rPr>
          <w:lang w:val="fr-CA"/>
        </w:rPr>
        <w:t>2023.</w:t>
      </w:r>
    </w:p>
    <w:p w14:paraId="7AB28ECD" w14:textId="77777777" w:rsidR="00963F10" w:rsidRPr="00431CAE" w:rsidRDefault="00963F10" w:rsidP="00963F10">
      <w:pPr>
        <w:pStyle w:val="Heading1"/>
        <w:rPr>
          <w:lang w:val="fr-CA"/>
        </w:rPr>
      </w:pPr>
      <w:r w:rsidRPr="00431CAE">
        <w:rPr>
          <w:lang w:val="fr-CA"/>
        </w:rPr>
        <w:t xml:space="preserve">En outre, un financement </w:t>
      </w:r>
      <w:r>
        <w:rPr>
          <w:lang w:val="fr-CA"/>
        </w:rPr>
        <w:t>s’élevant à</w:t>
      </w:r>
      <w:r w:rsidRPr="00431CAE">
        <w:rPr>
          <w:lang w:val="fr-CA"/>
        </w:rPr>
        <w:t xml:space="preserve"> 212</w:t>
      </w:r>
      <w:r>
        <w:rPr>
          <w:lang w:val="fr-CA"/>
        </w:rPr>
        <w:t> </w:t>
      </w:r>
      <w:r w:rsidRPr="00431CAE">
        <w:rPr>
          <w:lang w:val="fr-CA"/>
        </w:rPr>
        <w:t>152</w:t>
      </w:r>
      <w:r>
        <w:rPr>
          <w:lang w:val="fr-CA"/>
        </w:rPr>
        <w:t> </w:t>
      </w:r>
      <w:r w:rsidRPr="00431CAE">
        <w:rPr>
          <w:lang w:val="fr-CA"/>
        </w:rPr>
        <w:t>$US, compo</w:t>
      </w:r>
      <w:r>
        <w:rPr>
          <w:lang w:val="fr-CA"/>
        </w:rPr>
        <w:t>sé de</w:t>
      </w:r>
      <w:r w:rsidRPr="00431CAE">
        <w:rPr>
          <w:lang w:val="fr-CA"/>
        </w:rPr>
        <w:t xml:space="preserve"> 53</w:t>
      </w:r>
      <w:r>
        <w:rPr>
          <w:lang w:val="fr-CA"/>
        </w:rPr>
        <w:t> </w:t>
      </w:r>
      <w:r w:rsidRPr="00431CAE">
        <w:rPr>
          <w:lang w:val="fr-CA"/>
        </w:rPr>
        <w:t>273</w:t>
      </w:r>
      <w:r>
        <w:rPr>
          <w:lang w:val="fr-CA"/>
        </w:rPr>
        <w:t> </w:t>
      </w:r>
      <w:r w:rsidRPr="00431CAE">
        <w:rPr>
          <w:lang w:val="fr-CA"/>
        </w:rPr>
        <w:t xml:space="preserve">$US pour le plan </w:t>
      </w:r>
      <w:r>
        <w:rPr>
          <w:lang w:val="fr-CA"/>
        </w:rPr>
        <w:t>du secteur</w:t>
      </w:r>
      <w:r w:rsidRPr="00431CAE">
        <w:rPr>
          <w:lang w:val="fr-CA"/>
        </w:rPr>
        <w:t xml:space="preserve"> de </w:t>
      </w:r>
      <w:r>
        <w:rPr>
          <w:lang w:val="fr-CA"/>
        </w:rPr>
        <w:t xml:space="preserve">la </w:t>
      </w:r>
      <w:r w:rsidRPr="00431CAE">
        <w:rPr>
          <w:lang w:val="fr-CA"/>
        </w:rPr>
        <w:t xml:space="preserve">fabrication de </w:t>
      </w:r>
      <w:r>
        <w:rPr>
          <w:lang w:val="fr-CA"/>
        </w:rPr>
        <w:t xml:space="preserve">climatiseurs </w:t>
      </w:r>
      <w:r w:rsidRPr="00431CAE">
        <w:rPr>
          <w:lang w:val="fr-CA"/>
        </w:rPr>
        <w:t>et de 145</w:t>
      </w:r>
      <w:r>
        <w:rPr>
          <w:lang w:val="fr-CA"/>
        </w:rPr>
        <w:t> </w:t>
      </w:r>
      <w:r w:rsidRPr="00431CAE">
        <w:rPr>
          <w:lang w:val="fr-CA"/>
        </w:rPr>
        <w:t>000</w:t>
      </w:r>
      <w:r>
        <w:rPr>
          <w:lang w:val="fr-CA"/>
        </w:rPr>
        <w:t> </w:t>
      </w:r>
      <w:r w:rsidRPr="00431CAE">
        <w:rPr>
          <w:lang w:val="fr-CA"/>
        </w:rPr>
        <w:t>$US pour les coûts associés</w:t>
      </w:r>
      <w:r>
        <w:rPr>
          <w:lang w:val="fr-CA"/>
        </w:rPr>
        <w:t xml:space="preserve"> de la PMU</w:t>
      </w:r>
      <w:r w:rsidRPr="00431CAE">
        <w:rPr>
          <w:lang w:val="fr-CA"/>
        </w:rPr>
        <w:t>, plus les coûts d'appui d'agence de 13</w:t>
      </w:r>
      <w:r>
        <w:rPr>
          <w:lang w:val="fr-CA"/>
        </w:rPr>
        <w:t> </w:t>
      </w:r>
      <w:r w:rsidRPr="00431CAE">
        <w:rPr>
          <w:lang w:val="fr-CA"/>
        </w:rPr>
        <w:t>879</w:t>
      </w:r>
      <w:r>
        <w:rPr>
          <w:lang w:val="fr-CA"/>
        </w:rPr>
        <w:t> </w:t>
      </w:r>
      <w:r w:rsidRPr="00431CAE">
        <w:rPr>
          <w:lang w:val="fr-CA"/>
        </w:rPr>
        <w:t xml:space="preserve">$US, est </w:t>
      </w:r>
      <w:r>
        <w:rPr>
          <w:lang w:val="fr-CA"/>
        </w:rPr>
        <w:t>restitué</w:t>
      </w:r>
      <w:r w:rsidRPr="00431CAE">
        <w:rPr>
          <w:lang w:val="fr-CA"/>
        </w:rPr>
        <w:t xml:space="preserve"> à la 90</w:t>
      </w:r>
      <w:r w:rsidRPr="007C6A0E">
        <w:rPr>
          <w:vertAlign w:val="superscript"/>
          <w:lang w:val="fr-CA"/>
        </w:rPr>
        <w:t>e</w:t>
      </w:r>
      <w:r>
        <w:rPr>
          <w:lang w:val="fr-CA"/>
        </w:rPr>
        <w:t> </w:t>
      </w:r>
      <w:r w:rsidRPr="00431CAE">
        <w:rPr>
          <w:lang w:val="fr-CA"/>
        </w:rPr>
        <w:t>réunion</w:t>
      </w:r>
      <w:r>
        <w:rPr>
          <w:lang w:val="fr-CA"/>
        </w:rPr>
        <w:t>,</w:t>
      </w:r>
      <w:r w:rsidRPr="00431CAE">
        <w:rPr>
          <w:lang w:val="fr-CA"/>
        </w:rPr>
        <w:t xml:space="preserve"> conformément à la décision</w:t>
      </w:r>
      <w:r>
        <w:rPr>
          <w:lang w:val="fr-CA"/>
        </w:rPr>
        <w:t> </w:t>
      </w:r>
      <w:r w:rsidRPr="00431CAE">
        <w:rPr>
          <w:lang w:val="fr-CA"/>
        </w:rPr>
        <w:t>87/19.</w:t>
      </w:r>
    </w:p>
    <w:p w14:paraId="2F1D563E" w14:textId="73E5163E" w:rsidR="00963F10" w:rsidRPr="007C6A0E" w:rsidRDefault="00963F10" w:rsidP="00963F10">
      <w:pPr>
        <w:rPr>
          <w:u w:val="single"/>
          <w:lang w:val="fr-CA"/>
        </w:rPr>
      </w:pPr>
      <w:r w:rsidRPr="007C6A0E">
        <w:rPr>
          <w:u w:val="single"/>
          <w:lang w:val="fr-CA"/>
        </w:rPr>
        <w:t xml:space="preserve">Plan de mise en </w:t>
      </w:r>
      <w:r w:rsidR="00EF77C6">
        <w:rPr>
          <w:u w:val="single"/>
          <w:lang w:val="fr-CA"/>
        </w:rPr>
        <w:t xml:space="preserve">œuvre </w:t>
      </w:r>
      <w:r w:rsidRPr="007C6A0E">
        <w:rPr>
          <w:u w:val="single"/>
          <w:lang w:val="fr-CA"/>
        </w:rPr>
        <w:t>pour 2022-2023</w:t>
      </w:r>
    </w:p>
    <w:p w14:paraId="13826776" w14:textId="77777777" w:rsidR="00963F10" w:rsidRPr="007C6A0E" w:rsidRDefault="00963F10" w:rsidP="00963F10">
      <w:pPr>
        <w:rPr>
          <w:u w:val="single"/>
          <w:lang w:val="fr-CA"/>
        </w:rPr>
      </w:pPr>
    </w:p>
    <w:p w14:paraId="0CC7D2AB" w14:textId="77777777" w:rsidR="00963F10" w:rsidRPr="007C6A0E" w:rsidRDefault="00963F10" w:rsidP="00963F10">
      <w:pPr>
        <w:pStyle w:val="Heading1"/>
        <w:rPr>
          <w:lang w:val="fr-CA"/>
        </w:rPr>
      </w:pPr>
      <w:r w:rsidRPr="007C6A0E">
        <w:rPr>
          <w:lang w:val="fr-CA"/>
        </w:rPr>
        <w:t>Les activités suivantes seront mises en œuvre avec le solde restant</w:t>
      </w:r>
      <w:r>
        <w:rPr>
          <w:lang w:val="fr-CA"/>
        </w:rPr>
        <w:t> </w:t>
      </w:r>
      <w:r w:rsidRPr="007C6A0E">
        <w:rPr>
          <w:lang w:val="fr-CA"/>
        </w:rPr>
        <w:t>:</w:t>
      </w:r>
    </w:p>
    <w:p w14:paraId="68E99175" w14:textId="77777777" w:rsidR="00963F10" w:rsidRPr="007C6A0E" w:rsidRDefault="00963F10" w:rsidP="00963F10">
      <w:pPr>
        <w:pStyle w:val="Heading2"/>
        <w:rPr>
          <w:lang w:val="fr-CA"/>
        </w:rPr>
      </w:pPr>
      <w:r w:rsidRPr="007C6A0E">
        <w:rPr>
          <w:lang w:val="fr-CA"/>
        </w:rPr>
        <w:t>Assistance technique aux autorités politiques/d</w:t>
      </w:r>
      <w:r>
        <w:rPr>
          <w:lang w:val="fr-CA"/>
        </w:rPr>
        <w:t>’exécution de la loi</w:t>
      </w:r>
      <w:r w:rsidRPr="007C6A0E">
        <w:rPr>
          <w:lang w:val="fr-CA"/>
        </w:rPr>
        <w:t xml:space="preserve"> et douanières</w:t>
      </w:r>
      <w:r>
        <w:rPr>
          <w:lang w:val="fr-CA"/>
        </w:rPr>
        <w:t> </w:t>
      </w:r>
      <w:r w:rsidRPr="007C6A0E">
        <w:rPr>
          <w:lang w:val="fr-CA"/>
        </w:rPr>
        <w:t>:</w:t>
      </w:r>
    </w:p>
    <w:p w14:paraId="637E1D34" w14:textId="77D16815" w:rsidR="00963F10" w:rsidRPr="007C6A0E" w:rsidRDefault="00963F10" w:rsidP="00963F10">
      <w:pPr>
        <w:pStyle w:val="Heading3"/>
        <w:numPr>
          <w:ilvl w:val="2"/>
          <w:numId w:val="1"/>
        </w:numPr>
        <w:rPr>
          <w:lang w:val="fr-CA"/>
        </w:rPr>
      </w:pPr>
      <w:r w:rsidRPr="007C6A0E">
        <w:rPr>
          <w:lang w:val="fr-CA"/>
        </w:rPr>
        <w:t xml:space="preserve">Quatre activités de sensibilisation </w:t>
      </w:r>
      <w:r>
        <w:rPr>
          <w:lang w:val="fr-CA"/>
        </w:rPr>
        <w:t>destinées à</w:t>
      </w:r>
      <w:r w:rsidRPr="007C6A0E">
        <w:rPr>
          <w:lang w:val="fr-CA"/>
        </w:rPr>
        <w:t xml:space="preserve"> 100</w:t>
      </w:r>
      <w:r>
        <w:rPr>
          <w:lang w:val="fr-CA"/>
        </w:rPr>
        <w:t> </w:t>
      </w:r>
      <w:r w:rsidRPr="007C6A0E">
        <w:rPr>
          <w:lang w:val="fr-CA"/>
        </w:rPr>
        <w:t xml:space="preserve">parties prenantes </w:t>
      </w:r>
      <w:r>
        <w:rPr>
          <w:lang w:val="fr-CA"/>
        </w:rPr>
        <w:t>visant à</w:t>
      </w:r>
      <w:r w:rsidRPr="007C6A0E">
        <w:rPr>
          <w:lang w:val="fr-CA"/>
        </w:rPr>
        <w:t xml:space="preserve"> faciliter la transition vers des </w:t>
      </w:r>
      <w:r>
        <w:rPr>
          <w:lang w:val="fr-CA"/>
        </w:rPr>
        <w:t>systèmes</w:t>
      </w:r>
      <w:r w:rsidRPr="007C6A0E">
        <w:rPr>
          <w:lang w:val="fr-CA"/>
        </w:rPr>
        <w:t xml:space="preserve"> de climatisation à haut rendement énergétique et </w:t>
      </w:r>
      <w:r>
        <w:rPr>
          <w:lang w:val="fr-CA"/>
        </w:rPr>
        <w:t xml:space="preserve">à </w:t>
      </w:r>
      <w:r w:rsidRPr="007C6A0E">
        <w:rPr>
          <w:lang w:val="fr-CA"/>
        </w:rPr>
        <w:t xml:space="preserve">encourager l'utilisation de frigorigènes à faible </w:t>
      </w:r>
      <w:r w:rsidR="0026119A">
        <w:rPr>
          <w:lang w:val="fr-CA"/>
        </w:rPr>
        <w:t>PRG</w:t>
      </w:r>
      <w:r w:rsidRPr="007C6A0E">
        <w:rPr>
          <w:lang w:val="fr-CA"/>
        </w:rPr>
        <w:t>; publication d'une circulaire informant les fournisseurs du marché de la climatisation que tout modèle de climatisation contenant du HCFC-22 ne pourra plus être enregistré et vendu sur le marché philippin à partir de janvier</w:t>
      </w:r>
      <w:r>
        <w:rPr>
          <w:lang w:val="fr-CA"/>
        </w:rPr>
        <w:t> </w:t>
      </w:r>
      <w:r w:rsidRPr="007C6A0E">
        <w:rPr>
          <w:lang w:val="fr-CA"/>
        </w:rPr>
        <w:t>2023</w:t>
      </w:r>
      <w:r>
        <w:rPr>
          <w:lang w:val="fr-CA"/>
        </w:rPr>
        <w:t>, de manière à</w:t>
      </w:r>
      <w:r w:rsidRPr="007C6A0E">
        <w:rPr>
          <w:lang w:val="fr-CA"/>
        </w:rPr>
        <w:t xml:space="preserve"> décourager la demande d'équipement de climatisation à base de HCFC (12</w:t>
      </w:r>
      <w:r>
        <w:rPr>
          <w:lang w:val="fr-CA"/>
        </w:rPr>
        <w:t> </w:t>
      </w:r>
      <w:r w:rsidRPr="007C6A0E">
        <w:rPr>
          <w:lang w:val="fr-CA"/>
        </w:rPr>
        <w:t>000</w:t>
      </w:r>
      <w:r>
        <w:rPr>
          <w:lang w:val="fr-CA"/>
        </w:rPr>
        <w:t> </w:t>
      </w:r>
      <w:r w:rsidRPr="007C6A0E">
        <w:rPr>
          <w:lang w:val="fr-CA"/>
        </w:rPr>
        <w:t>$US).</w:t>
      </w:r>
    </w:p>
    <w:p w14:paraId="78333CB6" w14:textId="77777777" w:rsidR="00963F10" w:rsidRPr="007C6A0E" w:rsidRDefault="00963F10" w:rsidP="00963F10">
      <w:pPr>
        <w:pStyle w:val="Heading3"/>
        <w:numPr>
          <w:ilvl w:val="2"/>
          <w:numId w:val="1"/>
        </w:numPr>
        <w:rPr>
          <w:lang w:val="fr-CA"/>
        </w:rPr>
      </w:pPr>
      <w:r w:rsidRPr="007C6A0E">
        <w:rPr>
          <w:lang w:val="fr-CA"/>
        </w:rPr>
        <w:t xml:space="preserve">Cinq ateliers </w:t>
      </w:r>
      <w:r>
        <w:rPr>
          <w:lang w:val="fr-CA"/>
        </w:rPr>
        <w:t>à l’attention de</w:t>
      </w:r>
      <w:r w:rsidRPr="007C6A0E">
        <w:rPr>
          <w:lang w:val="fr-CA"/>
        </w:rPr>
        <w:t xml:space="preserve"> 150</w:t>
      </w:r>
      <w:r>
        <w:rPr>
          <w:lang w:val="fr-CA"/>
        </w:rPr>
        <w:t> </w:t>
      </w:r>
      <w:r w:rsidRPr="007C6A0E">
        <w:rPr>
          <w:lang w:val="fr-CA"/>
        </w:rPr>
        <w:t>agents des douanes et agents d'exécution</w:t>
      </w:r>
      <w:r>
        <w:rPr>
          <w:lang w:val="fr-CA"/>
        </w:rPr>
        <w:t xml:space="preserve"> de la loi</w:t>
      </w:r>
      <w:r w:rsidRPr="007C6A0E">
        <w:rPr>
          <w:lang w:val="fr-CA"/>
        </w:rPr>
        <w:t xml:space="preserve"> sur la surveillance des importations de SAO, le contrôle du commerce des HCFC et les importations ill</w:t>
      </w:r>
      <w:r>
        <w:rPr>
          <w:lang w:val="fr-CA"/>
        </w:rPr>
        <w:t>icites</w:t>
      </w:r>
      <w:r w:rsidRPr="007C6A0E">
        <w:rPr>
          <w:lang w:val="fr-CA"/>
        </w:rPr>
        <w:t xml:space="preserve">; mise à jour du matériel de formation utilisé </w:t>
      </w:r>
      <w:r>
        <w:rPr>
          <w:lang w:val="fr-CA"/>
        </w:rPr>
        <w:t xml:space="preserve">au service des </w:t>
      </w:r>
      <w:r w:rsidRPr="007C6A0E">
        <w:rPr>
          <w:lang w:val="fr-CA"/>
        </w:rPr>
        <w:t>douanes; révision du système de licences en ligne pour inclure les recommandations du rapport de vérification soumis à la 87</w:t>
      </w:r>
      <w:r w:rsidRPr="00B8407F">
        <w:rPr>
          <w:vertAlign w:val="superscript"/>
          <w:lang w:val="fr-CA"/>
        </w:rPr>
        <w:t>e</w:t>
      </w:r>
      <w:r>
        <w:rPr>
          <w:lang w:val="fr-CA"/>
        </w:rPr>
        <w:t> </w:t>
      </w:r>
      <w:r w:rsidRPr="007C6A0E">
        <w:rPr>
          <w:lang w:val="fr-CA"/>
        </w:rPr>
        <w:t>réunion afin d'in</w:t>
      </w:r>
      <w:r>
        <w:rPr>
          <w:lang w:val="fr-CA"/>
        </w:rPr>
        <w:t>tégrer</w:t>
      </w:r>
      <w:r w:rsidRPr="007C6A0E">
        <w:rPr>
          <w:lang w:val="fr-CA"/>
        </w:rPr>
        <w:t xml:space="preserve"> un système d'alerte précoce </w:t>
      </w:r>
      <w:r>
        <w:rPr>
          <w:lang w:val="fr-CA"/>
        </w:rPr>
        <w:t>au</w:t>
      </w:r>
      <w:r w:rsidRPr="007C6A0E">
        <w:rPr>
          <w:lang w:val="fr-CA"/>
        </w:rPr>
        <w:t xml:space="preserve"> commerce ill</w:t>
      </w:r>
      <w:r>
        <w:rPr>
          <w:lang w:val="fr-CA"/>
        </w:rPr>
        <w:t>icite</w:t>
      </w:r>
      <w:r w:rsidRPr="007C6A0E">
        <w:rPr>
          <w:lang w:val="fr-CA"/>
        </w:rPr>
        <w:t xml:space="preserve">; deux ateliers de formation sur l'application du système d'octroi de licences et de quotas </w:t>
      </w:r>
      <w:r>
        <w:rPr>
          <w:lang w:val="fr-CA"/>
        </w:rPr>
        <w:t>à l’intention de</w:t>
      </w:r>
      <w:r w:rsidRPr="007C6A0E">
        <w:rPr>
          <w:lang w:val="fr-CA"/>
        </w:rPr>
        <w:t xml:space="preserve"> 45</w:t>
      </w:r>
      <w:r>
        <w:rPr>
          <w:lang w:val="fr-CA"/>
        </w:rPr>
        <w:t> </w:t>
      </w:r>
      <w:r w:rsidRPr="007C6A0E">
        <w:rPr>
          <w:lang w:val="fr-CA"/>
        </w:rPr>
        <w:t xml:space="preserve">participants </w:t>
      </w:r>
      <w:r>
        <w:rPr>
          <w:lang w:val="fr-CA"/>
        </w:rPr>
        <w:t xml:space="preserve">(représentants </w:t>
      </w:r>
      <w:r w:rsidRPr="007C6A0E">
        <w:rPr>
          <w:lang w:val="fr-CA"/>
        </w:rPr>
        <w:t>du gouvernement et des distributeurs/fournisseurs de frigorigènes</w:t>
      </w:r>
      <w:r>
        <w:rPr>
          <w:lang w:val="fr-CA"/>
        </w:rPr>
        <w:t>)</w:t>
      </w:r>
      <w:r w:rsidRPr="007C6A0E">
        <w:rPr>
          <w:lang w:val="fr-CA"/>
        </w:rPr>
        <w:t xml:space="preserve"> (102</w:t>
      </w:r>
      <w:r>
        <w:rPr>
          <w:lang w:val="fr-CA"/>
        </w:rPr>
        <w:t> </w:t>
      </w:r>
      <w:r w:rsidRPr="007C6A0E">
        <w:rPr>
          <w:lang w:val="fr-CA"/>
        </w:rPr>
        <w:t>410</w:t>
      </w:r>
      <w:r>
        <w:rPr>
          <w:lang w:val="fr-CA"/>
        </w:rPr>
        <w:t> </w:t>
      </w:r>
      <w:r w:rsidRPr="007C6A0E">
        <w:rPr>
          <w:lang w:val="fr-CA"/>
        </w:rPr>
        <w:t>$US);</w:t>
      </w:r>
    </w:p>
    <w:p w14:paraId="60AD16BD" w14:textId="77777777" w:rsidR="00963F10" w:rsidRPr="007C6A0E" w:rsidRDefault="00963F10" w:rsidP="00963F10">
      <w:pPr>
        <w:pStyle w:val="Heading3"/>
        <w:numPr>
          <w:ilvl w:val="2"/>
          <w:numId w:val="1"/>
        </w:numPr>
        <w:rPr>
          <w:lang w:val="fr-CA"/>
        </w:rPr>
      </w:pPr>
      <w:r w:rsidRPr="007C6A0E">
        <w:rPr>
          <w:lang w:val="fr-CA"/>
        </w:rPr>
        <w:t xml:space="preserve">Évaluation du système de gestion des données afin d'inclure les exigences relatives à l'enregistrement des prestataires de services de réfrigération et de </w:t>
      </w:r>
      <w:proofErr w:type="gramStart"/>
      <w:r w:rsidRPr="007C6A0E">
        <w:rPr>
          <w:lang w:val="fr-CA"/>
        </w:rPr>
        <w:t>climatisation  et</w:t>
      </w:r>
      <w:proofErr w:type="gramEnd"/>
      <w:r w:rsidRPr="007C6A0E">
        <w:rPr>
          <w:lang w:val="fr-CA"/>
        </w:rPr>
        <w:t xml:space="preserve"> d'améliorer la gestion du système d'octroi de licences en ligne; deux réunions avec un total de 30</w:t>
      </w:r>
      <w:r>
        <w:rPr>
          <w:lang w:val="fr-CA"/>
        </w:rPr>
        <w:t> </w:t>
      </w:r>
      <w:r w:rsidRPr="007C6A0E">
        <w:rPr>
          <w:lang w:val="fr-CA"/>
        </w:rPr>
        <w:t>distributeurs et fournisseurs de HCFC et d'équipement à base de HCFC pour discuter des exigences relatives à l'enregistrement et à la communication des données (19</w:t>
      </w:r>
      <w:r>
        <w:rPr>
          <w:lang w:val="fr-CA"/>
        </w:rPr>
        <w:t> 000 </w:t>
      </w:r>
      <w:r w:rsidRPr="007C6A0E">
        <w:rPr>
          <w:lang w:val="fr-CA"/>
        </w:rPr>
        <w:t xml:space="preserve">$US); </w:t>
      </w:r>
    </w:p>
    <w:p w14:paraId="6B4E3DFA" w14:textId="77777777" w:rsidR="00963F10" w:rsidRPr="007C6A0E" w:rsidRDefault="00963F10" w:rsidP="00963F10">
      <w:pPr>
        <w:pStyle w:val="Heading3"/>
        <w:numPr>
          <w:ilvl w:val="2"/>
          <w:numId w:val="1"/>
        </w:numPr>
        <w:rPr>
          <w:lang w:val="fr-CA"/>
        </w:rPr>
      </w:pPr>
      <w:r w:rsidRPr="007C6A0E">
        <w:rPr>
          <w:lang w:val="fr-CA"/>
        </w:rPr>
        <w:t>Vérification de la consommation de HCFC et de la mise en œuvre du PGEH (3</w:t>
      </w:r>
      <w:r>
        <w:rPr>
          <w:lang w:val="fr-CA"/>
        </w:rPr>
        <w:t> </w:t>
      </w:r>
      <w:r w:rsidRPr="007C6A0E">
        <w:rPr>
          <w:lang w:val="fr-CA"/>
        </w:rPr>
        <w:t>500</w:t>
      </w:r>
      <w:r>
        <w:rPr>
          <w:lang w:val="fr-CA"/>
        </w:rPr>
        <w:t> </w:t>
      </w:r>
      <w:r w:rsidRPr="007C6A0E">
        <w:rPr>
          <w:lang w:val="fr-CA"/>
        </w:rPr>
        <w:t>$US);</w:t>
      </w:r>
    </w:p>
    <w:p w14:paraId="33ACA08C" w14:textId="17DAF73C" w:rsidR="00963F10" w:rsidRPr="001A2C19" w:rsidRDefault="00963F10" w:rsidP="00963F10">
      <w:pPr>
        <w:pStyle w:val="Heading2"/>
        <w:rPr>
          <w:lang w:val="fr-CA"/>
        </w:rPr>
      </w:pPr>
      <w:r w:rsidRPr="001A2C19">
        <w:rPr>
          <w:lang w:val="fr-CA"/>
        </w:rPr>
        <w:t xml:space="preserve">Assistance technique au secteur de l'entretien </w:t>
      </w:r>
      <w:r>
        <w:rPr>
          <w:lang w:val="fr-CA"/>
        </w:rPr>
        <w:t>en vue de</w:t>
      </w:r>
      <w:r w:rsidRPr="001A2C19">
        <w:rPr>
          <w:lang w:val="fr-CA"/>
        </w:rPr>
        <w:t xml:space="preserve"> promouvoir les pratiques </w:t>
      </w:r>
      <w:r>
        <w:rPr>
          <w:lang w:val="fr-CA"/>
        </w:rPr>
        <w:t xml:space="preserve">exemplaires </w:t>
      </w:r>
      <w:r w:rsidRPr="001A2C19">
        <w:rPr>
          <w:lang w:val="fr-CA"/>
        </w:rPr>
        <w:t xml:space="preserve">en matière de réfrigération et </w:t>
      </w:r>
      <w:r>
        <w:rPr>
          <w:lang w:val="fr-CA"/>
        </w:rPr>
        <w:t>de</w:t>
      </w:r>
      <w:r w:rsidRPr="001A2C19">
        <w:rPr>
          <w:lang w:val="fr-CA"/>
        </w:rPr>
        <w:t xml:space="preserve"> démontrer et encourager l'utilisation de solutions de remplacement à faible </w:t>
      </w:r>
      <w:r w:rsidR="0026119A">
        <w:rPr>
          <w:lang w:val="fr-CA"/>
        </w:rPr>
        <w:t>PRG</w:t>
      </w:r>
      <w:r w:rsidRPr="001A2C19">
        <w:rPr>
          <w:lang w:val="fr-CA"/>
        </w:rPr>
        <w:t>.</w:t>
      </w:r>
    </w:p>
    <w:p w14:paraId="0097F71A" w14:textId="77777777" w:rsidR="00963F10" w:rsidRPr="001A2C19" w:rsidRDefault="00963F10" w:rsidP="00963F10">
      <w:pPr>
        <w:pStyle w:val="Heading3"/>
        <w:numPr>
          <w:ilvl w:val="2"/>
          <w:numId w:val="1"/>
        </w:numPr>
        <w:rPr>
          <w:lang w:val="fr-CA"/>
        </w:rPr>
      </w:pPr>
      <w:r w:rsidRPr="001A2C19">
        <w:rPr>
          <w:lang w:val="fr-CA"/>
        </w:rPr>
        <w:t>Formation de 100</w:t>
      </w:r>
      <w:r>
        <w:rPr>
          <w:lang w:val="fr-CA"/>
        </w:rPr>
        <w:t> </w:t>
      </w:r>
      <w:r w:rsidRPr="001A2C19">
        <w:rPr>
          <w:lang w:val="fr-CA"/>
        </w:rPr>
        <w:t xml:space="preserve">techniciens en réfrigération et climatisation sur les pratiques </w:t>
      </w:r>
      <w:r>
        <w:rPr>
          <w:lang w:val="fr-CA"/>
        </w:rPr>
        <w:t xml:space="preserve">exemplaires </w:t>
      </w:r>
      <w:r w:rsidRPr="001A2C19">
        <w:rPr>
          <w:lang w:val="fr-CA"/>
        </w:rPr>
        <w:t xml:space="preserve">de réfrigération </w:t>
      </w:r>
      <w:r>
        <w:rPr>
          <w:lang w:val="fr-CA"/>
        </w:rPr>
        <w:t>dans le but de</w:t>
      </w:r>
      <w:r w:rsidRPr="001A2C19">
        <w:rPr>
          <w:lang w:val="fr-CA"/>
        </w:rPr>
        <w:t xml:space="preserve"> minimiser les fuites de frigorigènes et les </w:t>
      </w:r>
      <w:r>
        <w:rPr>
          <w:lang w:val="fr-CA"/>
        </w:rPr>
        <w:t xml:space="preserve">aspects relatifs à l’utilisation en toute </w:t>
      </w:r>
      <w:r w:rsidRPr="001A2C19">
        <w:rPr>
          <w:lang w:val="fr-CA"/>
        </w:rPr>
        <w:t xml:space="preserve">sécurité </w:t>
      </w:r>
      <w:r>
        <w:rPr>
          <w:lang w:val="fr-CA"/>
        </w:rPr>
        <w:t>des</w:t>
      </w:r>
      <w:r w:rsidRPr="001A2C19">
        <w:rPr>
          <w:lang w:val="fr-CA"/>
        </w:rPr>
        <w:t xml:space="preserve"> frigorigènes inflammables; soutien technique </w:t>
      </w:r>
      <w:r>
        <w:rPr>
          <w:lang w:val="fr-CA"/>
        </w:rPr>
        <w:t>au</w:t>
      </w:r>
      <w:r w:rsidRPr="001A2C19">
        <w:rPr>
          <w:lang w:val="fr-CA"/>
        </w:rPr>
        <w:t xml:space="preserve"> centre de recyclage; collecte des HCFC et autres frigorigènes; examen des options d'élimination des substances </w:t>
      </w:r>
      <w:r>
        <w:rPr>
          <w:lang w:val="fr-CA"/>
        </w:rPr>
        <w:t>réglementées</w:t>
      </w:r>
      <w:r w:rsidRPr="001A2C19">
        <w:rPr>
          <w:lang w:val="fr-CA"/>
        </w:rPr>
        <w:t xml:space="preserve"> inutilisées et non désirées, y compris trois réunions des parties prenantes et trois réunions de coordination (126</w:t>
      </w:r>
      <w:r>
        <w:rPr>
          <w:lang w:val="fr-CA"/>
        </w:rPr>
        <w:t> </w:t>
      </w:r>
      <w:r w:rsidRPr="001A2C19">
        <w:rPr>
          <w:lang w:val="fr-CA"/>
        </w:rPr>
        <w:t>521</w:t>
      </w:r>
      <w:r>
        <w:rPr>
          <w:lang w:val="fr-CA"/>
        </w:rPr>
        <w:t> $US</w:t>
      </w:r>
      <w:r w:rsidRPr="001A2C19">
        <w:rPr>
          <w:lang w:val="fr-CA"/>
        </w:rPr>
        <w:t>);</w:t>
      </w:r>
    </w:p>
    <w:p w14:paraId="60EF448F" w14:textId="132E7E85" w:rsidR="00963F10" w:rsidRPr="001A2C19" w:rsidRDefault="00963F10" w:rsidP="00963F10">
      <w:pPr>
        <w:pStyle w:val="Heading3"/>
        <w:numPr>
          <w:ilvl w:val="2"/>
          <w:numId w:val="1"/>
        </w:numPr>
        <w:rPr>
          <w:lang w:val="fr-CA"/>
        </w:rPr>
      </w:pPr>
      <w:r w:rsidRPr="001A2C19">
        <w:rPr>
          <w:lang w:val="fr-CA"/>
        </w:rPr>
        <w:t>Poursui</w:t>
      </w:r>
      <w:r>
        <w:rPr>
          <w:lang w:val="fr-CA"/>
        </w:rPr>
        <w:t>te de</w:t>
      </w:r>
      <w:r w:rsidRPr="001A2C19">
        <w:rPr>
          <w:lang w:val="fr-CA"/>
        </w:rPr>
        <w:t xml:space="preserve"> la mise à jour des capacités de formation de </w:t>
      </w:r>
      <w:r>
        <w:rPr>
          <w:lang w:val="fr-CA"/>
        </w:rPr>
        <w:t xml:space="preserve">la </w:t>
      </w:r>
      <w:r w:rsidRPr="001A2C19">
        <w:rPr>
          <w:lang w:val="fr-CA"/>
        </w:rPr>
        <w:t xml:space="preserve">TESDA et des institutions accréditées par </w:t>
      </w:r>
      <w:r>
        <w:rPr>
          <w:lang w:val="fr-CA"/>
        </w:rPr>
        <w:t>celle-ci,</w:t>
      </w:r>
      <w:r w:rsidRPr="001A2C19">
        <w:rPr>
          <w:lang w:val="fr-CA"/>
        </w:rPr>
        <w:t xml:space="preserve"> afin de renforcer le programme de certification et de formation des techniciens par </w:t>
      </w:r>
      <w:r>
        <w:rPr>
          <w:lang w:val="fr-CA"/>
        </w:rPr>
        <w:t>la préparation</w:t>
      </w:r>
      <w:r w:rsidRPr="001A2C19">
        <w:rPr>
          <w:lang w:val="fr-CA"/>
        </w:rPr>
        <w:t xml:space="preserve"> de nouveaux matériels et d'un nouveau code de pratique sur la manipulation des solutions de remplacement du HCFC 22 à faible </w:t>
      </w:r>
      <w:r w:rsidR="0026119A">
        <w:rPr>
          <w:lang w:val="fr-CA"/>
        </w:rPr>
        <w:t>PRG</w:t>
      </w:r>
      <w:r w:rsidRPr="001A2C19">
        <w:rPr>
          <w:lang w:val="fr-CA"/>
        </w:rPr>
        <w:t xml:space="preserve"> (c.-à-d.</w:t>
      </w:r>
      <w:r>
        <w:rPr>
          <w:lang w:val="fr-CA"/>
        </w:rPr>
        <w:t>,</w:t>
      </w:r>
      <w:r w:rsidRPr="001A2C19">
        <w:rPr>
          <w:lang w:val="fr-CA"/>
        </w:rPr>
        <w:t xml:space="preserve"> HFC-32, R-290), </w:t>
      </w:r>
      <w:r>
        <w:rPr>
          <w:lang w:val="fr-CA"/>
        </w:rPr>
        <w:t>afin de</w:t>
      </w:r>
      <w:r w:rsidRPr="001A2C19">
        <w:rPr>
          <w:lang w:val="fr-CA"/>
        </w:rPr>
        <w:t xml:space="preserve"> s'assurer que les techniciens sont pr</w:t>
      </w:r>
      <w:r>
        <w:rPr>
          <w:lang w:val="fr-CA"/>
        </w:rPr>
        <w:t>êts</w:t>
      </w:r>
      <w:r w:rsidRPr="001A2C19">
        <w:rPr>
          <w:lang w:val="fr-CA"/>
        </w:rPr>
        <w:t xml:space="preserve"> lorsque l'utilisation de ces </w:t>
      </w:r>
      <w:r>
        <w:rPr>
          <w:lang w:val="fr-CA"/>
        </w:rPr>
        <w:t>substances</w:t>
      </w:r>
      <w:r w:rsidRPr="001A2C19">
        <w:rPr>
          <w:lang w:val="fr-CA"/>
        </w:rPr>
        <w:t xml:space="preserve"> augmentera; </w:t>
      </w:r>
      <w:r>
        <w:rPr>
          <w:lang w:val="fr-CA"/>
        </w:rPr>
        <w:t>mise au point d’</w:t>
      </w:r>
      <w:r w:rsidRPr="001A2C19">
        <w:rPr>
          <w:lang w:val="fr-CA"/>
        </w:rPr>
        <w:t xml:space="preserve">un nouveau matériel de formation </w:t>
      </w:r>
      <w:r>
        <w:rPr>
          <w:lang w:val="fr-CA"/>
        </w:rPr>
        <w:t>sur</w:t>
      </w:r>
      <w:r w:rsidRPr="001A2C19">
        <w:rPr>
          <w:lang w:val="fr-CA"/>
        </w:rPr>
        <w:t xml:space="preserve"> les solutions de remplacement du HCFC-141b pour le rinçage dans le secteur de l'entretien; form</w:t>
      </w:r>
      <w:r>
        <w:rPr>
          <w:lang w:val="fr-CA"/>
        </w:rPr>
        <w:t>ation d’</w:t>
      </w:r>
      <w:r w:rsidRPr="001A2C19">
        <w:rPr>
          <w:lang w:val="fr-CA"/>
        </w:rPr>
        <w:t>au moins 25</w:t>
      </w:r>
      <w:r>
        <w:rPr>
          <w:lang w:val="fr-CA"/>
        </w:rPr>
        <w:t> </w:t>
      </w:r>
      <w:r w:rsidRPr="001A2C19">
        <w:rPr>
          <w:lang w:val="fr-CA"/>
        </w:rPr>
        <w:t xml:space="preserve">instructeurs sur le nouveau code de pratique de l'entretien; et cinq ateliers de formation </w:t>
      </w:r>
      <w:r>
        <w:rPr>
          <w:lang w:val="fr-CA"/>
        </w:rPr>
        <w:t>à l’intention de</w:t>
      </w:r>
      <w:r w:rsidRPr="001A2C19">
        <w:rPr>
          <w:lang w:val="fr-CA"/>
        </w:rPr>
        <w:t xml:space="preserve"> 120</w:t>
      </w:r>
      <w:r>
        <w:rPr>
          <w:lang w:val="fr-CA"/>
        </w:rPr>
        <w:t> </w:t>
      </w:r>
      <w:r w:rsidRPr="001A2C19">
        <w:rPr>
          <w:lang w:val="fr-CA"/>
        </w:rPr>
        <w:t xml:space="preserve">techniciens </w:t>
      </w:r>
      <w:r>
        <w:rPr>
          <w:lang w:val="fr-CA"/>
        </w:rPr>
        <w:t xml:space="preserve">en </w:t>
      </w:r>
      <w:r w:rsidRPr="001A2C19">
        <w:rPr>
          <w:lang w:val="fr-CA"/>
        </w:rPr>
        <w:t xml:space="preserve">entretien </w:t>
      </w:r>
      <w:r>
        <w:rPr>
          <w:lang w:val="fr-CA"/>
        </w:rPr>
        <w:t xml:space="preserve">en vue de </w:t>
      </w:r>
      <w:r w:rsidRPr="001A2C19">
        <w:rPr>
          <w:lang w:val="fr-CA"/>
        </w:rPr>
        <w:t xml:space="preserve">la certification sur la manipulation des solutions de remplacement du HCFC-22 à faible </w:t>
      </w:r>
      <w:r w:rsidR="0026119A">
        <w:rPr>
          <w:lang w:val="fr-CA"/>
        </w:rPr>
        <w:t>PRG</w:t>
      </w:r>
      <w:r w:rsidRPr="001A2C19">
        <w:rPr>
          <w:lang w:val="fr-CA"/>
        </w:rPr>
        <w:t xml:space="preserve"> (c.-à-d., HFC-32 et R-290) et </w:t>
      </w:r>
      <w:r>
        <w:rPr>
          <w:lang w:val="fr-CA"/>
        </w:rPr>
        <w:t>d</w:t>
      </w:r>
      <w:r w:rsidRPr="001A2C19">
        <w:rPr>
          <w:lang w:val="fr-CA"/>
        </w:rPr>
        <w:t>es so</w:t>
      </w:r>
      <w:r>
        <w:rPr>
          <w:lang w:val="fr-CA"/>
        </w:rPr>
        <w:t>lutions de remplacement du HCFC-</w:t>
      </w:r>
      <w:r w:rsidRPr="001A2C19">
        <w:rPr>
          <w:lang w:val="fr-CA"/>
        </w:rPr>
        <w:t>141b (82</w:t>
      </w:r>
      <w:r>
        <w:rPr>
          <w:lang w:val="fr-CA"/>
        </w:rPr>
        <w:t> </w:t>
      </w:r>
      <w:r w:rsidRPr="001A2C19">
        <w:rPr>
          <w:lang w:val="fr-CA"/>
        </w:rPr>
        <w:t>000</w:t>
      </w:r>
      <w:r>
        <w:rPr>
          <w:lang w:val="fr-CA"/>
        </w:rPr>
        <w:t> </w:t>
      </w:r>
      <w:r w:rsidRPr="001A2C19">
        <w:rPr>
          <w:lang w:val="fr-CA"/>
        </w:rPr>
        <w:t>$US);</w:t>
      </w:r>
    </w:p>
    <w:p w14:paraId="562610EB" w14:textId="77777777" w:rsidR="00963F10" w:rsidRPr="001A2C19" w:rsidRDefault="00963F10" w:rsidP="00963F10">
      <w:pPr>
        <w:pStyle w:val="Heading3"/>
        <w:numPr>
          <w:ilvl w:val="2"/>
          <w:numId w:val="1"/>
        </w:numPr>
        <w:rPr>
          <w:lang w:val="fr-CA"/>
        </w:rPr>
      </w:pPr>
      <w:r>
        <w:rPr>
          <w:lang w:val="fr-CA"/>
        </w:rPr>
        <w:t>É</w:t>
      </w:r>
      <w:r w:rsidRPr="001A2C19">
        <w:rPr>
          <w:lang w:val="fr-CA"/>
        </w:rPr>
        <w:t xml:space="preserve">tude sur les solutions de remplacement potentielles du HCFC-225ca et du HCFC-225cb pour le nettoyage des systèmes de réfrigération et du HCFC-123 pour la lutte contre les incendies; </w:t>
      </w:r>
      <w:r>
        <w:rPr>
          <w:lang w:val="fr-CA"/>
        </w:rPr>
        <w:t>information</w:t>
      </w:r>
      <w:r w:rsidRPr="001A2C19">
        <w:rPr>
          <w:lang w:val="fr-CA"/>
        </w:rPr>
        <w:t xml:space="preserve"> et formation des parties prenantes sur les solutions de remplacement et leur rapport coût-efficacité dans le cadre de deux ateliers réunissant 40</w:t>
      </w:r>
      <w:r>
        <w:rPr>
          <w:lang w:val="fr-CA"/>
        </w:rPr>
        <w:t> </w:t>
      </w:r>
      <w:r w:rsidRPr="001A2C19">
        <w:rPr>
          <w:lang w:val="fr-CA"/>
        </w:rPr>
        <w:t xml:space="preserve">participants au total; étude visant à </w:t>
      </w:r>
      <w:r>
        <w:rPr>
          <w:lang w:val="fr-CA"/>
        </w:rPr>
        <w:t>repérer</w:t>
      </w:r>
      <w:r w:rsidRPr="001A2C19">
        <w:rPr>
          <w:lang w:val="fr-CA"/>
        </w:rPr>
        <w:t xml:space="preserve"> les endroits où le HCFC-141b est utilisé comme solvant et à recommander des solutions de remplacement pour le rinçage et deux ateliers de formation </w:t>
      </w:r>
      <w:r>
        <w:rPr>
          <w:lang w:val="fr-CA"/>
        </w:rPr>
        <w:t>à l’attention de</w:t>
      </w:r>
      <w:r w:rsidRPr="001A2C19">
        <w:rPr>
          <w:lang w:val="fr-CA"/>
        </w:rPr>
        <w:t xml:space="preserve"> 60</w:t>
      </w:r>
      <w:r>
        <w:rPr>
          <w:lang w:val="fr-CA"/>
        </w:rPr>
        <w:t> </w:t>
      </w:r>
      <w:r w:rsidRPr="001A2C19">
        <w:rPr>
          <w:lang w:val="fr-CA"/>
        </w:rPr>
        <w:t>participants sur les résultats de cette étude (78</w:t>
      </w:r>
      <w:r>
        <w:rPr>
          <w:lang w:val="fr-CA"/>
        </w:rPr>
        <w:t> </w:t>
      </w:r>
      <w:r w:rsidRPr="001A2C19">
        <w:rPr>
          <w:lang w:val="fr-CA"/>
        </w:rPr>
        <w:t>000</w:t>
      </w:r>
      <w:r>
        <w:rPr>
          <w:lang w:val="fr-CA"/>
        </w:rPr>
        <w:t> </w:t>
      </w:r>
      <w:r w:rsidRPr="001A2C19">
        <w:rPr>
          <w:lang w:val="fr-CA"/>
        </w:rPr>
        <w:t>$US);</w:t>
      </w:r>
    </w:p>
    <w:p w14:paraId="0D63ED0D" w14:textId="334A3EB8" w:rsidR="00963F10" w:rsidRPr="00D00148" w:rsidRDefault="00963F10" w:rsidP="00963F10">
      <w:pPr>
        <w:pStyle w:val="Heading2"/>
        <w:rPr>
          <w:lang w:val="fr-CA"/>
        </w:rPr>
      </w:pPr>
      <w:r w:rsidRPr="00D00148">
        <w:rPr>
          <w:lang w:val="fr-CA"/>
        </w:rPr>
        <w:t xml:space="preserve">Assistance technique </w:t>
      </w:r>
      <w:r>
        <w:rPr>
          <w:lang w:val="fr-CA"/>
        </w:rPr>
        <w:t>visant à</w:t>
      </w:r>
      <w:r w:rsidRPr="00D00148">
        <w:rPr>
          <w:lang w:val="fr-CA"/>
        </w:rPr>
        <w:t xml:space="preserve"> promouvoir des solutions de remplacement à faible </w:t>
      </w:r>
      <w:r w:rsidR="0026119A">
        <w:rPr>
          <w:lang w:val="fr-CA"/>
        </w:rPr>
        <w:t>PRG</w:t>
      </w:r>
      <w:r w:rsidRPr="00D00148">
        <w:rPr>
          <w:lang w:val="fr-CA"/>
        </w:rPr>
        <w:t xml:space="preserve"> pour le secteur de la fabrication de </w:t>
      </w:r>
      <w:r>
        <w:rPr>
          <w:lang w:val="fr-CA"/>
        </w:rPr>
        <w:t>climatiseurs</w:t>
      </w:r>
      <w:r w:rsidRPr="00D00148">
        <w:rPr>
          <w:lang w:val="fr-CA"/>
        </w:rPr>
        <w:t xml:space="preserve"> (91</w:t>
      </w:r>
      <w:r>
        <w:rPr>
          <w:lang w:val="fr-CA"/>
        </w:rPr>
        <w:t> </w:t>
      </w:r>
      <w:r w:rsidRPr="00D00148">
        <w:rPr>
          <w:lang w:val="fr-CA"/>
        </w:rPr>
        <w:t>902</w:t>
      </w:r>
      <w:r>
        <w:rPr>
          <w:lang w:val="fr-CA"/>
        </w:rPr>
        <w:t> </w:t>
      </w:r>
      <w:r w:rsidRPr="00D00148">
        <w:rPr>
          <w:lang w:val="fr-CA"/>
        </w:rPr>
        <w:t>$US)</w:t>
      </w:r>
      <w:r>
        <w:rPr>
          <w:lang w:val="fr-CA"/>
        </w:rPr>
        <w:t> :</w:t>
      </w:r>
    </w:p>
    <w:p w14:paraId="4D89D1DB" w14:textId="4F8D39A4" w:rsidR="00963F10" w:rsidRPr="00D00148" w:rsidRDefault="00963F10" w:rsidP="00963F10">
      <w:pPr>
        <w:pStyle w:val="Heading3"/>
        <w:numPr>
          <w:ilvl w:val="2"/>
          <w:numId w:val="1"/>
        </w:numPr>
        <w:rPr>
          <w:lang w:val="fr-CA"/>
        </w:rPr>
      </w:pPr>
      <w:r w:rsidRPr="00D00148">
        <w:rPr>
          <w:lang w:val="fr-CA"/>
        </w:rPr>
        <w:t xml:space="preserve">Trois ateliers </w:t>
      </w:r>
      <w:r>
        <w:rPr>
          <w:lang w:val="fr-CA"/>
        </w:rPr>
        <w:t>à l’attention de</w:t>
      </w:r>
      <w:r w:rsidRPr="00D00148">
        <w:rPr>
          <w:lang w:val="fr-CA"/>
        </w:rPr>
        <w:t xml:space="preserve"> 100</w:t>
      </w:r>
      <w:r>
        <w:rPr>
          <w:lang w:val="fr-CA"/>
        </w:rPr>
        <w:t> </w:t>
      </w:r>
      <w:r w:rsidRPr="00D00148">
        <w:rPr>
          <w:lang w:val="fr-CA"/>
        </w:rPr>
        <w:t xml:space="preserve">fabricants de </w:t>
      </w:r>
      <w:r>
        <w:rPr>
          <w:lang w:val="fr-CA"/>
        </w:rPr>
        <w:t>climatiseurs</w:t>
      </w:r>
      <w:r w:rsidRPr="00D00148">
        <w:rPr>
          <w:lang w:val="fr-CA"/>
        </w:rPr>
        <w:t>, importateurs</w:t>
      </w:r>
      <w:r>
        <w:rPr>
          <w:lang w:val="fr-CA"/>
        </w:rPr>
        <w:t xml:space="preserve"> et</w:t>
      </w:r>
      <w:r w:rsidRPr="00D00148">
        <w:rPr>
          <w:lang w:val="fr-CA"/>
        </w:rPr>
        <w:t xml:space="preserve"> utilisateurs finaux</w:t>
      </w:r>
      <w:r>
        <w:rPr>
          <w:lang w:val="fr-CA"/>
        </w:rPr>
        <w:t xml:space="preserve">, afin de </w:t>
      </w:r>
      <w:r w:rsidRPr="00D00148">
        <w:rPr>
          <w:lang w:val="fr-CA"/>
        </w:rPr>
        <w:t xml:space="preserve">fournir des renseignements et démontrer, encourager et promouvoir l'utilisation de solutions de remplacement à faible </w:t>
      </w:r>
      <w:r w:rsidR="0026119A">
        <w:rPr>
          <w:lang w:val="fr-CA"/>
        </w:rPr>
        <w:t>PRG</w:t>
      </w:r>
      <w:r w:rsidRPr="00D00148">
        <w:rPr>
          <w:lang w:val="fr-CA"/>
        </w:rPr>
        <w:t xml:space="preserve"> dans le secteur </w:t>
      </w:r>
      <w:r>
        <w:rPr>
          <w:lang w:val="fr-CA"/>
        </w:rPr>
        <w:t>des climatiseurs</w:t>
      </w:r>
      <w:r w:rsidRPr="00D00148">
        <w:rPr>
          <w:lang w:val="fr-CA"/>
        </w:rPr>
        <w:t xml:space="preserve">; </w:t>
      </w:r>
    </w:p>
    <w:p w14:paraId="3B4498FF" w14:textId="49890A20" w:rsidR="00963F10" w:rsidRPr="00D00148" w:rsidRDefault="00963F10" w:rsidP="00963F10">
      <w:pPr>
        <w:pStyle w:val="Heading3"/>
        <w:numPr>
          <w:ilvl w:val="2"/>
          <w:numId w:val="1"/>
        </w:numPr>
        <w:rPr>
          <w:lang w:val="fr-CA"/>
        </w:rPr>
      </w:pPr>
      <w:r>
        <w:rPr>
          <w:lang w:val="fr-CA"/>
        </w:rPr>
        <w:t>É</w:t>
      </w:r>
      <w:r w:rsidRPr="00D00148">
        <w:rPr>
          <w:lang w:val="fr-CA"/>
        </w:rPr>
        <w:t xml:space="preserve">tude de marché sur la situation actuelle </w:t>
      </w:r>
      <w:r>
        <w:rPr>
          <w:lang w:val="fr-CA"/>
        </w:rPr>
        <w:t>dans</w:t>
      </w:r>
      <w:r w:rsidRPr="00D00148">
        <w:rPr>
          <w:lang w:val="fr-CA"/>
        </w:rPr>
        <w:t xml:space="preserve"> le secteur de la climatisation </w:t>
      </w:r>
      <w:r>
        <w:rPr>
          <w:lang w:val="fr-CA"/>
        </w:rPr>
        <w:t xml:space="preserve">aux Philippines, </w:t>
      </w:r>
      <w:r w:rsidRPr="00D00148">
        <w:rPr>
          <w:lang w:val="fr-CA"/>
        </w:rPr>
        <w:t xml:space="preserve">en examinant la disponibilité, la faisabilité technique et les avantages environnementaux et économiques potentiels pour </w:t>
      </w:r>
      <w:r>
        <w:rPr>
          <w:lang w:val="fr-CA"/>
        </w:rPr>
        <w:t>le passage à</w:t>
      </w:r>
      <w:r w:rsidRPr="00D00148">
        <w:rPr>
          <w:lang w:val="fr-CA"/>
        </w:rPr>
        <w:t xml:space="preserve"> des solutions de remplacement à faible </w:t>
      </w:r>
      <w:r w:rsidR="0026119A">
        <w:rPr>
          <w:lang w:val="fr-CA"/>
        </w:rPr>
        <w:t>PRG</w:t>
      </w:r>
      <w:r w:rsidRPr="00D00148">
        <w:rPr>
          <w:lang w:val="fr-CA"/>
        </w:rPr>
        <w:t xml:space="preserve"> dans les catégories de fabrication et d'importation; </w:t>
      </w:r>
    </w:p>
    <w:p w14:paraId="51AE51B1" w14:textId="77777777" w:rsidR="00963F10" w:rsidRPr="00D00148" w:rsidRDefault="00963F10" w:rsidP="00963F10">
      <w:pPr>
        <w:pStyle w:val="Heading3"/>
        <w:numPr>
          <w:ilvl w:val="2"/>
          <w:numId w:val="1"/>
        </w:numPr>
        <w:rPr>
          <w:lang w:val="fr-CA"/>
        </w:rPr>
      </w:pPr>
      <w:r w:rsidRPr="00D00148">
        <w:rPr>
          <w:lang w:val="fr-CA"/>
        </w:rPr>
        <w:t xml:space="preserve">Préparation d'un programme pilote de formation en ligne qui sera accessible au public sur les sites Web d'apprentissage </w:t>
      </w:r>
      <w:r>
        <w:rPr>
          <w:lang w:val="fr-CA"/>
        </w:rPr>
        <w:t>Internet</w:t>
      </w:r>
      <w:r w:rsidRPr="00D00148">
        <w:rPr>
          <w:lang w:val="fr-CA"/>
        </w:rPr>
        <w:t>, portant spécifiquement sur la manipulation en toute sécurité des frigorigènes inflammables, toxiques et à haute pression</w:t>
      </w:r>
      <w:r>
        <w:rPr>
          <w:lang w:val="fr-CA"/>
        </w:rPr>
        <w:t>,</w:t>
      </w:r>
      <w:r w:rsidRPr="00D00148">
        <w:rPr>
          <w:lang w:val="fr-CA"/>
        </w:rPr>
        <w:t xml:space="preserve"> et destiné aux entreprises de fabrication, aux techniciens, aux utilisateurs finaux, aux importateurs et aux autres parties prenantes concernées, afin de favoriser l'adoption de ces solutions de remplacement, dans l'optique de les inclure dans le programme général de formation des techniciens </w:t>
      </w:r>
      <w:r>
        <w:rPr>
          <w:lang w:val="fr-CA"/>
        </w:rPr>
        <w:t xml:space="preserve">en </w:t>
      </w:r>
      <w:r w:rsidRPr="00D00148">
        <w:rPr>
          <w:lang w:val="fr-CA"/>
        </w:rPr>
        <w:t>entretien.</w:t>
      </w:r>
    </w:p>
    <w:p w14:paraId="2780D216" w14:textId="77777777" w:rsidR="00963F10" w:rsidRPr="00AD49A2" w:rsidRDefault="00963F10" w:rsidP="00963F10">
      <w:pPr>
        <w:pStyle w:val="Heading2"/>
        <w:rPr>
          <w:lang w:val="fr-CA"/>
        </w:rPr>
      </w:pPr>
      <w:r w:rsidRPr="00AD49A2">
        <w:rPr>
          <w:lang w:val="fr-CA"/>
        </w:rPr>
        <w:t>PMU : (44 500 $US) pour la mise en œuvre globale et le suivi des activités, y compris l'embauche d'un coord</w:t>
      </w:r>
      <w:r>
        <w:rPr>
          <w:lang w:val="fr-CA"/>
        </w:rPr>
        <w:t>on</w:t>
      </w:r>
      <w:r w:rsidRPr="00AD49A2">
        <w:rPr>
          <w:lang w:val="fr-CA"/>
        </w:rPr>
        <w:t>nateur et d'experts en enquêtes; la coord</w:t>
      </w:r>
      <w:r>
        <w:rPr>
          <w:lang w:val="fr-CA"/>
        </w:rPr>
        <w:t>i</w:t>
      </w:r>
      <w:r w:rsidRPr="00AD49A2">
        <w:rPr>
          <w:lang w:val="fr-CA"/>
        </w:rPr>
        <w:t xml:space="preserve">nation </w:t>
      </w:r>
      <w:r>
        <w:rPr>
          <w:lang w:val="fr-CA"/>
        </w:rPr>
        <w:t xml:space="preserve">des activités </w:t>
      </w:r>
      <w:r w:rsidRPr="00AD49A2">
        <w:rPr>
          <w:lang w:val="fr-CA"/>
        </w:rPr>
        <w:t>des parties prenantes; la diffusion d'information sur divers sujets liés à la mise en œuvre de la phase</w:t>
      </w:r>
      <w:r>
        <w:rPr>
          <w:lang w:val="fr-CA"/>
        </w:rPr>
        <w:t> </w:t>
      </w:r>
      <w:r w:rsidRPr="00AD49A2">
        <w:rPr>
          <w:lang w:val="fr-CA"/>
        </w:rPr>
        <w:t>II; l'engagement d'un expert pour mettre en œuvre la politique opérationnelle sur l'égalité des sexes du Fonds multilatéral</w:t>
      </w:r>
      <w:r>
        <w:rPr>
          <w:lang w:val="fr-CA"/>
        </w:rPr>
        <w:t>,</w:t>
      </w:r>
      <w:r w:rsidRPr="00AD49A2">
        <w:rPr>
          <w:lang w:val="fr-CA"/>
        </w:rPr>
        <w:t xml:space="preserve"> conformément au guide de l'ONUDI sur l'intégration de l'égalité des sexes dans les projets du Protocole de Montréal; et la poursuite de la mise en œuvre de programmes généraux de sensibilisation.</w:t>
      </w:r>
    </w:p>
    <w:p w14:paraId="14086738" w14:textId="77777777" w:rsidR="00963F10" w:rsidRPr="00EF77C6" w:rsidRDefault="00963F10" w:rsidP="00963F10">
      <w:pPr>
        <w:keepNext/>
        <w:rPr>
          <w:b/>
          <w:lang w:val="fr-CA"/>
        </w:rPr>
      </w:pPr>
      <w:r w:rsidRPr="00EF77C6">
        <w:rPr>
          <w:b/>
          <w:lang w:val="fr-CA"/>
        </w:rPr>
        <w:t xml:space="preserve">Observations du Secrétariat </w:t>
      </w:r>
    </w:p>
    <w:p w14:paraId="216C7EED" w14:textId="77777777" w:rsidR="00963F10" w:rsidRPr="00085F79" w:rsidRDefault="00963F10" w:rsidP="00963F10">
      <w:pPr>
        <w:keepNext/>
        <w:rPr>
          <w:b/>
        </w:rPr>
      </w:pPr>
    </w:p>
    <w:p w14:paraId="5A4E0AAF" w14:textId="77777777" w:rsidR="00963F10" w:rsidRPr="00AD49A2" w:rsidRDefault="00963F10" w:rsidP="00963F10">
      <w:pPr>
        <w:pStyle w:val="Heading1"/>
        <w:rPr>
          <w:lang w:val="fr-CA"/>
        </w:rPr>
      </w:pPr>
      <w:r w:rsidRPr="00AD49A2">
        <w:rPr>
          <w:lang w:val="fr-CA"/>
        </w:rPr>
        <w:t>Le Secrétariat a noté que la vérification de la consommation de HCFC pour 2021 demandée par la décision</w:t>
      </w:r>
      <w:r>
        <w:rPr>
          <w:lang w:val="fr-CA"/>
        </w:rPr>
        <w:t> </w:t>
      </w:r>
      <w:r w:rsidRPr="00AD49A2">
        <w:rPr>
          <w:lang w:val="fr-CA"/>
        </w:rPr>
        <w:t xml:space="preserve">87/19 n'a pas été soumise; il a également </w:t>
      </w:r>
      <w:r>
        <w:rPr>
          <w:lang w:val="fr-CA"/>
        </w:rPr>
        <w:t>constaté</w:t>
      </w:r>
      <w:r w:rsidRPr="00AD49A2">
        <w:rPr>
          <w:lang w:val="fr-CA"/>
        </w:rPr>
        <w:t xml:space="preserve"> que les données de l'article</w:t>
      </w:r>
      <w:r>
        <w:rPr>
          <w:lang w:val="fr-CA"/>
        </w:rPr>
        <w:t> </w:t>
      </w:r>
      <w:r w:rsidRPr="00AD49A2">
        <w:rPr>
          <w:lang w:val="fr-CA"/>
        </w:rPr>
        <w:t xml:space="preserve">7 </w:t>
      </w:r>
      <w:r>
        <w:rPr>
          <w:lang w:val="fr-CA"/>
        </w:rPr>
        <w:t>déclarées</w:t>
      </w:r>
      <w:r w:rsidRPr="00AD49A2">
        <w:rPr>
          <w:lang w:val="fr-CA"/>
        </w:rPr>
        <w:t xml:space="preserve"> pour l'année indiquent que le pays est en conformité avec le Protocole de Montréal et les objectifs fixés dans </w:t>
      </w:r>
      <w:proofErr w:type="gramStart"/>
      <w:r w:rsidRPr="00AD49A2">
        <w:rPr>
          <w:lang w:val="fr-CA"/>
        </w:rPr>
        <w:t>l'</w:t>
      </w:r>
      <w:r>
        <w:rPr>
          <w:lang w:val="fr-CA"/>
        </w:rPr>
        <w:t>A</w:t>
      </w:r>
      <w:r w:rsidRPr="00AD49A2">
        <w:rPr>
          <w:lang w:val="fr-CA"/>
        </w:rPr>
        <w:t xml:space="preserve">ccord </w:t>
      </w:r>
      <w:r>
        <w:rPr>
          <w:lang w:val="fr-CA"/>
        </w:rPr>
        <w:t xml:space="preserve"> sur</w:t>
      </w:r>
      <w:proofErr w:type="gramEnd"/>
      <w:r>
        <w:rPr>
          <w:lang w:val="fr-CA"/>
        </w:rPr>
        <w:t xml:space="preserve"> le </w:t>
      </w:r>
      <w:r w:rsidRPr="00AD49A2">
        <w:rPr>
          <w:lang w:val="fr-CA"/>
        </w:rPr>
        <w:t>PGEH. L'ONUDI a expliqué que la vérification de la consommation aux Philippines est toujours en cours et qu'elle sera terminée d'ici décembre</w:t>
      </w:r>
      <w:r>
        <w:rPr>
          <w:lang w:val="fr-CA"/>
        </w:rPr>
        <w:t> </w:t>
      </w:r>
      <w:r w:rsidRPr="00AD49A2">
        <w:rPr>
          <w:lang w:val="fr-CA"/>
        </w:rPr>
        <w:t xml:space="preserve">2022, </w:t>
      </w:r>
      <w:r>
        <w:rPr>
          <w:lang w:val="fr-CA"/>
        </w:rPr>
        <w:t>en vue d’</w:t>
      </w:r>
      <w:r w:rsidRPr="00AD49A2">
        <w:rPr>
          <w:lang w:val="fr-CA"/>
        </w:rPr>
        <w:t>être soumise à la 91</w:t>
      </w:r>
      <w:r w:rsidRPr="00AD49A2">
        <w:rPr>
          <w:vertAlign w:val="superscript"/>
          <w:lang w:val="fr-CA"/>
        </w:rPr>
        <w:t>e</w:t>
      </w:r>
      <w:r>
        <w:rPr>
          <w:lang w:val="fr-CA"/>
        </w:rPr>
        <w:t> </w:t>
      </w:r>
      <w:r w:rsidRPr="00AD49A2">
        <w:rPr>
          <w:lang w:val="fr-CA"/>
        </w:rPr>
        <w:t xml:space="preserve">réunion. Le Secrétariat a également </w:t>
      </w:r>
      <w:r>
        <w:rPr>
          <w:lang w:val="fr-CA"/>
        </w:rPr>
        <w:t>souligné</w:t>
      </w:r>
      <w:r w:rsidRPr="00AD49A2">
        <w:rPr>
          <w:lang w:val="fr-CA"/>
        </w:rPr>
        <w:t xml:space="preserve"> que la consommation du pays en 2021 est supérieure de 16</w:t>
      </w:r>
      <w:r>
        <w:rPr>
          <w:lang w:val="fr-CA"/>
        </w:rPr>
        <w:t> </w:t>
      </w:r>
      <w:r w:rsidRPr="00AD49A2">
        <w:rPr>
          <w:lang w:val="fr-CA"/>
        </w:rPr>
        <w:t xml:space="preserve">% à celle de 2020; l'ONUDI a </w:t>
      </w:r>
      <w:r>
        <w:rPr>
          <w:lang w:val="fr-CA"/>
        </w:rPr>
        <w:t>précisé</w:t>
      </w:r>
      <w:r w:rsidRPr="00AD49A2">
        <w:rPr>
          <w:lang w:val="fr-CA"/>
        </w:rPr>
        <w:t xml:space="preserve"> que cela était dû à la reprise du marché après la levée des restrictions </w:t>
      </w:r>
      <w:r>
        <w:rPr>
          <w:lang w:val="fr-CA"/>
        </w:rPr>
        <w:t>imposées en raison de la</w:t>
      </w:r>
      <w:r w:rsidRPr="00AD49A2">
        <w:rPr>
          <w:lang w:val="fr-CA"/>
        </w:rPr>
        <w:t xml:space="preserve"> COVID-19, notant la forte baisse de la consommation entre 2019 et 2020.</w:t>
      </w:r>
    </w:p>
    <w:p w14:paraId="7EFCCB70" w14:textId="6C9C01F0" w:rsidR="00963F10" w:rsidRPr="00400506" w:rsidRDefault="00963F10" w:rsidP="00963F10">
      <w:pPr>
        <w:pStyle w:val="Heading1"/>
        <w:rPr>
          <w:lang w:val="fr-CA"/>
        </w:rPr>
      </w:pPr>
      <w:r w:rsidRPr="00400506">
        <w:rPr>
          <w:lang w:val="fr-CA"/>
        </w:rPr>
        <w:t xml:space="preserve">Le Secrétariat a également </w:t>
      </w:r>
      <w:r>
        <w:rPr>
          <w:lang w:val="fr-CA"/>
        </w:rPr>
        <w:t>expliqué</w:t>
      </w:r>
      <w:r w:rsidRPr="00400506">
        <w:rPr>
          <w:lang w:val="fr-CA"/>
        </w:rPr>
        <w:t xml:space="preserve"> que les difficultés dues à la pandémie de COVID-19 avaient entraîné des retards dans la mise en œuvre du PGEH. </w:t>
      </w:r>
      <w:r>
        <w:rPr>
          <w:lang w:val="fr-CA"/>
        </w:rPr>
        <w:t>I</w:t>
      </w:r>
      <w:r w:rsidRPr="00400506">
        <w:rPr>
          <w:lang w:val="fr-CA"/>
        </w:rPr>
        <w:t>l y a eu</w:t>
      </w:r>
      <w:r>
        <w:rPr>
          <w:lang w:val="fr-CA"/>
        </w:rPr>
        <w:t>, cependant,</w:t>
      </w:r>
      <w:r w:rsidRPr="00400506">
        <w:rPr>
          <w:lang w:val="fr-CA"/>
        </w:rPr>
        <w:t xml:space="preserve"> un décaissement global de 31</w:t>
      </w:r>
      <w:r>
        <w:rPr>
          <w:lang w:val="fr-CA"/>
        </w:rPr>
        <w:t> </w:t>
      </w:r>
      <w:r w:rsidRPr="00400506">
        <w:rPr>
          <w:lang w:val="fr-CA"/>
        </w:rPr>
        <w:t xml:space="preserve">% et quelques résultats notables au cours de cette période, notamment l'élaboration de normes minimales </w:t>
      </w:r>
      <w:r>
        <w:rPr>
          <w:lang w:val="fr-CA"/>
        </w:rPr>
        <w:t>d’efficacité</w:t>
      </w:r>
      <w:r w:rsidRPr="00400506">
        <w:rPr>
          <w:lang w:val="fr-CA"/>
        </w:rPr>
        <w:t xml:space="preserve"> énergétique pour l</w:t>
      </w:r>
      <w:r>
        <w:rPr>
          <w:lang w:val="fr-CA"/>
        </w:rPr>
        <w:t>’</w:t>
      </w:r>
      <w:r w:rsidRPr="00400506">
        <w:rPr>
          <w:lang w:val="fr-CA"/>
        </w:rPr>
        <w:t>équipement de réfrigération et de climatisation en étroite co</w:t>
      </w:r>
      <w:r>
        <w:rPr>
          <w:lang w:val="fr-CA"/>
        </w:rPr>
        <w:t xml:space="preserve">llaboration </w:t>
      </w:r>
      <w:r w:rsidRPr="00400506">
        <w:rPr>
          <w:lang w:val="fr-CA"/>
        </w:rPr>
        <w:t>avec le ministère de l'Énergie et la publication</w:t>
      </w:r>
      <w:r>
        <w:rPr>
          <w:lang w:val="fr-CA"/>
        </w:rPr>
        <w:t>,</w:t>
      </w:r>
      <w:r w:rsidRPr="00400506">
        <w:rPr>
          <w:lang w:val="fr-CA"/>
        </w:rPr>
        <w:t xml:space="preserve"> en mai</w:t>
      </w:r>
      <w:r>
        <w:rPr>
          <w:lang w:val="fr-CA"/>
        </w:rPr>
        <w:t> </w:t>
      </w:r>
      <w:r w:rsidRPr="00400506">
        <w:rPr>
          <w:lang w:val="fr-CA"/>
        </w:rPr>
        <w:t>2021</w:t>
      </w:r>
      <w:r>
        <w:rPr>
          <w:lang w:val="fr-CA"/>
        </w:rPr>
        <w:t>,</w:t>
      </w:r>
      <w:r w:rsidRPr="00400506">
        <w:rPr>
          <w:lang w:val="fr-CA"/>
        </w:rPr>
        <w:t xml:space="preserve"> des directives d'application du programme philippin d'étiquetage énergétique pour les climatiseurs, </w:t>
      </w:r>
      <w:r>
        <w:rPr>
          <w:lang w:val="fr-CA"/>
        </w:rPr>
        <w:t>à l’appui de</w:t>
      </w:r>
      <w:r w:rsidRPr="00400506">
        <w:rPr>
          <w:lang w:val="fr-CA"/>
        </w:rPr>
        <w:t xml:space="preserve"> l'adoption de solutions de remplacement à faible </w:t>
      </w:r>
      <w:r w:rsidR="0026119A">
        <w:rPr>
          <w:lang w:val="fr-CA"/>
        </w:rPr>
        <w:t>PRG</w:t>
      </w:r>
      <w:r w:rsidRPr="00400506">
        <w:rPr>
          <w:lang w:val="fr-CA"/>
        </w:rPr>
        <w:t xml:space="preserve"> dans le pays.</w:t>
      </w:r>
    </w:p>
    <w:p w14:paraId="43158F28" w14:textId="77777777" w:rsidR="00963F10" w:rsidRPr="00400506" w:rsidRDefault="00963F10" w:rsidP="00963F10">
      <w:pPr>
        <w:pStyle w:val="Heading1"/>
        <w:rPr>
          <w:lang w:val="fr-CA"/>
        </w:rPr>
      </w:pPr>
      <w:r w:rsidRPr="00400506">
        <w:rPr>
          <w:lang w:val="fr-CA"/>
        </w:rPr>
        <w:t>Le Secrétariat a estimé que la demande de prolongation du PGEH jusqu'à fin décembre</w:t>
      </w:r>
      <w:r>
        <w:rPr>
          <w:lang w:val="fr-CA"/>
        </w:rPr>
        <w:t> </w:t>
      </w:r>
      <w:r w:rsidRPr="00400506">
        <w:rPr>
          <w:lang w:val="fr-CA"/>
        </w:rPr>
        <w:t xml:space="preserve">2023 permettrait au </w:t>
      </w:r>
      <w:r>
        <w:rPr>
          <w:lang w:val="fr-CA"/>
        </w:rPr>
        <w:t>g</w:t>
      </w:r>
      <w:r w:rsidRPr="00400506">
        <w:rPr>
          <w:lang w:val="fr-CA"/>
        </w:rPr>
        <w:t xml:space="preserve">ouvernement </w:t>
      </w:r>
      <w:r>
        <w:rPr>
          <w:lang w:val="fr-CA"/>
        </w:rPr>
        <w:t xml:space="preserve">des Philippines </w:t>
      </w:r>
      <w:r w:rsidRPr="00400506">
        <w:rPr>
          <w:lang w:val="fr-CA"/>
        </w:rPr>
        <w:t>et à l'ONUDI d'achever toutes les activités restantes pour les tranches combinées. L'ONUDI a également indiqué que la phase</w:t>
      </w:r>
      <w:r>
        <w:rPr>
          <w:lang w:val="fr-CA"/>
        </w:rPr>
        <w:t> </w:t>
      </w:r>
      <w:r w:rsidRPr="00400506">
        <w:rPr>
          <w:lang w:val="fr-CA"/>
        </w:rPr>
        <w:t>III du PGEH sera soumise à la deuxième réunion en 2023.</w:t>
      </w:r>
    </w:p>
    <w:p w14:paraId="2D21DAF5" w14:textId="77777777" w:rsidR="00963F10" w:rsidRPr="00EF77C6" w:rsidRDefault="00963F10" w:rsidP="003E673B">
      <w:pPr>
        <w:keepNext/>
        <w:keepLines/>
        <w:spacing w:after="240"/>
        <w:rPr>
          <w:b/>
          <w:lang w:val="fr-CA"/>
        </w:rPr>
      </w:pPr>
      <w:r w:rsidRPr="00EF77C6">
        <w:rPr>
          <w:b/>
          <w:lang w:val="fr-CA"/>
        </w:rPr>
        <w:t>Recommandation</w:t>
      </w:r>
    </w:p>
    <w:p w14:paraId="06D9B24A" w14:textId="77777777" w:rsidR="00963F10" w:rsidRPr="00400506" w:rsidRDefault="00963F10" w:rsidP="003E673B">
      <w:pPr>
        <w:pStyle w:val="Heading1"/>
        <w:keepNext/>
        <w:keepLines/>
        <w:rPr>
          <w:lang w:val="fr-CA"/>
        </w:rPr>
      </w:pPr>
      <w:r w:rsidRPr="00400506">
        <w:rPr>
          <w:lang w:val="fr-CA"/>
        </w:rPr>
        <w:t>Le Comité exécutif pourrait souhaiter</w:t>
      </w:r>
      <w:r>
        <w:rPr>
          <w:lang w:val="fr-CA"/>
        </w:rPr>
        <w:t> </w:t>
      </w:r>
      <w:r w:rsidRPr="00400506">
        <w:rPr>
          <w:lang w:val="fr-CA"/>
        </w:rPr>
        <w:t>:</w:t>
      </w:r>
    </w:p>
    <w:p w14:paraId="689966B8" w14:textId="77777777" w:rsidR="00963F10" w:rsidRPr="00400506" w:rsidRDefault="00963F10" w:rsidP="003E673B">
      <w:pPr>
        <w:pStyle w:val="Heading2"/>
        <w:keepNext/>
        <w:keepLines/>
        <w:rPr>
          <w:lang w:val="fr-CA"/>
        </w:rPr>
      </w:pPr>
      <w:r w:rsidRPr="00400506">
        <w:rPr>
          <w:lang w:val="fr-CA"/>
        </w:rPr>
        <w:t>Noter le rapport périodique sur la mise en œuvre du programme de travail associé à la phase</w:t>
      </w:r>
      <w:r>
        <w:rPr>
          <w:lang w:val="fr-CA"/>
        </w:rPr>
        <w:t xml:space="preserve"> </w:t>
      </w:r>
      <w:r w:rsidRPr="00400506">
        <w:rPr>
          <w:lang w:val="fr-CA"/>
        </w:rPr>
        <w:t>II du plan de gestion de l'élimination des HCFC (PGEH) pour les Philippines</w:t>
      </w:r>
      <w:r>
        <w:rPr>
          <w:lang w:val="fr-CA"/>
        </w:rPr>
        <w:t>,</w:t>
      </w:r>
      <w:r w:rsidRPr="00400506">
        <w:rPr>
          <w:lang w:val="fr-CA"/>
        </w:rPr>
        <w:t xml:space="preserve"> et la demande de prolongation soumise par l'ONUDI, figurant dans le docu</w:t>
      </w:r>
      <w:r>
        <w:rPr>
          <w:lang w:val="fr-CA"/>
        </w:rPr>
        <w:t>ment UNEP/OzL.Pro/ExCom/90/09</w:t>
      </w:r>
      <w:r w:rsidRPr="00400506">
        <w:rPr>
          <w:lang w:val="fr-CA"/>
        </w:rPr>
        <w:t>;</w:t>
      </w:r>
    </w:p>
    <w:p w14:paraId="600696A1" w14:textId="77777777" w:rsidR="00963F10" w:rsidRPr="004B1AEC" w:rsidRDefault="00963F10" w:rsidP="003E673B">
      <w:pPr>
        <w:pStyle w:val="Heading2"/>
        <w:keepNext/>
        <w:keepLines/>
        <w:rPr>
          <w:lang w:val="fr-CA"/>
        </w:rPr>
      </w:pPr>
      <w:r w:rsidRPr="004B1AEC">
        <w:rPr>
          <w:lang w:val="fr-CA"/>
        </w:rPr>
        <w:t>Prolonger, à titre exceptionnel, en raison des retards imposés par la pandémie de COVID-19, la date d'achèvement de la phase</w:t>
      </w:r>
      <w:r>
        <w:rPr>
          <w:lang w:val="fr-CA"/>
        </w:rPr>
        <w:t> </w:t>
      </w:r>
      <w:r w:rsidRPr="004B1AEC">
        <w:rPr>
          <w:lang w:val="fr-CA"/>
        </w:rPr>
        <w:t>II du PGEH pour les Philippines jusqu'au 31</w:t>
      </w:r>
      <w:r>
        <w:rPr>
          <w:lang w:val="fr-CA"/>
        </w:rPr>
        <w:t> </w:t>
      </w:r>
      <w:r w:rsidRPr="004B1AEC">
        <w:rPr>
          <w:lang w:val="fr-CA"/>
        </w:rPr>
        <w:t>décembre</w:t>
      </w:r>
      <w:r>
        <w:rPr>
          <w:lang w:val="fr-CA"/>
        </w:rPr>
        <w:t> </w:t>
      </w:r>
      <w:r w:rsidRPr="004B1AEC">
        <w:rPr>
          <w:lang w:val="fr-CA"/>
        </w:rPr>
        <w:t xml:space="preserve">2023, </w:t>
      </w:r>
      <w:r>
        <w:rPr>
          <w:lang w:val="fr-CA"/>
        </w:rPr>
        <w:t xml:space="preserve">étant entendu </w:t>
      </w:r>
      <w:r w:rsidRPr="004B1AEC">
        <w:rPr>
          <w:lang w:val="fr-CA"/>
        </w:rPr>
        <w:t xml:space="preserve">qu'aucune autre prolongation ne sera demandée; </w:t>
      </w:r>
    </w:p>
    <w:p w14:paraId="77CD8D01" w14:textId="77777777" w:rsidR="00963F10" w:rsidRPr="004B1AEC" w:rsidRDefault="00963F10" w:rsidP="00963F10">
      <w:pPr>
        <w:pStyle w:val="Heading2"/>
        <w:rPr>
          <w:lang w:val="fr-CA"/>
        </w:rPr>
      </w:pPr>
      <w:r>
        <w:rPr>
          <w:lang w:val="fr-CA"/>
        </w:rPr>
        <w:t>D</w:t>
      </w:r>
      <w:r w:rsidRPr="004B1AEC">
        <w:rPr>
          <w:lang w:val="fr-CA"/>
        </w:rPr>
        <w:t xml:space="preserve">emander au gouvernement des Philippines, par l'intermédiaire de l'ONUDI, de </w:t>
      </w:r>
      <w:r>
        <w:rPr>
          <w:lang w:val="fr-CA"/>
        </w:rPr>
        <w:t>remettre </w:t>
      </w:r>
      <w:r w:rsidRPr="004B1AEC">
        <w:rPr>
          <w:lang w:val="fr-CA"/>
        </w:rPr>
        <w:t>:</w:t>
      </w:r>
    </w:p>
    <w:p w14:paraId="23A75C7F" w14:textId="77777777" w:rsidR="00963F10" w:rsidRPr="009A63AD" w:rsidRDefault="00963F10" w:rsidP="00963F10">
      <w:pPr>
        <w:pStyle w:val="Heading3"/>
        <w:numPr>
          <w:ilvl w:val="2"/>
          <w:numId w:val="1"/>
        </w:numPr>
        <w:rPr>
          <w:lang w:val="fr-CA"/>
        </w:rPr>
      </w:pPr>
      <w:r w:rsidRPr="009A63AD">
        <w:rPr>
          <w:lang w:val="fr-CA"/>
        </w:rPr>
        <w:t>Le rapport de vérification de la consommation de HCFC pour 2021 à la 91</w:t>
      </w:r>
      <w:r w:rsidRPr="009A63AD">
        <w:rPr>
          <w:vertAlign w:val="superscript"/>
          <w:lang w:val="fr-CA"/>
        </w:rPr>
        <w:t>e</w:t>
      </w:r>
      <w:r>
        <w:rPr>
          <w:vertAlign w:val="superscript"/>
          <w:lang w:val="fr-CA"/>
        </w:rPr>
        <w:t> </w:t>
      </w:r>
      <w:r w:rsidRPr="009A63AD">
        <w:rPr>
          <w:lang w:val="fr-CA"/>
        </w:rPr>
        <w:t>réunion;</w:t>
      </w:r>
    </w:p>
    <w:p w14:paraId="669434CC" w14:textId="77777777" w:rsidR="00963F10" w:rsidRPr="009A63AD" w:rsidRDefault="00963F10" w:rsidP="00963F10">
      <w:pPr>
        <w:pStyle w:val="Heading3"/>
        <w:numPr>
          <w:ilvl w:val="2"/>
          <w:numId w:val="1"/>
        </w:numPr>
        <w:rPr>
          <w:lang w:val="fr-CA"/>
        </w:rPr>
      </w:pPr>
      <w:r>
        <w:rPr>
          <w:lang w:val="fr-CA"/>
        </w:rPr>
        <w:t>D</w:t>
      </w:r>
      <w:r w:rsidRPr="009A63AD">
        <w:rPr>
          <w:lang w:val="fr-CA"/>
        </w:rPr>
        <w:t>es rapports périodiques annuels sur la mise en œuvre du programme de travail associé à la dernière tranche jusqu'à l'achèvement du projet, des rapports de vérification jusqu'à l'approbation de la phase</w:t>
      </w:r>
      <w:r>
        <w:rPr>
          <w:lang w:val="fr-CA"/>
        </w:rPr>
        <w:t> </w:t>
      </w:r>
      <w:r w:rsidRPr="009A63AD">
        <w:rPr>
          <w:lang w:val="fr-CA"/>
        </w:rPr>
        <w:t>III, et le rapport d'achèvement du projet à la première réunion en 2024.</w:t>
      </w:r>
    </w:p>
    <w:p w14:paraId="5EBA6CF2" w14:textId="77777777" w:rsidR="00963F10" w:rsidRPr="009A63AD" w:rsidRDefault="00963F10" w:rsidP="00963F10">
      <w:pPr>
        <w:rPr>
          <w:b/>
          <w:u w:val="single"/>
          <w:lang w:val="fr-CA"/>
        </w:rPr>
      </w:pPr>
      <w:r w:rsidRPr="009A63AD">
        <w:rPr>
          <w:b/>
          <w:u w:val="single"/>
          <w:lang w:val="fr-CA"/>
        </w:rPr>
        <w:t>Sainte-Lucie</w:t>
      </w:r>
      <w:r>
        <w:rPr>
          <w:b/>
          <w:u w:val="single"/>
          <w:lang w:val="fr-CA"/>
        </w:rPr>
        <w:t> </w:t>
      </w:r>
      <w:r w:rsidRPr="009A63AD">
        <w:rPr>
          <w:b/>
          <w:u w:val="single"/>
          <w:lang w:val="fr-CA"/>
        </w:rPr>
        <w:t>: Plan de gestion de l'élimination des HCFC (phase</w:t>
      </w:r>
      <w:r>
        <w:rPr>
          <w:b/>
          <w:u w:val="single"/>
          <w:lang w:val="fr-CA"/>
        </w:rPr>
        <w:t> </w:t>
      </w:r>
      <w:r w:rsidRPr="009A63AD">
        <w:rPr>
          <w:b/>
          <w:u w:val="single"/>
          <w:lang w:val="fr-CA"/>
        </w:rPr>
        <w:t>I, cinquième tranche et phase</w:t>
      </w:r>
      <w:r>
        <w:rPr>
          <w:b/>
          <w:u w:val="single"/>
          <w:lang w:val="fr-CA"/>
        </w:rPr>
        <w:t> </w:t>
      </w:r>
      <w:r w:rsidRPr="009A63AD">
        <w:rPr>
          <w:b/>
          <w:u w:val="single"/>
          <w:lang w:val="fr-CA"/>
        </w:rPr>
        <w:t>II, première tranche - Mise à jour de l'état de la signature de l'accord de financement à petite échelle (SSFA) et du décaissement du premier versement au titre du SSFA) (PNUE)</w:t>
      </w:r>
    </w:p>
    <w:p w14:paraId="30F25CE7" w14:textId="77777777" w:rsidR="00963F10" w:rsidRPr="009A63AD" w:rsidRDefault="00963F10" w:rsidP="00963F10">
      <w:pPr>
        <w:keepNext/>
        <w:keepLines/>
        <w:rPr>
          <w:lang w:val="fr-CA"/>
        </w:rPr>
      </w:pPr>
    </w:p>
    <w:p w14:paraId="5CE2CD5A" w14:textId="77777777" w:rsidR="00963F10" w:rsidRPr="00EF77C6" w:rsidRDefault="00963F10" w:rsidP="00963F10">
      <w:pPr>
        <w:keepNext/>
        <w:keepLines/>
        <w:rPr>
          <w:b/>
          <w:bCs/>
          <w:lang w:val="fr-CA"/>
        </w:rPr>
      </w:pPr>
      <w:r w:rsidRPr="00EF77C6">
        <w:rPr>
          <w:b/>
          <w:bCs/>
          <w:lang w:val="fr-CA"/>
        </w:rPr>
        <w:t>Contexte</w:t>
      </w:r>
    </w:p>
    <w:p w14:paraId="03ECE1D2" w14:textId="77777777" w:rsidR="00963F10" w:rsidRPr="00085F79" w:rsidRDefault="00963F10" w:rsidP="00963F10">
      <w:pPr>
        <w:keepNext/>
        <w:keepLines/>
      </w:pPr>
    </w:p>
    <w:p w14:paraId="319FECE3" w14:textId="77777777" w:rsidR="00963F10" w:rsidRPr="00A349D9" w:rsidRDefault="00963F10" w:rsidP="00963F10">
      <w:pPr>
        <w:pStyle w:val="Heading1"/>
        <w:rPr>
          <w:lang w:val="fr-CA"/>
        </w:rPr>
      </w:pPr>
      <w:r w:rsidRPr="00A349D9">
        <w:rPr>
          <w:lang w:val="fr-CA"/>
        </w:rPr>
        <w:t>Lors de la 88</w:t>
      </w:r>
      <w:r w:rsidRPr="00A349D9">
        <w:rPr>
          <w:vertAlign w:val="superscript"/>
          <w:lang w:val="fr-CA"/>
        </w:rPr>
        <w:t>e</w:t>
      </w:r>
      <w:r>
        <w:rPr>
          <w:lang w:val="fr-CA"/>
        </w:rPr>
        <w:t> </w:t>
      </w:r>
      <w:r w:rsidRPr="00A349D9">
        <w:rPr>
          <w:lang w:val="fr-CA"/>
        </w:rPr>
        <w:t xml:space="preserve">réunion, après avoir entendu le rapport du PNUE en réponse à la demande d'un membre qui souhaitait une mise à jour </w:t>
      </w:r>
      <w:r>
        <w:rPr>
          <w:lang w:val="fr-CA"/>
        </w:rPr>
        <w:t>sur</w:t>
      </w:r>
      <w:r w:rsidRPr="00A349D9">
        <w:rPr>
          <w:lang w:val="fr-CA"/>
        </w:rPr>
        <w:t xml:space="preserve"> l'état d'avancement de la signature de l'accord de financement à petite échelle (SSFA) avec le gouvernement de Sainte-Lucie pour la cinquième tranche de la phase</w:t>
      </w:r>
      <w:r>
        <w:rPr>
          <w:lang w:val="fr-CA"/>
        </w:rPr>
        <w:t> </w:t>
      </w:r>
      <w:r w:rsidRPr="00A349D9">
        <w:rPr>
          <w:lang w:val="fr-CA"/>
        </w:rPr>
        <w:t>I du plan de gestion de l'élimination des HCFC (PGEH)</w:t>
      </w:r>
      <w:r>
        <w:rPr>
          <w:lang w:val="fr-CA"/>
        </w:rPr>
        <w:t>,</w:t>
      </w:r>
      <w:r w:rsidRPr="00A349D9">
        <w:rPr>
          <w:lang w:val="fr-CA"/>
        </w:rPr>
        <w:t xml:space="preserve"> conformément à la (décision</w:t>
      </w:r>
      <w:r>
        <w:rPr>
          <w:lang w:val="fr-CA"/>
        </w:rPr>
        <w:t> </w:t>
      </w:r>
      <w:r w:rsidRPr="00A349D9">
        <w:rPr>
          <w:lang w:val="fr-CA"/>
        </w:rPr>
        <w:t>87/28</w:t>
      </w:r>
      <w:r>
        <w:rPr>
          <w:lang w:val="fr-CA"/>
        </w:rPr>
        <w:t> </w:t>
      </w:r>
      <w:r w:rsidRPr="00A349D9">
        <w:rPr>
          <w:lang w:val="fr-CA"/>
        </w:rPr>
        <w:t>a))</w:t>
      </w:r>
      <w:r w:rsidRPr="00A349D9">
        <w:rPr>
          <w:rStyle w:val="FootnoteReference"/>
          <w:lang w:val="fr-CA"/>
        </w:rPr>
        <w:t xml:space="preserve"> </w:t>
      </w:r>
      <w:r w:rsidRPr="00085F79">
        <w:rPr>
          <w:rStyle w:val="FootnoteReference"/>
        </w:rPr>
        <w:footnoteReference w:id="31"/>
      </w:r>
      <w:r w:rsidRPr="00A349D9">
        <w:rPr>
          <w:lang w:val="fr-CA"/>
        </w:rPr>
        <w:t xml:space="preserve"> et </w:t>
      </w:r>
      <w:r>
        <w:rPr>
          <w:lang w:val="fr-CA"/>
        </w:rPr>
        <w:t>au</w:t>
      </w:r>
      <w:r w:rsidRPr="00A349D9">
        <w:rPr>
          <w:lang w:val="fr-CA"/>
        </w:rPr>
        <w:t xml:space="preserve"> SSFA pour la première tranche de la phase</w:t>
      </w:r>
      <w:r>
        <w:rPr>
          <w:lang w:val="fr-CA"/>
        </w:rPr>
        <w:t> </w:t>
      </w:r>
      <w:r w:rsidRPr="00A349D9">
        <w:rPr>
          <w:lang w:val="fr-CA"/>
        </w:rPr>
        <w:t>II approuvé lors de la 87</w:t>
      </w:r>
      <w:r w:rsidRPr="00A349D9">
        <w:rPr>
          <w:vertAlign w:val="superscript"/>
          <w:lang w:val="fr-CA"/>
        </w:rPr>
        <w:t>e</w:t>
      </w:r>
      <w:r>
        <w:rPr>
          <w:lang w:val="fr-CA"/>
        </w:rPr>
        <w:t> </w:t>
      </w:r>
      <w:r w:rsidRPr="00A349D9">
        <w:rPr>
          <w:lang w:val="fr-CA"/>
        </w:rPr>
        <w:t>réunion, et leurs décaissements connexes, le Comité exécutif a demandé au PNUE de fournir, lors de la 90</w:t>
      </w:r>
      <w:r w:rsidRPr="00A349D9">
        <w:rPr>
          <w:vertAlign w:val="superscript"/>
          <w:lang w:val="fr-CA"/>
        </w:rPr>
        <w:t>e</w:t>
      </w:r>
      <w:r>
        <w:rPr>
          <w:lang w:val="fr-CA"/>
        </w:rPr>
        <w:t> </w:t>
      </w:r>
      <w:r w:rsidRPr="00A349D9">
        <w:rPr>
          <w:lang w:val="fr-CA"/>
        </w:rPr>
        <w:t xml:space="preserve">réunion, une mise à jour de l'état d'avancement de la signature </w:t>
      </w:r>
      <w:r>
        <w:rPr>
          <w:lang w:val="fr-CA"/>
        </w:rPr>
        <w:t>de l’accord de financement à petite échelle</w:t>
      </w:r>
      <w:r w:rsidRPr="00A349D9">
        <w:rPr>
          <w:lang w:val="fr-CA"/>
        </w:rPr>
        <w:t xml:space="preserve"> pour l</w:t>
      </w:r>
      <w:r>
        <w:rPr>
          <w:lang w:val="fr-CA"/>
        </w:rPr>
        <w:t>a cinquième tranche de la phase </w:t>
      </w:r>
      <w:r w:rsidRPr="00A349D9">
        <w:rPr>
          <w:lang w:val="fr-CA"/>
        </w:rPr>
        <w:t>I du PGEH et de l</w:t>
      </w:r>
      <w:r>
        <w:rPr>
          <w:lang w:val="fr-CA"/>
        </w:rPr>
        <w:t>’accord de financement à petite échelle</w:t>
      </w:r>
      <w:r w:rsidRPr="00A349D9">
        <w:rPr>
          <w:lang w:val="fr-CA"/>
        </w:rPr>
        <w:t xml:space="preserve"> pour la première tranche de la phase</w:t>
      </w:r>
      <w:r>
        <w:rPr>
          <w:lang w:val="fr-CA"/>
        </w:rPr>
        <w:t> </w:t>
      </w:r>
      <w:r w:rsidRPr="00A349D9">
        <w:rPr>
          <w:lang w:val="fr-CA"/>
        </w:rPr>
        <w:t>II du PGEH pour Sainte-Lucie et du décaissement des premiers versements au titre de chacun des SSFA (décision</w:t>
      </w:r>
      <w:r>
        <w:rPr>
          <w:lang w:val="fr-CA"/>
        </w:rPr>
        <w:t> 88/22 </w:t>
      </w:r>
      <w:r w:rsidRPr="00A349D9">
        <w:rPr>
          <w:lang w:val="fr-CA"/>
        </w:rPr>
        <w:t>b)).</w:t>
      </w:r>
    </w:p>
    <w:p w14:paraId="5F4F91C3" w14:textId="77777777" w:rsidR="00963F10" w:rsidRPr="004D1035" w:rsidRDefault="00963F10" w:rsidP="00963F10">
      <w:pPr>
        <w:pStyle w:val="Heading1"/>
        <w:rPr>
          <w:lang w:val="fr-CA"/>
        </w:rPr>
      </w:pPr>
      <w:r w:rsidRPr="004D1035">
        <w:rPr>
          <w:lang w:val="fr-CA"/>
        </w:rPr>
        <w:t>Conformément à cette décision, le PNUE a fourni les renseignements suivants</w:t>
      </w:r>
      <w:r>
        <w:rPr>
          <w:lang w:val="fr-CA"/>
        </w:rPr>
        <w:t> </w:t>
      </w:r>
      <w:r w:rsidRPr="004D1035">
        <w:rPr>
          <w:lang w:val="fr-CA"/>
        </w:rPr>
        <w:t>:</w:t>
      </w:r>
    </w:p>
    <w:p w14:paraId="0A97C2C1" w14:textId="77777777" w:rsidR="00963F10" w:rsidRPr="004D1035" w:rsidRDefault="00963F10" w:rsidP="00963F10">
      <w:pPr>
        <w:pStyle w:val="Heading2"/>
        <w:rPr>
          <w:lang w:val="fr-CA"/>
        </w:rPr>
      </w:pPr>
      <w:r>
        <w:rPr>
          <w:lang w:val="fr-CA"/>
        </w:rPr>
        <w:t>L’accord de financement à petite échelle</w:t>
      </w:r>
      <w:r w:rsidRPr="004D1035">
        <w:rPr>
          <w:lang w:val="fr-CA"/>
        </w:rPr>
        <w:t xml:space="preserve"> pour la cinquième tranche de la phase</w:t>
      </w:r>
      <w:r>
        <w:rPr>
          <w:lang w:val="fr-CA"/>
        </w:rPr>
        <w:t> </w:t>
      </w:r>
      <w:r w:rsidRPr="004D1035">
        <w:rPr>
          <w:lang w:val="fr-CA"/>
        </w:rPr>
        <w:t>I du PGEH a été signé pour un montant de 21</w:t>
      </w:r>
      <w:r>
        <w:rPr>
          <w:lang w:val="fr-CA"/>
        </w:rPr>
        <w:t> </w:t>
      </w:r>
      <w:r w:rsidRPr="004D1035">
        <w:rPr>
          <w:lang w:val="fr-CA"/>
        </w:rPr>
        <w:t>000</w:t>
      </w:r>
      <w:r>
        <w:rPr>
          <w:lang w:val="fr-CA"/>
        </w:rPr>
        <w:t> </w:t>
      </w:r>
      <w:r w:rsidRPr="004D1035">
        <w:rPr>
          <w:lang w:val="fr-CA"/>
        </w:rPr>
        <w:t>$US le 6</w:t>
      </w:r>
      <w:r>
        <w:rPr>
          <w:lang w:val="fr-CA"/>
        </w:rPr>
        <w:t> </w:t>
      </w:r>
      <w:r w:rsidRPr="004D1035">
        <w:rPr>
          <w:lang w:val="fr-CA"/>
        </w:rPr>
        <w:t>décembre</w:t>
      </w:r>
      <w:r>
        <w:rPr>
          <w:lang w:val="fr-CA"/>
        </w:rPr>
        <w:t> </w:t>
      </w:r>
      <w:r w:rsidRPr="004D1035">
        <w:rPr>
          <w:lang w:val="fr-CA"/>
        </w:rPr>
        <w:t>2021</w:t>
      </w:r>
      <w:r>
        <w:rPr>
          <w:lang w:val="fr-CA"/>
        </w:rPr>
        <w:t>,</w:t>
      </w:r>
      <w:r w:rsidRPr="004D1035">
        <w:rPr>
          <w:lang w:val="fr-CA"/>
        </w:rPr>
        <w:t xml:space="preserve"> et la première avance de fonds s'élevant à 10</w:t>
      </w:r>
      <w:r>
        <w:rPr>
          <w:lang w:val="fr-CA"/>
        </w:rPr>
        <w:t> </w:t>
      </w:r>
      <w:r w:rsidRPr="004D1035">
        <w:rPr>
          <w:lang w:val="fr-CA"/>
        </w:rPr>
        <w:t>500</w:t>
      </w:r>
      <w:r>
        <w:rPr>
          <w:lang w:val="fr-CA"/>
        </w:rPr>
        <w:t> </w:t>
      </w:r>
      <w:r w:rsidRPr="004D1035">
        <w:rPr>
          <w:lang w:val="fr-CA"/>
        </w:rPr>
        <w:t xml:space="preserve">$US a été décaissée </w:t>
      </w:r>
      <w:r>
        <w:rPr>
          <w:lang w:val="fr-CA"/>
        </w:rPr>
        <w:t>en faveur du</w:t>
      </w:r>
      <w:r w:rsidRPr="004D1035">
        <w:rPr>
          <w:lang w:val="fr-CA"/>
        </w:rPr>
        <w:t xml:space="preserve"> pays le 2</w:t>
      </w:r>
      <w:r>
        <w:rPr>
          <w:lang w:val="fr-CA"/>
        </w:rPr>
        <w:t> </w:t>
      </w:r>
      <w:r w:rsidRPr="004D1035">
        <w:rPr>
          <w:lang w:val="fr-CA"/>
        </w:rPr>
        <w:t>mars</w:t>
      </w:r>
      <w:r>
        <w:rPr>
          <w:lang w:val="fr-CA"/>
        </w:rPr>
        <w:t> </w:t>
      </w:r>
      <w:r w:rsidRPr="004D1035">
        <w:rPr>
          <w:lang w:val="fr-CA"/>
        </w:rPr>
        <w:t>2022;</w:t>
      </w:r>
    </w:p>
    <w:p w14:paraId="7B172294" w14:textId="77777777" w:rsidR="00963F10" w:rsidRPr="004D1035" w:rsidRDefault="00963F10" w:rsidP="00963F10">
      <w:pPr>
        <w:pStyle w:val="Heading2"/>
        <w:rPr>
          <w:lang w:val="fr-CA"/>
        </w:rPr>
      </w:pPr>
      <w:r>
        <w:rPr>
          <w:lang w:val="fr-CA"/>
        </w:rPr>
        <w:t>L’accord de financement à petite échelle</w:t>
      </w:r>
      <w:r w:rsidRPr="004D1035">
        <w:rPr>
          <w:lang w:val="fr-CA"/>
        </w:rPr>
        <w:t xml:space="preserve"> pour la première tranche de la phase</w:t>
      </w:r>
      <w:r>
        <w:rPr>
          <w:lang w:val="fr-CA"/>
        </w:rPr>
        <w:t> </w:t>
      </w:r>
      <w:r w:rsidRPr="004D1035">
        <w:rPr>
          <w:lang w:val="fr-CA"/>
        </w:rPr>
        <w:t>II a été signé pour un montant de 81</w:t>
      </w:r>
      <w:r>
        <w:rPr>
          <w:lang w:val="fr-CA"/>
        </w:rPr>
        <w:t> </w:t>
      </w:r>
      <w:r w:rsidRPr="004D1035">
        <w:rPr>
          <w:lang w:val="fr-CA"/>
        </w:rPr>
        <w:t>000</w:t>
      </w:r>
      <w:r>
        <w:rPr>
          <w:lang w:val="fr-CA"/>
        </w:rPr>
        <w:t> </w:t>
      </w:r>
      <w:r w:rsidRPr="004D1035">
        <w:rPr>
          <w:lang w:val="fr-CA"/>
        </w:rPr>
        <w:t>$US le 22</w:t>
      </w:r>
      <w:r>
        <w:rPr>
          <w:lang w:val="fr-CA"/>
        </w:rPr>
        <w:t> </w:t>
      </w:r>
      <w:r w:rsidRPr="004D1035">
        <w:rPr>
          <w:lang w:val="fr-CA"/>
        </w:rPr>
        <w:t>décembre</w:t>
      </w:r>
      <w:r>
        <w:rPr>
          <w:lang w:val="fr-CA"/>
        </w:rPr>
        <w:t> </w:t>
      </w:r>
      <w:r w:rsidRPr="004D1035">
        <w:rPr>
          <w:lang w:val="fr-CA"/>
        </w:rPr>
        <w:t xml:space="preserve">2021. La première avance </w:t>
      </w:r>
      <w:r>
        <w:rPr>
          <w:lang w:val="fr-CA"/>
        </w:rPr>
        <w:t>de fonds s’élevant à</w:t>
      </w:r>
      <w:r w:rsidRPr="004D1035">
        <w:rPr>
          <w:lang w:val="fr-CA"/>
        </w:rPr>
        <w:t xml:space="preserve"> 40</w:t>
      </w:r>
      <w:r>
        <w:rPr>
          <w:lang w:val="fr-CA"/>
        </w:rPr>
        <w:t> </w:t>
      </w:r>
      <w:r w:rsidRPr="004D1035">
        <w:rPr>
          <w:lang w:val="fr-CA"/>
        </w:rPr>
        <w:t>500</w:t>
      </w:r>
      <w:r>
        <w:rPr>
          <w:lang w:val="fr-CA"/>
        </w:rPr>
        <w:t> </w:t>
      </w:r>
      <w:r w:rsidRPr="004D1035">
        <w:rPr>
          <w:lang w:val="fr-CA"/>
        </w:rPr>
        <w:t>$US a été décaissée en faveur du pays le 25</w:t>
      </w:r>
      <w:r>
        <w:rPr>
          <w:lang w:val="fr-CA"/>
        </w:rPr>
        <w:t> </w:t>
      </w:r>
      <w:r w:rsidRPr="004D1035">
        <w:rPr>
          <w:lang w:val="fr-CA"/>
        </w:rPr>
        <w:t>avril</w:t>
      </w:r>
      <w:r>
        <w:rPr>
          <w:lang w:val="fr-CA"/>
        </w:rPr>
        <w:t> </w:t>
      </w:r>
      <w:r w:rsidRPr="004D1035">
        <w:rPr>
          <w:lang w:val="fr-CA"/>
        </w:rPr>
        <w:t>2022.</w:t>
      </w:r>
    </w:p>
    <w:p w14:paraId="369343C8" w14:textId="77777777" w:rsidR="00EF77C6" w:rsidRPr="00A51E02" w:rsidRDefault="00EF77C6" w:rsidP="00963F10">
      <w:pPr>
        <w:rPr>
          <w:b/>
          <w:bCs/>
          <w:lang w:val="fr-CA"/>
        </w:rPr>
      </w:pPr>
    </w:p>
    <w:p w14:paraId="4A9C21DA" w14:textId="77777777" w:rsidR="00EF77C6" w:rsidRPr="00A51E02" w:rsidRDefault="00EF77C6" w:rsidP="00963F10">
      <w:pPr>
        <w:rPr>
          <w:b/>
          <w:bCs/>
          <w:lang w:val="fr-CA"/>
        </w:rPr>
      </w:pPr>
    </w:p>
    <w:p w14:paraId="41967802" w14:textId="77777777" w:rsidR="00963F10" w:rsidRPr="00EF77C6" w:rsidRDefault="00963F10" w:rsidP="00963F10">
      <w:pPr>
        <w:rPr>
          <w:b/>
          <w:bCs/>
          <w:lang w:val="fr-CA"/>
        </w:rPr>
      </w:pPr>
      <w:r w:rsidRPr="00EF77C6">
        <w:rPr>
          <w:b/>
          <w:bCs/>
          <w:lang w:val="fr-CA"/>
        </w:rPr>
        <w:t>Observations du Secrétariat</w:t>
      </w:r>
    </w:p>
    <w:p w14:paraId="4486C276" w14:textId="77777777" w:rsidR="00963F10" w:rsidRPr="00085F79" w:rsidRDefault="00963F10" w:rsidP="00963F10"/>
    <w:p w14:paraId="00DF0BA0" w14:textId="77777777" w:rsidR="00963F10" w:rsidRPr="006F687F" w:rsidRDefault="00963F10" w:rsidP="00963F10">
      <w:pPr>
        <w:pStyle w:val="Heading1"/>
        <w:rPr>
          <w:lang w:val="fr-CA"/>
        </w:rPr>
      </w:pPr>
      <w:r w:rsidRPr="006F687F">
        <w:rPr>
          <w:lang w:val="fr-CA"/>
        </w:rPr>
        <w:t xml:space="preserve">Le Secrétariat a noté que le PNUE, en étroite consultation avec les autorités gouvernementales compétentes de Sainte-Lucie, a pris les mesures nécessaires pour assurer la signature des deux </w:t>
      </w:r>
      <w:r>
        <w:rPr>
          <w:lang w:val="fr-CA"/>
        </w:rPr>
        <w:t>accords de financement à petite échelle</w:t>
      </w:r>
      <w:r w:rsidRPr="006F687F">
        <w:rPr>
          <w:lang w:val="fr-CA"/>
        </w:rPr>
        <w:t xml:space="preserve"> et le transfert de la première avance </w:t>
      </w:r>
      <w:r>
        <w:rPr>
          <w:lang w:val="fr-CA"/>
        </w:rPr>
        <w:t>de fonds</w:t>
      </w:r>
      <w:r w:rsidRPr="006F687F">
        <w:rPr>
          <w:lang w:val="fr-CA"/>
        </w:rPr>
        <w:t xml:space="preserve"> dans le cadre de</w:t>
      </w:r>
      <w:r>
        <w:rPr>
          <w:lang w:val="fr-CA"/>
        </w:rPr>
        <w:t xml:space="preserve"> ceux-ci.</w:t>
      </w:r>
    </w:p>
    <w:p w14:paraId="07CDBC0A" w14:textId="77777777" w:rsidR="00963F10" w:rsidRPr="00EF77C6" w:rsidRDefault="00963F10" w:rsidP="00963F10">
      <w:pPr>
        <w:rPr>
          <w:b/>
          <w:bCs/>
          <w:lang w:val="fr-CA"/>
        </w:rPr>
      </w:pPr>
      <w:r w:rsidRPr="00EF77C6">
        <w:rPr>
          <w:b/>
          <w:bCs/>
          <w:lang w:val="fr-CA"/>
        </w:rPr>
        <w:t>Recommandation</w:t>
      </w:r>
    </w:p>
    <w:p w14:paraId="7AB386F9" w14:textId="77777777" w:rsidR="00963F10" w:rsidRPr="00085F79" w:rsidRDefault="00963F10" w:rsidP="00963F10"/>
    <w:p w14:paraId="544E04C4" w14:textId="77777777" w:rsidR="00963F10" w:rsidRPr="006F687F" w:rsidRDefault="00963F10" w:rsidP="00963F10">
      <w:pPr>
        <w:pStyle w:val="Heading1"/>
        <w:rPr>
          <w:lang w:val="fr-CA"/>
        </w:rPr>
      </w:pPr>
      <w:r w:rsidRPr="003F2FCE">
        <w:rPr>
          <w:lang w:val="fr-CA"/>
        </w:rPr>
        <w:t xml:space="preserve">Le Comité exécutif pourrait souhaiter noter </w:t>
      </w:r>
      <w:r>
        <w:rPr>
          <w:lang w:val="fr-CA"/>
        </w:rPr>
        <w:t xml:space="preserve">la mise à jour sur </w:t>
      </w:r>
      <w:r w:rsidRPr="003F2FCE">
        <w:rPr>
          <w:lang w:val="fr-CA"/>
        </w:rPr>
        <w:t xml:space="preserve">l'état d'avancement de la signature de l'accord de financement à petite échelle (SSFA) </w:t>
      </w:r>
      <w:r w:rsidRPr="006F687F">
        <w:rPr>
          <w:lang w:val="fr-CA"/>
        </w:rPr>
        <w:t>pour la première tranche de la phase</w:t>
      </w:r>
      <w:r>
        <w:rPr>
          <w:lang w:val="fr-CA"/>
        </w:rPr>
        <w:t> </w:t>
      </w:r>
      <w:r w:rsidRPr="006F687F">
        <w:rPr>
          <w:lang w:val="fr-CA"/>
        </w:rPr>
        <w:t xml:space="preserve">II du PGEH pour Sainte-Lucie et du décaissement des premiers versements au titre de chacun des </w:t>
      </w:r>
      <w:r>
        <w:rPr>
          <w:lang w:val="fr-CA"/>
        </w:rPr>
        <w:t>accords</w:t>
      </w:r>
      <w:r w:rsidRPr="006F687F">
        <w:rPr>
          <w:lang w:val="fr-CA"/>
        </w:rPr>
        <w:t>, soumis</w:t>
      </w:r>
      <w:r>
        <w:rPr>
          <w:lang w:val="fr-CA"/>
        </w:rPr>
        <w:t>e</w:t>
      </w:r>
      <w:r w:rsidRPr="006F687F">
        <w:rPr>
          <w:lang w:val="fr-CA"/>
        </w:rPr>
        <w:t xml:space="preserve"> par le PNUE et figurant dans le document UNEP/OzL.Pro/ExCom/90/9.</w:t>
      </w:r>
    </w:p>
    <w:p w14:paraId="049A4A77" w14:textId="366775EB" w:rsidR="00963F10" w:rsidRDefault="00963F10" w:rsidP="00EF77C6">
      <w:pPr>
        <w:rPr>
          <w:b/>
          <w:u w:val="single"/>
          <w:lang w:val="fr-CA"/>
        </w:rPr>
      </w:pPr>
      <w:r w:rsidRPr="00092625">
        <w:rPr>
          <w:b/>
          <w:u w:val="single"/>
          <w:lang w:val="fr-CA"/>
        </w:rPr>
        <w:t>Uruguay</w:t>
      </w:r>
      <w:r>
        <w:rPr>
          <w:b/>
          <w:u w:val="single"/>
          <w:lang w:val="fr-CA"/>
        </w:rPr>
        <w:t> </w:t>
      </w:r>
      <w:r w:rsidRPr="00092625">
        <w:rPr>
          <w:b/>
          <w:u w:val="single"/>
          <w:lang w:val="fr-CA"/>
        </w:rPr>
        <w:t xml:space="preserve">: Plan de gestion </w:t>
      </w:r>
      <w:r>
        <w:rPr>
          <w:b/>
          <w:u w:val="single"/>
          <w:lang w:val="fr-CA"/>
        </w:rPr>
        <w:t>de</w:t>
      </w:r>
      <w:r w:rsidRPr="00092625">
        <w:rPr>
          <w:b/>
          <w:u w:val="single"/>
          <w:lang w:val="fr-CA"/>
        </w:rPr>
        <w:t xml:space="preserve"> l'élimination des HCFC (phase</w:t>
      </w:r>
      <w:r>
        <w:rPr>
          <w:b/>
          <w:u w:val="single"/>
          <w:lang w:val="fr-CA"/>
        </w:rPr>
        <w:t> </w:t>
      </w:r>
      <w:r w:rsidRPr="00092625">
        <w:rPr>
          <w:b/>
          <w:u w:val="single"/>
          <w:lang w:val="fr-CA"/>
        </w:rPr>
        <w:t xml:space="preserve">II - rapport périodique sur la mise en </w:t>
      </w:r>
      <w:r w:rsidR="00EF77C6">
        <w:rPr>
          <w:b/>
          <w:u w:val="single"/>
          <w:lang w:val="fr-CA"/>
        </w:rPr>
        <w:t xml:space="preserve">œuvre </w:t>
      </w:r>
      <w:r w:rsidRPr="00092625">
        <w:rPr>
          <w:b/>
          <w:u w:val="single"/>
          <w:lang w:val="fr-CA"/>
        </w:rPr>
        <w:t>de la reconversion des entreprises de mousse) (PNUD)</w:t>
      </w:r>
    </w:p>
    <w:p w14:paraId="3A238732" w14:textId="77777777" w:rsidR="00EF77C6" w:rsidRPr="00EF77C6" w:rsidRDefault="00EF77C6" w:rsidP="00EF77C6">
      <w:pPr>
        <w:rPr>
          <w:b/>
          <w:u w:val="single"/>
          <w:lang w:val="fr-CA"/>
        </w:rPr>
      </w:pPr>
    </w:p>
    <w:p w14:paraId="2E276444" w14:textId="77777777" w:rsidR="00963F10" w:rsidRPr="00EF77C6" w:rsidRDefault="00963F10" w:rsidP="00963F10">
      <w:pPr>
        <w:widowControl w:val="0"/>
        <w:spacing w:after="240"/>
        <w:rPr>
          <w:b/>
          <w:lang w:val="fr-CA"/>
        </w:rPr>
      </w:pPr>
      <w:r w:rsidRPr="00EF77C6">
        <w:rPr>
          <w:b/>
          <w:lang w:val="fr-CA"/>
        </w:rPr>
        <w:t>Contexte</w:t>
      </w:r>
    </w:p>
    <w:p w14:paraId="383E3E8C" w14:textId="5CCAD0B6" w:rsidR="00963F10" w:rsidRPr="00571B64" w:rsidRDefault="00963F10" w:rsidP="00963F10">
      <w:pPr>
        <w:pStyle w:val="Heading1"/>
        <w:rPr>
          <w:lang w:val="fr-CA"/>
        </w:rPr>
      </w:pPr>
      <w:r w:rsidRPr="00571B64">
        <w:rPr>
          <w:lang w:val="fr-CA"/>
        </w:rPr>
        <w:t>La phase II du plan de gestion de l'élimination des HCFC (PGEH) pour l'Uruguay a été approuvée en principe lors de la 77</w:t>
      </w:r>
      <w:r w:rsidRPr="002839D9">
        <w:rPr>
          <w:vertAlign w:val="superscript"/>
          <w:lang w:val="fr-CA"/>
        </w:rPr>
        <w:t>e</w:t>
      </w:r>
      <w:r>
        <w:rPr>
          <w:lang w:val="fr-CA"/>
        </w:rPr>
        <w:t> </w:t>
      </w:r>
      <w:r w:rsidRPr="00571B64">
        <w:rPr>
          <w:lang w:val="fr-CA"/>
        </w:rPr>
        <w:t>réunion</w:t>
      </w:r>
      <w:r w:rsidRPr="00085F79">
        <w:rPr>
          <w:rStyle w:val="FootnoteReference"/>
        </w:rPr>
        <w:footnoteReference w:id="32"/>
      </w:r>
      <w:r w:rsidRPr="00571B64">
        <w:rPr>
          <w:lang w:val="fr-CA"/>
        </w:rPr>
        <w:t xml:space="preserve"> et la deuxième tranche, qui comprenait une demande de mise en œuvre d'un projet de reconversion dans 21 petites et moyennes entreprises de fabrication de mousse (PME) pour l'élimination de 5,53 tonnes PAO (50,24 tonnes métriques) (tm) de HCFC 141b contenu dans des polyols prémélangés importés, en faveur de la technologie des </w:t>
      </w:r>
      <w:proofErr w:type="spellStart"/>
      <w:r w:rsidR="00EF77C6">
        <w:rPr>
          <w:lang w:val="fr-CA"/>
        </w:rPr>
        <w:t>hydrofluoroo</w:t>
      </w:r>
      <w:r>
        <w:rPr>
          <w:lang w:val="fr-CA"/>
        </w:rPr>
        <w:t>léfines</w:t>
      </w:r>
      <w:proofErr w:type="spellEnd"/>
      <w:r w:rsidRPr="00571B64">
        <w:rPr>
          <w:lang w:val="fr-CA"/>
        </w:rPr>
        <w:t xml:space="preserve"> (HFO),</w:t>
      </w:r>
      <w:r w:rsidRPr="00571B64">
        <w:rPr>
          <w:rStyle w:val="FootnoteReference"/>
          <w:lang w:val="fr-CA"/>
        </w:rPr>
        <w:t xml:space="preserve"> </w:t>
      </w:r>
      <w:r w:rsidRPr="00085F79">
        <w:rPr>
          <w:rStyle w:val="FootnoteReference"/>
        </w:rPr>
        <w:footnoteReference w:id="33"/>
      </w:r>
      <w:r w:rsidRPr="00571B64">
        <w:rPr>
          <w:lang w:val="fr-CA"/>
        </w:rPr>
        <w:t xml:space="preserve"> a été approuvée lors de la 82</w:t>
      </w:r>
      <w:r w:rsidRPr="00571B64">
        <w:rPr>
          <w:vertAlign w:val="superscript"/>
          <w:lang w:val="fr-CA"/>
        </w:rPr>
        <w:t>e</w:t>
      </w:r>
      <w:r w:rsidRPr="00571B64">
        <w:rPr>
          <w:lang w:val="fr-CA"/>
        </w:rPr>
        <w:t> réunion. Le PNUD avait indiqué qu'il y avait des difficultés à garantir l'approvisionnement en HFO dans la région. En approuvant la tranche, le Comité exécutif a demandé au PNUD de présenter, à la 84</w:t>
      </w:r>
      <w:r w:rsidRPr="00571B64">
        <w:rPr>
          <w:vertAlign w:val="superscript"/>
          <w:lang w:val="fr-CA"/>
        </w:rPr>
        <w:t>e</w:t>
      </w:r>
      <w:r w:rsidRPr="00571B64">
        <w:rPr>
          <w:lang w:val="fr-CA"/>
        </w:rPr>
        <w:t xml:space="preserve"> réunion, un rapport sur l’avancement de la mise en </w:t>
      </w:r>
      <w:r w:rsidR="00EF77C6">
        <w:rPr>
          <w:lang w:val="fr-CA"/>
        </w:rPr>
        <w:t xml:space="preserve">œuvre </w:t>
      </w:r>
      <w:r w:rsidRPr="00571B64">
        <w:rPr>
          <w:lang w:val="fr-CA"/>
        </w:rPr>
        <w:t>de la reconversion des entreprises de mousses et l</w:t>
      </w:r>
      <w:r w:rsidR="00EF77C6">
        <w:rPr>
          <w:lang w:val="fr-CA"/>
        </w:rPr>
        <w:t xml:space="preserve">a disponibilité des </w:t>
      </w:r>
      <w:proofErr w:type="spellStart"/>
      <w:r w:rsidR="00EF77C6">
        <w:rPr>
          <w:lang w:val="fr-CA"/>
        </w:rPr>
        <w:t>hydrofluoro</w:t>
      </w:r>
      <w:r w:rsidRPr="00571B64">
        <w:rPr>
          <w:lang w:val="fr-CA"/>
        </w:rPr>
        <w:t>oléfines</w:t>
      </w:r>
      <w:proofErr w:type="spellEnd"/>
      <w:r w:rsidRPr="00571B64">
        <w:rPr>
          <w:lang w:val="fr-CA"/>
        </w:rPr>
        <w:t xml:space="preserve"> (HFO) et des systèmes de polyuréthane avec HFO et leurs éléments associés</w:t>
      </w:r>
      <w:r>
        <w:rPr>
          <w:lang w:val="fr-CA"/>
        </w:rPr>
        <w:t>. (</w:t>
      </w:r>
      <w:proofErr w:type="gramStart"/>
      <w:r>
        <w:rPr>
          <w:lang w:val="fr-CA"/>
        </w:rPr>
        <w:t>dé</w:t>
      </w:r>
      <w:r w:rsidRPr="00571B64">
        <w:rPr>
          <w:lang w:val="fr-CA"/>
        </w:rPr>
        <w:t>cision</w:t>
      </w:r>
      <w:proofErr w:type="gramEnd"/>
      <w:r>
        <w:rPr>
          <w:lang w:val="fr-CA"/>
        </w:rPr>
        <w:t> </w:t>
      </w:r>
      <w:r w:rsidRPr="00571B64">
        <w:rPr>
          <w:lang w:val="fr-CA"/>
        </w:rPr>
        <w:t>82/76</w:t>
      </w:r>
      <w:r>
        <w:rPr>
          <w:lang w:val="fr-CA"/>
        </w:rPr>
        <w:t> </w:t>
      </w:r>
      <w:r w:rsidRPr="00571B64">
        <w:rPr>
          <w:lang w:val="fr-CA"/>
        </w:rPr>
        <w:t>b)</w:t>
      </w:r>
      <w:r>
        <w:rPr>
          <w:lang w:val="fr-CA"/>
        </w:rPr>
        <w:t> </w:t>
      </w:r>
      <w:r w:rsidRPr="00571B64">
        <w:rPr>
          <w:lang w:val="fr-CA"/>
        </w:rPr>
        <w:t xml:space="preserve">ii)). </w:t>
      </w:r>
      <w:proofErr w:type="gramStart"/>
      <w:r w:rsidRPr="00571B64">
        <w:rPr>
          <w:lang w:val="fr-CA"/>
        </w:rPr>
        <w:t>Suite à</w:t>
      </w:r>
      <w:proofErr w:type="gramEnd"/>
      <w:r w:rsidRPr="00571B64">
        <w:rPr>
          <w:lang w:val="fr-CA"/>
        </w:rPr>
        <w:t xml:space="preserve"> cela, le Comité exécutif a demandé au PNUD de continuer à rendre compte de la mise en œuvre des reconversions lors des réunions suivantes.</w:t>
      </w:r>
      <w:r w:rsidRPr="00571B64">
        <w:rPr>
          <w:rStyle w:val="FootnoteReference"/>
          <w:lang w:val="fr-CA"/>
        </w:rPr>
        <w:t xml:space="preserve"> </w:t>
      </w:r>
      <w:r w:rsidRPr="00085F79">
        <w:rPr>
          <w:rStyle w:val="FootnoteReference"/>
        </w:rPr>
        <w:footnoteReference w:id="34"/>
      </w:r>
      <w:r w:rsidRPr="00571B64">
        <w:rPr>
          <w:lang w:val="fr-CA"/>
        </w:rPr>
        <w:t xml:space="preserve"> </w:t>
      </w:r>
    </w:p>
    <w:p w14:paraId="46F26364" w14:textId="77777777" w:rsidR="00963F10" w:rsidRPr="00092625" w:rsidRDefault="00963F10" w:rsidP="00963F10">
      <w:pPr>
        <w:pStyle w:val="Heading1"/>
        <w:rPr>
          <w:lang w:val="fr-CA"/>
        </w:rPr>
      </w:pPr>
      <w:r>
        <w:rPr>
          <w:lang w:val="fr-CA"/>
        </w:rPr>
        <w:t>L</w:t>
      </w:r>
      <w:r w:rsidRPr="00092625">
        <w:rPr>
          <w:lang w:val="fr-CA"/>
        </w:rPr>
        <w:t xml:space="preserve">e Comité exécutif </w:t>
      </w:r>
      <w:r>
        <w:rPr>
          <w:lang w:val="fr-CA"/>
        </w:rPr>
        <w:t>à</w:t>
      </w:r>
      <w:r w:rsidRPr="00092625">
        <w:rPr>
          <w:lang w:val="fr-CA"/>
        </w:rPr>
        <w:t xml:space="preserve"> la 87</w:t>
      </w:r>
      <w:r w:rsidRPr="00571B64">
        <w:rPr>
          <w:vertAlign w:val="superscript"/>
          <w:lang w:val="fr-CA"/>
        </w:rPr>
        <w:t>e</w:t>
      </w:r>
      <w:r>
        <w:rPr>
          <w:lang w:val="fr-CA"/>
        </w:rPr>
        <w:t> </w:t>
      </w:r>
      <w:r w:rsidRPr="00092625">
        <w:rPr>
          <w:lang w:val="fr-CA"/>
        </w:rPr>
        <w:t>réunion a examiné la demande de prolongation de la phase</w:t>
      </w:r>
      <w:r>
        <w:rPr>
          <w:lang w:val="fr-CA"/>
        </w:rPr>
        <w:t> </w:t>
      </w:r>
      <w:r w:rsidRPr="00092625">
        <w:rPr>
          <w:lang w:val="fr-CA"/>
        </w:rPr>
        <w:t>II du PGEH pour l'Uruguay et le rapport sur la mise en œuvre du projet de reconversion du secteur de la mousse. Dans ce rapport, le PNUD a indiqué qu'une seule entreprise (James) du sous-secteur du chauffage de l'eau avait converti sa production au cyclopentane, avec une élimination associée de 1,02</w:t>
      </w:r>
      <w:r>
        <w:rPr>
          <w:lang w:val="fr-CA"/>
        </w:rPr>
        <w:t> </w:t>
      </w:r>
      <w:r w:rsidRPr="00092625">
        <w:rPr>
          <w:lang w:val="fr-CA"/>
        </w:rPr>
        <w:t>tonne</w:t>
      </w:r>
      <w:r>
        <w:rPr>
          <w:lang w:val="fr-CA"/>
        </w:rPr>
        <w:t> </w:t>
      </w:r>
      <w:r w:rsidRPr="00092625">
        <w:rPr>
          <w:lang w:val="fr-CA"/>
        </w:rPr>
        <w:t>PAO (9,3</w:t>
      </w:r>
      <w:r>
        <w:rPr>
          <w:lang w:val="fr-CA"/>
        </w:rPr>
        <w:t> </w:t>
      </w:r>
      <w:r w:rsidRPr="00092625">
        <w:rPr>
          <w:lang w:val="fr-CA"/>
        </w:rPr>
        <w:t xml:space="preserve">tm) de HCFC-141b. Une entreprise de fabrication de </w:t>
      </w:r>
      <w:r>
        <w:rPr>
          <w:lang w:val="fr-CA"/>
        </w:rPr>
        <w:t xml:space="preserve">produits </w:t>
      </w:r>
      <w:proofErr w:type="spellStart"/>
      <w:r w:rsidRPr="00092625">
        <w:rPr>
          <w:lang w:val="fr-CA"/>
        </w:rPr>
        <w:t>thermoware</w:t>
      </w:r>
      <w:proofErr w:type="spellEnd"/>
      <w:r w:rsidRPr="00092625">
        <w:rPr>
          <w:lang w:val="fr-CA"/>
        </w:rPr>
        <w:t xml:space="preserve"> (</w:t>
      </w:r>
      <w:proofErr w:type="spellStart"/>
      <w:r w:rsidRPr="00092625">
        <w:rPr>
          <w:lang w:val="fr-CA"/>
        </w:rPr>
        <w:t>Ferroco</w:t>
      </w:r>
      <w:proofErr w:type="spellEnd"/>
      <w:r w:rsidRPr="00092625">
        <w:rPr>
          <w:lang w:val="fr-CA"/>
        </w:rPr>
        <w:t xml:space="preserve"> S.A.) pour laquelle un nouveau système à base d'eau avait été </w:t>
      </w:r>
      <w:r>
        <w:rPr>
          <w:lang w:val="fr-CA"/>
        </w:rPr>
        <w:t>défini</w:t>
      </w:r>
      <w:r w:rsidRPr="00092625">
        <w:rPr>
          <w:lang w:val="fr-CA"/>
        </w:rPr>
        <w:t xml:space="preserve">, attendait que le fournisseur importe un échantillon pour le tester afin d'ajuster le dosage. Pour le sous-secteur </w:t>
      </w:r>
      <w:r>
        <w:rPr>
          <w:lang w:val="fr-CA"/>
        </w:rPr>
        <w:t>de la</w:t>
      </w:r>
      <w:r w:rsidRPr="00092625">
        <w:rPr>
          <w:lang w:val="fr-CA"/>
        </w:rPr>
        <w:t xml:space="preserve"> mousse de pulvérisation, les résultats des premiers </w:t>
      </w:r>
      <w:r>
        <w:rPr>
          <w:lang w:val="fr-CA"/>
        </w:rPr>
        <w:t>essais</w:t>
      </w:r>
      <w:r w:rsidRPr="00092625">
        <w:rPr>
          <w:lang w:val="fr-CA"/>
        </w:rPr>
        <w:t xml:space="preserve"> de performance avec du HFO n'ont pas été satisfaisants car la mousse ne répondait pas aux exigences, et les tests supplémentaires pour ces entreprises ont été retardés en raison de la pandémie. De même, les reconversions </w:t>
      </w:r>
      <w:r>
        <w:rPr>
          <w:lang w:val="fr-CA"/>
        </w:rPr>
        <w:t>d</w:t>
      </w:r>
      <w:r w:rsidRPr="00092625">
        <w:rPr>
          <w:lang w:val="fr-CA"/>
        </w:rPr>
        <w:t>es sept autres entreprises de différents sous-secteurs ont été retardé</w:t>
      </w:r>
      <w:r>
        <w:rPr>
          <w:lang w:val="fr-CA"/>
        </w:rPr>
        <w:t>e</w:t>
      </w:r>
      <w:r w:rsidRPr="00092625">
        <w:rPr>
          <w:lang w:val="fr-CA"/>
        </w:rPr>
        <w:t>s ou arrêté</w:t>
      </w:r>
      <w:r>
        <w:rPr>
          <w:lang w:val="fr-CA"/>
        </w:rPr>
        <w:t>e</w:t>
      </w:r>
      <w:r w:rsidRPr="00092625">
        <w:rPr>
          <w:lang w:val="fr-CA"/>
        </w:rPr>
        <w:t>s en raison de la pandémie de COVID-19.</w:t>
      </w:r>
    </w:p>
    <w:p w14:paraId="5BDBC7B2" w14:textId="6ECFBFDB" w:rsidR="00963F10" w:rsidRPr="00092625" w:rsidRDefault="00963F10" w:rsidP="00963F10">
      <w:pPr>
        <w:pStyle w:val="Heading1"/>
        <w:rPr>
          <w:lang w:val="fr-CA"/>
        </w:rPr>
      </w:pPr>
      <w:r>
        <w:rPr>
          <w:lang w:val="fr-CA"/>
        </w:rPr>
        <w:t>L</w:t>
      </w:r>
      <w:r w:rsidRPr="00092625">
        <w:rPr>
          <w:lang w:val="fr-CA"/>
        </w:rPr>
        <w:t xml:space="preserve">e PNUD a </w:t>
      </w:r>
      <w:r>
        <w:rPr>
          <w:lang w:val="fr-CA"/>
        </w:rPr>
        <w:t>par ailleurs</w:t>
      </w:r>
      <w:r w:rsidRPr="00092625">
        <w:rPr>
          <w:lang w:val="fr-CA"/>
        </w:rPr>
        <w:t xml:space="preserve"> indiqué que </w:t>
      </w:r>
      <w:r w:rsidR="00344B84">
        <w:rPr>
          <w:lang w:val="fr-CA"/>
        </w:rPr>
        <w:t>le Bureau national de l’ozone</w:t>
      </w:r>
      <w:r w:rsidRPr="00092625">
        <w:rPr>
          <w:lang w:val="fr-CA"/>
        </w:rPr>
        <w:t xml:space="preserve">, avec le soutien du PNUD et d'un expert en mousse, a </w:t>
      </w:r>
      <w:r>
        <w:rPr>
          <w:lang w:val="fr-CA"/>
        </w:rPr>
        <w:t xml:space="preserve">collaboré </w:t>
      </w:r>
      <w:r w:rsidRPr="00092625">
        <w:rPr>
          <w:lang w:val="fr-CA"/>
        </w:rPr>
        <w:t xml:space="preserve">avec différentes entreprises de </w:t>
      </w:r>
      <w:r>
        <w:rPr>
          <w:lang w:val="fr-CA"/>
        </w:rPr>
        <w:t>formulation</w:t>
      </w:r>
      <w:r w:rsidRPr="00092625">
        <w:rPr>
          <w:lang w:val="fr-CA"/>
        </w:rPr>
        <w:t xml:space="preserve"> dans la région et avec des distributeurs locaux </w:t>
      </w:r>
      <w:r>
        <w:rPr>
          <w:lang w:val="fr-CA"/>
        </w:rPr>
        <w:t>en vue de</w:t>
      </w:r>
      <w:r w:rsidRPr="00092625">
        <w:rPr>
          <w:lang w:val="fr-CA"/>
        </w:rPr>
        <w:t xml:space="preserve"> faciliter les échantillons de </w:t>
      </w:r>
      <w:r>
        <w:rPr>
          <w:lang w:val="fr-CA"/>
        </w:rPr>
        <w:t>formules de</w:t>
      </w:r>
      <w:r w:rsidRPr="00092625">
        <w:rPr>
          <w:lang w:val="fr-CA"/>
        </w:rPr>
        <w:t xml:space="preserve"> PU à base de HFO, tout en explorant des options telles que la réception de </w:t>
      </w:r>
      <w:r>
        <w:rPr>
          <w:lang w:val="fr-CA"/>
        </w:rPr>
        <w:t>formules de</w:t>
      </w:r>
      <w:r w:rsidRPr="00092625">
        <w:rPr>
          <w:lang w:val="fr-CA"/>
        </w:rPr>
        <w:t xml:space="preserve"> PU à base de HFO sans catalyseur et leur mélange sur place, ou l'essai d'autres solutions de remplacement à faible potentiel de réchauffement de la planète (</w:t>
      </w:r>
      <w:r w:rsidR="0026119A">
        <w:rPr>
          <w:lang w:val="fr-CA"/>
        </w:rPr>
        <w:t>PRG</w:t>
      </w:r>
      <w:r w:rsidRPr="00092625">
        <w:rPr>
          <w:lang w:val="fr-CA"/>
        </w:rPr>
        <w:t xml:space="preserve">) (comme les systèmes à base d'eau); que les cinq importateurs/distributeurs d'agents gonflants de mousse dans le pays évaluaient différentes solutions de remplacement du HCFC 141b contenu dans les polyols prémélangés importés, y compris les </w:t>
      </w:r>
      <w:r>
        <w:rPr>
          <w:lang w:val="fr-CA"/>
        </w:rPr>
        <w:t>formules à base d'eau et de HFO</w:t>
      </w:r>
      <w:r w:rsidRPr="00092625">
        <w:rPr>
          <w:lang w:val="fr-CA"/>
        </w:rPr>
        <w:t xml:space="preserve">; et qu'en raison de la pandémie, il y a eu des contraintes logistiques dans l'obtention des matières premières, ce qui a conduit à une pénurie de polyols et d'autres composants, ainsi qu'à une augmentation </w:t>
      </w:r>
      <w:r>
        <w:rPr>
          <w:lang w:val="fr-CA"/>
        </w:rPr>
        <w:t>marquée</w:t>
      </w:r>
      <w:r w:rsidRPr="00092625">
        <w:rPr>
          <w:lang w:val="fr-CA"/>
        </w:rPr>
        <w:t xml:space="preserve"> des coûts de transport.</w:t>
      </w:r>
    </w:p>
    <w:p w14:paraId="1988E5BD" w14:textId="77777777" w:rsidR="00963F10" w:rsidRPr="00092625" w:rsidRDefault="00963F10" w:rsidP="00963F10">
      <w:pPr>
        <w:pStyle w:val="Heading1"/>
        <w:rPr>
          <w:lang w:val="fr-CA"/>
        </w:rPr>
      </w:pPr>
      <w:r w:rsidRPr="00092625">
        <w:rPr>
          <w:lang w:val="fr-CA"/>
        </w:rPr>
        <w:t xml:space="preserve">Par la suite, le Comité exécutif a notamment approuvé </w:t>
      </w:r>
      <w:r>
        <w:rPr>
          <w:lang w:val="fr-CA"/>
        </w:rPr>
        <w:t>le report</w:t>
      </w:r>
      <w:r w:rsidRPr="00092625">
        <w:rPr>
          <w:lang w:val="fr-CA"/>
        </w:rPr>
        <w:t xml:space="preserve"> de la date d'achèvement de la phase</w:t>
      </w:r>
      <w:r>
        <w:rPr>
          <w:lang w:val="fr-CA"/>
        </w:rPr>
        <w:t> </w:t>
      </w:r>
      <w:r w:rsidRPr="00092625">
        <w:rPr>
          <w:lang w:val="fr-CA"/>
        </w:rPr>
        <w:t xml:space="preserve">II du PGEH pour l'Uruguay </w:t>
      </w:r>
      <w:r>
        <w:rPr>
          <w:lang w:val="fr-CA"/>
        </w:rPr>
        <w:t>au</w:t>
      </w:r>
      <w:r w:rsidRPr="00092625">
        <w:rPr>
          <w:lang w:val="fr-CA"/>
        </w:rPr>
        <w:t xml:space="preserve"> 31</w:t>
      </w:r>
      <w:r>
        <w:rPr>
          <w:lang w:val="fr-CA"/>
        </w:rPr>
        <w:t> </w:t>
      </w:r>
      <w:r w:rsidRPr="00092625">
        <w:rPr>
          <w:lang w:val="fr-CA"/>
        </w:rPr>
        <w:t>décembre</w:t>
      </w:r>
      <w:r>
        <w:rPr>
          <w:lang w:val="fr-CA"/>
        </w:rPr>
        <w:t> </w:t>
      </w:r>
      <w:r w:rsidRPr="00092625">
        <w:rPr>
          <w:lang w:val="fr-CA"/>
        </w:rPr>
        <w:t>2022, et a demandé au PNUD de faire rapport à la 90</w:t>
      </w:r>
      <w:r w:rsidRPr="00B8184A">
        <w:rPr>
          <w:vertAlign w:val="superscript"/>
          <w:lang w:val="fr-CA"/>
        </w:rPr>
        <w:t>e</w:t>
      </w:r>
      <w:r>
        <w:rPr>
          <w:lang w:val="fr-CA"/>
        </w:rPr>
        <w:t> </w:t>
      </w:r>
      <w:r w:rsidRPr="00092625">
        <w:rPr>
          <w:lang w:val="fr-CA"/>
        </w:rPr>
        <w:t xml:space="preserve">réunion sur </w:t>
      </w:r>
      <w:r>
        <w:rPr>
          <w:lang w:val="fr-CA"/>
        </w:rPr>
        <w:t xml:space="preserve">l’état d’avancement </w:t>
      </w:r>
      <w:r w:rsidRPr="00092625">
        <w:rPr>
          <w:lang w:val="fr-CA"/>
        </w:rPr>
        <w:t xml:space="preserve">de la reconversion des entreprises de mousse et la disponibilité des </w:t>
      </w:r>
      <w:r>
        <w:rPr>
          <w:lang w:val="fr-CA"/>
        </w:rPr>
        <w:t>HFO et des formules de</w:t>
      </w:r>
      <w:r w:rsidRPr="00092625">
        <w:rPr>
          <w:lang w:val="fr-CA"/>
        </w:rPr>
        <w:t xml:space="preserve"> PU à base de HFO</w:t>
      </w:r>
      <w:r>
        <w:rPr>
          <w:lang w:val="fr-CA"/>
        </w:rPr>
        <w:t>,</w:t>
      </w:r>
      <w:r w:rsidRPr="00092625">
        <w:rPr>
          <w:lang w:val="fr-CA"/>
        </w:rPr>
        <w:t xml:space="preserve"> et de leurs composants (décision</w:t>
      </w:r>
      <w:r>
        <w:rPr>
          <w:lang w:val="fr-CA"/>
        </w:rPr>
        <w:t> </w:t>
      </w:r>
      <w:r w:rsidRPr="00092625">
        <w:rPr>
          <w:lang w:val="fr-CA"/>
        </w:rPr>
        <w:t>87/20).</w:t>
      </w:r>
    </w:p>
    <w:p w14:paraId="33E2309E" w14:textId="77777777" w:rsidR="00963F10" w:rsidRPr="00092625" w:rsidRDefault="00963F10" w:rsidP="00963F10">
      <w:pPr>
        <w:pStyle w:val="Heading1"/>
        <w:rPr>
          <w:lang w:val="fr-CA"/>
        </w:rPr>
      </w:pPr>
      <w:r w:rsidRPr="00092625">
        <w:rPr>
          <w:lang w:val="fr-CA"/>
        </w:rPr>
        <w:t>Conformément à la décision</w:t>
      </w:r>
      <w:r>
        <w:rPr>
          <w:lang w:val="fr-CA"/>
        </w:rPr>
        <w:t> </w:t>
      </w:r>
      <w:r w:rsidRPr="00092625">
        <w:rPr>
          <w:lang w:val="fr-CA"/>
        </w:rPr>
        <w:t>87/20, le PNUD a soumis le rapport périodique susmentionné à la présente réunion.</w:t>
      </w:r>
    </w:p>
    <w:p w14:paraId="076FF6A4" w14:textId="77777777" w:rsidR="00963F10" w:rsidRPr="00307928" w:rsidRDefault="00963F10" w:rsidP="00963F10">
      <w:pPr>
        <w:pStyle w:val="Heading1"/>
        <w:numPr>
          <w:ilvl w:val="0"/>
          <w:numId w:val="0"/>
        </w:numPr>
        <w:rPr>
          <w:lang w:val="fr-CA"/>
        </w:rPr>
      </w:pPr>
      <w:r w:rsidRPr="00307928">
        <w:rPr>
          <w:b/>
          <w:bCs/>
          <w:lang w:val="fr-CA"/>
        </w:rPr>
        <w:t>Rapport périodique</w:t>
      </w:r>
    </w:p>
    <w:p w14:paraId="6D55B1DD" w14:textId="77777777" w:rsidR="00963F10" w:rsidRPr="00B8184A" w:rsidRDefault="00963F10" w:rsidP="00963F10">
      <w:pPr>
        <w:pStyle w:val="Heading1"/>
        <w:rPr>
          <w:lang w:val="fr-CA"/>
        </w:rPr>
      </w:pPr>
      <w:r w:rsidRPr="00B8184A">
        <w:rPr>
          <w:lang w:val="fr-CA"/>
        </w:rPr>
        <w:t>Le PNUD a signalé qu'aucune des reconversions des 20</w:t>
      </w:r>
      <w:r>
        <w:rPr>
          <w:lang w:val="fr-CA"/>
        </w:rPr>
        <w:t> </w:t>
      </w:r>
      <w:r w:rsidRPr="00B8184A">
        <w:rPr>
          <w:lang w:val="fr-CA"/>
        </w:rPr>
        <w:t xml:space="preserve">PME admissibles restantes </w:t>
      </w:r>
      <w:r>
        <w:rPr>
          <w:lang w:val="fr-CA"/>
        </w:rPr>
        <w:t xml:space="preserve">qui </w:t>
      </w:r>
      <w:r w:rsidRPr="00B8184A">
        <w:rPr>
          <w:lang w:val="fr-CA"/>
        </w:rPr>
        <w:t>particip</w:t>
      </w:r>
      <w:r>
        <w:rPr>
          <w:lang w:val="fr-CA"/>
        </w:rPr>
        <w:t>e</w:t>
      </w:r>
      <w:r w:rsidRPr="00B8184A">
        <w:rPr>
          <w:lang w:val="fr-CA"/>
        </w:rPr>
        <w:t xml:space="preserve">nt au projet n'a été achevée. Deux fabricants de chauffe-eau (Warner et </w:t>
      </w:r>
      <w:proofErr w:type="spellStart"/>
      <w:r w:rsidRPr="00B8184A">
        <w:rPr>
          <w:lang w:val="fr-CA"/>
        </w:rPr>
        <w:t>Rivomark</w:t>
      </w:r>
      <w:proofErr w:type="spellEnd"/>
      <w:r w:rsidRPr="00B8184A">
        <w:rPr>
          <w:lang w:val="fr-CA"/>
        </w:rPr>
        <w:t xml:space="preserve"> S.A.) et une entreprise de </w:t>
      </w:r>
      <w:r>
        <w:rPr>
          <w:lang w:val="fr-CA"/>
        </w:rPr>
        <w:t xml:space="preserve">produits </w:t>
      </w:r>
      <w:proofErr w:type="spellStart"/>
      <w:r w:rsidRPr="00B8184A">
        <w:rPr>
          <w:lang w:val="fr-CA"/>
        </w:rPr>
        <w:t>thermoware</w:t>
      </w:r>
      <w:proofErr w:type="spellEnd"/>
      <w:r w:rsidRPr="00B8184A">
        <w:rPr>
          <w:lang w:val="fr-CA"/>
        </w:rPr>
        <w:t xml:space="preserve"> (</w:t>
      </w:r>
      <w:proofErr w:type="spellStart"/>
      <w:r w:rsidRPr="00B8184A">
        <w:rPr>
          <w:lang w:val="fr-CA"/>
        </w:rPr>
        <w:t>Ferroco</w:t>
      </w:r>
      <w:proofErr w:type="spellEnd"/>
      <w:r w:rsidRPr="00B8184A">
        <w:rPr>
          <w:lang w:val="fr-CA"/>
        </w:rPr>
        <w:t>) ont reçu des échantillons et effectué des essais avec des produits à base de HFO et à base d'eau, qui n'ont pas été satisfaisants. Néanmoins, les entreprises sont toujours prêtes à tester de nouveaux mélanges de polyols mais sont confrontées à une faible disponibilité d'échantillons sur le marché. Dans le sous-secteur de la pulvérisation, les fournisseurs de polyols ont commencé à travailler avec six des plus grandes entreprises en testant des produits à base de HFO ou d'eau, et des difficultés ont été rencontrées car la mousse obtenue ne répondait pas aux exigences techniques. Les principaux fabricants du sous-secteur de</w:t>
      </w:r>
      <w:r>
        <w:rPr>
          <w:lang w:val="fr-CA"/>
        </w:rPr>
        <w:t xml:space="preserve"> la </w:t>
      </w:r>
      <w:r w:rsidRPr="00B8184A">
        <w:rPr>
          <w:lang w:val="fr-CA"/>
        </w:rPr>
        <w:t>mousse</w:t>
      </w:r>
      <w:r>
        <w:rPr>
          <w:lang w:val="fr-CA"/>
        </w:rPr>
        <w:t xml:space="preserve"> projetée</w:t>
      </w:r>
      <w:r w:rsidRPr="00B8184A">
        <w:rPr>
          <w:lang w:val="fr-CA"/>
        </w:rPr>
        <w:t xml:space="preserve"> procèdent à des ajustements de la formulation afin de mettre au point des essais pendant </w:t>
      </w:r>
      <w:r>
        <w:rPr>
          <w:lang w:val="fr-CA"/>
        </w:rPr>
        <w:t>l’hiver</w:t>
      </w:r>
      <w:r w:rsidRPr="00B8184A">
        <w:rPr>
          <w:lang w:val="fr-CA"/>
        </w:rPr>
        <w:t xml:space="preserve">. Une fois les problèmes techniques résolus, le fournisseur partagera les résultats et les estimations de coûts avec les autres entreprises du </w:t>
      </w:r>
      <w:r>
        <w:rPr>
          <w:lang w:val="fr-CA"/>
        </w:rPr>
        <w:t>sous-secteur</w:t>
      </w:r>
      <w:r w:rsidRPr="00B8184A">
        <w:rPr>
          <w:lang w:val="fr-CA"/>
        </w:rPr>
        <w:t xml:space="preserve">. </w:t>
      </w:r>
    </w:p>
    <w:p w14:paraId="0B9565A6" w14:textId="54692CFC" w:rsidR="00963F10" w:rsidRPr="00B8184A" w:rsidRDefault="00963F10" w:rsidP="00963F10">
      <w:pPr>
        <w:pStyle w:val="Heading1"/>
        <w:rPr>
          <w:lang w:val="fr-CA"/>
        </w:rPr>
      </w:pPr>
      <w:r w:rsidRPr="00B8184A">
        <w:rPr>
          <w:lang w:val="fr-CA"/>
        </w:rPr>
        <w:t xml:space="preserve">Dans le cadre de la stratégie du projet, </w:t>
      </w:r>
      <w:r w:rsidR="001414E1">
        <w:rPr>
          <w:lang w:val="fr-CA"/>
        </w:rPr>
        <w:t>le Bureau national de l’ozone</w:t>
      </w:r>
      <w:r w:rsidRPr="00B8184A">
        <w:rPr>
          <w:lang w:val="fr-CA"/>
        </w:rPr>
        <w:t xml:space="preserve"> a </w:t>
      </w:r>
      <w:r>
        <w:rPr>
          <w:lang w:val="fr-CA"/>
        </w:rPr>
        <w:t>collaboré</w:t>
      </w:r>
      <w:r w:rsidRPr="00B8184A">
        <w:rPr>
          <w:lang w:val="fr-CA"/>
        </w:rPr>
        <w:t xml:space="preserve"> avec les fournisseurs de </w:t>
      </w:r>
      <w:r>
        <w:rPr>
          <w:lang w:val="fr-CA"/>
        </w:rPr>
        <w:t>formules de</w:t>
      </w:r>
      <w:r w:rsidRPr="00B8184A">
        <w:rPr>
          <w:lang w:val="fr-CA"/>
        </w:rPr>
        <w:t xml:space="preserve"> PU, </w:t>
      </w:r>
      <w:r>
        <w:rPr>
          <w:lang w:val="fr-CA"/>
        </w:rPr>
        <w:t>qui</w:t>
      </w:r>
      <w:r w:rsidRPr="00B8184A">
        <w:rPr>
          <w:lang w:val="fr-CA"/>
        </w:rPr>
        <w:t xml:space="preserve"> ont concentré leurs efforts sur les entreprises ayant une consommation et des capacités techniques plus importantes. Par conséquent, neuf petits utilisateurs attendent que leurs fournisseurs déterminent la meilleure solution de remplacement pour leurs systèmes de production respectifs une fois que les</w:t>
      </w:r>
      <w:r>
        <w:rPr>
          <w:lang w:val="fr-CA"/>
        </w:rPr>
        <w:t xml:space="preserve"> problèmes techniques relevés</w:t>
      </w:r>
      <w:r w:rsidRPr="00B8184A">
        <w:rPr>
          <w:lang w:val="fr-CA"/>
        </w:rPr>
        <w:t xml:space="preserve"> auront été résolus par des essais avec les principales entreprises de chaque sous-secteur. En outre, deux entreprises ont actuellement suspendu leurs opérations de fabrication et remplacé leurs activités par l'importation de produits finis, à savoir </w:t>
      </w:r>
      <w:proofErr w:type="spellStart"/>
      <w:r w:rsidRPr="00B8184A">
        <w:rPr>
          <w:lang w:val="fr-CA"/>
        </w:rPr>
        <w:t>Colder</w:t>
      </w:r>
      <w:proofErr w:type="spellEnd"/>
      <w:r w:rsidRPr="00B8184A">
        <w:rPr>
          <w:lang w:val="fr-CA"/>
        </w:rPr>
        <w:t xml:space="preserve"> (panneaux </w:t>
      </w:r>
      <w:r>
        <w:rPr>
          <w:lang w:val="fr-CA"/>
        </w:rPr>
        <w:t xml:space="preserve">en </w:t>
      </w:r>
      <w:r w:rsidRPr="00B8184A">
        <w:rPr>
          <w:lang w:val="fr-CA"/>
        </w:rPr>
        <w:t xml:space="preserve">discontinu) et </w:t>
      </w:r>
      <w:proofErr w:type="spellStart"/>
      <w:r w:rsidRPr="00B8184A">
        <w:rPr>
          <w:lang w:val="fr-CA"/>
        </w:rPr>
        <w:t>Fumaya</w:t>
      </w:r>
      <w:proofErr w:type="spellEnd"/>
      <w:r w:rsidRPr="00B8184A">
        <w:rPr>
          <w:lang w:val="fr-CA"/>
        </w:rPr>
        <w:t xml:space="preserve"> (</w:t>
      </w:r>
      <w:r>
        <w:rPr>
          <w:lang w:val="fr-CA"/>
        </w:rPr>
        <w:t>pellicule souple intégrée</w:t>
      </w:r>
      <w:r w:rsidRPr="00B8184A">
        <w:rPr>
          <w:lang w:val="fr-CA"/>
        </w:rPr>
        <w:t xml:space="preserve">). Cependant, ces deux entreprises ont encore les </w:t>
      </w:r>
      <w:r>
        <w:rPr>
          <w:lang w:val="fr-CA"/>
        </w:rPr>
        <w:t>chaînes</w:t>
      </w:r>
      <w:r w:rsidRPr="00B8184A">
        <w:rPr>
          <w:lang w:val="fr-CA"/>
        </w:rPr>
        <w:t xml:space="preserve"> de production </w:t>
      </w:r>
      <w:r>
        <w:rPr>
          <w:lang w:val="fr-CA"/>
        </w:rPr>
        <w:t>en place</w:t>
      </w:r>
      <w:r w:rsidRPr="00B8184A">
        <w:rPr>
          <w:lang w:val="fr-CA"/>
        </w:rPr>
        <w:t xml:space="preserve">, et leur production respective pourrait être réactivée dans la seconde moitié de 2022. </w:t>
      </w:r>
      <w:r w:rsidR="001414E1">
        <w:rPr>
          <w:lang w:val="fr-CA"/>
        </w:rPr>
        <w:t>Le Bureau national de l’ozone</w:t>
      </w:r>
      <w:r w:rsidRPr="00B8184A">
        <w:rPr>
          <w:lang w:val="fr-CA"/>
        </w:rPr>
        <w:t xml:space="preserve"> organisera des réunions </w:t>
      </w:r>
      <w:r>
        <w:rPr>
          <w:lang w:val="fr-CA"/>
        </w:rPr>
        <w:t>en vue de</w:t>
      </w:r>
      <w:r w:rsidRPr="00B8184A">
        <w:rPr>
          <w:lang w:val="fr-CA"/>
        </w:rPr>
        <w:t xml:space="preserve"> connaître les plans des entreprises puisqu'elles ne se sont pas retirées du projet. </w:t>
      </w:r>
    </w:p>
    <w:p w14:paraId="7D69363E" w14:textId="77777777" w:rsidR="00963F10" w:rsidRPr="00307928" w:rsidRDefault="00963F10" w:rsidP="00963F10">
      <w:pPr>
        <w:rPr>
          <w:u w:val="single"/>
          <w:lang w:val="fr-CA"/>
        </w:rPr>
      </w:pPr>
      <w:r w:rsidRPr="00307928">
        <w:rPr>
          <w:u w:val="single"/>
          <w:lang w:val="fr-CA"/>
        </w:rPr>
        <w:t>Niveau de décaissement</w:t>
      </w:r>
    </w:p>
    <w:p w14:paraId="4852D76B" w14:textId="77777777" w:rsidR="00963F10" w:rsidRPr="00307928" w:rsidRDefault="00963F10" w:rsidP="00963F10">
      <w:pPr>
        <w:rPr>
          <w:lang w:val="fr-CA"/>
        </w:rPr>
      </w:pPr>
    </w:p>
    <w:p w14:paraId="2D1EF71E" w14:textId="77777777" w:rsidR="00963F10" w:rsidRPr="00307928" w:rsidRDefault="00963F10" w:rsidP="00963F10">
      <w:pPr>
        <w:pStyle w:val="Heading1"/>
        <w:rPr>
          <w:lang w:val="fr-CA"/>
        </w:rPr>
      </w:pPr>
      <w:r w:rsidRPr="00307928">
        <w:rPr>
          <w:lang w:val="fr-CA"/>
        </w:rPr>
        <w:t>Au 30 mars 2022, sur le montant de 522 889 $US approuvé pour le secteur de la mousse, 172 465 $US avaient été décaissés. Le solde, qui s’élève à 350 424 $US sera décaissé d’ici le 31 décembre 2022.</w:t>
      </w:r>
    </w:p>
    <w:p w14:paraId="17FB0C2C" w14:textId="77777777" w:rsidR="00963F10" w:rsidRPr="00307928" w:rsidRDefault="00963F10" w:rsidP="00963F10">
      <w:pPr>
        <w:pStyle w:val="Heading1"/>
        <w:numPr>
          <w:ilvl w:val="0"/>
          <w:numId w:val="0"/>
        </w:numPr>
        <w:rPr>
          <w:b/>
          <w:lang w:val="fr-CA"/>
        </w:rPr>
      </w:pPr>
      <w:r w:rsidRPr="00307928">
        <w:rPr>
          <w:b/>
          <w:lang w:val="fr-CA"/>
        </w:rPr>
        <w:t>Observations du Secrétariat</w:t>
      </w:r>
    </w:p>
    <w:p w14:paraId="150EB866" w14:textId="77777777" w:rsidR="00963F10" w:rsidRPr="00146329" w:rsidRDefault="00963F10" w:rsidP="00963F10">
      <w:pPr>
        <w:pStyle w:val="Heading1"/>
        <w:rPr>
          <w:lang w:val="fr-CA"/>
        </w:rPr>
      </w:pPr>
      <w:proofErr w:type="gramStart"/>
      <w:r w:rsidRPr="00146329">
        <w:rPr>
          <w:lang w:val="fr-CA"/>
        </w:rPr>
        <w:t xml:space="preserve">Suite à </w:t>
      </w:r>
      <w:r>
        <w:rPr>
          <w:lang w:val="fr-CA"/>
        </w:rPr>
        <w:t>une</w:t>
      </w:r>
      <w:proofErr w:type="gramEnd"/>
      <w:r>
        <w:rPr>
          <w:lang w:val="fr-CA"/>
        </w:rPr>
        <w:t xml:space="preserve"> demande de</w:t>
      </w:r>
      <w:r w:rsidRPr="00146329">
        <w:rPr>
          <w:lang w:val="fr-CA"/>
        </w:rPr>
        <w:t xml:space="preserve"> renseignements, le PNUD a </w:t>
      </w:r>
      <w:r>
        <w:rPr>
          <w:lang w:val="fr-CA"/>
        </w:rPr>
        <w:t>expliqué</w:t>
      </w:r>
      <w:r w:rsidRPr="00146329">
        <w:rPr>
          <w:lang w:val="fr-CA"/>
        </w:rPr>
        <w:t xml:space="preserve"> que l'interdiction de l'importation et de l'utilisation du HCFC-141b et du HCFC 141b contenus dans les polyols prémélangés sera difficile à mettre en place d'ici le 1</w:t>
      </w:r>
      <w:r w:rsidRPr="00146329">
        <w:rPr>
          <w:vertAlign w:val="superscript"/>
          <w:lang w:val="fr-CA"/>
        </w:rPr>
        <w:t>er</w:t>
      </w:r>
      <w:r>
        <w:rPr>
          <w:lang w:val="fr-CA"/>
        </w:rPr>
        <w:t> </w:t>
      </w:r>
      <w:r w:rsidRPr="00146329">
        <w:rPr>
          <w:lang w:val="fr-CA"/>
        </w:rPr>
        <w:t>janvier</w:t>
      </w:r>
      <w:r>
        <w:rPr>
          <w:lang w:val="fr-CA"/>
        </w:rPr>
        <w:t> </w:t>
      </w:r>
      <w:r w:rsidRPr="00146329">
        <w:rPr>
          <w:lang w:val="fr-CA"/>
        </w:rPr>
        <w:t xml:space="preserve">2023 en raison du retard </w:t>
      </w:r>
      <w:r>
        <w:rPr>
          <w:lang w:val="fr-CA"/>
        </w:rPr>
        <w:t>touchant les</w:t>
      </w:r>
      <w:r w:rsidRPr="00146329">
        <w:rPr>
          <w:lang w:val="fr-CA"/>
        </w:rPr>
        <w:t xml:space="preserve"> reconversions dans le secteur des mousses. </w:t>
      </w:r>
    </w:p>
    <w:p w14:paraId="70C4CE4F" w14:textId="77777777" w:rsidR="00963F10" w:rsidRPr="00146329" w:rsidRDefault="00963F10" w:rsidP="00963F10">
      <w:pPr>
        <w:pStyle w:val="Heading1"/>
        <w:rPr>
          <w:lang w:val="fr-CA"/>
        </w:rPr>
      </w:pPr>
      <w:r w:rsidRPr="00146329">
        <w:rPr>
          <w:lang w:val="fr-CA"/>
        </w:rPr>
        <w:t xml:space="preserve">Le Secrétariat a discuté avec le PNUD </w:t>
      </w:r>
      <w:r>
        <w:rPr>
          <w:lang w:val="fr-CA"/>
        </w:rPr>
        <w:t xml:space="preserve">au sujet </w:t>
      </w:r>
      <w:r w:rsidRPr="00146329">
        <w:rPr>
          <w:lang w:val="fr-CA"/>
        </w:rPr>
        <w:t xml:space="preserve">des problèmes </w:t>
      </w:r>
      <w:r>
        <w:rPr>
          <w:lang w:val="fr-CA"/>
        </w:rPr>
        <w:t>relevés</w:t>
      </w:r>
      <w:r w:rsidRPr="00146329">
        <w:rPr>
          <w:lang w:val="fr-CA"/>
        </w:rPr>
        <w:t xml:space="preserve"> (disponibilité du HFO, </w:t>
      </w:r>
      <w:r>
        <w:rPr>
          <w:lang w:val="fr-CA"/>
        </w:rPr>
        <w:t>essais de</w:t>
      </w:r>
      <w:r w:rsidRPr="00146329">
        <w:rPr>
          <w:lang w:val="fr-CA"/>
        </w:rPr>
        <w:t>s formul</w:t>
      </w:r>
      <w:r>
        <w:rPr>
          <w:lang w:val="fr-CA"/>
        </w:rPr>
        <w:t>es</w:t>
      </w:r>
      <w:r w:rsidRPr="00146329">
        <w:rPr>
          <w:lang w:val="fr-CA"/>
        </w:rPr>
        <w:t>, particularités du sous-secteur de</w:t>
      </w:r>
      <w:r>
        <w:rPr>
          <w:lang w:val="fr-CA"/>
        </w:rPr>
        <w:t xml:space="preserve"> la mousse projetée</w:t>
      </w:r>
      <w:r w:rsidRPr="00146329">
        <w:rPr>
          <w:lang w:val="fr-CA"/>
        </w:rPr>
        <w:t xml:space="preserve"> et petits utilisateurs). Le PNUD a indiqué qu'il est probable que de nombreuses entreprises achèveront leurs reconversions dans la période restante pour la phase</w:t>
      </w:r>
      <w:r>
        <w:rPr>
          <w:lang w:val="fr-CA"/>
        </w:rPr>
        <w:t> </w:t>
      </w:r>
      <w:r w:rsidRPr="00146329">
        <w:rPr>
          <w:lang w:val="fr-CA"/>
        </w:rPr>
        <w:t xml:space="preserve">II; cependant, il n'est pas certain que toutes </w:t>
      </w:r>
      <w:r>
        <w:rPr>
          <w:lang w:val="fr-CA"/>
        </w:rPr>
        <w:t>respecteront</w:t>
      </w:r>
      <w:r w:rsidRPr="00146329">
        <w:rPr>
          <w:lang w:val="fr-CA"/>
        </w:rPr>
        <w:t xml:space="preserve"> ce délai. En outre, le PNUD doit continuer à travailler avec les fournisseurs pour assurer la durabilité des reconversions et la disponibilité de solutions de remplacement. En raison du manque de </w:t>
      </w:r>
      <w:r>
        <w:rPr>
          <w:lang w:val="fr-CA"/>
        </w:rPr>
        <w:t>sociétés de formulation</w:t>
      </w:r>
      <w:r w:rsidRPr="00146329">
        <w:rPr>
          <w:lang w:val="fr-CA"/>
        </w:rPr>
        <w:t xml:space="preserve"> </w:t>
      </w:r>
      <w:r>
        <w:rPr>
          <w:lang w:val="fr-CA"/>
        </w:rPr>
        <w:t xml:space="preserve">en activité </w:t>
      </w:r>
      <w:r w:rsidRPr="00146329">
        <w:rPr>
          <w:lang w:val="fr-CA"/>
        </w:rPr>
        <w:t xml:space="preserve">dans le pays, ce projet est particulièrement </w:t>
      </w:r>
      <w:r>
        <w:rPr>
          <w:lang w:val="fr-CA"/>
        </w:rPr>
        <w:t>ardu</w:t>
      </w:r>
      <w:r w:rsidRPr="00146329">
        <w:rPr>
          <w:lang w:val="fr-CA"/>
        </w:rPr>
        <w:t xml:space="preserve">, et il est peut-être prématuré de prendre une quelconque décision </w:t>
      </w:r>
      <w:r>
        <w:rPr>
          <w:lang w:val="fr-CA"/>
        </w:rPr>
        <w:t>pour le moment</w:t>
      </w:r>
      <w:r w:rsidRPr="00146329">
        <w:rPr>
          <w:lang w:val="fr-CA"/>
        </w:rPr>
        <w:t xml:space="preserve">. Le Secrétariat </w:t>
      </w:r>
      <w:r>
        <w:rPr>
          <w:lang w:val="fr-CA"/>
        </w:rPr>
        <w:t>estime</w:t>
      </w:r>
      <w:r w:rsidRPr="00146329">
        <w:rPr>
          <w:lang w:val="fr-CA"/>
        </w:rPr>
        <w:t xml:space="preserve"> </w:t>
      </w:r>
      <w:r>
        <w:rPr>
          <w:lang w:val="fr-CA"/>
        </w:rPr>
        <w:t>qu’il faut</w:t>
      </w:r>
      <w:r w:rsidRPr="00146329">
        <w:rPr>
          <w:lang w:val="fr-CA"/>
        </w:rPr>
        <w:t xml:space="preserve"> laisser le gouvernement et le PNUD continuer à progresser et </w:t>
      </w:r>
      <w:r>
        <w:rPr>
          <w:lang w:val="fr-CA"/>
        </w:rPr>
        <w:t>remettre</w:t>
      </w:r>
      <w:r w:rsidRPr="00146329">
        <w:rPr>
          <w:lang w:val="fr-CA"/>
        </w:rPr>
        <w:t xml:space="preserve"> un rapport actualisé à la 91</w:t>
      </w:r>
      <w:r w:rsidRPr="0072597D">
        <w:rPr>
          <w:vertAlign w:val="superscript"/>
          <w:lang w:val="fr-CA"/>
        </w:rPr>
        <w:t>e</w:t>
      </w:r>
      <w:r>
        <w:rPr>
          <w:lang w:val="fr-CA"/>
        </w:rPr>
        <w:t> </w:t>
      </w:r>
      <w:r w:rsidRPr="00146329">
        <w:rPr>
          <w:lang w:val="fr-CA"/>
        </w:rPr>
        <w:t>réunion sur l'avancement des reconversions et de la législation relative à l'interdiction.</w:t>
      </w:r>
    </w:p>
    <w:p w14:paraId="492BA1D0" w14:textId="77777777" w:rsidR="00963F10" w:rsidRPr="00307928" w:rsidRDefault="00963F10" w:rsidP="00963F10">
      <w:pPr>
        <w:rPr>
          <w:b/>
          <w:lang w:val="fr-CA"/>
        </w:rPr>
      </w:pPr>
      <w:r w:rsidRPr="00307928">
        <w:rPr>
          <w:b/>
          <w:lang w:val="fr-CA"/>
        </w:rPr>
        <w:t>Recommandation</w:t>
      </w:r>
    </w:p>
    <w:p w14:paraId="29EB7ECE" w14:textId="77777777" w:rsidR="00963F10" w:rsidRPr="00085F79" w:rsidRDefault="00963F10" w:rsidP="00963F10"/>
    <w:p w14:paraId="4A6C814C" w14:textId="77777777" w:rsidR="00963F10" w:rsidRPr="0072597D" w:rsidRDefault="00963F10" w:rsidP="00963F10">
      <w:pPr>
        <w:pStyle w:val="Heading1"/>
        <w:rPr>
          <w:lang w:val="fr-CA"/>
        </w:rPr>
      </w:pPr>
      <w:r w:rsidRPr="0072597D">
        <w:rPr>
          <w:lang w:val="fr-CA"/>
        </w:rPr>
        <w:t>Le Comité exécutif pourrait souhaiter</w:t>
      </w:r>
      <w:r>
        <w:rPr>
          <w:lang w:val="fr-CA"/>
        </w:rPr>
        <w:t> </w:t>
      </w:r>
      <w:r w:rsidRPr="0072597D">
        <w:rPr>
          <w:lang w:val="fr-CA"/>
        </w:rPr>
        <w:t>:</w:t>
      </w:r>
    </w:p>
    <w:p w14:paraId="3FA91FFE" w14:textId="77777777" w:rsidR="00963F10" w:rsidRPr="0072597D" w:rsidRDefault="00963F10" w:rsidP="00963F10">
      <w:pPr>
        <w:pStyle w:val="Heading2"/>
        <w:rPr>
          <w:lang w:val="fr-CA"/>
        </w:rPr>
      </w:pPr>
      <w:r w:rsidRPr="0072597D">
        <w:rPr>
          <w:lang w:val="fr-CA"/>
        </w:rPr>
        <w:t xml:space="preserve">Prendre note du rapport périodique sur l'état d'avancement de la reconversion des entreprises de mousse et la disponibilité des </w:t>
      </w:r>
      <w:r>
        <w:rPr>
          <w:lang w:val="fr-CA"/>
        </w:rPr>
        <w:t>HFO et des formules</w:t>
      </w:r>
      <w:r w:rsidRPr="0072597D">
        <w:rPr>
          <w:lang w:val="fr-CA"/>
        </w:rPr>
        <w:t xml:space="preserve"> de polyuréthane (PU) à base </w:t>
      </w:r>
      <w:r>
        <w:rPr>
          <w:lang w:val="fr-CA"/>
        </w:rPr>
        <w:t>de HFO,</w:t>
      </w:r>
      <w:r w:rsidRPr="0072597D">
        <w:rPr>
          <w:lang w:val="fr-CA"/>
        </w:rPr>
        <w:t xml:space="preserve"> et de leurs composants, </w:t>
      </w:r>
      <w:r>
        <w:rPr>
          <w:lang w:val="fr-CA"/>
        </w:rPr>
        <w:t>fi</w:t>
      </w:r>
      <w:r w:rsidRPr="0072597D">
        <w:rPr>
          <w:lang w:val="fr-CA"/>
        </w:rPr>
        <w:t>nancé dans le cadre de la phase</w:t>
      </w:r>
      <w:r>
        <w:rPr>
          <w:lang w:val="fr-CA"/>
        </w:rPr>
        <w:t> </w:t>
      </w:r>
      <w:r w:rsidRPr="0072597D">
        <w:rPr>
          <w:lang w:val="fr-CA"/>
        </w:rPr>
        <w:t>II du plan de gestion de l'élimination des HCFC en Uruguay, soumis par le PNUD et figurant dans le document</w:t>
      </w:r>
      <w:r>
        <w:rPr>
          <w:lang w:val="fr-CA"/>
        </w:rPr>
        <w:t> </w:t>
      </w:r>
      <w:r w:rsidRPr="0072597D">
        <w:rPr>
          <w:lang w:val="fr-CA"/>
        </w:rPr>
        <w:t>UNEP/OzL.Pro/ExCom/90/9;</w:t>
      </w:r>
    </w:p>
    <w:p w14:paraId="563D35E1" w14:textId="77777777" w:rsidR="00963F10" w:rsidRPr="0072597D" w:rsidRDefault="00963F10" w:rsidP="00963F10">
      <w:pPr>
        <w:pStyle w:val="Heading2"/>
        <w:rPr>
          <w:lang w:val="fr-CA"/>
        </w:rPr>
      </w:pPr>
      <w:r w:rsidRPr="0072597D">
        <w:rPr>
          <w:lang w:val="fr-CA"/>
        </w:rPr>
        <w:t xml:space="preserve">Demander au </w:t>
      </w:r>
      <w:r>
        <w:rPr>
          <w:lang w:val="fr-CA"/>
        </w:rPr>
        <w:t>g</w:t>
      </w:r>
      <w:r w:rsidRPr="0072597D">
        <w:rPr>
          <w:lang w:val="fr-CA"/>
        </w:rPr>
        <w:t xml:space="preserve">ouvernement de l'Uruguay, par l'intermédiaire du PNUD, de </w:t>
      </w:r>
      <w:r>
        <w:rPr>
          <w:lang w:val="fr-CA"/>
        </w:rPr>
        <w:t>remettre</w:t>
      </w:r>
      <w:r w:rsidRPr="0072597D">
        <w:rPr>
          <w:lang w:val="fr-CA"/>
        </w:rPr>
        <w:t xml:space="preserve"> à la 91</w:t>
      </w:r>
      <w:r w:rsidRPr="00026C9D">
        <w:rPr>
          <w:vertAlign w:val="superscript"/>
          <w:lang w:val="fr-CA"/>
        </w:rPr>
        <w:t>e</w:t>
      </w:r>
      <w:r>
        <w:rPr>
          <w:lang w:val="fr-CA"/>
        </w:rPr>
        <w:t> </w:t>
      </w:r>
      <w:r w:rsidRPr="0072597D">
        <w:rPr>
          <w:lang w:val="fr-CA"/>
        </w:rPr>
        <w:t xml:space="preserve">réunion un rapport périodique sur </w:t>
      </w:r>
      <w:r>
        <w:rPr>
          <w:lang w:val="fr-CA"/>
        </w:rPr>
        <w:t xml:space="preserve">l’état d’avancement </w:t>
      </w:r>
      <w:r w:rsidRPr="0072597D">
        <w:rPr>
          <w:lang w:val="fr-CA"/>
        </w:rPr>
        <w:t>de la reconversion des entreprises de mousse, la disponibilité des HFO</w:t>
      </w:r>
      <w:r>
        <w:rPr>
          <w:lang w:val="fr-CA"/>
        </w:rPr>
        <w:t xml:space="preserve"> et des formules de polyuréthane (PU) à base de </w:t>
      </w:r>
      <w:r w:rsidRPr="0072597D">
        <w:rPr>
          <w:lang w:val="fr-CA"/>
        </w:rPr>
        <w:t>HFO et l'état de la législation relative à l'interdiction d'importation et d'utilisation du HCFC-141b et du HCFC-141b contenu dans les polyols prémélangés importés.</w:t>
      </w:r>
    </w:p>
    <w:p w14:paraId="0548D414" w14:textId="77777777" w:rsidR="00963F10" w:rsidRPr="0072597D" w:rsidRDefault="00963F10" w:rsidP="00963F10">
      <w:pPr>
        <w:keepNext/>
        <w:keepLines/>
        <w:rPr>
          <w:lang w:val="fr-CA"/>
        </w:rPr>
      </w:pPr>
    </w:p>
    <w:p w14:paraId="55FCC6DA" w14:textId="77777777" w:rsidR="00963F10" w:rsidRPr="00026C9D" w:rsidRDefault="00963F10" w:rsidP="00963F10">
      <w:pPr>
        <w:pStyle w:val="ListParagraph"/>
        <w:keepNext/>
        <w:keepLines/>
        <w:numPr>
          <w:ilvl w:val="0"/>
          <w:numId w:val="23"/>
        </w:numPr>
        <w:rPr>
          <w:b/>
          <w:sz w:val="24"/>
          <w:szCs w:val="24"/>
          <w:lang w:val="fr-CA"/>
        </w:rPr>
      </w:pPr>
      <w:r w:rsidRPr="00026C9D">
        <w:rPr>
          <w:b/>
          <w:sz w:val="24"/>
          <w:szCs w:val="24"/>
          <w:lang w:val="fr-CA"/>
        </w:rPr>
        <w:t xml:space="preserve">Rapports relatifs aux projets portant sur les </w:t>
      </w:r>
      <w:r>
        <w:rPr>
          <w:b/>
          <w:sz w:val="24"/>
          <w:szCs w:val="24"/>
          <w:lang w:val="fr-CA"/>
        </w:rPr>
        <w:t>HFC</w:t>
      </w:r>
    </w:p>
    <w:p w14:paraId="5D656CE4" w14:textId="77777777" w:rsidR="00963F10" w:rsidRPr="00026C9D" w:rsidRDefault="00963F10" w:rsidP="00963F10">
      <w:pPr>
        <w:keepNext/>
        <w:keepLines/>
        <w:rPr>
          <w:u w:val="single"/>
          <w:lang w:val="fr-CA"/>
        </w:rPr>
      </w:pPr>
    </w:p>
    <w:p w14:paraId="170F3C8D" w14:textId="77777777" w:rsidR="00963F10" w:rsidRPr="00724583" w:rsidRDefault="00963F10" w:rsidP="00963F10">
      <w:pPr>
        <w:rPr>
          <w:b/>
          <w:bCs/>
          <w:u w:val="single"/>
          <w:lang w:val="fr-CA"/>
        </w:rPr>
      </w:pPr>
      <w:r w:rsidRPr="00724583">
        <w:rPr>
          <w:b/>
          <w:bCs/>
          <w:u w:val="single"/>
          <w:lang w:val="fr-CA"/>
        </w:rPr>
        <w:t xml:space="preserve">Argentine : Contrôle des émissions de HFC-23 générées lors de la production de HCFC-22 (ONUDI) </w:t>
      </w:r>
    </w:p>
    <w:p w14:paraId="3E9298E8" w14:textId="77777777" w:rsidR="00963F10" w:rsidRPr="00724583" w:rsidRDefault="00963F10" w:rsidP="00963F10">
      <w:pPr>
        <w:rPr>
          <w:b/>
          <w:bCs/>
          <w:u w:val="single"/>
          <w:lang w:val="fr-CA"/>
        </w:rPr>
      </w:pPr>
    </w:p>
    <w:p w14:paraId="1900D227" w14:textId="77777777" w:rsidR="00963F10" w:rsidRPr="00085F79" w:rsidRDefault="00963F10" w:rsidP="00963F10">
      <w:pPr>
        <w:keepNext/>
        <w:keepLines/>
        <w:spacing w:after="240"/>
        <w:rPr>
          <w:b/>
          <w:bCs/>
        </w:rPr>
      </w:pPr>
      <w:proofErr w:type="spellStart"/>
      <w:r>
        <w:rPr>
          <w:b/>
          <w:bCs/>
        </w:rPr>
        <w:t>Contexte</w:t>
      </w:r>
      <w:proofErr w:type="spellEnd"/>
    </w:p>
    <w:p w14:paraId="4F8ADBCA" w14:textId="77777777" w:rsidR="00963F10" w:rsidRPr="00026C9D" w:rsidRDefault="00963F10" w:rsidP="00963F10">
      <w:pPr>
        <w:pStyle w:val="Heading1"/>
        <w:rPr>
          <w:lang w:val="fr-CA"/>
        </w:rPr>
      </w:pPr>
      <w:r>
        <w:rPr>
          <w:lang w:val="fr-CA"/>
        </w:rPr>
        <w:t>Le Comité exécutif à sa</w:t>
      </w:r>
      <w:r w:rsidRPr="00026C9D">
        <w:rPr>
          <w:lang w:val="fr-CA"/>
        </w:rPr>
        <w:t xml:space="preserve"> 87</w:t>
      </w:r>
      <w:r>
        <w:rPr>
          <w:vertAlign w:val="superscript"/>
          <w:lang w:val="fr-CA"/>
        </w:rPr>
        <w:t>e</w:t>
      </w:r>
      <w:r>
        <w:rPr>
          <w:lang w:val="fr-CA"/>
        </w:rPr>
        <w:t> </w:t>
      </w:r>
      <w:r w:rsidRPr="00026C9D">
        <w:rPr>
          <w:lang w:val="fr-CA"/>
        </w:rPr>
        <w:t xml:space="preserve">réunion, </w:t>
      </w:r>
      <w:r>
        <w:rPr>
          <w:lang w:val="fr-CA"/>
        </w:rPr>
        <w:t>à l’issue de</w:t>
      </w:r>
      <w:r w:rsidRPr="00026C9D">
        <w:rPr>
          <w:lang w:val="fr-CA"/>
        </w:rPr>
        <w:t xml:space="preserve"> discussions </w:t>
      </w:r>
      <w:r>
        <w:rPr>
          <w:lang w:val="fr-CA"/>
        </w:rPr>
        <w:t>menées au</w:t>
      </w:r>
      <w:r w:rsidRPr="00026C9D">
        <w:rPr>
          <w:lang w:val="fr-CA"/>
        </w:rPr>
        <w:t xml:space="preserve"> sein d'un groupe de contact, a décidé d'approuver, en principe, le projet de contrôle des émissions de HFC-23 générées par la production de HCFC-22 chez Frio </w:t>
      </w:r>
      <w:proofErr w:type="spellStart"/>
      <w:r w:rsidRPr="00026C9D">
        <w:rPr>
          <w:lang w:val="fr-CA"/>
        </w:rPr>
        <w:t>Industrias</w:t>
      </w:r>
      <w:proofErr w:type="spellEnd"/>
      <w:r w:rsidRPr="00026C9D">
        <w:rPr>
          <w:lang w:val="fr-CA"/>
        </w:rPr>
        <w:t xml:space="preserve"> Argentina (FIASA) (décision</w:t>
      </w:r>
      <w:r>
        <w:rPr>
          <w:lang w:val="fr-CA"/>
        </w:rPr>
        <w:t> </w:t>
      </w:r>
      <w:r w:rsidRPr="00026C9D">
        <w:rPr>
          <w:lang w:val="fr-CA"/>
        </w:rPr>
        <w:t>87/52</w:t>
      </w:r>
      <w:r>
        <w:rPr>
          <w:lang w:val="fr-CA"/>
        </w:rPr>
        <w:t> </w:t>
      </w:r>
      <w:r w:rsidRPr="00026C9D">
        <w:rPr>
          <w:lang w:val="fr-CA"/>
        </w:rPr>
        <w:t xml:space="preserve">b)). </w:t>
      </w:r>
      <w:r>
        <w:rPr>
          <w:lang w:val="fr-CA"/>
        </w:rPr>
        <w:t xml:space="preserve">Il a par ailleurs </w:t>
      </w:r>
      <w:r w:rsidRPr="00026C9D">
        <w:rPr>
          <w:lang w:val="fr-CA"/>
        </w:rPr>
        <w:t>demandé au Secrétariat, en co</w:t>
      </w:r>
      <w:r>
        <w:rPr>
          <w:lang w:val="fr-CA"/>
        </w:rPr>
        <w:t>llaboration</w:t>
      </w:r>
      <w:r w:rsidRPr="00026C9D">
        <w:rPr>
          <w:lang w:val="fr-CA"/>
        </w:rPr>
        <w:t xml:space="preserve"> avec l'ONUDI, de préparer un projet d'accord entre le gouvernement </w:t>
      </w:r>
      <w:r>
        <w:rPr>
          <w:lang w:val="fr-CA"/>
        </w:rPr>
        <w:t>de l’A</w:t>
      </w:r>
      <w:r w:rsidRPr="00026C9D">
        <w:rPr>
          <w:lang w:val="fr-CA"/>
        </w:rPr>
        <w:t>rgentin</w:t>
      </w:r>
      <w:r>
        <w:rPr>
          <w:lang w:val="fr-CA"/>
        </w:rPr>
        <w:t>e</w:t>
      </w:r>
      <w:r w:rsidRPr="00026C9D">
        <w:rPr>
          <w:lang w:val="fr-CA"/>
        </w:rPr>
        <w:t xml:space="preserve"> et le Comité exécutif pour le contrôle des émissions </w:t>
      </w:r>
      <w:r>
        <w:rPr>
          <w:lang w:val="fr-CA"/>
        </w:rPr>
        <w:t>du sous-produit </w:t>
      </w:r>
      <w:r w:rsidRPr="00026C9D">
        <w:rPr>
          <w:lang w:val="fr-CA"/>
        </w:rPr>
        <w:t>HFC-23, pour examen à la 88</w:t>
      </w:r>
      <w:r w:rsidRPr="00A40DB6">
        <w:rPr>
          <w:vertAlign w:val="superscript"/>
          <w:lang w:val="fr-CA"/>
        </w:rPr>
        <w:t>e</w:t>
      </w:r>
      <w:r>
        <w:rPr>
          <w:lang w:val="fr-CA"/>
        </w:rPr>
        <w:t> réunion, en utilisant l'A</w:t>
      </w:r>
      <w:r w:rsidRPr="00026C9D">
        <w:rPr>
          <w:lang w:val="fr-CA"/>
        </w:rPr>
        <w:t xml:space="preserve">ccord entre le gouvernement </w:t>
      </w:r>
      <w:r>
        <w:rPr>
          <w:lang w:val="fr-CA"/>
        </w:rPr>
        <w:t>du Mexique</w:t>
      </w:r>
      <w:r w:rsidRPr="00026C9D">
        <w:rPr>
          <w:lang w:val="fr-CA"/>
        </w:rPr>
        <w:t xml:space="preserve"> et le Comité exécutif pour </w:t>
      </w:r>
      <w:r>
        <w:rPr>
          <w:lang w:val="fr-CA"/>
        </w:rPr>
        <w:t>l’élimination</w:t>
      </w:r>
      <w:r w:rsidRPr="00026C9D">
        <w:rPr>
          <w:lang w:val="fr-CA"/>
        </w:rPr>
        <w:t xml:space="preserve"> des émissions de HFC-23 </w:t>
      </w:r>
      <w:r>
        <w:rPr>
          <w:lang w:val="fr-CA"/>
        </w:rPr>
        <w:t>provenant de</w:t>
      </w:r>
      <w:r w:rsidRPr="00026C9D">
        <w:rPr>
          <w:lang w:val="fr-CA"/>
        </w:rPr>
        <w:t xml:space="preserve"> la production de HCFC-22 à </w:t>
      </w:r>
      <w:proofErr w:type="spellStart"/>
      <w:r w:rsidRPr="00026C9D">
        <w:rPr>
          <w:lang w:val="fr-CA"/>
        </w:rPr>
        <w:t>Quimobásicos</w:t>
      </w:r>
      <w:proofErr w:type="spellEnd"/>
      <w:r w:rsidRPr="00026C9D">
        <w:rPr>
          <w:lang w:val="fr-CA"/>
        </w:rPr>
        <w:t xml:space="preserve"> (décision</w:t>
      </w:r>
      <w:r>
        <w:rPr>
          <w:lang w:val="fr-CA"/>
        </w:rPr>
        <w:t> </w:t>
      </w:r>
      <w:r w:rsidRPr="00026C9D">
        <w:rPr>
          <w:lang w:val="fr-CA"/>
        </w:rPr>
        <w:t xml:space="preserve">87/53) comme point de départ et </w:t>
      </w:r>
      <w:r>
        <w:rPr>
          <w:lang w:val="fr-CA"/>
        </w:rPr>
        <w:t>compte tenu</w:t>
      </w:r>
      <w:r w:rsidRPr="00026C9D">
        <w:rPr>
          <w:lang w:val="fr-CA"/>
        </w:rPr>
        <w:t xml:space="preserve"> des orientations fournies par le Comité exécutif à </w:t>
      </w:r>
      <w:r>
        <w:rPr>
          <w:lang w:val="fr-CA"/>
        </w:rPr>
        <w:t>sa</w:t>
      </w:r>
      <w:r w:rsidRPr="00026C9D">
        <w:rPr>
          <w:lang w:val="fr-CA"/>
        </w:rPr>
        <w:t xml:space="preserve"> 87</w:t>
      </w:r>
      <w:r w:rsidRPr="00A40DB6">
        <w:rPr>
          <w:vertAlign w:val="superscript"/>
          <w:lang w:val="fr-CA"/>
        </w:rPr>
        <w:t>e</w:t>
      </w:r>
      <w:r>
        <w:rPr>
          <w:lang w:val="fr-CA"/>
        </w:rPr>
        <w:t> </w:t>
      </w:r>
      <w:r w:rsidRPr="00026C9D">
        <w:rPr>
          <w:lang w:val="fr-CA"/>
        </w:rPr>
        <w:t>réunion (décision</w:t>
      </w:r>
      <w:r>
        <w:rPr>
          <w:lang w:val="fr-CA"/>
        </w:rPr>
        <w:t> </w:t>
      </w:r>
      <w:r w:rsidRPr="00026C9D">
        <w:rPr>
          <w:lang w:val="fr-CA"/>
        </w:rPr>
        <w:t xml:space="preserve">87/52(d)). Il a également demandé au gouvernement </w:t>
      </w:r>
      <w:r>
        <w:rPr>
          <w:lang w:val="fr-CA"/>
        </w:rPr>
        <w:t>de l’Argentine</w:t>
      </w:r>
      <w:r w:rsidRPr="00026C9D">
        <w:rPr>
          <w:lang w:val="fr-CA"/>
        </w:rPr>
        <w:t xml:space="preserve">, par l'intermédiaire de l'ONUDI, de </w:t>
      </w:r>
      <w:r>
        <w:rPr>
          <w:lang w:val="fr-CA"/>
        </w:rPr>
        <w:t>remettre</w:t>
      </w:r>
      <w:r w:rsidRPr="00026C9D">
        <w:rPr>
          <w:lang w:val="fr-CA"/>
        </w:rPr>
        <w:t xml:space="preserve"> un plan de mise en œuvre annuel, conformément au projet d'accord prévu, pour examen à la 88</w:t>
      </w:r>
      <w:r w:rsidRPr="002A67DD">
        <w:rPr>
          <w:vertAlign w:val="superscript"/>
          <w:lang w:val="fr-CA"/>
        </w:rPr>
        <w:t>e</w:t>
      </w:r>
      <w:r>
        <w:rPr>
          <w:lang w:val="fr-CA"/>
        </w:rPr>
        <w:t> </w:t>
      </w:r>
      <w:r w:rsidRPr="00026C9D">
        <w:rPr>
          <w:lang w:val="fr-CA"/>
        </w:rPr>
        <w:t xml:space="preserve">réunion (décision 87/52(f)). Parmi les orientations </w:t>
      </w:r>
      <w:r>
        <w:rPr>
          <w:lang w:val="fr-CA"/>
        </w:rPr>
        <w:t>transmises</w:t>
      </w:r>
      <w:r w:rsidRPr="00026C9D">
        <w:rPr>
          <w:lang w:val="fr-CA"/>
        </w:rPr>
        <w:t xml:space="preserve"> lors de la 87</w:t>
      </w:r>
      <w:r w:rsidRPr="002A67DD">
        <w:rPr>
          <w:vertAlign w:val="superscript"/>
          <w:lang w:val="fr-CA"/>
        </w:rPr>
        <w:t>e</w:t>
      </w:r>
      <w:r>
        <w:rPr>
          <w:lang w:val="fr-CA"/>
        </w:rPr>
        <w:t> </w:t>
      </w:r>
      <w:r w:rsidRPr="00026C9D">
        <w:rPr>
          <w:lang w:val="fr-CA"/>
        </w:rPr>
        <w:t xml:space="preserve">réunion figurait le fait que le projet d'accord </w:t>
      </w:r>
      <w:r>
        <w:rPr>
          <w:lang w:val="fr-CA"/>
        </w:rPr>
        <w:t>offrirait la même souplesse</w:t>
      </w:r>
      <w:r w:rsidRPr="00026C9D">
        <w:rPr>
          <w:lang w:val="fr-CA"/>
        </w:rPr>
        <w:t xml:space="preserve">, pour la date de début de </w:t>
      </w:r>
      <w:r>
        <w:rPr>
          <w:lang w:val="fr-CA"/>
        </w:rPr>
        <w:t xml:space="preserve">l’élimination du sous-produit </w:t>
      </w:r>
      <w:r w:rsidRPr="00026C9D">
        <w:rPr>
          <w:lang w:val="fr-CA"/>
        </w:rPr>
        <w:t xml:space="preserve">HFC 23 en Argentine, que celle qui avait été accordée pour le Mexique, </w:t>
      </w:r>
      <w:r>
        <w:rPr>
          <w:lang w:val="fr-CA"/>
        </w:rPr>
        <w:t xml:space="preserve">en soulignant </w:t>
      </w:r>
      <w:r w:rsidRPr="00026C9D">
        <w:rPr>
          <w:lang w:val="fr-CA"/>
        </w:rPr>
        <w:t xml:space="preserve">que le gouvernement </w:t>
      </w:r>
      <w:r>
        <w:rPr>
          <w:lang w:val="fr-CA"/>
        </w:rPr>
        <w:t xml:space="preserve">de l’Argentine </w:t>
      </w:r>
      <w:r w:rsidRPr="00026C9D">
        <w:rPr>
          <w:lang w:val="fr-CA"/>
        </w:rPr>
        <w:t xml:space="preserve">et l'ONUDI feraient tout leur possible pour que les émissions </w:t>
      </w:r>
      <w:r>
        <w:rPr>
          <w:lang w:val="fr-CA"/>
        </w:rPr>
        <w:t>du sous-produit </w:t>
      </w:r>
      <w:r w:rsidRPr="00026C9D">
        <w:rPr>
          <w:lang w:val="fr-CA"/>
        </w:rPr>
        <w:t>HFC 23 soient contrôlées dès que possible.</w:t>
      </w:r>
      <w:r w:rsidRPr="00A40DB6">
        <w:rPr>
          <w:rStyle w:val="FootnoteReference"/>
          <w:lang w:val="fr-CA"/>
        </w:rPr>
        <w:t xml:space="preserve"> </w:t>
      </w:r>
      <w:r w:rsidRPr="00085F79">
        <w:rPr>
          <w:rStyle w:val="FootnoteReference"/>
        </w:rPr>
        <w:footnoteReference w:id="35"/>
      </w:r>
      <w:r w:rsidRPr="00026C9D">
        <w:rPr>
          <w:lang w:val="fr-CA"/>
        </w:rPr>
        <w:t xml:space="preserve"> </w:t>
      </w:r>
    </w:p>
    <w:p w14:paraId="1D1EA203" w14:textId="77777777" w:rsidR="00963F10" w:rsidRPr="00026C9D" w:rsidRDefault="00963F10" w:rsidP="00963F10">
      <w:pPr>
        <w:pStyle w:val="Heading1"/>
        <w:rPr>
          <w:lang w:val="fr-CA"/>
        </w:rPr>
      </w:pPr>
      <w:r w:rsidRPr="00026C9D">
        <w:rPr>
          <w:lang w:val="fr-CA"/>
        </w:rPr>
        <w:t>Conformément à la décision</w:t>
      </w:r>
      <w:r>
        <w:rPr>
          <w:lang w:val="fr-CA"/>
        </w:rPr>
        <w:t> </w:t>
      </w:r>
      <w:r w:rsidRPr="00026C9D">
        <w:rPr>
          <w:lang w:val="fr-CA"/>
        </w:rPr>
        <w:t>87/52</w:t>
      </w:r>
      <w:r>
        <w:rPr>
          <w:lang w:val="fr-CA"/>
        </w:rPr>
        <w:t> </w:t>
      </w:r>
      <w:r w:rsidRPr="00026C9D">
        <w:rPr>
          <w:lang w:val="fr-CA"/>
        </w:rPr>
        <w:t>d), le Secrétariat, en co</w:t>
      </w:r>
      <w:r>
        <w:rPr>
          <w:lang w:val="fr-CA"/>
        </w:rPr>
        <w:t>llaboration</w:t>
      </w:r>
      <w:r w:rsidRPr="00026C9D">
        <w:rPr>
          <w:lang w:val="fr-CA"/>
        </w:rPr>
        <w:t xml:space="preserve"> avec l'ONUDI, a préparé le projet d'accord pour le contrôle des émissions de HFC-23 générées par la production de HCFC-22 à la FIASA,</w:t>
      </w:r>
      <w:r>
        <w:rPr>
          <w:lang w:val="fr-CA"/>
        </w:rPr>
        <w:t xml:space="preserve"> figurant</w:t>
      </w:r>
      <w:r w:rsidRPr="00026C9D">
        <w:rPr>
          <w:lang w:val="fr-CA"/>
        </w:rPr>
        <w:t xml:space="preserve"> dans le document</w:t>
      </w:r>
      <w:r>
        <w:rPr>
          <w:lang w:val="fr-CA"/>
        </w:rPr>
        <w:t> </w:t>
      </w:r>
      <w:r w:rsidRPr="00026C9D">
        <w:rPr>
          <w:lang w:val="fr-CA"/>
        </w:rPr>
        <w:t xml:space="preserve">UNEP/OzL.Pro/ExCom/88/77. </w:t>
      </w:r>
      <w:proofErr w:type="gramStart"/>
      <w:r w:rsidRPr="00026C9D">
        <w:rPr>
          <w:lang w:val="fr-CA"/>
        </w:rPr>
        <w:t>Suite à un</w:t>
      </w:r>
      <w:proofErr w:type="gramEnd"/>
      <w:r w:rsidRPr="00026C9D">
        <w:rPr>
          <w:lang w:val="fr-CA"/>
        </w:rPr>
        <w:t xml:space="preserve"> échange de vues au cours du processus d'approbation intersessions (IAP-88), et aux révisions du paragraphe</w:t>
      </w:r>
      <w:r>
        <w:rPr>
          <w:lang w:val="fr-CA"/>
        </w:rPr>
        <w:t> </w:t>
      </w:r>
      <w:r w:rsidRPr="00026C9D">
        <w:rPr>
          <w:lang w:val="fr-CA"/>
        </w:rPr>
        <w:t>12 du projet d'</w:t>
      </w:r>
      <w:r>
        <w:rPr>
          <w:lang w:val="fr-CA"/>
        </w:rPr>
        <w:t>a</w:t>
      </w:r>
      <w:r w:rsidRPr="00026C9D">
        <w:rPr>
          <w:lang w:val="fr-CA"/>
        </w:rPr>
        <w:t>ccord, le Comité e</w:t>
      </w:r>
      <w:r>
        <w:rPr>
          <w:lang w:val="fr-CA"/>
        </w:rPr>
        <w:t>xécutif a notamment approuvé l'a</w:t>
      </w:r>
      <w:r w:rsidRPr="00026C9D">
        <w:rPr>
          <w:lang w:val="fr-CA"/>
        </w:rPr>
        <w:t>ccord (décision</w:t>
      </w:r>
      <w:r>
        <w:rPr>
          <w:lang w:val="fr-CA"/>
        </w:rPr>
        <w:t> </w:t>
      </w:r>
      <w:r w:rsidRPr="00026C9D">
        <w:rPr>
          <w:lang w:val="fr-CA"/>
        </w:rPr>
        <w:t>88/77</w:t>
      </w:r>
      <w:r>
        <w:rPr>
          <w:lang w:val="fr-CA"/>
        </w:rPr>
        <w:t> </w:t>
      </w:r>
      <w:r w:rsidRPr="00026C9D">
        <w:rPr>
          <w:lang w:val="fr-CA"/>
        </w:rPr>
        <w:t xml:space="preserve">c)) et le plan annuel de mise en œuvre 2021-2022 pour le contrôle des émissions de HFC-23 générées par la production de HCFC 22 </w:t>
      </w:r>
      <w:r>
        <w:rPr>
          <w:lang w:val="fr-CA"/>
        </w:rPr>
        <w:t>à la</w:t>
      </w:r>
      <w:r w:rsidRPr="00026C9D">
        <w:rPr>
          <w:lang w:val="fr-CA"/>
        </w:rPr>
        <w:t xml:space="preserve"> FIASA</w:t>
      </w:r>
      <w:r>
        <w:rPr>
          <w:lang w:val="fr-CA"/>
        </w:rPr>
        <w:t>,</w:t>
      </w:r>
      <w:r w:rsidRPr="00026C9D">
        <w:rPr>
          <w:lang w:val="fr-CA"/>
        </w:rPr>
        <w:t xml:space="preserve"> </w:t>
      </w:r>
      <w:r>
        <w:rPr>
          <w:lang w:val="fr-CA"/>
        </w:rPr>
        <w:t xml:space="preserve">figurant </w:t>
      </w:r>
      <w:r w:rsidRPr="00026C9D">
        <w:rPr>
          <w:lang w:val="fr-CA"/>
        </w:rPr>
        <w:t>dans le document</w:t>
      </w:r>
      <w:r>
        <w:rPr>
          <w:lang w:val="fr-CA"/>
        </w:rPr>
        <w:t> </w:t>
      </w:r>
      <w:r w:rsidRPr="00026C9D">
        <w:rPr>
          <w:lang w:val="fr-CA"/>
        </w:rPr>
        <w:t>UNEP/OzL.Pro/ExCom/88/77 (décision</w:t>
      </w:r>
      <w:r>
        <w:rPr>
          <w:lang w:val="fr-CA"/>
        </w:rPr>
        <w:t> </w:t>
      </w:r>
      <w:r w:rsidRPr="00026C9D">
        <w:rPr>
          <w:lang w:val="fr-CA"/>
        </w:rPr>
        <w:t>88/77</w:t>
      </w:r>
      <w:r>
        <w:rPr>
          <w:lang w:val="fr-CA"/>
        </w:rPr>
        <w:t> </w:t>
      </w:r>
      <w:r w:rsidRPr="00026C9D">
        <w:rPr>
          <w:lang w:val="fr-CA"/>
        </w:rPr>
        <w:t>b)).</w:t>
      </w:r>
    </w:p>
    <w:p w14:paraId="3B3A0776" w14:textId="77777777" w:rsidR="00963F10" w:rsidRPr="00026C9D" w:rsidRDefault="00963F10" w:rsidP="00963F10">
      <w:pPr>
        <w:pStyle w:val="Heading1"/>
        <w:rPr>
          <w:lang w:val="fr-CA"/>
        </w:rPr>
      </w:pPr>
      <w:r w:rsidRPr="00026C9D">
        <w:rPr>
          <w:lang w:val="fr-CA"/>
        </w:rPr>
        <w:t xml:space="preserve">Le plan annuel de mise en œuvre 2021-2022 prévoyait notamment que les coûts de remise à neuf de l'incinérateur de </w:t>
      </w:r>
      <w:r>
        <w:rPr>
          <w:lang w:val="fr-CA"/>
        </w:rPr>
        <w:t xml:space="preserve">la </w:t>
      </w:r>
      <w:r w:rsidRPr="00026C9D">
        <w:rPr>
          <w:lang w:val="fr-CA"/>
        </w:rPr>
        <w:t>FIASA seraient vérifiés auprès du fournisseur de l'équipement d'origine, SGL Carbon LLC (SGL), et d'autr</w:t>
      </w:r>
      <w:r>
        <w:rPr>
          <w:lang w:val="fr-CA"/>
        </w:rPr>
        <w:t>es fournisseurs, d’ici décembre </w:t>
      </w:r>
      <w:r w:rsidRPr="00026C9D">
        <w:rPr>
          <w:lang w:val="fr-CA"/>
        </w:rPr>
        <w:t>2021; que les préparatifs du site pour le stockage cryogénique du HFC-23 seraient effectués, et que tout sous-produit HFC-23 généré après le 1</w:t>
      </w:r>
      <w:r w:rsidRPr="000D5DAA">
        <w:rPr>
          <w:vertAlign w:val="superscript"/>
          <w:lang w:val="fr-CA"/>
        </w:rPr>
        <w:t>er</w:t>
      </w:r>
      <w:r>
        <w:rPr>
          <w:vertAlign w:val="superscript"/>
          <w:lang w:val="fr-CA"/>
        </w:rPr>
        <w:t> </w:t>
      </w:r>
      <w:r w:rsidRPr="00026C9D">
        <w:rPr>
          <w:lang w:val="fr-CA"/>
        </w:rPr>
        <w:t>janvier</w:t>
      </w:r>
      <w:r>
        <w:rPr>
          <w:lang w:val="fr-CA"/>
        </w:rPr>
        <w:t> </w:t>
      </w:r>
      <w:r w:rsidRPr="00026C9D">
        <w:rPr>
          <w:lang w:val="fr-CA"/>
        </w:rPr>
        <w:t xml:space="preserve">2022 et avant l'achèvement de la remise à neuf de l'incinérateur serait stocké dans le réservoir cryogénique du site jusqu'à ce que </w:t>
      </w:r>
      <w:r>
        <w:rPr>
          <w:lang w:val="fr-CA"/>
        </w:rPr>
        <w:t>sa</w:t>
      </w:r>
      <w:r w:rsidRPr="00026C9D">
        <w:rPr>
          <w:lang w:val="fr-CA"/>
        </w:rPr>
        <w:t xml:space="preserve"> capacité maximale ; et que la mise en service de l'incinérateur remis à neuf et l</w:t>
      </w:r>
      <w:r>
        <w:rPr>
          <w:lang w:val="fr-CA"/>
        </w:rPr>
        <w:t>’élimination</w:t>
      </w:r>
      <w:r w:rsidRPr="00026C9D">
        <w:rPr>
          <w:lang w:val="fr-CA"/>
        </w:rPr>
        <w:t xml:space="preserve"> du sous-produit HFC-23 devraient commencer à partir du 1</w:t>
      </w:r>
      <w:r w:rsidRPr="000D5DAA">
        <w:rPr>
          <w:vertAlign w:val="superscript"/>
          <w:lang w:val="fr-CA"/>
        </w:rPr>
        <w:t>er</w:t>
      </w:r>
      <w:r>
        <w:rPr>
          <w:lang w:val="fr-CA"/>
        </w:rPr>
        <w:t> </w:t>
      </w:r>
      <w:r w:rsidRPr="00026C9D">
        <w:rPr>
          <w:lang w:val="fr-CA"/>
        </w:rPr>
        <w:t>juin</w:t>
      </w:r>
      <w:r>
        <w:rPr>
          <w:lang w:val="fr-CA"/>
        </w:rPr>
        <w:t> </w:t>
      </w:r>
      <w:r w:rsidRPr="00026C9D">
        <w:rPr>
          <w:lang w:val="fr-CA"/>
        </w:rPr>
        <w:t xml:space="preserve">2022. L'ONUDI a noté </w:t>
      </w:r>
      <w:r>
        <w:rPr>
          <w:lang w:val="fr-CA"/>
        </w:rPr>
        <w:t>que dans l’éventualité d’un retard attribuable à un cas de force majeure</w:t>
      </w:r>
      <w:r w:rsidRPr="00026C9D">
        <w:rPr>
          <w:lang w:val="fr-CA"/>
        </w:rPr>
        <w:t xml:space="preserve">, comme la pandémie de COVID-19, </w:t>
      </w:r>
      <w:r>
        <w:rPr>
          <w:lang w:val="fr-CA"/>
        </w:rPr>
        <w:t xml:space="preserve">la </w:t>
      </w:r>
      <w:r w:rsidRPr="00026C9D">
        <w:rPr>
          <w:lang w:val="fr-CA"/>
        </w:rPr>
        <w:t xml:space="preserve">FIASA, le gouvernement </w:t>
      </w:r>
      <w:r>
        <w:rPr>
          <w:lang w:val="fr-CA"/>
        </w:rPr>
        <w:t>de l’Argentine</w:t>
      </w:r>
      <w:r w:rsidRPr="00026C9D">
        <w:rPr>
          <w:lang w:val="fr-CA"/>
        </w:rPr>
        <w:t xml:space="preserve"> et l'ONUDI </w:t>
      </w:r>
      <w:r>
        <w:rPr>
          <w:lang w:val="fr-CA"/>
        </w:rPr>
        <w:t xml:space="preserve">en </w:t>
      </w:r>
      <w:r w:rsidRPr="00026C9D">
        <w:rPr>
          <w:lang w:val="fr-CA"/>
        </w:rPr>
        <w:t>informeraient immédiatement le Comité exécutif et proposeraient des mesures d'atténuation des émissions de HFC-23.</w:t>
      </w:r>
      <w:r w:rsidRPr="00E65513">
        <w:rPr>
          <w:rStyle w:val="FootnoteReference"/>
          <w:lang w:val="fr-CA"/>
        </w:rPr>
        <w:t xml:space="preserve"> </w:t>
      </w:r>
      <w:r w:rsidRPr="00085F79">
        <w:rPr>
          <w:rStyle w:val="FootnoteReference"/>
        </w:rPr>
        <w:footnoteReference w:id="36"/>
      </w:r>
      <w:r w:rsidRPr="00026C9D">
        <w:rPr>
          <w:lang w:val="fr-CA"/>
        </w:rPr>
        <w:t xml:space="preserve"> </w:t>
      </w:r>
    </w:p>
    <w:p w14:paraId="3C3D0073" w14:textId="77777777" w:rsidR="00963F10" w:rsidRPr="00026C9D" w:rsidRDefault="00963F10" w:rsidP="00963F10">
      <w:pPr>
        <w:pStyle w:val="Heading1"/>
        <w:rPr>
          <w:lang w:val="fr-CA"/>
        </w:rPr>
      </w:pPr>
      <w:r w:rsidRPr="00026C9D">
        <w:rPr>
          <w:lang w:val="fr-CA"/>
        </w:rPr>
        <w:t xml:space="preserve">Conformément au plan annuel de mise en œuvre 2021-2022 approuvé, le </w:t>
      </w:r>
      <w:r>
        <w:rPr>
          <w:lang w:val="fr-CA"/>
        </w:rPr>
        <w:t>gouvernement de l’Argentine</w:t>
      </w:r>
      <w:r w:rsidRPr="00026C9D">
        <w:rPr>
          <w:lang w:val="fr-CA"/>
        </w:rPr>
        <w:t>, par l'intermédiaire de l'ONUDI, a présenté le 5</w:t>
      </w:r>
      <w:r>
        <w:rPr>
          <w:lang w:val="fr-CA"/>
        </w:rPr>
        <w:t> </w:t>
      </w:r>
      <w:r w:rsidRPr="00026C9D">
        <w:rPr>
          <w:lang w:val="fr-CA"/>
        </w:rPr>
        <w:t>mai</w:t>
      </w:r>
      <w:r>
        <w:rPr>
          <w:lang w:val="fr-CA"/>
        </w:rPr>
        <w:t> </w:t>
      </w:r>
      <w:r w:rsidRPr="00026C9D">
        <w:rPr>
          <w:lang w:val="fr-CA"/>
        </w:rPr>
        <w:t>2022 un rapport périodique détaillant les retards dans la mise en œuvre du projet et demandant que, nonobsta</w:t>
      </w:r>
      <w:r>
        <w:rPr>
          <w:lang w:val="fr-CA"/>
        </w:rPr>
        <w:t>nt les paragraphes </w:t>
      </w:r>
      <w:r w:rsidRPr="00026C9D">
        <w:rPr>
          <w:lang w:val="fr-CA"/>
        </w:rPr>
        <w:t>1 et 12 de l'Accord, aucune pénalité ne soit appliquée pour les sept premiers mois de la mise en œuvre du projet, c.-à-d. de janvier à fin juillet</w:t>
      </w:r>
      <w:r>
        <w:rPr>
          <w:lang w:val="fr-CA"/>
        </w:rPr>
        <w:t> </w:t>
      </w:r>
      <w:r w:rsidRPr="00026C9D">
        <w:rPr>
          <w:lang w:val="fr-CA"/>
        </w:rPr>
        <w:t xml:space="preserve">2022, car le </w:t>
      </w:r>
      <w:r>
        <w:rPr>
          <w:lang w:val="fr-CA"/>
        </w:rPr>
        <w:t>gouvernement estime</w:t>
      </w:r>
      <w:r w:rsidRPr="00026C9D">
        <w:rPr>
          <w:lang w:val="fr-CA"/>
        </w:rPr>
        <w:t xml:space="preserve"> que les retards dans la mise en œuvre sont indépendants de sa volonté, de celle de la FIASA et de l'ONUDI.</w:t>
      </w:r>
    </w:p>
    <w:p w14:paraId="0B4719AB" w14:textId="77777777" w:rsidR="00963F10" w:rsidRPr="00801DD7" w:rsidRDefault="00963F10" w:rsidP="00963F10">
      <w:pPr>
        <w:rPr>
          <w:u w:val="single"/>
          <w:lang w:val="fr-CA"/>
        </w:rPr>
      </w:pPr>
      <w:r w:rsidRPr="00801DD7">
        <w:rPr>
          <w:u w:val="single"/>
          <w:lang w:val="fr-CA"/>
        </w:rPr>
        <w:t>Rapport périodique soumis à la 90</w:t>
      </w:r>
      <w:r w:rsidRPr="00801DD7">
        <w:rPr>
          <w:u w:val="single"/>
          <w:vertAlign w:val="superscript"/>
          <w:lang w:val="fr-CA"/>
        </w:rPr>
        <w:t>e</w:t>
      </w:r>
      <w:r>
        <w:rPr>
          <w:u w:val="single"/>
          <w:lang w:val="fr-CA"/>
        </w:rPr>
        <w:t> </w:t>
      </w:r>
      <w:r w:rsidRPr="00801DD7">
        <w:rPr>
          <w:u w:val="single"/>
          <w:lang w:val="fr-CA"/>
        </w:rPr>
        <w:t>réunion</w:t>
      </w:r>
    </w:p>
    <w:p w14:paraId="41B05916" w14:textId="77777777" w:rsidR="00963F10" w:rsidRPr="00801DD7" w:rsidRDefault="00963F10" w:rsidP="00963F10">
      <w:pPr>
        <w:keepNext/>
        <w:keepLines/>
        <w:rPr>
          <w:lang w:val="fr-CA"/>
        </w:rPr>
      </w:pPr>
    </w:p>
    <w:p w14:paraId="25568207" w14:textId="77777777" w:rsidR="00963F10" w:rsidRPr="00801DD7" w:rsidRDefault="00963F10" w:rsidP="00963F10">
      <w:pPr>
        <w:pStyle w:val="Heading1"/>
        <w:rPr>
          <w:lang w:val="fr-CA"/>
        </w:rPr>
      </w:pPr>
      <w:r w:rsidRPr="00801DD7">
        <w:rPr>
          <w:lang w:val="fr-CA"/>
        </w:rPr>
        <w:t>Le projet a été approuvé en juillet 2021. En août</w:t>
      </w:r>
      <w:r>
        <w:rPr>
          <w:lang w:val="fr-CA"/>
        </w:rPr>
        <w:t> </w:t>
      </w:r>
      <w:r w:rsidRPr="00801DD7">
        <w:rPr>
          <w:lang w:val="fr-CA"/>
        </w:rPr>
        <w:t xml:space="preserve">2021, l'ONUDI a tenu une réunion de lancement avec </w:t>
      </w:r>
      <w:r>
        <w:rPr>
          <w:lang w:val="fr-CA"/>
        </w:rPr>
        <w:t xml:space="preserve">la </w:t>
      </w:r>
      <w:r w:rsidRPr="00801DD7">
        <w:rPr>
          <w:lang w:val="fr-CA"/>
        </w:rPr>
        <w:t xml:space="preserve">FIASA et fourni à SGL des </w:t>
      </w:r>
      <w:r>
        <w:rPr>
          <w:lang w:val="fr-CA"/>
        </w:rPr>
        <w:t>mandants</w:t>
      </w:r>
      <w:r w:rsidRPr="00801DD7">
        <w:rPr>
          <w:lang w:val="fr-CA"/>
        </w:rPr>
        <w:t xml:space="preserve"> pour l'équipement nécessaire à la remise à neuf de l'incinérateur. Malgré de nombreuses discussions et échanges avec SGL, l'ONUDI n'a pas pu finaliser </w:t>
      </w:r>
      <w:r>
        <w:rPr>
          <w:lang w:val="fr-CA"/>
        </w:rPr>
        <w:t>de</w:t>
      </w:r>
      <w:r w:rsidRPr="00801DD7">
        <w:rPr>
          <w:lang w:val="fr-CA"/>
        </w:rPr>
        <w:t xml:space="preserve"> marché </w:t>
      </w:r>
      <w:r>
        <w:rPr>
          <w:lang w:val="fr-CA"/>
        </w:rPr>
        <w:t>pour ces travaux</w:t>
      </w:r>
      <w:r w:rsidRPr="00801DD7">
        <w:rPr>
          <w:lang w:val="fr-CA"/>
        </w:rPr>
        <w:t>, car SGL a refusé de fournir un coût fixe pour la supervision sur place de l'installation et de la mise en service. En décembre</w:t>
      </w:r>
      <w:r>
        <w:rPr>
          <w:lang w:val="fr-CA"/>
        </w:rPr>
        <w:t> </w:t>
      </w:r>
      <w:r w:rsidRPr="00801DD7">
        <w:rPr>
          <w:lang w:val="fr-CA"/>
        </w:rPr>
        <w:t>2021, SGL a informé l'ONUDI qu'elle n'était pas en mesure d'assumer la responsabilité globale de la remise à neuf de l'incinérateur. En janvier</w:t>
      </w:r>
      <w:r>
        <w:rPr>
          <w:lang w:val="fr-CA"/>
        </w:rPr>
        <w:t> </w:t>
      </w:r>
      <w:r w:rsidRPr="00801DD7">
        <w:rPr>
          <w:lang w:val="fr-CA"/>
        </w:rPr>
        <w:t xml:space="preserve">2022, une réunion a eu lieu avec </w:t>
      </w:r>
      <w:r>
        <w:rPr>
          <w:lang w:val="fr-CA"/>
        </w:rPr>
        <w:t xml:space="preserve">la </w:t>
      </w:r>
      <w:r w:rsidRPr="00801DD7">
        <w:rPr>
          <w:lang w:val="fr-CA"/>
        </w:rPr>
        <w:t xml:space="preserve">FIASA, et il a été convenu que </w:t>
      </w:r>
      <w:r>
        <w:rPr>
          <w:lang w:val="fr-CA"/>
        </w:rPr>
        <w:t>celle-</w:t>
      </w:r>
      <w:proofErr w:type="gramStart"/>
      <w:r>
        <w:rPr>
          <w:lang w:val="fr-CA"/>
        </w:rPr>
        <w:t xml:space="preserve">ci </w:t>
      </w:r>
      <w:r w:rsidRPr="00801DD7">
        <w:rPr>
          <w:lang w:val="fr-CA"/>
        </w:rPr>
        <w:t xml:space="preserve"> assumerait</w:t>
      </w:r>
      <w:proofErr w:type="gramEnd"/>
      <w:r w:rsidRPr="00801DD7">
        <w:rPr>
          <w:lang w:val="fr-CA"/>
        </w:rPr>
        <w:t xml:space="preserve"> les responsabilités de la remise à neuf et gérerait l'achat des pièces nécessaires auprès de SGL ou d'un autre fournisseur. </w:t>
      </w:r>
      <w:r>
        <w:rPr>
          <w:lang w:val="fr-CA"/>
        </w:rPr>
        <w:t xml:space="preserve">Cela a permis de finaliser </w:t>
      </w:r>
      <w:r w:rsidRPr="00801DD7">
        <w:rPr>
          <w:lang w:val="fr-CA"/>
        </w:rPr>
        <w:t>un accord avec SGL le 17</w:t>
      </w:r>
      <w:r>
        <w:rPr>
          <w:lang w:val="fr-CA"/>
        </w:rPr>
        <w:t> </w:t>
      </w:r>
      <w:r w:rsidRPr="00801DD7">
        <w:rPr>
          <w:lang w:val="fr-CA"/>
        </w:rPr>
        <w:t>janvier</w:t>
      </w:r>
      <w:r>
        <w:rPr>
          <w:lang w:val="fr-CA"/>
        </w:rPr>
        <w:t> </w:t>
      </w:r>
      <w:r w:rsidRPr="00801DD7">
        <w:rPr>
          <w:lang w:val="fr-CA"/>
        </w:rPr>
        <w:t xml:space="preserve">2022, et un marché pour les équipements, travaux et entretiens restants a été conclu entre </w:t>
      </w:r>
      <w:r>
        <w:rPr>
          <w:lang w:val="fr-CA"/>
        </w:rPr>
        <w:t xml:space="preserve">la </w:t>
      </w:r>
      <w:r w:rsidRPr="00801DD7">
        <w:rPr>
          <w:lang w:val="fr-CA"/>
        </w:rPr>
        <w:t>FIASA et l'ONUDI. Le 31</w:t>
      </w:r>
      <w:r>
        <w:rPr>
          <w:lang w:val="fr-CA"/>
        </w:rPr>
        <w:t> </w:t>
      </w:r>
      <w:r w:rsidRPr="00801DD7">
        <w:rPr>
          <w:lang w:val="fr-CA"/>
        </w:rPr>
        <w:t>mars</w:t>
      </w:r>
      <w:r>
        <w:rPr>
          <w:lang w:val="fr-CA"/>
        </w:rPr>
        <w:t> </w:t>
      </w:r>
      <w:r w:rsidRPr="00801DD7">
        <w:rPr>
          <w:lang w:val="fr-CA"/>
        </w:rPr>
        <w:t>2022, des renseignements ont été demandés à SGL concernant la date de livraison des pièces nécessaires à la remise en état de l'incinérateur; SGL a informé l'ONUDI qu'en raison de retards, la livraison des pièces était prévue pour le 12</w:t>
      </w:r>
      <w:r>
        <w:rPr>
          <w:lang w:val="fr-CA"/>
        </w:rPr>
        <w:t> </w:t>
      </w:r>
      <w:r w:rsidRPr="00801DD7">
        <w:rPr>
          <w:lang w:val="fr-CA"/>
        </w:rPr>
        <w:t>juin</w:t>
      </w:r>
      <w:r>
        <w:rPr>
          <w:lang w:val="fr-CA"/>
        </w:rPr>
        <w:t> </w:t>
      </w:r>
      <w:r w:rsidRPr="00801DD7">
        <w:rPr>
          <w:lang w:val="fr-CA"/>
        </w:rPr>
        <w:t>2022.</w:t>
      </w:r>
    </w:p>
    <w:p w14:paraId="02C702A4" w14:textId="77777777" w:rsidR="00963F10" w:rsidRPr="00FF2583" w:rsidRDefault="00963F10" w:rsidP="00963F10">
      <w:pPr>
        <w:pStyle w:val="Heading1"/>
        <w:rPr>
          <w:lang w:val="fr-CA"/>
        </w:rPr>
      </w:pPr>
      <w:r w:rsidRPr="00FF2583">
        <w:rPr>
          <w:lang w:val="fr-CA"/>
        </w:rPr>
        <w:t xml:space="preserve">L'ONUDI a estimé qu'il faudrait au moins sept mois pour achever la remise à neuf de l'incinérateur une fois toutes les pièces reçues. </w:t>
      </w:r>
      <w:r>
        <w:rPr>
          <w:lang w:val="fr-CA"/>
        </w:rPr>
        <w:t xml:space="preserve">Elle </w:t>
      </w:r>
      <w:r w:rsidRPr="00FF2583">
        <w:rPr>
          <w:lang w:val="fr-CA"/>
        </w:rPr>
        <w:t>a également in</w:t>
      </w:r>
      <w:r>
        <w:rPr>
          <w:lang w:val="fr-CA"/>
        </w:rPr>
        <w:t>diqué</w:t>
      </w:r>
      <w:r w:rsidRPr="00FF2583">
        <w:rPr>
          <w:lang w:val="fr-CA"/>
        </w:rPr>
        <w:t xml:space="preserve"> qu'en mars</w:t>
      </w:r>
      <w:r>
        <w:rPr>
          <w:lang w:val="fr-CA"/>
        </w:rPr>
        <w:t> </w:t>
      </w:r>
      <w:r w:rsidRPr="00FF2583">
        <w:rPr>
          <w:lang w:val="fr-CA"/>
        </w:rPr>
        <w:t xml:space="preserve">2022, </w:t>
      </w:r>
      <w:r>
        <w:rPr>
          <w:lang w:val="fr-CA"/>
        </w:rPr>
        <w:t xml:space="preserve">la </w:t>
      </w:r>
      <w:r w:rsidRPr="00FF2583">
        <w:rPr>
          <w:lang w:val="fr-CA"/>
        </w:rPr>
        <w:t>FIASA avait temporairement cessé de produire du HCFC-22 en raison de difficultés à acheter des matières premières (c.-à-d.</w:t>
      </w:r>
      <w:r>
        <w:rPr>
          <w:lang w:val="fr-CA"/>
        </w:rPr>
        <w:t>,</w:t>
      </w:r>
      <w:r w:rsidRPr="00FF2583">
        <w:rPr>
          <w:lang w:val="fr-CA"/>
        </w:rPr>
        <w:t xml:space="preserve"> du chloroforme et du fluorure d'hydrogène anhydre)</w:t>
      </w:r>
      <w:r>
        <w:rPr>
          <w:lang w:val="fr-CA"/>
        </w:rPr>
        <w:t>,</w:t>
      </w:r>
      <w:r w:rsidRPr="00FF2583">
        <w:rPr>
          <w:lang w:val="fr-CA"/>
        </w:rPr>
        <w:t xml:space="preserve"> compte tenu des perturbations de la chaîne d'approvisionnement. L'entreprise avait pu répondre temporairement à la demande du marché en vendant une partie du HCFC-22 qu'elle avait en stock, mais </w:t>
      </w:r>
      <w:r>
        <w:rPr>
          <w:lang w:val="fr-CA"/>
        </w:rPr>
        <w:t>elle prévoyait</w:t>
      </w:r>
      <w:r w:rsidRPr="00FF2583">
        <w:rPr>
          <w:lang w:val="fr-CA"/>
        </w:rPr>
        <w:t xml:space="preserve"> reprendre la production de HCFC-22 à la fin du mois de mai</w:t>
      </w:r>
      <w:r>
        <w:rPr>
          <w:lang w:val="fr-CA"/>
        </w:rPr>
        <w:t> </w:t>
      </w:r>
      <w:r w:rsidRPr="00FF2583">
        <w:rPr>
          <w:lang w:val="fr-CA"/>
        </w:rPr>
        <w:t>2022. Une fois que l'entreprise aurait repris la production de HCFC-22, elle stockerait le sous-produit HFC-23 généré dans le réservoir cryogénique jusqu'à ce que la</w:t>
      </w:r>
      <w:r>
        <w:rPr>
          <w:lang w:val="fr-CA"/>
        </w:rPr>
        <w:t xml:space="preserve"> remise à neuf</w:t>
      </w:r>
      <w:r w:rsidRPr="00FF2583">
        <w:rPr>
          <w:lang w:val="fr-CA"/>
        </w:rPr>
        <w:t xml:space="preserve"> soit terminée ou que la capacité maximale du réservoir cryogénique soit atteinte. </w:t>
      </w:r>
      <w:r>
        <w:rPr>
          <w:lang w:val="fr-CA"/>
        </w:rPr>
        <w:t>L</w:t>
      </w:r>
      <w:r w:rsidRPr="00FF2583">
        <w:rPr>
          <w:lang w:val="fr-CA"/>
        </w:rPr>
        <w:t>e gouvernement a</w:t>
      </w:r>
      <w:r>
        <w:rPr>
          <w:lang w:val="fr-CA"/>
        </w:rPr>
        <w:t>, cependant,</w:t>
      </w:r>
      <w:r w:rsidRPr="00FF2583">
        <w:rPr>
          <w:lang w:val="fr-CA"/>
        </w:rPr>
        <w:t xml:space="preserve"> estimé que le réservoir cryogénique atteindrait sa capacité maximale </w:t>
      </w:r>
      <w:r>
        <w:rPr>
          <w:lang w:val="fr-CA"/>
        </w:rPr>
        <w:t>après</w:t>
      </w:r>
      <w:r w:rsidRPr="00FF2583">
        <w:rPr>
          <w:lang w:val="fr-CA"/>
        </w:rPr>
        <w:t xml:space="preserve"> deux ou trois mois de production et, par conséquent, il n'a pas considéré le stockage du sous-produit HFC-23 dans le réservoir cryogénique comme une solution à long terme. </w:t>
      </w:r>
      <w:r>
        <w:rPr>
          <w:lang w:val="fr-CA"/>
        </w:rPr>
        <w:t xml:space="preserve">Il a </w:t>
      </w:r>
      <w:proofErr w:type="gramStart"/>
      <w:r>
        <w:rPr>
          <w:lang w:val="fr-CA"/>
        </w:rPr>
        <w:t>demandé à ce</w:t>
      </w:r>
      <w:proofErr w:type="gramEnd"/>
      <w:r w:rsidRPr="00FF2583">
        <w:rPr>
          <w:lang w:val="fr-CA"/>
        </w:rPr>
        <w:t xml:space="preserve"> qu'aucune pénalité ne soit appliquée pour la période allant de janvier</w:t>
      </w:r>
      <w:r>
        <w:rPr>
          <w:lang w:val="fr-CA"/>
        </w:rPr>
        <w:t> 2022 à la fin juillet </w:t>
      </w:r>
      <w:r w:rsidRPr="00FF2583">
        <w:rPr>
          <w:lang w:val="fr-CA"/>
        </w:rPr>
        <w:t>2022.</w:t>
      </w:r>
    </w:p>
    <w:p w14:paraId="27BCF49E" w14:textId="77777777" w:rsidR="00963F10" w:rsidRPr="00085F79" w:rsidRDefault="00963F10" w:rsidP="00963F10">
      <w:pPr>
        <w:keepNext/>
        <w:rPr>
          <w:u w:val="single"/>
        </w:rPr>
      </w:pPr>
      <w:r>
        <w:rPr>
          <w:u w:val="single"/>
        </w:rPr>
        <w:t>Production de HCFC</w:t>
      </w:r>
    </w:p>
    <w:p w14:paraId="17011D3B" w14:textId="77777777" w:rsidR="00963F10" w:rsidRPr="00085F79" w:rsidRDefault="00963F10" w:rsidP="00963F10">
      <w:pPr>
        <w:keepNext/>
      </w:pPr>
    </w:p>
    <w:p w14:paraId="20CB2405" w14:textId="77777777" w:rsidR="00963F10" w:rsidRPr="000D0D19" w:rsidRDefault="00963F10" w:rsidP="00963F10">
      <w:pPr>
        <w:pStyle w:val="Heading1"/>
        <w:rPr>
          <w:lang w:val="fr-CA"/>
        </w:rPr>
      </w:pPr>
      <w:r w:rsidRPr="000D0D19">
        <w:rPr>
          <w:lang w:val="fr-CA"/>
        </w:rPr>
        <w:t xml:space="preserve">En 2021, </w:t>
      </w:r>
      <w:r>
        <w:rPr>
          <w:lang w:val="fr-CA"/>
        </w:rPr>
        <w:t xml:space="preserve">la </w:t>
      </w:r>
      <w:r w:rsidRPr="000D0D19">
        <w:rPr>
          <w:lang w:val="fr-CA"/>
        </w:rPr>
        <w:t>FIASA a produit 1</w:t>
      </w:r>
      <w:r>
        <w:rPr>
          <w:lang w:val="fr-CA"/>
        </w:rPr>
        <w:t> </w:t>
      </w:r>
      <w:r w:rsidRPr="000D0D19">
        <w:rPr>
          <w:lang w:val="fr-CA"/>
        </w:rPr>
        <w:t>027</w:t>
      </w:r>
      <w:r>
        <w:rPr>
          <w:lang w:val="fr-CA"/>
        </w:rPr>
        <w:t> </w:t>
      </w:r>
      <w:proofErr w:type="spellStart"/>
      <w:r w:rsidRPr="000D0D19">
        <w:rPr>
          <w:lang w:val="fr-CA"/>
        </w:rPr>
        <w:t>tm</w:t>
      </w:r>
      <w:proofErr w:type="spellEnd"/>
      <w:r w:rsidRPr="000D0D19">
        <w:rPr>
          <w:lang w:val="fr-CA"/>
        </w:rPr>
        <w:t xml:space="preserve"> de HCFC-22, soit une réduction de 15</w:t>
      </w:r>
      <w:r>
        <w:rPr>
          <w:lang w:val="fr-CA"/>
        </w:rPr>
        <w:t> </w:t>
      </w:r>
      <w:r w:rsidRPr="000D0D19">
        <w:rPr>
          <w:lang w:val="fr-CA"/>
        </w:rPr>
        <w:t xml:space="preserve">% par rapport à la production de l'entreprise en 2020. </w:t>
      </w:r>
    </w:p>
    <w:p w14:paraId="2C31A783" w14:textId="77777777" w:rsidR="00963F10" w:rsidRPr="000D0D19" w:rsidRDefault="00963F10" w:rsidP="00963F10">
      <w:pPr>
        <w:pStyle w:val="Heading1"/>
        <w:numPr>
          <w:ilvl w:val="0"/>
          <w:numId w:val="0"/>
        </w:numPr>
        <w:rPr>
          <w:lang w:val="fr-CA"/>
        </w:rPr>
      </w:pPr>
      <w:r w:rsidRPr="000D0D19">
        <w:rPr>
          <w:b/>
          <w:bCs/>
          <w:lang w:val="fr-CA"/>
        </w:rPr>
        <w:t>Observations du Secrétariat</w:t>
      </w:r>
    </w:p>
    <w:p w14:paraId="07F42250" w14:textId="77777777" w:rsidR="00963F10" w:rsidRPr="000D0D19" w:rsidRDefault="00963F10" w:rsidP="00963F10">
      <w:pPr>
        <w:rPr>
          <w:u w:val="single"/>
          <w:lang w:val="fr-CA"/>
        </w:rPr>
      </w:pPr>
      <w:r w:rsidRPr="000D0D19">
        <w:rPr>
          <w:u w:val="single"/>
          <w:lang w:val="fr-CA"/>
        </w:rPr>
        <w:t>État du r</w:t>
      </w:r>
      <w:r>
        <w:rPr>
          <w:u w:val="single"/>
          <w:lang w:val="fr-CA"/>
        </w:rPr>
        <w:t>é</w:t>
      </w:r>
      <w:r w:rsidRPr="000D0D19">
        <w:rPr>
          <w:u w:val="single"/>
          <w:lang w:val="fr-CA"/>
        </w:rPr>
        <w:t>servoir cryogénique</w:t>
      </w:r>
    </w:p>
    <w:p w14:paraId="3BD502BF" w14:textId="77777777" w:rsidR="00963F10" w:rsidRPr="000D0D19" w:rsidRDefault="00963F10" w:rsidP="00963F10">
      <w:pPr>
        <w:rPr>
          <w:lang w:val="fr-CA"/>
        </w:rPr>
      </w:pPr>
    </w:p>
    <w:p w14:paraId="75D72F40" w14:textId="77777777" w:rsidR="00963F10" w:rsidRPr="000D0D19" w:rsidRDefault="00963F10" w:rsidP="00963F10">
      <w:pPr>
        <w:pStyle w:val="Heading1"/>
        <w:rPr>
          <w:lang w:val="fr-CA"/>
        </w:rPr>
      </w:pPr>
      <w:r w:rsidRPr="000D0D19">
        <w:rPr>
          <w:lang w:val="fr-CA"/>
        </w:rPr>
        <w:t>L'ONUDI a confirmé que la capacité (brute) du réservoir cryogénique est de 39,93</w:t>
      </w:r>
      <w:r>
        <w:rPr>
          <w:lang w:val="fr-CA"/>
        </w:rPr>
        <w:t> </w:t>
      </w:r>
      <w:r w:rsidRPr="000D0D19">
        <w:rPr>
          <w:lang w:val="fr-CA"/>
        </w:rPr>
        <w:t xml:space="preserve">tm de HFC-23. Afin de </w:t>
      </w:r>
      <w:r>
        <w:rPr>
          <w:lang w:val="fr-CA"/>
        </w:rPr>
        <w:t>maintenir le creux</w:t>
      </w:r>
      <w:r w:rsidRPr="000D0D19">
        <w:rPr>
          <w:lang w:val="fr-CA"/>
        </w:rPr>
        <w:t xml:space="preserve"> (l'espace de vapeur volumétrique au-dessus du liquide dans le réservoir) et d'assurer la sécurité, le réservoir ne devrait pas être rempli à plus de 80 % de la cap</w:t>
      </w:r>
      <w:r>
        <w:rPr>
          <w:lang w:val="fr-CA"/>
        </w:rPr>
        <w:t>acité brute, soit jusqu'à 31,95 </w:t>
      </w:r>
      <w:r w:rsidRPr="000D0D19">
        <w:rPr>
          <w:lang w:val="fr-CA"/>
        </w:rPr>
        <w:t>tm.</w:t>
      </w:r>
    </w:p>
    <w:p w14:paraId="5B3CB098" w14:textId="77777777" w:rsidR="00963F10" w:rsidRPr="000D0D19" w:rsidRDefault="00963F10" w:rsidP="00963F10">
      <w:pPr>
        <w:pStyle w:val="Heading1"/>
        <w:rPr>
          <w:lang w:val="fr-CA"/>
        </w:rPr>
      </w:pPr>
      <w:r w:rsidRPr="000D0D19">
        <w:rPr>
          <w:lang w:val="fr-CA"/>
        </w:rPr>
        <w:t xml:space="preserve">En ce qui concerne l'état du réservoir cryogénique, l'ONUDI a confirmé que si le réservoir avait été reconnecté et que </w:t>
      </w:r>
      <w:r>
        <w:rPr>
          <w:lang w:val="fr-CA"/>
        </w:rPr>
        <w:t xml:space="preserve">la </w:t>
      </w:r>
      <w:r w:rsidRPr="000D0D19">
        <w:rPr>
          <w:lang w:val="fr-CA"/>
        </w:rPr>
        <w:t>FIASA stockerait le sous-produit HFC-23 généré dans le réservoir cryogénique une fois que l'entreprise aurait recommencé à produire du HCFC-22, le réservoir n'avait été</w:t>
      </w:r>
      <w:r>
        <w:rPr>
          <w:lang w:val="fr-CA"/>
        </w:rPr>
        <w:t xml:space="preserve"> reconnecté qu'en mars ou avril </w:t>
      </w:r>
      <w:r w:rsidRPr="000D0D19">
        <w:rPr>
          <w:lang w:val="fr-CA"/>
        </w:rPr>
        <w:t>2022. Entre le 1</w:t>
      </w:r>
      <w:r w:rsidRPr="000D0D19">
        <w:rPr>
          <w:vertAlign w:val="superscript"/>
          <w:lang w:val="fr-CA"/>
        </w:rPr>
        <w:t>er</w:t>
      </w:r>
      <w:r>
        <w:rPr>
          <w:lang w:val="fr-CA"/>
        </w:rPr>
        <w:t> </w:t>
      </w:r>
      <w:r w:rsidRPr="000D0D19">
        <w:rPr>
          <w:lang w:val="fr-CA"/>
        </w:rPr>
        <w:t>janvier</w:t>
      </w:r>
      <w:r>
        <w:rPr>
          <w:lang w:val="fr-CA"/>
        </w:rPr>
        <w:t> </w:t>
      </w:r>
      <w:r w:rsidRPr="000D0D19">
        <w:rPr>
          <w:lang w:val="fr-CA"/>
        </w:rPr>
        <w:t>2022 et le moment où le réservoir a été re</w:t>
      </w:r>
      <w:r>
        <w:rPr>
          <w:lang w:val="fr-CA"/>
        </w:rPr>
        <w:t>connecté</w:t>
      </w:r>
      <w:r w:rsidRPr="000D0D19">
        <w:rPr>
          <w:lang w:val="fr-CA"/>
        </w:rPr>
        <w:t xml:space="preserve">, </w:t>
      </w:r>
      <w:r>
        <w:rPr>
          <w:lang w:val="fr-CA"/>
        </w:rPr>
        <w:t xml:space="preserve">la </w:t>
      </w:r>
      <w:r w:rsidRPr="000D0D19">
        <w:rPr>
          <w:lang w:val="fr-CA"/>
        </w:rPr>
        <w:t>FIASA a produit environ 534,3</w:t>
      </w:r>
      <w:r>
        <w:rPr>
          <w:lang w:val="fr-CA"/>
        </w:rPr>
        <w:t> </w:t>
      </w:r>
      <w:r w:rsidRPr="000D0D19">
        <w:rPr>
          <w:lang w:val="fr-CA"/>
        </w:rPr>
        <w:t>tm de HCFC-22</w:t>
      </w:r>
      <w:r>
        <w:rPr>
          <w:lang w:val="fr-CA"/>
        </w:rPr>
        <w:t>;</w:t>
      </w:r>
      <w:r w:rsidRPr="000D0D19">
        <w:rPr>
          <w:lang w:val="fr-CA"/>
        </w:rPr>
        <w:t xml:space="preserve"> la quantité non précisée de sous-produit</w:t>
      </w:r>
      <w:r>
        <w:rPr>
          <w:lang w:val="fr-CA"/>
        </w:rPr>
        <w:t> </w:t>
      </w:r>
      <w:r w:rsidRPr="000D0D19">
        <w:rPr>
          <w:lang w:val="fr-CA"/>
        </w:rPr>
        <w:t>HFC-23 générée pendant cette période a été rejetée dans l'atmosphère. Par conséquent, au moment de la finalisation du présent document, le réservoir cryogénique était vide.</w:t>
      </w:r>
    </w:p>
    <w:p w14:paraId="424FAB48" w14:textId="77777777" w:rsidR="00963F10" w:rsidRPr="0099461A" w:rsidRDefault="00963F10" w:rsidP="00963F10">
      <w:pPr>
        <w:rPr>
          <w:u w:val="single"/>
          <w:lang w:val="fr-CA"/>
        </w:rPr>
      </w:pPr>
      <w:r w:rsidRPr="0099461A">
        <w:rPr>
          <w:u w:val="single"/>
          <w:lang w:val="fr-CA"/>
        </w:rPr>
        <w:t xml:space="preserve">Souplesse dans </w:t>
      </w:r>
      <w:r>
        <w:rPr>
          <w:u w:val="single"/>
          <w:lang w:val="fr-CA"/>
        </w:rPr>
        <w:t xml:space="preserve">la fixation de </w:t>
      </w:r>
      <w:r w:rsidRPr="0099461A">
        <w:rPr>
          <w:u w:val="single"/>
          <w:lang w:val="fr-CA"/>
        </w:rPr>
        <w:t>la date de début de l'élimination du HFC-23.</w:t>
      </w:r>
    </w:p>
    <w:p w14:paraId="056AD0DC" w14:textId="77777777" w:rsidR="00963F10" w:rsidRPr="0099461A" w:rsidRDefault="00963F10" w:rsidP="00963F10">
      <w:pPr>
        <w:rPr>
          <w:lang w:val="fr-CA"/>
        </w:rPr>
      </w:pPr>
    </w:p>
    <w:p w14:paraId="6DDB4A61" w14:textId="77777777" w:rsidR="00963F10" w:rsidRPr="0099461A" w:rsidRDefault="00963F10" w:rsidP="00963F10">
      <w:pPr>
        <w:pStyle w:val="Heading1"/>
        <w:rPr>
          <w:lang w:val="fr-CA"/>
        </w:rPr>
      </w:pPr>
      <w:r>
        <w:rPr>
          <w:lang w:val="fr-CA"/>
        </w:rPr>
        <w:t>L</w:t>
      </w:r>
      <w:r w:rsidRPr="0099461A">
        <w:rPr>
          <w:lang w:val="fr-CA"/>
        </w:rPr>
        <w:t>ors de la 88</w:t>
      </w:r>
      <w:r w:rsidRPr="0099461A">
        <w:rPr>
          <w:vertAlign w:val="superscript"/>
          <w:lang w:val="fr-CA"/>
        </w:rPr>
        <w:t>e</w:t>
      </w:r>
      <w:r>
        <w:rPr>
          <w:lang w:val="fr-CA"/>
        </w:rPr>
        <w:t> </w:t>
      </w:r>
      <w:r w:rsidRPr="0099461A">
        <w:rPr>
          <w:lang w:val="fr-CA"/>
        </w:rPr>
        <w:t>réunion, le Secrétariat avait noté qu'un réservoir cryogénique pouvait être utilisé pour stocker le sous-produit</w:t>
      </w:r>
      <w:r>
        <w:rPr>
          <w:lang w:val="fr-CA"/>
        </w:rPr>
        <w:t> </w:t>
      </w:r>
      <w:r w:rsidRPr="0099461A">
        <w:rPr>
          <w:lang w:val="fr-CA"/>
        </w:rPr>
        <w:t xml:space="preserve">HFC-23 pendant que la </w:t>
      </w:r>
      <w:r>
        <w:rPr>
          <w:lang w:val="fr-CA"/>
        </w:rPr>
        <w:t>remise à neuf</w:t>
      </w:r>
      <w:r w:rsidRPr="0099461A">
        <w:rPr>
          <w:lang w:val="fr-CA"/>
        </w:rPr>
        <w:t xml:space="preserve"> de l'incinérateur était en cours </w:t>
      </w:r>
      <w:r>
        <w:rPr>
          <w:lang w:val="fr-CA"/>
        </w:rPr>
        <w:t>à la</w:t>
      </w:r>
      <w:r w:rsidRPr="0099461A">
        <w:rPr>
          <w:lang w:val="fr-CA"/>
        </w:rPr>
        <w:t xml:space="preserve"> FIASA, mais que cela ne pouvait pas être fait chez </w:t>
      </w:r>
      <w:proofErr w:type="spellStart"/>
      <w:r w:rsidRPr="0099461A">
        <w:rPr>
          <w:lang w:val="fr-CA"/>
        </w:rPr>
        <w:t>Quimobásicos</w:t>
      </w:r>
      <w:proofErr w:type="spellEnd"/>
      <w:r w:rsidRPr="0099461A">
        <w:rPr>
          <w:lang w:val="fr-CA"/>
        </w:rPr>
        <w:t xml:space="preserve">; le Secrétariat avait </w:t>
      </w:r>
      <w:r>
        <w:rPr>
          <w:lang w:val="fr-CA"/>
        </w:rPr>
        <w:t>donc indiqué lors de cette même</w:t>
      </w:r>
      <w:r w:rsidRPr="0099461A">
        <w:rPr>
          <w:lang w:val="fr-CA"/>
        </w:rPr>
        <w:t xml:space="preserve"> réunion que la </w:t>
      </w:r>
      <w:r>
        <w:rPr>
          <w:lang w:val="fr-CA"/>
        </w:rPr>
        <w:t>« </w:t>
      </w:r>
      <w:r w:rsidRPr="0099461A">
        <w:rPr>
          <w:lang w:val="fr-CA"/>
        </w:rPr>
        <w:t>même</w:t>
      </w:r>
      <w:r>
        <w:rPr>
          <w:lang w:val="fr-CA"/>
        </w:rPr>
        <w:t> » souplesse</w:t>
      </w:r>
      <w:r w:rsidRPr="0099461A">
        <w:rPr>
          <w:lang w:val="fr-CA"/>
        </w:rPr>
        <w:t xml:space="preserve"> ne signifiait pas que </w:t>
      </w:r>
      <w:r>
        <w:rPr>
          <w:lang w:val="fr-CA"/>
        </w:rPr>
        <w:t>l’élimination</w:t>
      </w:r>
      <w:r w:rsidRPr="0099461A">
        <w:rPr>
          <w:lang w:val="fr-CA"/>
        </w:rPr>
        <w:t xml:space="preserve"> devait commencer </w:t>
      </w:r>
      <w:r>
        <w:rPr>
          <w:lang w:val="fr-CA"/>
        </w:rPr>
        <w:t xml:space="preserve">d’ici le </w:t>
      </w:r>
      <w:r w:rsidRPr="0099461A">
        <w:rPr>
          <w:lang w:val="fr-CA"/>
        </w:rPr>
        <w:t>1</w:t>
      </w:r>
      <w:r w:rsidRPr="0099461A">
        <w:rPr>
          <w:vertAlign w:val="superscript"/>
          <w:lang w:val="fr-CA"/>
        </w:rPr>
        <w:t>er</w:t>
      </w:r>
      <w:r>
        <w:rPr>
          <w:lang w:val="fr-CA"/>
        </w:rPr>
        <w:t> mai </w:t>
      </w:r>
      <w:r w:rsidRPr="0099461A">
        <w:rPr>
          <w:lang w:val="fr-CA"/>
        </w:rPr>
        <w:t xml:space="preserve">2022. </w:t>
      </w:r>
      <w:r>
        <w:rPr>
          <w:lang w:val="fr-CA"/>
        </w:rPr>
        <w:t>La</w:t>
      </w:r>
      <w:r w:rsidRPr="0099461A">
        <w:rPr>
          <w:lang w:val="fr-CA"/>
        </w:rPr>
        <w:t xml:space="preserve"> FIASA stockerait le sous-produit</w:t>
      </w:r>
      <w:r>
        <w:rPr>
          <w:lang w:val="fr-CA"/>
        </w:rPr>
        <w:t> </w:t>
      </w:r>
      <w:r w:rsidRPr="0099461A">
        <w:rPr>
          <w:lang w:val="fr-CA"/>
        </w:rPr>
        <w:t>HFC-23 dans son réservoir cryogénique à partir du 1</w:t>
      </w:r>
      <w:r w:rsidRPr="0099461A">
        <w:rPr>
          <w:vertAlign w:val="superscript"/>
          <w:lang w:val="fr-CA"/>
        </w:rPr>
        <w:t>er</w:t>
      </w:r>
      <w:r>
        <w:rPr>
          <w:lang w:val="fr-CA"/>
        </w:rPr>
        <w:t> </w:t>
      </w:r>
      <w:r w:rsidRPr="0099461A">
        <w:rPr>
          <w:lang w:val="fr-CA"/>
        </w:rPr>
        <w:t>janvier</w:t>
      </w:r>
      <w:r>
        <w:rPr>
          <w:lang w:val="fr-CA"/>
        </w:rPr>
        <w:t> </w:t>
      </w:r>
      <w:r w:rsidRPr="0099461A">
        <w:rPr>
          <w:lang w:val="fr-CA"/>
        </w:rPr>
        <w:t xml:space="preserve">2022, et le gouvernement </w:t>
      </w:r>
      <w:r>
        <w:rPr>
          <w:lang w:val="fr-CA"/>
        </w:rPr>
        <w:t>de l’Argentine</w:t>
      </w:r>
      <w:r w:rsidRPr="0099461A">
        <w:rPr>
          <w:lang w:val="fr-CA"/>
        </w:rPr>
        <w:t xml:space="preserve"> aurait la souplesse nécessaire </w:t>
      </w:r>
      <w:r>
        <w:rPr>
          <w:lang w:val="fr-CA"/>
        </w:rPr>
        <w:t>d’</w:t>
      </w:r>
      <w:r w:rsidRPr="0099461A">
        <w:rPr>
          <w:lang w:val="fr-CA"/>
        </w:rPr>
        <w:t>émettre</w:t>
      </w:r>
      <w:r>
        <w:rPr>
          <w:lang w:val="fr-CA"/>
        </w:rPr>
        <w:t>,</w:t>
      </w:r>
      <w:r w:rsidRPr="0099461A">
        <w:rPr>
          <w:lang w:val="fr-CA"/>
        </w:rPr>
        <w:t xml:space="preserve"> en 2022</w:t>
      </w:r>
      <w:r>
        <w:rPr>
          <w:lang w:val="fr-CA"/>
        </w:rPr>
        <w:t>,</w:t>
      </w:r>
      <w:r w:rsidRPr="0099461A">
        <w:rPr>
          <w:lang w:val="fr-CA"/>
        </w:rPr>
        <w:t xml:space="preserve"> la quantité de sous-produit HFC-23 générée pendant la période </w:t>
      </w:r>
      <w:r>
        <w:rPr>
          <w:lang w:val="fr-CA"/>
        </w:rPr>
        <w:t xml:space="preserve">allant </w:t>
      </w:r>
      <w:r w:rsidRPr="0099461A">
        <w:rPr>
          <w:lang w:val="fr-CA"/>
        </w:rPr>
        <w:t>du 1</w:t>
      </w:r>
      <w:r w:rsidRPr="00E15440">
        <w:rPr>
          <w:vertAlign w:val="superscript"/>
          <w:lang w:val="fr-CA"/>
        </w:rPr>
        <w:t>er</w:t>
      </w:r>
      <w:r>
        <w:rPr>
          <w:lang w:val="fr-CA"/>
        </w:rPr>
        <w:t> </w:t>
      </w:r>
      <w:r w:rsidRPr="0099461A">
        <w:rPr>
          <w:lang w:val="fr-CA"/>
        </w:rPr>
        <w:t>janvier</w:t>
      </w:r>
      <w:r>
        <w:rPr>
          <w:lang w:val="fr-CA"/>
        </w:rPr>
        <w:t> </w:t>
      </w:r>
      <w:r w:rsidRPr="0099461A">
        <w:rPr>
          <w:lang w:val="fr-CA"/>
        </w:rPr>
        <w:t>2022 au 30</w:t>
      </w:r>
      <w:r>
        <w:rPr>
          <w:lang w:val="fr-CA"/>
        </w:rPr>
        <w:t> </w:t>
      </w:r>
      <w:r w:rsidRPr="0099461A">
        <w:rPr>
          <w:lang w:val="fr-CA"/>
        </w:rPr>
        <w:t>avril</w:t>
      </w:r>
      <w:r>
        <w:rPr>
          <w:lang w:val="fr-CA"/>
        </w:rPr>
        <w:t> </w:t>
      </w:r>
      <w:r w:rsidRPr="0099461A">
        <w:rPr>
          <w:lang w:val="fr-CA"/>
        </w:rPr>
        <w:t>2022</w:t>
      </w:r>
      <w:r>
        <w:rPr>
          <w:lang w:val="fr-CA"/>
        </w:rPr>
        <w:t>,</w:t>
      </w:r>
      <w:r w:rsidRPr="0099461A">
        <w:rPr>
          <w:lang w:val="fr-CA"/>
        </w:rPr>
        <w:t xml:space="preserve"> si la capacité maximale du réservoir cryogénique était atteinte avant l'achèvement de la </w:t>
      </w:r>
      <w:r>
        <w:rPr>
          <w:lang w:val="fr-CA"/>
        </w:rPr>
        <w:t>remise à neuf</w:t>
      </w:r>
      <w:r w:rsidRPr="0099461A">
        <w:rPr>
          <w:lang w:val="fr-CA"/>
        </w:rPr>
        <w:t xml:space="preserve"> de l'incinérateur</w:t>
      </w:r>
      <w:r>
        <w:rPr>
          <w:lang w:val="fr-CA"/>
        </w:rPr>
        <w:t xml:space="preserve">, </w:t>
      </w:r>
      <w:r w:rsidRPr="0099461A">
        <w:rPr>
          <w:lang w:val="fr-CA"/>
        </w:rPr>
        <w:t xml:space="preserve">c.-à-d., </w:t>
      </w:r>
      <w:r>
        <w:rPr>
          <w:lang w:val="fr-CA"/>
        </w:rPr>
        <w:t>que l</w:t>
      </w:r>
      <w:r w:rsidRPr="0099461A">
        <w:rPr>
          <w:lang w:val="fr-CA"/>
        </w:rPr>
        <w:t xml:space="preserve">'Argentine serait en conformité avec son accord et aucune pénalité ne serait appliquée si </w:t>
      </w:r>
      <w:r>
        <w:rPr>
          <w:lang w:val="fr-CA"/>
        </w:rPr>
        <w:t xml:space="preserve">la </w:t>
      </w:r>
      <w:r w:rsidRPr="0099461A">
        <w:rPr>
          <w:lang w:val="fr-CA"/>
        </w:rPr>
        <w:t>FIASA émettait du sous-produit HFC-23 en 2022</w:t>
      </w:r>
      <w:r>
        <w:rPr>
          <w:lang w:val="fr-CA"/>
        </w:rPr>
        <w:t>,</w:t>
      </w:r>
      <w:r w:rsidRPr="0099461A">
        <w:rPr>
          <w:lang w:val="fr-CA"/>
        </w:rPr>
        <w:t xml:space="preserve"> parce que son réservoir cryogénique était plein et que la remise à neuf de l'incinérateur n'était pas encore achevée, </w:t>
      </w:r>
      <w:r>
        <w:rPr>
          <w:lang w:val="fr-CA"/>
        </w:rPr>
        <w:t>à condition</w:t>
      </w:r>
      <w:r w:rsidRPr="0099461A">
        <w:rPr>
          <w:lang w:val="fr-CA"/>
        </w:rPr>
        <w:t xml:space="preserve"> que la quantité de sous-produit HFC-23 émise en 2022 soit égale ou inférieure à celle générée au cours de la période du 1</w:t>
      </w:r>
      <w:r w:rsidRPr="00E15440">
        <w:rPr>
          <w:vertAlign w:val="superscript"/>
          <w:lang w:val="fr-CA"/>
        </w:rPr>
        <w:t>er</w:t>
      </w:r>
      <w:r>
        <w:rPr>
          <w:lang w:val="fr-CA"/>
        </w:rPr>
        <w:t> </w:t>
      </w:r>
      <w:r w:rsidRPr="0099461A">
        <w:rPr>
          <w:lang w:val="fr-CA"/>
        </w:rPr>
        <w:t>janvier</w:t>
      </w:r>
      <w:r>
        <w:rPr>
          <w:lang w:val="fr-CA"/>
        </w:rPr>
        <w:t> </w:t>
      </w:r>
      <w:r w:rsidRPr="0099461A">
        <w:rPr>
          <w:lang w:val="fr-CA"/>
        </w:rPr>
        <w:t>2022 au 30</w:t>
      </w:r>
      <w:r>
        <w:rPr>
          <w:lang w:val="fr-CA"/>
        </w:rPr>
        <w:t> </w:t>
      </w:r>
      <w:r w:rsidRPr="0099461A">
        <w:rPr>
          <w:lang w:val="fr-CA"/>
        </w:rPr>
        <w:t>avril</w:t>
      </w:r>
      <w:r>
        <w:rPr>
          <w:lang w:val="fr-CA"/>
        </w:rPr>
        <w:t> </w:t>
      </w:r>
      <w:r w:rsidRPr="0099461A">
        <w:rPr>
          <w:lang w:val="fr-CA"/>
        </w:rPr>
        <w:t xml:space="preserve">2022. </w:t>
      </w:r>
      <w:r w:rsidRPr="00085F79">
        <w:rPr>
          <w:rStyle w:val="FootnoteReference"/>
        </w:rPr>
        <w:footnoteReference w:id="37"/>
      </w:r>
      <w:r>
        <w:rPr>
          <w:lang w:val="fr-CA"/>
        </w:rPr>
        <w:t xml:space="preserve"> </w:t>
      </w:r>
      <w:r w:rsidRPr="0099461A">
        <w:rPr>
          <w:lang w:val="fr-CA"/>
        </w:rPr>
        <w:t xml:space="preserve">Cette souplesse </w:t>
      </w:r>
      <w:r>
        <w:rPr>
          <w:lang w:val="fr-CA"/>
        </w:rPr>
        <w:t>est bien exposée</w:t>
      </w:r>
      <w:r w:rsidRPr="0099461A">
        <w:rPr>
          <w:lang w:val="fr-CA"/>
        </w:rPr>
        <w:t xml:space="preserve"> au paragraphe</w:t>
      </w:r>
      <w:r>
        <w:rPr>
          <w:lang w:val="fr-CA"/>
        </w:rPr>
        <w:t> </w:t>
      </w:r>
      <w:r w:rsidRPr="0099461A">
        <w:rPr>
          <w:lang w:val="fr-CA"/>
        </w:rPr>
        <w:t>12 de l'accord entre le gouvernement et le Comité exécutif.</w:t>
      </w:r>
    </w:p>
    <w:p w14:paraId="10C16FDD" w14:textId="77777777" w:rsidR="00963F10" w:rsidRPr="0099461A" w:rsidRDefault="00963F10" w:rsidP="00963F10">
      <w:pPr>
        <w:pStyle w:val="Heading1"/>
        <w:rPr>
          <w:lang w:val="fr-CA"/>
        </w:rPr>
      </w:pPr>
      <w:r w:rsidRPr="0099461A">
        <w:rPr>
          <w:lang w:val="fr-CA"/>
        </w:rPr>
        <w:t xml:space="preserve">Le Secrétariat </w:t>
      </w:r>
      <w:r>
        <w:rPr>
          <w:lang w:val="fr-CA"/>
        </w:rPr>
        <w:t>se réjouit du fait</w:t>
      </w:r>
      <w:r w:rsidRPr="0099461A">
        <w:rPr>
          <w:lang w:val="fr-CA"/>
        </w:rPr>
        <w:t xml:space="preserve"> que </w:t>
      </w:r>
      <w:r>
        <w:rPr>
          <w:lang w:val="fr-CA"/>
        </w:rPr>
        <w:t xml:space="preserve">la </w:t>
      </w:r>
      <w:r w:rsidRPr="0099461A">
        <w:rPr>
          <w:lang w:val="fr-CA"/>
        </w:rPr>
        <w:t xml:space="preserve">FIASA ait hésité à reconnecter le réservoir cryogénique </w:t>
      </w:r>
      <w:r>
        <w:rPr>
          <w:lang w:val="fr-CA"/>
        </w:rPr>
        <w:t xml:space="preserve">tant </w:t>
      </w:r>
      <w:r w:rsidRPr="0099461A">
        <w:rPr>
          <w:lang w:val="fr-CA"/>
        </w:rPr>
        <w:t xml:space="preserve">qu'un calendrier clair pour la remise à neuf de l'incinérateur </w:t>
      </w:r>
      <w:r>
        <w:rPr>
          <w:lang w:val="fr-CA"/>
        </w:rPr>
        <w:t>n’était</w:t>
      </w:r>
      <w:r w:rsidRPr="0099461A">
        <w:rPr>
          <w:lang w:val="fr-CA"/>
        </w:rPr>
        <w:t xml:space="preserve"> </w:t>
      </w:r>
      <w:r>
        <w:rPr>
          <w:lang w:val="fr-CA"/>
        </w:rPr>
        <w:t xml:space="preserve">pas </w:t>
      </w:r>
      <w:r w:rsidRPr="0099461A">
        <w:rPr>
          <w:lang w:val="fr-CA"/>
        </w:rPr>
        <w:t>établi, et note que le gouvernement,</w:t>
      </w:r>
      <w:r>
        <w:rPr>
          <w:lang w:val="fr-CA"/>
        </w:rPr>
        <w:t xml:space="preserve"> la </w:t>
      </w:r>
      <w:r w:rsidRPr="0099461A">
        <w:rPr>
          <w:lang w:val="fr-CA"/>
        </w:rPr>
        <w:t xml:space="preserve">FIASA et l'ONUDI ont fait de leur mieux pour que l'incinérateur puisse être remis à neuf à temps et que le retard </w:t>
      </w:r>
      <w:r>
        <w:rPr>
          <w:lang w:val="fr-CA"/>
        </w:rPr>
        <w:t>survenu</w:t>
      </w:r>
      <w:r w:rsidRPr="0099461A">
        <w:rPr>
          <w:lang w:val="fr-CA"/>
        </w:rPr>
        <w:t xml:space="preserve"> était indépendant de leur volonté. </w:t>
      </w:r>
    </w:p>
    <w:p w14:paraId="67ED383D" w14:textId="77777777" w:rsidR="00963F10" w:rsidRPr="0099461A" w:rsidRDefault="00963F10" w:rsidP="00963F10">
      <w:pPr>
        <w:pStyle w:val="Heading1"/>
        <w:rPr>
          <w:lang w:val="fr-CA"/>
        </w:rPr>
      </w:pPr>
      <w:r w:rsidRPr="0099461A">
        <w:rPr>
          <w:lang w:val="fr-CA"/>
        </w:rPr>
        <w:t>Comme la quantité de sous-produit</w:t>
      </w:r>
      <w:r>
        <w:rPr>
          <w:lang w:val="fr-CA"/>
        </w:rPr>
        <w:t> </w:t>
      </w:r>
      <w:r w:rsidRPr="0099461A">
        <w:rPr>
          <w:lang w:val="fr-CA"/>
        </w:rPr>
        <w:t xml:space="preserve">HFC-23 </w:t>
      </w:r>
      <w:r>
        <w:rPr>
          <w:lang w:val="fr-CA"/>
        </w:rPr>
        <w:t>rejetée</w:t>
      </w:r>
      <w:r w:rsidRPr="0099461A">
        <w:rPr>
          <w:lang w:val="fr-CA"/>
        </w:rPr>
        <w:t xml:space="preserve"> dans l'atmosphère en 2022 n'est pas encore connue, et qu'il n'est pas </w:t>
      </w:r>
      <w:r>
        <w:rPr>
          <w:lang w:val="fr-CA"/>
        </w:rPr>
        <w:t>évident</w:t>
      </w:r>
      <w:r w:rsidRPr="0099461A">
        <w:rPr>
          <w:lang w:val="fr-CA"/>
        </w:rPr>
        <w:t xml:space="preserve"> </w:t>
      </w:r>
      <w:r>
        <w:rPr>
          <w:lang w:val="fr-CA"/>
        </w:rPr>
        <w:t xml:space="preserve">s’il y </w:t>
      </w:r>
      <w:proofErr w:type="gramStart"/>
      <w:r>
        <w:rPr>
          <w:lang w:val="fr-CA"/>
        </w:rPr>
        <w:t>aura</w:t>
      </w:r>
      <w:proofErr w:type="gramEnd"/>
      <w:r>
        <w:rPr>
          <w:lang w:val="fr-CA"/>
        </w:rPr>
        <w:t xml:space="preserve"> d’autres</w:t>
      </w:r>
      <w:r w:rsidRPr="0099461A">
        <w:rPr>
          <w:lang w:val="fr-CA"/>
        </w:rPr>
        <w:t xml:space="preserve"> </w:t>
      </w:r>
      <w:r>
        <w:rPr>
          <w:lang w:val="fr-CA"/>
        </w:rPr>
        <w:t>mises à l’air libre</w:t>
      </w:r>
      <w:r w:rsidRPr="0099461A">
        <w:rPr>
          <w:lang w:val="fr-CA"/>
        </w:rPr>
        <w:t xml:space="preserve"> en 2022, le Secrétariat a </w:t>
      </w:r>
      <w:r>
        <w:rPr>
          <w:lang w:val="fr-CA"/>
        </w:rPr>
        <w:t>proposé</w:t>
      </w:r>
      <w:r w:rsidRPr="0099461A">
        <w:rPr>
          <w:lang w:val="fr-CA"/>
        </w:rPr>
        <w:t xml:space="preserve"> que l'ONUDI fournisse une mise à jour sur l'état </w:t>
      </w:r>
      <w:r>
        <w:rPr>
          <w:lang w:val="fr-CA"/>
        </w:rPr>
        <w:t xml:space="preserve">d’avancement </w:t>
      </w:r>
      <w:r w:rsidRPr="0099461A">
        <w:rPr>
          <w:lang w:val="fr-CA"/>
        </w:rPr>
        <w:t>du projet à la 92</w:t>
      </w:r>
      <w:r w:rsidRPr="007A2023">
        <w:rPr>
          <w:vertAlign w:val="superscript"/>
          <w:lang w:val="fr-CA"/>
        </w:rPr>
        <w:t>e</w:t>
      </w:r>
      <w:r>
        <w:rPr>
          <w:lang w:val="fr-CA"/>
        </w:rPr>
        <w:t> </w:t>
      </w:r>
      <w:r w:rsidRPr="0099461A">
        <w:rPr>
          <w:lang w:val="fr-CA"/>
        </w:rPr>
        <w:t>réunion</w:t>
      </w:r>
      <w:r>
        <w:rPr>
          <w:lang w:val="fr-CA"/>
        </w:rPr>
        <w:t>,</w:t>
      </w:r>
      <w:r w:rsidRPr="0099461A">
        <w:rPr>
          <w:lang w:val="fr-CA"/>
        </w:rPr>
        <w:t xml:space="preserve"> qui inclurait entre autres la production de HCFC-22 en 2022 et la quantité de </w:t>
      </w:r>
      <w:r>
        <w:rPr>
          <w:lang w:val="fr-CA"/>
        </w:rPr>
        <w:t xml:space="preserve">sous-produit </w:t>
      </w:r>
      <w:r w:rsidRPr="0099461A">
        <w:rPr>
          <w:lang w:val="fr-CA"/>
        </w:rPr>
        <w:t xml:space="preserve">HFC-23 générée, stockée et évacuée. Le Comité exécutif pourrait alors décider de la manière dont il souhaite procéder </w:t>
      </w:r>
      <w:r>
        <w:rPr>
          <w:lang w:val="fr-CA"/>
        </w:rPr>
        <w:t xml:space="preserve">compte tenu de </w:t>
      </w:r>
      <w:r w:rsidRPr="0099461A">
        <w:rPr>
          <w:lang w:val="fr-CA"/>
        </w:rPr>
        <w:t>ces renseignements supplémentaires et de tout</w:t>
      </w:r>
      <w:r>
        <w:rPr>
          <w:lang w:val="fr-CA"/>
        </w:rPr>
        <w:t>e</w:t>
      </w:r>
      <w:r w:rsidRPr="0099461A">
        <w:rPr>
          <w:lang w:val="fr-CA"/>
        </w:rPr>
        <w:t xml:space="preserve"> autre </w:t>
      </w:r>
      <w:r>
        <w:rPr>
          <w:lang w:val="fr-CA"/>
        </w:rPr>
        <w:t>information</w:t>
      </w:r>
      <w:r w:rsidRPr="0099461A">
        <w:rPr>
          <w:lang w:val="fr-CA"/>
        </w:rPr>
        <w:t xml:space="preserve"> qu'il pourrait juger pertinent</w:t>
      </w:r>
      <w:r>
        <w:rPr>
          <w:lang w:val="fr-CA"/>
        </w:rPr>
        <w:t>e</w:t>
      </w:r>
      <w:r w:rsidRPr="0099461A">
        <w:rPr>
          <w:lang w:val="fr-CA"/>
        </w:rPr>
        <w:t xml:space="preserve">. </w:t>
      </w:r>
    </w:p>
    <w:p w14:paraId="12937CE4" w14:textId="77777777" w:rsidR="00963F10" w:rsidRPr="0099461A" w:rsidRDefault="00963F10" w:rsidP="00963F10">
      <w:pPr>
        <w:pStyle w:val="Heading1"/>
        <w:rPr>
          <w:lang w:val="fr-CA"/>
        </w:rPr>
      </w:pPr>
      <w:r w:rsidRPr="0099461A">
        <w:rPr>
          <w:lang w:val="fr-CA"/>
        </w:rPr>
        <w:t xml:space="preserve">Le Secrétariat </w:t>
      </w:r>
      <w:r>
        <w:rPr>
          <w:lang w:val="fr-CA"/>
        </w:rPr>
        <w:t>constate</w:t>
      </w:r>
      <w:r w:rsidRPr="0099461A">
        <w:rPr>
          <w:lang w:val="fr-CA"/>
        </w:rPr>
        <w:t xml:space="preserve"> qu'en fonction du temps nécessaire à la remise </w:t>
      </w:r>
      <w:r>
        <w:rPr>
          <w:lang w:val="fr-CA"/>
        </w:rPr>
        <w:t>à neuf</w:t>
      </w:r>
      <w:r w:rsidRPr="0099461A">
        <w:rPr>
          <w:lang w:val="fr-CA"/>
        </w:rPr>
        <w:t xml:space="preserve"> de l'incinérateur et de la quantité de HCFC-22 produite par </w:t>
      </w:r>
      <w:r>
        <w:rPr>
          <w:lang w:val="fr-CA"/>
        </w:rPr>
        <w:t xml:space="preserve">la </w:t>
      </w:r>
      <w:r w:rsidRPr="0099461A">
        <w:rPr>
          <w:lang w:val="fr-CA"/>
        </w:rPr>
        <w:t>FIASA pour le reste de l'année</w:t>
      </w:r>
      <w:r>
        <w:rPr>
          <w:lang w:val="fr-CA"/>
        </w:rPr>
        <w:t> </w:t>
      </w:r>
      <w:r w:rsidRPr="0099461A">
        <w:rPr>
          <w:lang w:val="fr-CA"/>
        </w:rPr>
        <w:t>2022, la capacité du réservoir cryogénique serait probablement suffisante pour garant</w:t>
      </w:r>
      <w:r>
        <w:rPr>
          <w:lang w:val="fr-CA"/>
        </w:rPr>
        <w:t>ir qu'aucun autre sous-produit </w:t>
      </w:r>
      <w:r w:rsidRPr="0099461A">
        <w:rPr>
          <w:lang w:val="fr-CA"/>
        </w:rPr>
        <w:t xml:space="preserve">HFC-23 ne soit </w:t>
      </w:r>
      <w:r>
        <w:rPr>
          <w:lang w:val="fr-CA"/>
        </w:rPr>
        <w:t xml:space="preserve">rejeté </w:t>
      </w:r>
      <w:r w:rsidRPr="0099461A">
        <w:rPr>
          <w:lang w:val="fr-CA"/>
        </w:rPr>
        <w:t>dans l'atmosphère en 2022.</w:t>
      </w:r>
      <w:r w:rsidRPr="00812C74">
        <w:rPr>
          <w:rStyle w:val="FootnoteReference"/>
          <w:lang w:val="fr-CA"/>
        </w:rPr>
        <w:t xml:space="preserve"> </w:t>
      </w:r>
      <w:r w:rsidRPr="00085F79">
        <w:rPr>
          <w:rStyle w:val="FootnoteReference"/>
        </w:rPr>
        <w:footnoteReference w:id="38"/>
      </w:r>
      <w:r w:rsidRPr="0099461A">
        <w:rPr>
          <w:lang w:val="fr-CA"/>
        </w:rPr>
        <w:t xml:space="preserve"> Dans ce cas, les seules émissions de HFC-23 qui auraient eu lieu se situe</w:t>
      </w:r>
      <w:r>
        <w:rPr>
          <w:lang w:val="fr-CA"/>
        </w:rPr>
        <w:t>raient</w:t>
      </w:r>
      <w:r w:rsidRPr="0099461A">
        <w:rPr>
          <w:lang w:val="fr-CA"/>
        </w:rPr>
        <w:t xml:space="preserve"> dans la même période pour laquelle le </w:t>
      </w:r>
      <w:r>
        <w:rPr>
          <w:lang w:val="fr-CA"/>
        </w:rPr>
        <w:t>g</w:t>
      </w:r>
      <w:r w:rsidRPr="0099461A">
        <w:rPr>
          <w:lang w:val="fr-CA"/>
        </w:rPr>
        <w:t xml:space="preserve">ouvernement </w:t>
      </w:r>
      <w:r>
        <w:rPr>
          <w:lang w:val="fr-CA"/>
        </w:rPr>
        <w:t>du Mexique</w:t>
      </w:r>
      <w:r w:rsidRPr="0099461A">
        <w:rPr>
          <w:lang w:val="fr-CA"/>
        </w:rPr>
        <w:t xml:space="preserve"> a bénéficié d'une souplesse. Le Secrétariat note que les cas de pays </w:t>
      </w:r>
      <w:r>
        <w:rPr>
          <w:lang w:val="fr-CA"/>
        </w:rPr>
        <w:t>visés à l’a</w:t>
      </w:r>
      <w:r w:rsidRPr="0099461A">
        <w:rPr>
          <w:lang w:val="fr-CA"/>
        </w:rPr>
        <w:t>rticle</w:t>
      </w:r>
      <w:r>
        <w:rPr>
          <w:lang w:val="fr-CA"/>
        </w:rPr>
        <w:t> </w:t>
      </w:r>
      <w:r w:rsidRPr="0099461A">
        <w:rPr>
          <w:lang w:val="fr-CA"/>
        </w:rPr>
        <w:t>5 qui ne respectent pas leurs accords ave</w:t>
      </w:r>
      <w:r>
        <w:rPr>
          <w:lang w:val="fr-CA"/>
        </w:rPr>
        <w:t>c le Comité exécutif sont rares</w:t>
      </w:r>
      <w:r w:rsidRPr="0099461A">
        <w:rPr>
          <w:lang w:val="fr-CA"/>
        </w:rPr>
        <w:t xml:space="preserve">; </w:t>
      </w:r>
      <w:r>
        <w:rPr>
          <w:lang w:val="fr-CA"/>
        </w:rPr>
        <w:t>et</w:t>
      </w:r>
      <w:r w:rsidRPr="0099461A">
        <w:rPr>
          <w:lang w:val="fr-CA"/>
        </w:rPr>
        <w:t xml:space="preserve"> le Comité exécutif a parfois fait preuve de souplesse </w:t>
      </w:r>
      <w:r>
        <w:rPr>
          <w:lang w:val="fr-CA"/>
        </w:rPr>
        <w:t>au niveau de</w:t>
      </w:r>
      <w:r w:rsidRPr="0099461A">
        <w:rPr>
          <w:lang w:val="fr-CA"/>
        </w:rPr>
        <w:t xml:space="preserve"> l'imposition d'une </w:t>
      </w:r>
      <w:r>
        <w:rPr>
          <w:lang w:val="fr-CA"/>
        </w:rPr>
        <w:t>sanction</w:t>
      </w:r>
      <w:r w:rsidRPr="0099461A">
        <w:rPr>
          <w:lang w:val="fr-CA"/>
        </w:rPr>
        <w:t xml:space="preserve"> </w:t>
      </w:r>
      <w:r>
        <w:rPr>
          <w:lang w:val="fr-CA"/>
        </w:rPr>
        <w:t>compte tenu</w:t>
      </w:r>
      <w:r w:rsidRPr="0099461A">
        <w:rPr>
          <w:lang w:val="fr-CA"/>
        </w:rPr>
        <w:t xml:space="preserve"> des circonstances particulières. </w:t>
      </w:r>
    </w:p>
    <w:p w14:paraId="3F2AEC8D" w14:textId="77777777" w:rsidR="00963F10" w:rsidRPr="001414E1" w:rsidRDefault="00963F10" w:rsidP="00963F10">
      <w:pPr>
        <w:rPr>
          <w:b/>
          <w:bCs/>
          <w:lang w:val="fr-CA"/>
        </w:rPr>
      </w:pPr>
      <w:r w:rsidRPr="001414E1">
        <w:rPr>
          <w:b/>
          <w:bCs/>
          <w:lang w:val="fr-CA"/>
        </w:rPr>
        <w:t>Recommandation</w:t>
      </w:r>
    </w:p>
    <w:p w14:paraId="6CC1C020" w14:textId="77777777" w:rsidR="00963F10" w:rsidRPr="00085F79" w:rsidRDefault="00963F10" w:rsidP="00963F10">
      <w:pPr>
        <w:rPr>
          <w:b/>
          <w:bCs/>
        </w:rPr>
      </w:pPr>
    </w:p>
    <w:p w14:paraId="5FF482D6" w14:textId="77777777" w:rsidR="00963F10" w:rsidRPr="00557E1C" w:rsidRDefault="00963F10" w:rsidP="00963F10">
      <w:pPr>
        <w:pStyle w:val="Heading1"/>
        <w:rPr>
          <w:lang w:val="fr-CA"/>
        </w:rPr>
      </w:pPr>
      <w:r w:rsidRPr="00557E1C">
        <w:rPr>
          <w:lang w:val="fr-CA"/>
        </w:rPr>
        <w:t>Le Comité exécutif pourrait souhaiter</w:t>
      </w:r>
      <w:r>
        <w:rPr>
          <w:lang w:val="fr-CA"/>
        </w:rPr>
        <w:t> </w:t>
      </w:r>
      <w:r w:rsidRPr="00557E1C">
        <w:rPr>
          <w:lang w:val="fr-CA"/>
        </w:rPr>
        <w:t>:</w:t>
      </w:r>
    </w:p>
    <w:p w14:paraId="424C2548" w14:textId="77777777" w:rsidR="00963F10" w:rsidRPr="00557E1C" w:rsidRDefault="00963F10" w:rsidP="00963F10">
      <w:pPr>
        <w:pStyle w:val="Heading2"/>
        <w:rPr>
          <w:lang w:val="fr-CA"/>
        </w:rPr>
      </w:pPr>
      <w:r>
        <w:rPr>
          <w:lang w:val="fr-CA"/>
        </w:rPr>
        <w:t>Prendre note du</w:t>
      </w:r>
      <w:r w:rsidRPr="00557E1C">
        <w:rPr>
          <w:lang w:val="fr-CA"/>
        </w:rPr>
        <w:t xml:space="preserve"> rapport périodique sur la mise en œuvre du projet de contrôle des émissions de HFC-23 générées par la production de HCFC-22 chez Frio </w:t>
      </w:r>
      <w:proofErr w:type="spellStart"/>
      <w:r w:rsidRPr="00557E1C">
        <w:rPr>
          <w:lang w:val="fr-CA"/>
        </w:rPr>
        <w:t>Industrias</w:t>
      </w:r>
      <w:proofErr w:type="spellEnd"/>
      <w:r w:rsidRPr="00557E1C">
        <w:rPr>
          <w:lang w:val="fr-CA"/>
        </w:rPr>
        <w:t xml:space="preserve"> Argentina, soumis par l'ONUDI et figurant dans le document</w:t>
      </w:r>
      <w:r>
        <w:rPr>
          <w:lang w:val="fr-CA"/>
        </w:rPr>
        <w:t> </w:t>
      </w:r>
      <w:r w:rsidRPr="00557E1C">
        <w:rPr>
          <w:lang w:val="fr-CA"/>
        </w:rPr>
        <w:t>UNEP/OzL.Pro/ExCom/90/9;</w:t>
      </w:r>
    </w:p>
    <w:p w14:paraId="7E3F1751" w14:textId="77777777" w:rsidR="00963F10" w:rsidRPr="00557E1C" w:rsidRDefault="00963F10" w:rsidP="00963F10">
      <w:pPr>
        <w:pStyle w:val="Heading2"/>
        <w:rPr>
          <w:lang w:val="fr-CA"/>
        </w:rPr>
      </w:pPr>
      <w:r w:rsidRPr="00557E1C">
        <w:rPr>
          <w:lang w:val="fr-CA"/>
        </w:rPr>
        <w:t xml:space="preserve">De demander à l'ONUDI de fournir un rapport sur la mise en œuvre du projet mentionné à l'alinéa a) ci-dessus à la première réunion de 2023. Ce rapport </w:t>
      </w:r>
      <w:r>
        <w:rPr>
          <w:lang w:val="fr-CA"/>
        </w:rPr>
        <w:t>porterait</w:t>
      </w:r>
      <w:r w:rsidRPr="00557E1C">
        <w:rPr>
          <w:lang w:val="fr-CA"/>
        </w:rPr>
        <w:t xml:space="preserve"> notamment </w:t>
      </w:r>
      <w:r>
        <w:rPr>
          <w:lang w:val="fr-CA"/>
        </w:rPr>
        <w:t xml:space="preserve">sur </w:t>
      </w:r>
      <w:r w:rsidRPr="00557E1C">
        <w:rPr>
          <w:lang w:val="fr-CA"/>
        </w:rPr>
        <w:t>la production de HCFC-22 en 2022 et la quantité de sous-produit</w:t>
      </w:r>
      <w:r>
        <w:rPr>
          <w:lang w:val="fr-CA"/>
        </w:rPr>
        <w:t> </w:t>
      </w:r>
      <w:r w:rsidRPr="00557E1C">
        <w:rPr>
          <w:lang w:val="fr-CA"/>
        </w:rPr>
        <w:t xml:space="preserve">HFC-23 générée, stockée et </w:t>
      </w:r>
      <w:r>
        <w:rPr>
          <w:lang w:val="fr-CA"/>
        </w:rPr>
        <w:t>rejetée</w:t>
      </w:r>
      <w:r w:rsidRPr="00557E1C">
        <w:rPr>
          <w:lang w:val="fr-CA"/>
        </w:rPr>
        <w:t xml:space="preserve"> dans l'atmosphère.</w:t>
      </w:r>
    </w:p>
    <w:p w14:paraId="556E684C" w14:textId="77777777" w:rsidR="00963F10" w:rsidRPr="00557E1C" w:rsidRDefault="00963F10" w:rsidP="00963F10">
      <w:pPr>
        <w:keepNext/>
        <w:keepLines/>
        <w:rPr>
          <w:lang w:val="fr-CA"/>
        </w:rPr>
      </w:pPr>
    </w:p>
    <w:p w14:paraId="07A41EC7" w14:textId="2B6DD200" w:rsidR="00963F10" w:rsidRPr="00557E1C" w:rsidRDefault="00963F10" w:rsidP="00963F10">
      <w:pPr>
        <w:pStyle w:val="ListParagraph"/>
        <w:keepNext/>
        <w:keepLines/>
        <w:numPr>
          <w:ilvl w:val="0"/>
          <w:numId w:val="23"/>
        </w:numPr>
        <w:rPr>
          <w:b/>
          <w:sz w:val="24"/>
          <w:szCs w:val="24"/>
          <w:lang w:val="fr-CA"/>
        </w:rPr>
      </w:pPr>
      <w:r w:rsidRPr="00557E1C">
        <w:rPr>
          <w:b/>
          <w:sz w:val="24"/>
          <w:szCs w:val="24"/>
          <w:lang w:val="fr-CA"/>
        </w:rPr>
        <w:t xml:space="preserve">Projets relatifs aux solutions à faible </w:t>
      </w:r>
      <w:r w:rsidR="001414E1">
        <w:rPr>
          <w:b/>
          <w:sz w:val="24"/>
          <w:szCs w:val="24"/>
          <w:lang w:val="fr-CA"/>
        </w:rPr>
        <w:t>PRG</w:t>
      </w:r>
    </w:p>
    <w:p w14:paraId="3E3D72BD" w14:textId="77777777" w:rsidR="00963F10" w:rsidRPr="00557E1C" w:rsidRDefault="00963F10" w:rsidP="00963F10">
      <w:pPr>
        <w:keepNext/>
        <w:keepLines/>
        <w:rPr>
          <w:lang w:val="fr-CA"/>
        </w:rPr>
      </w:pPr>
    </w:p>
    <w:p w14:paraId="56678A36" w14:textId="77777777" w:rsidR="00963F10" w:rsidRPr="00557E1C" w:rsidRDefault="00963F10" w:rsidP="00963F10">
      <w:pPr>
        <w:rPr>
          <w:b/>
          <w:bCs/>
          <w:u w:val="single"/>
          <w:lang w:val="fr-CA"/>
        </w:rPr>
      </w:pPr>
      <w:r>
        <w:rPr>
          <w:b/>
          <w:bCs/>
          <w:u w:val="single"/>
          <w:lang w:val="fr-CA"/>
        </w:rPr>
        <w:t>Arabie saoudite </w:t>
      </w:r>
      <w:r w:rsidRPr="00557E1C">
        <w:rPr>
          <w:b/>
          <w:bCs/>
          <w:u w:val="single"/>
          <w:lang w:val="fr-CA"/>
        </w:rPr>
        <w:t xml:space="preserve">: Projet de démonstration </w:t>
      </w:r>
      <w:r>
        <w:rPr>
          <w:b/>
          <w:bCs/>
          <w:u w:val="single"/>
          <w:lang w:val="fr-CA"/>
        </w:rPr>
        <w:t>visant à promouvoir l</w:t>
      </w:r>
      <w:r w:rsidRPr="00557E1C">
        <w:rPr>
          <w:b/>
          <w:bCs/>
          <w:u w:val="single"/>
          <w:lang w:val="fr-CA"/>
        </w:rPr>
        <w:t xml:space="preserve">es frigorigènes à base de HFO à faible potentiel de réchauffement de la planète pour le secteur de la climatisation </w:t>
      </w:r>
      <w:r>
        <w:rPr>
          <w:b/>
          <w:bCs/>
          <w:u w:val="single"/>
          <w:lang w:val="fr-CA"/>
        </w:rPr>
        <w:t xml:space="preserve">dans les pays </w:t>
      </w:r>
      <w:r w:rsidRPr="00557E1C">
        <w:rPr>
          <w:b/>
          <w:bCs/>
          <w:u w:val="single"/>
          <w:lang w:val="fr-CA"/>
        </w:rPr>
        <w:t xml:space="preserve">à température ambiante élevée (rapport périodique) (ONUDI) </w:t>
      </w:r>
    </w:p>
    <w:p w14:paraId="4BAA614E" w14:textId="77777777" w:rsidR="00963F10" w:rsidRPr="00557E1C" w:rsidRDefault="00963F10" w:rsidP="00963F10">
      <w:pPr>
        <w:jc w:val="left"/>
        <w:rPr>
          <w:lang w:val="fr-CA"/>
        </w:rPr>
      </w:pPr>
    </w:p>
    <w:p w14:paraId="6263CAD8" w14:textId="77777777" w:rsidR="00963F10" w:rsidRPr="001414E1" w:rsidRDefault="00963F10" w:rsidP="00963F10">
      <w:pPr>
        <w:jc w:val="left"/>
        <w:rPr>
          <w:b/>
          <w:bCs/>
          <w:lang w:val="fr-CA"/>
        </w:rPr>
      </w:pPr>
      <w:r w:rsidRPr="001414E1">
        <w:rPr>
          <w:b/>
          <w:bCs/>
          <w:lang w:val="fr-CA"/>
        </w:rPr>
        <w:t>Contexte</w:t>
      </w:r>
    </w:p>
    <w:p w14:paraId="2969B4AF" w14:textId="77777777" w:rsidR="00963F10" w:rsidRPr="004C0892" w:rsidRDefault="00963F10" w:rsidP="00963F10">
      <w:pPr>
        <w:jc w:val="left"/>
      </w:pPr>
    </w:p>
    <w:p w14:paraId="57456CD9" w14:textId="255783AB" w:rsidR="00963F10" w:rsidRPr="00557E1C" w:rsidRDefault="00963F10" w:rsidP="00963F10">
      <w:pPr>
        <w:pStyle w:val="Heading1"/>
        <w:rPr>
          <w:lang w:val="fr-CA"/>
        </w:rPr>
      </w:pPr>
      <w:r w:rsidRPr="00557E1C">
        <w:rPr>
          <w:lang w:val="fr-CA"/>
        </w:rPr>
        <w:t xml:space="preserve">Le projet a été approuvé </w:t>
      </w:r>
      <w:r>
        <w:rPr>
          <w:lang w:val="fr-CA"/>
        </w:rPr>
        <w:t>lors de</w:t>
      </w:r>
      <w:r w:rsidRPr="00557E1C">
        <w:rPr>
          <w:lang w:val="fr-CA"/>
        </w:rPr>
        <w:t xml:space="preserve"> la 76</w:t>
      </w:r>
      <w:r w:rsidRPr="008612B7">
        <w:rPr>
          <w:vertAlign w:val="superscript"/>
          <w:lang w:val="fr-CA"/>
        </w:rPr>
        <w:t>e</w:t>
      </w:r>
      <w:r>
        <w:rPr>
          <w:vertAlign w:val="superscript"/>
          <w:lang w:val="fr-CA"/>
        </w:rPr>
        <w:t> </w:t>
      </w:r>
      <w:r w:rsidRPr="00557E1C">
        <w:rPr>
          <w:lang w:val="fr-CA"/>
        </w:rPr>
        <w:t xml:space="preserve">réunion pour </w:t>
      </w:r>
      <w:r>
        <w:rPr>
          <w:lang w:val="fr-CA"/>
        </w:rPr>
        <w:t xml:space="preserve">la fabrication, la mise à l’essai et l’optimisation </w:t>
      </w:r>
      <w:r w:rsidRPr="00557E1C">
        <w:rPr>
          <w:lang w:val="fr-CA"/>
        </w:rPr>
        <w:t>de climatiseurs</w:t>
      </w:r>
      <w:r>
        <w:rPr>
          <w:lang w:val="fr-CA"/>
        </w:rPr>
        <w:t xml:space="preserve"> pilotes utilisant </w:t>
      </w:r>
      <w:r w:rsidRPr="00557E1C">
        <w:rPr>
          <w:lang w:val="fr-CA"/>
        </w:rPr>
        <w:t>des mélanges HFO/HFC à faible potentiel de réchauffement de la planète (</w:t>
      </w:r>
      <w:r w:rsidR="0026119A">
        <w:rPr>
          <w:lang w:val="fr-CA"/>
        </w:rPr>
        <w:t>PRG</w:t>
      </w:r>
      <w:r w:rsidRPr="00557E1C">
        <w:rPr>
          <w:lang w:val="fr-CA"/>
        </w:rPr>
        <w:t xml:space="preserve">), ainsi que du R-290, </w:t>
      </w:r>
      <w:r>
        <w:rPr>
          <w:lang w:val="fr-CA"/>
        </w:rPr>
        <w:t>en vue de lancer</w:t>
      </w:r>
      <w:r w:rsidRPr="00557E1C">
        <w:rPr>
          <w:lang w:val="fr-CA"/>
        </w:rPr>
        <w:t xml:space="preserve"> une production de démonstration et </w:t>
      </w:r>
      <w:r>
        <w:rPr>
          <w:lang w:val="fr-CA"/>
        </w:rPr>
        <w:t>de reconvertir une chaîne</w:t>
      </w:r>
      <w:r w:rsidRPr="00557E1C">
        <w:rPr>
          <w:lang w:val="fr-CA"/>
        </w:rPr>
        <w:t xml:space="preserve"> de production, pour un montant de </w:t>
      </w:r>
      <w:r w:rsidRPr="008612B7">
        <w:rPr>
          <w:lang w:val="fr-CA"/>
        </w:rPr>
        <w:t>1</w:t>
      </w:r>
      <w:r>
        <w:rPr>
          <w:lang w:val="fr-CA"/>
        </w:rPr>
        <w:t> </w:t>
      </w:r>
      <w:r w:rsidRPr="008612B7">
        <w:rPr>
          <w:lang w:val="fr-CA"/>
        </w:rPr>
        <w:t>300</w:t>
      </w:r>
      <w:r>
        <w:rPr>
          <w:lang w:val="fr-CA"/>
        </w:rPr>
        <w:t> </w:t>
      </w:r>
      <w:r w:rsidRPr="00557E1C">
        <w:rPr>
          <w:lang w:val="fr-CA"/>
        </w:rPr>
        <w:t>000</w:t>
      </w:r>
      <w:r>
        <w:rPr>
          <w:lang w:val="fr-CA"/>
        </w:rPr>
        <w:t> </w:t>
      </w:r>
      <w:r w:rsidRPr="00557E1C">
        <w:rPr>
          <w:lang w:val="fr-CA"/>
        </w:rPr>
        <w:t>$US, plus les coûts d'appui d'agence de 91</w:t>
      </w:r>
      <w:r>
        <w:rPr>
          <w:lang w:val="fr-CA"/>
        </w:rPr>
        <w:t> 000 </w:t>
      </w:r>
      <w:r w:rsidRPr="00557E1C">
        <w:rPr>
          <w:lang w:val="fr-CA"/>
        </w:rPr>
        <w:t xml:space="preserve">$US pour l'ONUDI. </w:t>
      </w:r>
    </w:p>
    <w:p w14:paraId="1D6DA16B" w14:textId="77777777" w:rsidR="00963F10" w:rsidRPr="00557E1C" w:rsidRDefault="00963F10" w:rsidP="00963F10">
      <w:pPr>
        <w:pStyle w:val="Heading1"/>
        <w:rPr>
          <w:lang w:val="fr-CA"/>
        </w:rPr>
      </w:pPr>
      <w:r w:rsidRPr="00557E1C">
        <w:rPr>
          <w:lang w:val="fr-CA"/>
        </w:rPr>
        <w:t>Le projet devait initialement être achevé en mai</w:t>
      </w:r>
      <w:r>
        <w:rPr>
          <w:lang w:val="fr-CA"/>
        </w:rPr>
        <w:t> </w:t>
      </w:r>
      <w:r w:rsidRPr="00557E1C">
        <w:rPr>
          <w:lang w:val="fr-CA"/>
        </w:rPr>
        <w:t xml:space="preserve">2018. Comme cela est </w:t>
      </w:r>
      <w:r>
        <w:rPr>
          <w:lang w:val="fr-CA"/>
        </w:rPr>
        <w:t>expliqué en détail</w:t>
      </w:r>
      <w:r w:rsidRPr="00557E1C">
        <w:rPr>
          <w:lang w:val="fr-CA"/>
        </w:rPr>
        <w:t xml:space="preserve"> dans le document</w:t>
      </w:r>
      <w:r>
        <w:rPr>
          <w:lang w:val="fr-CA"/>
        </w:rPr>
        <w:t> </w:t>
      </w:r>
      <w:r w:rsidRPr="00557E1C">
        <w:rPr>
          <w:lang w:val="fr-CA"/>
        </w:rPr>
        <w:t>UNEP/OzL.Pro/ExCom/88/18, entre les 80</w:t>
      </w:r>
      <w:r w:rsidRPr="008612B7">
        <w:rPr>
          <w:vertAlign w:val="superscript"/>
          <w:lang w:val="fr-CA"/>
        </w:rPr>
        <w:t>e</w:t>
      </w:r>
      <w:r w:rsidRPr="00557E1C">
        <w:rPr>
          <w:lang w:val="fr-CA"/>
        </w:rPr>
        <w:t xml:space="preserve"> et 85</w:t>
      </w:r>
      <w:r w:rsidRPr="008612B7">
        <w:rPr>
          <w:vertAlign w:val="superscript"/>
          <w:lang w:val="fr-CA"/>
        </w:rPr>
        <w:t>e</w:t>
      </w:r>
      <w:r>
        <w:rPr>
          <w:lang w:val="fr-CA"/>
        </w:rPr>
        <w:t> </w:t>
      </w:r>
      <w:r w:rsidRPr="00557E1C">
        <w:rPr>
          <w:lang w:val="fr-CA"/>
        </w:rPr>
        <w:t>réunions, le Comité exécutif a décidé de prolonger le projet trois fois</w:t>
      </w:r>
      <w:r>
        <w:rPr>
          <w:lang w:val="fr-CA"/>
        </w:rPr>
        <w:t xml:space="preserve">, compte tenu de la </w:t>
      </w:r>
      <w:r w:rsidRPr="00557E1C">
        <w:rPr>
          <w:lang w:val="fr-CA"/>
        </w:rPr>
        <w:t xml:space="preserve">reproductibilité potentielle des résultats dans plusieurs pays </w:t>
      </w:r>
      <w:r>
        <w:rPr>
          <w:lang w:val="fr-CA"/>
        </w:rPr>
        <w:t>visés à l’a</w:t>
      </w:r>
      <w:r w:rsidRPr="00557E1C">
        <w:rPr>
          <w:lang w:val="fr-CA"/>
        </w:rPr>
        <w:t>rticle</w:t>
      </w:r>
      <w:r>
        <w:rPr>
          <w:lang w:val="fr-CA"/>
        </w:rPr>
        <w:t> </w:t>
      </w:r>
      <w:r w:rsidRPr="00557E1C">
        <w:rPr>
          <w:lang w:val="fr-CA"/>
        </w:rPr>
        <w:t xml:space="preserve">5 et des progrès réalisés, qui comprenaient notamment la livraison de l'équipement de fabrication, le déplacement de la </w:t>
      </w:r>
      <w:r>
        <w:rPr>
          <w:lang w:val="fr-CA"/>
        </w:rPr>
        <w:t>chaîne</w:t>
      </w:r>
      <w:r w:rsidRPr="00557E1C">
        <w:rPr>
          <w:lang w:val="fr-CA"/>
        </w:rPr>
        <w:t xml:space="preserve"> de fabrication et l'installation de l'équipement de fabrication et d'un système de contrôle de la qualité, la mise à niveau des laboratoires et des salles d'essai, l'achèvement des travaux de génie civil, et les essais et l'optimisation des unités </w:t>
      </w:r>
      <w:r>
        <w:rPr>
          <w:lang w:val="fr-CA"/>
        </w:rPr>
        <w:t xml:space="preserve">à base de </w:t>
      </w:r>
      <w:r w:rsidRPr="00557E1C">
        <w:rPr>
          <w:lang w:val="fr-CA"/>
        </w:rPr>
        <w:t>R-290.</w:t>
      </w:r>
      <w:r w:rsidRPr="008612B7">
        <w:rPr>
          <w:rStyle w:val="FootnoteReference"/>
          <w:lang w:val="fr-CA"/>
        </w:rPr>
        <w:t xml:space="preserve"> </w:t>
      </w:r>
      <w:r w:rsidRPr="00085F79">
        <w:rPr>
          <w:rStyle w:val="FootnoteReference"/>
        </w:rPr>
        <w:footnoteReference w:id="39"/>
      </w:r>
      <w:r w:rsidRPr="00557E1C">
        <w:rPr>
          <w:lang w:val="fr-CA"/>
        </w:rPr>
        <w:t xml:space="preserve">  </w:t>
      </w:r>
    </w:p>
    <w:p w14:paraId="11D63E85" w14:textId="2E5DEE4D" w:rsidR="00963F10" w:rsidRPr="00557E1C" w:rsidRDefault="00963F10" w:rsidP="00963F10">
      <w:pPr>
        <w:pStyle w:val="Heading1"/>
        <w:rPr>
          <w:lang w:val="fr-CA"/>
        </w:rPr>
      </w:pPr>
      <w:r w:rsidRPr="00557E1C">
        <w:rPr>
          <w:lang w:val="fr-CA"/>
        </w:rPr>
        <w:t>Lors de la 88</w:t>
      </w:r>
      <w:r w:rsidRPr="00812C74">
        <w:rPr>
          <w:vertAlign w:val="superscript"/>
          <w:lang w:val="fr-CA"/>
        </w:rPr>
        <w:t>e</w:t>
      </w:r>
      <w:r>
        <w:rPr>
          <w:lang w:val="fr-CA"/>
        </w:rPr>
        <w:t> </w:t>
      </w:r>
      <w:r w:rsidRPr="00557E1C">
        <w:rPr>
          <w:lang w:val="fr-CA"/>
        </w:rPr>
        <w:t>réunion, il a été signalé qu'en raison des contraintes permanentes dues à la pandémie de</w:t>
      </w:r>
      <w:r w:rsidR="001414E1">
        <w:rPr>
          <w:lang w:val="fr-CA"/>
        </w:rPr>
        <w:t xml:space="preserve"> COVID-</w:t>
      </w:r>
      <w:r w:rsidRPr="00557E1C">
        <w:rPr>
          <w:lang w:val="fr-CA"/>
        </w:rPr>
        <w:t>19, les activités suivantes n'ont pas été achevées</w:t>
      </w:r>
      <w:r>
        <w:rPr>
          <w:lang w:val="fr-CA"/>
        </w:rPr>
        <w:t> </w:t>
      </w:r>
      <w:r w:rsidRPr="00557E1C">
        <w:rPr>
          <w:lang w:val="fr-CA"/>
        </w:rPr>
        <w:t xml:space="preserve">: mise en service de la chaîne de fabrication et des composants de sécurité pour les laboratoires par le fournisseur d'équipement italien (qui n'a pas pu se déplacer); livraison des compresseurs inverseurs </w:t>
      </w:r>
      <w:r>
        <w:rPr>
          <w:lang w:val="fr-CA"/>
        </w:rPr>
        <w:t xml:space="preserve">à base de </w:t>
      </w:r>
      <w:r w:rsidRPr="00557E1C">
        <w:rPr>
          <w:lang w:val="fr-CA"/>
        </w:rPr>
        <w:t xml:space="preserve">R-290; essai de fabrication de la chaîne convertie; certification de l'équipement de climatisation </w:t>
      </w:r>
      <w:r>
        <w:rPr>
          <w:lang w:val="fr-CA"/>
        </w:rPr>
        <w:t xml:space="preserve">à base de </w:t>
      </w:r>
      <w:r w:rsidRPr="00557E1C">
        <w:rPr>
          <w:lang w:val="fr-CA"/>
        </w:rPr>
        <w:t>R-290;</w:t>
      </w:r>
      <w:r w:rsidRPr="00812C74">
        <w:rPr>
          <w:rStyle w:val="FootnoteReference"/>
          <w:lang w:val="fr-CA"/>
        </w:rPr>
        <w:t xml:space="preserve"> </w:t>
      </w:r>
      <w:r w:rsidRPr="00085F79">
        <w:rPr>
          <w:rStyle w:val="FootnoteReference"/>
        </w:rPr>
        <w:footnoteReference w:id="40"/>
      </w:r>
      <w:r w:rsidRPr="00557E1C">
        <w:rPr>
          <w:lang w:val="fr-CA"/>
        </w:rPr>
        <w:t xml:space="preserve"> finalisation du manuel d'entretien et du matériel de formation pour les techniciens; organisation d'un atelier pour </w:t>
      </w:r>
      <w:r>
        <w:rPr>
          <w:lang w:val="fr-CA"/>
        </w:rPr>
        <w:t>la diffusion des</w:t>
      </w:r>
      <w:r w:rsidRPr="00557E1C">
        <w:rPr>
          <w:lang w:val="fr-CA"/>
        </w:rPr>
        <w:t xml:space="preserve"> résultats du projet. </w:t>
      </w:r>
      <w:r>
        <w:rPr>
          <w:lang w:val="fr-CA"/>
        </w:rPr>
        <w:t>À partir</w:t>
      </w:r>
      <w:r w:rsidRPr="00557E1C">
        <w:rPr>
          <w:lang w:val="fr-CA"/>
        </w:rPr>
        <w:t xml:space="preserve"> de ce rapport, le Comité exécutif a décidé, entre autres, de reporter la da</w:t>
      </w:r>
      <w:r>
        <w:rPr>
          <w:lang w:val="fr-CA"/>
        </w:rPr>
        <w:t>te d'achèvement du projet au 15 </w:t>
      </w:r>
      <w:r w:rsidRPr="00557E1C">
        <w:rPr>
          <w:lang w:val="fr-CA"/>
        </w:rPr>
        <w:t>mars</w:t>
      </w:r>
      <w:r>
        <w:rPr>
          <w:lang w:val="fr-CA"/>
        </w:rPr>
        <w:t> </w:t>
      </w:r>
      <w:r w:rsidRPr="00557E1C">
        <w:rPr>
          <w:lang w:val="fr-CA"/>
        </w:rPr>
        <w:t xml:space="preserve">2022, à titre exceptionnel, compte tenu de la pandémie de COVID-19 et des progrès accomplis; il a demandé à l'ONUDI de </w:t>
      </w:r>
      <w:r>
        <w:rPr>
          <w:lang w:val="fr-CA"/>
        </w:rPr>
        <w:t>remettre</w:t>
      </w:r>
      <w:r w:rsidRPr="00557E1C">
        <w:rPr>
          <w:lang w:val="fr-CA"/>
        </w:rPr>
        <w:t xml:space="preserve"> le rapport périodique final du projet au plus tard le 28</w:t>
      </w:r>
      <w:r>
        <w:rPr>
          <w:lang w:val="fr-CA"/>
        </w:rPr>
        <w:t> </w:t>
      </w:r>
      <w:r w:rsidRPr="00557E1C">
        <w:rPr>
          <w:lang w:val="fr-CA"/>
        </w:rPr>
        <w:t>mars</w:t>
      </w:r>
      <w:r>
        <w:rPr>
          <w:lang w:val="fr-CA"/>
        </w:rPr>
        <w:t> </w:t>
      </w:r>
      <w:r w:rsidRPr="00557E1C">
        <w:rPr>
          <w:lang w:val="fr-CA"/>
        </w:rPr>
        <w:t xml:space="preserve">2022 et de restituer tous les soldes restants </w:t>
      </w:r>
      <w:r>
        <w:rPr>
          <w:lang w:val="fr-CA"/>
        </w:rPr>
        <w:t>d’ici</w:t>
      </w:r>
      <w:r w:rsidRPr="00557E1C">
        <w:rPr>
          <w:lang w:val="fr-CA"/>
        </w:rPr>
        <w:t xml:space="preserve"> la 90</w:t>
      </w:r>
      <w:r w:rsidRPr="00812C74">
        <w:rPr>
          <w:vertAlign w:val="superscript"/>
          <w:lang w:val="fr-CA"/>
        </w:rPr>
        <w:t>e</w:t>
      </w:r>
      <w:r>
        <w:rPr>
          <w:lang w:val="fr-CA"/>
        </w:rPr>
        <w:t> </w:t>
      </w:r>
      <w:r w:rsidRPr="00557E1C">
        <w:rPr>
          <w:lang w:val="fr-CA"/>
        </w:rPr>
        <w:t>réunion (décision</w:t>
      </w:r>
      <w:r>
        <w:rPr>
          <w:lang w:val="fr-CA"/>
        </w:rPr>
        <w:t> </w:t>
      </w:r>
      <w:r w:rsidRPr="00557E1C">
        <w:rPr>
          <w:lang w:val="fr-CA"/>
        </w:rPr>
        <w:t>88/27</w:t>
      </w:r>
      <w:r>
        <w:rPr>
          <w:lang w:val="fr-CA"/>
        </w:rPr>
        <w:t> </w:t>
      </w:r>
      <w:r w:rsidRPr="00557E1C">
        <w:rPr>
          <w:lang w:val="fr-CA"/>
        </w:rPr>
        <w:t>b) et c)).</w:t>
      </w:r>
    </w:p>
    <w:p w14:paraId="63293414" w14:textId="630A9F6C" w:rsidR="00963F10" w:rsidRPr="00557E1C" w:rsidRDefault="00963F10" w:rsidP="00963F10">
      <w:pPr>
        <w:pStyle w:val="Heading1"/>
        <w:rPr>
          <w:lang w:val="fr-CA"/>
        </w:rPr>
      </w:pPr>
      <w:r w:rsidRPr="00557E1C">
        <w:rPr>
          <w:lang w:val="fr-CA"/>
        </w:rPr>
        <w:t xml:space="preserve">Au nom du </w:t>
      </w:r>
      <w:r>
        <w:rPr>
          <w:lang w:val="fr-CA"/>
        </w:rPr>
        <w:t>g</w:t>
      </w:r>
      <w:r w:rsidRPr="00557E1C">
        <w:rPr>
          <w:lang w:val="fr-CA"/>
        </w:rPr>
        <w:t xml:space="preserve">ouvernement </w:t>
      </w:r>
      <w:r>
        <w:rPr>
          <w:lang w:val="fr-CA"/>
        </w:rPr>
        <w:t>de l’Arabie saoudite</w:t>
      </w:r>
      <w:r w:rsidRPr="00557E1C">
        <w:rPr>
          <w:lang w:val="fr-CA"/>
        </w:rPr>
        <w:t>, l'ONUDI a soumis à la 90</w:t>
      </w:r>
      <w:r w:rsidRPr="00274919">
        <w:rPr>
          <w:vertAlign w:val="superscript"/>
          <w:lang w:val="fr-CA"/>
        </w:rPr>
        <w:t>e</w:t>
      </w:r>
      <w:r>
        <w:rPr>
          <w:lang w:val="fr-CA"/>
        </w:rPr>
        <w:t> </w:t>
      </w:r>
      <w:r w:rsidRPr="00557E1C">
        <w:rPr>
          <w:lang w:val="fr-CA"/>
        </w:rPr>
        <w:t xml:space="preserve">réunion un rapport périodique sur le projet de démonstration </w:t>
      </w:r>
      <w:r>
        <w:rPr>
          <w:lang w:val="fr-CA"/>
        </w:rPr>
        <w:t>destiné</w:t>
      </w:r>
      <w:r w:rsidRPr="00557E1C">
        <w:rPr>
          <w:lang w:val="fr-CA"/>
        </w:rPr>
        <w:t xml:space="preserve"> à promouvoir les frigorigènes à base de HFO </w:t>
      </w:r>
      <w:r>
        <w:rPr>
          <w:lang w:val="fr-CA"/>
        </w:rPr>
        <w:t>à faible PR</w:t>
      </w:r>
      <w:r w:rsidR="001414E1">
        <w:rPr>
          <w:lang w:val="fr-CA"/>
        </w:rPr>
        <w:t>G</w:t>
      </w:r>
      <w:r>
        <w:rPr>
          <w:lang w:val="fr-CA"/>
        </w:rPr>
        <w:t xml:space="preserve"> </w:t>
      </w:r>
      <w:r w:rsidRPr="00557E1C">
        <w:rPr>
          <w:lang w:val="fr-CA"/>
        </w:rPr>
        <w:t>pour le secteur de la climatisation à température ambiante élevée, conformément à la décision</w:t>
      </w:r>
      <w:r>
        <w:rPr>
          <w:lang w:val="fr-CA"/>
        </w:rPr>
        <w:t> </w:t>
      </w:r>
      <w:r w:rsidRPr="00557E1C">
        <w:rPr>
          <w:lang w:val="fr-CA"/>
        </w:rPr>
        <w:t>88/27.</w:t>
      </w:r>
    </w:p>
    <w:p w14:paraId="3EBFD335" w14:textId="77777777" w:rsidR="00963F10" w:rsidRPr="001414E1" w:rsidRDefault="00963F10" w:rsidP="00963F10">
      <w:pPr>
        <w:rPr>
          <w:bCs/>
          <w:u w:val="single"/>
          <w:lang w:val="fr-CA"/>
        </w:rPr>
      </w:pPr>
      <w:r w:rsidRPr="001414E1">
        <w:rPr>
          <w:bCs/>
          <w:u w:val="single"/>
          <w:lang w:val="fr-CA"/>
        </w:rPr>
        <w:t>Rapport périodique</w:t>
      </w:r>
    </w:p>
    <w:p w14:paraId="60168054" w14:textId="77777777" w:rsidR="00963F10" w:rsidRPr="00085F79" w:rsidRDefault="00963F10" w:rsidP="00963F10">
      <w:pPr>
        <w:rPr>
          <w:b/>
        </w:rPr>
      </w:pPr>
    </w:p>
    <w:p w14:paraId="5A45FBD1" w14:textId="77777777" w:rsidR="00963F10" w:rsidRPr="006C631B" w:rsidRDefault="00963F10" w:rsidP="00963F10">
      <w:pPr>
        <w:pStyle w:val="Heading1"/>
        <w:rPr>
          <w:lang w:val="fr-CA"/>
        </w:rPr>
      </w:pPr>
      <w:r w:rsidRPr="006C631B">
        <w:rPr>
          <w:lang w:val="fr-CA"/>
        </w:rPr>
        <w:t xml:space="preserve">Bien que la mise en service de la chaîne de fabrication et la livraison des composants de sécurité pour les laboratoires soient terminées, et que les compresseurs </w:t>
      </w:r>
      <w:r>
        <w:rPr>
          <w:lang w:val="fr-CA"/>
        </w:rPr>
        <w:t xml:space="preserve">à base de </w:t>
      </w:r>
      <w:r w:rsidRPr="006C631B">
        <w:rPr>
          <w:lang w:val="fr-CA"/>
        </w:rPr>
        <w:t xml:space="preserve">R-290 aient été livrés, la certification des </w:t>
      </w:r>
      <w:r>
        <w:rPr>
          <w:lang w:val="fr-CA"/>
        </w:rPr>
        <w:t xml:space="preserve">climatiseurs à base </w:t>
      </w:r>
      <w:proofErr w:type="gramStart"/>
      <w:r>
        <w:rPr>
          <w:lang w:val="fr-CA"/>
        </w:rPr>
        <w:t xml:space="preserve">de </w:t>
      </w:r>
      <w:r w:rsidRPr="006C631B">
        <w:rPr>
          <w:lang w:val="fr-CA"/>
        </w:rPr>
        <w:t xml:space="preserve"> R</w:t>
      </w:r>
      <w:proofErr w:type="gramEnd"/>
      <w:r w:rsidRPr="006C631B">
        <w:rPr>
          <w:lang w:val="fr-CA"/>
        </w:rPr>
        <w:t>-290 n'a pas encore été finalisée, car l'entreprise continue d'optimiser la conception de l'équipement pour garantir que la recharge reste à 500</w:t>
      </w:r>
      <w:r>
        <w:rPr>
          <w:lang w:val="fr-CA"/>
        </w:rPr>
        <w:t> </w:t>
      </w:r>
      <w:r w:rsidRPr="006C631B">
        <w:rPr>
          <w:lang w:val="fr-CA"/>
        </w:rPr>
        <w:t xml:space="preserve">g/unité tout en atteignant un taux d'efficacité énergétique </w:t>
      </w:r>
      <w:r>
        <w:rPr>
          <w:lang w:val="fr-CA"/>
        </w:rPr>
        <w:t>supérieur d'au moins 5 </w:t>
      </w:r>
      <w:r w:rsidRPr="006C631B">
        <w:rPr>
          <w:lang w:val="fr-CA"/>
        </w:rPr>
        <w:t>% aux normes minimales . Un expert international se rendra dans l'entreprise en mai afin de fournir une assistance technique pour la conception et la vérification du modèle, après quoi la certification des unités de climatisation au R-290 et le manuel d'entretien pourront être finalisés, ce qui est prévu pour le 31</w:t>
      </w:r>
      <w:r>
        <w:rPr>
          <w:lang w:val="fr-CA"/>
        </w:rPr>
        <w:t> </w:t>
      </w:r>
      <w:r w:rsidRPr="006C631B">
        <w:rPr>
          <w:lang w:val="fr-CA"/>
        </w:rPr>
        <w:t>juillet</w:t>
      </w:r>
      <w:r>
        <w:rPr>
          <w:lang w:val="fr-CA"/>
        </w:rPr>
        <w:t> </w:t>
      </w:r>
      <w:r w:rsidRPr="006C631B">
        <w:rPr>
          <w:lang w:val="fr-CA"/>
        </w:rPr>
        <w:t xml:space="preserve">2022. En outre, des tests de sécurité </w:t>
      </w:r>
      <w:r>
        <w:rPr>
          <w:lang w:val="fr-CA"/>
        </w:rPr>
        <w:t xml:space="preserve">par des tiers </w:t>
      </w:r>
      <w:r w:rsidRPr="006C631B">
        <w:rPr>
          <w:lang w:val="fr-CA"/>
        </w:rPr>
        <w:t xml:space="preserve">seront effectués sur les </w:t>
      </w:r>
      <w:r>
        <w:rPr>
          <w:lang w:val="fr-CA"/>
        </w:rPr>
        <w:t>climatiseurs à base de</w:t>
      </w:r>
      <w:r w:rsidRPr="006C631B">
        <w:rPr>
          <w:lang w:val="fr-CA"/>
        </w:rPr>
        <w:t xml:space="preserve"> R-290 d'ici le 31</w:t>
      </w:r>
      <w:r>
        <w:rPr>
          <w:lang w:val="fr-CA"/>
        </w:rPr>
        <w:t> </w:t>
      </w:r>
      <w:r w:rsidRPr="006C631B">
        <w:rPr>
          <w:lang w:val="fr-CA"/>
        </w:rPr>
        <w:t>juillet</w:t>
      </w:r>
      <w:r>
        <w:rPr>
          <w:lang w:val="fr-CA"/>
        </w:rPr>
        <w:t> </w:t>
      </w:r>
      <w:r w:rsidRPr="006C631B">
        <w:rPr>
          <w:lang w:val="fr-CA"/>
        </w:rPr>
        <w:t xml:space="preserve">2022. </w:t>
      </w:r>
      <w:r>
        <w:rPr>
          <w:lang w:val="fr-CA"/>
        </w:rPr>
        <w:t>On prévoit l</w:t>
      </w:r>
      <w:r w:rsidRPr="006C631B">
        <w:rPr>
          <w:lang w:val="fr-CA"/>
        </w:rPr>
        <w:t xml:space="preserve">a promotion des </w:t>
      </w:r>
      <w:r>
        <w:rPr>
          <w:lang w:val="fr-CA"/>
        </w:rPr>
        <w:t>climatiseurs</w:t>
      </w:r>
      <w:r w:rsidRPr="006C631B">
        <w:rPr>
          <w:lang w:val="fr-CA"/>
        </w:rPr>
        <w:t xml:space="preserve"> et un atelier de diffusion pour août</w:t>
      </w:r>
      <w:r>
        <w:rPr>
          <w:lang w:val="fr-CA"/>
        </w:rPr>
        <w:t> </w:t>
      </w:r>
      <w:r w:rsidRPr="006C631B">
        <w:rPr>
          <w:lang w:val="fr-CA"/>
        </w:rPr>
        <w:t xml:space="preserve">2022. </w:t>
      </w:r>
      <w:r>
        <w:rPr>
          <w:lang w:val="fr-CA"/>
        </w:rPr>
        <w:t>L</w:t>
      </w:r>
      <w:r w:rsidRPr="006C631B">
        <w:rPr>
          <w:lang w:val="fr-CA"/>
        </w:rPr>
        <w:t xml:space="preserve">'ONUDI a </w:t>
      </w:r>
      <w:r>
        <w:rPr>
          <w:lang w:val="fr-CA"/>
        </w:rPr>
        <w:t xml:space="preserve">donc </w:t>
      </w:r>
      <w:r w:rsidRPr="006C631B">
        <w:rPr>
          <w:lang w:val="fr-CA"/>
        </w:rPr>
        <w:t>demandé de reporter la date d'achèvement du projet au 30</w:t>
      </w:r>
      <w:r>
        <w:rPr>
          <w:lang w:val="fr-CA"/>
        </w:rPr>
        <w:t> </w:t>
      </w:r>
      <w:r w:rsidRPr="006C631B">
        <w:rPr>
          <w:lang w:val="fr-CA"/>
        </w:rPr>
        <w:t>septembre</w:t>
      </w:r>
      <w:r>
        <w:rPr>
          <w:lang w:val="fr-CA"/>
        </w:rPr>
        <w:t> </w:t>
      </w:r>
      <w:r w:rsidRPr="006C631B">
        <w:rPr>
          <w:lang w:val="fr-CA"/>
        </w:rPr>
        <w:t>2022.</w:t>
      </w:r>
    </w:p>
    <w:p w14:paraId="49DA70F1" w14:textId="77777777" w:rsidR="00963F10" w:rsidRPr="001414E1" w:rsidRDefault="00963F10" w:rsidP="00963F10">
      <w:pPr>
        <w:keepNext/>
        <w:keepLines/>
        <w:rPr>
          <w:b/>
          <w:lang w:val="fr-CA"/>
        </w:rPr>
      </w:pPr>
      <w:r w:rsidRPr="001414E1">
        <w:rPr>
          <w:b/>
          <w:lang w:val="fr-CA"/>
        </w:rPr>
        <w:t>Observations du Secrétariat</w:t>
      </w:r>
    </w:p>
    <w:p w14:paraId="5C2BBC98" w14:textId="77777777" w:rsidR="00963F10" w:rsidRPr="00085F79" w:rsidRDefault="00963F10" w:rsidP="00963F10">
      <w:pPr>
        <w:keepNext/>
        <w:keepLines/>
      </w:pPr>
    </w:p>
    <w:p w14:paraId="14EEF467" w14:textId="77777777" w:rsidR="00963F10" w:rsidRPr="00DC2DE1" w:rsidRDefault="00963F10" w:rsidP="00963F10">
      <w:pPr>
        <w:pStyle w:val="Heading1"/>
        <w:rPr>
          <w:lang w:val="fr-CA"/>
        </w:rPr>
      </w:pPr>
      <w:r w:rsidRPr="00DC2DE1">
        <w:rPr>
          <w:lang w:val="fr-CA"/>
        </w:rPr>
        <w:t xml:space="preserve">Le Secrétariat a noté qu'en dépit des progrès réalisés dans la mise en œuvre des activités restantes, une nouvelle </w:t>
      </w:r>
      <w:r>
        <w:rPr>
          <w:lang w:val="fr-CA"/>
        </w:rPr>
        <w:t>prolongation</w:t>
      </w:r>
      <w:r w:rsidRPr="00DC2DE1">
        <w:rPr>
          <w:lang w:val="fr-CA"/>
        </w:rPr>
        <w:t xml:space="preserve"> du projet a été demandée pour achever les activités </w:t>
      </w:r>
      <w:r>
        <w:rPr>
          <w:lang w:val="fr-CA"/>
        </w:rPr>
        <w:t>visant à</w:t>
      </w:r>
      <w:r w:rsidRPr="00DC2DE1">
        <w:rPr>
          <w:lang w:val="fr-CA"/>
        </w:rPr>
        <w:t xml:space="preserve"> faciliter l'adoption de la technologie </w:t>
      </w:r>
      <w:r>
        <w:rPr>
          <w:lang w:val="fr-CA"/>
        </w:rPr>
        <w:t xml:space="preserve">à base de </w:t>
      </w:r>
      <w:r w:rsidRPr="00DC2DE1">
        <w:rPr>
          <w:lang w:val="fr-CA"/>
        </w:rPr>
        <w:t>R</w:t>
      </w:r>
      <w:r>
        <w:rPr>
          <w:lang w:val="fr-CA"/>
        </w:rPr>
        <w:t>-</w:t>
      </w:r>
      <w:r w:rsidRPr="00DC2DE1">
        <w:rPr>
          <w:lang w:val="fr-CA"/>
        </w:rPr>
        <w:t xml:space="preserve">290. Des efforts supplémentaires </w:t>
      </w:r>
      <w:r>
        <w:rPr>
          <w:lang w:val="fr-CA"/>
        </w:rPr>
        <w:t>destinés à</w:t>
      </w:r>
      <w:r w:rsidRPr="00DC2DE1">
        <w:rPr>
          <w:lang w:val="fr-CA"/>
        </w:rPr>
        <w:t xml:space="preserve"> optimiser les </w:t>
      </w:r>
      <w:r>
        <w:rPr>
          <w:lang w:val="fr-CA"/>
        </w:rPr>
        <w:t>climatiseurs à base de</w:t>
      </w:r>
      <w:r w:rsidRPr="00DC2DE1">
        <w:rPr>
          <w:lang w:val="fr-CA"/>
        </w:rPr>
        <w:t xml:space="preserve"> R-290 </w:t>
      </w:r>
      <w:r>
        <w:rPr>
          <w:lang w:val="fr-CA"/>
        </w:rPr>
        <w:t>en vue</w:t>
      </w:r>
      <w:r w:rsidRPr="00DC2DE1">
        <w:rPr>
          <w:lang w:val="fr-CA"/>
        </w:rPr>
        <w:t xml:space="preserve"> de s'assurer qu'</w:t>
      </w:r>
      <w:r>
        <w:rPr>
          <w:lang w:val="fr-CA"/>
        </w:rPr>
        <w:t>ils</w:t>
      </w:r>
      <w:r w:rsidRPr="00DC2DE1">
        <w:rPr>
          <w:lang w:val="fr-CA"/>
        </w:rPr>
        <w:t xml:space="preserve"> atteignent l'efficacité énergétique requise </w:t>
      </w:r>
      <w:r>
        <w:rPr>
          <w:lang w:val="fr-CA"/>
        </w:rPr>
        <w:t xml:space="preserve">leur </w:t>
      </w:r>
      <w:r w:rsidRPr="00DC2DE1">
        <w:rPr>
          <w:lang w:val="fr-CA"/>
        </w:rPr>
        <w:t xml:space="preserve">permettront </w:t>
      </w:r>
      <w:r>
        <w:rPr>
          <w:lang w:val="fr-CA"/>
        </w:rPr>
        <w:t>d</w:t>
      </w:r>
      <w:r w:rsidRPr="00DC2DE1">
        <w:rPr>
          <w:lang w:val="fr-CA"/>
        </w:rPr>
        <w:t xml:space="preserve">e mieux concurrencer les unités </w:t>
      </w:r>
      <w:r>
        <w:rPr>
          <w:lang w:val="fr-CA"/>
        </w:rPr>
        <w:t>utilisant des</w:t>
      </w:r>
      <w:r w:rsidRPr="00DC2DE1">
        <w:rPr>
          <w:lang w:val="fr-CA"/>
        </w:rPr>
        <w:t xml:space="preserve"> HFC</w:t>
      </w:r>
      <w:r>
        <w:rPr>
          <w:lang w:val="fr-CA"/>
        </w:rPr>
        <w:t>,</w:t>
      </w:r>
      <w:r w:rsidRPr="00DC2DE1">
        <w:rPr>
          <w:lang w:val="fr-CA"/>
        </w:rPr>
        <w:t xml:space="preserve"> qui peuvent avoir un </w:t>
      </w:r>
      <w:r>
        <w:rPr>
          <w:lang w:val="fr-CA"/>
        </w:rPr>
        <w:t>taux d’efficacité</w:t>
      </w:r>
      <w:r w:rsidRPr="00DC2DE1">
        <w:rPr>
          <w:lang w:val="fr-CA"/>
        </w:rPr>
        <w:t xml:space="preserve"> inférieur. Le</w:t>
      </w:r>
      <w:r>
        <w:rPr>
          <w:lang w:val="fr-CA"/>
        </w:rPr>
        <w:t>s tests effectués par des tiers</w:t>
      </w:r>
      <w:r w:rsidRPr="00DC2DE1">
        <w:rPr>
          <w:lang w:val="fr-CA"/>
        </w:rPr>
        <w:t>, bien que non nécessaires, permettront de renforcer la confi</w:t>
      </w:r>
      <w:r>
        <w:rPr>
          <w:lang w:val="fr-CA"/>
        </w:rPr>
        <w:t>ance dans la sécurité des climatiseurs à base de R-290</w:t>
      </w:r>
      <w:r w:rsidRPr="00DC2DE1">
        <w:rPr>
          <w:lang w:val="fr-CA"/>
        </w:rPr>
        <w:t xml:space="preserve">. L'entreprise prévoit que </w:t>
      </w:r>
      <w:r>
        <w:rPr>
          <w:lang w:val="fr-CA"/>
        </w:rPr>
        <w:t>leur</w:t>
      </w:r>
      <w:r w:rsidRPr="00DC2DE1">
        <w:rPr>
          <w:lang w:val="fr-CA"/>
        </w:rPr>
        <w:t xml:space="preserve"> fabrication commerciale </w:t>
      </w:r>
      <w:r>
        <w:rPr>
          <w:lang w:val="fr-CA"/>
        </w:rPr>
        <w:t>commencera</w:t>
      </w:r>
      <w:r w:rsidRPr="00DC2DE1">
        <w:rPr>
          <w:lang w:val="fr-CA"/>
        </w:rPr>
        <w:t xml:space="preserve"> en décembre</w:t>
      </w:r>
      <w:r>
        <w:rPr>
          <w:lang w:val="fr-CA"/>
        </w:rPr>
        <w:t> </w:t>
      </w:r>
      <w:r w:rsidRPr="00DC2DE1">
        <w:rPr>
          <w:lang w:val="fr-CA"/>
        </w:rPr>
        <w:t>2022.</w:t>
      </w:r>
    </w:p>
    <w:p w14:paraId="2E22DD73" w14:textId="77777777" w:rsidR="00963F10" w:rsidRPr="00DC2DE1" w:rsidRDefault="00963F10" w:rsidP="00963F10">
      <w:pPr>
        <w:pStyle w:val="Heading1"/>
        <w:rPr>
          <w:lang w:val="fr-CA"/>
        </w:rPr>
      </w:pPr>
      <w:r w:rsidRPr="00DC2DE1">
        <w:rPr>
          <w:lang w:val="fr-CA"/>
        </w:rPr>
        <w:t xml:space="preserve">Notant que les activités en cours pourraient être achevées dans un avenir </w:t>
      </w:r>
      <w:r>
        <w:rPr>
          <w:lang w:val="fr-CA"/>
        </w:rPr>
        <w:t>rapproché</w:t>
      </w:r>
      <w:r w:rsidRPr="00DC2DE1">
        <w:rPr>
          <w:lang w:val="fr-CA"/>
        </w:rPr>
        <w:t>, le Secrétariat recommande de reporter la date d'achèvement du projet au 30</w:t>
      </w:r>
      <w:r>
        <w:rPr>
          <w:lang w:val="fr-CA"/>
        </w:rPr>
        <w:t> </w:t>
      </w:r>
      <w:r w:rsidRPr="00DC2DE1">
        <w:rPr>
          <w:lang w:val="fr-CA"/>
        </w:rPr>
        <w:t>septembre</w:t>
      </w:r>
      <w:r>
        <w:rPr>
          <w:lang w:val="fr-CA"/>
        </w:rPr>
        <w:t> </w:t>
      </w:r>
      <w:r w:rsidRPr="00DC2DE1">
        <w:rPr>
          <w:lang w:val="fr-CA"/>
        </w:rPr>
        <w:t xml:space="preserve">2022 et de demander à l'ONUDI de </w:t>
      </w:r>
      <w:r>
        <w:rPr>
          <w:lang w:val="fr-CA"/>
        </w:rPr>
        <w:t>remettre</w:t>
      </w:r>
      <w:r w:rsidRPr="00DC2DE1">
        <w:rPr>
          <w:lang w:val="fr-CA"/>
        </w:rPr>
        <w:t xml:space="preserve"> le rapport final </w:t>
      </w:r>
      <w:r>
        <w:rPr>
          <w:lang w:val="fr-CA"/>
        </w:rPr>
        <w:t>sur le</w:t>
      </w:r>
      <w:r w:rsidRPr="00DC2DE1">
        <w:rPr>
          <w:lang w:val="fr-CA"/>
        </w:rPr>
        <w:t xml:space="preserve"> projet à la 92</w:t>
      </w:r>
      <w:r w:rsidRPr="00082A2A">
        <w:rPr>
          <w:vertAlign w:val="superscript"/>
          <w:lang w:val="fr-CA"/>
        </w:rPr>
        <w:t>e</w:t>
      </w:r>
      <w:r>
        <w:rPr>
          <w:lang w:val="fr-CA"/>
        </w:rPr>
        <w:t> </w:t>
      </w:r>
      <w:r w:rsidRPr="00DC2DE1">
        <w:rPr>
          <w:lang w:val="fr-CA"/>
        </w:rPr>
        <w:t>réunion.</w:t>
      </w:r>
    </w:p>
    <w:p w14:paraId="0A9649F1" w14:textId="051B07FC" w:rsidR="00963F10" w:rsidRPr="001414E1" w:rsidRDefault="00963F10" w:rsidP="00963F10">
      <w:pPr>
        <w:rPr>
          <w:b/>
          <w:lang w:val="fr-CA"/>
        </w:rPr>
      </w:pPr>
      <w:r w:rsidRPr="001414E1">
        <w:rPr>
          <w:b/>
          <w:lang w:val="fr-CA"/>
        </w:rPr>
        <w:t>Recomm</w:t>
      </w:r>
      <w:r w:rsidR="001414E1" w:rsidRPr="001414E1">
        <w:rPr>
          <w:b/>
          <w:lang w:val="fr-CA"/>
        </w:rPr>
        <w:t>a</w:t>
      </w:r>
      <w:r w:rsidRPr="001414E1">
        <w:rPr>
          <w:b/>
          <w:lang w:val="fr-CA"/>
        </w:rPr>
        <w:t>ndation</w:t>
      </w:r>
    </w:p>
    <w:p w14:paraId="429F48C4" w14:textId="77777777" w:rsidR="00963F10" w:rsidRPr="001414E1" w:rsidRDefault="00963F10" w:rsidP="00963F10">
      <w:pPr>
        <w:rPr>
          <w:lang w:val="fr-CA"/>
        </w:rPr>
      </w:pPr>
    </w:p>
    <w:p w14:paraId="73B7531A" w14:textId="77777777" w:rsidR="00963F10" w:rsidRPr="00DC2DE1" w:rsidRDefault="00963F10" w:rsidP="00963F10">
      <w:pPr>
        <w:pStyle w:val="Heading1"/>
        <w:rPr>
          <w:lang w:val="fr-CA"/>
        </w:rPr>
      </w:pPr>
      <w:r w:rsidRPr="00DC2DE1">
        <w:rPr>
          <w:lang w:val="fr-CA"/>
        </w:rPr>
        <w:t>Le Comité exécutif pourrait souhaiter</w:t>
      </w:r>
      <w:r>
        <w:rPr>
          <w:lang w:val="fr-CA"/>
        </w:rPr>
        <w:t> </w:t>
      </w:r>
      <w:r w:rsidRPr="00DC2DE1">
        <w:rPr>
          <w:lang w:val="fr-CA"/>
        </w:rPr>
        <w:t>:</w:t>
      </w:r>
    </w:p>
    <w:p w14:paraId="5AFC0CB9" w14:textId="5253C51E" w:rsidR="00963F10" w:rsidRPr="00DC2DE1" w:rsidRDefault="00963F10" w:rsidP="00963F10">
      <w:pPr>
        <w:pStyle w:val="Heading2"/>
        <w:rPr>
          <w:lang w:val="fr-CA"/>
        </w:rPr>
      </w:pPr>
      <w:r>
        <w:rPr>
          <w:lang w:val="fr-CA"/>
        </w:rPr>
        <w:t>Prendre note du</w:t>
      </w:r>
      <w:r w:rsidRPr="00DC2DE1">
        <w:rPr>
          <w:lang w:val="fr-CA"/>
        </w:rPr>
        <w:t xml:space="preserve"> rapport périodique sur le projet de démonstration visant à promouvoir les frigorigènes à base </w:t>
      </w:r>
      <w:r>
        <w:rPr>
          <w:lang w:val="fr-CA"/>
        </w:rPr>
        <w:t>de HFC</w:t>
      </w:r>
      <w:r w:rsidRPr="00DC2DE1">
        <w:rPr>
          <w:lang w:val="fr-CA"/>
        </w:rPr>
        <w:t xml:space="preserve"> à faible </w:t>
      </w:r>
      <w:r w:rsidR="0026119A">
        <w:rPr>
          <w:lang w:val="fr-CA"/>
        </w:rPr>
        <w:t>PRG</w:t>
      </w:r>
      <w:r w:rsidRPr="00DC2DE1">
        <w:rPr>
          <w:lang w:val="fr-CA"/>
        </w:rPr>
        <w:t xml:space="preserve"> pour le secteur de la climatisation </w:t>
      </w:r>
      <w:r>
        <w:rPr>
          <w:lang w:val="fr-CA"/>
        </w:rPr>
        <w:t xml:space="preserve">dans les pays </w:t>
      </w:r>
      <w:r w:rsidRPr="00DC2DE1">
        <w:rPr>
          <w:lang w:val="fr-CA"/>
        </w:rPr>
        <w:t xml:space="preserve">à de température ambiante élevée </w:t>
      </w:r>
      <w:r>
        <w:rPr>
          <w:lang w:val="fr-CA"/>
        </w:rPr>
        <w:t>pour</w:t>
      </w:r>
      <w:r w:rsidRPr="00DC2DE1">
        <w:rPr>
          <w:lang w:val="fr-CA"/>
        </w:rPr>
        <w:t xml:space="preserve"> </w:t>
      </w:r>
      <w:r>
        <w:rPr>
          <w:lang w:val="fr-CA"/>
        </w:rPr>
        <w:t>l’</w:t>
      </w:r>
      <w:r w:rsidRPr="00DC2DE1">
        <w:rPr>
          <w:lang w:val="fr-CA"/>
        </w:rPr>
        <w:t>Arabie saoudite, soumis par l'ONUDI et figurant dans le document</w:t>
      </w:r>
      <w:r>
        <w:rPr>
          <w:lang w:val="fr-CA"/>
        </w:rPr>
        <w:t> </w:t>
      </w:r>
      <w:r w:rsidRPr="00DC2DE1">
        <w:rPr>
          <w:lang w:val="fr-CA"/>
        </w:rPr>
        <w:t xml:space="preserve">UNEP/OzL.Pro/ExCom/90/9; </w:t>
      </w:r>
    </w:p>
    <w:p w14:paraId="1280EDDA" w14:textId="77777777" w:rsidR="00963F10" w:rsidRPr="00DC2DE1" w:rsidRDefault="00963F10" w:rsidP="00963F10">
      <w:pPr>
        <w:pStyle w:val="Heading2"/>
        <w:rPr>
          <w:lang w:val="fr-CA"/>
        </w:rPr>
      </w:pPr>
      <w:r>
        <w:rPr>
          <w:lang w:val="fr-CA"/>
        </w:rPr>
        <w:t>Reporter</w:t>
      </w:r>
      <w:r w:rsidRPr="00DC2DE1">
        <w:rPr>
          <w:lang w:val="fr-CA"/>
        </w:rPr>
        <w:t xml:space="preserve"> la date d'achèvement du projet visé à l'alinéa a) ci-dessus au 30</w:t>
      </w:r>
      <w:r>
        <w:rPr>
          <w:lang w:val="fr-CA"/>
        </w:rPr>
        <w:t> </w:t>
      </w:r>
      <w:r w:rsidRPr="00DC2DE1">
        <w:rPr>
          <w:lang w:val="fr-CA"/>
        </w:rPr>
        <w:t>septembre</w:t>
      </w:r>
      <w:r>
        <w:rPr>
          <w:lang w:val="fr-CA"/>
        </w:rPr>
        <w:t> </w:t>
      </w:r>
      <w:r w:rsidRPr="00DC2DE1">
        <w:rPr>
          <w:lang w:val="fr-CA"/>
        </w:rPr>
        <w:t>2022</w:t>
      </w:r>
      <w:r>
        <w:rPr>
          <w:lang w:val="fr-CA"/>
        </w:rPr>
        <w:t>,</w:t>
      </w:r>
      <w:r w:rsidRPr="00DC2DE1">
        <w:rPr>
          <w:lang w:val="fr-CA"/>
        </w:rPr>
        <w:t xml:space="preserve"> compte tenu de l'avancement des travaux;</w:t>
      </w:r>
    </w:p>
    <w:p w14:paraId="4F9243AA" w14:textId="1AA2CCBC" w:rsidR="00963F10" w:rsidRPr="001414E1" w:rsidRDefault="00963F10" w:rsidP="00963F10">
      <w:pPr>
        <w:pStyle w:val="Heading2"/>
        <w:rPr>
          <w:lang w:val="fr-CA"/>
        </w:rPr>
      </w:pPr>
      <w:r w:rsidRPr="00DC2DE1">
        <w:rPr>
          <w:lang w:val="fr-CA"/>
        </w:rPr>
        <w:t xml:space="preserve">Demander à l'ONUDI de </w:t>
      </w:r>
      <w:r>
        <w:rPr>
          <w:lang w:val="fr-CA"/>
        </w:rPr>
        <w:t>remettre</w:t>
      </w:r>
      <w:r w:rsidRPr="00DC2DE1">
        <w:rPr>
          <w:lang w:val="fr-CA"/>
        </w:rPr>
        <w:t xml:space="preserve"> le rapport final </w:t>
      </w:r>
      <w:r>
        <w:rPr>
          <w:lang w:val="fr-CA"/>
        </w:rPr>
        <w:t>sur le</w:t>
      </w:r>
      <w:r w:rsidRPr="00DC2DE1">
        <w:rPr>
          <w:lang w:val="fr-CA"/>
        </w:rPr>
        <w:t xml:space="preserve"> projet mentionné à l'alinéa</w:t>
      </w:r>
      <w:r>
        <w:rPr>
          <w:lang w:val="fr-CA"/>
        </w:rPr>
        <w:t> </w:t>
      </w:r>
      <w:r w:rsidRPr="00DC2DE1">
        <w:rPr>
          <w:lang w:val="fr-CA"/>
        </w:rPr>
        <w:t xml:space="preserve">a) ci-dessus et de restituer tous les soldes restants </w:t>
      </w:r>
      <w:r>
        <w:rPr>
          <w:lang w:val="fr-CA"/>
        </w:rPr>
        <w:t>d’ici</w:t>
      </w:r>
      <w:r w:rsidRPr="00DC2DE1">
        <w:rPr>
          <w:lang w:val="fr-CA"/>
        </w:rPr>
        <w:t xml:space="preserve"> la 92</w:t>
      </w:r>
      <w:r w:rsidRPr="00082A2A">
        <w:rPr>
          <w:vertAlign w:val="superscript"/>
          <w:lang w:val="fr-CA"/>
        </w:rPr>
        <w:t>e</w:t>
      </w:r>
      <w:r>
        <w:rPr>
          <w:lang w:val="fr-CA"/>
        </w:rPr>
        <w:t> </w:t>
      </w:r>
      <w:r w:rsidR="001414E1">
        <w:rPr>
          <w:lang w:val="fr-CA"/>
        </w:rPr>
        <w:t>réunion.</w:t>
      </w:r>
    </w:p>
    <w:p w14:paraId="393AB576" w14:textId="77777777" w:rsidR="00963F10" w:rsidRPr="00BA6E39" w:rsidRDefault="00963F10" w:rsidP="00963F10">
      <w:pPr>
        <w:ind w:left="720"/>
        <w:rPr>
          <w:b/>
          <w:bCs/>
          <w:sz w:val="24"/>
          <w:szCs w:val="24"/>
          <w:lang w:val="fr-CA"/>
        </w:rPr>
      </w:pPr>
      <w:r w:rsidRPr="00BA6E39">
        <w:rPr>
          <w:b/>
          <w:bCs/>
          <w:sz w:val="24"/>
          <w:szCs w:val="24"/>
          <w:lang w:val="fr-CA"/>
        </w:rPr>
        <w:t>II.3</w:t>
      </w:r>
      <w:r w:rsidRPr="00BA6E39">
        <w:rPr>
          <w:b/>
          <w:bCs/>
          <w:sz w:val="24"/>
          <w:szCs w:val="24"/>
          <w:lang w:val="fr-CA"/>
        </w:rPr>
        <w:tab/>
        <w:t xml:space="preserve">PGEH à examiner individuellement </w:t>
      </w:r>
    </w:p>
    <w:p w14:paraId="1C504E81" w14:textId="77777777" w:rsidR="00963F10" w:rsidRPr="00BA6E39" w:rsidRDefault="00963F10" w:rsidP="00963F10">
      <w:pPr>
        <w:rPr>
          <w:b/>
          <w:u w:val="single"/>
          <w:lang w:val="fr-CA"/>
        </w:rPr>
      </w:pPr>
    </w:p>
    <w:p w14:paraId="04F25486" w14:textId="58FD692D" w:rsidR="006A1EE7" w:rsidRPr="00963F10" w:rsidRDefault="00963F10" w:rsidP="00963F10">
      <w:pPr>
        <w:pStyle w:val="Heading1"/>
        <w:rPr>
          <w:lang w:val="fr-CA"/>
        </w:rPr>
      </w:pPr>
      <w:r w:rsidRPr="00BA6E39">
        <w:rPr>
          <w:lang w:val="fr-CA"/>
        </w:rPr>
        <w:t>Cet</w:t>
      </w:r>
      <w:r>
        <w:rPr>
          <w:lang w:val="fr-CA"/>
        </w:rPr>
        <w:t xml:space="preserve">te </w:t>
      </w:r>
      <w:r w:rsidR="001414E1">
        <w:rPr>
          <w:lang w:val="fr-CA"/>
        </w:rPr>
        <w:t>partie</w:t>
      </w:r>
      <w:r w:rsidRPr="00BA6E39">
        <w:rPr>
          <w:lang w:val="fr-CA"/>
        </w:rPr>
        <w:t xml:space="preserve"> comprend deux PG</w:t>
      </w:r>
      <w:r>
        <w:rPr>
          <w:lang w:val="fr-CA"/>
        </w:rPr>
        <w:t>EH</w:t>
      </w:r>
      <w:r w:rsidRPr="00BA6E39">
        <w:rPr>
          <w:lang w:val="fr-CA"/>
        </w:rPr>
        <w:t xml:space="preserve"> pour examen individuel, seize PG</w:t>
      </w:r>
      <w:r>
        <w:rPr>
          <w:lang w:val="fr-CA"/>
        </w:rPr>
        <w:t>EH</w:t>
      </w:r>
      <w:r w:rsidRPr="00BA6E39">
        <w:rPr>
          <w:lang w:val="fr-CA"/>
        </w:rPr>
        <w:t xml:space="preserve"> </w:t>
      </w:r>
      <w:r>
        <w:rPr>
          <w:lang w:val="fr-CA"/>
        </w:rPr>
        <w:t>pour lesquels il est demandé</w:t>
      </w:r>
      <w:r w:rsidRPr="00BA6E39">
        <w:rPr>
          <w:lang w:val="fr-CA"/>
        </w:rPr>
        <w:t xml:space="preserve"> une prolongation au-delà de décembre</w:t>
      </w:r>
      <w:r>
        <w:rPr>
          <w:lang w:val="fr-CA"/>
        </w:rPr>
        <w:t> </w:t>
      </w:r>
      <w:r w:rsidRPr="00BA6E39">
        <w:rPr>
          <w:lang w:val="fr-CA"/>
        </w:rPr>
        <w:t xml:space="preserve">2022, un projet </w:t>
      </w:r>
      <w:r>
        <w:rPr>
          <w:lang w:val="fr-CA"/>
        </w:rPr>
        <w:t xml:space="preserve">relatif aux </w:t>
      </w:r>
      <w:r w:rsidRPr="00BA6E39">
        <w:rPr>
          <w:lang w:val="fr-CA"/>
        </w:rPr>
        <w:t xml:space="preserve">HFC, et seize activités de facilitation </w:t>
      </w:r>
      <w:r>
        <w:rPr>
          <w:lang w:val="fr-CA"/>
        </w:rPr>
        <w:t xml:space="preserve">des </w:t>
      </w:r>
      <w:r w:rsidRPr="00BA6E39">
        <w:rPr>
          <w:lang w:val="fr-CA"/>
        </w:rPr>
        <w:t xml:space="preserve">HFC </w:t>
      </w:r>
      <w:r>
        <w:rPr>
          <w:lang w:val="fr-CA"/>
        </w:rPr>
        <w:t>pour lesquelles il est demandé</w:t>
      </w:r>
      <w:r w:rsidRPr="00BA6E39">
        <w:rPr>
          <w:lang w:val="fr-CA"/>
        </w:rPr>
        <w:t xml:space="preserve"> une prolongation</w:t>
      </w:r>
      <w:r w:rsidR="006A1EE7" w:rsidRPr="00963F10">
        <w:rPr>
          <w:lang w:val="fr-CA"/>
        </w:rPr>
        <w:t>.</w:t>
      </w:r>
    </w:p>
    <w:p w14:paraId="75DA2D94" w14:textId="77777777" w:rsidR="006345CD" w:rsidRPr="001414E1" w:rsidRDefault="006345CD" w:rsidP="006345CD">
      <w:pPr>
        <w:pStyle w:val="ListParagraph"/>
        <w:numPr>
          <w:ilvl w:val="0"/>
          <w:numId w:val="41"/>
        </w:numPr>
        <w:rPr>
          <w:b/>
          <w:lang w:val="fr-CA"/>
        </w:rPr>
      </w:pPr>
      <w:r w:rsidRPr="001414E1">
        <w:rPr>
          <w:b/>
          <w:lang w:val="fr-CA"/>
        </w:rPr>
        <w:t>Rapports liés aux plans de gestion de l’élimination des HCFC</w:t>
      </w:r>
    </w:p>
    <w:p w14:paraId="4E137150" w14:textId="77777777" w:rsidR="006345CD" w:rsidRPr="001414E1" w:rsidRDefault="006345CD" w:rsidP="006345CD">
      <w:pPr>
        <w:rPr>
          <w:lang w:val="fr-CA"/>
        </w:rPr>
      </w:pPr>
    </w:p>
    <w:p w14:paraId="5AEEEF4A" w14:textId="29DCDBB4" w:rsidR="006345CD" w:rsidRPr="0042639D" w:rsidRDefault="006345CD" w:rsidP="006345CD">
      <w:pPr>
        <w:keepNext/>
        <w:keepLines/>
        <w:spacing w:after="240"/>
        <w:rPr>
          <w:b/>
          <w:bCs/>
          <w:u w:val="single"/>
          <w:lang w:val="fr-CA"/>
        </w:rPr>
      </w:pPr>
      <w:bookmarkStart w:id="9" w:name="_Hlk105712676"/>
      <w:r w:rsidRPr="001414E1">
        <w:rPr>
          <w:b/>
          <w:bCs/>
          <w:u w:val="single"/>
          <w:lang w:val="fr-CA"/>
        </w:rPr>
        <w:t>République populaire démocratique de Corée</w:t>
      </w:r>
      <w:bookmarkEnd w:id="9"/>
      <w:r w:rsidR="00BC1B44">
        <w:rPr>
          <w:b/>
          <w:bCs/>
          <w:u w:val="single"/>
          <w:lang w:val="fr-CA"/>
        </w:rPr>
        <w:t xml:space="preserve"> </w:t>
      </w:r>
      <w:r w:rsidRPr="001414E1">
        <w:rPr>
          <w:b/>
          <w:bCs/>
          <w:u w:val="single"/>
          <w:lang w:val="fr-CA"/>
        </w:rPr>
        <w:t xml:space="preserve">: Plan de gestion de l’élimination des HCFC (phase I – </w:t>
      </w:r>
      <w:r w:rsidR="001414E1">
        <w:rPr>
          <w:b/>
          <w:bCs/>
          <w:u w:val="single"/>
          <w:lang w:val="fr-CA"/>
        </w:rPr>
        <w:t>rapport d’avanceme</w:t>
      </w:r>
      <w:r w:rsidRPr="001414E1">
        <w:rPr>
          <w:b/>
          <w:bCs/>
          <w:u w:val="single"/>
          <w:lang w:val="fr-CA"/>
        </w:rPr>
        <w:t>nt sur l’exécution des activités)</w:t>
      </w:r>
      <w:r w:rsidRPr="001414E1">
        <w:rPr>
          <w:b/>
          <w:bCs/>
          <w:lang w:val="fr-CA"/>
        </w:rPr>
        <w:t xml:space="preserve"> (ONUDI)</w:t>
      </w:r>
    </w:p>
    <w:p w14:paraId="1B5ED2EF" w14:textId="59243744" w:rsidR="006345CD" w:rsidRPr="0042639D" w:rsidRDefault="001414E1" w:rsidP="006345CD">
      <w:pPr>
        <w:keepNext/>
        <w:keepLines/>
        <w:spacing w:after="240"/>
        <w:rPr>
          <w:b/>
          <w:bCs/>
          <w:lang w:val="fr-CA"/>
        </w:rPr>
      </w:pPr>
      <w:r>
        <w:rPr>
          <w:b/>
          <w:bCs/>
          <w:lang w:val="fr-CA"/>
        </w:rPr>
        <w:t>Contexte</w:t>
      </w:r>
    </w:p>
    <w:p w14:paraId="1FCEE7A1" w14:textId="77777777" w:rsidR="006345CD" w:rsidRPr="0042639D" w:rsidRDefault="006345CD" w:rsidP="006345CD">
      <w:pPr>
        <w:spacing w:after="240"/>
        <w:outlineLvl w:val="0"/>
        <w:rPr>
          <w:lang w:val="fr-CA"/>
        </w:rPr>
      </w:pPr>
      <w:r w:rsidRPr="0042639D">
        <w:rPr>
          <w:lang w:val="fr-CA"/>
        </w:rPr>
        <w:t>152</w:t>
      </w:r>
      <w:r w:rsidRPr="0042639D">
        <w:rPr>
          <w:lang w:val="fr-CA"/>
        </w:rPr>
        <w:tab/>
        <w:t>À sa 73</w:t>
      </w:r>
      <w:r>
        <w:rPr>
          <w:vertAlign w:val="superscript"/>
          <w:lang w:val="fr-CA"/>
        </w:rPr>
        <w:t>e</w:t>
      </w:r>
      <w:r w:rsidRPr="0042639D">
        <w:rPr>
          <w:vertAlign w:val="superscript"/>
          <w:lang w:val="fr-CA"/>
        </w:rPr>
        <w:t> </w:t>
      </w:r>
      <w:r w:rsidRPr="0042639D">
        <w:rPr>
          <w:lang w:val="fr-CA"/>
        </w:rPr>
        <w:t xml:space="preserve">réunion, </w:t>
      </w:r>
      <w:r>
        <w:rPr>
          <w:lang w:val="fr-CA"/>
        </w:rPr>
        <w:t>l</w:t>
      </w:r>
      <w:r w:rsidRPr="0042639D">
        <w:rPr>
          <w:lang w:val="fr-CA"/>
        </w:rPr>
        <w:t xml:space="preserve">e Comité exécutif </w:t>
      </w:r>
      <w:r>
        <w:rPr>
          <w:lang w:val="fr-CA"/>
        </w:rPr>
        <w:t xml:space="preserve">a approuvé en principe la </w:t>
      </w:r>
      <w:r w:rsidRPr="0042639D">
        <w:rPr>
          <w:lang w:val="fr-CA"/>
        </w:rPr>
        <w:t xml:space="preserve">phase I </w:t>
      </w:r>
      <w:r>
        <w:rPr>
          <w:lang w:val="fr-CA"/>
        </w:rPr>
        <w:t xml:space="preserve">du </w:t>
      </w:r>
      <w:r w:rsidRPr="0042639D">
        <w:rPr>
          <w:lang w:val="fr-CA"/>
        </w:rPr>
        <w:t xml:space="preserve">PGEH </w:t>
      </w:r>
      <w:r>
        <w:rPr>
          <w:lang w:val="fr-CA"/>
        </w:rPr>
        <w:t>de la République populaire démocratique de Corée</w:t>
      </w:r>
      <w:r w:rsidRPr="0042639D">
        <w:rPr>
          <w:lang w:val="fr-CA"/>
        </w:rPr>
        <w:t xml:space="preserve">, </w:t>
      </w:r>
      <w:r>
        <w:rPr>
          <w:lang w:val="fr-CA"/>
        </w:rPr>
        <w:t>avec l’</w:t>
      </w:r>
      <w:r w:rsidRPr="0042639D">
        <w:rPr>
          <w:lang w:val="fr-CA"/>
        </w:rPr>
        <w:t xml:space="preserve">ONUDI </w:t>
      </w:r>
      <w:r>
        <w:rPr>
          <w:lang w:val="fr-CA"/>
        </w:rPr>
        <w:t>comme</w:t>
      </w:r>
      <w:r w:rsidRPr="0042639D">
        <w:rPr>
          <w:lang w:val="fr-CA"/>
        </w:rPr>
        <w:t xml:space="preserve"> </w:t>
      </w:r>
      <w:r>
        <w:rPr>
          <w:lang w:val="fr-CA"/>
        </w:rPr>
        <w:t>agence d’exécution principale</w:t>
      </w:r>
      <w:r w:rsidRPr="0042639D">
        <w:rPr>
          <w:lang w:val="fr-CA"/>
        </w:rPr>
        <w:t xml:space="preserve"> </w:t>
      </w:r>
      <w:r>
        <w:rPr>
          <w:lang w:val="fr-CA"/>
        </w:rPr>
        <w:t>et le</w:t>
      </w:r>
      <w:r w:rsidRPr="0042639D">
        <w:rPr>
          <w:lang w:val="fr-CA"/>
        </w:rPr>
        <w:t xml:space="preserve"> PNUE </w:t>
      </w:r>
      <w:r>
        <w:rPr>
          <w:lang w:val="fr-CA"/>
        </w:rPr>
        <w:t>comme</w:t>
      </w:r>
      <w:r w:rsidRPr="0042639D">
        <w:rPr>
          <w:lang w:val="fr-CA"/>
        </w:rPr>
        <w:t xml:space="preserve"> </w:t>
      </w:r>
      <w:r>
        <w:rPr>
          <w:lang w:val="fr-CA"/>
        </w:rPr>
        <w:t>agence d’exécution de coopération</w:t>
      </w:r>
      <w:r w:rsidRPr="0042639D">
        <w:rPr>
          <w:lang w:val="fr-CA"/>
        </w:rPr>
        <w:t xml:space="preserve">, </w:t>
      </w:r>
      <w:r>
        <w:rPr>
          <w:lang w:val="fr-CA"/>
        </w:rPr>
        <w:t xml:space="preserve">afin de réaliser une réduction de la consommation de </w:t>
      </w:r>
      <w:r w:rsidRPr="0042639D">
        <w:rPr>
          <w:lang w:val="fr-CA"/>
        </w:rPr>
        <w:t xml:space="preserve">HCFC </w:t>
      </w:r>
      <w:r>
        <w:rPr>
          <w:lang w:val="fr-CA"/>
        </w:rPr>
        <w:t xml:space="preserve">à un niveau soutenu de </w:t>
      </w:r>
      <w:r w:rsidRPr="0042639D">
        <w:rPr>
          <w:lang w:val="fr-CA"/>
        </w:rPr>
        <w:t>66</w:t>
      </w:r>
      <w:r>
        <w:rPr>
          <w:lang w:val="fr-CA"/>
        </w:rPr>
        <w:t>,</w:t>
      </w:r>
      <w:r w:rsidRPr="0042639D">
        <w:rPr>
          <w:lang w:val="fr-CA"/>
        </w:rPr>
        <w:t>30 tonnes</w:t>
      </w:r>
      <w:r>
        <w:rPr>
          <w:lang w:val="fr-CA"/>
        </w:rPr>
        <w:t xml:space="preserve"> PAO</w:t>
      </w:r>
      <w:r w:rsidRPr="0042639D">
        <w:rPr>
          <w:lang w:val="fr-CA"/>
        </w:rPr>
        <w:t xml:space="preserve"> </w:t>
      </w:r>
      <w:r>
        <w:rPr>
          <w:lang w:val="fr-CA"/>
        </w:rPr>
        <w:t>d’ici au 1</w:t>
      </w:r>
      <w:r w:rsidRPr="005B08E8">
        <w:rPr>
          <w:vertAlign w:val="superscript"/>
          <w:lang w:val="fr-CA"/>
        </w:rPr>
        <w:t>er</w:t>
      </w:r>
      <w:r>
        <w:rPr>
          <w:lang w:val="fr-CA"/>
        </w:rPr>
        <w:t xml:space="preserve"> janvier </w:t>
      </w:r>
      <w:r w:rsidRPr="0042639D">
        <w:rPr>
          <w:lang w:val="fr-CA"/>
        </w:rPr>
        <w:t>2018 (</w:t>
      </w:r>
      <w:r>
        <w:rPr>
          <w:lang w:val="fr-CA"/>
        </w:rPr>
        <w:t xml:space="preserve">soit </w:t>
      </w:r>
      <w:r w:rsidRPr="0042639D">
        <w:rPr>
          <w:lang w:val="fr-CA"/>
        </w:rPr>
        <w:t>15</w:t>
      </w:r>
      <w:r>
        <w:rPr>
          <w:lang w:val="fr-CA"/>
        </w:rPr>
        <w:t xml:space="preserve"> % au-dessous de la consommation de référence des </w:t>
      </w:r>
      <w:r w:rsidRPr="0042639D">
        <w:rPr>
          <w:lang w:val="fr-CA"/>
        </w:rPr>
        <w:t xml:space="preserve">HCFC </w:t>
      </w:r>
      <w:r>
        <w:rPr>
          <w:lang w:val="fr-CA"/>
        </w:rPr>
        <w:t xml:space="preserve">aux fins de conformité, à savoir </w:t>
      </w:r>
      <w:r w:rsidRPr="0042639D">
        <w:rPr>
          <w:lang w:val="fr-CA"/>
        </w:rPr>
        <w:t>78</w:t>
      </w:r>
      <w:r>
        <w:rPr>
          <w:lang w:val="fr-CA"/>
        </w:rPr>
        <w:t>,</w:t>
      </w:r>
      <w:r w:rsidRPr="0042639D">
        <w:rPr>
          <w:lang w:val="fr-CA"/>
        </w:rPr>
        <w:t>00 tonnes</w:t>
      </w:r>
      <w:r>
        <w:rPr>
          <w:lang w:val="fr-CA"/>
        </w:rPr>
        <w:t xml:space="preserve"> PAO</w:t>
      </w:r>
      <w:r w:rsidRPr="0042639D">
        <w:rPr>
          <w:lang w:val="fr-CA"/>
        </w:rPr>
        <w:t xml:space="preserve">). </w:t>
      </w:r>
      <w:r>
        <w:rPr>
          <w:lang w:val="fr-CA"/>
        </w:rPr>
        <w:t xml:space="preserve">L’approbation a été accordée sur </w:t>
      </w:r>
      <w:r w:rsidRPr="0042639D">
        <w:rPr>
          <w:lang w:val="fr-CA"/>
        </w:rPr>
        <w:t xml:space="preserve">confirmation </w:t>
      </w:r>
      <w:r>
        <w:rPr>
          <w:lang w:val="fr-CA"/>
        </w:rPr>
        <w:t xml:space="preserve">par les agences d’exécution que la </w:t>
      </w:r>
      <w:r w:rsidRPr="0042639D">
        <w:rPr>
          <w:lang w:val="fr-CA"/>
        </w:rPr>
        <w:t xml:space="preserve">phase I </w:t>
      </w:r>
      <w:r>
        <w:rPr>
          <w:lang w:val="fr-CA"/>
        </w:rPr>
        <w:t>du</w:t>
      </w:r>
      <w:r w:rsidRPr="0042639D">
        <w:rPr>
          <w:lang w:val="fr-CA"/>
        </w:rPr>
        <w:t xml:space="preserve"> PGEH </w:t>
      </w:r>
      <w:r>
        <w:rPr>
          <w:lang w:val="fr-CA"/>
        </w:rPr>
        <w:t xml:space="preserve">pourrait être mise en œuvre conformément aux </w:t>
      </w:r>
      <w:r w:rsidRPr="0042639D">
        <w:rPr>
          <w:lang w:val="fr-CA"/>
        </w:rPr>
        <w:t xml:space="preserve">résolutions </w:t>
      </w:r>
      <w:r>
        <w:rPr>
          <w:lang w:val="fr-CA"/>
        </w:rPr>
        <w:t>du Comité</w:t>
      </w:r>
      <w:r w:rsidRPr="0042639D">
        <w:rPr>
          <w:vertAlign w:val="superscript"/>
          <w:lang w:val="fr-CA"/>
        </w:rPr>
        <w:footnoteReference w:id="41"/>
      </w:r>
      <w:r w:rsidRPr="0042639D">
        <w:rPr>
          <w:lang w:val="fr-CA"/>
        </w:rPr>
        <w:t xml:space="preserve"> </w:t>
      </w:r>
      <w:r>
        <w:rPr>
          <w:lang w:val="fr-CA"/>
        </w:rPr>
        <w:t>du Conseil de sécurité des Nations Unies</w:t>
      </w:r>
      <w:r w:rsidRPr="0042639D">
        <w:rPr>
          <w:lang w:val="fr-CA"/>
        </w:rPr>
        <w:t xml:space="preserve"> (</w:t>
      </w:r>
      <w:r>
        <w:rPr>
          <w:lang w:val="fr-CA"/>
        </w:rPr>
        <w:t>CSNU</w:t>
      </w:r>
      <w:r w:rsidRPr="0042639D">
        <w:rPr>
          <w:lang w:val="fr-CA"/>
        </w:rPr>
        <w:t xml:space="preserve">) </w:t>
      </w:r>
      <w:r>
        <w:rPr>
          <w:lang w:val="fr-CA"/>
        </w:rPr>
        <w:t>sur la République populaire démocratique de Corée</w:t>
      </w:r>
      <w:r w:rsidRPr="0042639D">
        <w:rPr>
          <w:lang w:val="fr-CA"/>
        </w:rPr>
        <w:t xml:space="preserve">. </w:t>
      </w:r>
    </w:p>
    <w:p w14:paraId="5F98C5EE" w14:textId="77777777" w:rsidR="006345CD" w:rsidRPr="00E65CBA" w:rsidRDefault="006345CD" w:rsidP="006345CD">
      <w:pPr>
        <w:pStyle w:val="Heading1"/>
        <w:numPr>
          <w:ilvl w:val="0"/>
          <w:numId w:val="43"/>
        </w:numPr>
        <w:rPr>
          <w:lang w:val="fr-CA"/>
        </w:rPr>
      </w:pPr>
      <w:r>
        <w:rPr>
          <w:lang w:val="fr-CA"/>
        </w:rPr>
        <w:t xml:space="preserve">Depuis l’approbation de la </w:t>
      </w:r>
      <w:r w:rsidRPr="00E65CBA">
        <w:rPr>
          <w:lang w:val="fr-CA"/>
        </w:rPr>
        <w:t xml:space="preserve">phase I, </w:t>
      </w:r>
      <w:r>
        <w:rPr>
          <w:lang w:val="fr-CA"/>
        </w:rPr>
        <w:t>l</w:t>
      </w:r>
      <w:r w:rsidRPr="00E65CBA">
        <w:rPr>
          <w:lang w:val="fr-CA"/>
        </w:rPr>
        <w:t xml:space="preserve">e Comité exécutif </w:t>
      </w:r>
      <w:r>
        <w:rPr>
          <w:lang w:val="fr-CA"/>
        </w:rPr>
        <w:t xml:space="preserve">a approuvé trois des quatre </w:t>
      </w:r>
      <w:r w:rsidRPr="00E65CBA">
        <w:rPr>
          <w:lang w:val="fr-CA"/>
        </w:rPr>
        <w:t xml:space="preserve">tranches </w:t>
      </w:r>
      <w:r>
        <w:rPr>
          <w:lang w:val="fr-CA"/>
        </w:rPr>
        <w:t xml:space="preserve">de financement, pour un total de </w:t>
      </w:r>
      <w:r w:rsidRPr="00E65CBA">
        <w:rPr>
          <w:lang w:val="fr-CA"/>
        </w:rPr>
        <w:t>808</w:t>
      </w:r>
      <w:r>
        <w:rPr>
          <w:lang w:val="fr-CA"/>
        </w:rPr>
        <w:t> </w:t>
      </w:r>
      <w:r w:rsidRPr="00E65CBA">
        <w:rPr>
          <w:lang w:val="fr-CA"/>
        </w:rPr>
        <w:t>550</w:t>
      </w:r>
      <w:r>
        <w:rPr>
          <w:lang w:val="fr-CA"/>
        </w:rPr>
        <w:t> $US</w:t>
      </w:r>
      <w:r w:rsidRPr="00E65CBA">
        <w:rPr>
          <w:lang w:val="fr-CA"/>
        </w:rPr>
        <w:t xml:space="preserve"> (</w:t>
      </w:r>
      <w:r>
        <w:rPr>
          <w:lang w:val="fr-CA"/>
        </w:rPr>
        <w:t xml:space="preserve">soit </w:t>
      </w:r>
      <w:r w:rsidRPr="00E65CBA">
        <w:rPr>
          <w:lang w:val="fr-CA"/>
        </w:rPr>
        <w:t>95</w:t>
      </w:r>
      <w:r>
        <w:rPr>
          <w:lang w:val="fr-CA"/>
        </w:rPr>
        <w:t>,</w:t>
      </w:r>
      <w:r w:rsidRPr="00E65CBA">
        <w:rPr>
          <w:lang w:val="fr-CA"/>
        </w:rPr>
        <w:t>3</w:t>
      </w:r>
      <w:r>
        <w:rPr>
          <w:lang w:val="fr-CA"/>
        </w:rPr>
        <w:t xml:space="preserve"> % du financement total de </w:t>
      </w:r>
      <w:r w:rsidRPr="00E65CBA">
        <w:rPr>
          <w:lang w:val="fr-CA"/>
        </w:rPr>
        <w:t>848</w:t>
      </w:r>
      <w:r>
        <w:rPr>
          <w:lang w:val="fr-CA"/>
        </w:rPr>
        <w:t> </w:t>
      </w:r>
      <w:r w:rsidRPr="00E65CBA">
        <w:rPr>
          <w:lang w:val="fr-CA"/>
        </w:rPr>
        <w:t>550</w:t>
      </w:r>
      <w:r>
        <w:rPr>
          <w:lang w:val="fr-CA"/>
        </w:rPr>
        <w:t> $US approuvé en principe</w:t>
      </w:r>
      <w:r w:rsidRPr="00E65CBA">
        <w:rPr>
          <w:lang w:val="fr-CA"/>
        </w:rPr>
        <w:t xml:space="preserve">), </w:t>
      </w:r>
      <w:r>
        <w:rPr>
          <w:lang w:val="fr-CA"/>
        </w:rPr>
        <w:t>ainsi que le transfert à l’</w:t>
      </w:r>
      <w:r w:rsidRPr="00E65CBA">
        <w:rPr>
          <w:lang w:val="fr-CA"/>
        </w:rPr>
        <w:t xml:space="preserve">ONUDI </w:t>
      </w:r>
      <w:r>
        <w:rPr>
          <w:lang w:val="fr-CA"/>
        </w:rPr>
        <w:t xml:space="preserve">de toutes les </w:t>
      </w:r>
      <w:r w:rsidRPr="00E65CBA">
        <w:rPr>
          <w:lang w:val="fr-CA"/>
        </w:rPr>
        <w:t xml:space="preserve">activités </w:t>
      </w:r>
      <w:r>
        <w:rPr>
          <w:lang w:val="fr-CA"/>
        </w:rPr>
        <w:t xml:space="preserve">d’élimination confiées au </w:t>
      </w:r>
      <w:r w:rsidRPr="00E65CBA">
        <w:rPr>
          <w:lang w:val="fr-CA"/>
        </w:rPr>
        <w:t xml:space="preserve">PNUE. </w:t>
      </w:r>
      <w:r>
        <w:rPr>
          <w:lang w:val="fr-CA"/>
        </w:rPr>
        <w:t xml:space="preserve">Conformément à l’Accord conclu entre le </w:t>
      </w:r>
      <w:r w:rsidRPr="00E65CBA">
        <w:rPr>
          <w:lang w:val="fr-CA"/>
        </w:rPr>
        <w:t xml:space="preserve">Gouvernement </w:t>
      </w:r>
      <w:r>
        <w:rPr>
          <w:lang w:val="fr-CA"/>
        </w:rPr>
        <w:t xml:space="preserve">et le </w:t>
      </w:r>
      <w:r w:rsidRPr="00E65CBA">
        <w:rPr>
          <w:lang w:val="fr-CA"/>
        </w:rPr>
        <w:t xml:space="preserve">Comité exécutif, </w:t>
      </w:r>
      <w:r>
        <w:rPr>
          <w:lang w:val="fr-CA"/>
        </w:rPr>
        <w:t xml:space="preserve">la dernière </w:t>
      </w:r>
      <w:r w:rsidRPr="00E65CBA">
        <w:rPr>
          <w:lang w:val="fr-CA"/>
        </w:rPr>
        <w:t xml:space="preserve">tranche </w:t>
      </w:r>
      <w:r>
        <w:rPr>
          <w:lang w:val="fr-CA"/>
        </w:rPr>
        <w:t>de la</w:t>
      </w:r>
      <w:r w:rsidRPr="00E65CBA">
        <w:rPr>
          <w:lang w:val="fr-CA"/>
        </w:rPr>
        <w:t xml:space="preserve"> phase I </w:t>
      </w:r>
      <w:r>
        <w:rPr>
          <w:lang w:val="fr-CA"/>
        </w:rPr>
        <w:t xml:space="preserve">du </w:t>
      </w:r>
      <w:r w:rsidRPr="00E65CBA">
        <w:rPr>
          <w:lang w:val="fr-CA"/>
        </w:rPr>
        <w:t xml:space="preserve">PGEH, </w:t>
      </w:r>
      <w:r>
        <w:rPr>
          <w:lang w:val="fr-CA"/>
        </w:rPr>
        <w:t xml:space="preserve">d’une valeur de </w:t>
      </w:r>
      <w:r w:rsidRPr="00E65CBA">
        <w:rPr>
          <w:lang w:val="fr-CA"/>
        </w:rPr>
        <w:t>40</w:t>
      </w:r>
      <w:r>
        <w:rPr>
          <w:lang w:val="fr-CA"/>
        </w:rPr>
        <w:t> </w:t>
      </w:r>
      <w:r w:rsidRPr="00E65CBA">
        <w:rPr>
          <w:lang w:val="fr-CA"/>
        </w:rPr>
        <w:t>000</w:t>
      </w:r>
      <w:r>
        <w:rPr>
          <w:lang w:val="fr-CA"/>
        </w:rPr>
        <w:t> $US</w:t>
      </w:r>
      <w:r w:rsidRPr="00E65CBA">
        <w:rPr>
          <w:lang w:val="fr-CA"/>
        </w:rPr>
        <w:t xml:space="preserve">, </w:t>
      </w:r>
      <w:r>
        <w:rPr>
          <w:lang w:val="fr-CA"/>
        </w:rPr>
        <w:t xml:space="preserve">devait être soumise à la </w:t>
      </w:r>
      <w:r w:rsidRPr="00E65CBA">
        <w:rPr>
          <w:lang w:val="fr-CA"/>
        </w:rPr>
        <w:t>81</w:t>
      </w:r>
      <w:r>
        <w:rPr>
          <w:vertAlign w:val="superscript"/>
          <w:lang w:val="fr-CA"/>
        </w:rPr>
        <w:t>e</w:t>
      </w:r>
      <w:r w:rsidRPr="00E65CBA">
        <w:rPr>
          <w:vertAlign w:val="superscript"/>
          <w:lang w:val="fr-CA"/>
        </w:rPr>
        <w:t> </w:t>
      </w:r>
      <w:r w:rsidRPr="00E65CBA">
        <w:rPr>
          <w:lang w:val="fr-CA"/>
        </w:rPr>
        <w:t xml:space="preserve">réunion. </w:t>
      </w:r>
      <w:r>
        <w:rPr>
          <w:lang w:val="fr-CA"/>
        </w:rPr>
        <w:t>Toutefois, en raison des résolutions du CSNU, l’</w:t>
      </w:r>
      <w:r w:rsidRPr="00E65CBA">
        <w:rPr>
          <w:lang w:val="fr-CA"/>
        </w:rPr>
        <w:t xml:space="preserve">ONUDI </w:t>
      </w:r>
      <w:r>
        <w:rPr>
          <w:lang w:val="fr-CA"/>
        </w:rPr>
        <w:t>n’avait pas été en mesure de soumettre la demande pour cette tranche</w:t>
      </w:r>
      <w:r w:rsidRPr="00E65CBA">
        <w:rPr>
          <w:lang w:val="fr-CA"/>
        </w:rPr>
        <w:t>.</w:t>
      </w:r>
    </w:p>
    <w:p w14:paraId="02EE2F61" w14:textId="77777777" w:rsidR="006345CD" w:rsidRPr="0042639D" w:rsidRDefault="006345CD" w:rsidP="006345CD">
      <w:pPr>
        <w:keepNext/>
        <w:keepLines/>
        <w:spacing w:after="240"/>
        <w:rPr>
          <w:bCs/>
          <w:u w:val="single"/>
          <w:lang w:val="fr-CA"/>
        </w:rPr>
      </w:pPr>
      <w:r>
        <w:rPr>
          <w:bCs/>
          <w:u w:val="single"/>
          <w:lang w:val="fr-CA"/>
        </w:rPr>
        <w:t>Rapport d’avancement</w:t>
      </w:r>
      <w:r w:rsidRPr="0042639D">
        <w:rPr>
          <w:bCs/>
          <w:u w:val="single"/>
          <w:lang w:val="fr-CA"/>
        </w:rPr>
        <w:t xml:space="preserve"> </w:t>
      </w:r>
      <w:r>
        <w:rPr>
          <w:bCs/>
          <w:u w:val="single"/>
          <w:lang w:val="fr-CA"/>
        </w:rPr>
        <w:t xml:space="preserve">soumis à la </w:t>
      </w:r>
      <w:r w:rsidRPr="0042639D">
        <w:rPr>
          <w:bCs/>
          <w:u w:val="single"/>
          <w:lang w:val="fr-CA"/>
        </w:rPr>
        <w:t>85</w:t>
      </w:r>
      <w:r>
        <w:rPr>
          <w:bCs/>
          <w:u w:val="single"/>
          <w:vertAlign w:val="superscript"/>
          <w:lang w:val="fr-CA"/>
        </w:rPr>
        <w:t>e</w:t>
      </w:r>
      <w:r w:rsidRPr="0042639D">
        <w:rPr>
          <w:bCs/>
          <w:u w:val="single"/>
          <w:lang w:val="fr-CA"/>
        </w:rPr>
        <w:t> réunion</w:t>
      </w:r>
    </w:p>
    <w:p w14:paraId="069C4FA5" w14:textId="77777777" w:rsidR="006345CD" w:rsidRPr="0042639D" w:rsidRDefault="006345CD" w:rsidP="006345CD">
      <w:pPr>
        <w:numPr>
          <w:ilvl w:val="0"/>
          <w:numId w:val="30"/>
        </w:numPr>
        <w:spacing w:after="240"/>
        <w:outlineLvl w:val="0"/>
        <w:rPr>
          <w:lang w:val="fr-CA"/>
        </w:rPr>
      </w:pPr>
      <w:r>
        <w:rPr>
          <w:lang w:val="fr-CA"/>
        </w:rPr>
        <w:t>L’</w:t>
      </w:r>
      <w:r w:rsidRPr="0042639D">
        <w:rPr>
          <w:lang w:val="fr-CA"/>
        </w:rPr>
        <w:t xml:space="preserve">ONUDI </w:t>
      </w:r>
      <w:r>
        <w:rPr>
          <w:lang w:val="fr-CA"/>
        </w:rPr>
        <w:t xml:space="preserve">avait soumis à la </w:t>
      </w:r>
      <w:r w:rsidRPr="0042639D">
        <w:rPr>
          <w:lang w:val="fr-CA"/>
        </w:rPr>
        <w:t>85</w:t>
      </w:r>
      <w:r>
        <w:rPr>
          <w:vertAlign w:val="superscript"/>
          <w:lang w:val="fr-CA"/>
        </w:rPr>
        <w:t>e</w:t>
      </w:r>
      <w:r w:rsidRPr="0042639D">
        <w:rPr>
          <w:lang w:val="fr-CA"/>
        </w:rPr>
        <w:t xml:space="preserve"> réunion </w:t>
      </w:r>
      <w:r>
        <w:rPr>
          <w:lang w:val="fr-CA"/>
        </w:rPr>
        <w:t>un</w:t>
      </w:r>
      <w:r w:rsidRPr="0042639D">
        <w:rPr>
          <w:lang w:val="fr-CA"/>
        </w:rPr>
        <w:t xml:space="preserve"> </w:t>
      </w:r>
      <w:r>
        <w:rPr>
          <w:lang w:val="fr-CA"/>
        </w:rPr>
        <w:t>rapport d’avancement</w:t>
      </w:r>
      <w:r w:rsidRPr="0042639D">
        <w:rPr>
          <w:lang w:val="fr-CA"/>
        </w:rPr>
        <w:t xml:space="preserve"> </w:t>
      </w:r>
      <w:r>
        <w:rPr>
          <w:lang w:val="fr-CA"/>
        </w:rPr>
        <w:t xml:space="preserve">sur la mise en œuvre de la </w:t>
      </w:r>
      <w:r w:rsidRPr="0042639D">
        <w:rPr>
          <w:lang w:val="fr-CA"/>
        </w:rPr>
        <w:t xml:space="preserve">phase I </w:t>
      </w:r>
      <w:r>
        <w:rPr>
          <w:lang w:val="fr-CA"/>
        </w:rPr>
        <w:t xml:space="preserve">du </w:t>
      </w:r>
      <w:r w:rsidRPr="0042639D">
        <w:rPr>
          <w:lang w:val="fr-CA"/>
        </w:rPr>
        <w:t xml:space="preserve">PGEH, </w:t>
      </w:r>
      <w:r>
        <w:rPr>
          <w:lang w:val="fr-CA"/>
        </w:rPr>
        <w:t xml:space="preserve">indiquant les </w:t>
      </w:r>
      <w:r w:rsidRPr="0042639D">
        <w:rPr>
          <w:lang w:val="fr-CA"/>
        </w:rPr>
        <w:t xml:space="preserve">activités </w:t>
      </w:r>
      <w:r>
        <w:rPr>
          <w:lang w:val="fr-CA"/>
        </w:rPr>
        <w:t>exécutées jusqu’ici</w:t>
      </w:r>
      <w:r w:rsidRPr="0042639D">
        <w:rPr>
          <w:lang w:val="fr-CA"/>
        </w:rPr>
        <w:t xml:space="preserve">, </w:t>
      </w:r>
      <w:r>
        <w:rPr>
          <w:lang w:val="fr-CA"/>
        </w:rPr>
        <w:t xml:space="preserve">le niveau de décaissement réalisé, les difficultés rencontrées dans la poursuite des </w:t>
      </w:r>
      <w:r w:rsidRPr="0042639D">
        <w:rPr>
          <w:lang w:val="fr-CA"/>
        </w:rPr>
        <w:t xml:space="preserve">activités </w:t>
      </w:r>
      <w:r>
        <w:rPr>
          <w:lang w:val="fr-CA"/>
        </w:rPr>
        <w:t xml:space="preserve">conformes aux </w:t>
      </w:r>
      <w:r w:rsidRPr="0042639D">
        <w:rPr>
          <w:lang w:val="fr-CA"/>
        </w:rPr>
        <w:t>résolutions</w:t>
      </w:r>
      <w:r>
        <w:rPr>
          <w:lang w:val="fr-CA"/>
        </w:rPr>
        <w:t xml:space="preserve"> du CSNU</w:t>
      </w:r>
      <w:r w:rsidRPr="0042639D">
        <w:rPr>
          <w:lang w:val="fr-CA"/>
        </w:rPr>
        <w:t xml:space="preserve">, </w:t>
      </w:r>
      <w:r>
        <w:rPr>
          <w:lang w:val="fr-CA"/>
        </w:rPr>
        <w:t xml:space="preserve">ainsi qu’une demande de directives du </w:t>
      </w:r>
      <w:r w:rsidRPr="0042639D">
        <w:rPr>
          <w:lang w:val="fr-CA"/>
        </w:rPr>
        <w:t xml:space="preserve">Comité exécutif. </w:t>
      </w:r>
    </w:p>
    <w:p w14:paraId="35A81149" w14:textId="77777777" w:rsidR="006345CD" w:rsidRPr="0042639D" w:rsidRDefault="006345CD" w:rsidP="006345CD">
      <w:pPr>
        <w:numPr>
          <w:ilvl w:val="0"/>
          <w:numId w:val="30"/>
        </w:numPr>
        <w:spacing w:after="240"/>
        <w:outlineLvl w:val="0"/>
        <w:rPr>
          <w:lang w:val="fr-CA"/>
        </w:rPr>
      </w:pPr>
      <w:r>
        <w:rPr>
          <w:lang w:val="fr-CA"/>
        </w:rPr>
        <w:t>Le rapport indiquait que, malgré les difficultés découlant des résolutions du CSNU</w:t>
      </w:r>
      <w:r w:rsidRPr="0042639D">
        <w:rPr>
          <w:lang w:val="fr-CA"/>
        </w:rPr>
        <w:t xml:space="preserve">, </w:t>
      </w:r>
      <w:r>
        <w:rPr>
          <w:lang w:val="fr-CA"/>
        </w:rPr>
        <w:t>les a</w:t>
      </w:r>
      <w:r w:rsidRPr="0042639D">
        <w:rPr>
          <w:lang w:val="fr-CA"/>
        </w:rPr>
        <w:t>ctivités</w:t>
      </w:r>
      <w:r>
        <w:rPr>
          <w:lang w:val="fr-CA"/>
        </w:rPr>
        <w:t xml:space="preserve"> ci-après ont été exécutées durant </w:t>
      </w:r>
      <w:proofErr w:type="gramStart"/>
      <w:r>
        <w:rPr>
          <w:lang w:val="fr-CA"/>
        </w:rPr>
        <w:t>les première</w:t>
      </w:r>
      <w:proofErr w:type="gramEnd"/>
      <w:r>
        <w:rPr>
          <w:lang w:val="fr-CA"/>
        </w:rPr>
        <w:t xml:space="preserve"> et deuxième </w:t>
      </w:r>
      <w:r w:rsidRPr="0042639D">
        <w:rPr>
          <w:lang w:val="fr-CA"/>
        </w:rPr>
        <w:t>tranches:</w:t>
      </w:r>
    </w:p>
    <w:p w14:paraId="0BABEBAA" w14:textId="77777777" w:rsidR="006345CD" w:rsidRPr="0042639D" w:rsidRDefault="006345CD" w:rsidP="006345CD">
      <w:pPr>
        <w:pStyle w:val="Heading2"/>
        <w:numPr>
          <w:ilvl w:val="1"/>
          <w:numId w:val="30"/>
        </w:numPr>
        <w:rPr>
          <w:lang w:val="fr-CA"/>
        </w:rPr>
      </w:pPr>
      <w:r>
        <w:rPr>
          <w:lang w:val="fr-CA"/>
        </w:rPr>
        <w:t>Acquisition de trois identificateurs de frigorigènes pour le bureau de douanes du pays</w:t>
      </w:r>
      <w:r w:rsidRPr="0042639D">
        <w:rPr>
          <w:lang w:val="fr-CA"/>
        </w:rPr>
        <w:t>;</w:t>
      </w:r>
    </w:p>
    <w:p w14:paraId="5D7C8E41" w14:textId="77777777" w:rsidR="006345CD" w:rsidRPr="0042639D" w:rsidRDefault="006345CD" w:rsidP="006345CD">
      <w:pPr>
        <w:pStyle w:val="Heading2"/>
        <w:numPr>
          <w:ilvl w:val="1"/>
          <w:numId w:val="30"/>
        </w:numPr>
        <w:rPr>
          <w:rFonts w:eastAsiaTheme="minorEastAsia"/>
          <w:lang w:val="fr-CA" w:eastAsia="en-GB"/>
        </w:rPr>
      </w:pPr>
      <w:r>
        <w:rPr>
          <w:lang w:val="fr-CA"/>
        </w:rPr>
        <w:t xml:space="preserve">Achat d’une machine de gonflage de mousse par vaporisation pour l’usine </w:t>
      </w:r>
      <w:proofErr w:type="spellStart"/>
      <w:r w:rsidRPr="0042639D">
        <w:rPr>
          <w:lang w:val="fr-CA"/>
        </w:rPr>
        <w:t>Puhung</w:t>
      </w:r>
      <w:proofErr w:type="spellEnd"/>
      <w:r w:rsidRPr="0042639D">
        <w:rPr>
          <w:lang w:val="fr-CA"/>
        </w:rPr>
        <w:t xml:space="preserve"> Building </w:t>
      </w:r>
      <w:proofErr w:type="spellStart"/>
      <w:r w:rsidRPr="0042639D">
        <w:rPr>
          <w:lang w:val="fr-CA"/>
        </w:rPr>
        <w:t>Material</w:t>
      </w:r>
      <w:proofErr w:type="spellEnd"/>
      <w:r>
        <w:rPr>
          <w:lang w:val="fr-CA"/>
        </w:rPr>
        <w:t xml:space="preserve"> après autorisation du Comité du</w:t>
      </w:r>
      <w:r w:rsidRPr="0042639D">
        <w:rPr>
          <w:lang w:val="fr-CA"/>
        </w:rPr>
        <w:t xml:space="preserve"> </w:t>
      </w:r>
      <w:r>
        <w:rPr>
          <w:lang w:val="fr-CA"/>
        </w:rPr>
        <w:t>CSNU</w:t>
      </w:r>
      <w:r w:rsidRPr="0042639D">
        <w:rPr>
          <w:lang w:val="fr-CA"/>
        </w:rPr>
        <w:t xml:space="preserve"> </w:t>
      </w:r>
      <w:r>
        <w:rPr>
          <w:lang w:val="fr-CA"/>
        </w:rPr>
        <w:t>e</w:t>
      </w:r>
      <w:r w:rsidRPr="0042639D">
        <w:rPr>
          <w:lang w:val="fr-CA"/>
        </w:rPr>
        <w:t xml:space="preserve">n 2015, </w:t>
      </w:r>
      <w:r>
        <w:rPr>
          <w:lang w:val="fr-CA"/>
        </w:rPr>
        <w:t xml:space="preserve">et </w:t>
      </w:r>
      <w:r w:rsidRPr="0042639D">
        <w:rPr>
          <w:lang w:val="fr-CA"/>
        </w:rPr>
        <w:t xml:space="preserve">préparation </w:t>
      </w:r>
      <w:r>
        <w:rPr>
          <w:lang w:val="fr-CA"/>
        </w:rPr>
        <w:t>d’un contrat pour l’achat et l’expédition d’équipements auxiliaires pour permettre l’</w:t>
      </w:r>
      <w:r w:rsidRPr="0042639D">
        <w:rPr>
          <w:lang w:val="fr-CA"/>
        </w:rPr>
        <w:t>installation/</w:t>
      </w:r>
      <w:r>
        <w:rPr>
          <w:lang w:val="fr-CA"/>
        </w:rPr>
        <w:t>la mise en marche de l’équipement de gonflage par vaporisation</w:t>
      </w:r>
      <w:r w:rsidRPr="0042639D">
        <w:rPr>
          <w:lang w:val="fr-CA"/>
        </w:rPr>
        <w:t>;</w:t>
      </w:r>
    </w:p>
    <w:p w14:paraId="0E6A47FB" w14:textId="77777777" w:rsidR="006345CD" w:rsidRPr="0042639D" w:rsidRDefault="006345CD" w:rsidP="006345CD">
      <w:pPr>
        <w:pStyle w:val="Heading2"/>
        <w:numPr>
          <w:ilvl w:val="1"/>
          <w:numId w:val="30"/>
        </w:numPr>
        <w:rPr>
          <w:rFonts w:eastAsiaTheme="minorEastAsia"/>
          <w:lang w:val="fr-CA" w:eastAsia="en-GB"/>
        </w:rPr>
      </w:pPr>
      <w:r>
        <w:rPr>
          <w:lang w:val="fr-CA"/>
        </w:rPr>
        <w:t xml:space="preserve">Acquisition d’équipement de mousse de </w:t>
      </w:r>
      <w:r w:rsidRPr="0042639D">
        <w:rPr>
          <w:lang w:val="fr-CA"/>
        </w:rPr>
        <w:t>polyur</w:t>
      </w:r>
      <w:r>
        <w:rPr>
          <w:lang w:val="fr-CA"/>
        </w:rPr>
        <w:t>é</w:t>
      </w:r>
      <w:r w:rsidRPr="0042639D">
        <w:rPr>
          <w:lang w:val="fr-CA"/>
        </w:rPr>
        <w:t>thane (PU) (</w:t>
      </w:r>
      <w:r>
        <w:rPr>
          <w:lang w:val="fr-CA"/>
        </w:rPr>
        <w:t xml:space="preserve">formate de </w:t>
      </w:r>
      <w:r w:rsidRPr="0042639D">
        <w:rPr>
          <w:lang w:val="fr-CA"/>
        </w:rPr>
        <w:t>m</w:t>
      </w:r>
      <w:r>
        <w:rPr>
          <w:lang w:val="fr-CA"/>
        </w:rPr>
        <w:t>é</w:t>
      </w:r>
      <w:r w:rsidRPr="0042639D">
        <w:rPr>
          <w:lang w:val="fr-CA"/>
        </w:rPr>
        <w:t>thyl</w:t>
      </w:r>
      <w:r>
        <w:rPr>
          <w:lang w:val="fr-CA"/>
        </w:rPr>
        <w:t>e</w:t>
      </w:r>
      <w:r w:rsidRPr="0042639D">
        <w:rPr>
          <w:lang w:val="fr-CA"/>
        </w:rPr>
        <w:t xml:space="preserve">), </w:t>
      </w:r>
      <w:r>
        <w:rPr>
          <w:lang w:val="fr-CA"/>
        </w:rPr>
        <w:t>autorisée</w:t>
      </w:r>
      <w:r w:rsidRPr="0042639D">
        <w:rPr>
          <w:lang w:val="fr-CA"/>
        </w:rPr>
        <w:t xml:space="preserve"> </w:t>
      </w:r>
      <w:r>
        <w:rPr>
          <w:lang w:val="fr-CA"/>
        </w:rPr>
        <w:t>par le Comité du CSNU</w:t>
      </w:r>
      <w:r w:rsidRPr="0042639D">
        <w:rPr>
          <w:lang w:val="fr-CA"/>
        </w:rPr>
        <w:t xml:space="preserve"> </w:t>
      </w:r>
      <w:r>
        <w:rPr>
          <w:lang w:val="fr-CA"/>
        </w:rPr>
        <w:t xml:space="preserve">selon les </w:t>
      </w:r>
      <w:r w:rsidRPr="0042639D">
        <w:rPr>
          <w:lang w:val="fr-CA"/>
        </w:rPr>
        <w:t xml:space="preserve">procédures </w:t>
      </w:r>
      <w:r>
        <w:rPr>
          <w:lang w:val="fr-CA"/>
        </w:rPr>
        <w:t xml:space="preserve">établies dans la </w:t>
      </w:r>
      <w:r w:rsidRPr="0042639D">
        <w:rPr>
          <w:lang w:val="fr-CA"/>
        </w:rPr>
        <w:t>Résolution 2270 (2016)</w:t>
      </w:r>
      <w:r>
        <w:rPr>
          <w:lang w:val="fr-CA"/>
        </w:rPr>
        <w:t xml:space="preserve"> du CSNU</w:t>
      </w:r>
      <w:r w:rsidRPr="0042639D">
        <w:rPr>
          <w:lang w:val="fr-CA"/>
        </w:rPr>
        <w:t xml:space="preserve">; </w:t>
      </w:r>
      <w:r>
        <w:rPr>
          <w:lang w:val="fr-CA"/>
        </w:rPr>
        <w:t>un contrat d’acquisition a été émis aux fournisseurs d’équipements</w:t>
      </w:r>
      <w:r w:rsidRPr="0042639D">
        <w:rPr>
          <w:lang w:val="fr-CA"/>
        </w:rPr>
        <w:t xml:space="preserve">; </w:t>
      </w:r>
      <w:r>
        <w:rPr>
          <w:lang w:val="fr-CA"/>
        </w:rPr>
        <w:t>l’équipement avait été expédié via la Chine, car il ne pouvait pas être envoyé directement à la République populaire démocratique de Corée</w:t>
      </w:r>
      <w:r w:rsidRPr="0042639D">
        <w:rPr>
          <w:lang w:val="fr-CA"/>
        </w:rPr>
        <w:t xml:space="preserve">, </w:t>
      </w:r>
      <w:r>
        <w:rPr>
          <w:lang w:val="fr-CA"/>
        </w:rPr>
        <w:t xml:space="preserve">mais il avait été refusé par les autorités douanières de la </w:t>
      </w:r>
      <w:r w:rsidRPr="0042639D">
        <w:rPr>
          <w:lang w:val="fr-CA"/>
        </w:rPr>
        <w:t>Chin</w:t>
      </w:r>
      <w:r>
        <w:rPr>
          <w:lang w:val="fr-CA"/>
        </w:rPr>
        <w:t>e et renvoyé au fournisseur</w:t>
      </w:r>
      <w:r w:rsidRPr="0042639D">
        <w:rPr>
          <w:lang w:val="fr-CA"/>
        </w:rPr>
        <w:t xml:space="preserve">; </w:t>
      </w:r>
    </w:p>
    <w:p w14:paraId="1E581F09" w14:textId="77777777" w:rsidR="006345CD" w:rsidRPr="0042639D" w:rsidRDefault="006345CD" w:rsidP="006345CD">
      <w:pPr>
        <w:pStyle w:val="Heading2"/>
        <w:numPr>
          <w:ilvl w:val="1"/>
          <w:numId w:val="30"/>
        </w:numPr>
        <w:rPr>
          <w:rFonts w:eastAsiaTheme="minorEastAsia"/>
          <w:lang w:val="fr-CA" w:eastAsia="en-GB"/>
        </w:rPr>
      </w:pPr>
      <w:r>
        <w:rPr>
          <w:rFonts w:eastAsiaTheme="minorEastAsia"/>
          <w:lang w:val="fr-CA" w:eastAsia="en-GB"/>
        </w:rPr>
        <w:t xml:space="preserve">Acquisition d’équipement de formation pour les techniciens d’entretien en </w:t>
      </w:r>
      <w:r w:rsidRPr="0042639D">
        <w:rPr>
          <w:rFonts w:eastAsiaTheme="minorEastAsia"/>
          <w:lang w:val="fr-CA" w:eastAsia="en-GB"/>
        </w:rPr>
        <w:t xml:space="preserve">réfrigération </w:t>
      </w:r>
      <w:r>
        <w:rPr>
          <w:rFonts w:eastAsiaTheme="minorEastAsia"/>
          <w:lang w:val="fr-CA" w:eastAsia="en-GB"/>
        </w:rPr>
        <w:t xml:space="preserve">et climatisation </w:t>
      </w:r>
      <w:r w:rsidRPr="0042639D">
        <w:rPr>
          <w:rFonts w:eastAsiaTheme="minorEastAsia"/>
          <w:lang w:val="fr-CA" w:eastAsia="en-GB"/>
        </w:rPr>
        <w:t>(RAC)</w:t>
      </w:r>
      <w:r>
        <w:rPr>
          <w:rFonts w:eastAsiaTheme="minorEastAsia"/>
          <w:lang w:val="fr-CA" w:eastAsia="en-GB"/>
        </w:rPr>
        <w:t>, avec l’autorisation du Comité du</w:t>
      </w:r>
      <w:r w:rsidRPr="0042639D">
        <w:rPr>
          <w:rFonts w:eastAsiaTheme="minorEastAsia"/>
          <w:lang w:val="fr-CA" w:eastAsia="en-GB"/>
        </w:rPr>
        <w:t xml:space="preserve"> </w:t>
      </w:r>
      <w:r>
        <w:rPr>
          <w:rFonts w:eastAsiaTheme="minorEastAsia"/>
          <w:lang w:val="fr-CA" w:eastAsia="en-GB"/>
        </w:rPr>
        <w:t>CSNU</w:t>
      </w:r>
      <w:r w:rsidRPr="0042639D">
        <w:rPr>
          <w:rFonts w:eastAsiaTheme="minorEastAsia"/>
          <w:lang w:val="fr-CA" w:eastAsia="en-GB"/>
        </w:rPr>
        <w:t xml:space="preserve">, </w:t>
      </w:r>
      <w:r>
        <w:rPr>
          <w:rFonts w:eastAsiaTheme="minorEastAsia"/>
          <w:lang w:val="fr-CA" w:eastAsia="en-GB"/>
        </w:rPr>
        <w:t xml:space="preserve">expédié et distribué aux </w:t>
      </w:r>
      <w:r w:rsidRPr="0042639D">
        <w:rPr>
          <w:rFonts w:eastAsiaTheme="minorEastAsia"/>
          <w:lang w:val="fr-CA" w:eastAsia="en-GB"/>
        </w:rPr>
        <w:t>technici</w:t>
      </w:r>
      <w:r>
        <w:rPr>
          <w:rFonts w:eastAsiaTheme="minorEastAsia"/>
          <w:lang w:val="fr-CA" w:eastAsia="en-GB"/>
        </w:rPr>
        <w:t>e</w:t>
      </w:r>
      <w:r w:rsidRPr="0042639D">
        <w:rPr>
          <w:rFonts w:eastAsiaTheme="minorEastAsia"/>
          <w:lang w:val="fr-CA" w:eastAsia="en-GB"/>
        </w:rPr>
        <w:t xml:space="preserve">ns </w:t>
      </w:r>
      <w:r>
        <w:rPr>
          <w:rFonts w:eastAsiaTheme="minorEastAsia"/>
          <w:lang w:val="fr-CA" w:eastAsia="en-GB"/>
        </w:rPr>
        <w:t>en juin</w:t>
      </w:r>
      <w:r w:rsidRPr="0042639D">
        <w:rPr>
          <w:rFonts w:eastAsiaTheme="minorEastAsia"/>
          <w:lang w:val="fr-CA" w:eastAsia="en-GB"/>
        </w:rPr>
        <w:t xml:space="preserve"> 2016; </w:t>
      </w:r>
    </w:p>
    <w:p w14:paraId="35AB4E3F" w14:textId="77777777" w:rsidR="006345CD" w:rsidRPr="0042639D" w:rsidRDefault="006345CD" w:rsidP="006345CD">
      <w:pPr>
        <w:pStyle w:val="Heading2"/>
        <w:keepNext/>
        <w:widowControl/>
        <w:numPr>
          <w:ilvl w:val="1"/>
          <w:numId w:val="30"/>
        </w:numPr>
        <w:rPr>
          <w:rFonts w:eastAsiaTheme="minorEastAsia"/>
          <w:lang w:val="fr-CA" w:eastAsia="en-GB"/>
        </w:rPr>
      </w:pPr>
      <w:r w:rsidRPr="0042639D">
        <w:rPr>
          <w:rFonts w:eastAsiaTheme="minorEastAsia"/>
          <w:lang w:val="fr-CA" w:eastAsia="en-GB"/>
        </w:rPr>
        <w:t>Organi</w:t>
      </w:r>
      <w:r>
        <w:rPr>
          <w:rFonts w:eastAsiaTheme="minorEastAsia"/>
          <w:lang w:val="fr-CA" w:eastAsia="en-GB"/>
        </w:rPr>
        <w:t>s</w:t>
      </w:r>
      <w:r w:rsidRPr="0042639D">
        <w:rPr>
          <w:rFonts w:eastAsiaTheme="minorEastAsia"/>
          <w:lang w:val="fr-CA" w:eastAsia="en-GB"/>
        </w:rPr>
        <w:t xml:space="preserve">ation </w:t>
      </w:r>
      <w:r>
        <w:rPr>
          <w:rFonts w:eastAsiaTheme="minorEastAsia"/>
          <w:lang w:val="fr-CA" w:eastAsia="en-GB"/>
        </w:rPr>
        <w:t xml:space="preserve">d’un atelier de formation d’instructeurs pour </w:t>
      </w:r>
      <w:r w:rsidRPr="0042639D">
        <w:rPr>
          <w:rFonts w:eastAsiaTheme="minorEastAsia"/>
          <w:lang w:val="fr-CA" w:eastAsia="en-GB"/>
        </w:rPr>
        <w:t xml:space="preserve">35 </w:t>
      </w:r>
      <w:r>
        <w:rPr>
          <w:rFonts w:eastAsiaTheme="minorEastAsia"/>
          <w:lang w:val="fr-CA" w:eastAsia="en-GB"/>
        </w:rPr>
        <w:t xml:space="preserve">techniciens d’entretien </w:t>
      </w:r>
      <w:r w:rsidRPr="0042639D">
        <w:rPr>
          <w:rFonts w:eastAsiaTheme="minorEastAsia"/>
          <w:lang w:val="fr-CA" w:eastAsia="en-GB"/>
        </w:rPr>
        <w:t>RAC</w:t>
      </w:r>
      <w:r>
        <w:rPr>
          <w:rFonts w:eastAsiaTheme="minorEastAsia"/>
          <w:lang w:val="fr-CA" w:eastAsia="en-GB"/>
        </w:rPr>
        <w:t xml:space="preserve">, tenu en août et en septembre </w:t>
      </w:r>
      <w:r w:rsidRPr="0042639D">
        <w:rPr>
          <w:rFonts w:eastAsiaTheme="minorEastAsia"/>
          <w:lang w:val="fr-CA" w:eastAsia="en-GB"/>
        </w:rPr>
        <w:t>2016;</w:t>
      </w:r>
    </w:p>
    <w:p w14:paraId="07E5A6A6" w14:textId="77777777" w:rsidR="006345CD" w:rsidRPr="0042639D" w:rsidRDefault="006345CD" w:rsidP="006345CD">
      <w:pPr>
        <w:pStyle w:val="Heading2"/>
        <w:numPr>
          <w:ilvl w:val="1"/>
          <w:numId w:val="30"/>
        </w:numPr>
        <w:rPr>
          <w:rFonts w:eastAsiaTheme="minorEastAsia"/>
          <w:lang w:val="fr-CA" w:eastAsia="en-GB"/>
        </w:rPr>
      </w:pPr>
      <w:r>
        <w:rPr>
          <w:lang w:val="fr-CA"/>
        </w:rPr>
        <w:t xml:space="preserve">Achèvement d’une autre session de formation de cinq instructeurs aux bonnes pratiques d’entretien </w:t>
      </w:r>
      <w:r w:rsidRPr="0042639D">
        <w:rPr>
          <w:lang w:val="fr-CA"/>
        </w:rPr>
        <w:t xml:space="preserve">RAC, </w:t>
      </w:r>
      <w:r>
        <w:rPr>
          <w:lang w:val="fr-CA"/>
        </w:rPr>
        <w:t xml:space="preserve">tenue en Inde en décembre </w:t>
      </w:r>
      <w:r w:rsidRPr="0042639D">
        <w:rPr>
          <w:lang w:val="fr-CA"/>
        </w:rPr>
        <w:t xml:space="preserve">2016; </w:t>
      </w:r>
      <w:r>
        <w:rPr>
          <w:lang w:val="fr-CA"/>
        </w:rPr>
        <w:t>et</w:t>
      </w:r>
    </w:p>
    <w:p w14:paraId="1036E707" w14:textId="77777777" w:rsidR="006345CD" w:rsidRPr="0042639D" w:rsidRDefault="006345CD" w:rsidP="006345CD">
      <w:pPr>
        <w:widowControl w:val="0"/>
        <w:numPr>
          <w:ilvl w:val="1"/>
          <w:numId w:val="30"/>
        </w:numPr>
        <w:spacing w:after="240"/>
        <w:outlineLvl w:val="1"/>
        <w:rPr>
          <w:rFonts w:eastAsiaTheme="minorEastAsia"/>
          <w:lang w:val="fr-CA" w:eastAsia="en-GB"/>
        </w:rPr>
      </w:pPr>
      <w:r>
        <w:rPr>
          <w:lang w:val="fr-CA"/>
        </w:rPr>
        <w:t xml:space="preserve">Tenue du premier atelier de formation d’instructeurs pour </w:t>
      </w:r>
      <w:r w:rsidRPr="0042639D">
        <w:rPr>
          <w:lang w:val="fr-CA"/>
        </w:rPr>
        <w:t xml:space="preserve">40 </w:t>
      </w:r>
      <w:r>
        <w:rPr>
          <w:lang w:val="fr-CA"/>
        </w:rPr>
        <w:t>agents de douane en mai</w:t>
      </w:r>
      <w:r w:rsidRPr="0042639D">
        <w:rPr>
          <w:lang w:val="fr-CA"/>
        </w:rPr>
        <w:t xml:space="preserve"> 2017.</w:t>
      </w:r>
    </w:p>
    <w:p w14:paraId="2549BE47" w14:textId="77777777" w:rsidR="006345CD" w:rsidRPr="0042639D" w:rsidRDefault="006345CD" w:rsidP="006345CD">
      <w:pPr>
        <w:keepNext/>
        <w:keepLines/>
        <w:spacing w:after="240"/>
        <w:rPr>
          <w:iCs/>
          <w:u w:val="single"/>
          <w:lang w:val="fr-CA"/>
        </w:rPr>
      </w:pPr>
      <w:r>
        <w:rPr>
          <w:iCs/>
          <w:u w:val="single"/>
          <w:lang w:val="fr-CA"/>
        </w:rPr>
        <w:t>Niveau de décaissement des fonds</w:t>
      </w:r>
    </w:p>
    <w:p w14:paraId="19156F41" w14:textId="77777777" w:rsidR="006345CD" w:rsidRPr="0042639D" w:rsidRDefault="006345CD" w:rsidP="006345CD">
      <w:pPr>
        <w:keepNext/>
        <w:keepLines/>
        <w:numPr>
          <w:ilvl w:val="0"/>
          <w:numId w:val="30"/>
        </w:numPr>
        <w:spacing w:after="240"/>
        <w:outlineLvl w:val="0"/>
        <w:rPr>
          <w:color w:val="000000" w:themeColor="text1"/>
          <w:lang w:val="fr-CA"/>
        </w:rPr>
      </w:pPr>
      <w:r>
        <w:rPr>
          <w:lang w:val="fr-CA"/>
        </w:rPr>
        <w:t>Au</w:t>
      </w:r>
      <w:r w:rsidRPr="0042639D">
        <w:rPr>
          <w:lang w:val="fr-CA"/>
        </w:rPr>
        <w:t xml:space="preserve"> 30 </w:t>
      </w:r>
      <w:r>
        <w:rPr>
          <w:lang w:val="fr-CA"/>
        </w:rPr>
        <w:t>mars</w:t>
      </w:r>
      <w:r w:rsidRPr="0042639D">
        <w:rPr>
          <w:lang w:val="fr-CA"/>
        </w:rPr>
        <w:t xml:space="preserve"> 2020, </w:t>
      </w:r>
      <w:r>
        <w:rPr>
          <w:lang w:val="fr-CA"/>
        </w:rPr>
        <w:t xml:space="preserve">sur le montant total approuvé de </w:t>
      </w:r>
      <w:r w:rsidRPr="0042639D">
        <w:rPr>
          <w:lang w:val="fr-CA"/>
        </w:rPr>
        <w:t>808</w:t>
      </w:r>
      <w:r>
        <w:rPr>
          <w:lang w:val="fr-CA"/>
        </w:rPr>
        <w:t> </w:t>
      </w:r>
      <w:r w:rsidRPr="0042639D">
        <w:rPr>
          <w:lang w:val="fr-CA"/>
        </w:rPr>
        <w:t>550</w:t>
      </w:r>
      <w:r>
        <w:rPr>
          <w:lang w:val="fr-CA"/>
        </w:rPr>
        <w:t> $US</w:t>
      </w:r>
      <w:r w:rsidRPr="0042639D">
        <w:rPr>
          <w:lang w:val="fr-CA"/>
        </w:rPr>
        <w:t>, 303</w:t>
      </w:r>
      <w:r>
        <w:rPr>
          <w:lang w:val="fr-CA"/>
        </w:rPr>
        <w:t> </w:t>
      </w:r>
      <w:r w:rsidRPr="0042639D">
        <w:rPr>
          <w:lang w:val="fr-CA"/>
        </w:rPr>
        <w:t>313</w:t>
      </w:r>
      <w:r>
        <w:rPr>
          <w:lang w:val="fr-CA"/>
        </w:rPr>
        <w:t> $US</w:t>
      </w:r>
      <w:r w:rsidRPr="0042639D">
        <w:rPr>
          <w:lang w:val="fr-CA"/>
        </w:rPr>
        <w:t xml:space="preserve"> (38</w:t>
      </w:r>
      <w:r>
        <w:rPr>
          <w:lang w:val="fr-CA"/>
        </w:rPr>
        <w:t> %</w:t>
      </w:r>
      <w:r w:rsidRPr="0042639D">
        <w:rPr>
          <w:lang w:val="fr-CA"/>
        </w:rPr>
        <w:t xml:space="preserve">) </w:t>
      </w:r>
      <w:r>
        <w:rPr>
          <w:lang w:val="fr-CA"/>
        </w:rPr>
        <w:t>avaient été décaissés</w:t>
      </w:r>
      <w:r w:rsidRPr="0042639D">
        <w:rPr>
          <w:lang w:val="fr-CA"/>
        </w:rPr>
        <w:t>,</w:t>
      </w:r>
      <w:r w:rsidRPr="0042639D">
        <w:rPr>
          <w:color w:val="000000" w:themeColor="text1"/>
          <w:lang w:val="fr-CA"/>
        </w:rPr>
        <w:t xml:space="preserve"> </w:t>
      </w:r>
      <w:r>
        <w:rPr>
          <w:color w:val="000000" w:themeColor="text1"/>
          <w:lang w:val="fr-CA"/>
        </w:rPr>
        <w:t xml:space="preserve">comme l’indique le </w:t>
      </w:r>
      <w:r w:rsidRPr="0042639D">
        <w:rPr>
          <w:color w:val="000000" w:themeColor="text1"/>
          <w:lang w:val="fr-CA"/>
        </w:rPr>
        <w:t>Tableau 8.</w:t>
      </w:r>
    </w:p>
    <w:p w14:paraId="6659D2B3" w14:textId="77777777" w:rsidR="006345CD" w:rsidRPr="0042639D" w:rsidRDefault="006345CD" w:rsidP="006345CD">
      <w:pPr>
        <w:keepNext/>
        <w:keepLines/>
        <w:rPr>
          <w:b/>
          <w:color w:val="000000" w:themeColor="text1"/>
          <w:sz w:val="21"/>
          <w:szCs w:val="21"/>
          <w:lang w:val="fr-CA"/>
        </w:rPr>
      </w:pPr>
      <w:r w:rsidRPr="0042639D">
        <w:rPr>
          <w:b/>
          <w:color w:val="000000" w:themeColor="text1"/>
          <w:w w:val="98"/>
          <w:lang w:val="fr-CA"/>
        </w:rPr>
        <w:t xml:space="preserve">Tableau 8. </w:t>
      </w:r>
      <w:r>
        <w:rPr>
          <w:b/>
          <w:color w:val="000000" w:themeColor="text1"/>
          <w:w w:val="98"/>
          <w:lang w:val="fr-CA"/>
        </w:rPr>
        <w:t>Rapport f</w:t>
      </w:r>
      <w:r w:rsidRPr="0042639D">
        <w:rPr>
          <w:b/>
          <w:color w:val="000000" w:themeColor="text1"/>
          <w:w w:val="98"/>
          <w:lang w:val="fr-CA"/>
        </w:rPr>
        <w:t>inanci</w:t>
      </w:r>
      <w:r>
        <w:rPr>
          <w:b/>
          <w:color w:val="000000" w:themeColor="text1"/>
          <w:w w:val="98"/>
          <w:lang w:val="fr-CA"/>
        </w:rPr>
        <w:t xml:space="preserve">er de la </w:t>
      </w:r>
      <w:r w:rsidRPr="0042639D">
        <w:rPr>
          <w:b/>
          <w:color w:val="000000" w:themeColor="text1"/>
          <w:w w:val="98"/>
          <w:lang w:val="fr-CA"/>
        </w:rPr>
        <w:t xml:space="preserve">phase I </w:t>
      </w:r>
      <w:r>
        <w:rPr>
          <w:b/>
          <w:color w:val="000000" w:themeColor="text1"/>
          <w:w w:val="98"/>
          <w:lang w:val="fr-CA"/>
        </w:rPr>
        <w:t>du</w:t>
      </w:r>
      <w:r w:rsidRPr="0042639D">
        <w:rPr>
          <w:b/>
          <w:color w:val="000000" w:themeColor="text1"/>
          <w:w w:val="98"/>
          <w:lang w:val="fr-CA"/>
        </w:rPr>
        <w:t xml:space="preserve"> PGEH </w:t>
      </w:r>
      <w:r>
        <w:rPr>
          <w:b/>
          <w:color w:val="000000" w:themeColor="text1"/>
          <w:w w:val="98"/>
          <w:lang w:val="fr-CA"/>
        </w:rPr>
        <w:t>pour la</w:t>
      </w:r>
      <w:r w:rsidRPr="0042639D">
        <w:rPr>
          <w:b/>
          <w:color w:val="000000" w:themeColor="text1"/>
          <w:w w:val="98"/>
          <w:lang w:val="fr-CA"/>
        </w:rPr>
        <w:t xml:space="preserve"> République populaire démocratique de Corée</w:t>
      </w:r>
      <w:r>
        <w:rPr>
          <w:b/>
          <w:color w:val="000000" w:themeColor="text1"/>
          <w:w w:val="98"/>
          <w:lang w:val="fr-CA"/>
        </w:rPr>
        <w:t xml:space="preserve"> </w:t>
      </w:r>
      <w:r w:rsidRPr="0042639D">
        <w:rPr>
          <w:b/>
          <w:color w:val="000000" w:themeColor="text1"/>
          <w:w w:val="98"/>
          <w:lang w:val="fr-CA"/>
        </w:rPr>
        <w:t>(</w:t>
      </w:r>
      <w:r>
        <w:rPr>
          <w:b/>
          <w:color w:val="000000" w:themeColor="text1"/>
          <w:w w:val="98"/>
          <w:lang w:val="fr-CA"/>
        </w:rPr>
        <w:t>$US</w:t>
      </w:r>
      <w:r w:rsidRPr="0042639D">
        <w:rPr>
          <w:b/>
          <w:color w:val="000000" w:themeColor="text1"/>
          <w:sz w:val="21"/>
          <w:szCs w:val="21"/>
          <w:lang w:val="fr-CA"/>
        </w:rPr>
        <w:t xml:space="preserve">) </w:t>
      </w:r>
    </w:p>
    <w:tbl>
      <w:tblPr>
        <w:tblW w:w="5000" w:type="pct"/>
        <w:tblLook w:val="04A0" w:firstRow="1" w:lastRow="0" w:firstColumn="1" w:lastColumn="0" w:noHBand="0" w:noVBand="1"/>
      </w:tblPr>
      <w:tblGrid>
        <w:gridCol w:w="2294"/>
        <w:gridCol w:w="2295"/>
        <w:gridCol w:w="2295"/>
        <w:gridCol w:w="2466"/>
      </w:tblGrid>
      <w:tr w:rsidR="006345CD" w:rsidRPr="0042639D" w14:paraId="4EFE590E" w14:textId="77777777" w:rsidTr="006023A6">
        <w:trPr>
          <w:trHeight w:val="224"/>
          <w:tblHeader/>
        </w:trPr>
        <w:tc>
          <w:tcPr>
            <w:tcW w:w="1250" w:type="pct"/>
            <w:tcBorders>
              <w:top w:val="single" w:sz="4" w:space="0" w:color="auto"/>
              <w:left w:val="single" w:sz="4" w:space="0" w:color="auto"/>
              <w:bottom w:val="single" w:sz="4" w:space="0" w:color="auto"/>
              <w:right w:val="single" w:sz="4" w:space="0" w:color="auto"/>
            </w:tcBorders>
            <w:noWrap/>
            <w:vAlign w:val="center"/>
            <w:hideMark/>
          </w:tcPr>
          <w:p w14:paraId="1EF4FED0" w14:textId="77777777" w:rsidR="006345CD" w:rsidRPr="0042639D" w:rsidRDefault="006345CD" w:rsidP="006023A6">
            <w:pPr>
              <w:keepNext/>
              <w:keepLines/>
              <w:jc w:val="center"/>
              <w:rPr>
                <w:b/>
                <w:sz w:val="20"/>
                <w:szCs w:val="20"/>
                <w:lang w:val="fr-CA"/>
              </w:rPr>
            </w:pPr>
            <w:r w:rsidRPr="0042639D">
              <w:rPr>
                <w:b/>
                <w:sz w:val="20"/>
                <w:szCs w:val="20"/>
                <w:lang w:val="fr-CA"/>
              </w:rPr>
              <w:t>Tranche</w:t>
            </w:r>
          </w:p>
        </w:tc>
        <w:tc>
          <w:tcPr>
            <w:tcW w:w="1250" w:type="pct"/>
            <w:tcBorders>
              <w:top w:val="single" w:sz="4" w:space="0" w:color="auto"/>
              <w:left w:val="nil"/>
              <w:bottom w:val="single" w:sz="4" w:space="0" w:color="auto"/>
              <w:right w:val="single" w:sz="4" w:space="0" w:color="auto"/>
            </w:tcBorders>
            <w:noWrap/>
            <w:vAlign w:val="center"/>
            <w:hideMark/>
          </w:tcPr>
          <w:p w14:paraId="37E0269D" w14:textId="77777777" w:rsidR="006345CD" w:rsidRPr="0042639D" w:rsidRDefault="006345CD" w:rsidP="006023A6">
            <w:pPr>
              <w:keepNext/>
              <w:keepLines/>
              <w:jc w:val="center"/>
              <w:rPr>
                <w:b/>
                <w:sz w:val="20"/>
                <w:szCs w:val="20"/>
                <w:lang w:val="fr-CA"/>
              </w:rPr>
            </w:pPr>
            <w:r w:rsidRPr="0042639D">
              <w:rPr>
                <w:b/>
                <w:sz w:val="20"/>
                <w:szCs w:val="20"/>
                <w:lang w:val="fr-CA"/>
              </w:rPr>
              <w:t>Appro</w:t>
            </w:r>
            <w:r>
              <w:rPr>
                <w:b/>
                <w:sz w:val="20"/>
                <w:szCs w:val="20"/>
                <w:lang w:val="fr-CA"/>
              </w:rPr>
              <w:t>uvés</w:t>
            </w:r>
          </w:p>
        </w:tc>
        <w:tc>
          <w:tcPr>
            <w:tcW w:w="1250" w:type="pct"/>
            <w:tcBorders>
              <w:top w:val="single" w:sz="4" w:space="0" w:color="auto"/>
              <w:left w:val="nil"/>
              <w:bottom w:val="single" w:sz="4" w:space="0" w:color="auto"/>
              <w:right w:val="single" w:sz="4" w:space="0" w:color="auto"/>
            </w:tcBorders>
            <w:noWrap/>
            <w:vAlign w:val="center"/>
            <w:hideMark/>
          </w:tcPr>
          <w:p w14:paraId="2D361F97" w14:textId="77777777" w:rsidR="006345CD" w:rsidRPr="0042639D" w:rsidRDefault="006345CD" w:rsidP="006023A6">
            <w:pPr>
              <w:keepNext/>
              <w:keepLines/>
              <w:jc w:val="center"/>
              <w:rPr>
                <w:b/>
                <w:sz w:val="20"/>
                <w:szCs w:val="20"/>
                <w:lang w:val="fr-CA"/>
              </w:rPr>
            </w:pPr>
            <w:r w:rsidRPr="0042639D">
              <w:rPr>
                <w:b/>
                <w:sz w:val="20"/>
                <w:szCs w:val="20"/>
                <w:lang w:val="fr-CA"/>
              </w:rPr>
              <w:t>D</w:t>
            </w:r>
            <w:r>
              <w:rPr>
                <w:b/>
                <w:sz w:val="20"/>
                <w:szCs w:val="20"/>
                <w:lang w:val="fr-CA"/>
              </w:rPr>
              <w:t>écaissés</w:t>
            </w:r>
          </w:p>
        </w:tc>
        <w:tc>
          <w:tcPr>
            <w:tcW w:w="1250" w:type="pct"/>
            <w:tcBorders>
              <w:top w:val="single" w:sz="4" w:space="0" w:color="auto"/>
              <w:left w:val="nil"/>
              <w:bottom w:val="single" w:sz="4" w:space="0" w:color="auto"/>
              <w:right w:val="single" w:sz="4" w:space="0" w:color="auto"/>
            </w:tcBorders>
            <w:noWrap/>
            <w:vAlign w:val="center"/>
            <w:hideMark/>
          </w:tcPr>
          <w:p w14:paraId="1066B36F" w14:textId="77777777" w:rsidR="006345CD" w:rsidRPr="0042639D" w:rsidRDefault="006345CD" w:rsidP="006023A6">
            <w:pPr>
              <w:keepNext/>
              <w:keepLines/>
              <w:jc w:val="center"/>
              <w:rPr>
                <w:b/>
                <w:sz w:val="20"/>
                <w:szCs w:val="20"/>
                <w:lang w:val="fr-CA"/>
              </w:rPr>
            </w:pPr>
            <w:r>
              <w:rPr>
                <w:b/>
                <w:sz w:val="20"/>
                <w:szCs w:val="20"/>
                <w:lang w:val="fr-CA"/>
              </w:rPr>
              <w:t>Taux de décaissement</w:t>
            </w:r>
            <w:r w:rsidRPr="0042639D">
              <w:rPr>
                <w:b/>
                <w:sz w:val="20"/>
                <w:szCs w:val="20"/>
                <w:lang w:val="fr-CA"/>
              </w:rPr>
              <w:t xml:space="preserve"> (%)</w:t>
            </w:r>
          </w:p>
        </w:tc>
      </w:tr>
      <w:tr w:rsidR="006345CD" w:rsidRPr="0042639D" w14:paraId="475B5978" w14:textId="77777777" w:rsidTr="006023A6">
        <w:trPr>
          <w:trHeight w:val="89"/>
        </w:trPr>
        <w:tc>
          <w:tcPr>
            <w:tcW w:w="1250" w:type="pct"/>
            <w:tcBorders>
              <w:top w:val="nil"/>
              <w:left w:val="single" w:sz="4" w:space="0" w:color="auto"/>
              <w:bottom w:val="single" w:sz="4" w:space="0" w:color="auto"/>
              <w:right w:val="single" w:sz="4" w:space="0" w:color="auto"/>
            </w:tcBorders>
            <w:noWrap/>
            <w:vAlign w:val="bottom"/>
            <w:hideMark/>
          </w:tcPr>
          <w:p w14:paraId="0EAB3C9D" w14:textId="77777777" w:rsidR="006345CD" w:rsidRPr="0042639D" w:rsidRDefault="006345CD" w:rsidP="006023A6">
            <w:pPr>
              <w:ind w:left="172"/>
              <w:rPr>
                <w:sz w:val="20"/>
                <w:szCs w:val="20"/>
                <w:lang w:val="fr-CA"/>
              </w:rPr>
            </w:pPr>
            <w:r>
              <w:rPr>
                <w:sz w:val="20"/>
                <w:szCs w:val="20"/>
                <w:lang w:val="fr-CA"/>
              </w:rPr>
              <w:t>Première</w:t>
            </w:r>
            <w:r w:rsidRPr="0042639D">
              <w:rPr>
                <w:sz w:val="20"/>
                <w:szCs w:val="20"/>
                <w:lang w:val="fr-CA"/>
              </w:rPr>
              <w:t xml:space="preserve"> </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5A41144C" w14:textId="77777777" w:rsidR="006345CD" w:rsidRPr="0042639D" w:rsidRDefault="006345CD" w:rsidP="006023A6">
            <w:pPr>
              <w:ind w:right="-388"/>
              <w:jc w:val="right"/>
              <w:rPr>
                <w:sz w:val="20"/>
                <w:szCs w:val="20"/>
                <w:lang w:val="fr-CA"/>
              </w:rPr>
            </w:pPr>
            <w:r w:rsidRPr="0042639D">
              <w:rPr>
                <w:sz w:val="20"/>
                <w:szCs w:val="20"/>
                <w:lang w:val="fr-CA"/>
              </w:rPr>
              <w:t>134</w:t>
            </w:r>
            <w:r>
              <w:rPr>
                <w:sz w:val="20"/>
                <w:szCs w:val="20"/>
                <w:lang w:val="fr-CA"/>
              </w:rPr>
              <w:t> </w:t>
            </w:r>
            <w:r w:rsidRPr="0042639D">
              <w:rPr>
                <w:sz w:val="20"/>
                <w:szCs w:val="20"/>
                <w:lang w:val="fr-CA"/>
              </w:rPr>
              <w:t>003</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0DB48978" w14:textId="77777777" w:rsidR="006345CD" w:rsidRPr="0042639D" w:rsidRDefault="006345CD" w:rsidP="006023A6">
            <w:pPr>
              <w:ind w:right="-388"/>
              <w:jc w:val="right"/>
              <w:rPr>
                <w:sz w:val="20"/>
                <w:szCs w:val="20"/>
                <w:lang w:val="fr-CA"/>
              </w:rPr>
            </w:pPr>
            <w:r w:rsidRPr="0042639D">
              <w:rPr>
                <w:sz w:val="20"/>
                <w:szCs w:val="20"/>
                <w:lang w:val="fr-CA"/>
              </w:rPr>
              <w:t>87</w:t>
            </w:r>
            <w:r>
              <w:rPr>
                <w:sz w:val="20"/>
                <w:szCs w:val="20"/>
                <w:lang w:val="fr-CA"/>
              </w:rPr>
              <w:t> </w:t>
            </w:r>
            <w:r w:rsidRPr="0042639D">
              <w:rPr>
                <w:sz w:val="20"/>
                <w:szCs w:val="20"/>
                <w:lang w:val="fr-CA"/>
              </w:rPr>
              <w:t>386</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620A7C9C" w14:textId="77777777" w:rsidR="006345CD" w:rsidRPr="0042639D" w:rsidRDefault="006345CD" w:rsidP="006023A6">
            <w:pPr>
              <w:ind w:right="-633"/>
              <w:jc w:val="right"/>
              <w:rPr>
                <w:sz w:val="20"/>
                <w:szCs w:val="20"/>
                <w:lang w:val="fr-CA"/>
              </w:rPr>
            </w:pPr>
            <w:r w:rsidRPr="0042639D">
              <w:rPr>
                <w:sz w:val="20"/>
                <w:szCs w:val="20"/>
                <w:lang w:val="fr-CA"/>
              </w:rPr>
              <w:t>65</w:t>
            </w:r>
            <w:r>
              <w:rPr>
                <w:sz w:val="20"/>
                <w:szCs w:val="20"/>
                <w:lang w:val="fr-CA"/>
              </w:rPr>
              <w:t>,</w:t>
            </w:r>
            <w:r w:rsidRPr="0042639D">
              <w:rPr>
                <w:sz w:val="20"/>
                <w:szCs w:val="20"/>
                <w:lang w:val="fr-CA"/>
              </w:rPr>
              <w:t>2</w:t>
            </w:r>
          </w:p>
        </w:tc>
      </w:tr>
      <w:tr w:rsidR="006345CD" w:rsidRPr="0042639D" w14:paraId="31BE8F9D" w14:textId="77777777" w:rsidTr="006023A6">
        <w:trPr>
          <w:trHeight w:val="107"/>
        </w:trPr>
        <w:tc>
          <w:tcPr>
            <w:tcW w:w="1250" w:type="pct"/>
            <w:tcBorders>
              <w:top w:val="nil"/>
              <w:left w:val="single" w:sz="4" w:space="0" w:color="auto"/>
              <w:bottom w:val="single" w:sz="4" w:space="0" w:color="auto"/>
              <w:right w:val="single" w:sz="4" w:space="0" w:color="auto"/>
            </w:tcBorders>
            <w:noWrap/>
            <w:vAlign w:val="bottom"/>
            <w:hideMark/>
          </w:tcPr>
          <w:p w14:paraId="1684208C" w14:textId="77777777" w:rsidR="006345CD" w:rsidRPr="0042639D" w:rsidRDefault="006345CD" w:rsidP="006023A6">
            <w:pPr>
              <w:ind w:left="172"/>
              <w:rPr>
                <w:sz w:val="20"/>
                <w:szCs w:val="20"/>
                <w:lang w:val="fr-CA"/>
              </w:rPr>
            </w:pPr>
            <w:r>
              <w:rPr>
                <w:sz w:val="20"/>
                <w:szCs w:val="20"/>
                <w:lang w:val="fr-CA"/>
              </w:rPr>
              <w:t>Deuxième</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65E14711" w14:textId="77777777" w:rsidR="006345CD" w:rsidRPr="0042639D" w:rsidRDefault="006345CD" w:rsidP="006023A6">
            <w:pPr>
              <w:ind w:right="-388"/>
              <w:jc w:val="right"/>
              <w:rPr>
                <w:sz w:val="20"/>
                <w:szCs w:val="20"/>
                <w:lang w:val="fr-CA"/>
              </w:rPr>
            </w:pPr>
            <w:r w:rsidRPr="0042639D">
              <w:rPr>
                <w:sz w:val="20"/>
                <w:szCs w:val="20"/>
                <w:lang w:val="fr-CA"/>
              </w:rPr>
              <w:t>506</w:t>
            </w:r>
            <w:r>
              <w:rPr>
                <w:sz w:val="20"/>
                <w:szCs w:val="20"/>
                <w:lang w:val="fr-CA"/>
              </w:rPr>
              <w:t> </w:t>
            </w:r>
            <w:r w:rsidRPr="0042639D">
              <w:rPr>
                <w:sz w:val="20"/>
                <w:szCs w:val="20"/>
                <w:lang w:val="fr-CA"/>
              </w:rPr>
              <w:t>680</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0E703776" w14:textId="77777777" w:rsidR="006345CD" w:rsidRPr="0042639D" w:rsidRDefault="006345CD" w:rsidP="006023A6">
            <w:pPr>
              <w:ind w:right="-388"/>
              <w:jc w:val="right"/>
              <w:rPr>
                <w:sz w:val="20"/>
                <w:szCs w:val="20"/>
                <w:lang w:val="fr-CA"/>
              </w:rPr>
            </w:pPr>
            <w:r w:rsidRPr="0042639D">
              <w:rPr>
                <w:sz w:val="20"/>
                <w:szCs w:val="20"/>
                <w:lang w:val="fr-CA"/>
              </w:rPr>
              <w:t>214</w:t>
            </w:r>
            <w:r>
              <w:rPr>
                <w:sz w:val="20"/>
                <w:szCs w:val="20"/>
                <w:lang w:val="fr-CA"/>
              </w:rPr>
              <w:t> </w:t>
            </w:r>
            <w:r w:rsidRPr="0042639D">
              <w:rPr>
                <w:sz w:val="20"/>
                <w:szCs w:val="20"/>
                <w:lang w:val="fr-CA"/>
              </w:rPr>
              <w:t>110</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020C6D02" w14:textId="77777777" w:rsidR="006345CD" w:rsidRPr="0042639D" w:rsidRDefault="006345CD" w:rsidP="006023A6">
            <w:pPr>
              <w:ind w:right="-633"/>
              <w:jc w:val="right"/>
              <w:rPr>
                <w:sz w:val="20"/>
                <w:szCs w:val="20"/>
                <w:lang w:val="fr-CA"/>
              </w:rPr>
            </w:pPr>
            <w:r w:rsidRPr="0042639D">
              <w:rPr>
                <w:sz w:val="20"/>
                <w:szCs w:val="20"/>
                <w:lang w:val="fr-CA"/>
              </w:rPr>
              <w:t>42</w:t>
            </w:r>
            <w:r>
              <w:rPr>
                <w:sz w:val="20"/>
                <w:szCs w:val="20"/>
                <w:lang w:val="fr-CA"/>
              </w:rPr>
              <w:t>,</w:t>
            </w:r>
            <w:r w:rsidRPr="0042639D">
              <w:rPr>
                <w:sz w:val="20"/>
                <w:szCs w:val="20"/>
                <w:lang w:val="fr-CA"/>
              </w:rPr>
              <w:t>3</w:t>
            </w:r>
          </w:p>
        </w:tc>
      </w:tr>
      <w:tr w:rsidR="006345CD" w:rsidRPr="0042639D" w14:paraId="7A0CB45E" w14:textId="77777777" w:rsidTr="006023A6">
        <w:trPr>
          <w:trHeight w:val="47"/>
        </w:trPr>
        <w:tc>
          <w:tcPr>
            <w:tcW w:w="1250" w:type="pct"/>
            <w:tcBorders>
              <w:top w:val="nil"/>
              <w:left w:val="single" w:sz="4" w:space="0" w:color="auto"/>
              <w:bottom w:val="single" w:sz="4" w:space="0" w:color="auto"/>
              <w:right w:val="single" w:sz="4" w:space="0" w:color="auto"/>
            </w:tcBorders>
            <w:noWrap/>
            <w:vAlign w:val="bottom"/>
            <w:hideMark/>
          </w:tcPr>
          <w:p w14:paraId="7698421E" w14:textId="77777777" w:rsidR="006345CD" w:rsidRPr="0042639D" w:rsidRDefault="006345CD" w:rsidP="006023A6">
            <w:pPr>
              <w:ind w:left="172"/>
              <w:rPr>
                <w:sz w:val="20"/>
                <w:szCs w:val="20"/>
                <w:lang w:val="fr-CA"/>
              </w:rPr>
            </w:pPr>
            <w:r>
              <w:rPr>
                <w:sz w:val="20"/>
                <w:szCs w:val="20"/>
                <w:lang w:val="fr-CA"/>
              </w:rPr>
              <w:t>Troisième</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4A2D5FB3" w14:textId="77777777" w:rsidR="006345CD" w:rsidRPr="0042639D" w:rsidRDefault="006345CD" w:rsidP="006023A6">
            <w:pPr>
              <w:ind w:right="-388"/>
              <w:jc w:val="right"/>
              <w:rPr>
                <w:sz w:val="20"/>
                <w:szCs w:val="20"/>
                <w:lang w:val="fr-CA"/>
              </w:rPr>
            </w:pPr>
            <w:r w:rsidRPr="0042639D">
              <w:rPr>
                <w:sz w:val="20"/>
                <w:szCs w:val="20"/>
                <w:lang w:val="fr-CA"/>
              </w:rPr>
              <w:t>167</w:t>
            </w:r>
            <w:r>
              <w:rPr>
                <w:sz w:val="20"/>
                <w:szCs w:val="20"/>
                <w:lang w:val="fr-CA"/>
              </w:rPr>
              <w:t> </w:t>
            </w:r>
            <w:r w:rsidRPr="0042639D">
              <w:rPr>
                <w:sz w:val="20"/>
                <w:szCs w:val="20"/>
                <w:lang w:val="fr-CA"/>
              </w:rPr>
              <w:t>867</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49BD37F5" w14:textId="77777777" w:rsidR="006345CD" w:rsidRPr="0042639D" w:rsidRDefault="006345CD" w:rsidP="006023A6">
            <w:pPr>
              <w:ind w:right="-388"/>
              <w:jc w:val="right"/>
              <w:rPr>
                <w:sz w:val="20"/>
                <w:szCs w:val="20"/>
                <w:lang w:val="fr-CA"/>
              </w:rPr>
            </w:pPr>
            <w:r w:rsidRPr="0042639D">
              <w:rPr>
                <w:sz w:val="20"/>
                <w:szCs w:val="20"/>
                <w:lang w:val="fr-CA"/>
              </w:rPr>
              <w:t>1</w:t>
            </w:r>
            <w:r>
              <w:rPr>
                <w:sz w:val="20"/>
                <w:szCs w:val="20"/>
                <w:lang w:val="fr-CA"/>
              </w:rPr>
              <w:t> </w:t>
            </w:r>
            <w:r w:rsidRPr="0042639D">
              <w:rPr>
                <w:sz w:val="20"/>
                <w:szCs w:val="20"/>
                <w:lang w:val="fr-CA"/>
              </w:rPr>
              <w:t>817</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7B189B5A" w14:textId="77777777" w:rsidR="006345CD" w:rsidRPr="0042639D" w:rsidRDefault="006345CD" w:rsidP="006023A6">
            <w:pPr>
              <w:ind w:right="-633"/>
              <w:jc w:val="right"/>
              <w:rPr>
                <w:sz w:val="20"/>
                <w:szCs w:val="20"/>
                <w:lang w:val="fr-CA"/>
              </w:rPr>
            </w:pPr>
            <w:r w:rsidRPr="0042639D">
              <w:rPr>
                <w:sz w:val="20"/>
                <w:szCs w:val="20"/>
                <w:lang w:val="fr-CA"/>
              </w:rPr>
              <w:t>1</w:t>
            </w:r>
            <w:r>
              <w:rPr>
                <w:sz w:val="20"/>
                <w:szCs w:val="20"/>
                <w:lang w:val="fr-CA"/>
              </w:rPr>
              <w:t>,</w:t>
            </w:r>
            <w:r w:rsidRPr="0042639D">
              <w:rPr>
                <w:sz w:val="20"/>
                <w:szCs w:val="20"/>
                <w:lang w:val="fr-CA"/>
              </w:rPr>
              <w:t>1</w:t>
            </w:r>
          </w:p>
        </w:tc>
      </w:tr>
      <w:tr w:rsidR="006345CD" w:rsidRPr="0042639D" w14:paraId="79C4B7F5" w14:textId="77777777" w:rsidTr="006023A6">
        <w:trPr>
          <w:trHeight w:val="62"/>
        </w:trPr>
        <w:tc>
          <w:tcPr>
            <w:tcW w:w="1250" w:type="pct"/>
            <w:tcBorders>
              <w:top w:val="nil"/>
              <w:left w:val="single" w:sz="4" w:space="0" w:color="auto"/>
              <w:bottom w:val="single" w:sz="4" w:space="0" w:color="auto"/>
              <w:right w:val="single" w:sz="4" w:space="0" w:color="auto"/>
            </w:tcBorders>
            <w:noWrap/>
            <w:vAlign w:val="bottom"/>
            <w:hideMark/>
          </w:tcPr>
          <w:p w14:paraId="547070E9" w14:textId="77777777" w:rsidR="006345CD" w:rsidRPr="0042639D" w:rsidRDefault="006345CD" w:rsidP="006023A6">
            <w:pPr>
              <w:ind w:left="172"/>
              <w:rPr>
                <w:b/>
                <w:sz w:val="20"/>
                <w:szCs w:val="20"/>
                <w:lang w:val="fr-CA"/>
              </w:rPr>
            </w:pPr>
            <w:r w:rsidRPr="0042639D">
              <w:rPr>
                <w:b/>
                <w:sz w:val="20"/>
                <w:szCs w:val="20"/>
                <w:lang w:val="fr-CA"/>
              </w:rPr>
              <w:t>Total</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78A870BC" w14:textId="77777777" w:rsidR="006345CD" w:rsidRPr="0042639D" w:rsidRDefault="006345CD" w:rsidP="006023A6">
            <w:pPr>
              <w:ind w:right="-388"/>
              <w:jc w:val="right"/>
              <w:rPr>
                <w:b/>
                <w:sz w:val="20"/>
                <w:szCs w:val="20"/>
                <w:lang w:val="fr-CA"/>
              </w:rPr>
            </w:pPr>
            <w:r w:rsidRPr="0042639D">
              <w:rPr>
                <w:b/>
                <w:sz w:val="20"/>
                <w:szCs w:val="20"/>
                <w:lang w:val="fr-CA"/>
              </w:rPr>
              <w:t>808</w:t>
            </w:r>
            <w:r>
              <w:rPr>
                <w:b/>
                <w:sz w:val="20"/>
                <w:szCs w:val="20"/>
                <w:lang w:val="fr-CA"/>
              </w:rPr>
              <w:t> </w:t>
            </w:r>
            <w:r w:rsidRPr="0042639D">
              <w:rPr>
                <w:b/>
                <w:sz w:val="20"/>
                <w:szCs w:val="20"/>
                <w:lang w:val="fr-CA"/>
              </w:rPr>
              <w:t>550</w:t>
            </w:r>
          </w:p>
        </w:tc>
        <w:tc>
          <w:tcPr>
            <w:tcW w:w="1250" w:type="pct"/>
            <w:tcBorders>
              <w:top w:val="nil"/>
              <w:left w:val="nil"/>
              <w:bottom w:val="single" w:sz="4" w:space="0" w:color="auto"/>
              <w:right w:val="single" w:sz="4" w:space="0" w:color="auto"/>
            </w:tcBorders>
            <w:noWrap/>
            <w:tcMar>
              <w:top w:w="0" w:type="dxa"/>
              <w:left w:w="115" w:type="dxa"/>
              <w:bottom w:w="0" w:type="dxa"/>
              <w:right w:w="576" w:type="dxa"/>
            </w:tcMar>
            <w:hideMark/>
          </w:tcPr>
          <w:p w14:paraId="70F9D12F" w14:textId="77777777" w:rsidR="006345CD" w:rsidRPr="0042639D" w:rsidRDefault="006345CD" w:rsidP="006023A6">
            <w:pPr>
              <w:ind w:right="-388"/>
              <w:jc w:val="right"/>
              <w:rPr>
                <w:b/>
                <w:sz w:val="20"/>
                <w:szCs w:val="20"/>
                <w:lang w:val="fr-CA"/>
              </w:rPr>
            </w:pPr>
            <w:r w:rsidRPr="0042639D">
              <w:rPr>
                <w:b/>
                <w:sz w:val="20"/>
                <w:szCs w:val="20"/>
                <w:lang w:val="fr-CA"/>
              </w:rPr>
              <w:t>303</w:t>
            </w:r>
            <w:r>
              <w:rPr>
                <w:b/>
                <w:sz w:val="20"/>
                <w:szCs w:val="20"/>
                <w:lang w:val="fr-CA"/>
              </w:rPr>
              <w:t> </w:t>
            </w:r>
            <w:r w:rsidRPr="0042639D">
              <w:rPr>
                <w:b/>
                <w:sz w:val="20"/>
                <w:szCs w:val="20"/>
                <w:lang w:val="fr-CA"/>
              </w:rPr>
              <w:t>313</w:t>
            </w:r>
          </w:p>
        </w:tc>
        <w:tc>
          <w:tcPr>
            <w:tcW w:w="1250" w:type="pct"/>
            <w:tcBorders>
              <w:top w:val="nil"/>
              <w:left w:val="nil"/>
              <w:bottom w:val="single" w:sz="4" w:space="0" w:color="auto"/>
              <w:right w:val="single" w:sz="4" w:space="0" w:color="auto"/>
            </w:tcBorders>
            <w:noWrap/>
            <w:tcMar>
              <w:top w:w="0" w:type="dxa"/>
              <w:left w:w="0" w:type="dxa"/>
              <w:bottom w:w="0" w:type="dxa"/>
              <w:right w:w="864" w:type="dxa"/>
            </w:tcMar>
            <w:vAlign w:val="center"/>
            <w:hideMark/>
          </w:tcPr>
          <w:p w14:paraId="3ADADFB3" w14:textId="77777777" w:rsidR="006345CD" w:rsidRPr="0042639D" w:rsidRDefault="006345CD" w:rsidP="006023A6">
            <w:pPr>
              <w:ind w:right="-633"/>
              <w:jc w:val="right"/>
              <w:rPr>
                <w:b/>
                <w:sz w:val="20"/>
                <w:szCs w:val="20"/>
                <w:lang w:val="fr-CA"/>
              </w:rPr>
            </w:pPr>
            <w:r w:rsidRPr="0042639D">
              <w:rPr>
                <w:b/>
                <w:sz w:val="20"/>
                <w:szCs w:val="20"/>
                <w:lang w:val="fr-CA"/>
              </w:rPr>
              <w:t>37</w:t>
            </w:r>
            <w:r>
              <w:rPr>
                <w:b/>
                <w:sz w:val="20"/>
                <w:szCs w:val="20"/>
                <w:lang w:val="fr-CA"/>
              </w:rPr>
              <w:t>,</w:t>
            </w:r>
            <w:r w:rsidRPr="0042639D">
              <w:rPr>
                <w:b/>
                <w:sz w:val="20"/>
                <w:szCs w:val="20"/>
                <w:lang w:val="fr-CA"/>
              </w:rPr>
              <w:t>5</w:t>
            </w:r>
          </w:p>
        </w:tc>
      </w:tr>
    </w:tbl>
    <w:p w14:paraId="0AD21B5B" w14:textId="77777777" w:rsidR="006345CD" w:rsidRPr="0042639D" w:rsidRDefault="006345CD" w:rsidP="006345CD">
      <w:pPr>
        <w:rPr>
          <w:b/>
          <w:lang w:val="fr-CA"/>
        </w:rPr>
      </w:pPr>
    </w:p>
    <w:p w14:paraId="39703485" w14:textId="77777777" w:rsidR="006345CD" w:rsidRPr="0042639D" w:rsidRDefault="006345CD" w:rsidP="006345CD">
      <w:pPr>
        <w:spacing w:after="240"/>
        <w:outlineLvl w:val="0"/>
        <w:rPr>
          <w:i/>
          <w:lang w:val="fr-CA"/>
        </w:rPr>
      </w:pPr>
      <w:r>
        <w:rPr>
          <w:i/>
          <w:lang w:val="fr-CA"/>
        </w:rPr>
        <w:t xml:space="preserve">Mise à jour du plan de mise en œuvre de la </w:t>
      </w:r>
      <w:r w:rsidRPr="0042639D">
        <w:rPr>
          <w:i/>
          <w:lang w:val="fr-CA"/>
        </w:rPr>
        <w:t xml:space="preserve">phase I </w:t>
      </w:r>
      <w:r>
        <w:rPr>
          <w:i/>
          <w:lang w:val="fr-CA"/>
        </w:rPr>
        <w:t>du</w:t>
      </w:r>
      <w:r w:rsidRPr="0042639D">
        <w:rPr>
          <w:i/>
          <w:lang w:val="fr-CA"/>
        </w:rPr>
        <w:t xml:space="preserve"> PGEH</w:t>
      </w:r>
    </w:p>
    <w:p w14:paraId="209BB094" w14:textId="77777777" w:rsidR="006345CD" w:rsidRPr="0042639D" w:rsidRDefault="006345CD" w:rsidP="006345CD">
      <w:pPr>
        <w:widowControl w:val="0"/>
        <w:numPr>
          <w:ilvl w:val="0"/>
          <w:numId w:val="30"/>
        </w:numPr>
        <w:tabs>
          <w:tab w:val="clear" w:pos="0"/>
          <w:tab w:val="num" w:pos="710"/>
        </w:tabs>
        <w:spacing w:after="240"/>
        <w:outlineLvl w:val="0"/>
        <w:rPr>
          <w:lang w:val="fr-CA"/>
        </w:rPr>
      </w:pPr>
      <w:r>
        <w:rPr>
          <w:lang w:val="fr-CA"/>
        </w:rPr>
        <w:t xml:space="preserve">Les </w:t>
      </w:r>
      <w:r w:rsidRPr="0042639D">
        <w:rPr>
          <w:lang w:val="fr-CA"/>
        </w:rPr>
        <w:t xml:space="preserve">activités </w:t>
      </w:r>
      <w:r>
        <w:rPr>
          <w:lang w:val="fr-CA"/>
        </w:rPr>
        <w:t>ci-après n’ont pas encore été exécutées</w:t>
      </w:r>
      <w:r w:rsidRPr="0042639D">
        <w:rPr>
          <w:lang w:val="fr-CA"/>
        </w:rPr>
        <w:t>:</w:t>
      </w:r>
    </w:p>
    <w:p w14:paraId="0FD1E493" w14:textId="77777777" w:rsidR="006345CD" w:rsidRPr="0042639D" w:rsidRDefault="006345CD" w:rsidP="006345CD">
      <w:pPr>
        <w:widowControl w:val="0"/>
        <w:numPr>
          <w:ilvl w:val="1"/>
          <w:numId w:val="30"/>
        </w:numPr>
        <w:spacing w:after="240"/>
        <w:outlineLvl w:val="1"/>
        <w:rPr>
          <w:rFonts w:eastAsiaTheme="minorEastAsia"/>
          <w:lang w:val="fr-CA" w:eastAsia="en-GB"/>
        </w:rPr>
      </w:pPr>
      <w:r>
        <w:rPr>
          <w:lang w:val="fr-CA"/>
        </w:rPr>
        <w:t>Suivi des ateliers de formation pour les techniciens d’entretien RAC et les agents de douane</w:t>
      </w:r>
      <w:r w:rsidRPr="0042639D">
        <w:rPr>
          <w:lang w:val="fr-CA"/>
        </w:rPr>
        <w:t xml:space="preserve">; </w:t>
      </w:r>
    </w:p>
    <w:p w14:paraId="023AA7D5" w14:textId="77777777" w:rsidR="006345CD" w:rsidRPr="0042639D" w:rsidRDefault="006345CD" w:rsidP="006345CD">
      <w:pPr>
        <w:widowControl w:val="0"/>
        <w:numPr>
          <w:ilvl w:val="1"/>
          <w:numId w:val="30"/>
        </w:numPr>
        <w:spacing w:after="240"/>
        <w:outlineLvl w:val="1"/>
        <w:rPr>
          <w:lang w:val="fr-CA"/>
        </w:rPr>
      </w:pPr>
      <w:r>
        <w:rPr>
          <w:lang w:val="fr-CA"/>
        </w:rPr>
        <w:t>Mise sur carte des centres existants de régénération et de récupération, et acquisition d’équipements supplémentaires</w:t>
      </w:r>
      <w:r w:rsidRPr="0042639D">
        <w:rPr>
          <w:lang w:val="fr-CA"/>
        </w:rPr>
        <w:t xml:space="preserve">; </w:t>
      </w:r>
      <w:r>
        <w:rPr>
          <w:lang w:val="fr-CA"/>
        </w:rPr>
        <w:t>et</w:t>
      </w:r>
    </w:p>
    <w:p w14:paraId="1F455459" w14:textId="77777777" w:rsidR="006345CD" w:rsidRPr="0042639D" w:rsidRDefault="006345CD" w:rsidP="006345CD">
      <w:pPr>
        <w:widowControl w:val="0"/>
        <w:numPr>
          <w:ilvl w:val="1"/>
          <w:numId w:val="30"/>
        </w:numPr>
        <w:spacing w:after="240"/>
        <w:outlineLvl w:val="1"/>
        <w:rPr>
          <w:lang w:val="fr-CA"/>
        </w:rPr>
      </w:pPr>
      <w:r>
        <w:rPr>
          <w:lang w:val="fr-CA"/>
        </w:rPr>
        <w:t>É</w:t>
      </w:r>
      <w:r w:rsidRPr="0042639D">
        <w:rPr>
          <w:lang w:val="fr-CA"/>
        </w:rPr>
        <w:t>tablis</w:t>
      </w:r>
      <w:r>
        <w:rPr>
          <w:lang w:val="fr-CA"/>
        </w:rPr>
        <w:t>se</w:t>
      </w:r>
      <w:r w:rsidRPr="0042639D">
        <w:rPr>
          <w:lang w:val="fr-CA"/>
        </w:rPr>
        <w:t xml:space="preserve">ment </w:t>
      </w:r>
      <w:r>
        <w:rPr>
          <w:lang w:val="fr-CA"/>
        </w:rPr>
        <w:t xml:space="preserve">d’un bureau de gestion de </w:t>
      </w:r>
      <w:r w:rsidRPr="0042639D">
        <w:rPr>
          <w:lang w:val="fr-CA"/>
        </w:rPr>
        <w:t>projet</w:t>
      </w:r>
      <w:r>
        <w:rPr>
          <w:lang w:val="fr-CA"/>
        </w:rPr>
        <w:t>, une fois que la chaine de transfert des fonds a été approuvé et est devenu opérationnel</w:t>
      </w:r>
      <w:r w:rsidRPr="0042639D">
        <w:rPr>
          <w:lang w:val="fr-CA"/>
        </w:rPr>
        <w:t xml:space="preserve">. </w:t>
      </w:r>
    </w:p>
    <w:p w14:paraId="41C19621" w14:textId="77777777" w:rsidR="006345CD" w:rsidRPr="0042639D" w:rsidRDefault="006345CD" w:rsidP="006345CD">
      <w:pPr>
        <w:keepNext/>
        <w:keepLines/>
        <w:widowControl w:val="0"/>
        <w:numPr>
          <w:ilvl w:val="0"/>
          <w:numId w:val="30"/>
        </w:numPr>
        <w:spacing w:after="240"/>
        <w:outlineLvl w:val="0"/>
        <w:rPr>
          <w:lang w:val="fr-CA"/>
        </w:rPr>
      </w:pPr>
      <w:r>
        <w:rPr>
          <w:rFonts w:eastAsiaTheme="minorEastAsia"/>
          <w:lang w:val="fr-CA" w:eastAsia="en-GB"/>
        </w:rPr>
        <w:t>Par ailleurs</w:t>
      </w:r>
      <w:r w:rsidRPr="0042639D">
        <w:rPr>
          <w:rFonts w:eastAsiaTheme="minorEastAsia"/>
          <w:lang w:val="fr-CA" w:eastAsia="en-GB"/>
        </w:rPr>
        <w:t xml:space="preserve">, </w:t>
      </w:r>
      <w:r>
        <w:rPr>
          <w:rFonts w:eastAsiaTheme="minorEastAsia"/>
          <w:lang w:val="fr-CA" w:eastAsia="en-GB"/>
        </w:rPr>
        <w:t xml:space="preserve">l’équipement de mousse </w:t>
      </w:r>
      <w:r w:rsidRPr="0042639D">
        <w:rPr>
          <w:rFonts w:eastAsiaTheme="minorEastAsia"/>
          <w:lang w:val="fr-CA" w:eastAsia="en-GB"/>
        </w:rPr>
        <w:t xml:space="preserve">PU </w:t>
      </w:r>
      <w:r>
        <w:rPr>
          <w:rFonts w:eastAsiaTheme="minorEastAsia"/>
          <w:lang w:val="fr-CA" w:eastAsia="en-GB"/>
        </w:rPr>
        <w:t xml:space="preserve">qui avait été renvoyé au fournisseur par les autorités douanières de la </w:t>
      </w:r>
      <w:r w:rsidRPr="0042639D">
        <w:rPr>
          <w:rFonts w:eastAsiaTheme="minorEastAsia"/>
          <w:lang w:val="fr-CA" w:eastAsia="en-GB"/>
        </w:rPr>
        <w:t>Chin</w:t>
      </w:r>
      <w:r>
        <w:rPr>
          <w:rFonts w:eastAsiaTheme="minorEastAsia"/>
          <w:lang w:val="fr-CA" w:eastAsia="en-GB"/>
        </w:rPr>
        <w:t>e</w:t>
      </w:r>
      <w:r w:rsidRPr="0042639D">
        <w:rPr>
          <w:rFonts w:eastAsiaTheme="minorEastAsia"/>
          <w:lang w:val="fr-CA" w:eastAsia="en-GB"/>
        </w:rPr>
        <w:t xml:space="preserve">, </w:t>
      </w:r>
      <w:r>
        <w:rPr>
          <w:rFonts w:eastAsiaTheme="minorEastAsia"/>
          <w:lang w:val="fr-CA" w:eastAsia="en-GB"/>
        </w:rPr>
        <w:t xml:space="preserve">ne pouvait pas être réimporté, car une nouvelle résolution, </w:t>
      </w:r>
      <w:r w:rsidRPr="0042639D">
        <w:rPr>
          <w:lang w:val="fr-CA"/>
        </w:rPr>
        <w:t>2397</w:t>
      </w:r>
      <w:r>
        <w:rPr>
          <w:lang w:val="fr-CA"/>
        </w:rPr>
        <w:t xml:space="preserve">, émise en </w:t>
      </w:r>
      <w:r w:rsidRPr="0042639D">
        <w:rPr>
          <w:lang w:val="fr-CA"/>
        </w:rPr>
        <w:t>2017</w:t>
      </w:r>
      <w:r>
        <w:rPr>
          <w:lang w:val="fr-CA"/>
        </w:rPr>
        <w:t xml:space="preserve">, </w:t>
      </w:r>
      <w:r w:rsidRPr="009522B3">
        <w:rPr>
          <w:lang w:val="fr-CA"/>
        </w:rPr>
        <w:t xml:space="preserve">interdisait spécifiquement « tout outillage industriel (codes HS 84 et 85), véhicules de transport (codes HS 86 à 89), et fer, acier ou autres métaux (codes HS 72 à 83). » </w:t>
      </w:r>
      <w:r>
        <w:rPr>
          <w:lang w:val="fr-CA"/>
        </w:rPr>
        <w:t xml:space="preserve">Comme suite à cette </w:t>
      </w:r>
      <w:r w:rsidRPr="009522B3">
        <w:rPr>
          <w:lang w:val="fr-CA"/>
        </w:rPr>
        <w:t xml:space="preserve">résolution, </w:t>
      </w:r>
      <w:r>
        <w:rPr>
          <w:lang w:val="fr-CA"/>
        </w:rPr>
        <w:t>il a été conseillé à l’</w:t>
      </w:r>
      <w:r w:rsidRPr="009522B3">
        <w:rPr>
          <w:lang w:val="fr-CA"/>
        </w:rPr>
        <w:t xml:space="preserve">ONUDI </w:t>
      </w:r>
      <w:r>
        <w:rPr>
          <w:lang w:val="fr-CA"/>
        </w:rPr>
        <w:t xml:space="preserve">de soumettre au </w:t>
      </w:r>
      <w:r w:rsidRPr="009522B3">
        <w:rPr>
          <w:lang w:val="fr-CA"/>
        </w:rPr>
        <w:t xml:space="preserve">CSNU </w:t>
      </w:r>
      <w:r>
        <w:rPr>
          <w:lang w:val="fr-CA"/>
        </w:rPr>
        <w:t xml:space="preserve">une demande d’exemption, ainsi qu’une liste mise à </w:t>
      </w:r>
      <w:proofErr w:type="gramStart"/>
      <w:r>
        <w:rPr>
          <w:lang w:val="fr-CA"/>
        </w:rPr>
        <w:t>jour  d’équipements</w:t>
      </w:r>
      <w:proofErr w:type="gramEnd"/>
      <w:r>
        <w:rPr>
          <w:lang w:val="fr-CA"/>
        </w:rPr>
        <w:t xml:space="preserve"> à importer dans le pays</w:t>
      </w:r>
      <w:r w:rsidRPr="009522B3">
        <w:rPr>
          <w:lang w:val="fr-CA"/>
        </w:rPr>
        <w:t xml:space="preserve">. </w:t>
      </w:r>
      <w:r>
        <w:rPr>
          <w:lang w:val="fr-CA"/>
        </w:rPr>
        <w:t>L’</w:t>
      </w:r>
      <w:r w:rsidRPr="009522B3">
        <w:rPr>
          <w:lang w:val="fr-CA"/>
        </w:rPr>
        <w:t xml:space="preserve">ONUDI </w:t>
      </w:r>
      <w:r>
        <w:rPr>
          <w:lang w:val="fr-CA"/>
        </w:rPr>
        <w:t xml:space="preserve">a soumis une demande officielle d’exemption le </w:t>
      </w:r>
      <w:r w:rsidRPr="009522B3">
        <w:rPr>
          <w:lang w:val="fr-CA"/>
        </w:rPr>
        <w:t xml:space="preserve">8 </w:t>
      </w:r>
      <w:r>
        <w:rPr>
          <w:lang w:val="fr-CA"/>
        </w:rPr>
        <w:t>mai</w:t>
      </w:r>
      <w:r w:rsidRPr="009522B3">
        <w:rPr>
          <w:lang w:val="fr-CA"/>
        </w:rPr>
        <w:t xml:space="preserve"> 2019, </w:t>
      </w:r>
      <w:r>
        <w:rPr>
          <w:lang w:val="fr-CA"/>
        </w:rPr>
        <w:t xml:space="preserve">que le Comité du </w:t>
      </w:r>
      <w:r w:rsidRPr="009522B3">
        <w:rPr>
          <w:lang w:val="fr-CA"/>
        </w:rPr>
        <w:t xml:space="preserve">CSNU </w:t>
      </w:r>
      <w:r>
        <w:rPr>
          <w:lang w:val="fr-CA"/>
        </w:rPr>
        <w:t xml:space="preserve">a rejetée le </w:t>
      </w:r>
      <w:r w:rsidRPr="009522B3">
        <w:rPr>
          <w:lang w:val="fr-CA"/>
        </w:rPr>
        <w:t xml:space="preserve">18 </w:t>
      </w:r>
      <w:r>
        <w:rPr>
          <w:lang w:val="fr-CA"/>
        </w:rPr>
        <w:t>juin</w:t>
      </w:r>
      <w:r w:rsidRPr="009522B3">
        <w:rPr>
          <w:lang w:val="fr-CA"/>
        </w:rPr>
        <w:t xml:space="preserve"> 2019. </w:t>
      </w:r>
      <w:r>
        <w:rPr>
          <w:lang w:val="fr-CA"/>
        </w:rPr>
        <w:t>Compte tenu de ce qui précède, l’</w:t>
      </w:r>
      <w:r w:rsidRPr="009522B3">
        <w:rPr>
          <w:lang w:val="fr-CA"/>
        </w:rPr>
        <w:t xml:space="preserve">ONUDI </w:t>
      </w:r>
      <w:r>
        <w:rPr>
          <w:lang w:val="fr-CA"/>
        </w:rPr>
        <w:t>n’a pas été en mesure d’obtenir la livraison des équipements</w:t>
      </w:r>
      <w:r w:rsidRPr="0042639D">
        <w:rPr>
          <w:lang w:val="fr-CA"/>
        </w:rPr>
        <w:t xml:space="preserve">. </w:t>
      </w:r>
    </w:p>
    <w:p w14:paraId="3AA93885" w14:textId="77777777" w:rsidR="006345CD" w:rsidRPr="0042639D" w:rsidRDefault="006345CD" w:rsidP="006345CD">
      <w:pPr>
        <w:numPr>
          <w:ilvl w:val="0"/>
          <w:numId w:val="30"/>
        </w:numPr>
        <w:spacing w:after="240"/>
        <w:outlineLvl w:val="0"/>
        <w:rPr>
          <w:lang w:val="fr-CA"/>
        </w:rPr>
      </w:pPr>
      <w:r>
        <w:rPr>
          <w:lang w:val="fr-CA"/>
        </w:rPr>
        <w:t>L’impossibilité de transférer des fonds à l’intérieur du pays a également eu des répercussions sur les activités ne portant pas sur des investissements</w:t>
      </w:r>
      <w:r w:rsidRPr="0042639D">
        <w:rPr>
          <w:lang w:val="fr-CA"/>
        </w:rPr>
        <w:t xml:space="preserve">, </w:t>
      </w:r>
      <w:r>
        <w:rPr>
          <w:lang w:val="fr-CA"/>
        </w:rPr>
        <w:t>rendues plus difficiles par l’</w:t>
      </w:r>
      <w:r w:rsidRPr="0042639D">
        <w:rPr>
          <w:lang w:val="fr-CA"/>
        </w:rPr>
        <w:t xml:space="preserve">introduction </w:t>
      </w:r>
      <w:r>
        <w:rPr>
          <w:lang w:val="fr-CA"/>
        </w:rPr>
        <w:t xml:space="preserve">de sanctions plus sévères depuis </w:t>
      </w:r>
      <w:proofErr w:type="gramStart"/>
      <w:r>
        <w:rPr>
          <w:lang w:val="fr-CA"/>
        </w:rPr>
        <w:t>l’</w:t>
      </w:r>
      <w:r w:rsidRPr="0042639D">
        <w:rPr>
          <w:lang w:val="fr-CA"/>
        </w:rPr>
        <w:t xml:space="preserve">adoption </w:t>
      </w:r>
      <w:r>
        <w:rPr>
          <w:lang w:val="fr-CA"/>
        </w:rPr>
        <w:t xml:space="preserve"> de</w:t>
      </w:r>
      <w:proofErr w:type="gramEnd"/>
      <w:r>
        <w:rPr>
          <w:lang w:val="fr-CA"/>
        </w:rPr>
        <w:t xml:space="preserve"> la </w:t>
      </w:r>
      <w:r w:rsidRPr="0042639D">
        <w:rPr>
          <w:lang w:val="fr-CA"/>
        </w:rPr>
        <w:t xml:space="preserve">résolution 2397 (2017). </w:t>
      </w:r>
    </w:p>
    <w:p w14:paraId="08EA1991" w14:textId="77777777" w:rsidR="006345CD" w:rsidRPr="0042639D" w:rsidRDefault="006345CD" w:rsidP="006345CD">
      <w:pPr>
        <w:numPr>
          <w:ilvl w:val="0"/>
          <w:numId w:val="30"/>
        </w:numPr>
        <w:spacing w:after="240"/>
        <w:outlineLvl w:val="0"/>
        <w:rPr>
          <w:rFonts w:eastAsiaTheme="minorEastAsia"/>
          <w:lang w:val="fr-CA" w:eastAsia="en-GB"/>
        </w:rPr>
      </w:pPr>
      <w:r>
        <w:rPr>
          <w:lang w:val="fr-CA"/>
        </w:rPr>
        <w:t>Compte tenu de ce qui précède, l’</w:t>
      </w:r>
      <w:r w:rsidRPr="009522B3">
        <w:rPr>
          <w:lang w:val="fr-CA"/>
        </w:rPr>
        <w:t xml:space="preserve">ONUDI </w:t>
      </w:r>
      <w:r>
        <w:rPr>
          <w:lang w:val="fr-CA"/>
        </w:rPr>
        <w:t xml:space="preserve">a indiqué dans son rapport qu’elle n’était pas en mesure de poursuivre la mise en œuvre du </w:t>
      </w:r>
      <w:r w:rsidRPr="0042639D">
        <w:rPr>
          <w:rFonts w:eastAsiaTheme="minorEastAsia"/>
          <w:lang w:val="fr-CA" w:eastAsia="en-GB"/>
        </w:rPr>
        <w:t xml:space="preserve">PGEH </w:t>
      </w:r>
      <w:r>
        <w:rPr>
          <w:rFonts w:eastAsiaTheme="minorEastAsia"/>
          <w:lang w:val="fr-CA" w:eastAsia="en-GB"/>
        </w:rPr>
        <w:t>pour la</w:t>
      </w:r>
      <w:r w:rsidRPr="0042639D">
        <w:rPr>
          <w:lang w:val="fr-CA"/>
        </w:rPr>
        <w:t xml:space="preserve"> République populaire démocratique de Corée</w:t>
      </w:r>
      <w:r>
        <w:rPr>
          <w:lang w:val="fr-CA"/>
        </w:rPr>
        <w:t xml:space="preserve"> et qu’elle sollicitait des directives du </w:t>
      </w:r>
      <w:r w:rsidRPr="0042639D">
        <w:rPr>
          <w:rFonts w:eastAsiaTheme="minorEastAsia"/>
          <w:lang w:val="fr-CA" w:eastAsia="en-GB"/>
        </w:rPr>
        <w:t>Comité exécutif.</w:t>
      </w:r>
    </w:p>
    <w:p w14:paraId="17E37B96" w14:textId="77777777" w:rsidR="006345CD" w:rsidRPr="0042639D" w:rsidRDefault="006345CD" w:rsidP="006345CD">
      <w:pPr>
        <w:keepNext/>
        <w:keepLines/>
        <w:spacing w:after="240"/>
        <w:outlineLvl w:val="0"/>
        <w:rPr>
          <w:rFonts w:eastAsiaTheme="minorEastAsia"/>
          <w:b/>
          <w:lang w:val="fr-CA"/>
        </w:rPr>
      </w:pPr>
      <w:r>
        <w:rPr>
          <w:rFonts w:eastAsiaTheme="minorEastAsia"/>
          <w:b/>
          <w:lang w:val="fr-CA"/>
        </w:rPr>
        <w:t xml:space="preserve">Observations du </w:t>
      </w:r>
      <w:r w:rsidRPr="0042639D">
        <w:rPr>
          <w:rFonts w:eastAsiaTheme="minorEastAsia"/>
          <w:b/>
          <w:lang w:val="fr-CA"/>
        </w:rPr>
        <w:t>Secr</w:t>
      </w:r>
      <w:r>
        <w:rPr>
          <w:rFonts w:eastAsiaTheme="minorEastAsia"/>
          <w:b/>
          <w:lang w:val="fr-CA"/>
        </w:rPr>
        <w:t>é</w:t>
      </w:r>
      <w:r w:rsidRPr="0042639D">
        <w:rPr>
          <w:rFonts w:eastAsiaTheme="minorEastAsia"/>
          <w:b/>
          <w:lang w:val="fr-CA"/>
        </w:rPr>
        <w:t>tariat</w:t>
      </w:r>
    </w:p>
    <w:p w14:paraId="0D08EDE8" w14:textId="77777777" w:rsidR="006345CD" w:rsidRPr="0042639D" w:rsidRDefault="006345CD" w:rsidP="006345CD">
      <w:pPr>
        <w:pStyle w:val="Heading1"/>
        <w:numPr>
          <w:ilvl w:val="0"/>
          <w:numId w:val="30"/>
        </w:numPr>
        <w:rPr>
          <w:rFonts w:eastAsiaTheme="minorEastAsia"/>
          <w:lang w:val="fr-CA" w:eastAsia="en-GB"/>
        </w:rPr>
      </w:pPr>
      <w:r>
        <w:rPr>
          <w:rFonts w:eastAsiaTheme="minorEastAsia"/>
          <w:lang w:val="fr-CA" w:eastAsia="en-GB"/>
        </w:rPr>
        <w:t>L’examen du rapport soumis par l’</w:t>
      </w:r>
      <w:r w:rsidRPr="0042639D">
        <w:rPr>
          <w:rFonts w:eastAsiaTheme="minorEastAsia"/>
          <w:lang w:val="fr-CA" w:eastAsia="en-GB"/>
        </w:rPr>
        <w:t xml:space="preserve">ONUDI </w:t>
      </w:r>
      <w:r>
        <w:rPr>
          <w:rFonts w:eastAsiaTheme="minorEastAsia"/>
          <w:lang w:val="fr-CA" w:eastAsia="en-GB"/>
        </w:rPr>
        <w:t xml:space="preserve">à la </w:t>
      </w:r>
      <w:r w:rsidRPr="0042639D">
        <w:rPr>
          <w:rFonts w:eastAsiaTheme="minorEastAsia"/>
          <w:lang w:val="fr-CA" w:eastAsia="en-GB"/>
        </w:rPr>
        <w:t>85</w:t>
      </w:r>
      <w:r>
        <w:rPr>
          <w:rFonts w:eastAsiaTheme="minorEastAsia"/>
          <w:vertAlign w:val="superscript"/>
          <w:lang w:val="fr-CA" w:eastAsia="en-GB"/>
        </w:rPr>
        <w:t>e</w:t>
      </w:r>
      <w:r w:rsidRPr="0042639D">
        <w:rPr>
          <w:rFonts w:eastAsiaTheme="minorEastAsia"/>
          <w:lang w:val="fr-CA" w:eastAsia="en-GB"/>
        </w:rPr>
        <w:t xml:space="preserve"> réunion </w:t>
      </w:r>
      <w:r>
        <w:rPr>
          <w:rFonts w:eastAsiaTheme="minorEastAsia"/>
          <w:lang w:val="fr-CA" w:eastAsia="en-GB"/>
        </w:rPr>
        <w:t xml:space="preserve">avait été reporté pour être soumis de nouveau aux </w:t>
      </w:r>
      <w:r w:rsidRPr="0042639D">
        <w:rPr>
          <w:rFonts w:eastAsiaTheme="minorEastAsia"/>
          <w:lang w:val="fr-CA" w:eastAsia="en-GB"/>
        </w:rPr>
        <w:t>86</w:t>
      </w:r>
      <w:r>
        <w:rPr>
          <w:rFonts w:eastAsiaTheme="minorEastAsia"/>
          <w:vertAlign w:val="superscript"/>
          <w:lang w:val="fr-CA" w:eastAsia="en-GB"/>
        </w:rPr>
        <w:t>e</w:t>
      </w:r>
      <w:r w:rsidRPr="0042639D">
        <w:rPr>
          <w:rFonts w:eastAsiaTheme="minorEastAsia"/>
          <w:lang w:val="fr-CA" w:eastAsia="en-GB"/>
        </w:rPr>
        <w:t>, 87</w:t>
      </w:r>
      <w:r>
        <w:rPr>
          <w:rFonts w:eastAsiaTheme="minorEastAsia"/>
          <w:vertAlign w:val="superscript"/>
          <w:lang w:val="fr-CA" w:eastAsia="en-GB"/>
        </w:rPr>
        <w:t>e</w:t>
      </w:r>
      <w:r w:rsidRPr="0042639D">
        <w:rPr>
          <w:rFonts w:eastAsiaTheme="minorEastAsia"/>
          <w:lang w:val="fr-CA" w:eastAsia="en-GB"/>
        </w:rPr>
        <w:t xml:space="preserve">, </w:t>
      </w:r>
      <w:r>
        <w:rPr>
          <w:rFonts w:eastAsiaTheme="minorEastAsia"/>
          <w:lang w:val="fr-CA" w:eastAsia="en-GB"/>
        </w:rPr>
        <w:t>et</w:t>
      </w:r>
      <w:r w:rsidRPr="0042639D">
        <w:rPr>
          <w:rFonts w:eastAsiaTheme="minorEastAsia"/>
          <w:lang w:val="fr-CA" w:eastAsia="en-GB"/>
        </w:rPr>
        <w:t xml:space="preserve"> 88</w:t>
      </w:r>
      <w:r>
        <w:rPr>
          <w:rFonts w:eastAsiaTheme="minorEastAsia"/>
          <w:vertAlign w:val="superscript"/>
          <w:lang w:val="fr-CA" w:eastAsia="en-GB"/>
        </w:rPr>
        <w:t>e</w:t>
      </w:r>
      <w:r w:rsidRPr="0042639D">
        <w:rPr>
          <w:rFonts w:eastAsiaTheme="minorEastAsia"/>
          <w:lang w:val="fr-CA" w:eastAsia="en-GB"/>
        </w:rPr>
        <w:t> réunions</w:t>
      </w:r>
      <w:r>
        <w:rPr>
          <w:rFonts w:eastAsiaTheme="minorEastAsia"/>
          <w:lang w:val="fr-CA" w:eastAsia="en-GB"/>
        </w:rPr>
        <w:t xml:space="preserve">, conformément à la </w:t>
      </w:r>
      <w:r w:rsidRPr="0042639D">
        <w:rPr>
          <w:rFonts w:eastAsiaTheme="minorEastAsia"/>
          <w:lang w:val="fr-CA" w:eastAsia="en-GB"/>
        </w:rPr>
        <w:t>proc</w:t>
      </w:r>
      <w:r>
        <w:rPr>
          <w:rFonts w:eastAsiaTheme="minorEastAsia"/>
          <w:lang w:val="fr-CA" w:eastAsia="en-GB"/>
        </w:rPr>
        <w:t>é</w:t>
      </w:r>
      <w:r w:rsidRPr="0042639D">
        <w:rPr>
          <w:rFonts w:eastAsiaTheme="minorEastAsia"/>
          <w:lang w:val="fr-CA" w:eastAsia="en-GB"/>
        </w:rPr>
        <w:t xml:space="preserve">dure </w:t>
      </w:r>
      <w:r>
        <w:rPr>
          <w:rFonts w:eastAsiaTheme="minorEastAsia"/>
          <w:lang w:val="fr-CA" w:eastAsia="en-GB"/>
        </w:rPr>
        <w:t xml:space="preserve">convenue du </w:t>
      </w:r>
      <w:r w:rsidRPr="0042639D">
        <w:rPr>
          <w:rFonts w:eastAsiaTheme="minorEastAsia"/>
          <w:lang w:val="fr-CA" w:eastAsia="en-GB"/>
        </w:rPr>
        <w:t xml:space="preserve">Comité exécutif </w:t>
      </w:r>
      <w:r>
        <w:rPr>
          <w:rFonts w:eastAsiaTheme="minorEastAsia"/>
          <w:lang w:val="fr-CA" w:eastAsia="en-GB"/>
        </w:rPr>
        <w:t xml:space="preserve">pour la tenue de ces </w:t>
      </w:r>
      <w:r w:rsidRPr="0042639D">
        <w:rPr>
          <w:rFonts w:eastAsiaTheme="minorEastAsia"/>
          <w:lang w:val="fr-CA" w:eastAsia="en-GB"/>
        </w:rPr>
        <w:t xml:space="preserve">réunions. </w:t>
      </w:r>
      <w:r>
        <w:rPr>
          <w:rFonts w:eastAsiaTheme="minorEastAsia"/>
          <w:lang w:val="fr-CA" w:eastAsia="en-GB"/>
        </w:rPr>
        <w:t>Le</w:t>
      </w:r>
      <w:r w:rsidRPr="0042639D">
        <w:rPr>
          <w:rFonts w:eastAsiaTheme="minorEastAsia"/>
          <w:lang w:val="fr-CA" w:eastAsia="en-GB"/>
        </w:rPr>
        <w:t xml:space="preserve"> r</w:t>
      </w:r>
      <w:r>
        <w:rPr>
          <w:rFonts w:eastAsiaTheme="minorEastAsia"/>
          <w:lang w:val="fr-CA" w:eastAsia="en-GB"/>
        </w:rPr>
        <w:t>ap</w:t>
      </w:r>
      <w:r w:rsidRPr="0042639D">
        <w:rPr>
          <w:rFonts w:eastAsiaTheme="minorEastAsia"/>
          <w:lang w:val="fr-CA" w:eastAsia="en-GB"/>
        </w:rPr>
        <w:t xml:space="preserve">port </w:t>
      </w:r>
      <w:r>
        <w:rPr>
          <w:rFonts w:eastAsiaTheme="minorEastAsia"/>
          <w:lang w:val="fr-CA" w:eastAsia="en-GB"/>
        </w:rPr>
        <w:t xml:space="preserve">a été resoumis à la </w:t>
      </w:r>
      <w:r w:rsidRPr="0042639D">
        <w:rPr>
          <w:rFonts w:eastAsiaTheme="minorEastAsia"/>
          <w:lang w:val="fr-CA" w:eastAsia="en-GB"/>
        </w:rPr>
        <w:t>90</w:t>
      </w:r>
      <w:r>
        <w:rPr>
          <w:rFonts w:eastAsiaTheme="minorEastAsia"/>
          <w:vertAlign w:val="superscript"/>
          <w:lang w:val="fr-CA" w:eastAsia="en-GB"/>
        </w:rPr>
        <w:t>e</w:t>
      </w:r>
      <w:r w:rsidRPr="0042639D">
        <w:rPr>
          <w:rFonts w:eastAsiaTheme="minorEastAsia"/>
          <w:lang w:val="fr-CA" w:eastAsia="en-GB"/>
        </w:rPr>
        <w:t> réunion.</w:t>
      </w:r>
    </w:p>
    <w:p w14:paraId="2A9B8A8A" w14:textId="0428BB7A" w:rsidR="006345CD" w:rsidRPr="0042639D" w:rsidRDefault="006345CD" w:rsidP="006345CD">
      <w:pPr>
        <w:pStyle w:val="Heading1"/>
        <w:numPr>
          <w:ilvl w:val="0"/>
          <w:numId w:val="30"/>
        </w:numPr>
        <w:rPr>
          <w:rFonts w:eastAsiaTheme="minorEastAsia"/>
          <w:lang w:val="fr-CA" w:eastAsia="en-GB"/>
        </w:rPr>
      </w:pPr>
      <w:r>
        <w:rPr>
          <w:rFonts w:eastAsiaTheme="minorEastAsia"/>
          <w:lang w:val="fr-CA" w:eastAsia="en-GB"/>
        </w:rPr>
        <w:t xml:space="preserve">Depuis la soumission du rapport à la </w:t>
      </w:r>
      <w:r w:rsidRPr="0042639D">
        <w:rPr>
          <w:rFonts w:eastAsiaTheme="minorEastAsia"/>
          <w:lang w:val="fr-CA" w:eastAsia="en-GB"/>
        </w:rPr>
        <w:t>86</w:t>
      </w:r>
      <w:r>
        <w:rPr>
          <w:rFonts w:eastAsiaTheme="minorEastAsia"/>
          <w:vertAlign w:val="superscript"/>
          <w:lang w:val="fr-CA" w:eastAsia="en-GB"/>
        </w:rPr>
        <w:t>e</w:t>
      </w:r>
      <w:r w:rsidRPr="0042639D">
        <w:rPr>
          <w:rFonts w:eastAsiaTheme="minorEastAsia"/>
          <w:lang w:val="fr-CA" w:eastAsia="en-GB"/>
        </w:rPr>
        <w:t xml:space="preserve"> réunion, </w:t>
      </w:r>
      <w:r>
        <w:rPr>
          <w:rFonts w:eastAsiaTheme="minorEastAsia"/>
          <w:lang w:val="fr-CA" w:eastAsia="en-GB"/>
        </w:rPr>
        <w:t xml:space="preserve">les Parties au Protocole de Montréal ont noté, à leur Trente-Deuxième </w:t>
      </w:r>
      <w:r w:rsidRPr="0042639D">
        <w:rPr>
          <w:rFonts w:eastAsiaTheme="minorEastAsia"/>
          <w:lang w:val="fr-CA" w:eastAsia="en-GB"/>
        </w:rPr>
        <w:t>Réunion,</w:t>
      </w:r>
      <w:r w:rsidRPr="0042639D">
        <w:rPr>
          <w:rStyle w:val="FootnoteReference"/>
          <w:rFonts w:eastAsiaTheme="minorEastAsia"/>
          <w:lang w:val="fr-CA" w:eastAsia="en-GB"/>
        </w:rPr>
        <w:footnoteReference w:id="42"/>
      </w:r>
      <w:r w:rsidRPr="0042639D">
        <w:rPr>
          <w:rFonts w:eastAsiaTheme="minorEastAsia"/>
          <w:lang w:val="fr-CA" w:eastAsia="en-GB"/>
        </w:rPr>
        <w:t xml:space="preserve"> </w:t>
      </w:r>
      <w:r>
        <w:rPr>
          <w:rFonts w:eastAsiaTheme="minorEastAsia"/>
          <w:lang w:val="fr-CA" w:eastAsia="en-GB"/>
        </w:rPr>
        <w:t xml:space="preserve">que la </w:t>
      </w:r>
      <w:r w:rsidRPr="0042639D">
        <w:rPr>
          <w:rFonts w:eastAsiaTheme="minorEastAsia"/>
          <w:lang w:val="fr-CA" w:eastAsia="en-GB"/>
        </w:rPr>
        <w:t>République populaire démocratique de Corée</w:t>
      </w:r>
      <w:r>
        <w:rPr>
          <w:rFonts w:eastAsiaTheme="minorEastAsia"/>
          <w:lang w:val="fr-CA" w:eastAsia="en-GB"/>
        </w:rPr>
        <w:t xml:space="preserve"> n’était pas en conformité avec les mesures de contrôle de la consommation et de la </w:t>
      </w:r>
      <w:r w:rsidRPr="0042639D">
        <w:rPr>
          <w:rFonts w:eastAsiaTheme="minorEastAsia"/>
          <w:lang w:val="fr-CA" w:eastAsia="en-GB"/>
        </w:rPr>
        <w:t xml:space="preserve">production </w:t>
      </w:r>
      <w:r>
        <w:rPr>
          <w:rFonts w:eastAsiaTheme="minorEastAsia"/>
          <w:lang w:val="fr-CA" w:eastAsia="en-GB"/>
        </w:rPr>
        <w:t xml:space="preserve">de HCFC aux termes du </w:t>
      </w:r>
      <w:r w:rsidRPr="0042639D">
        <w:rPr>
          <w:rFonts w:eastAsiaTheme="minorEastAsia"/>
          <w:lang w:val="fr-CA" w:eastAsia="en-GB"/>
        </w:rPr>
        <w:t>Protocol</w:t>
      </w:r>
      <w:r>
        <w:rPr>
          <w:rFonts w:eastAsiaTheme="minorEastAsia"/>
          <w:lang w:val="fr-CA" w:eastAsia="en-GB"/>
        </w:rPr>
        <w:t>e</w:t>
      </w:r>
      <w:r w:rsidRPr="0042639D">
        <w:rPr>
          <w:rFonts w:eastAsiaTheme="minorEastAsia"/>
          <w:lang w:val="fr-CA" w:eastAsia="en-GB"/>
        </w:rPr>
        <w:t xml:space="preserve">, </w:t>
      </w:r>
      <w:r>
        <w:rPr>
          <w:rFonts w:eastAsiaTheme="minorEastAsia"/>
          <w:lang w:val="fr-CA" w:eastAsia="en-GB"/>
        </w:rPr>
        <w:t xml:space="preserve">puisque sa consommation annuelle de </w:t>
      </w:r>
      <w:r w:rsidRPr="0042639D">
        <w:rPr>
          <w:rFonts w:eastAsiaTheme="minorEastAsia"/>
          <w:lang w:val="fr-CA" w:eastAsia="en-GB"/>
        </w:rPr>
        <w:t>72</w:t>
      </w:r>
      <w:r>
        <w:rPr>
          <w:rFonts w:eastAsiaTheme="minorEastAsia"/>
          <w:lang w:val="fr-CA" w:eastAsia="en-GB"/>
        </w:rPr>
        <w:t>,</w:t>
      </w:r>
      <w:r w:rsidRPr="0042639D">
        <w:rPr>
          <w:rFonts w:eastAsiaTheme="minorEastAsia"/>
          <w:lang w:val="fr-CA" w:eastAsia="en-GB"/>
        </w:rPr>
        <w:t xml:space="preserve">27 tonnes </w:t>
      </w:r>
      <w:r>
        <w:rPr>
          <w:rFonts w:eastAsiaTheme="minorEastAsia"/>
          <w:lang w:val="fr-CA" w:eastAsia="en-GB"/>
        </w:rPr>
        <w:t xml:space="preserve">PAO de </w:t>
      </w:r>
      <w:r w:rsidRPr="0042639D">
        <w:rPr>
          <w:rFonts w:eastAsiaTheme="minorEastAsia"/>
          <w:lang w:val="fr-CA" w:eastAsia="en-GB"/>
        </w:rPr>
        <w:t xml:space="preserve">HCFC </w:t>
      </w:r>
      <w:r>
        <w:rPr>
          <w:rFonts w:eastAsiaTheme="minorEastAsia"/>
          <w:lang w:val="fr-CA" w:eastAsia="en-GB"/>
        </w:rPr>
        <w:t xml:space="preserve">dépassait la consommation maximale admissible du pays, qui était de </w:t>
      </w:r>
      <w:r w:rsidRPr="0042639D">
        <w:rPr>
          <w:rFonts w:eastAsiaTheme="minorEastAsia"/>
          <w:lang w:val="fr-CA" w:eastAsia="en-GB"/>
        </w:rPr>
        <w:t>70</w:t>
      </w:r>
      <w:r>
        <w:rPr>
          <w:rFonts w:eastAsiaTheme="minorEastAsia"/>
          <w:lang w:val="fr-CA" w:eastAsia="en-GB"/>
        </w:rPr>
        <w:t>,</w:t>
      </w:r>
      <w:r w:rsidRPr="0042639D">
        <w:rPr>
          <w:rFonts w:eastAsiaTheme="minorEastAsia"/>
          <w:lang w:val="fr-CA" w:eastAsia="en-GB"/>
        </w:rPr>
        <w:t xml:space="preserve">2 tonnes </w:t>
      </w:r>
      <w:r>
        <w:rPr>
          <w:rFonts w:eastAsiaTheme="minorEastAsia"/>
          <w:lang w:val="fr-CA" w:eastAsia="en-GB"/>
        </w:rPr>
        <w:t>PAO pour cette année</w:t>
      </w:r>
      <w:r w:rsidRPr="0042639D">
        <w:rPr>
          <w:rFonts w:eastAsiaTheme="minorEastAsia"/>
          <w:lang w:val="fr-CA" w:eastAsia="en-GB"/>
        </w:rPr>
        <w:t xml:space="preserve">, </w:t>
      </w:r>
      <w:r>
        <w:rPr>
          <w:rFonts w:eastAsiaTheme="minorEastAsia"/>
          <w:lang w:val="fr-CA" w:eastAsia="en-GB"/>
        </w:rPr>
        <w:t xml:space="preserve">et que sa production annuelle de </w:t>
      </w:r>
      <w:r w:rsidRPr="0042639D">
        <w:rPr>
          <w:rFonts w:eastAsiaTheme="minorEastAsia"/>
          <w:lang w:val="fr-CA" w:eastAsia="en-GB"/>
        </w:rPr>
        <w:t>26</w:t>
      </w:r>
      <w:r>
        <w:rPr>
          <w:rFonts w:eastAsiaTheme="minorEastAsia"/>
          <w:lang w:val="fr-CA" w:eastAsia="en-GB"/>
        </w:rPr>
        <w:t>,</w:t>
      </w:r>
      <w:r w:rsidRPr="0042639D">
        <w:rPr>
          <w:rFonts w:eastAsiaTheme="minorEastAsia"/>
          <w:lang w:val="fr-CA" w:eastAsia="en-GB"/>
        </w:rPr>
        <w:t xml:space="preserve">95 tonnes </w:t>
      </w:r>
      <w:r>
        <w:rPr>
          <w:rFonts w:eastAsiaTheme="minorEastAsia"/>
          <w:lang w:val="fr-CA" w:eastAsia="en-GB"/>
        </w:rPr>
        <w:t xml:space="preserve">PAO de </w:t>
      </w:r>
      <w:r w:rsidRPr="0042639D">
        <w:rPr>
          <w:rFonts w:eastAsiaTheme="minorEastAsia"/>
          <w:lang w:val="fr-CA" w:eastAsia="en-GB"/>
        </w:rPr>
        <w:t xml:space="preserve">HCFC </w:t>
      </w:r>
      <w:r>
        <w:rPr>
          <w:rFonts w:eastAsiaTheme="minorEastAsia"/>
          <w:lang w:val="fr-CA" w:eastAsia="en-GB"/>
        </w:rPr>
        <w:t>e</w:t>
      </w:r>
      <w:r w:rsidRPr="0042639D">
        <w:rPr>
          <w:rFonts w:eastAsiaTheme="minorEastAsia"/>
          <w:lang w:val="fr-CA" w:eastAsia="en-GB"/>
        </w:rPr>
        <w:t xml:space="preserve">n 2019 </w:t>
      </w:r>
      <w:r>
        <w:rPr>
          <w:rFonts w:eastAsiaTheme="minorEastAsia"/>
          <w:lang w:val="fr-CA" w:eastAsia="en-GB"/>
        </w:rPr>
        <w:t xml:space="preserve">dépassait la production maximale admissible du pays, soit </w:t>
      </w:r>
      <w:r w:rsidRPr="0042639D">
        <w:rPr>
          <w:rFonts w:eastAsiaTheme="minorEastAsia"/>
          <w:lang w:val="fr-CA" w:eastAsia="en-GB"/>
        </w:rPr>
        <w:t>24</w:t>
      </w:r>
      <w:r>
        <w:rPr>
          <w:rFonts w:eastAsiaTheme="minorEastAsia"/>
          <w:lang w:val="fr-CA" w:eastAsia="en-GB"/>
        </w:rPr>
        <w:t>,</w:t>
      </w:r>
      <w:r w:rsidRPr="0042639D">
        <w:rPr>
          <w:rFonts w:eastAsiaTheme="minorEastAsia"/>
          <w:lang w:val="fr-CA" w:eastAsia="en-GB"/>
        </w:rPr>
        <w:t>8 tonnes</w:t>
      </w:r>
      <w:r>
        <w:rPr>
          <w:rFonts w:eastAsiaTheme="minorEastAsia"/>
          <w:lang w:val="fr-CA" w:eastAsia="en-GB"/>
        </w:rPr>
        <w:t xml:space="preserve"> PAO</w:t>
      </w:r>
      <w:r w:rsidRPr="0042639D">
        <w:rPr>
          <w:rFonts w:eastAsiaTheme="minorEastAsia"/>
          <w:lang w:val="fr-CA" w:eastAsia="en-GB"/>
        </w:rPr>
        <w:t xml:space="preserve">. </w:t>
      </w:r>
      <w:r>
        <w:rPr>
          <w:rFonts w:eastAsiaTheme="minorEastAsia"/>
          <w:lang w:val="fr-CA" w:eastAsia="en-GB"/>
        </w:rPr>
        <w:t>L</w:t>
      </w:r>
      <w:r w:rsidRPr="0042639D">
        <w:rPr>
          <w:rFonts w:eastAsiaTheme="minorEastAsia"/>
          <w:lang w:val="fr-CA" w:eastAsia="en-GB"/>
        </w:rPr>
        <w:t>e</w:t>
      </w:r>
      <w:r>
        <w:rPr>
          <w:rFonts w:eastAsiaTheme="minorEastAsia"/>
          <w:lang w:val="fr-CA" w:eastAsia="en-GB"/>
        </w:rPr>
        <w:t>s</w:t>
      </w:r>
      <w:r w:rsidRPr="0042639D">
        <w:rPr>
          <w:rFonts w:eastAsiaTheme="minorEastAsia"/>
          <w:lang w:val="fr-CA" w:eastAsia="en-GB"/>
        </w:rPr>
        <w:t xml:space="preserve"> Parties</w:t>
      </w:r>
      <w:r>
        <w:rPr>
          <w:rFonts w:eastAsiaTheme="minorEastAsia"/>
          <w:lang w:val="fr-CA" w:eastAsia="en-GB"/>
        </w:rPr>
        <w:t xml:space="preserve"> ont entre autres noté avec satisfaction la soumission par le pays </w:t>
      </w:r>
      <w:r w:rsidRPr="0024748D">
        <w:rPr>
          <w:rFonts w:eastAsiaTheme="minorEastAsia"/>
          <w:iCs/>
          <w:lang w:val="fr-CA" w:eastAsia="en-GB"/>
        </w:rPr>
        <w:t>d’une</w:t>
      </w:r>
      <w:r w:rsidRPr="0042639D">
        <w:rPr>
          <w:rFonts w:eastAsiaTheme="minorEastAsia"/>
          <w:lang w:val="fr-CA" w:eastAsia="en-GB"/>
        </w:rPr>
        <w:t xml:space="preserve"> expl</w:t>
      </w:r>
      <w:r>
        <w:rPr>
          <w:rFonts w:eastAsiaTheme="minorEastAsia"/>
          <w:lang w:val="fr-CA" w:eastAsia="en-GB"/>
        </w:rPr>
        <w:t>ic</w:t>
      </w:r>
      <w:r w:rsidRPr="0042639D">
        <w:rPr>
          <w:rFonts w:eastAsiaTheme="minorEastAsia"/>
          <w:lang w:val="fr-CA" w:eastAsia="en-GB"/>
        </w:rPr>
        <w:t xml:space="preserve">ation </w:t>
      </w:r>
      <w:r>
        <w:rPr>
          <w:rFonts w:eastAsiaTheme="minorEastAsia"/>
          <w:lang w:val="fr-CA" w:eastAsia="en-GB"/>
        </w:rPr>
        <w:t xml:space="preserve">de sa non-conformité et d’un plan d’action pour assurer son retour à la conformité avec les mesures de contrôle de la consommation et la production de </w:t>
      </w:r>
      <w:r w:rsidRPr="0042639D">
        <w:rPr>
          <w:rFonts w:eastAsiaTheme="minorEastAsia"/>
          <w:lang w:val="fr-CA" w:eastAsia="en-GB"/>
        </w:rPr>
        <w:t xml:space="preserve">HCFC </w:t>
      </w:r>
      <w:r>
        <w:rPr>
          <w:rFonts w:eastAsiaTheme="minorEastAsia"/>
          <w:lang w:val="fr-CA" w:eastAsia="en-GB"/>
        </w:rPr>
        <w:t xml:space="preserve">du Protocole en </w:t>
      </w:r>
      <w:r w:rsidRPr="0042639D">
        <w:rPr>
          <w:rFonts w:eastAsiaTheme="minorEastAsia"/>
          <w:lang w:val="fr-CA" w:eastAsia="en-GB"/>
        </w:rPr>
        <w:t xml:space="preserve">2023; </w:t>
      </w:r>
      <w:r>
        <w:rPr>
          <w:rFonts w:eastAsiaTheme="minorEastAsia"/>
          <w:lang w:val="fr-CA" w:eastAsia="en-GB"/>
        </w:rPr>
        <w:t>elles ont noté en outre qu’au titre du plan d’action</w:t>
      </w:r>
      <w:r w:rsidRPr="0042639D">
        <w:rPr>
          <w:rFonts w:eastAsiaTheme="minorEastAsia"/>
          <w:lang w:val="fr-CA" w:eastAsia="en-GB"/>
        </w:rPr>
        <w:t xml:space="preserve">, </w:t>
      </w:r>
      <w:r>
        <w:rPr>
          <w:rFonts w:eastAsiaTheme="minorEastAsia"/>
          <w:lang w:val="fr-CA" w:eastAsia="en-GB"/>
        </w:rPr>
        <w:t>sans préjudice au fonctionnement du mécani</w:t>
      </w:r>
      <w:r w:rsidR="00BC1B44">
        <w:rPr>
          <w:rFonts w:eastAsiaTheme="minorEastAsia"/>
          <w:lang w:val="fr-CA" w:eastAsia="en-GB"/>
        </w:rPr>
        <w:t>sme</w:t>
      </w:r>
      <w:r>
        <w:rPr>
          <w:rFonts w:eastAsiaTheme="minorEastAsia"/>
          <w:lang w:val="fr-CA" w:eastAsia="en-GB"/>
        </w:rPr>
        <w:t xml:space="preserve"> financier du </w:t>
      </w:r>
      <w:r w:rsidRPr="0042639D">
        <w:rPr>
          <w:rFonts w:eastAsiaTheme="minorEastAsia"/>
          <w:lang w:val="fr-CA" w:eastAsia="en-GB"/>
        </w:rPr>
        <w:t>Protocol</w:t>
      </w:r>
      <w:r>
        <w:rPr>
          <w:rFonts w:eastAsiaTheme="minorEastAsia"/>
          <w:lang w:val="fr-CA" w:eastAsia="en-GB"/>
        </w:rPr>
        <w:t>e</w:t>
      </w:r>
      <w:r w:rsidRPr="0042639D">
        <w:rPr>
          <w:rFonts w:eastAsiaTheme="minorEastAsia"/>
          <w:lang w:val="fr-CA" w:eastAsia="en-GB"/>
        </w:rPr>
        <w:t xml:space="preserve">, </w:t>
      </w:r>
      <w:r>
        <w:rPr>
          <w:rFonts w:eastAsiaTheme="minorEastAsia"/>
          <w:lang w:val="fr-CA" w:eastAsia="en-GB"/>
        </w:rPr>
        <w:t>la</w:t>
      </w:r>
      <w:r w:rsidRPr="0042639D">
        <w:rPr>
          <w:rFonts w:eastAsiaTheme="minorEastAsia"/>
          <w:lang w:val="fr-CA" w:eastAsia="en-GB"/>
        </w:rPr>
        <w:t xml:space="preserve"> République populaire démocratique de Corée</w:t>
      </w:r>
      <w:r>
        <w:rPr>
          <w:rFonts w:eastAsiaTheme="minorEastAsia"/>
          <w:lang w:val="fr-CA" w:eastAsia="en-GB"/>
        </w:rPr>
        <w:t xml:space="preserve"> s’est engagée à réaliser des réductions spécifiques de la </w:t>
      </w:r>
      <w:r w:rsidRPr="0042639D">
        <w:rPr>
          <w:rFonts w:eastAsiaTheme="minorEastAsia"/>
          <w:lang w:val="fr-CA" w:eastAsia="en-GB"/>
        </w:rPr>
        <w:t xml:space="preserve">production </w:t>
      </w:r>
      <w:r>
        <w:rPr>
          <w:rFonts w:eastAsiaTheme="minorEastAsia"/>
          <w:lang w:val="fr-CA" w:eastAsia="en-GB"/>
        </w:rPr>
        <w:t xml:space="preserve">et de la </w:t>
      </w:r>
      <w:r w:rsidRPr="0042639D">
        <w:rPr>
          <w:rFonts w:eastAsiaTheme="minorEastAsia"/>
          <w:lang w:val="fr-CA" w:eastAsia="en-GB"/>
        </w:rPr>
        <w:t>cons</w:t>
      </w:r>
      <w:r>
        <w:rPr>
          <w:rFonts w:eastAsiaTheme="minorEastAsia"/>
          <w:lang w:val="fr-CA" w:eastAsia="en-GB"/>
        </w:rPr>
        <w:t xml:space="preserve">ommation de </w:t>
      </w:r>
      <w:r w:rsidRPr="0042639D">
        <w:rPr>
          <w:rFonts w:eastAsiaTheme="minorEastAsia"/>
          <w:lang w:val="fr-CA" w:eastAsia="en-GB"/>
        </w:rPr>
        <w:t xml:space="preserve">HCFC; </w:t>
      </w:r>
      <w:r>
        <w:rPr>
          <w:rFonts w:eastAsiaTheme="minorEastAsia"/>
          <w:lang w:val="fr-CA" w:eastAsia="en-GB"/>
        </w:rPr>
        <w:t xml:space="preserve">elles ont invité instamment le pays à collaborer avec les agences d’exécution intéressées pour étudier les options possibles de mise en œuvre du plan d’action, afin d’éliminer la consommation et la </w:t>
      </w:r>
      <w:r w:rsidRPr="0042639D">
        <w:rPr>
          <w:rFonts w:eastAsiaTheme="minorEastAsia"/>
          <w:lang w:val="fr-CA" w:eastAsia="en-GB"/>
        </w:rPr>
        <w:t xml:space="preserve">production </w:t>
      </w:r>
      <w:r>
        <w:rPr>
          <w:rFonts w:eastAsiaTheme="minorEastAsia"/>
          <w:lang w:val="fr-CA" w:eastAsia="en-GB"/>
        </w:rPr>
        <w:t>des</w:t>
      </w:r>
      <w:r w:rsidRPr="0042639D">
        <w:rPr>
          <w:rFonts w:eastAsiaTheme="minorEastAsia"/>
          <w:lang w:val="fr-CA" w:eastAsia="en-GB"/>
        </w:rPr>
        <w:t xml:space="preserve"> HCFC</w:t>
      </w:r>
      <w:r>
        <w:rPr>
          <w:rFonts w:eastAsiaTheme="minorEastAsia"/>
          <w:lang w:val="fr-CA" w:eastAsia="en-GB"/>
        </w:rPr>
        <w:t xml:space="preserve"> sous réserve de l’</w:t>
      </w:r>
      <w:r w:rsidRPr="0042639D">
        <w:rPr>
          <w:rFonts w:eastAsiaTheme="minorEastAsia"/>
          <w:lang w:val="fr-CA" w:eastAsia="en-GB"/>
        </w:rPr>
        <w:t xml:space="preserve">application </w:t>
      </w:r>
      <w:r>
        <w:rPr>
          <w:rFonts w:eastAsiaTheme="minorEastAsia"/>
          <w:lang w:val="fr-CA" w:eastAsia="en-GB"/>
        </w:rPr>
        <w:t>des résolutions pertinentes du CSNU</w:t>
      </w:r>
      <w:r w:rsidRPr="0042639D">
        <w:rPr>
          <w:rFonts w:eastAsiaTheme="minorEastAsia"/>
          <w:lang w:val="fr-CA" w:eastAsia="en-GB"/>
        </w:rPr>
        <w:t xml:space="preserve">; </w:t>
      </w:r>
      <w:r>
        <w:rPr>
          <w:rFonts w:eastAsiaTheme="minorEastAsia"/>
          <w:lang w:val="fr-CA" w:eastAsia="en-GB"/>
        </w:rPr>
        <w:t xml:space="preserve">et elles ont invité le pays à établir d’autres politiques nationales pour faciliter l’élimination des </w:t>
      </w:r>
      <w:r w:rsidRPr="0042639D">
        <w:rPr>
          <w:rFonts w:eastAsiaTheme="minorEastAsia"/>
          <w:lang w:val="fr-CA" w:eastAsia="en-GB"/>
        </w:rPr>
        <w:t>HCFC</w:t>
      </w:r>
      <w:r>
        <w:rPr>
          <w:rFonts w:eastAsiaTheme="minorEastAsia"/>
          <w:lang w:val="fr-CA" w:eastAsia="en-GB"/>
        </w:rPr>
        <w:t xml:space="preserve"> qui pourraient inclure ces mesures, sans s’y limiter : interdiction d’importations, de production ou de nouvelles installations, et </w:t>
      </w:r>
      <w:r w:rsidRPr="0042639D">
        <w:rPr>
          <w:rFonts w:eastAsiaTheme="minorEastAsia"/>
          <w:lang w:val="fr-CA" w:eastAsia="en-GB"/>
        </w:rPr>
        <w:t xml:space="preserve">certification </w:t>
      </w:r>
      <w:r>
        <w:rPr>
          <w:rFonts w:eastAsiaTheme="minorEastAsia"/>
          <w:lang w:val="fr-CA" w:eastAsia="en-GB"/>
        </w:rPr>
        <w:t xml:space="preserve">des techniciens et des entreprises en </w:t>
      </w:r>
      <w:r w:rsidRPr="0042639D">
        <w:rPr>
          <w:rFonts w:eastAsiaTheme="minorEastAsia"/>
          <w:lang w:val="fr-CA" w:eastAsia="en-GB"/>
        </w:rPr>
        <w:t>réfrigération (</w:t>
      </w:r>
      <w:r>
        <w:rPr>
          <w:rFonts w:eastAsiaTheme="minorEastAsia"/>
          <w:lang w:val="fr-CA" w:eastAsia="en-GB"/>
        </w:rPr>
        <w:t>décision</w:t>
      </w:r>
      <w:r w:rsidRPr="0042639D">
        <w:rPr>
          <w:rFonts w:eastAsiaTheme="minorEastAsia"/>
          <w:lang w:val="fr-CA" w:eastAsia="en-GB"/>
        </w:rPr>
        <w:t> XXXII/6).</w:t>
      </w:r>
      <w:r w:rsidRPr="0042639D">
        <w:rPr>
          <w:rStyle w:val="FootnoteReference"/>
          <w:rFonts w:eastAsiaTheme="minorEastAsia"/>
          <w:lang w:val="fr-CA" w:eastAsia="en-GB"/>
        </w:rPr>
        <w:footnoteReference w:id="43"/>
      </w:r>
    </w:p>
    <w:p w14:paraId="2C1E9EE2" w14:textId="77777777" w:rsidR="006345CD" w:rsidRPr="0042639D" w:rsidRDefault="006345CD" w:rsidP="006345CD">
      <w:pPr>
        <w:numPr>
          <w:ilvl w:val="0"/>
          <w:numId w:val="30"/>
        </w:numPr>
        <w:spacing w:after="240"/>
        <w:outlineLvl w:val="0"/>
        <w:rPr>
          <w:rFonts w:eastAsiaTheme="minorEastAsia"/>
          <w:lang w:val="fr-CA" w:eastAsia="en-GB"/>
        </w:rPr>
      </w:pPr>
      <w:r>
        <w:rPr>
          <w:lang w:val="fr-CA"/>
        </w:rPr>
        <w:t>L</w:t>
      </w:r>
      <w:r w:rsidRPr="0042639D">
        <w:rPr>
          <w:lang w:val="fr-CA"/>
        </w:rPr>
        <w:t>e Secrétariat note</w:t>
      </w:r>
      <w:r>
        <w:rPr>
          <w:lang w:val="fr-CA"/>
        </w:rPr>
        <w:t xml:space="preserve"> que l’</w:t>
      </w:r>
      <w:r w:rsidRPr="0042639D">
        <w:rPr>
          <w:lang w:val="fr-CA"/>
        </w:rPr>
        <w:t xml:space="preserve">ONUDI </w:t>
      </w:r>
      <w:r>
        <w:rPr>
          <w:lang w:val="fr-CA"/>
        </w:rPr>
        <w:t xml:space="preserve">a continué d’exercer la diligence et la surveillance appropriées durant la mise en œuvre du </w:t>
      </w:r>
      <w:r w:rsidRPr="0042639D">
        <w:rPr>
          <w:lang w:val="fr-CA"/>
        </w:rPr>
        <w:t xml:space="preserve">projet. </w:t>
      </w:r>
      <w:proofErr w:type="gramStart"/>
      <w:r>
        <w:rPr>
          <w:lang w:val="fr-CA"/>
        </w:rPr>
        <w:t>Suite à</w:t>
      </w:r>
      <w:proofErr w:type="gramEnd"/>
      <w:r>
        <w:rPr>
          <w:lang w:val="fr-CA"/>
        </w:rPr>
        <w:t xml:space="preserve"> l’</w:t>
      </w:r>
      <w:r w:rsidRPr="0042639D">
        <w:rPr>
          <w:lang w:val="fr-CA"/>
        </w:rPr>
        <w:t xml:space="preserve">adoption </w:t>
      </w:r>
      <w:r>
        <w:rPr>
          <w:lang w:val="fr-CA"/>
        </w:rPr>
        <w:t xml:space="preserve">d’une nouvelle résolution du CSNU en </w:t>
      </w:r>
      <w:r w:rsidRPr="0042639D">
        <w:rPr>
          <w:lang w:val="fr-CA"/>
        </w:rPr>
        <w:t xml:space="preserve">2017, </w:t>
      </w:r>
      <w:r>
        <w:rPr>
          <w:lang w:val="fr-CA"/>
        </w:rPr>
        <w:t xml:space="preserve">elle a soumis au Comité du CSNU, conformément à la </w:t>
      </w:r>
      <w:r w:rsidRPr="0042639D">
        <w:rPr>
          <w:lang w:val="fr-CA"/>
        </w:rPr>
        <w:t>r</w:t>
      </w:r>
      <w:r>
        <w:rPr>
          <w:lang w:val="fr-CA"/>
        </w:rPr>
        <w:t>é</w:t>
      </w:r>
      <w:r w:rsidRPr="0042639D">
        <w:rPr>
          <w:lang w:val="fr-CA"/>
        </w:rPr>
        <w:t xml:space="preserve">solution 1718, </w:t>
      </w:r>
      <w:r>
        <w:rPr>
          <w:lang w:val="fr-CA"/>
        </w:rPr>
        <w:t>une demande d’e</w:t>
      </w:r>
      <w:r w:rsidRPr="0042639D">
        <w:rPr>
          <w:lang w:val="fr-CA"/>
        </w:rPr>
        <w:t xml:space="preserve">xemption, </w:t>
      </w:r>
      <w:r>
        <w:rPr>
          <w:lang w:val="fr-CA"/>
        </w:rPr>
        <w:t xml:space="preserve">ainsi qu’une liste à jour des équipements à importer dans le pays, et elle est restée en étroite </w:t>
      </w:r>
      <w:r w:rsidRPr="0042639D">
        <w:rPr>
          <w:lang w:val="fr-CA"/>
        </w:rPr>
        <w:t xml:space="preserve">coopération </w:t>
      </w:r>
      <w:r>
        <w:rPr>
          <w:lang w:val="fr-CA"/>
        </w:rPr>
        <w:t>avec les États membres intéressés concernant l’acquisition et l’exportation d’équipements conçus pour éliminer l’utilisation de substances réglementées dans le pays</w:t>
      </w:r>
      <w:r w:rsidRPr="0042639D">
        <w:rPr>
          <w:lang w:val="fr-CA"/>
        </w:rPr>
        <w:t>.</w:t>
      </w:r>
    </w:p>
    <w:p w14:paraId="2DC21A45" w14:textId="77777777" w:rsidR="006345CD" w:rsidRPr="0042639D" w:rsidRDefault="006345CD" w:rsidP="006345CD">
      <w:pPr>
        <w:pStyle w:val="Heading1"/>
        <w:keepNext/>
        <w:keepLines/>
        <w:numPr>
          <w:ilvl w:val="0"/>
          <w:numId w:val="30"/>
        </w:numPr>
        <w:rPr>
          <w:lang w:val="fr-CA"/>
        </w:rPr>
      </w:pPr>
      <w:r>
        <w:rPr>
          <w:lang w:val="fr-CA"/>
        </w:rPr>
        <w:t>E</w:t>
      </w:r>
      <w:r w:rsidRPr="0042639D">
        <w:rPr>
          <w:lang w:val="fr-CA"/>
        </w:rPr>
        <w:t xml:space="preserve">n préparation </w:t>
      </w:r>
      <w:r>
        <w:rPr>
          <w:lang w:val="fr-CA"/>
        </w:rPr>
        <w:t xml:space="preserve">de la </w:t>
      </w:r>
      <w:r w:rsidRPr="0042639D">
        <w:rPr>
          <w:lang w:val="fr-CA"/>
        </w:rPr>
        <w:t>87</w:t>
      </w:r>
      <w:r>
        <w:rPr>
          <w:vertAlign w:val="superscript"/>
          <w:lang w:val="fr-CA"/>
        </w:rPr>
        <w:t>e</w:t>
      </w:r>
      <w:r w:rsidRPr="0042639D">
        <w:rPr>
          <w:lang w:val="fr-CA"/>
        </w:rPr>
        <w:t xml:space="preserve"> réunion, </w:t>
      </w:r>
      <w:r>
        <w:rPr>
          <w:lang w:val="fr-CA"/>
        </w:rPr>
        <w:t xml:space="preserve">en réponse à une question du Secrétariat sur l’évolution de la mise en œuvre du </w:t>
      </w:r>
      <w:r w:rsidRPr="0042639D">
        <w:rPr>
          <w:lang w:val="fr-CA"/>
        </w:rPr>
        <w:t xml:space="preserve">PGEH </w:t>
      </w:r>
      <w:r>
        <w:rPr>
          <w:lang w:val="fr-CA"/>
        </w:rPr>
        <w:t>pour la</w:t>
      </w:r>
      <w:r w:rsidRPr="0042639D">
        <w:rPr>
          <w:lang w:val="fr-CA"/>
        </w:rPr>
        <w:t xml:space="preserve"> </w:t>
      </w:r>
      <w:r>
        <w:rPr>
          <w:lang w:val="fr-CA"/>
        </w:rPr>
        <w:t>République populaire démocratique de Corée</w:t>
      </w:r>
      <w:r w:rsidRPr="0042639D">
        <w:rPr>
          <w:lang w:val="fr-CA"/>
        </w:rPr>
        <w:t xml:space="preserve">, </w:t>
      </w:r>
      <w:r>
        <w:rPr>
          <w:lang w:val="fr-CA"/>
        </w:rPr>
        <w:t>l’</w:t>
      </w:r>
      <w:r w:rsidRPr="0042639D">
        <w:rPr>
          <w:lang w:val="fr-CA"/>
        </w:rPr>
        <w:t xml:space="preserve">ONUDI </w:t>
      </w:r>
      <w:r>
        <w:rPr>
          <w:lang w:val="fr-CA"/>
        </w:rPr>
        <w:t xml:space="preserve">a indiqué qu’elle n’avait pas d’autres informations que celles fournies à la </w:t>
      </w:r>
      <w:r w:rsidRPr="0042639D">
        <w:rPr>
          <w:lang w:val="fr-CA"/>
        </w:rPr>
        <w:t>86</w:t>
      </w:r>
      <w:r>
        <w:rPr>
          <w:vertAlign w:val="superscript"/>
          <w:lang w:val="fr-CA"/>
        </w:rPr>
        <w:t>e</w:t>
      </w:r>
      <w:r w:rsidRPr="0042639D">
        <w:rPr>
          <w:lang w:val="fr-CA"/>
        </w:rPr>
        <w:t xml:space="preserve"> réunion, </w:t>
      </w:r>
      <w:r>
        <w:rPr>
          <w:lang w:val="fr-CA"/>
        </w:rPr>
        <w:t xml:space="preserve">et que la mise en œuvre du </w:t>
      </w:r>
      <w:r w:rsidRPr="0042639D">
        <w:rPr>
          <w:lang w:val="fr-CA"/>
        </w:rPr>
        <w:t xml:space="preserve">PGEH </w:t>
      </w:r>
      <w:r>
        <w:rPr>
          <w:lang w:val="fr-CA"/>
        </w:rPr>
        <w:t>ne lui serait possible que si le CSNU</w:t>
      </w:r>
      <w:r w:rsidRPr="0042639D">
        <w:rPr>
          <w:lang w:val="fr-CA"/>
        </w:rPr>
        <w:t xml:space="preserve"> </w:t>
      </w:r>
      <w:r>
        <w:rPr>
          <w:lang w:val="fr-CA"/>
        </w:rPr>
        <w:t xml:space="preserve">levait les </w:t>
      </w:r>
      <w:r w:rsidRPr="0042639D">
        <w:rPr>
          <w:lang w:val="fr-CA"/>
        </w:rPr>
        <w:t xml:space="preserve">sanctions </w:t>
      </w:r>
      <w:r>
        <w:rPr>
          <w:lang w:val="fr-CA"/>
        </w:rPr>
        <w:t>ou lui accordait une exception</w:t>
      </w:r>
      <w:r w:rsidRPr="0042639D">
        <w:rPr>
          <w:lang w:val="fr-CA"/>
        </w:rPr>
        <w:t xml:space="preserve">. </w:t>
      </w:r>
      <w:r>
        <w:rPr>
          <w:lang w:val="fr-CA"/>
        </w:rPr>
        <w:t>L’</w:t>
      </w:r>
      <w:r w:rsidRPr="0042639D">
        <w:rPr>
          <w:lang w:val="fr-CA"/>
        </w:rPr>
        <w:t xml:space="preserve">ONUDI </w:t>
      </w:r>
      <w:r>
        <w:rPr>
          <w:lang w:val="fr-CA"/>
        </w:rPr>
        <w:t xml:space="preserve">n’était toutefois pas en mesure d’obtenir une telle </w:t>
      </w:r>
      <w:r w:rsidRPr="0042639D">
        <w:rPr>
          <w:lang w:val="fr-CA"/>
        </w:rPr>
        <w:t xml:space="preserve">exemption. </w:t>
      </w:r>
      <w:r>
        <w:rPr>
          <w:lang w:val="fr-CA"/>
        </w:rPr>
        <w:t>En conséquence, l’</w:t>
      </w:r>
      <w:r w:rsidRPr="0042639D">
        <w:rPr>
          <w:lang w:val="fr-CA"/>
        </w:rPr>
        <w:t xml:space="preserve">ONUDI </w:t>
      </w:r>
      <w:r>
        <w:rPr>
          <w:lang w:val="fr-CA"/>
        </w:rPr>
        <w:t>a r</w:t>
      </w:r>
      <w:r w:rsidRPr="0042639D">
        <w:rPr>
          <w:lang w:val="fr-CA"/>
        </w:rPr>
        <w:t>éitér</w:t>
      </w:r>
      <w:r>
        <w:rPr>
          <w:lang w:val="fr-CA"/>
        </w:rPr>
        <w:t>é</w:t>
      </w:r>
      <w:r w:rsidRPr="0042639D">
        <w:rPr>
          <w:lang w:val="fr-CA"/>
        </w:rPr>
        <w:t xml:space="preserve"> </w:t>
      </w:r>
      <w:r>
        <w:rPr>
          <w:lang w:val="fr-CA"/>
        </w:rPr>
        <w:t xml:space="preserve">qu’elle ne pouvait poursuivre la mise en œuvre du </w:t>
      </w:r>
      <w:r w:rsidRPr="0042639D">
        <w:rPr>
          <w:lang w:val="fr-CA"/>
        </w:rPr>
        <w:t xml:space="preserve">PGEH </w:t>
      </w:r>
      <w:r>
        <w:rPr>
          <w:lang w:val="fr-CA"/>
        </w:rPr>
        <w:t xml:space="preserve">pour la </w:t>
      </w:r>
      <w:r w:rsidRPr="0042639D">
        <w:rPr>
          <w:lang w:val="fr-CA"/>
        </w:rPr>
        <w:t>République populaire démocratique de Corée</w:t>
      </w:r>
      <w:r>
        <w:rPr>
          <w:lang w:val="fr-CA"/>
        </w:rPr>
        <w:t xml:space="preserve"> et a demandé des instructions du </w:t>
      </w:r>
      <w:r w:rsidRPr="0042639D">
        <w:rPr>
          <w:lang w:val="fr-CA"/>
        </w:rPr>
        <w:t>Comité exécutif.</w:t>
      </w:r>
    </w:p>
    <w:p w14:paraId="0A769E90" w14:textId="77777777" w:rsidR="006345CD" w:rsidRPr="0042639D" w:rsidRDefault="006345CD" w:rsidP="006345CD">
      <w:pPr>
        <w:pStyle w:val="Heading1"/>
        <w:numPr>
          <w:ilvl w:val="0"/>
          <w:numId w:val="30"/>
        </w:numPr>
        <w:rPr>
          <w:lang w:val="fr-CA"/>
        </w:rPr>
      </w:pPr>
      <w:r>
        <w:rPr>
          <w:lang w:val="fr-CA"/>
        </w:rPr>
        <w:t xml:space="preserve">En réponse à la demande d’éclaircissement sur tout nouveau fait qui permettrait la soumission de la dernière </w:t>
      </w:r>
      <w:r w:rsidRPr="0042639D">
        <w:rPr>
          <w:lang w:val="fr-CA"/>
        </w:rPr>
        <w:t xml:space="preserve">tranche </w:t>
      </w:r>
      <w:r>
        <w:rPr>
          <w:lang w:val="fr-CA"/>
        </w:rPr>
        <w:t>de la</w:t>
      </w:r>
      <w:r w:rsidRPr="0042639D">
        <w:rPr>
          <w:lang w:val="fr-CA"/>
        </w:rPr>
        <w:t xml:space="preserve"> phase I </w:t>
      </w:r>
      <w:r>
        <w:rPr>
          <w:lang w:val="fr-CA"/>
        </w:rPr>
        <w:t>à la</w:t>
      </w:r>
      <w:r w:rsidRPr="0042639D">
        <w:rPr>
          <w:lang w:val="fr-CA"/>
        </w:rPr>
        <w:t xml:space="preserve"> 90</w:t>
      </w:r>
      <w:r>
        <w:rPr>
          <w:vertAlign w:val="superscript"/>
          <w:lang w:val="fr-CA"/>
        </w:rPr>
        <w:t>e </w:t>
      </w:r>
      <w:r w:rsidRPr="0042639D">
        <w:rPr>
          <w:lang w:val="fr-CA"/>
        </w:rPr>
        <w:t xml:space="preserve">réunion, </w:t>
      </w:r>
      <w:r>
        <w:rPr>
          <w:lang w:val="fr-CA"/>
        </w:rPr>
        <w:t>l’</w:t>
      </w:r>
      <w:r w:rsidRPr="0042639D">
        <w:rPr>
          <w:lang w:val="fr-CA"/>
        </w:rPr>
        <w:t xml:space="preserve">ONUDI </w:t>
      </w:r>
      <w:r>
        <w:rPr>
          <w:lang w:val="fr-CA"/>
        </w:rPr>
        <w:t>a indiqué qu’elle n’avait aucune autre donnée ou information à signaler</w:t>
      </w:r>
      <w:r w:rsidRPr="0042639D">
        <w:rPr>
          <w:lang w:val="fr-CA"/>
        </w:rPr>
        <w:t xml:space="preserve">. </w:t>
      </w:r>
    </w:p>
    <w:p w14:paraId="03ADB775" w14:textId="77777777" w:rsidR="006345CD" w:rsidRPr="0042639D" w:rsidRDefault="006345CD" w:rsidP="006345CD">
      <w:pPr>
        <w:spacing w:after="240"/>
        <w:outlineLvl w:val="0"/>
        <w:rPr>
          <w:b/>
          <w:color w:val="000000" w:themeColor="text1"/>
          <w:lang w:val="fr-CA"/>
        </w:rPr>
      </w:pPr>
      <w:r>
        <w:rPr>
          <w:b/>
          <w:color w:val="000000" w:themeColor="text1"/>
          <w:lang w:val="fr-CA"/>
        </w:rPr>
        <w:t>Recommandation</w:t>
      </w:r>
    </w:p>
    <w:p w14:paraId="3A63BF5F" w14:textId="77777777" w:rsidR="006345CD" w:rsidRPr="0042639D" w:rsidRDefault="006345CD" w:rsidP="006345CD">
      <w:pPr>
        <w:pStyle w:val="Heading1"/>
        <w:numPr>
          <w:ilvl w:val="0"/>
          <w:numId w:val="30"/>
        </w:numPr>
        <w:rPr>
          <w:lang w:val="fr-CA"/>
        </w:rPr>
      </w:pPr>
      <w:r>
        <w:rPr>
          <w:lang w:val="fr-CA"/>
        </w:rPr>
        <w:t>Le</w:t>
      </w:r>
      <w:r w:rsidRPr="0042639D">
        <w:rPr>
          <w:lang w:val="fr-CA"/>
        </w:rPr>
        <w:t xml:space="preserve"> Comité exécutif </w:t>
      </w:r>
      <w:r>
        <w:rPr>
          <w:lang w:val="fr-CA"/>
        </w:rPr>
        <w:t xml:space="preserve">est invité à examiner les informations soumises par l’ONUDI sur l’exécution des </w:t>
      </w:r>
      <w:r w:rsidRPr="0042639D">
        <w:rPr>
          <w:lang w:val="fr-CA"/>
        </w:rPr>
        <w:t xml:space="preserve">activités </w:t>
      </w:r>
      <w:r>
        <w:rPr>
          <w:lang w:val="fr-CA"/>
        </w:rPr>
        <w:t>de la</w:t>
      </w:r>
      <w:r w:rsidRPr="0042639D">
        <w:rPr>
          <w:lang w:val="fr-CA"/>
        </w:rPr>
        <w:t xml:space="preserve"> phase I </w:t>
      </w:r>
      <w:r>
        <w:rPr>
          <w:lang w:val="fr-CA"/>
        </w:rPr>
        <w:t>du p</w:t>
      </w:r>
      <w:r w:rsidRPr="0042639D">
        <w:rPr>
          <w:lang w:val="fr-CA"/>
        </w:rPr>
        <w:t>lan de gestion de l’élimination des HCFC</w:t>
      </w:r>
      <w:r>
        <w:rPr>
          <w:lang w:val="fr-CA"/>
        </w:rPr>
        <w:t xml:space="preserve"> pour la</w:t>
      </w:r>
      <w:r w:rsidRPr="0042639D">
        <w:rPr>
          <w:lang w:val="fr-CA"/>
        </w:rPr>
        <w:t xml:space="preserve"> République populaire démocratique de Corée, </w:t>
      </w:r>
      <w:r>
        <w:rPr>
          <w:lang w:val="fr-CA"/>
        </w:rPr>
        <w:t>en tenant dûment compte de la décision</w:t>
      </w:r>
      <w:r w:rsidRPr="0042639D">
        <w:rPr>
          <w:lang w:val="fr-CA"/>
        </w:rPr>
        <w:t xml:space="preserve"> XXXII/6 </w:t>
      </w:r>
      <w:r>
        <w:rPr>
          <w:lang w:val="fr-CA"/>
        </w:rPr>
        <w:t>de la</w:t>
      </w:r>
      <w:r w:rsidRPr="0042639D">
        <w:rPr>
          <w:lang w:val="fr-CA"/>
        </w:rPr>
        <w:t> </w:t>
      </w:r>
      <w:r>
        <w:rPr>
          <w:lang w:val="fr-CA"/>
        </w:rPr>
        <w:t>R</w:t>
      </w:r>
      <w:r w:rsidRPr="0042639D">
        <w:rPr>
          <w:lang w:val="fr-CA"/>
        </w:rPr>
        <w:t xml:space="preserve">éunion </w:t>
      </w:r>
      <w:r>
        <w:rPr>
          <w:lang w:val="fr-CA"/>
        </w:rPr>
        <w:t>des</w:t>
      </w:r>
      <w:r w:rsidRPr="0042639D">
        <w:rPr>
          <w:lang w:val="fr-CA"/>
        </w:rPr>
        <w:t xml:space="preserve"> Parties.</w:t>
      </w:r>
    </w:p>
    <w:p w14:paraId="1FB17E60" w14:textId="77777777" w:rsidR="006345CD" w:rsidRPr="0042639D" w:rsidRDefault="006345CD" w:rsidP="006345CD">
      <w:pPr>
        <w:keepNext/>
        <w:keepLines/>
        <w:spacing w:after="240"/>
        <w:rPr>
          <w:b/>
          <w:bCs/>
          <w:lang w:val="fr-CA"/>
        </w:rPr>
      </w:pPr>
      <w:r w:rsidRPr="0042639D">
        <w:rPr>
          <w:b/>
          <w:bCs/>
          <w:u w:val="single"/>
          <w:lang w:val="fr-CA"/>
        </w:rPr>
        <w:t>Viet Nam: Plan de gestion de l’élimination des HCFC</w:t>
      </w:r>
      <w:r>
        <w:rPr>
          <w:b/>
          <w:bCs/>
          <w:u w:val="single"/>
          <w:lang w:val="fr-CA"/>
        </w:rPr>
        <w:t xml:space="preserve"> </w:t>
      </w:r>
      <w:r w:rsidRPr="0042639D">
        <w:rPr>
          <w:b/>
          <w:bCs/>
          <w:u w:val="single"/>
          <w:lang w:val="fr-CA"/>
        </w:rPr>
        <w:t xml:space="preserve">(phase II, </w:t>
      </w:r>
      <w:r>
        <w:rPr>
          <w:b/>
          <w:bCs/>
          <w:u w:val="single"/>
          <w:lang w:val="fr-CA"/>
        </w:rPr>
        <w:t>troisième</w:t>
      </w:r>
      <w:r w:rsidRPr="0042639D">
        <w:rPr>
          <w:b/>
          <w:bCs/>
          <w:u w:val="single"/>
          <w:lang w:val="fr-CA"/>
        </w:rPr>
        <w:t xml:space="preserve"> tranche – </w:t>
      </w:r>
      <w:r>
        <w:rPr>
          <w:b/>
          <w:bCs/>
          <w:u w:val="single"/>
          <w:lang w:val="fr-CA"/>
        </w:rPr>
        <w:t>Rapport d’avancement</w:t>
      </w:r>
      <w:r w:rsidRPr="0042639D">
        <w:rPr>
          <w:b/>
          <w:bCs/>
          <w:u w:val="single"/>
          <w:lang w:val="fr-CA"/>
        </w:rPr>
        <w:t xml:space="preserve"> </w:t>
      </w:r>
      <w:r>
        <w:rPr>
          <w:b/>
          <w:bCs/>
          <w:u w:val="single"/>
          <w:lang w:val="fr-CA"/>
        </w:rPr>
        <w:t xml:space="preserve">sur l’exécution des </w:t>
      </w:r>
      <w:r w:rsidRPr="0042639D">
        <w:rPr>
          <w:b/>
          <w:bCs/>
          <w:u w:val="single"/>
          <w:lang w:val="fr-CA"/>
        </w:rPr>
        <w:t>activités)</w:t>
      </w:r>
      <w:r w:rsidRPr="0042639D">
        <w:rPr>
          <w:b/>
          <w:bCs/>
          <w:lang w:val="fr-CA"/>
        </w:rPr>
        <w:t xml:space="preserve"> (Banque Mondiale </w:t>
      </w:r>
      <w:r>
        <w:rPr>
          <w:b/>
          <w:bCs/>
          <w:lang w:val="fr-CA"/>
        </w:rPr>
        <w:t>et</w:t>
      </w:r>
      <w:r w:rsidRPr="0042639D">
        <w:rPr>
          <w:b/>
          <w:bCs/>
          <w:lang w:val="fr-CA"/>
        </w:rPr>
        <w:t xml:space="preserve"> Gouvernement </w:t>
      </w:r>
      <w:r>
        <w:rPr>
          <w:b/>
          <w:bCs/>
          <w:lang w:val="fr-CA"/>
        </w:rPr>
        <w:t>du</w:t>
      </w:r>
      <w:r w:rsidRPr="0042639D">
        <w:rPr>
          <w:b/>
          <w:bCs/>
          <w:lang w:val="fr-CA"/>
        </w:rPr>
        <w:t xml:space="preserve"> Japon)</w:t>
      </w:r>
    </w:p>
    <w:p w14:paraId="7749DAB3" w14:textId="77777777" w:rsidR="006345CD" w:rsidRPr="0042639D" w:rsidRDefault="006345CD" w:rsidP="006345CD">
      <w:pPr>
        <w:spacing w:after="240"/>
        <w:outlineLvl w:val="0"/>
        <w:rPr>
          <w:b/>
          <w:lang w:val="fr-CA"/>
        </w:rPr>
      </w:pPr>
      <w:r>
        <w:rPr>
          <w:b/>
          <w:lang w:val="fr-CA"/>
        </w:rPr>
        <w:t>Historique</w:t>
      </w:r>
    </w:p>
    <w:p w14:paraId="6757FD36" w14:textId="77777777" w:rsidR="006345CD" w:rsidRPr="0042639D" w:rsidRDefault="006345CD" w:rsidP="006345CD">
      <w:pPr>
        <w:pStyle w:val="Heading1"/>
        <w:numPr>
          <w:ilvl w:val="0"/>
          <w:numId w:val="30"/>
        </w:numPr>
        <w:rPr>
          <w:lang w:val="fr-CA"/>
        </w:rPr>
      </w:pPr>
      <w:r>
        <w:rPr>
          <w:lang w:val="fr-CA"/>
        </w:rPr>
        <w:t>La p</w:t>
      </w:r>
      <w:r w:rsidRPr="0042639D">
        <w:rPr>
          <w:lang w:val="fr-CA"/>
        </w:rPr>
        <w:t xml:space="preserve">hase II </w:t>
      </w:r>
      <w:r>
        <w:rPr>
          <w:lang w:val="fr-CA"/>
        </w:rPr>
        <w:t>du p</w:t>
      </w:r>
      <w:r w:rsidRPr="0042639D">
        <w:rPr>
          <w:lang w:val="fr-CA"/>
        </w:rPr>
        <w:t>lan de gestion de l’élimination des HCFC</w:t>
      </w:r>
      <w:r>
        <w:rPr>
          <w:lang w:val="fr-CA"/>
        </w:rPr>
        <w:t xml:space="preserve"> </w:t>
      </w:r>
      <w:r w:rsidRPr="0042639D">
        <w:rPr>
          <w:lang w:val="fr-CA"/>
        </w:rPr>
        <w:t xml:space="preserve">(PGEH) </w:t>
      </w:r>
      <w:r>
        <w:rPr>
          <w:lang w:val="fr-CA"/>
        </w:rPr>
        <w:t xml:space="preserve">du </w:t>
      </w:r>
      <w:r w:rsidRPr="0042639D">
        <w:rPr>
          <w:lang w:val="fr-CA"/>
        </w:rPr>
        <w:t xml:space="preserve">Viet Nam </w:t>
      </w:r>
      <w:r>
        <w:rPr>
          <w:lang w:val="fr-CA"/>
        </w:rPr>
        <w:t xml:space="preserve">avait été approuvé initialement à la </w:t>
      </w:r>
      <w:r w:rsidRPr="0042639D">
        <w:rPr>
          <w:lang w:val="fr-CA"/>
        </w:rPr>
        <w:t>76</w:t>
      </w:r>
      <w:r>
        <w:rPr>
          <w:vertAlign w:val="superscript"/>
          <w:lang w:val="fr-CA"/>
        </w:rPr>
        <w:t>e</w:t>
      </w:r>
      <w:r w:rsidRPr="0042639D">
        <w:rPr>
          <w:lang w:val="fr-CA"/>
        </w:rPr>
        <w:t xml:space="preserve"> réunion </w:t>
      </w:r>
      <w:r>
        <w:rPr>
          <w:lang w:val="fr-CA"/>
        </w:rPr>
        <w:t xml:space="preserve">et révisée à la </w:t>
      </w:r>
      <w:r w:rsidRPr="0042639D">
        <w:rPr>
          <w:lang w:val="fr-CA"/>
        </w:rPr>
        <w:t>84</w:t>
      </w:r>
      <w:r w:rsidRPr="0042639D">
        <w:rPr>
          <w:vertAlign w:val="superscript"/>
          <w:lang w:val="fr-CA"/>
        </w:rPr>
        <w:t>th</w:t>
      </w:r>
      <w:r w:rsidRPr="0042639D">
        <w:rPr>
          <w:lang w:val="fr-CA"/>
        </w:rPr>
        <w:t> réunion</w:t>
      </w:r>
      <w:r>
        <w:rPr>
          <w:lang w:val="fr-CA"/>
        </w:rPr>
        <w:t xml:space="preserve"> afin d’éliminer </w:t>
      </w:r>
      <w:r w:rsidRPr="0042639D">
        <w:rPr>
          <w:lang w:val="fr-CA"/>
        </w:rPr>
        <w:t>130</w:t>
      </w:r>
      <w:r>
        <w:rPr>
          <w:lang w:val="fr-CA"/>
        </w:rPr>
        <w:t>,</w:t>
      </w:r>
      <w:r w:rsidRPr="0042639D">
        <w:rPr>
          <w:lang w:val="fr-CA"/>
        </w:rPr>
        <w:t>6 tonnes</w:t>
      </w:r>
      <w:r>
        <w:rPr>
          <w:lang w:val="fr-CA"/>
        </w:rPr>
        <w:t xml:space="preserve"> PAO de</w:t>
      </w:r>
      <w:r w:rsidRPr="0042639D">
        <w:rPr>
          <w:lang w:val="fr-CA"/>
        </w:rPr>
        <w:t xml:space="preserve"> HCFC </w:t>
      </w:r>
      <w:r>
        <w:rPr>
          <w:lang w:val="fr-CA"/>
        </w:rPr>
        <w:t xml:space="preserve">utilisées dans le secteur de l’entretien en </w:t>
      </w:r>
      <w:r w:rsidRPr="0042639D">
        <w:rPr>
          <w:lang w:val="fr-CA"/>
        </w:rPr>
        <w:t xml:space="preserve">réfrigération </w:t>
      </w:r>
      <w:r>
        <w:rPr>
          <w:lang w:val="fr-CA"/>
        </w:rPr>
        <w:t>et climatisation</w:t>
      </w:r>
      <w:r w:rsidRPr="0042639D">
        <w:rPr>
          <w:lang w:val="fr-CA"/>
        </w:rPr>
        <w:t xml:space="preserve"> (RAC), </w:t>
      </w:r>
      <w:r>
        <w:rPr>
          <w:lang w:val="fr-CA"/>
        </w:rPr>
        <w:t xml:space="preserve">le secteur de la fabrication </w:t>
      </w:r>
      <w:r w:rsidRPr="0042639D">
        <w:rPr>
          <w:lang w:val="fr-CA"/>
        </w:rPr>
        <w:t xml:space="preserve">RAC, </w:t>
      </w:r>
      <w:r>
        <w:rPr>
          <w:lang w:val="fr-CA"/>
        </w:rPr>
        <w:t xml:space="preserve">et le secteur des mousses pour la période </w:t>
      </w:r>
      <w:r w:rsidRPr="0042639D">
        <w:rPr>
          <w:lang w:val="fr-CA"/>
        </w:rPr>
        <w:t xml:space="preserve">2016 </w:t>
      </w:r>
      <w:r>
        <w:rPr>
          <w:lang w:val="fr-CA"/>
        </w:rPr>
        <w:t>-</w:t>
      </w:r>
      <w:r w:rsidRPr="0042639D">
        <w:rPr>
          <w:lang w:val="fr-CA"/>
        </w:rPr>
        <w:t xml:space="preserve"> 2022, </w:t>
      </w:r>
      <w:r>
        <w:rPr>
          <w:lang w:val="fr-CA"/>
        </w:rPr>
        <w:t xml:space="preserve">et afin de réaliser la réduction de </w:t>
      </w:r>
      <w:r w:rsidRPr="0042639D">
        <w:rPr>
          <w:lang w:val="fr-CA"/>
        </w:rPr>
        <w:t>35</w:t>
      </w:r>
      <w:r>
        <w:rPr>
          <w:lang w:val="fr-CA"/>
        </w:rPr>
        <w:t xml:space="preserve"> % du niveau de référence en </w:t>
      </w:r>
      <w:r w:rsidRPr="0042639D">
        <w:rPr>
          <w:lang w:val="fr-CA"/>
        </w:rPr>
        <w:t xml:space="preserve">2020, </w:t>
      </w:r>
      <w:r>
        <w:rPr>
          <w:lang w:val="fr-CA"/>
        </w:rPr>
        <w:t xml:space="preserve">pour un montant de </w:t>
      </w:r>
      <w:r w:rsidRPr="0042639D">
        <w:rPr>
          <w:lang w:val="fr-CA"/>
        </w:rPr>
        <w:t>15</w:t>
      </w:r>
      <w:r>
        <w:rPr>
          <w:lang w:val="fr-CA"/>
        </w:rPr>
        <w:t> </w:t>
      </w:r>
      <w:r w:rsidRPr="0042639D">
        <w:rPr>
          <w:lang w:val="fr-CA"/>
        </w:rPr>
        <w:t>584</w:t>
      </w:r>
      <w:r>
        <w:rPr>
          <w:lang w:val="fr-CA"/>
        </w:rPr>
        <w:t> </w:t>
      </w:r>
      <w:r w:rsidRPr="0042639D">
        <w:rPr>
          <w:lang w:val="fr-CA"/>
        </w:rPr>
        <w:t>097</w:t>
      </w:r>
      <w:r>
        <w:rPr>
          <w:lang w:val="fr-CA"/>
        </w:rPr>
        <w:t> $US</w:t>
      </w:r>
      <w:r w:rsidRPr="0042639D">
        <w:rPr>
          <w:lang w:val="fr-CA"/>
        </w:rPr>
        <w:t xml:space="preserve">, </w:t>
      </w:r>
      <w:r>
        <w:rPr>
          <w:lang w:val="fr-CA"/>
        </w:rPr>
        <w:t xml:space="preserve">soit </w:t>
      </w:r>
      <w:r w:rsidRPr="0042639D">
        <w:rPr>
          <w:lang w:val="fr-CA"/>
        </w:rPr>
        <w:t>14</w:t>
      </w:r>
      <w:r>
        <w:rPr>
          <w:lang w:val="fr-CA"/>
        </w:rPr>
        <w:t> </w:t>
      </w:r>
      <w:r w:rsidRPr="0042639D">
        <w:rPr>
          <w:lang w:val="fr-CA"/>
        </w:rPr>
        <w:t>317</w:t>
      </w:r>
      <w:r>
        <w:rPr>
          <w:lang w:val="fr-CA"/>
        </w:rPr>
        <w:t> </w:t>
      </w:r>
      <w:r w:rsidRPr="0042639D">
        <w:rPr>
          <w:lang w:val="fr-CA"/>
        </w:rPr>
        <w:t>846</w:t>
      </w:r>
      <w:r>
        <w:rPr>
          <w:lang w:val="fr-CA"/>
        </w:rPr>
        <w:t> $US</w:t>
      </w:r>
      <w:r w:rsidRPr="0042639D">
        <w:rPr>
          <w:lang w:val="fr-CA"/>
        </w:rPr>
        <w:t xml:space="preserve">, plus </w:t>
      </w:r>
      <w:r>
        <w:rPr>
          <w:lang w:val="fr-CA"/>
        </w:rPr>
        <w:t>des coûts d’appui d’agence</w:t>
      </w:r>
      <w:r w:rsidRPr="0042639D">
        <w:rPr>
          <w:lang w:val="fr-CA"/>
        </w:rPr>
        <w:t xml:space="preserve"> </w:t>
      </w:r>
      <w:r>
        <w:rPr>
          <w:lang w:val="fr-CA"/>
        </w:rPr>
        <w:t xml:space="preserve">de </w:t>
      </w:r>
      <w:r w:rsidRPr="0042639D">
        <w:rPr>
          <w:lang w:val="fr-CA"/>
        </w:rPr>
        <w:t>1</w:t>
      </w:r>
      <w:r>
        <w:rPr>
          <w:lang w:val="fr-CA"/>
        </w:rPr>
        <w:t> </w:t>
      </w:r>
      <w:r w:rsidRPr="0042639D">
        <w:rPr>
          <w:lang w:val="fr-CA"/>
        </w:rPr>
        <w:t>002</w:t>
      </w:r>
      <w:r>
        <w:rPr>
          <w:lang w:val="fr-CA"/>
        </w:rPr>
        <w:t> </w:t>
      </w:r>
      <w:r w:rsidRPr="0042639D">
        <w:rPr>
          <w:lang w:val="fr-CA"/>
        </w:rPr>
        <w:t>249</w:t>
      </w:r>
      <w:r>
        <w:rPr>
          <w:lang w:val="fr-CA"/>
        </w:rPr>
        <w:t xml:space="preserve"> $US pour la </w:t>
      </w:r>
      <w:r w:rsidRPr="0042639D">
        <w:rPr>
          <w:lang w:val="fr-CA"/>
        </w:rPr>
        <w:t xml:space="preserve">Banque Mondiale, </w:t>
      </w:r>
      <w:r>
        <w:rPr>
          <w:lang w:val="fr-CA"/>
        </w:rPr>
        <w:t xml:space="preserve">et </w:t>
      </w:r>
      <w:r w:rsidRPr="0042639D">
        <w:rPr>
          <w:lang w:val="fr-CA"/>
        </w:rPr>
        <w:t>233</w:t>
      </w:r>
      <w:r>
        <w:rPr>
          <w:lang w:val="fr-CA"/>
        </w:rPr>
        <w:t> </w:t>
      </w:r>
      <w:r w:rsidRPr="0042639D">
        <w:rPr>
          <w:lang w:val="fr-CA"/>
        </w:rPr>
        <w:t>630</w:t>
      </w:r>
      <w:r>
        <w:rPr>
          <w:lang w:val="fr-CA"/>
        </w:rPr>
        <w:t> $US</w:t>
      </w:r>
      <w:r w:rsidRPr="0042639D">
        <w:rPr>
          <w:lang w:val="fr-CA"/>
        </w:rPr>
        <w:t xml:space="preserve">, plus </w:t>
      </w:r>
      <w:r>
        <w:rPr>
          <w:lang w:val="fr-CA"/>
        </w:rPr>
        <w:t>des coûts d’appui d’agence</w:t>
      </w:r>
      <w:r w:rsidRPr="0042639D">
        <w:rPr>
          <w:lang w:val="fr-CA"/>
        </w:rPr>
        <w:t xml:space="preserve"> </w:t>
      </w:r>
      <w:r>
        <w:rPr>
          <w:lang w:val="fr-CA"/>
        </w:rPr>
        <w:t>de</w:t>
      </w:r>
      <w:r w:rsidRPr="0042639D">
        <w:rPr>
          <w:lang w:val="fr-CA"/>
        </w:rPr>
        <w:t xml:space="preserve"> 30</w:t>
      </w:r>
      <w:r>
        <w:rPr>
          <w:lang w:val="fr-CA"/>
        </w:rPr>
        <w:t> </w:t>
      </w:r>
      <w:r w:rsidRPr="0042639D">
        <w:rPr>
          <w:lang w:val="fr-CA"/>
        </w:rPr>
        <w:t>372</w:t>
      </w:r>
      <w:r>
        <w:rPr>
          <w:lang w:val="fr-CA"/>
        </w:rPr>
        <w:t> $US</w:t>
      </w:r>
      <w:r w:rsidRPr="0042639D">
        <w:rPr>
          <w:lang w:val="fr-CA"/>
        </w:rPr>
        <w:t xml:space="preserve"> </w:t>
      </w:r>
      <w:r>
        <w:rPr>
          <w:lang w:val="fr-CA"/>
        </w:rPr>
        <w:t xml:space="preserve">pour le </w:t>
      </w:r>
      <w:r w:rsidRPr="0042639D">
        <w:rPr>
          <w:lang w:val="fr-CA"/>
        </w:rPr>
        <w:t xml:space="preserve">Gouvernement </w:t>
      </w:r>
      <w:r>
        <w:rPr>
          <w:lang w:val="fr-CA"/>
        </w:rPr>
        <w:t>du</w:t>
      </w:r>
      <w:r w:rsidRPr="0042639D">
        <w:rPr>
          <w:lang w:val="fr-CA"/>
        </w:rPr>
        <w:t xml:space="preserve"> Japon. </w:t>
      </w:r>
      <w:r>
        <w:rPr>
          <w:lang w:val="fr-CA"/>
        </w:rPr>
        <w:t>La valeur de référence aux fins de conformité pour les</w:t>
      </w:r>
      <w:r w:rsidRPr="0042639D">
        <w:rPr>
          <w:lang w:val="fr-CA"/>
        </w:rPr>
        <w:t xml:space="preserve"> HCFC </w:t>
      </w:r>
      <w:r>
        <w:rPr>
          <w:lang w:val="fr-CA"/>
        </w:rPr>
        <w:t xml:space="preserve">est de </w:t>
      </w:r>
      <w:r w:rsidRPr="0042639D">
        <w:rPr>
          <w:lang w:val="fr-CA"/>
        </w:rPr>
        <w:t>221</w:t>
      </w:r>
      <w:r>
        <w:rPr>
          <w:lang w:val="fr-CA"/>
        </w:rPr>
        <w:t>,</w:t>
      </w:r>
      <w:r w:rsidRPr="0042639D">
        <w:rPr>
          <w:lang w:val="fr-CA"/>
        </w:rPr>
        <w:t>21</w:t>
      </w:r>
      <w:r>
        <w:rPr>
          <w:lang w:val="fr-CA"/>
        </w:rPr>
        <w:t xml:space="preserve"> </w:t>
      </w:r>
      <w:r w:rsidRPr="0042639D">
        <w:rPr>
          <w:lang w:val="fr-CA"/>
        </w:rPr>
        <w:t>tonnes</w:t>
      </w:r>
      <w:r>
        <w:rPr>
          <w:lang w:val="fr-CA"/>
        </w:rPr>
        <w:t xml:space="preserve"> PAO</w:t>
      </w:r>
      <w:r w:rsidRPr="0042639D">
        <w:rPr>
          <w:lang w:val="fr-CA"/>
        </w:rPr>
        <w:t xml:space="preserve">; </w:t>
      </w:r>
      <w:r>
        <w:rPr>
          <w:lang w:val="fr-CA"/>
        </w:rPr>
        <w:t xml:space="preserve">la mise en œuvre de la </w:t>
      </w:r>
      <w:r w:rsidRPr="0042639D">
        <w:rPr>
          <w:lang w:val="fr-CA"/>
        </w:rPr>
        <w:t xml:space="preserve">phase II </w:t>
      </w:r>
      <w:r>
        <w:rPr>
          <w:lang w:val="fr-CA"/>
        </w:rPr>
        <w:t>du</w:t>
      </w:r>
      <w:r w:rsidRPr="0042639D">
        <w:rPr>
          <w:lang w:val="fr-CA"/>
        </w:rPr>
        <w:t xml:space="preserve"> PGEH </w:t>
      </w:r>
      <w:r>
        <w:rPr>
          <w:lang w:val="fr-CA"/>
        </w:rPr>
        <w:t xml:space="preserve">permettra d’éliminer effectivement </w:t>
      </w:r>
      <w:r w:rsidRPr="0042639D">
        <w:rPr>
          <w:lang w:val="fr-CA"/>
        </w:rPr>
        <w:t>55</w:t>
      </w:r>
      <w:r>
        <w:rPr>
          <w:lang w:val="fr-CA"/>
        </w:rPr>
        <w:t>,</w:t>
      </w:r>
      <w:r w:rsidRPr="0042639D">
        <w:rPr>
          <w:lang w:val="fr-CA"/>
        </w:rPr>
        <w:t>31 tonnes</w:t>
      </w:r>
      <w:r>
        <w:rPr>
          <w:lang w:val="fr-CA"/>
        </w:rPr>
        <w:t xml:space="preserve"> PAO de </w:t>
      </w:r>
      <w:r w:rsidRPr="0042639D">
        <w:rPr>
          <w:lang w:val="fr-CA"/>
        </w:rPr>
        <w:t xml:space="preserve">HCFC-22 </w:t>
      </w:r>
      <w:r>
        <w:rPr>
          <w:lang w:val="fr-CA"/>
        </w:rPr>
        <w:t>et</w:t>
      </w:r>
      <w:r w:rsidRPr="0042639D">
        <w:rPr>
          <w:lang w:val="fr-CA"/>
        </w:rPr>
        <w:t xml:space="preserve"> 223</w:t>
      </w:r>
      <w:r>
        <w:rPr>
          <w:lang w:val="fr-CA"/>
        </w:rPr>
        <w:t>,</w:t>
      </w:r>
      <w:r w:rsidRPr="0042639D">
        <w:rPr>
          <w:lang w:val="fr-CA"/>
        </w:rPr>
        <w:t>85 tonnes</w:t>
      </w:r>
      <w:r>
        <w:rPr>
          <w:lang w:val="fr-CA"/>
        </w:rPr>
        <w:t xml:space="preserve"> PAO de </w:t>
      </w:r>
      <w:r w:rsidRPr="0042639D">
        <w:rPr>
          <w:lang w:val="fr-CA"/>
        </w:rPr>
        <w:t xml:space="preserve">HCFC-141b </w:t>
      </w:r>
      <w:r>
        <w:rPr>
          <w:lang w:val="fr-CA"/>
        </w:rPr>
        <w:t xml:space="preserve">dans les </w:t>
      </w:r>
      <w:r w:rsidRPr="0042639D">
        <w:rPr>
          <w:lang w:val="fr-CA"/>
        </w:rPr>
        <w:t>polyols</w:t>
      </w:r>
      <w:r>
        <w:rPr>
          <w:lang w:val="fr-CA"/>
        </w:rPr>
        <w:t xml:space="preserve"> prémélangés importés</w:t>
      </w:r>
      <w:r w:rsidRPr="0042639D">
        <w:rPr>
          <w:lang w:val="fr-CA"/>
        </w:rPr>
        <w:t xml:space="preserve">. </w:t>
      </w:r>
      <w:r>
        <w:rPr>
          <w:lang w:val="fr-CA"/>
        </w:rPr>
        <w:t xml:space="preserve">Le </w:t>
      </w:r>
      <w:r w:rsidRPr="0042639D">
        <w:rPr>
          <w:lang w:val="fr-CA"/>
        </w:rPr>
        <w:t xml:space="preserve">Tableau 9 </w:t>
      </w:r>
      <w:r>
        <w:rPr>
          <w:lang w:val="fr-CA"/>
        </w:rPr>
        <w:t xml:space="preserve">fait le sommaire des coûts de la </w:t>
      </w:r>
      <w:r w:rsidRPr="0042639D">
        <w:rPr>
          <w:lang w:val="fr-CA"/>
        </w:rPr>
        <w:t xml:space="preserve">phase II </w:t>
      </w:r>
      <w:r>
        <w:rPr>
          <w:lang w:val="fr-CA"/>
        </w:rPr>
        <w:t>du</w:t>
      </w:r>
      <w:r w:rsidRPr="0042639D">
        <w:rPr>
          <w:lang w:val="fr-CA"/>
        </w:rPr>
        <w:t xml:space="preserve"> PGEH</w:t>
      </w:r>
      <w:r>
        <w:rPr>
          <w:lang w:val="fr-CA"/>
        </w:rPr>
        <w:t xml:space="preserve">, ventilés par secteur, tels qu’approuvés à la </w:t>
      </w:r>
      <w:r w:rsidRPr="0042639D">
        <w:rPr>
          <w:lang w:val="fr-CA"/>
        </w:rPr>
        <w:t>76</w:t>
      </w:r>
      <w:r>
        <w:rPr>
          <w:vertAlign w:val="superscript"/>
          <w:lang w:val="fr-CA"/>
        </w:rPr>
        <w:t>e</w:t>
      </w:r>
      <w:r w:rsidRPr="0042639D">
        <w:rPr>
          <w:lang w:val="fr-CA"/>
        </w:rPr>
        <w:t xml:space="preserve"> réunion. </w:t>
      </w:r>
    </w:p>
    <w:p w14:paraId="29ACDBAA" w14:textId="77777777" w:rsidR="00BC1B44" w:rsidRDefault="00BC1B44" w:rsidP="006345CD">
      <w:pPr>
        <w:rPr>
          <w:b/>
          <w:lang w:val="fr-CA"/>
        </w:rPr>
      </w:pPr>
    </w:p>
    <w:p w14:paraId="6773BFE7" w14:textId="77777777" w:rsidR="00BC1B44" w:rsidRDefault="00BC1B44" w:rsidP="006345CD">
      <w:pPr>
        <w:rPr>
          <w:b/>
          <w:lang w:val="fr-CA"/>
        </w:rPr>
      </w:pPr>
    </w:p>
    <w:p w14:paraId="3599E7F2" w14:textId="77777777" w:rsidR="006345CD" w:rsidRPr="0042639D" w:rsidRDefault="006345CD" w:rsidP="006345CD">
      <w:pPr>
        <w:rPr>
          <w:b/>
          <w:lang w:val="fr-CA"/>
        </w:rPr>
      </w:pPr>
      <w:r w:rsidRPr="0042639D">
        <w:rPr>
          <w:b/>
          <w:lang w:val="fr-CA"/>
        </w:rPr>
        <w:t xml:space="preserve">Tableau 9. </w:t>
      </w:r>
      <w:r>
        <w:rPr>
          <w:b/>
          <w:lang w:val="fr-CA"/>
        </w:rPr>
        <w:t xml:space="preserve">Niveaux de financement de la </w:t>
      </w:r>
      <w:r w:rsidRPr="0042639D">
        <w:rPr>
          <w:b/>
          <w:lang w:val="fr-CA"/>
        </w:rPr>
        <w:t xml:space="preserve">phase II </w:t>
      </w:r>
      <w:r>
        <w:rPr>
          <w:b/>
          <w:lang w:val="fr-CA"/>
        </w:rPr>
        <w:t xml:space="preserve">du </w:t>
      </w:r>
      <w:r w:rsidRPr="0042639D">
        <w:rPr>
          <w:b/>
          <w:lang w:val="fr-CA"/>
        </w:rPr>
        <w:t xml:space="preserve">PGEH </w:t>
      </w:r>
      <w:r>
        <w:rPr>
          <w:b/>
          <w:lang w:val="fr-CA"/>
        </w:rPr>
        <w:t xml:space="preserve">par </w:t>
      </w:r>
      <w:r w:rsidRPr="0042639D">
        <w:rPr>
          <w:b/>
          <w:lang w:val="fr-CA"/>
        </w:rPr>
        <w:t>sect</w:t>
      </w:r>
      <w:r>
        <w:rPr>
          <w:b/>
          <w:lang w:val="fr-CA"/>
        </w:rPr>
        <w:t>eu</w:t>
      </w:r>
      <w:r w:rsidRPr="0042639D">
        <w:rPr>
          <w:b/>
          <w:lang w:val="fr-CA"/>
        </w:rPr>
        <w:t xml:space="preserve">r </w:t>
      </w:r>
    </w:p>
    <w:tbl>
      <w:tblPr>
        <w:tblW w:w="9345" w:type="dxa"/>
        <w:tblLayout w:type="fixed"/>
        <w:tblLook w:val="04A0" w:firstRow="1" w:lastRow="0" w:firstColumn="1" w:lastColumn="0" w:noHBand="0" w:noVBand="1"/>
      </w:tblPr>
      <w:tblGrid>
        <w:gridCol w:w="3085"/>
        <w:gridCol w:w="873"/>
        <w:gridCol w:w="1043"/>
        <w:gridCol w:w="1039"/>
        <w:gridCol w:w="1039"/>
        <w:gridCol w:w="1226"/>
        <w:gridCol w:w="1040"/>
      </w:tblGrid>
      <w:tr w:rsidR="006345CD" w:rsidRPr="0042639D" w14:paraId="3204D9C1" w14:textId="77777777" w:rsidTr="006023A6">
        <w:trPr>
          <w:tblHeader/>
        </w:trPr>
        <w:tc>
          <w:tcPr>
            <w:tcW w:w="3089" w:type="dxa"/>
            <w:vMerge w:val="restart"/>
            <w:tcBorders>
              <w:top w:val="single" w:sz="4" w:space="0" w:color="auto"/>
              <w:left w:val="single" w:sz="4" w:space="0" w:color="auto"/>
              <w:bottom w:val="single" w:sz="4" w:space="0" w:color="auto"/>
              <w:right w:val="single" w:sz="4" w:space="0" w:color="auto"/>
            </w:tcBorders>
            <w:noWrap/>
            <w:vAlign w:val="center"/>
            <w:hideMark/>
          </w:tcPr>
          <w:p w14:paraId="6C63F4E5" w14:textId="77777777" w:rsidR="006345CD" w:rsidRPr="0042639D" w:rsidRDefault="006345CD" w:rsidP="006023A6">
            <w:pPr>
              <w:jc w:val="left"/>
              <w:rPr>
                <w:b/>
                <w:color w:val="000000"/>
                <w:sz w:val="19"/>
                <w:szCs w:val="19"/>
                <w:lang w:val="fr-CA"/>
              </w:rPr>
            </w:pPr>
            <w:r>
              <w:rPr>
                <w:b/>
                <w:color w:val="000000"/>
                <w:sz w:val="19"/>
                <w:szCs w:val="19"/>
                <w:lang w:val="fr-CA"/>
              </w:rPr>
              <w:t>Secteur</w:t>
            </w:r>
          </w:p>
        </w:tc>
        <w:tc>
          <w:tcPr>
            <w:tcW w:w="1918" w:type="dxa"/>
            <w:gridSpan w:val="2"/>
            <w:tcBorders>
              <w:top w:val="single" w:sz="4" w:space="0" w:color="auto"/>
              <w:left w:val="nil"/>
              <w:bottom w:val="single" w:sz="4" w:space="0" w:color="auto"/>
              <w:right w:val="single" w:sz="4" w:space="0" w:color="auto"/>
            </w:tcBorders>
            <w:noWrap/>
            <w:hideMark/>
          </w:tcPr>
          <w:p w14:paraId="51B6E80E" w14:textId="77777777" w:rsidR="006345CD" w:rsidRPr="0042639D" w:rsidRDefault="006345CD" w:rsidP="006023A6">
            <w:pPr>
              <w:jc w:val="center"/>
              <w:rPr>
                <w:b/>
                <w:color w:val="000000"/>
                <w:sz w:val="19"/>
                <w:szCs w:val="19"/>
                <w:lang w:val="fr-CA"/>
              </w:rPr>
            </w:pPr>
            <w:r>
              <w:rPr>
                <w:b/>
                <w:color w:val="000000"/>
                <w:sz w:val="19"/>
                <w:szCs w:val="19"/>
                <w:lang w:val="fr-CA"/>
              </w:rPr>
              <w:t>Élimination</w:t>
            </w:r>
          </w:p>
        </w:tc>
        <w:tc>
          <w:tcPr>
            <w:tcW w:w="2076" w:type="dxa"/>
            <w:gridSpan w:val="2"/>
            <w:tcBorders>
              <w:top w:val="single" w:sz="4" w:space="0" w:color="auto"/>
              <w:left w:val="nil"/>
              <w:bottom w:val="single" w:sz="4" w:space="0" w:color="auto"/>
              <w:right w:val="single" w:sz="4" w:space="0" w:color="auto"/>
            </w:tcBorders>
            <w:noWrap/>
            <w:hideMark/>
          </w:tcPr>
          <w:p w14:paraId="70F14C75" w14:textId="77777777" w:rsidR="006345CD" w:rsidRPr="0042639D" w:rsidRDefault="006345CD" w:rsidP="006023A6">
            <w:pPr>
              <w:jc w:val="center"/>
              <w:rPr>
                <w:b/>
                <w:color w:val="000000"/>
                <w:sz w:val="19"/>
                <w:szCs w:val="19"/>
                <w:lang w:val="fr-CA"/>
              </w:rPr>
            </w:pPr>
            <w:r>
              <w:rPr>
                <w:b/>
                <w:color w:val="000000"/>
                <w:sz w:val="19"/>
                <w:szCs w:val="19"/>
                <w:lang w:val="fr-CA"/>
              </w:rPr>
              <w:t>Élimination admissible</w:t>
            </w:r>
          </w:p>
        </w:tc>
        <w:tc>
          <w:tcPr>
            <w:tcW w:w="1227" w:type="dxa"/>
            <w:vMerge w:val="restart"/>
            <w:tcBorders>
              <w:top w:val="single" w:sz="4" w:space="0" w:color="auto"/>
              <w:left w:val="nil"/>
              <w:bottom w:val="single" w:sz="4" w:space="0" w:color="auto"/>
              <w:right w:val="single" w:sz="4" w:space="0" w:color="auto"/>
            </w:tcBorders>
            <w:noWrap/>
            <w:hideMark/>
          </w:tcPr>
          <w:p w14:paraId="740F0981" w14:textId="77777777" w:rsidR="006345CD" w:rsidRPr="0042639D" w:rsidRDefault="006345CD" w:rsidP="006023A6">
            <w:pPr>
              <w:jc w:val="center"/>
              <w:rPr>
                <w:b/>
                <w:color w:val="000000"/>
                <w:sz w:val="19"/>
                <w:szCs w:val="19"/>
                <w:lang w:val="fr-CA"/>
              </w:rPr>
            </w:pPr>
            <w:r>
              <w:rPr>
                <w:b/>
                <w:color w:val="000000"/>
                <w:sz w:val="19"/>
                <w:szCs w:val="19"/>
                <w:lang w:val="fr-CA"/>
              </w:rPr>
              <w:t>Coûts convenus</w:t>
            </w:r>
            <w:r w:rsidRPr="0042639D">
              <w:rPr>
                <w:b/>
                <w:color w:val="000000"/>
                <w:sz w:val="19"/>
                <w:szCs w:val="19"/>
                <w:lang w:val="fr-CA"/>
              </w:rPr>
              <w:t xml:space="preserve"> (</w:t>
            </w:r>
            <w:r>
              <w:rPr>
                <w:b/>
                <w:color w:val="000000"/>
                <w:sz w:val="19"/>
                <w:szCs w:val="19"/>
                <w:lang w:val="fr-CA"/>
              </w:rPr>
              <w:t>$US</w:t>
            </w:r>
            <w:r w:rsidRPr="0042639D">
              <w:rPr>
                <w:b/>
                <w:color w:val="000000"/>
                <w:sz w:val="19"/>
                <w:szCs w:val="19"/>
                <w:lang w:val="fr-CA"/>
              </w:rPr>
              <w:t>)</w:t>
            </w:r>
          </w:p>
        </w:tc>
        <w:tc>
          <w:tcPr>
            <w:tcW w:w="1041" w:type="dxa"/>
            <w:vMerge w:val="restart"/>
            <w:tcBorders>
              <w:top w:val="single" w:sz="4" w:space="0" w:color="auto"/>
              <w:left w:val="nil"/>
              <w:bottom w:val="single" w:sz="4" w:space="0" w:color="auto"/>
              <w:right w:val="single" w:sz="4" w:space="0" w:color="auto"/>
            </w:tcBorders>
            <w:hideMark/>
          </w:tcPr>
          <w:p w14:paraId="7FEC945E" w14:textId="77777777" w:rsidR="006345CD" w:rsidRPr="0042639D" w:rsidRDefault="006345CD" w:rsidP="006023A6">
            <w:pPr>
              <w:jc w:val="center"/>
              <w:rPr>
                <w:b/>
                <w:color w:val="000000"/>
                <w:sz w:val="19"/>
                <w:szCs w:val="19"/>
                <w:lang w:val="fr-CA"/>
              </w:rPr>
            </w:pPr>
            <w:r w:rsidRPr="0042639D">
              <w:rPr>
                <w:b/>
                <w:color w:val="000000"/>
                <w:sz w:val="19"/>
                <w:szCs w:val="19"/>
                <w:lang w:val="fr-CA"/>
              </w:rPr>
              <w:t>CE</w:t>
            </w:r>
            <w:r w:rsidRPr="0042639D">
              <w:rPr>
                <w:b/>
                <w:color w:val="000000"/>
                <w:sz w:val="19"/>
                <w:szCs w:val="19"/>
                <w:vertAlign w:val="superscript"/>
                <w:lang w:val="fr-CA"/>
              </w:rPr>
              <w:t>*</w:t>
            </w:r>
            <w:r w:rsidRPr="0042639D">
              <w:rPr>
                <w:b/>
                <w:color w:val="000000"/>
                <w:sz w:val="19"/>
                <w:szCs w:val="19"/>
                <w:lang w:val="fr-CA"/>
              </w:rPr>
              <w:t xml:space="preserve"> (</w:t>
            </w:r>
            <w:r>
              <w:rPr>
                <w:b/>
                <w:color w:val="000000"/>
                <w:sz w:val="19"/>
                <w:szCs w:val="19"/>
                <w:lang w:val="fr-CA"/>
              </w:rPr>
              <w:t>$US</w:t>
            </w:r>
            <w:r w:rsidRPr="0042639D">
              <w:rPr>
                <w:b/>
                <w:color w:val="000000"/>
                <w:sz w:val="19"/>
                <w:szCs w:val="19"/>
                <w:lang w:val="fr-CA"/>
              </w:rPr>
              <w:t>/kg)</w:t>
            </w:r>
          </w:p>
        </w:tc>
      </w:tr>
      <w:tr w:rsidR="006345CD" w:rsidRPr="0042639D" w14:paraId="63930B61" w14:textId="77777777" w:rsidTr="006023A6">
        <w:trPr>
          <w:tblHeader/>
        </w:trPr>
        <w:tc>
          <w:tcPr>
            <w:tcW w:w="3089" w:type="dxa"/>
            <w:vMerge/>
            <w:tcBorders>
              <w:top w:val="single" w:sz="4" w:space="0" w:color="auto"/>
              <w:left w:val="single" w:sz="4" w:space="0" w:color="auto"/>
              <w:bottom w:val="single" w:sz="4" w:space="0" w:color="auto"/>
              <w:right w:val="single" w:sz="4" w:space="0" w:color="auto"/>
            </w:tcBorders>
            <w:vAlign w:val="center"/>
            <w:hideMark/>
          </w:tcPr>
          <w:p w14:paraId="7F228179" w14:textId="77777777" w:rsidR="006345CD" w:rsidRPr="0042639D" w:rsidRDefault="006345CD" w:rsidP="006023A6">
            <w:pPr>
              <w:jc w:val="left"/>
              <w:rPr>
                <w:b/>
                <w:color w:val="000000"/>
                <w:sz w:val="19"/>
                <w:szCs w:val="19"/>
                <w:lang w:val="fr-CA"/>
              </w:rPr>
            </w:pPr>
          </w:p>
        </w:tc>
        <w:tc>
          <w:tcPr>
            <w:tcW w:w="874" w:type="dxa"/>
            <w:tcBorders>
              <w:top w:val="nil"/>
              <w:left w:val="nil"/>
              <w:bottom w:val="single" w:sz="4" w:space="0" w:color="auto"/>
              <w:right w:val="single" w:sz="4" w:space="0" w:color="auto"/>
            </w:tcBorders>
            <w:noWrap/>
            <w:vAlign w:val="center"/>
            <w:hideMark/>
          </w:tcPr>
          <w:p w14:paraId="69CE0048" w14:textId="77777777" w:rsidR="006345CD" w:rsidRPr="0042639D" w:rsidRDefault="006345CD" w:rsidP="006023A6">
            <w:pPr>
              <w:jc w:val="center"/>
              <w:rPr>
                <w:b/>
                <w:color w:val="000000"/>
                <w:sz w:val="19"/>
                <w:szCs w:val="19"/>
                <w:lang w:val="fr-CA"/>
              </w:rPr>
            </w:pPr>
            <w:proofErr w:type="gramStart"/>
            <w:r>
              <w:rPr>
                <w:b/>
                <w:color w:val="000000"/>
                <w:sz w:val="19"/>
                <w:szCs w:val="19"/>
                <w:lang w:val="fr-CA"/>
              </w:rPr>
              <w:t>t</w:t>
            </w:r>
            <w:r w:rsidRPr="0042639D">
              <w:rPr>
                <w:b/>
                <w:color w:val="000000"/>
                <w:sz w:val="19"/>
                <w:szCs w:val="19"/>
                <w:lang w:val="fr-CA"/>
              </w:rPr>
              <w:t>m</w:t>
            </w:r>
            <w:proofErr w:type="gramEnd"/>
          </w:p>
        </w:tc>
        <w:tc>
          <w:tcPr>
            <w:tcW w:w="1040" w:type="dxa"/>
            <w:tcBorders>
              <w:top w:val="nil"/>
              <w:left w:val="nil"/>
              <w:bottom w:val="single" w:sz="4" w:space="0" w:color="auto"/>
              <w:right w:val="single" w:sz="4" w:space="0" w:color="auto"/>
            </w:tcBorders>
            <w:noWrap/>
            <w:vAlign w:val="center"/>
            <w:hideMark/>
          </w:tcPr>
          <w:p w14:paraId="1EEDB7C7" w14:textId="77777777" w:rsidR="006345CD" w:rsidRPr="0042639D" w:rsidRDefault="006345CD" w:rsidP="006023A6">
            <w:pPr>
              <w:jc w:val="center"/>
              <w:rPr>
                <w:b/>
                <w:color w:val="000000"/>
                <w:sz w:val="19"/>
                <w:szCs w:val="19"/>
                <w:lang w:val="fr-CA"/>
              </w:rPr>
            </w:pPr>
            <w:r>
              <w:rPr>
                <w:b/>
                <w:color w:val="000000"/>
                <w:sz w:val="19"/>
                <w:szCs w:val="19"/>
                <w:lang w:val="fr-CA"/>
              </w:rPr>
              <w:t>PAO</w:t>
            </w:r>
          </w:p>
        </w:tc>
        <w:tc>
          <w:tcPr>
            <w:tcW w:w="1040" w:type="dxa"/>
            <w:tcBorders>
              <w:top w:val="nil"/>
              <w:left w:val="nil"/>
              <w:bottom w:val="single" w:sz="4" w:space="0" w:color="auto"/>
              <w:right w:val="single" w:sz="4" w:space="0" w:color="auto"/>
            </w:tcBorders>
            <w:noWrap/>
            <w:vAlign w:val="center"/>
            <w:hideMark/>
          </w:tcPr>
          <w:p w14:paraId="20B01D2B" w14:textId="77777777" w:rsidR="006345CD" w:rsidRPr="0042639D" w:rsidRDefault="006345CD" w:rsidP="006023A6">
            <w:pPr>
              <w:jc w:val="center"/>
              <w:rPr>
                <w:b/>
                <w:color w:val="000000"/>
                <w:sz w:val="19"/>
                <w:szCs w:val="19"/>
                <w:lang w:val="fr-CA"/>
              </w:rPr>
            </w:pPr>
            <w:proofErr w:type="gramStart"/>
            <w:r>
              <w:rPr>
                <w:b/>
                <w:color w:val="000000"/>
                <w:sz w:val="19"/>
                <w:szCs w:val="19"/>
                <w:lang w:val="fr-CA"/>
              </w:rPr>
              <w:t>t</w:t>
            </w:r>
            <w:r w:rsidRPr="0042639D">
              <w:rPr>
                <w:b/>
                <w:color w:val="000000"/>
                <w:sz w:val="19"/>
                <w:szCs w:val="19"/>
                <w:lang w:val="fr-CA"/>
              </w:rPr>
              <w:t>m</w:t>
            </w:r>
            <w:proofErr w:type="gramEnd"/>
          </w:p>
        </w:tc>
        <w:tc>
          <w:tcPr>
            <w:tcW w:w="1040" w:type="dxa"/>
            <w:tcBorders>
              <w:top w:val="nil"/>
              <w:left w:val="nil"/>
              <w:bottom w:val="single" w:sz="4" w:space="0" w:color="auto"/>
              <w:right w:val="single" w:sz="4" w:space="0" w:color="auto"/>
            </w:tcBorders>
            <w:noWrap/>
            <w:vAlign w:val="center"/>
            <w:hideMark/>
          </w:tcPr>
          <w:p w14:paraId="1F5BC63A" w14:textId="77777777" w:rsidR="006345CD" w:rsidRPr="0042639D" w:rsidRDefault="006345CD" w:rsidP="006023A6">
            <w:pPr>
              <w:jc w:val="center"/>
              <w:rPr>
                <w:b/>
                <w:color w:val="000000"/>
                <w:sz w:val="19"/>
                <w:szCs w:val="19"/>
                <w:lang w:val="fr-CA"/>
              </w:rPr>
            </w:pPr>
            <w:r>
              <w:rPr>
                <w:b/>
                <w:color w:val="000000"/>
                <w:sz w:val="19"/>
                <w:szCs w:val="19"/>
                <w:lang w:val="fr-CA"/>
              </w:rPr>
              <w:t>PAO</w:t>
            </w:r>
          </w:p>
        </w:tc>
        <w:tc>
          <w:tcPr>
            <w:tcW w:w="1227" w:type="dxa"/>
            <w:vMerge/>
            <w:tcBorders>
              <w:top w:val="single" w:sz="4" w:space="0" w:color="auto"/>
              <w:left w:val="nil"/>
              <w:bottom w:val="single" w:sz="4" w:space="0" w:color="auto"/>
              <w:right w:val="single" w:sz="4" w:space="0" w:color="auto"/>
            </w:tcBorders>
            <w:vAlign w:val="center"/>
            <w:hideMark/>
          </w:tcPr>
          <w:p w14:paraId="1ED05D1D" w14:textId="77777777" w:rsidR="006345CD" w:rsidRPr="0042639D" w:rsidRDefault="006345CD" w:rsidP="006023A6">
            <w:pPr>
              <w:jc w:val="left"/>
              <w:rPr>
                <w:b/>
                <w:color w:val="000000"/>
                <w:sz w:val="19"/>
                <w:szCs w:val="19"/>
                <w:lang w:val="fr-CA"/>
              </w:rPr>
            </w:pPr>
          </w:p>
        </w:tc>
        <w:tc>
          <w:tcPr>
            <w:tcW w:w="1041" w:type="dxa"/>
            <w:vMerge/>
            <w:tcBorders>
              <w:top w:val="single" w:sz="4" w:space="0" w:color="auto"/>
              <w:left w:val="nil"/>
              <w:bottom w:val="single" w:sz="4" w:space="0" w:color="auto"/>
              <w:right w:val="single" w:sz="4" w:space="0" w:color="auto"/>
            </w:tcBorders>
            <w:vAlign w:val="center"/>
            <w:hideMark/>
          </w:tcPr>
          <w:p w14:paraId="3A90E44C" w14:textId="77777777" w:rsidR="006345CD" w:rsidRPr="0042639D" w:rsidRDefault="006345CD" w:rsidP="006023A6">
            <w:pPr>
              <w:jc w:val="left"/>
              <w:rPr>
                <w:b/>
                <w:color w:val="000000"/>
                <w:sz w:val="19"/>
                <w:szCs w:val="19"/>
                <w:lang w:val="fr-CA"/>
              </w:rPr>
            </w:pPr>
          </w:p>
        </w:tc>
      </w:tr>
      <w:tr w:rsidR="006345CD" w:rsidRPr="0042639D" w14:paraId="7378E77E"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1B2864ED" w14:textId="77777777" w:rsidR="006345CD" w:rsidRPr="0042639D" w:rsidRDefault="006345CD" w:rsidP="006023A6">
            <w:pPr>
              <w:jc w:val="left"/>
              <w:rPr>
                <w:color w:val="000000"/>
                <w:sz w:val="19"/>
                <w:szCs w:val="19"/>
                <w:lang w:val="fr-CA"/>
              </w:rPr>
            </w:pPr>
            <w:r>
              <w:rPr>
                <w:color w:val="000000"/>
                <w:sz w:val="19"/>
                <w:szCs w:val="19"/>
                <w:lang w:val="fr-CA"/>
              </w:rPr>
              <w:t>Secteur</w:t>
            </w:r>
            <w:r w:rsidRPr="0042639D">
              <w:rPr>
                <w:color w:val="000000"/>
                <w:sz w:val="19"/>
                <w:szCs w:val="19"/>
                <w:lang w:val="fr-CA"/>
              </w:rPr>
              <w:t xml:space="preserve"> </w:t>
            </w:r>
            <w:r>
              <w:rPr>
                <w:color w:val="000000"/>
                <w:sz w:val="19"/>
                <w:szCs w:val="19"/>
                <w:lang w:val="fr-CA"/>
              </w:rPr>
              <w:t xml:space="preserve">de la climatisation </w:t>
            </w:r>
            <w:r w:rsidRPr="0042639D">
              <w:rPr>
                <w:color w:val="000000"/>
                <w:sz w:val="19"/>
                <w:szCs w:val="19"/>
                <w:lang w:val="fr-CA"/>
              </w:rPr>
              <w:t>(inclu</w:t>
            </w:r>
            <w:r>
              <w:rPr>
                <w:color w:val="000000"/>
                <w:sz w:val="19"/>
                <w:szCs w:val="19"/>
                <w:lang w:val="fr-CA"/>
              </w:rPr>
              <w:t>ant des trousses d’</w:t>
            </w:r>
            <w:r w:rsidRPr="0042639D">
              <w:rPr>
                <w:color w:val="000000"/>
                <w:sz w:val="19"/>
                <w:szCs w:val="19"/>
                <w:lang w:val="fr-CA"/>
              </w:rPr>
              <w:t>installation)</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77B4A605" w14:textId="77777777" w:rsidR="006345CD" w:rsidRPr="0042639D" w:rsidRDefault="006345CD" w:rsidP="006023A6">
            <w:pPr>
              <w:jc w:val="right"/>
              <w:rPr>
                <w:color w:val="000000"/>
                <w:sz w:val="19"/>
                <w:szCs w:val="19"/>
                <w:lang w:val="fr-CA"/>
              </w:rPr>
            </w:pPr>
            <w:r w:rsidRPr="0042639D">
              <w:rPr>
                <w:sz w:val="19"/>
                <w:szCs w:val="19"/>
                <w:lang w:val="fr-CA"/>
              </w:rPr>
              <w:t xml:space="preserve"> 268</w:t>
            </w:r>
            <w:r>
              <w:rPr>
                <w:sz w:val="19"/>
                <w:szCs w:val="19"/>
                <w:lang w:val="fr-CA"/>
              </w:rPr>
              <w:t>,</w:t>
            </w:r>
            <w:r w:rsidRPr="0042639D">
              <w:rPr>
                <w:sz w:val="19"/>
                <w:szCs w:val="19"/>
                <w:lang w:val="fr-CA"/>
              </w:rPr>
              <w:t xml:space="preserve">63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68520A6C" w14:textId="77777777" w:rsidR="006345CD" w:rsidRPr="0042639D" w:rsidRDefault="006345CD" w:rsidP="006023A6">
            <w:pPr>
              <w:jc w:val="right"/>
              <w:rPr>
                <w:color w:val="000000"/>
                <w:sz w:val="19"/>
                <w:szCs w:val="19"/>
                <w:lang w:val="fr-CA"/>
              </w:rPr>
            </w:pPr>
            <w:r w:rsidRPr="0042639D">
              <w:rPr>
                <w:sz w:val="19"/>
                <w:szCs w:val="19"/>
                <w:lang w:val="fr-CA"/>
              </w:rPr>
              <w:t xml:space="preserve"> 14</w:t>
            </w:r>
            <w:r>
              <w:rPr>
                <w:sz w:val="19"/>
                <w:szCs w:val="19"/>
                <w:lang w:val="fr-CA"/>
              </w:rPr>
              <w:t>,</w:t>
            </w:r>
            <w:r w:rsidRPr="0042639D">
              <w:rPr>
                <w:sz w:val="19"/>
                <w:szCs w:val="19"/>
                <w:lang w:val="fr-CA"/>
              </w:rPr>
              <w:t xml:space="preserve">77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2E66ADC6" w14:textId="77777777" w:rsidR="006345CD" w:rsidRPr="0042639D" w:rsidRDefault="006345CD" w:rsidP="006023A6">
            <w:pPr>
              <w:jc w:val="right"/>
              <w:rPr>
                <w:color w:val="000000"/>
                <w:sz w:val="19"/>
                <w:szCs w:val="19"/>
                <w:lang w:val="fr-CA"/>
              </w:rPr>
            </w:pPr>
            <w:r w:rsidRPr="0042639D">
              <w:rPr>
                <w:sz w:val="19"/>
                <w:szCs w:val="19"/>
                <w:lang w:val="fr-CA"/>
              </w:rPr>
              <w:t xml:space="preserve"> 192</w:t>
            </w:r>
            <w:r>
              <w:rPr>
                <w:sz w:val="19"/>
                <w:szCs w:val="19"/>
                <w:lang w:val="fr-CA"/>
              </w:rPr>
              <w:t>,</w:t>
            </w:r>
            <w:r w:rsidRPr="0042639D">
              <w:rPr>
                <w:sz w:val="19"/>
                <w:szCs w:val="19"/>
                <w:lang w:val="fr-CA"/>
              </w:rPr>
              <w:t xml:space="preserve">63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342544EB" w14:textId="77777777" w:rsidR="006345CD" w:rsidRPr="0042639D" w:rsidRDefault="006345CD" w:rsidP="006023A6">
            <w:pPr>
              <w:jc w:val="right"/>
              <w:rPr>
                <w:color w:val="000000"/>
                <w:sz w:val="19"/>
                <w:szCs w:val="19"/>
                <w:lang w:val="fr-CA"/>
              </w:rPr>
            </w:pPr>
            <w:r w:rsidRPr="0042639D">
              <w:rPr>
                <w:sz w:val="19"/>
                <w:szCs w:val="19"/>
                <w:lang w:val="fr-CA"/>
              </w:rPr>
              <w:t xml:space="preserve"> 10</w:t>
            </w:r>
            <w:r>
              <w:rPr>
                <w:sz w:val="19"/>
                <w:szCs w:val="19"/>
                <w:lang w:val="fr-CA"/>
              </w:rPr>
              <w:t>,</w:t>
            </w:r>
            <w:r w:rsidRPr="0042639D">
              <w:rPr>
                <w:sz w:val="19"/>
                <w:szCs w:val="19"/>
                <w:lang w:val="fr-CA"/>
              </w:rPr>
              <w:t xml:space="preserve">59 </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14D1C9DC" w14:textId="77777777" w:rsidR="006345CD" w:rsidRPr="0042639D" w:rsidRDefault="006345CD" w:rsidP="006023A6">
            <w:pPr>
              <w:jc w:val="right"/>
              <w:rPr>
                <w:color w:val="000000"/>
                <w:sz w:val="19"/>
                <w:szCs w:val="19"/>
                <w:lang w:val="fr-CA"/>
              </w:rPr>
            </w:pPr>
            <w:r w:rsidRPr="0042639D">
              <w:rPr>
                <w:sz w:val="19"/>
                <w:szCs w:val="19"/>
                <w:lang w:val="fr-CA"/>
              </w:rPr>
              <w:t>2</w:t>
            </w:r>
            <w:r>
              <w:rPr>
                <w:sz w:val="19"/>
                <w:szCs w:val="19"/>
                <w:lang w:val="fr-CA"/>
              </w:rPr>
              <w:t> </w:t>
            </w:r>
            <w:r w:rsidRPr="0042639D">
              <w:rPr>
                <w:sz w:val="19"/>
                <w:szCs w:val="19"/>
                <w:lang w:val="fr-CA"/>
              </w:rPr>
              <w:t>184</w:t>
            </w:r>
            <w:r>
              <w:rPr>
                <w:sz w:val="19"/>
                <w:szCs w:val="19"/>
                <w:lang w:val="fr-CA"/>
              </w:rPr>
              <w:t> </w:t>
            </w:r>
            <w:r w:rsidRPr="0042639D">
              <w:rPr>
                <w:sz w:val="19"/>
                <w:szCs w:val="19"/>
                <w:lang w:val="fr-CA"/>
              </w:rPr>
              <w:t>867</w:t>
            </w:r>
          </w:p>
        </w:tc>
        <w:tc>
          <w:tcPr>
            <w:tcW w:w="1041" w:type="dxa"/>
            <w:tcBorders>
              <w:top w:val="nil"/>
              <w:left w:val="nil"/>
              <w:bottom w:val="single" w:sz="4" w:space="0" w:color="auto"/>
              <w:right w:val="single" w:sz="4" w:space="0" w:color="auto"/>
            </w:tcBorders>
            <w:hideMark/>
          </w:tcPr>
          <w:p w14:paraId="4F39B245" w14:textId="77777777" w:rsidR="006345CD" w:rsidRPr="0042639D" w:rsidRDefault="006345CD" w:rsidP="006023A6">
            <w:pPr>
              <w:jc w:val="right"/>
              <w:rPr>
                <w:color w:val="000000"/>
                <w:sz w:val="19"/>
                <w:szCs w:val="19"/>
                <w:lang w:val="fr-CA"/>
              </w:rPr>
            </w:pPr>
            <w:r w:rsidRPr="0042639D">
              <w:rPr>
                <w:sz w:val="19"/>
                <w:szCs w:val="19"/>
                <w:lang w:val="fr-CA"/>
              </w:rPr>
              <w:t>11</w:t>
            </w:r>
            <w:r>
              <w:rPr>
                <w:sz w:val="19"/>
                <w:szCs w:val="19"/>
                <w:lang w:val="fr-CA"/>
              </w:rPr>
              <w:t>,</w:t>
            </w:r>
            <w:r w:rsidRPr="0042639D">
              <w:rPr>
                <w:sz w:val="19"/>
                <w:szCs w:val="19"/>
                <w:lang w:val="fr-CA"/>
              </w:rPr>
              <w:t>34</w:t>
            </w:r>
          </w:p>
        </w:tc>
      </w:tr>
      <w:tr w:rsidR="006345CD" w:rsidRPr="0042639D" w14:paraId="277655BA"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0055B23B" w14:textId="77777777" w:rsidR="006345CD" w:rsidRPr="0042639D" w:rsidRDefault="006345CD" w:rsidP="006023A6">
            <w:pPr>
              <w:jc w:val="left"/>
              <w:rPr>
                <w:color w:val="000000"/>
                <w:sz w:val="19"/>
                <w:szCs w:val="19"/>
                <w:lang w:val="fr-CA"/>
              </w:rPr>
            </w:pPr>
            <w:r>
              <w:rPr>
                <w:color w:val="000000"/>
                <w:sz w:val="19"/>
                <w:szCs w:val="19"/>
                <w:lang w:val="fr-CA"/>
              </w:rPr>
              <w:t>Fabrication d’appareils de ré</w:t>
            </w:r>
            <w:r w:rsidRPr="0042639D">
              <w:rPr>
                <w:color w:val="000000"/>
                <w:sz w:val="19"/>
                <w:szCs w:val="19"/>
                <w:lang w:val="fr-CA"/>
              </w:rPr>
              <w:t>frig</w:t>
            </w:r>
            <w:r>
              <w:rPr>
                <w:color w:val="000000"/>
                <w:sz w:val="19"/>
                <w:szCs w:val="19"/>
                <w:lang w:val="fr-CA"/>
              </w:rPr>
              <w:t>é</w:t>
            </w:r>
            <w:r w:rsidRPr="0042639D">
              <w:rPr>
                <w:color w:val="000000"/>
                <w:sz w:val="19"/>
                <w:szCs w:val="19"/>
                <w:lang w:val="fr-CA"/>
              </w:rPr>
              <w:t xml:space="preserve">ration </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72A332CF" w14:textId="77777777" w:rsidR="006345CD" w:rsidRPr="0042639D" w:rsidRDefault="006345CD" w:rsidP="006023A6">
            <w:pPr>
              <w:jc w:val="right"/>
              <w:rPr>
                <w:color w:val="000000"/>
                <w:sz w:val="19"/>
                <w:szCs w:val="19"/>
                <w:lang w:val="fr-CA"/>
              </w:rPr>
            </w:pPr>
            <w:r w:rsidRPr="0042639D">
              <w:rPr>
                <w:sz w:val="19"/>
                <w:szCs w:val="19"/>
                <w:lang w:val="fr-CA"/>
              </w:rPr>
              <w:t xml:space="preserve"> 303</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79E123F0" w14:textId="77777777" w:rsidR="006345CD" w:rsidRPr="0042639D" w:rsidRDefault="006345CD" w:rsidP="006023A6">
            <w:pPr>
              <w:jc w:val="right"/>
              <w:rPr>
                <w:color w:val="000000"/>
                <w:sz w:val="19"/>
                <w:szCs w:val="19"/>
                <w:lang w:val="fr-CA"/>
              </w:rPr>
            </w:pPr>
            <w:r w:rsidRPr="0042639D">
              <w:rPr>
                <w:sz w:val="19"/>
                <w:szCs w:val="19"/>
                <w:lang w:val="fr-CA"/>
              </w:rPr>
              <w:t xml:space="preserve"> 16</w:t>
            </w:r>
            <w:r>
              <w:rPr>
                <w:sz w:val="19"/>
                <w:szCs w:val="19"/>
                <w:lang w:val="fr-CA"/>
              </w:rPr>
              <w:t>,</w:t>
            </w:r>
            <w:r w:rsidRPr="0042639D">
              <w:rPr>
                <w:sz w:val="19"/>
                <w:szCs w:val="19"/>
                <w:lang w:val="fr-CA"/>
              </w:rPr>
              <w:t xml:space="preserve">67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4D2C9643" w14:textId="77777777" w:rsidR="006345CD" w:rsidRPr="0042639D" w:rsidRDefault="006345CD" w:rsidP="006023A6">
            <w:pPr>
              <w:jc w:val="right"/>
              <w:rPr>
                <w:color w:val="000000"/>
                <w:sz w:val="19"/>
                <w:szCs w:val="19"/>
                <w:lang w:val="fr-CA"/>
              </w:rPr>
            </w:pPr>
            <w:r w:rsidRPr="0042639D">
              <w:rPr>
                <w:sz w:val="19"/>
                <w:szCs w:val="19"/>
                <w:lang w:val="fr-CA"/>
              </w:rPr>
              <w:t xml:space="preserve"> 303</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428D6DB8" w14:textId="77777777" w:rsidR="006345CD" w:rsidRPr="0042639D" w:rsidRDefault="006345CD" w:rsidP="006023A6">
            <w:pPr>
              <w:jc w:val="right"/>
              <w:rPr>
                <w:color w:val="000000"/>
                <w:sz w:val="19"/>
                <w:szCs w:val="19"/>
                <w:lang w:val="fr-CA"/>
              </w:rPr>
            </w:pPr>
            <w:r w:rsidRPr="0042639D">
              <w:rPr>
                <w:sz w:val="19"/>
                <w:szCs w:val="19"/>
                <w:lang w:val="fr-CA"/>
              </w:rPr>
              <w:t xml:space="preserve"> 16</w:t>
            </w:r>
            <w:r>
              <w:rPr>
                <w:sz w:val="19"/>
                <w:szCs w:val="19"/>
                <w:lang w:val="fr-CA"/>
              </w:rPr>
              <w:t>,</w:t>
            </w:r>
            <w:r w:rsidRPr="0042639D">
              <w:rPr>
                <w:sz w:val="19"/>
                <w:szCs w:val="19"/>
                <w:lang w:val="fr-CA"/>
              </w:rPr>
              <w:t xml:space="preserve">67 </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46B6FC77" w14:textId="77777777" w:rsidR="006345CD" w:rsidRPr="0042639D" w:rsidRDefault="006345CD" w:rsidP="006023A6">
            <w:pPr>
              <w:jc w:val="right"/>
              <w:rPr>
                <w:color w:val="000000"/>
                <w:sz w:val="19"/>
                <w:szCs w:val="19"/>
                <w:lang w:val="fr-CA"/>
              </w:rPr>
            </w:pPr>
            <w:r w:rsidRPr="0042639D">
              <w:rPr>
                <w:sz w:val="19"/>
                <w:szCs w:val="19"/>
                <w:lang w:val="fr-CA"/>
              </w:rPr>
              <w:t>3</w:t>
            </w:r>
            <w:r>
              <w:rPr>
                <w:sz w:val="19"/>
                <w:szCs w:val="19"/>
                <w:lang w:val="fr-CA"/>
              </w:rPr>
              <w:t> </w:t>
            </w:r>
            <w:r w:rsidRPr="0042639D">
              <w:rPr>
                <w:sz w:val="19"/>
                <w:szCs w:val="19"/>
                <w:lang w:val="fr-CA"/>
              </w:rPr>
              <w:t>636</w:t>
            </w:r>
            <w:r>
              <w:rPr>
                <w:sz w:val="19"/>
                <w:szCs w:val="19"/>
                <w:lang w:val="fr-CA"/>
              </w:rPr>
              <w:t> </w:t>
            </w:r>
            <w:r w:rsidRPr="0042639D">
              <w:rPr>
                <w:sz w:val="19"/>
                <w:szCs w:val="19"/>
                <w:lang w:val="fr-CA"/>
              </w:rPr>
              <w:t>000</w:t>
            </w:r>
          </w:p>
        </w:tc>
        <w:tc>
          <w:tcPr>
            <w:tcW w:w="1041" w:type="dxa"/>
            <w:tcBorders>
              <w:top w:val="nil"/>
              <w:left w:val="nil"/>
              <w:bottom w:val="single" w:sz="4" w:space="0" w:color="auto"/>
              <w:right w:val="single" w:sz="4" w:space="0" w:color="auto"/>
            </w:tcBorders>
            <w:hideMark/>
          </w:tcPr>
          <w:p w14:paraId="75004C26" w14:textId="77777777" w:rsidR="006345CD" w:rsidRPr="0042639D" w:rsidRDefault="006345CD" w:rsidP="006023A6">
            <w:pPr>
              <w:jc w:val="right"/>
              <w:rPr>
                <w:color w:val="000000"/>
                <w:sz w:val="19"/>
                <w:szCs w:val="19"/>
                <w:lang w:val="fr-CA"/>
              </w:rPr>
            </w:pPr>
            <w:r w:rsidRPr="0042639D">
              <w:rPr>
                <w:sz w:val="19"/>
                <w:szCs w:val="19"/>
                <w:lang w:val="fr-CA"/>
              </w:rPr>
              <w:t>12</w:t>
            </w:r>
            <w:r>
              <w:rPr>
                <w:sz w:val="19"/>
                <w:szCs w:val="19"/>
                <w:lang w:val="fr-CA"/>
              </w:rPr>
              <w:t>,</w:t>
            </w:r>
            <w:r w:rsidRPr="0042639D">
              <w:rPr>
                <w:sz w:val="19"/>
                <w:szCs w:val="19"/>
                <w:lang w:val="fr-CA"/>
              </w:rPr>
              <w:t>00</w:t>
            </w:r>
          </w:p>
        </w:tc>
      </w:tr>
      <w:tr w:rsidR="006345CD" w:rsidRPr="0042639D" w14:paraId="4457A75B"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01C3873B" w14:textId="5EA896FC" w:rsidR="006345CD" w:rsidRPr="0042639D" w:rsidRDefault="006345CD" w:rsidP="0026119A">
            <w:pPr>
              <w:jc w:val="left"/>
              <w:rPr>
                <w:color w:val="000000"/>
                <w:sz w:val="19"/>
                <w:szCs w:val="19"/>
                <w:lang w:val="fr-CA"/>
              </w:rPr>
            </w:pPr>
            <w:r>
              <w:rPr>
                <w:color w:val="000000"/>
                <w:sz w:val="19"/>
                <w:szCs w:val="19"/>
                <w:lang w:val="fr-CA"/>
              </w:rPr>
              <w:t xml:space="preserve">Mousse </w:t>
            </w:r>
            <w:r w:rsidR="0026119A">
              <w:rPr>
                <w:color w:val="000000"/>
                <w:sz w:val="19"/>
                <w:szCs w:val="19"/>
                <w:lang w:val="fr-CA"/>
              </w:rPr>
              <w:t>de polystyrène extrudé</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4527A0EC" w14:textId="77777777" w:rsidR="006345CD" w:rsidRPr="0042639D" w:rsidRDefault="006345CD" w:rsidP="006023A6">
            <w:pPr>
              <w:jc w:val="right"/>
              <w:rPr>
                <w:color w:val="000000"/>
                <w:sz w:val="19"/>
                <w:szCs w:val="19"/>
                <w:lang w:val="fr-CA"/>
              </w:rPr>
            </w:pPr>
            <w:r w:rsidRPr="0042639D">
              <w:rPr>
                <w:sz w:val="19"/>
                <w:szCs w:val="19"/>
                <w:lang w:val="fr-CA"/>
              </w:rPr>
              <w:t xml:space="preserve"> 100</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1C556A4F" w14:textId="77777777" w:rsidR="006345CD" w:rsidRPr="0042639D" w:rsidRDefault="006345CD" w:rsidP="006023A6">
            <w:pPr>
              <w:jc w:val="right"/>
              <w:rPr>
                <w:color w:val="000000"/>
                <w:sz w:val="19"/>
                <w:szCs w:val="19"/>
                <w:lang w:val="fr-CA"/>
              </w:rPr>
            </w:pPr>
            <w:r w:rsidRPr="0042639D">
              <w:rPr>
                <w:sz w:val="19"/>
                <w:szCs w:val="19"/>
                <w:lang w:val="fr-CA"/>
              </w:rPr>
              <w:t xml:space="preserve"> 5</w:t>
            </w:r>
            <w:r>
              <w:rPr>
                <w:sz w:val="19"/>
                <w:szCs w:val="19"/>
                <w:lang w:val="fr-CA"/>
              </w:rPr>
              <w:t>,</w:t>
            </w:r>
            <w:r w:rsidRPr="0042639D">
              <w:rPr>
                <w:sz w:val="19"/>
                <w:szCs w:val="19"/>
                <w:lang w:val="fr-CA"/>
              </w:rPr>
              <w:t xml:space="preserve">50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13DC2AC0" w14:textId="77777777" w:rsidR="006345CD" w:rsidRPr="0042639D" w:rsidRDefault="006345CD" w:rsidP="006023A6">
            <w:pPr>
              <w:jc w:val="right"/>
              <w:rPr>
                <w:color w:val="000000"/>
                <w:sz w:val="19"/>
                <w:szCs w:val="19"/>
                <w:lang w:val="fr-CA"/>
              </w:rPr>
            </w:pPr>
            <w:r w:rsidRPr="0042639D">
              <w:rPr>
                <w:sz w:val="19"/>
                <w:szCs w:val="19"/>
                <w:lang w:val="fr-CA"/>
              </w:rPr>
              <w:t xml:space="preserve"> 100</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0060B742" w14:textId="77777777" w:rsidR="006345CD" w:rsidRPr="0042639D" w:rsidRDefault="006345CD" w:rsidP="006023A6">
            <w:pPr>
              <w:jc w:val="right"/>
              <w:rPr>
                <w:color w:val="000000"/>
                <w:sz w:val="19"/>
                <w:szCs w:val="19"/>
                <w:lang w:val="fr-CA"/>
              </w:rPr>
            </w:pPr>
            <w:r w:rsidRPr="0042639D">
              <w:rPr>
                <w:sz w:val="19"/>
                <w:szCs w:val="19"/>
                <w:lang w:val="fr-CA"/>
              </w:rPr>
              <w:t xml:space="preserve"> 5</w:t>
            </w:r>
            <w:r>
              <w:rPr>
                <w:sz w:val="19"/>
                <w:szCs w:val="19"/>
                <w:lang w:val="fr-CA"/>
              </w:rPr>
              <w:t>,</w:t>
            </w:r>
            <w:r w:rsidRPr="0042639D">
              <w:rPr>
                <w:sz w:val="19"/>
                <w:szCs w:val="19"/>
                <w:lang w:val="fr-CA"/>
              </w:rPr>
              <w:t xml:space="preserve">50 </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19631899" w14:textId="77777777" w:rsidR="006345CD" w:rsidRPr="0042639D" w:rsidRDefault="006345CD" w:rsidP="006023A6">
            <w:pPr>
              <w:jc w:val="right"/>
              <w:rPr>
                <w:color w:val="000000"/>
                <w:sz w:val="19"/>
                <w:szCs w:val="19"/>
                <w:lang w:val="fr-CA"/>
              </w:rPr>
            </w:pPr>
            <w:r w:rsidRPr="0042639D">
              <w:rPr>
                <w:sz w:val="19"/>
                <w:szCs w:val="19"/>
                <w:lang w:val="fr-CA"/>
              </w:rPr>
              <w:t>613</w:t>
            </w:r>
            <w:r>
              <w:rPr>
                <w:sz w:val="19"/>
                <w:szCs w:val="19"/>
                <w:lang w:val="fr-CA"/>
              </w:rPr>
              <w:t> </w:t>
            </w:r>
            <w:r w:rsidRPr="0042639D">
              <w:rPr>
                <w:sz w:val="19"/>
                <w:szCs w:val="19"/>
                <w:lang w:val="fr-CA"/>
              </w:rPr>
              <w:t>568</w:t>
            </w:r>
          </w:p>
        </w:tc>
        <w:tc>
          <w:tcPr>
            <w:tcW w:w="1041" w:type="dxa"/>
            <w:tcBorders>
              <w:top w:val="nil"/>
              <w:left w:val="nil"/>
              <w:bottom w:val="single" w:sz="4" w:space="0" w:color="auto"/>
              <w:right w:val="single" w:sz="4" w:space="0" w:color="auto"/>
            </w:tcBorders>
            <w:hideMark/>
          </w:tcPr>
          <w:p w14:paraId="09B37336" w14:textId="77777777" w:rsidR="006345CD" w:rsidRPr="0042639D" w:rsidRDefault="006345CD" w:rsidP="006023A6">
            <w:pPr>
              <w:jc w:val="right"/>
              <w:rPr>
                <w:color w:val="000000"/>
                <w:sz w:val="19"/>
                <w:szCs w:val="19"/>
                <w:lang w:val="fr-CA"/>
              </w:rPr>
            </w:pPr>
            <w:r w:rsidRPr="0042639D">
              <w:rPr>
                <w:sz w:val="19"/>
                <w:szCs w:val="19"/>
                <w:lang w:val="fr-CA"/>
              </w:rPr>
              <w:t>6</w:t>
            </w:r>
            <w:r>
              <w:rPr>
                <w:sz w:val="19"/>
                <w:szCs w:val="19"/>
                <w:lang w:val="fr-CA"/>
              </w:rPr>
              <w:t>,</w:t>
            </w:r>
            <w:r w:rsidRPr="0042639D">
              <w:rPr>
                <w:sz w:val="19"/>
                <w:szCs w:val="19"/>
                <w:lang w:val="fr-CA"/>
              </w:rPr>
              <w:t>14</w:t>
            </w:r>
          </w:p>
        </w:tc>
      </w:tr>
      <w:tr w:rsidR="006345CD" w:rsidRPr="0042639D" w14:paraId="1523777E"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71BC17B1" w14:textId="77777777" w:rsidR="006345CD" w:rsidRPr="0042639D" w:rsidRDefault="006345CD" w:rsidP="006023A6">
            <w:pPr>
              <w:jc w:val="left"/>
              <w:rPr>
                <w:color w:val="000000"/>
                <w:sz w:val="19"/>
                <w:szCs w:val="19"/>
                <w:lang w:val="fr-CA"/>
              </w:rPr>
            </w:pPr>
            <w:r>
              <w:rPr>
                <w:color w:val="000000"/>
                <w:sz w:val="19"/>
                <w:szCs w:val="19"/>
                <w:lang w:val="fr-CA"/>
              </w:rPr>
              <w:t>Entretien</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57E5D836" w14:textId="77777777" w:rsidR="006345CD" w:rsidRPr="0042639D" w:rsidRDefault="006345CD" w:rsidP="006023A6">
            <w:pPr>
              <w:jc w:val="right"/>
              <w:rPr>
                <w:color w:val="000000"/>
                <w:sz w:val="19"/>
                <w:szCs w:val="19"/>
                <w:lang w:val="fr-CA"/>
              </w:rPr>
            </w:pPr>
            <w:r w:rsidRPr="0042639D">
              <w:rPr>
                <w:sz w:val="19"/>
                <w:szCs w:val="19"/>
                <w:lang w:val="fr-CA"/>
              </w:rPr>
              <w:t xml:space="preserve"> 334</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27A473A6" w14:textId="77777777" w:rsidR="006345CD" w:rsidRPr="0042639D" w:rsidRDefault="006345CD" w:rsidP="006023A6">
            <w:pPr>
              <w:jc w:val="right"/>
              <w:rPr>
                <w:color w:val="000000"/>
                <w:sz w:val="19"/>
                <w:szCs w:val="19"/>
                <w:lang w:val="fr-CA"/>
              </w:rPr>
            </w:pPr>
            <w:r w:rsidRPr="0042639D">
              <w:rPr>
                <w:sz w:val="19"/>
                <w:szCs w:val="19"/>
                <w:lang w:val="fr-CA"/>
              </w:rPr>
              <w:t xml:space="preserve"> 18</w:t>
            </w:r>
            <w:r>
              <w:rPr>
                <w:sz w:val="19"/>
                <w:szCs w:val="19"/>
                <w:lang w:val="fr-CA"/>
              </w:rPr>
              <w:t>,</w:t>
            </w:r>
            <w:r w:rsidRPr="0042639D">
              <w:rPr>
                <w:sz w:val="19"/>
                <w:szCs w:val="19"/>
                <w:lang w:val="fr-CA"/>
              </w:rPr>
              <w:t xml:space="preserve">37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6AF56D96" w14:textId="77777777" w:rsidR="006345CD" w:rsidRPr="0042639D" w:rsidRDefault="006345CD" w:rsidP="006023A6">
            <w:pPr>
              <w:jc w:val="right"/>
              <w:rPr>
                <w:color w:val="000000"/>
                <w:sz w:val="19"/>
                <w:szCs w:val="19"/>
                <w:lang w:val="fr-CA"/>
              </w:rPr>
            </w:pPr>
            <w:r w:rsidRPr="0042639D">
              <w:rPr>
                <w:sz w:val="19"/>
                <w:szCs w:val="19"/>
                <w:lang w:val="fr-CA"/>
              </w:rPr>
              <w:t xml:space="preserve"> 334</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6479FBDE" w14:textId="77777777" w:rsidR="006345CD" w:rsidRPr="0042639D" w:rsidRDefault="006345CD" w:rsidP="006023A6">
            <w:pPr>
              <w:jc w:val="right"/>
              <w:rPr>
                <w:color w:val="000000"/>
                <w:sz w:val="19"/>
                <w:szCs w:val="19"/>
                <w:lang w:val="fr-CA"/>
              </w:rPr>
            </w:pPr>
            <w:r w:rsidRPr="0042639D">
              <w:rPr>
                <w:sz w:val="19"/>
                <w:szCs w:val="19"/>
                <w:lang w:val="fr-CA"/>
              </w:rPr>
              <w:t xml:space="preserve"> 18</w:t>
            </w:r>
            <w:r>
              <w:rPr>
                <w:sz w:val="19"/>
                <w:szCs w:val="19"/>
                <w:lang w:val="fr-CA"/>
              </w:rPr>
              <w:t>,</w:t>
            </w:r>
            <w:r w:rsidRPr="0042639D">
              <w:rPr>
                <w:sz w:val="19"/>
                <w:szCs w:val="19"/>
                <w:lang w:val="fr-CA"/>
              </w:rPr>
              <w:t xml:space="preserve">37 </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36C04E8A" w14:textId="77777777" w:rsidR="006345CD" w:rsidRPr="0042639D" w:rsidRDefault="006345CD" w:rsidP="006023A6">
            <w:pPr>
              <w:jc w:val="right"/>
              <w:rPr>
                <w:color w:val="000000"/>
                <w:sz w:val="19"/>
                <w:szCs w:val="19"/>
                <w:lang w:val="fr-CA"/>
              </w:rPr>
            </w:pPr>
            <w:r w:rsidRPr="0042639D">
              <w:rPr>
                <w:sz w:val="19"/>
                <w:szCs w:val="19"/>
                <w:lang w:val="fr-CA"/>
              </w:rPr>
              <w:t>1</w:t>
            </w:r>
            <w:r>
              <w:rPr>
                <w:sz w:val="19"/>
                <w:szCs w:val="19"/>
                <w:lang w:val="fr-CA"/>
              </w:rPr>
              <w:t> </w:t>
            </w:r>
            <w:r w:rsidRPr="0042639D">
              <w:rPr>
                <w:sz w:val="19"/>
                <w:szCs w:val="19"/>
                <w:lang w:val="fr-CA"/>
              </w:rPr>
              <w:t>603</w:t>
            </w:r>
            <w:r>
              <w:rPr>
                <w:sz w:val="19"/>
                <w:szCs w:val="19"/>
                <w:lang w:val="fr-CA"/>
              </w:rPr>
              <w:t> </w:t>
            </w:r>
            <w:r w:rsidRPr="0042639D">
              <w:rPr>
                <w:sz w:val="19"/>
                <w:szCs w:val="19"/>
                <w:lang w:val="fr-CA"/>
              </w:rPr>
              <w:t>200</w:t>
            </w:r>
          </w:p>
        </w:tc>
        <w:tc>
          <w:tcPr>
            <w:tcW w:w="1041" w:type="dxa"/>
            <w:tcBorders>
              <w:top w:val="nil"/>
              <w:left w:val="nil"/>
              <w:bottom w:val="single" w:sz="4" w:space="0" w:color="auto"/>
              <w:right w:val="single" w:sz="4" w:space="0" w:color="auto"/>
            </w:tcBorders>
            <w:hideMark/>
          </w:tcPr>
          <w:p w14:paraId="0A91C446" w14:textId="77777777" w:rsidR="006345CD" w:rsidRPr="0042639D" w:rsidRDefault="006345CD" w:rsidP="006023A6">
            <w:pPr>
              <w:jc w:val="right"/>
              <w:rPr>
                <w:color w:val="000000"/>
                <w:sz w:val="19"/>
                <w:szCs w:val="19"/>
                <w:lang w:val="fr-CA"/>
              </w:rPr>
            </w:pPr>
            <w:r w:rsidRPr="0042639D">
              <w:rPr>
                <w:sz w:val="19"/>
                <w:szCs w:val="19"/>
                <w:lang w:val="fr-CA"/>
              </w:rPr>
              <w:t>4</w:t>
            </w:r>
            <w:r>
              <w:rPr>
                <w:sz w:val="19"/>
                <w:szCs w:val="19"/>
                <w:lang w:val="fr-CA"/>
              </w:rPr>
              <w:t>,</w:t>
            </w:r>
            <w:r w:rsidRPr="0042639D">
              <w:rPr>
                <w:sz w:val="19"/>
                <w:szCs w:val="19"/>
                <w:lang w:val="fr-CA"/>
              </w:rPr>
              <w:t>80</w:t>
            </w:r>
          </w:p>
        </w:tc>
      </w:tr>
      <w:tr w:rsidR="006345CD" w:rsidRPr="0042639D" w14:paraId="5D179831"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0CABC9E2" w14:textId="77777777" w:rsidR="006345CD" w:rsidRPr="0042639D" w:rsidRDefault="006345CD" w:rsidP="006023A6">
            <w:pPr>
              <w:jc w:val="left"/>
              <w:rPr>
                <w:color w:val="000000"/>
                <w:sz w:val="19"/>
                <w:szCs w:val="19"/>
                <w:lang w:val="fr-CA"/>
              </w:rPr>
            </w:pPr>
            <w:r>
              <w:rPr>
                <w:color w:val="000000"/>
                <w:sz w:val="19"/>
                <w:szCs w:val="19"/>
                <w:lang w:val="fr-CA"/>
              </w:rPr>
              <w:t>Total partiel pour le</w:t>
            </w:r>
            <w:r w:rsidRPr="0042639D">
              <w:rPr>
                <w:color w:val="000000"/>
                <w:sz w:val="19"/>
                <w:szCs w:val="19"/>
                <w:lang w:val="fr-CA"/>
              </w:rPr>
              <w:t xml:space="preserve"> HCFC-22</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356CA3EA" w14:textId="77777777" w:rsidR="006345CD" w:rsidRPr="0042639D" w:rsidRDefault="006345CD" w:rsidP="006023A6">
            <w:pPr>
              <w:jc w:val="right"/>
              <w:rPr>
                <w:color w:val="000000"/>
                <w:sz w:val="19"/>
                <w:szCs w:val="19"/>
                <w:lang w:val="fr-CA"/>
              </w:rPr>
            </w:pPr>
            <w:r w:rsidRPr="0042639D">
              <w:rPr>
                <w:sz w:val="19"/>
                <w:szCs w:val="19"/>
                <w:lang w:val="fr-CA"/>
              </w:rPr>
              <w:t xml:space="preserve"> 1</w:t>
            </w:r>
            <w:r>
              <w:rPr>
                <w:sz w:val="19"/>
                <w:szCs w:val="19"/>
                <w:lang w:val="fr-CA"/>
              </w:rPr>
              <w:t> </w:t>
            </w:r>
            <w:r w:rsidRPr="0042639D">
              <w:rPr>
                <w:sz w:val="19"/>
                <w:szCs w:val="19"/>
                <w:lang w:val="fr-CA"/>
              </w:rPr>
              <w:t>005</w:t>
            </w:r>
            <w:r>
              <w:rPr>
                <w:sz w:val="19"/>
                <w:szCs w:val="19"/>
                <w:lang w:val="fr-CA"/>
              </w:rPr>
              <w:t>,</w:t>
            </w:r>
            <w:r w:rsidRPr="0042639D">
              <w:rPr>
                <w:sz w:val="19"/>
                <w:szCs w:val="19"/>
                <w:lang w:val="fr-CA"/>
              </w:rPr>
              <w:t xml:space="preserve">63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23D9266B" w14:textId="77777777" w:rsidR="006345CD" w:rsidRPr="0042639D" w:rsidRDefault="006345CD" w:rsidP="006023A6">
            <w:pPr>
              <w:jc w:val="right"/>
              <w:rPr>
                <w:color w:val="000000"/>
                <w:sz w:val="19"/>
                <w:szCs w:val="19"/>
                <w:lang w:val="fr-CA"/>
              </w:rPr>
            </w:pPr>
            <w:r w:rsidRPr="0042639D">
              <w:rPr>
                <w:sz w:val="19"/>
                <w:szCs w:val="19"/>
                <w:lang w:val="fr-CA"/>
              </w:rPr>
              <w:t xml:space="preserve"> 55</w:t>
            </w:r>
            <w:r>
              <w:rPr>
                <w:sz w:val="19"/>
                <w:szCs w:val="19"/>
                <w:lang w:val="fr-CA"/>
              </w:rPr>
              <w:t>,</w:t>
            </w:r>
            <w:r w:rsidRPr="0042639D">
              <w:rPr>
                <w:sz w:val="19"/>
                <w:szCs w:val="19"/>
                <w:lang w:val="fr-CA"/>
              </w:rPr>
              <w:t xml:space="preserve">31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5CA3AB9D" w14:textId="77777777" w:rsidR="006345CD" w:rsidRPr="0042639D" w:rsidRDefault="006345CD" w:rsidP="006023A6">
            <w:pPr>
              <w:jc w:val="right"/>
              <w:rPr>
                <w:color w:val="000000"/>
                <w:sz w:val="19"/>
                <w:szCs w:val="19"/>
                <w:lang w:val="fr-CA"/>
              </w:rPr>
            </w:pPr>
            <w:r w:rsidRPr="0042639D">
              <w:rPr>
                <w:sz w:val="19"/>
                <w:szCs w:val="19"/>
                <w:lang w:val="fr-CA"/>
              </w:rPr>
              <w:t xml:space="preserve"> 929</w:t>
            </w:r>
            <w:r>
              <w:rPr>
                <w:sz w:val="19"/>
                <w:szCs w:val="19"/>
                <w:lang w:val="fr-CA"/>
              </w:rPr>
              <w:t>,</w:t>
            </w:r>
            <w:r w:rsidRPr="0042639D">
              <w:rPr>
                <w:sz w:val="19"/>
                <w:szCs w:val="19"/>
                <w:lang w:val="fr-CA"/>
              </w:rPr>
              <w:t xml:space="preserve">63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0DFB9096" w14:textId="77777777" w:rsidR="006345CD" w:rsidRPr="0042639D" w:rsidRDefault="006345CD" w:rsidP="006023A6">
            <w:pPr>
              <w:jc w:val="right"/>
              <w:rPr>
                <w:color w:val="000000"/>
                <w:sz w:val="19"/>
                <w:szCs w:val="19"/>
                <w:lang w:val="fr-CA"/>
              </w:rPr>
            </w:pPr>
            <w:r w:rsidRPr="0042639D">
              <w:rPr>
                <w:sz w:val="19"/>
                <w:szCs w:val="19"/>
                <w:lang w:val="fr-CA"/>
              </w:rPr>
              <w:t xml:space="preserve"> 51</w:t>
            </w:r>
            <w:r>
              <w:rPr>
                <w:sz w:val="19"/>
                <w:szCs w:val="19"/>
                <w:lang w:val="fr-CA"/>
              </w:rPr>
              <w:t>,</w:t>
            </w:r>
            <w:r w:rsidRPr="0042639D">
              <w:rPr>
                <w:sz w:val="19"/>
                <w:szCs w:val="19"/>
                <w:lang w:val="fr-CA"/>
              </w:rPr>
              <w:t xml:space="preserve">13 </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06E68936" w14:textId="77777777" w:rsidR="006345CD" w:rsidRPr="0042639D" w:rsidRDefault="006345CD" w:rsidP="006023A6">
            <w:pPr>
              <w:jc w:val="right"/>
              <w:rPr>
                <w:color w:val="000000"/>
                <w:sz w:val="19"/>
                <w:szCs w:val="19"/>
                <w:lang w:val="fr-CA"/>
              </w:rPr>
            </w:pPr>
            <w:r w:rsidRPr="0042639D">
              <w:rPr>
                <w:sz w:val="19"/>
                <w:szCs w:val="19"/>
                <w:lang w:val="fr-CA"/>
              </w:rPr>
              <w:t>8</w:t>
            </w:r>
            <w:r>
              <w:rPr>
                <w:sz w:val="19"/>
                <w:szCs w:val="19"/>
                <w:lang w:val="fr-CA"/>
              </w:rPr>
              <w:t> </w:t>
            </w:r>
            <w:r w:rsidRPr="0042639D">
              <w:rPr>
                <w:sz w:val="19"/>
                <w:szCs w:val="19"/>
                <w:lang w:val="fr-CA"/>
              </w:rPr>
              <w:t>037</w:t>
            </w:r>
            <w:r>
              <w:rPr>
                <w:sz w:val="19"/>
                <w:szCs w:val="19"/>
                <w:lang w:val="fr-CA"/>
              </w:rPr>
              <w:t> </w:t>
            </w:r>
            <w:r w:rsidRPr="0042639D">
              <w:rPr>
                <w:sz w:val="19"/>
                <w:szCs w:val="19"/>
                <w:lang w:val="fr-CA"/>
              </w:rPr>
              <w:t>635</w:t>
            </w:r>
          </w:p>
        </w:tc>
        <w:tc>
          <w:tcPr>
            <w:tcW w:w="1041" w:type="dxa"/>
            <w:tcBorders>
              <w:top w:val="nil"/>
              <w:left w:val="nil"/>
              <w:bottom w:val="single" w:sz="4" w:space="0" w:color="auto"/>
              <w:right w:val="single" w:sz="4" w:space="0" w:color="auto"/>
            </w:tcBorders>
            <w:hideMark/>
          </w:tcPr>
          <w:p w14:paraId="552A915E" w14:textId="77777777" w:rsidR="006345CD" w:rsidRPr="0042639D" w:rsidRDefault="006345CD" w:rsidP="006023A6">
            <w:pPr>
              <w:jc w:val="right"/>
              <w:rPr>
                <w:color w:val="000000"/>
                <w:sz w:val="19"/>
                <w:szCs w:val="19"/>
                <w:lang w:val="fr-CA"/>
              </w:rPr>
            </w:pPr>
            <w:r w:rsidRPr="0042639D">
              <w:rPr>
                <w:sz w:val="19"/>
                <w:szCs w:val="19"/>
                <w:lang w:val="fr-CA"/>
              </w:rPr>
              <w:t>8</w:t>
            </w:r>
            <w:r>
              <w:rPr>
                <w:sz w:val="19"/>
                <w:szCs w:val="19"/>
                <w:lang w:val="fr-CA"/>
              </w:rPr>
              <w:t>,</w:t>
            </w:r>
            <w:r w:rsidRPr="0042639D">
              <w:rPr>
                <w:sz w:val="19"/>
                <w:szCs w:val="19"/>
                <w:lang w:val="fr-CA"/>
              </w:rPr>
              <w:t>65</w:t>
            </w:r>
          </w:p>
        </w:tc>
      </w:tr>
      <w:tr w:rsidR="006345CD" w:rsidRPr="0042639D" w14:paraId="4E7BC762"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6D366FDB" w14:textId="77777777" w:rsidR="006345CD" w:rsidRPr="0042639D" w:rsidRDefault="006345CD" w:rsidP="006023A6">
            <w:pPr>
              <w:jc w:val="left"/>
              <w:rPr>
                <w:color w:val="000000"/>
                <w:sz w:val="19"/>
                <w:szCs w:val="19"/>
                <w:lang w:val="fr-CA"/>
              </w:rPr>
            </w:pPr>
            <w:r>
              <w:rPr>
                <w:color w:val="000000"/>
                <w:sz w:val="19"/>
                <w:szCs w:val="19"/>
                <w:lang w:val="fr-CA"/>
              </w:rPr>
              <w:t>P</w:t>
            </w:r>
            <w:r w:rsidRPr="0042639D">
              <w:rPr>
                <w:color w:val="000000"/>
                <w:sz w:val="19"/>
                <w:szCs w:val="19"/>
                <w:lang w:val="fr-CA"/>
              </w:rPr>
              <w:t>olyol</w:t>
            </w:r>
            <w:r>
              <w:rPr>
                <w:color w:val="000000"/>
                <w:sz w:val="19"/>
                <w:szCs w:val="19"/>
                <w:lang w:val="fr-CA"/>
              </w:rPr>
              <w:t xml:space="preserve"> prémélangé</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5C6E1F84" w14:textId="77777777" w:rsidR="006345CD" w:rsidRPr="0042639D" w:rsidRDefault="006345CD" w:rsidP="006023A6">
            <w:pPr>
              <w:jc w:val="right"/>
              <w:rPr>
                <w:color w:val="000000"/>
                <w:sz w:val="19"/>
                <w:szCs w:val="19"/>
                <w:lang w:val="fr-CA"/>
              </w:rPr>
            </w:pPr>
            <w:r w:rsidRPr="0042639D">
              <w:rPr>
                <w:sz w:val="19"/>
                <w:szCs w:val="19"/>
                <w:lang w:val="fr-CA"/>
              </w:rPr>
              <w:t xml:space="preserve"> 2</w:t>
            </w:r>
            <w:r>
              <w:rPr>
                <w:sz w:val="19"/>
                <w:szCs w:val="19"/>
                <w:lang w:val="fr-CA"/>
              </w:rPr>
              <w:t> </w:t>
            </w:r>
            <w:r w:rsidRPr="0042639D">
              <w:rPr>
                <w:sz w:val="19"/>
                <w:szCs w:val="19"/>
                <w:lang w:val="fr-CA"/>
              </w:rPr>
              <w:t>035</w:t>
            </w:r>
            <w:r>
              <w:rPr>
                <w:sz w:val="19"/>
                <w:szCs w:val="19"/>
                <w:lang w:val="fr-CA"/>
              </w:rPr>
              <w:t>,</w:t>
            </w:r>
            <w:r w:rsidRPr="0042639D">
              <w:rPr>
                <w:sz w:val="19"/>
                <w:szCs w:val="19"/>
                <w:lang w:val="fr-CA"/>
              </w:rPr>
              <w:t xml:space="preserve">00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07BBE7A5" w14:textId="77777777" w:rsidR="006345CD" w:rsidRPr="0042639D" w:rsidRDefault="006345CD" w:rsidP="006023A6">
            <w:pPr>
              <w:jc w:val="right"/>
              <w:rPr>
                <w:color w:val="000000"/>
                <w:sz w:val="19"/>
                <w:szCs w:val="19"/>
                <w:lang w:val="fr-CA"/>
              </w:rPr>
            </w:pPr>
            <w:r w:rsidRPr="0042639D">
              <w:rPr>
                <w:sz w:val="19"/>
                <w:szCs w:val="19"/>
                <w:lang w:val="fr-CA"/>
              </w:rPr>
              <w:t xml:space="preserve"> 223</w:t>
            </w:r>
            <w:r>
              <w:rPr>
                <w:sz w:val="19"/>
                <w:szCs w:val="19"/>
                <w:lang w:val="fr-CA"/>
              </w:rPr>
              <w:t>,</w:t>
            </w:r>
            <w:r w:rsidRPr="0042639D">
              <w:rPr>
                <w:sz w:val="19"/>
                <w:szCs w:val="19"/>
                <w:lang w:val="fr-CA"/>
              </w:rPr>
              <w:t xml:space="preserve">85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4EB24C81" w14:textId="77777777" w:rsidR="006345CD" w:rsidRPr="0042639D" w:rsidRDefault="006345CD" w:rsidP="006023A6">
            <w:pPr>
              <w:jc w:val="right"/>
              <w:rPr>
                <w:color w:val="000000"/>
                <w:sz w:val="19"/>
                <w:szCs w:val="19"/>
                <w:lang w:val="fr-CA"/>
              </w:rPr>
            </w:pPr>
            <w:r w:rsidRPr="0042639D">
              <w:rPr>
                <w:sz w:val="19"/>
                <w:szCs w:val="19"/>
                <w:lang w:val="fr-CA"/>
              </w:rPr>
              <w:t xml:space="preserve"> 684</w:t>
            </w:r>
            <w:r>
              <w:rPr>
                <w:sz w:val="19"/>
                <w:szCs w:val="19"/>
                <w:lang w:val="fr-CA"/>
              </w:rPr>
              <w:t>,</w:t>
            </w:r>
            <w:r w:rsidRPr="0042639D">
              <w:rPr>
                <w:sz w:val="19"/>
                <w:szCs w:val="19"/>
                <w:lang w:val="fr-CA"/>
              </w:rPr>
              <w:t xml:space="preserve">18 </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292DC71C" w14:textId="77777777" w:rsidR="006345CD" w:rsidRPr="0042639D" w:rsidRDefault="006345CD" w:rsidP="006023A6">
            <w:pPr>
              <w:jc w:val="right"/>
              <w:rPr>
                <w:color w:val="000000"/>
                <w:sz w:val="19"/>
                <w:szCs w:val="19"/>
                <w:lang w:val="fr-CA"/>
              </w:rPr>
            </w:pPr>
            <w:r w:rsidRPr="0042639D">
              <w:rPr>
                <w:sz w:val="19"/>
                <w:szCs w:val="19"/>
                <w:lang w:val="fr-CA"/>
              </w:rPr>
              <w:t xml:space="preserve"> 75</w:t>
            </w:r>
            <w:r>
              <w:rPr>
                <w:sz w:val="19"/>
                <w:szCs w:val="19"/>
                <w:lang w:val="fr-CA"/>
              </w:rPr>
              <w:t>,</w:t>
            </w:r>
            <w:r w:rsidRPr="0042639D">
              <w:rPr>
                <w:sz w:val="19"/>
                <w:szCs w:val="19"/>
                <w:lang w:val="fr-CA"/>
              </w:rPr>
              <w:t xml:space="preserve">26 </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5C3C3345" w14:textId="77777777" w:rsidR="006345CD" w:rsidRPr="0042639D" w:rsidRDefault="006345CD" w:rsidP="006023A6">
            <w:pPr>
              <w:jc w:val="right"/>
              <w:rPr>
                <w:color w:val="000000"/>
                <w:sz w:val="19"/>
                <w:szCs w:val="19"/>
                <w:lang w:val="fr-CA"/>
              </w:rPr>
            </w:pPr>
            <w:r w:rsidRPr="0042639D">
              <w:rPr>
                <w:sz w:val="19"/>
                <w:szCs w:val="19"/>
                <w:lang w:val="fr-CA"/>
              </w:rPr>
              <w:t>5</w:t>
            </w:r>
            <w:r>
              <w:rPr>
                <w:sz w:val="19"/>
                <w:szCs w:val="19"/>
                <w:lang w:val="fr-CA"/>
              </w:rPr>
              <w:t> </w:t>
            </w:r>
            <w:r w:rsidRPr="0042639D">
              <w:rPr>
                <w:sz w:val="19"/>
                <w:szCs w:val="19"/>
                <w:lang w:val="fr-CA"/>
              </w:rPr>
              <w:t>522</w:t>
            </w:r>
            <w:r>
              <w:rPr>
                <w:sz w:val="19"/>
                <w:szCs w:val="19"/>
                <w:lang w:val="fr-CA"/>
              </w:rPr>
              <w:t> </w:t>
            </w:r>
            <w:r w:rsidRPr="0042639D">
              <w:rPr>
                <w:sz w:val="19"/>
                <w:szCs w:val="19"/>
                <w:lang w:val="fr-CA"/>
              </w:rPr>
              <w:t>397</w:t>
            </w:r>
          </w:p>
        </w:tc>
        <w:tc>
          <w:tcPr>
            <w:tcW w:w="1041" w:type="dxa"/>
            <w:tcBorders>
              <w:top w:val="nil"/>
              <w:left w:val="nil"/>
              <w:bottom w:val="single" w:sz="4" w:space="0" w:color="auto"/>
              <w:right w:val="single" w:sz="4" w:space="0" w:color="auto"/>
            </w:tcBorders>
            <w:hideMark/>
          </w:tcPr>
          <w:p w14:paraId="0C87BD74" w14:textId="77777777" w:rsidR="006345CD" w:rsidRPr="0042639D" w:rsidRDefault="006345CD" w:rsidP="006023A6">
            <w:pPr>
              <w:jc w:val="right"/>
              <w:rPr>
                <w:color w:val="000000"/>
                <w:sz w:val="19"/>
                <w:szCs w:val="19"/>
                <w:lang w:val="fr-CA"/>
              </w:rPr>
            </w:pPr>
            <w:r w:rsidRPr="0042639D">
              <w:rPr>
                <w:sz w:val="19"/>
                <w:szCs w:val="19"/>
                <w:lang w:val="fr-CA"/>
              </w:rPr>
              <w:t>8</w:t>
            </w:r>
            <w:r>
              <w:rPr>
                <w:sz w:val="19"/>
                <w:szCs w:val="19"/>
                <w:lang w:val="fr-CA"/>
              </w:rPr>
              <w:t>,</w:t>
            </w:r>
            <w:r w:rsidRPr="0042639D">
              <w:rPr>
                <w:sz w:val="19"/>
                <w:szCs w:val="19"/>
                <w:lang w:val="fr-CA"/>
              </w:rPr>
              <w:t>07</w:t>
            </w:r>
          </w:p>
        </w:tc>
      </w:tr>
      <w:tr w:rsidR="006345CD" w:rsidRPr="0042639D" w14:paraId="3B28EBD7"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7D9CD5F0" w14:textId="77777777" w:rsidR="006345CD" w:rsidRPr="0042639D" w:rsidRDefault="006345CD" w:rsidP="006023A6">
            <w:pPr>
              <w:jc w:val="left"/>
              <w:rPr>
                <w:color w:val="000000"/>
                <w:sz w:val="19"/>
                <w:szCs w:val="19"/>
                <w:lang w:val="fr-CA"/>
              </w:rPr>
            </w:pPr>
            <w:r>
              <w:rPr>
                <w:color w:val="000000"/>
                <w:sz w:val="19"/>
                <w:szCs w:val="19"/>
                <w:lang w:val="fr-CA"/>
              </w:rPr>
              <w:t>AT et</w:t>
            </w:r>
            <w:r w:rsidRPr="0042639D">
              <w:rPr>
                <w:color w:val="000000"/>
                <w:sz w:val="19"/>
                <w:szCs w:val="19"/>
                <w:lang w:val="fr-CA"/>
              </w:rPr>
              <w:t xml:space="preserve"> </w:t>
            </w:r>
            <w:r>
              <w:rPr>
                <w:color w:val="000000"/>
                <w:sz w:val="19"/>
                <w:szCs w:val="19"/>
                <w:lang w:val="fr-CA"/>
              </w:rPr>
              <w:t>UMS</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04C84224" w14:textId="77777777" w:rsidR="006345CD" w:rsidRPr="0042639D" w:rsidRDefault="006345CD" w:rsidP="006023A6">
            <w:pPr>
              <w:rPr>
                <w:color w:val="000000"/>
                <w:sz w:val="19"/>
                <w:szCs w:val="19"/>
                <w:lang w:val="fr-CA"/>
              </w:rPr>
            </w:pP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119E0C90" w14:textId="77777777" w:rsidR="006345CD" w:rsidRPr="0042639D" w:rsidRDefault="006345CD" w:rsidP="006023A6">
            <w:pPr>
              <w:jc w:val="left"/>
              <w:rPr>
                <w:sz w:val="20"/>
                <w:szCs w:val="20"/>
                <w:lang w:val="fr-CA" w:eastAsia="fr-CA"/>
              </w:rPr>
            </w:pP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7754AD9A" w14:textId="77777777" w:rsidR="006345CD" w:rsidRPr="0042639D" w:rsidRDefault="006345CD" w:rsidP="006023A6">
            <w:pPr>
              <w:jc w:val="left"/>
              <w:rPr>
                <w:sz w:val="20"/>
                <w:szCs w:val="20"/>
                <w:lang w:val="fr-CA" w:eastAsia="fr-CA"/>
              </w:rPr>
            </w:pP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0694DD1E" w14:textId="77777777" w:rsidR="006345CD" w:rsidRPr="0042639D" w:rsidRDefault="006345CD" w:rsidP="006023A6">
            <w:pPr>
              <w:jc w:val="left"/>
              <w:rPr>
                <w:sz w:val="20"/>
                <w:szCs w:val="20"/>
                <w:lang w:val="fr-CA" w:eastAsia="fr-CA"/>
              </w:rPr>
            </w:pP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17F3783B" w14:textId="77777777" w:rsidR="006345CD" w:rsidRPr="0042639D" w:rsidRDefault="006345CD" w:rsidP="006023A6">
            <w:pPr>
              <w:jc w:val="right"/>
              <w:rPr>
                <w:color w:val="000000"/>
                <w:sz w:val="19"/>
                <w:szCs w:val="19"/>
                <w:lang w:val="fr-CA"/>
              </w:rPr>
            </w:pPr>
            <w:r w:rsidRPr="0042639D">
              <w:rPr>
                <w:sz w:val="19"/>
                <w:szCs w:val="19"/>
                <w:lang w:val="fr-CA"/>
              </w:rPr>
              <w:t>1</w:t>
            </w:r>
            <w:r>
              <w:rPr>
                <w:sz w:val="19"/>
                <w:szCs w:val="19"/>
                <w:lang w:val="fr-CA"/>
              </w:rPr>
              <w:t> </w:t>
            </w:r>
            <w:r w:rsidRPr="0042639D">
              <w:rPr>
                <w:sz w:val="19"/>
                <w:szCs w:val="19"/>
                <w:lang w:val="fr-CA"/>
              </w:rPr>
              <w:t>084</w:t>
            </w:r>
            <w:r>
              <w:rPr>
                <w:sz w:val="19"/>
                <w:szCs w:val="19"/>
                <w:lang w:val="fr-CA"/>
              </w:rPr>
              <w:t> </w:t>
            </w:r>
            <w:r w:rsidRPr="0042639D">
              <w:rPr>
                <w:sz w:val="19"/>
                <w:szCs w:val="19"/>
                <w:lang w:val="fr-CA"/>
              </w:rPr>
              <w:t>802</w:t>
            </w:r>
          </w:p>
        </w:tc>
        <w:tc>
          <w:tcPr>
            <w:tcW w:w="1041" w:type="dxa"/>
            <w:tcBorders>
              <w:top w:val="nil"/>
              <w:left w:val="nil"/>
              <w:bottom w:val="single" w:sz="4" w:space="0" w:color="auto"/>
              <w:right w:val="single" w:sz="4" w:space="0" w:color="auto"/>
            </w:tcBorders>
          </w:tcPr>
          <w:p w14:paraId="725828FA" w14:textId="77777777" w:rsidR="006345CD" w:rsidRPr="0042639D" w:rsidRDefault="006345CD" w:rsidP="006023A6">
            <w:pPr>
              <w:jc w:val="right"/>
              <w:rPr>
                <w:color w:val="000000"/>
                <w:sz w:val="19"/>
                <w:szCs w:val="19"/>
                <w:lang w:val="fr-CA"/>
              </w:rPr>
            </w:pPr>
          </w:p>
        </w:tc>
      </w:tr>
      <w:tr w:rsidR="006345CD" w:rsidRPr="0042639D" w14:paraId="0B4017E1" w14:textId="77777777" w:rsidTr="006023A6">
        <w:tc>
          <w:tcPr>
            <w:tcW w:w="3089" w:type="dxa"/>
            <w:tcBorders>
              <w:top w:val="nil"/>
              <w:left w:val="single" w:sz="4" w:space="0" w:color="auto"/>
              <w:bottom w:val="single" w:sz="4" w:space="0" w:color="auto"/>
              <w:right w:val="single" w:sz="4" w:space="0" w:color="auto"/>
            </w:tcBorders>
            <w:noWrap/>
            <w:vAlign w:val="bottom"/>
            <w:hideMark/>
          </w:tcPr>
          <w:p w14:paraId="2BEC7C09" w14:textId="77777777" w:rsidR="006345CD" w:rsidRPr="0042639D" w:rsidRDefault="006345CD" w:rsidP="006023A6">
            <w:pPr>
              <w:jc w:val="left"/>
              <w:rPr>
                <w:b/>
                <w:color w:val="000000"/>
                <w:sz w:val="19"/>
                <w:szCs w:val="19"/>
                <w:lang w:val="fr-CA"/>
              </w:rPr>
            </w:pPr>
            <w:r w:rsidRPr="0042639D">
              <w:rPr>
                <w:b/>
                <w:color w:val="000000"/>
                <w:sz w:val="19"/>
                <w:szCs w:val="19"/>
                <w:lang w:val="fr-CA"/>
              </w:rPr>
              <w:t>Total</w:t>
            </w:r>
          </w:p>
        </w:tc>
        <w:tc>
          <w:tcPr>
            <w:tcW w:w="874" w:type="dxa"/>
            <w:tcBorders>
              <w:top w:val="nil"/>
              <w:left w:val="nil"/>
              <w:bottom w:val="single" w:sz="4" w:space="0" w:color="auto"/>
              <w:right w:val="single" w:sz="4" w:space="0" w:color="auto"/>
            </w:tcBorders>
            <w:noWrap/>
            <w:tcMar>
              <w:top w:w="0" w:type="dxa"/>
              <w:left w:w="0" w:type="dxa"/>
              <w:bottom w:w="0" w:type="dxa"/>
              <w:right w:w="115" w:type="dxa"/>
            </w:tcMar>
            <w:hideMark/>
          </w:tcPr>
          <w:p w14:paraId="2A5F3273" w14:textId="77777777" w:rsidR="006345CD" w:rsidRPr="0042639D" w:rsidRDefault="006345CD" w:rsidP="006023A6">
            <w:pPr>
              <w:jc w:val="right"/>
              <w:rPr>
                <w:b/>
                <w:color w:val="000000"/>
                <w:sz w:val="19"/>
                <w:szCs w:val="19"/>
                <w:lang w:val="fr-CA"/>
              </w:rPr>
            </w:pPr>
            <w:r w:rsidRPr="0042639D">
              <w:rPr>
                <w:b/>
                <w:sz w:val="19"/>
                <w:szCs w:val="19"/>
                <w:lang w:val="fr-CA"/>
              </w:rPr>
              <w:t>3</w:t>
            </w:r>
            <w:r>
              <w:rPr>
                <w:b/>
                <w:sz w:val="19"/>
                <w:szCs w:val="19"/>
                <w:lang w:val="fr-CA"/>
              </w:rPr>
              <w:t> </w:t>
            </w:r>
            <w:r w:rsidRPr="0042639D">
              <w:rPr>
                <w:b/>
                <w:sz w:val="19"/>
                <w:szCs w:val="19"/>
                <w:lang w:val="fr-CA"/>
              </w:rPr>
              <w:t>040</w:t>
            </w:r>
            <w:r>
              <w:rPr>
                <w:b/>
                <w:sz w:val="19"/>
                <w:szCs w:val="19"/>
                <w:lang w:val="fr-CA"/>
              </w:rPr>
              <w:t>,</w:t>
            </w:r>
            <w:r w:rsidRPr="0042639D">
              <w:rPr>
                <w:b/>
                <w:sz w:val="19"/>
                <w:szCs w:val="19"/>
                <w:lang w:val="fr-CA"/>
              </w:rPr>
              <w:t>63</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211F1CB4" w14:textId="77777777" w:rsidR="006345CD" w:rsidRPr="0042639D" w:rsidRDefault="006345CD" w:rsidP="006023A6">
            <w:pPr>
              <w:jc w:val="right"/>
              <w:rPr>
                <w:b/>
                <w:color w:val="000000"/>
                <w:sz w:val="19"/>
                <w:szCs w:val="19"/>
                <w:lang w:val="fr-CA"/>
              </w:rPr>
            </w:pPr>
            <w:r w:rsidRPr="0042639D">
              <w:rPr>
                <w:b/>
                <w:sz w:val="19"/>
                <w:szCs w:val="19"/>
                <w:lang w:val="fr-CA"/>
              </w:rPr>
              <w:t>279</w:t>
            </w:r>
            <w:r>
              <w:rPr>
                <w:b/>
                <w:sz w:val="19"/>
                <w:szCs w:val="19"/>
                <w:lang w:val="fr-CA"/>
              </w:rPr>
              <w:t>,</w:t>
            </w:r>
            <w:r w:rsidRPr="0042639D">
              <w:rPr>
                <w:b/>
                <w:sz w:val="19"/>
                <w:szCs w:val="19"/>
                <w:lang w:val="fr-CA"/>
              </w:rPr>
              <w:t>16</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419CDE56" w14:textId="77777777" w:rsidR="006345CD" w:rsidRPr="0042639D" w:rsidRDefault="006345CD" w:rsidP="006023A6">
            <w:pPr>
              <w:jc w:val="right"/>
              <w:rPr>
                <w:b/>
                <w:color w:val="000000"/>
                <w:sz w:val="19"/>
                <w:szCs w:val="19"/>
                <w:lang w:val="fr-CA"/>
              </w:rPr>
            </w:pPr>
            <w:r w:rsidRPr="0042639D">
              <w:rPr>
                <w:b/>
                <w:sz w:val="19"/>
                <w:szCs w:val="19"/>
                <w:lang w:val="fr-CA"/>
              </w:rPr>
              <w:t>1</w:t>
            </w:r>
            <w:r>
              <w:rPr>
                <w:b/>
                <w:sz w:val="19"/>
                <w:szCs w:val="19"/>
                <w:lang w:val="fr-CA"/>
              </w:rPr>
              <w:t> </w:t>
            </w:r>
            <w:r w:rsidRPr="0042639D">
              <w:rPr>
                <w:b/>
                <w:sz w:val="19"/>
                <w:szCs w:val="19"/>
                <w:lang w:val="fr-CA"/>
              </w:rPr>
              <w:t>613</w:t>
            </w:r>
            <w:r>
              <w:rPr>
                <w:b/>
                <w:sz w:val="19"/>
                <w:szCs w:val="19"/>
                <w:lang w:val="fr-CA"/>
              </w:rPr>
              <w:t>,</w:t>
            </w:r>
            <w:r w:rsidRPr="0042639D">
              <w:rPr>
                <w:b/>
                <w:sz w:val="19"/>
                <w:szCs w:val="19"/>
                <w:lang w:val="fr-CA"/>
              </w:rPr>
              <w:t>81</w:t>
            </w:r>
          </w:p>
        </w:tc>
        <w:tc>
          <w:tcPr>
            <w:tcW w:w="1040" w:type="dxa"/>
            <w:tcBorders>
              <w:top w:val="nil"/>
              <w:left w:val="nil"/>
              <w:bottom w:val="single" w:sz="4" w:space="0" w:color="auto"/>
              <w:right w:val="single" w:sz="4" w:space="0" w:color="auto"/>
            </w:tcBorders>
            <w:noWrap/>
            <w:tcMar>
              <w:top w:w="0" w:type="dxa"/>
              <w:left w:w="0" w:type="dxa"/>
              <w:bottom w:w="0" w:type="dxa"/>
              <w:right w:w="115" w:type="dxa"/>
            </w:tcMar>
            <w:hideMark/>
          </w:tcPr>
          <w:p w14:paraId="3A0A64E1" w14:textId="77777777" w:rsidR="006345CD" w:rsidRPr="0042639D" w:rsidRDefault="006345CD" w:rsidP="006023A6">
            <w:pPr>
              <w:jc w:val="right"/>
              <w:rPr>
                <w:b/>
                <w:color w:val="000000"/>
                <w:sz w:val="19"/>
                <w:szCs w:val="19"/>
                <w:lang w:val="fr-CA"/>
              </w:rPr>
            </w:pPr>
            <w:r w:rsidRPr="0042639D">
              <w:rPr>
                <w:b/>
                <w:sz w:val="19"/>
                <w:szCs w:val="19"/>
                <w:lang w:val="fr-CA"/>
              </w:rPr>
              <w:t>126</w:t>
            </w:r>
            <w:r>
              <w:rPr>
                <w:b/>
                <w:sz w:val="19"/>
                <w:szCs w:val="19"/>
                <w:lang w:val="fr-CA"/>
              </w:rPr>
              <w:t>,</w:t>
            </w:r>
            <w:r w:rsidRPr="0042639D">
              <w:rPr>
                <w:b/>
                <w:sz w:val="19"/>
                <w:szCs w:val="19"/>
                <w:lang w:val="fr-CA"/>
              </w:rPr>
              <w:t>39</w:t>
            </w:r>
            <w:r w:rsidRPr="0042639D">
              <w:rPr>
                <w:b/>
                <w:sz w:val="19"/>
                <w:szCs w:val="19"/>
                <w:vertAlign w:val="superscript"/>
                <w:lang w:val="fr-CA"/>
              </w:rPr>
              <w:t>**</w:t>
            </w:r>
          </w:p>
        </w:tc>
        <w:tc>
          <w:tcPr>
            <w:tcW w:w="1227" w:type="dxa"/>
            <w:tcBorders>
              <w:top w:val="nil"/>
              <w:left w:val="nil"/>
              <w:bottom w:val="single" w:sz="4" w:space="0" w:color="auto"/>
              <w:right w:val="single" w:sz="4" w:space="0" w:color="auto"/>
            </w:tcBorders>
            <w:noWrap/>
            <w:tcMar>
              <w:top w:w="0" w:type="dxa"/>
              <w:left w:w="0" w:type="dxa"/>
              <w:bottom w:w="0" w:type="dxa"/>
              <w:right w:w="115" w:type="dxa"/>
            </w:tcMar>
            <w:hideMark/>
          </w:tcPr>
          <w:p w14:paraId="3BCCEB33" w14:textId="77777777" w:rsidR="006345CD" w:rsidRPr="0042639D" w:rsidRDefault="006345CD" w:rsidP="006023A6">
            <w:pPr>
              <w:jc w:val="right"/>
              <w:rPr>
                <w:b/>
                <w:color w:val="000000"/>
                <w:sz w:val="19"/>
                <w:szCs w:val="19"/>
                <w:lang w:val="fr-CA"/>
              </w:rPr>
            </w:pPr>
            <w:r w:rsidRPr="0042639D">
              <w:rPr>
                <w:b/>
                <w:sz w:val="19"/>
                <w:szCs w:val="19"/>
                <w:lang w:val="fr-CA"/>
              </w:rPr>
              <w:t>14</w:t>
            </w:r>
            <w:r>
              <w:rPr>
                <w:b/>
                <w:sz w:val="19"/>
                <w:szCs w:val="19"/>
                <w:lang w:val="fr-CA"/>
              </w:rPr>
              <w:t> </w:t>
            </w:r>
            <w:r w:rsidRPr="0042639D">
              <w:rPr>
                <w:b/>
                <w:sz w:val="19"/>
                <w:szCs w:val="19"/>
                <w:lang w:val="fr-CA"/>
              </w:rPr>
              <w:t>644</w:t>
            </w:r>
            <w:r>
              <w:rPr>
                <w:b/>
                <w:sz w:val="19"/>
                <w:szCs w:val="19"/>
                <w:lang w:val="fr-CA"/>
              </w:rPr>
              <w:t> </w:t>
            </w:r>
            <w:r w:rsidRPr="0042639D">
              <w:rPr>
                <w:b/>
                <w:sz w:val="19"/>
                <w:szCs w:val="19"/>
                <w:lang w:val="fr-CA"/>
              </w:rPr>
              <w:t>834</w:t>
            </w:r>
          </w:p>
        </w:tc>
        <w:tc>
          <w:tcPr>
            <w:tcW w:w="1041" w:type="dxa"/>
            <w:tcBorders>
              <w:top w:val="nil"/>
              <w:left w:val="nil"/>
              <w:bottom w:val="single" w:sz="4" w:space="0" w:color="auto"/>
              <w:right w:val="single" w:sz="4" w:space="0" w:color="auto"/>
            </w:tcBorders>
            <w:hideMark/>
          </w:tcPr>
          <w:p w14:paraId="3F67C6BD" w14:textId="77777777" w:rsidR="006345CD" w:rsidRPr="0042639D" w:rsidRDefault="006345CD" w:rsidP="006023A6">
            <w:pPr>
              <w:jc w:val="right"/>
              <w:rPr>
                <w:b/>
                <w:color w:val="000000"/>
                <w:sz w:val="19"/>
                <w:szCs w:val="19"/>
                <w:lang w:val="fr-CA"/>
              </w:rPr>
            </w:pPr>
            <w:r w:rsidRPr="0042639D">
              <w:rPr>
                <w:b/>
                <w:sz w:val="19"/>
                <w:szCs w:val="19"/>
                <w:lang w:val="fr-CA"/>
              </w:rPr>
              <w:t xml:space="preserve"> 9</w:t>
            </w:r>
            <w:r>
              <w:rPr>
                <w:b/>
                <w:sz w:val="19"/>
                <w:szCs w:val="19"/>
                <w:lang w:val="fr-CA"/>
              </w:rPr>
              <w:t>,</w:t>
            </w:r>
            <w:r w:rsidRPr="0042639D">
              <w:rPr>
                <w:b/>
                <w:sz w:val="19"/>
                <w:szCs w:val="19"/>
                <w:lang w:val="fr-CA"/>
              </w:rPr>
              <w:t xml:space="preserve">07 </w:t>
            </w:r>
          </w:p>
        </w:tc>
      </w:tr>
    </w:tbl>
    <w:p w14:paraId="34E0D6B3" w14:textId="77777777" w:rsidR="006345CD" w:rsidRPr="0042639D" w:rsidRDefault="006345CD" w:rsidP="006345CD">
      <w:pPr>
        <w:rPr>
          <w:sz w:val="16"/>
          <w:szCs w:val="16"/>
          <w:lang w:val="fr-CA"/>
        </w:rPr>
      </w:pPr>
      <w:r w:rsidRPr="0042639D">
        <w:rPr>
          <w:sz w:val="16"/>
          <w:szCs w:val="16"/>
          <w:lang w:val="fr-CA"/>
        </w:rPr>
        <w:t xml:space="preserve">* </w:t>
      </w:r>
      <w:r>
        <w:rPr>
          <w:sz w:val="16"/>
          <w:szCs w:val="16"/>
          <w:lang w:val="fr-CA"/>
        </w:rPr>
        <w:t>Basé sur l’élimination admissible</w:t>
      </w:r>
      <w:r w:rsidRPr="0042639D">
        <w:rPr>
          <w:sz w:val="16"/>
          <w:szCs w:val="16"/>
          <w:lang w:val="fr-CA"/>
        </w:rPr>
        <w:t xml:space="preserve">. </w:t>
      </w:r>
      <w:r>
        <w:rPr>
          <w:sz w:val="16"/>
          <w:szCs w:val="16"/>
          <w:lang w:val="fr-CA"/>
        </w:rPr>
        <w:t xml:space="preserve">Le rapport coût/efficacité général, incluant l’élimination non admissible, est de </w:t>
      </w:r>
      <w:r w:rsidRPr="0042639D">
        <w:rPr>
          <w:sz w:val="16"/>
          <w:szCs w:val="16"/>
          <w:lang w:val="fr-CA"/>
        </w:rPr>
        <w:t>4</w:t>
      </w:r>
      <w:r>
        <w:rPr>
          <w:sz w:val="16"/>
          <w:szCs w:val="16"/>
          <w:lang w:val="fr-CA"/>
        </w:rPr>
        <w:t>,</w:t>
      </w:r>
      <w:r w:rsidRPr="0042639D">
        <w:rPr>
          <w:sz w:val="16"/>
          <w:szCs w:val="16"/>
          <w:lang w:val="fr-CA"/>
        </w:rPr>
        <w:t>82</w:t>
      </w:r>
      <w:r>
        <w:rPr>
          <w:sz w:val="16"/>
          <w:szCs w:val="16"/>
          <w:lang w:val="fr-CA"/>
        </w:rPr>
        <w:t> $US</w:t>
      </w:r>
      <w:r w:rsidRPr="0042639D">
        <w:rPr>
          <w:sz w:val="16"/>
          <w:szCs w:val="16"/>
          <w:lang w:val="fr-CA"/>
        </w:rPr>
        <w:t>/kg.</w:t>
      </w:r>
    </w:p>
    <w:p w14:paraId="30996134" w14:textId="77777777" w:rsidR="006345CD" w:rsidRPr="0042639D" w:rsidRDefault="006345CD" w:rsidP="006345CD">
      <w:pPr>
        <w:rPr>
          <w:sz w:val="16"/>
          <w:szCs w:val="16"/>
          <w:lang w:val="fr-CA"/>
        </w:rPr>
      </w:pPr>
      <w:r w:rsidRPr="0042639D">
        <w:rPr>
          <w:sz w:val="16"/>
          <w:szCs w:val="16"/>
          <w:lang w:val="fr-CA"/>
        </w:rPr>
        <w:t xml:space="preserve">** </w:t>
      </w:r>
      <w:r>
        <w:rPr>
          <w:sz w:val="16"/>
          <w:szCs w:val="16"/>
          <w:lang w:val="fr-CA"/>
        </w:rPr>
        <w:t>La p</w:t>
      </w:r>
      <w:r w:rsidRPr="0042639D">
        <w:rPr>
          <w:sz w:val="16"/>
          <w:szCs w:val="16"/>
          <w:lang w:val="fr-CA"/>
        </w:rPr>
        <w:t xml:space="preserve">hase II </w:t>
      </w:r>
      <w:r>
        <w:rPr>
          <w:sz w:val="16"/>
          <w:szCs w:val="16"/>
          <w:lang w:val="fr-CA"/>
        </w:rPr>
        <w:t>du</w:t>
      </w:r>
      <w:r w:rsidRPr="0042639D">
        <w:rPr>
          <w:sz w:val="16"/>
          <w:szCs w:val="16"/>
          <w:lang w:val="fr-CA"/>
        </w:rPr>
        <w:t xml:space="preserve"> PGEH </w:t>
      </w:r>
      <w:r>
        <w:rPr>
          <w:sz w:val="16"/>
          <w:szCs w:val="16"/>
          <w:lang w:val="fr-CA"/>
        </w:rPr>
        <w:t xml:space="preserve">a éliminé </w:t>
      </w:r>
      <w:r w:rsidRPr="0042639D">
        <w:rPr>
          <w:sz w:val="16"/>
          <w:szCs w:val="16"/>
          <w:lang w:val="fr-CA"/>
        </w:rPr>
        <w:t>130</w:t>
      </w:r>
      <w:r>
        <w:rPr>
          <w:sz w:val="16"/>
          <w:szCs w:val="16"/>
          <w:lang w:val="fr-CA"/>
        </w:rPr>
        <w:t>,</w:t>
      </w:r>
      <w:r w:rsidRPr="0042639D">
        <w:rPr>
          <w:sz w:val="16"/>
          <w:szCs w:val="16"/>
          <w:lang w:val="fr-CA"/>
        </w:rPr>
        <w:t xml:space="preserve">6 tonnes </w:t>
      </w:r>
      <w:r>
        <w:rPr>
          <w:sz w:val="16"/>
          <w:szCs w:val="16"/>
          <w:lang w:val="fr-CA"/>
        </w:rPr>
        <w:t>PAO de</w:t>
      </w:r>
      <w:r w:rsidRPr="0042639D">
        <w:rPr>
          <w:sz w:val="16"/>
          <w:szCs w:val="16"/>
          <w:lang w:val="fr-CA"/>
        </w:rPr>
        <w:t xml:space="preserve"> HCFC</w:t>
      </w:r>
      <w:r>
        <w:rPr>
          <w:sz w:val="16"/>
          <w:szCs w:val="16"/>
          <w:lang w:val="fr-CA"/>
        </w:rPr>
        <w:t xml:space="preserve"> de la consommation restante du pays</w:t>
      </w:r>
      <w:r w:rsidRPr="0042639D">
        <w:rPr>
          <w:sz w:val="16"/>
          <w:szCs w:val="16"/>
          <w:lang w:val="fr-CA"/>
        </w:rPr>
        <w:t xml:space="preserve"> </w:t>
      </w:r>
      <w:r>
        <w:rPr>
          <w:sz w:val="16"/>
          <w:szCs w:val="16"/>
          <w:lang w:val="fr-CA"/>
        </w:rPr>
        <w:t xml:space="preserve">admissible aux fins de conformité, sur la base des </w:t>
      </w:r>
      <w:r w:rsidRPr="0042639D">
        <w:rPr>
          <w:sz w:val="16"/>
          <w:szCs w:val="16"/>
          <w:lang w:val="fr-CA"/>
        </w:rPr>
        <w:t>126</w:t>
      </w:r>
      <w:r>
        <w:rPr>
          <w:sz w:val="16"/>
          <w:szCs w:val="16"/>
          <w:lang w:val="fr-CA"/>
        </w:rPr>
        <w:t>,</w:t>
      </w:r>
      <w:r w:rsidRPr="0042639D">
        <w:rPr>
          <w:sz w:val="16"/>
          <w:szCs w:val="16"/>
          <w:lang w:val="fr-CA"/>
        </w:rPr>
        <w:t xml:space="preserve">39 tonnes </w:t>
      </w:r>
      <w:r>
        <w:rPr>
          <w:sz w:val="16"/>
          <w:szCs w:val="16"/>
          <w:lang w:val="fr-CA"/>
        </w:rPr>
        <w:t xml:space="preserve">PAO de consommation admissible éliminée plus </w:t>
      </w:r>
      <w:r w:rsidRPr="0042639D">
        <w:rPr>
          <w:sz w:val="16"/>
          <w:szCs w:val="16"/>
          <w:lang w:val="fr-CA"/>
        </w:rPr>
        <w:t>4</w:t>
      </w:r>
      <w:r>
        <w:rPr>
          <w:sz w:val="16"/>
          <w:szCs w:val="16"/>
          <w:lang w:val="fr-CA"/>
        </w:rPr>
        <w:t>,</w:t>
      </w:r>
      <w:r w:rsidRPr="0042639D">
        <w:rPr>
          <w:sz w:val="16"/>
          <w:szCs w:val="16"/>
          <w:lang w:val="fr-CA"/>
        </w:rPr>
        <w:t xml:space="preserve">18 tonnes </w:t>
      </w:r>
      <w:r>
        <w:rPr>
          <w:sz w:val="16"/>
          <w:szCs w:val="16"/>
          <w:lang w:val="fr-CA"/>
        </w:rPr>
        <w:t xml:space="preserve">PAO de </w:t>
      </w:r>
      <w:r w:rsidRPr="0042639D">
        <w:rPr>
          <w:sz w:val="16"/>
          <w:szCs w:val="16"/>
          <w:lang w:val="fr-CA"/>
        </w:rPr>
        <w:t xml:space="preserve">HCFC-22 </w:t>
      </w:r>
      <w:r>
        <w:rPr>
          <w:sz w:val="16"/>
          <w:szCs w:val="16"/>
          <w:lang w:val="fr-CA"/>
        </w:rPr>
        <w:t>éliminées sans l’</w:t>
      </w:r>
      <w:r w:rsidRPr="0042639D">
        <w:rPr>
          <w:sz w:val="16"/>
          <w:szCs w:val="16"/>
          <w:lang w:val="fr-CA"/>
        </w:rPr>
        <w:t xml:space="preserve">assistance </w:t>
      </w:r>
      <w:r>
        <w:rPr>
          <w:sz w:val="16"/>
          <w:szCs w:val="16"/>
          <w:lang w:val="fr-CA"/>
        </w:rPr>
        <w:t>Fonds</w:t>
      </w:r>
      <w:r w:rsidRPr="0042639D">
        <w:rPr>
          <w:sz w:val="16"/>
          <w:szCs w:val="16"/>
          <w:lang w:val="fr-CA"/>
        </w:rPr>
        <w:t xml:space="preserve"> </w:t>
      </w:r>
      <w:r>
        <w:rPr>
          <w:sz w:val="16"/>
          <w:szCs w:val="16"/>
          <w:lang w:val="fr-CA"/>
        </w:rPr>
        <w:t>m</w:t>
      </w:r>
      <w:r w:rsidRPr="0042639D">
        <w:rPr>
          <w:sz w:val="16"/>
          <w:szCs w:val="16"/>
          <w:lang w:val="fr-CA"/>
        </w:rPr>
        <w:t>ultilatéral</w:t>
      </w:r>
      <w:r>
        <w:rPr>
          <w:sz w:val="16"/>
          <w:szCs w:val="16"/>
          <w:lang w:val="fr-CA"/>
        </w:rPr>
        <w:t>.</w:t>
      </w:r>
    </w:p>
    <w:p w14:paraId="0732C902" w14:textId="77777777" w:rsidR="006345CD" w:rsidRPr="0042639D" w:rsidRDefault="006345CD" w:rsidP="006345CD">
      <w:pPr>
        <w:rPr>
          <w:lang w:val="fr-CA"/>
        </w:rPr>
      </w:pPr>
    </w:p>
    <w:p w14:paraId="4255FF48" w14:textId="77777777" w:rsidR="006345CD" w:rsidRPr="0042639D" w:rsidRDefault="006345CD" w:rsidP="006345CD">
      <w:pPr>
        <w:pStyle w:val="Heading1"/>
        <w:numPr>
          <w:ilvl w:val="0"/>
          <w:numId w:val="30"/>
        </w:numPr>
        <w:rPr>
          <w:lang w:val="fr-CA"/>
        </w:rPr>
      </w:pPr>
      <w:r>
        <w:rPr>
          <w:lang w:val="fr-CA"/>
        </w:rPr>
        <w:t xml:space="preserve">À la suite de la </w:t>
      </w:r>
      <w:r w:rsidRPr="0042639D">
        <w:rPr>
          <w:lang w:val="fr-CA"/>
        </w:rPr>
        <w:t>76</w:t>
      </w:r>
      <w:r>
        <w:rPr>
          <w:vertAlign w:val="superscript"/>
          <w:lang w:val="fr-CA"/>
        </w:rPr>
        <w:t>e</w:t>
      </w:r>
      <w:r w:rsidRPr="0042639D">
        <w:rPr>
          <w:lang w:val="fr-CA"/>
        </w:rPr>
        <w:t xml:space="preserve"> réunion, </w:t>
      </w:r>
      <w:r>
        <w:rPr>
          <w:lang w:val="fr-CA"/>
        </w:rPr>
        <w:t xml:space="preserve">le </w:t>
      </w:r>
      <w:r w:rsidRPr="0042639D">
        <w:rPr>
          <w:lang w:val="fr-CA"/>
        </w:rPr>
        <w:t xml:space="preserve">Comité exécutif </w:t>
      </w:r>
      <w:r>
        <w:rPr>
          <w:lang w:val="fr-CA"/>
        </w:rPr>
        <w:t>est convenu d’apporter les changements ci-après</w:t>
      </w:r>
      <w:r w:rsidRPr="0042639D">
        <w:rPr>
          <w:lang w:val="fr-CA"/>
        </w:rPr>
        <w:t>:</w:t>
      </w:r>
    </w:p>
    <w:p w14:paraId="782F57C7" w14:textId="77777777" w:rsidR="006345CD" w:rsidRPr="0042639D" w:rsidRDefault="006345CD" w:rsidP="006345CD">
      <w:pPr>
        <w:pStyle w:val="Heading2"/>
        <w:numPr>
          <w:ilvl w:val="1"/>
          <w:numId w:val="30"/>
        </w:numPr>
        <w:rPr>
          <w:kern w:val="36"/>
          <w:lang w:val="fr-CA"/>
        </w:rPr>
      </w:pPr>
      <w:r>
        <w:rPr>
          <w:lang w:val="fr-CA"/>
        </w:rPr>
        <w:t>La p</w:t>
      </w:r>
      <w:r w:rsidRPr="0042639D">
        <w:rPr>
          <w:lang w:val="fr-CA"/>
        </w:rPr>
        <w:t xml:space="preserve">hase II </w:t>
      </w:r>
      <w:r>
        <w:rPr>
          <w:lang w:val="fr-CA"/>
        </w:rPr>
        <w:t>comprenait la re</w:t>
      </w:r>
      <w:r w:rsidRPr="0042639D">
        <w:rPr>
          <w:lang w:val="fr-CA"/>
        </w:rPr>
        <w:t xml:space="preserve">conversion </w:t>
      </w:r>
      <w:r>
        <w:rPr>
          <w:lang w:val="fr-CA"/>
        </w:rPr>
        <w:t xml:space="preserve">de quatre entreprises de fabrication de climatiseurs </w:t>
      </w:r>
      <w:r w:rsidRPr="0042639D">
        <w:rPr>
          <w:lang w:val="fr-CA"/>
        </w:rPr>
        <w:t>(AC). T</w:t>
      </w:r>
      <w:r>
        <w:rPr>
          <w:lang w:val="fr-CA"/>
        </w:rPr>
        <w:t>rois de ces entreprise</w:t>
      </w:r>
      <w:r w:rsidRPr="0042639D">
        <w:rPr>
          <w:lang w:val="fr-CA"/>
        </w:rPr>
        <w:t>s (</w:t>
      </w:r>
      <w:proofErr w:type="spellStart"/>
      <w:r w:rsidRPr="0042639D">
        <w:rPr>
          <w:lang w:val="fr-CA"/>
        </w:rPr>
        <w:t>Hoa</w:t>
      </w:r>
      <w:proofErr w:type="spellEnd"/>
      <w:r w:rsidRPr="0042639D">
        <w:rPr>
          <w:lang w:val="fr-CA"/>
        </w:rPr>
        <w:t xml:space="preserve"> </w:t>
      </w:r>
      <w:proofErr w:type="spellStart"/>
      <w:r w:rsidRPr="0042639D">
        <w:rPr>
          <w:lang w:val="fr-CA"/>
        </w:rPr>
        <w:t>Phat</w:t>
      </w:r>
      <w:proofErr w:type="spellEnd"/>
      <w:r w:rsidRPr="0042639D">
        <w:rPr>
          <w:lang w:val="fr-CA"/>
        </w:rPr>
        <w:t xml:space="preserve">, </w:t>
      </w:r>
      <w:proofErr w:type="spellStart"/>
      <w:r w:rsidRPr="0042639D">
        <w:rPr>
          <w:lang w:val="fr-CA"/>
        </w:rPr>
        <w:t>Nagakawa</w:t>
      </w:r>
      <w:proofErr w:type="spellEnd"/>
      <w:r w:rsidRPr="0042639D">
        <w:rPr>
          <w:lang w:val="fr-CA"/>
        </w:rPr>
        <w:t xml:space="preserve"> </w:t>
      </w:r>
      <w:r>
        <w:rPr>
          <w:lang w:val="fr-CA"/>
        </w:rPr>
        <w:t>et</w:t>
      </w:r>
      <w:r w:rsidRPr="0042639D">
        <w:rPr>
          <w:lang w:val="fr-CA"/>
        </w:rPr>
        <w:t xml:space="preserve"> </w:t>
      </w:r>
      <w:proofErr w:type="spellStart"/>
      <w:r w:rsidRPr="0042639D">
        <w:rPr>
          <w:lang w:val="fr-CA"/>
        </w:rPr>
        <w:t>Reetech</w:t>
      </w:r>
      <w:proofErr w:type="spellEnd"/>
      <w:r w:rsidRPr="0042639D">
        <w:rPr>
          <w:lang w:val="fr-CA"/>
        </w:rPr>
        <w:t xml:space="preserve"> (REE)) </w:t>
      </w:r>
      <w:r>
        <w:rPr>
          <w:lang w:val="fr-CA"/>
        </w:rPr>
        <w:t xml:space="preserve">ont décidé de se reconverti au </w:t>
      </w:r>
      <w:r w:rsidRPr="0042639D">
        <w:rPr>
          <w:lang w:val="fr-CA"/>
        </w:rPr>
        <w:t>HFC</w:t>
      </w:r>
      <w:r w:rsidRPr="0042639D">
        <w:rPr>
          <w:lang w:val="fr-CA"/>
        </w:rPr>
        <w:noBreakHyphen/>
        <w:t xml:space="preserve">32, </w:t>
      </w:r>
      <w:r>
        <w:rPr>
          <w:lang w:val="fr-CA"/>
        </w:rPr>
        <w:t>tandis que la quatrième</w:t>
      </w:r>
      <w:r w:rsidRPr="0042639D">
        <w:rPr>
          <w:lang w:val="fr-CA"/>
        </w:rPr>
        <w:t xml:space="preserve">, </w:t>
      </w:r>
      <w:proofErr w:type="spellStart"/>
      <w:r w:rsidRPr="0042639D">
        <w:rPr>
          <w:color w:val="000000"/>
          <w:lang w:val="fr-CA" w:eastAsia="en-CA"/>
        </w:rPr>
        <w:t>Midea</w:t>
      </w:r>
      <w:proofErr w:type="spellEnd"/>
      <w:r w:rsidRPr="0042639D">
        <w:rPr>
          <w:color w:val="000000"/>
          <w:lang w:val="fr-CA" w:eastAsia="en-CA"/>
        </w:rPr>
        <w:t xml:space="preserve"> Consumer Electric (Viet Nam) Co. Ltd. (</w:t>
      </w:r>
      <w:proofErr w:type="spellStart"/>
      <w:r w:rsidRPr="0042639D">
        <w:rPr>
          <w:color w:val="000000"/>
          <w:lang w:val="fr-CA" w:eastAsia="en-CA"/>
        </w:rPr>
        <w:t>Midea</w:t>
      </w:r>
      <w:proofErr w:type="spellEnd"/>
      <w:r w:rsidRPr="0042639D">
        <w:rPr>
          <w:color w:val="000000"/>
          <w:lang w:val="fr-CA" w:eastAsia="en-CA"/>
        </w:rPr>
        <w:t xml:space="preserve"> Viet Nam), </w:t>
      </w:r>
      <w:r>
        <w:rPr>
          <w:color w:val="000000"/>
          <w:lang w:val="fr-CA" w:eastAsia="en-CA"/>
        </w:rPr>
        <w:t xml:space="preserve">avait décidé de reconvertir deux chaines de fabrication au </w:t>
      </w:r>
      <w:r w:rsidRPr="0042639D">
        <w:rPr>
          <w:lang w:val="fr-CA"/>
        </w:rPr>
        <w:t>R</w:t>
      </w:r>
      <w:r w:rsidRPr="0042639D">
        <w:rPr>
          <w:lang w:val="fr-CA"/>
        </w:rPr>
        <w:noBreakHyphen/>
        <w:t xml:space="preserve">290. </w:t>
      </w:r>
      <w:r>
        <w:rPr>
          <w:lang w:val="fr-CA"/>
        </w:rPr>
        <w:t>L</w:t>
      </w:r>
      <w:r w:rsidRPr="0042639D">
        <w:rPr>
          <w:lang w:val="fr-CA"/>
        </w:rPr>
        <w:t xml:space="preserve">e Comité exécutif </w:t>
      </w:r>
      <w:r>
        <w:rPr>
          <w:lang w:val="fr-CA"/>
        </w:rPr>
        <w:t xml:space="preserve">a approuvé le changement de technologie à </w:t>
      </w:r>
      <w:proofErr w:type="spellStart"/>
      <w:r w:rsidRPr="0042639D">
        <w:rPr>
          <w:lang w:val="fr-CA"/>
        </w:rPr>
        <w:t>Midea</w:t>
      </w:r>
      <w:proofErr w:type="spellEnd"/>
      <w:r w:rsidRPr="0042639D">
        <w:rPr>
          <w:lang w:val="fr-CA"/>
        </w:rPr>
        <w:t xml:space="preserve"> Viet Nam </w:t>
      </w:r>
      <w:r>
        <w:rPr>
          <w:lang w:val="fr-CA"/>
        </w:rPr>
        <w:t>du</w:t>
      </w:r>
      <w:r w:rsidRPr="0042639D">
        <w:rPr>
          <w:lang w:val="fr-CA"/>
        </w:rPr>
        <w:t xml:space="preserve"> R-290 </w:t>
      </w:r>
      <w:r>
        <w:rPr>
          <w:lang w:val="fr-CA"/>
        </w:rPr>
        <w:t>au</w:t>
      </w:r>
      <w:r w:rsidRPr="0042639D">
        <w:rPr>
          <w:lang w:val="fr-CA"/>
        </w:rPr>
        <w:t xml:space="preserve"> HFC</w:t>
      </w:r>
      <w:r w:rsidRPr="0042639D">
        <w:rPr>
          <w:lang w:val="fr-CA"/>
        </w:rPr>
        <w:noBreakHyphen/>
        <w:t xml:space="preserve">32, </w:t>
      </w:r>
      <w:r>
        <w:rPr>
          <w:lang w:val="fr-CA"/>
        </w:rPr>
        <w:t xml:space="preserve">pour un montant de </w:t>
      </w:r>
      <w:r w:rsidRPr="0042639D">
        <w:rPr>
          <w:lang w:val="fr-CA"/>
        </w:rPr>
        <w:t>743</w:t>
      </w:r>
      <w:r>
        <w:rPr>
          <w:lang w:val="fr-CA"/>
        </w:rPr>
        <w:t> </w:t>
      </w:r>
      <w:r w:rsidRPr="0042639D">
        <w:rPr>
          <w:lang w:val="fr-CA"/>
        </w:rPr>
        <w:t>659</w:t>
      </w:r>
      <w:r>
        <w:rPr>
          <w:lang w:val="fr-CA"/>
        </w:rPr>
        <w:t> $US</w:t>
      </w:r>
      <w:r w:rsidRPr="0042639D">
        <w:rPr>
          <w:lang w:val="fr-CA"/>
        </w:rPr>
        <w:t xml:space="preserve">, plus </w:t>
      </w:r>
      <w:r>
        <w:rPr>
          <w:lang w:val="fr-CA"/>
        </w:rPr>
        <w:t>des coûts d’appui d’agence</w:t>
      </w:r>
      <w:r w:rsidRPr="0042639D">
        <w:rPr>
          <w:lang w:val="fr-CA"/>
        </w:rPr>
        <w:t xml:space="preserve"> </w:t>
      </w:r>
      <w:r>
        <w:rPr>
          <w:lang w:val="fr-CA"/>
        </w:rPr>
        <w:t xml:space="preserve">de </w:t>
      </w:r>
      <w:r w:rsidRPr="0042639D">
        <w:rPr>
          <w:lang w:val="fr-CA"/>
        </w:rPr>
        <w:t>52</w:t>
      </w:r>
      <w:r>
        <w:rPr>
          <w:lang w:val="fr-CA"/>
        </w:rPr>
        <w:t> </w:t>
      </w:r>
      <w:r w:rsidRPr="0042639D">
        <w:rPr>
          <w:lang w:val="fr-CA"/>
        </w:rPr>
        <w:t>056</w:t>
      </w:r>
      <w:r>
        <w:rPr>
          <w:lang w:val="fr-CA"/>
        </w:rPr>
        <w:t xml:space="preserve"> $US pour la </w:t>
      </w:r>
      <w:r w:rsidRPr="0042639D">
        <w:rPr>
          <w:lang w:val="fr-CA"/>
        </w:rPr>
        <w:t xml:space="preserve">Banque Mondiale, </w:t>
      </w:r>
      <w:r>
        <w:rPr>
          <w:lang w:val="fr-CA"/>
        </w:rPr>
        <w:t>avec pour résultat le remboursement par la Banque mondiale au Fonds multilatéral</w:t>
      </w:r>
      <w:r w:rsidRPr="0042639D">
        <w:rPr>
          <w:lang w:val="fr-CA"/>
        </w:rPr>
        <w:t xml:space="preserve"> </w:t>
      </w:r>
      <w:r>
        <w:rPr>
          <w:lang w:val="fr-CA"/>
        </w:rPr>
        <w:t xml:space="preserve">à la </w:t>
      </w:r>
      <w:r w:rsidRPr="0042639D">
        <w:rPr>
          <w:lang w:val="fr-CA"/>
        </w:rPr>
        <w:t>82</w:t>
      </w:r>
      <w:r>
        <w:rPr>
          <w:vertAlign w:val="superscript"/>
          <w:lang w:val="fr-CA"/>
        </w:rPr>
        <w:t>e</w:t>
      </w:r>
      <w:r w:rsidRPr="0042639D">
        <w:rPr>
          <w:lang w:val="fr-CA"/>
        </w:rPr>
        <w:t xml:space="preserve"> réunion </w:t>
      </w:r>
      <w:r>
        <w:rPr>
          <w:lang w:val="fr-CA"/>
        </w:rPr>
        <w:t xml:space="preserve">de </w:t>
      </w:r>
      <w:r w:rsidRPr="0042639D">
        <w:rPr>
          <w:lang w:val="fr-CA"/>
        </w:rPr>
        <w:t>93</w:t>
      </w:r>
      <w:r>
        <w:rPr>
          <w:lang w:val="fr-CA"/>
        </w:rPr>
        <w:t> </w:t>
      </w:r>
      <w:r w:rsidRPr="0042639D">
        <w:rPr>
          <w:lang w:val="fr-CA"/>
        </w:rPr>
        <w:t>358</w:t>
      </w:r>
      <w:r>
        <w:rPr>
          <w:lang w:val="fr-CA"/>
        </w:rPr>
        <w:t> $US</w:t>
      </w:r>
      <w:r w:rsidRPr="0042639D">
        <w:rPr>
          <w:lang w:val="fr-CA"/>
        </w:rPr>
        <w:t xml:space="preserve">, plus </w:t>
      </w:r>
      <w:r>
        <w:rPr>
          <w:lang w:val="fr-CA"/>
        </w:rPr>
        <w:t xml:space="preserve">des coûts d’appui d’agence de </w:t>
      </w:r>
      <w:r w:rsidRPr="0042639D">
        <w:rPr>
          <w:lang w:val="fr-CA"/>
        </w:rPr>
        <w:t>6</w:t>
      </w:r>
      <w:r>
        <w:rPr>
          <w:lang w:val="fr-CA"/>
        </w:rPr>
        <w:t> </w:t>
      </w:r>
      <w:r w:rsidRPr="0042639D">
        <w:rPr>
          <w:lang w:val="fr-CA"/>
        </w:rPr>
        <w:t>535</w:t>
      </w:r>
      <w:r>
        <w:rPr>
          <w:lang w:val="fr-CA"/>
        </w:rPr>
        <w:t> $US</w:t>
      </w:r>
      <w:r w:rsidRPr="0042639D">
        <w:rPr>
          <w:lang w:val="fr-CA"/>
        </w:rPr>
        <w:t xml:space="preserve"> (</w:t>
      </w:r>
      <w:r>
        <w:rPr>
          <w:lang w:val="fr-CA"/>
        </w:rPr>
        <w:t>décision</w:t>
      </w:r>
      <w:r w:rsidRPr="0042639D">
        <w:rPr>
          <w:lang w:val="fr-CA"/>
        </w:rPr>
        <w:t xml:space="preserve"> 82/37(b)); </w:t>
      </w:r>
      <w:r>
        <w:rPr>
          <w:lang w:val="fr-CA"/>
        </w:rPr>
        <w:t>et</w:t>
      </w:r>
    </w:p>
    <w:p w14:paraId="4B475957" w14:textId="739CF60B" w:rsidR="006345CD" w:rsidRPr="0042639D" w:rsidRDefault="006345CD" w:rsidP="006345CD">
      <w:pPr>
        <w:pStyle w:val="Heading2"/>
        <w:numPr>
          <w:ilvl w:val="1"/>
          <w:numId w:val="30"/>
        </w:numPr>
        <w:rPr>
          <w:kern w:val="36"/>
          <w:lang w:val="fr-CA"/>
        </w:rPr>
      </w:pPr>
      <w:r>
        <w:rPr>
          <w:lang w:val="fr-CA"/>
        </w:rPr>
        <w:t>La p</w:t>
      </w:r>
      <w:r w:rsidRPr="0042639D">
        <w:rPr>
          <w:lang w:val="fr-CA"/>
        </w:rPr>
        <w:t>hase II inclu</w:t>
      </w:r>
      <w:r>
        <w:rPr>
          <w:lang w:val="fr-CA"/>
        </w:rPr>
        <w:t xml:space="preserve">ait le financement de la reconversion d’une entreprise de fabrication de mousse de </w:t>
      </w:r>
      <w:r w:rsidRPr="0042639D">
        <w:rPr>
          <w:lang w:val="fr-CA"/>
        </w:rPr>
        <w:t>polystyr</w:t>
      </w:r>
      <w:r>
        <w:rPr>
          <w:lang w:val="fr-CA"/>
        </w:rPr>
        <w:t>è</w:t>
      </w:r>
      <w:r w:rsidRPr="0042639D">
        <w:rPr>
          <w:lang w:val="fr-CA"/>
        </w:rPr>
        <w:t xml:space="preserve">ne </w:t>
      </w:r>
      <w:r>
        <w:rPr>
          <w:lang w:val="fr-CA"/>
        </w:rPr>
        <w:t>extrudé</w:t>
      </w:r>
      <w:r w:rsidRPr="0042639D">
        <w:rPr>
          <w:lang w:val="fr-CA"/>
        </w:rPr>
        <w:t xml:space="preserve">, Phu </w:t>
      </w:r>
      <w:proofErr w:type="spellStart"/>
      <w:r w:rsidRPr="0042639D">
        <w:rPr>
          <w:lang w:val="fr-CA"/>
        </w:rPr>
        <w:t>Vuong</w:t>
      </w:r>
      <w:proofErr w:type="spellEnd"/>
      <w:r w:rsidRPr="0042639D">
        <w:rPr>
          <w:lang w:val="fr-CA"/>
        </w:rPr>
        <w:t xml:space="preserve"> Corporation </w:t>
      </w:r>
      <w:proofErr w:type="spellStart"/>
      <w:r w:rsidRPr="0042639D">
        <w:rPr>
          <w:lang w:val="fr-CA"/>
        </w:rPr>
        <w:t>Industry</w:t>
      </w:r>
      <w:proofErr w:type="spellEnd"/>
      <w:r w:rsidRPr="0042639D">
        <w:rPr>
          <w:lang w:val="fr-CA"/>
        </w:rPr>
        <w:t xml:space="preserve">, </w:t>
      </w:r>
      <w:r>
        <w:rPr>
          <w:lang w:val="fr-CA"/>
        </w:rPr>
        <w:t xml:space="preserve">afin d’éliminer </w:t>
      </w:r>
      <w:r w:rsidRPr="0042639D">
        <w:rPr>
          <w:lang w:val="fr-CA"/>
        </w:rPr>
        <w:t>100</w:t>
      </w:r>
      <w:r>
        <w:rPr>
          <w:lang w:val="fr-CA"/>
        </w:rPr>
        <w:t>,</w:t>
      </w:r>
      <w:r w:rsidRPr="0042639D">
        <w:rPr>
          <w:lang w:val="fr-CA"/>
        </w:rPr>
        <w:t>0 </w:t>
      </w:r>
      <w:r>
        <w:rPr>
          <w:lang w:val="fr-CA"/>
        </w:rPr>
        <w:t>t</w:t>
      </w:r>
      <w:r w:rsidRPr="0042639D">
        <w:rPr>
          <w:lang w:val="fr-CA"/>
        </w:rPr>
        <w:t xml:space="preserve">m </w:t>
      </w:r>
      <w:r>
        <w:rPr>
          <w:lang w:val="fr-CA"/>
        </w:rPr>
        <w:t xml:space="preserve">de </w:t>
      </w:r>
      <w:r w:rsidRPr="0042639D">
        <w:rPr>
          <w:lang w:val="fr-CA"/>
        </w:rPr>
        <w:t>HCFC</w:t>
      </w:r>
      <w:r w:rsidRPr="0042639D">
        <w:rPr>
          <w:lang w:val="fr-CA"/>
        </w:rPr>
        <w:noBreakHyphen/>
        <w:t xml:space="preserve">22, </w:t>
      </w:r>
      <w:r>
        <w:rPr>
          <w:lang w:val="fr-CA"/>
        </w:rPr>
        <w:t>et pour laquelle il a été trouvé ultérieurement qu’elle n’était pas admissible au financement du Fonds multilatéral</w:t>
      </w:r>
      <w:r w:rsidRPr="0042639D">
        <w:rPr>
          <w:lang w:val="fr-CA"/>
        </w:rPr>
        <w:t xml:space="preserve"> </w:t>
      </w:r>
      <w:r>
        <w:rPr>
          <w:lang w:val="fr-CA"/>
        </w:rPr>
        <w:t xml:space="preserve">en raison de sa </w:t>
      </w:r>
      <w:r w:rsidRPr="0042639D">
        <w:rPr>
          <w:lang w:val="fr-CA"/>
        </w:rPr>
        <w:t xml:space="preserve">date </w:t>
      </w:r>
      <w:r>
        <w:rPr>
          <w:lang w:val="fr-CA"/>
        </w:rPr>
        <w:t>d’établissement</w:t>
      </w:r>
      <w:r w:rsidRPr="0042639D">
        <w:rPr>
          <w:lang w:val="fr-CA"/>
        </w:rPr>
        <w:t xml:space="preserve">; </w:t>
      </w:r>
      <w:r>
        <w:rPr>
          <w:lang w:val="fr-CA"/>
        </w:rPr>
        <w:t>e</w:t>
      </w:r>
      <w:r w:rsidRPr="0042639D">
        <w:rPr>
          <w:lang w:val="fr-CA"/>
        </w:rPr>
        <w:t>n conj</w:t>
      </w:r>
      <w:r>
        <w:rPr>
          <w:lang w:val="fr-CA"/>
        </w:rPr>
        <w:t>o</w:t>
      </w:r>
      <w:r w:rsidRPr="0042639D">
        <w:rPr>
          <w:lang w:val="fr-CA"/>
        </w:rPr>
        <w:t xml:space="preserve">nction </w:t>
      </w:r>
      <w:r>
        <w:rPr>
          <w:lang w:val="fr-CA"/>
        </w:rPr>
        <w:t xml:space="preserve">avec l’approbation de la troisième </w:t>
      </w:r>
      <w:r w:rsidRPr="0042639D">
        <w:rPr>
          <w:lang w:val="fr-CA"/>
        </w:rPr>
        <w:t xml:space="preserve">tranche, </w:t>
      </w:r>
      <w:r>
        <w:rPr>
          <w:lang w:val="fr-CA"/>
        </w:rPr>
        <w:t xml:space="preserve">les fonds connexes de </w:t>
      </w:r>
      <w:r w:rsidRPr="0042639D">
        <w:rPr>
          <w:kern w:val="36"/>
          <w:lang w:val="fr-CA"/>
        </w:rPr>
        <w:t>613</w:t>
      </w:r>
      <w:r>
        <w:rPr>
          <w:kern w:val="36"/>
          <w:lang w:val="fr-CA"/>
        </w:rPr>
        <w:t> </w:t>
      </w:r>
      <w:r w:rsidRPr="0042639D">
        <w:rPr>
          <w:kern w:val="36"/>
          <w:lang w:val="fr-CA"/>
        </w:rPr>
        <w:t>568</w:t>
      </w:r>
      <w:r>
        <w:rPr>
          <w:kern w:val="36"/>
          <w:lang w:val="fr-CA"/>
        </w:rPr>
        <w:t> $US</w:t>
      </w:r>
      <w:r w:rsidRPr="0042639D">
        <w:rPr>
          <w:kern w:val="36"/>
          <w:lang w:val="fr-CA"/>
        </w:rPr>
        <w:t xml:space="preserve">, </w:t>
      </w:r>
      <w:r w:rsidRPr="0042639D">
        <w:rPr>
          <w:lang w:val="fr-CA"/>
        </w:rPr>
        <w:t xml:space="preserve">plus </w:t>
      </w:r>
      <w:r>
        <w:rPr>
          <w:lang w:val="fr-CA"/>
        </w:rPr>
        <w:t>des coûts d’appui d’agence</w:t>
      </w:r>
      <w:r w:rsidRPr="0042639D">
        <w:rPr>
          <w:lang w:val="fr-CA"/>
        </w:rPr>
        <w:t xml:space="preserve"> </w:t>
      </w:r>
      <w:r>
        <w:rPr>
          <w:lang w:val="fr-CA"/>
        </w:rPr>
        <w:t xml:space="preserve">de </w:t>
      </w:r>
      <w:r w:rsidRPr="0042639D">
        <w:rPr>
          <w:lang w:val="fr-CA"/>
        </w:rPr>
        <w:t>42</w:t>
      </w:r>
      <w:r>
        <w:rPr>
          <w:lang w:val="fr-CA"/>
        </w:rPr>
        <w:t> </w:t>
      </w:r>
      <w:r w:rsidRPr="0042639D">
        <w:rPr>
          <w:lang w:val="fr-CA"/>
        </w:rPr>
        <w:t>950</w:t>
      </w:r>
      <w:r>
        <w:rPr>
          <w:lang w:val="fr-CA"/>
        </w:rPr>
        <w:t> $US</w:t>
      </w:r>
      <w:r w:rsidRPr="0042639D">
        <w:rPr>
          <w:lang w:val="fr-CA"/>
        </w:rPr>
        <w:t xml:space="preserve"> </w:t>
      </w:r>
      <w:r>
        <w:rPr>
          <w:lang w:val="fr-CA"/>
        </w:rPr>
        <w:t xml:space="preserve">ont été retournés par la </w:t>
      </w:r>
      <w:r w:rsidRPr="0042639D">
        <w:rPr>
          <w:lang w:val="fr-CA"/>
        </w:rPr>
        <w:t xml:space="preserve">Banque Mondiale </w:t>
      </w:r>
      <w:r>
        <w:rPr>
          <w:lang w:val="fr-CA"/>
        </w:rPr>
        <w:t xml:space="preserve">à la </w:t>
      </w:r>
      <w:r w:rsidRPr="0042639D">
        <w:rPr>
          <w:kern w:val="36"/>
          <w:lang w:val="fr-CA"/>
        </w:rPr>
        <w:t>87</w:t>
      </w:r>
      <w:r>
        <w:rPr>
          <w:kern w:val="36"/>
          <w:vertAlign w:val="superscript"/>
          <w:lang w:val="fr-CA"/>
        </w:rPr>
        <w:t>e</w:t>
      </w:r>
      <w:r w:rsidRPr="0042639D">
        <w:rPr>
          <w:kern w:val="36"/>
          <w:lang w:val="fr-CA"/>
        </w:rPr>
        <w:t> réunion (</w:t>
      </w:r>
      <w:r>
        <w:rPr>
          <w:kern w:val="36"/>
          <w:lang w:val="fr-CA"/>
        </w:rPr>
        <w:t>décision</w:t>
      </w:r>
      <w:r w:rsidRPr="0042639D">
        <w:rPr>
          <w:kern w:val="36"/>
          <w:lang w:val="fr-CA"/>
        </w:rPr>
        <w:t> 87/28(a)).</w:t>
      </w:r>
    </w:p>
    <w:p w14:paraId="0B3B35C0" w14:textId="77777777" w:rsidR="006345CD" w:rsidRPr="0042639D" w:rsidRDefault="006345CD" w:rsidP="006345CD">
      <w:pPr>
        <w:rPr>
          <w:b/>
          <w:bCs/>
          <w:iCs/>
          <w:lang w:val="fr-CA"/>
        </w:rPr>
      </w:pPr>
      <w:r>
        <w:rPr>
          <w:b/>
          <w:bCs/>
          <w:iCs/>
          <w:lang w:val="fr-CA"/>
        </w:rPr>
        <w:t>Retard dans la soumission des tranches</w:t>
      </w:r>
    </w:p>
    <w:p w14:paraId="7989C3BD" w14:textId="77777777" w:rsidR="006345CD" w:rsidRPr="0042639D" w:rsidRDefault="006345CD" w:rsidP="006345CD">
      <w:pPr>
        <w:rPr>
          <w:i/>
          <w:lang w:val="fr-CA"/>
        </w:rPr>
      </w:pPr>
    </w:p>
    <w:p w14:paraId="35272452" w14:textId="77777777" w:rsidR="006345CD" w:rsidRPr="0042639D" w:rsidRDefault="006345CD" w:rsidP="006345CD">
      <w:pPr>
        <w:pStyle w:val="Heading1"/>
        <w:widowControl w:val="0"/>
        <w:numPr>
          <w:ilvl w:val="0"/>
          <w:numId w:val="30"/>
        </w:numPr>
        <w:rPr>
          <w:lang w:val="fr-CA"/>
        </w:rPr>
      </w:pPr>
      <w:r>
        <w:rPr>
          <w:lang w:val="fr-CA"/>
        </w:rPr>
        <w:t xml:space="preserve">Depuis l’approbation de la </w:t>
      </w:r>
      <w:r w:rsidRPr="0042639D">
        <w:rPr>
          <w:lang w:val="fr-CA"/>
        </w:rPr>
        <w:t xml:space="preserve">phase II </w:t>
      </w:r>
      <w:r>
        <w:rPr>
          <w:lang w:val="fr-CA"/>
        </w:rPr>
        <w:t>du</w:t>
      </w:r>
      <w:r w:rsidRPr="0042639D">
        <w:rPr>
          <w:lang w:val="fr-CA"/>
        </w:rPr>
        <w:t xml:space="preserve"> PGEH, </w:t>
      </w:r>
      <w:r>
        <w:rPr>
          <w:lang w:val="fr-CA"/>
        </w:rPr>
        <w:t>l</w:t>
      </w:r>
      <w:r w:rsidRPr="0042639D">
        <w:rPr>
          <w:lang w:val="fr-CA"/>
        </w:rPr>
        <w:t xml:space="preserve">e Comité exécutif </w:t>
      </w:r>
      <w:r>
        <w:rPr>
          <w:lang w:val="fr-CA"/>
        </w:rPr>
        <w:t xml:space="preserve">a approuvé trois des </w:t>
      </w:r>
      <w:r w:rsidRPr="0042639D">
        <w:rPr>
          <w:lang w:val="fr-CA"/>
        </w:rPr>
        <w:t xml:space="preserve">six tranches </w:t>
      </w:r>
      <w:r>
        <w:rPr>
          <w:lang w:val="fr-CA"/>
        </w:rPr>
        <w:t xml:space="preserve">de financement, à un niveau total de </w:t>
      </w:r>
      <w:r w:rsidRPr="0042639D">
        <w:rPr>
          <w:lang w:val="fr-CA"/>
        </w:rPr>
        <w:t>6</w:t>
      </w:r>
      <w:r>
        <w:rPr>
          <w:lang w:val="fr-CA"/>
        </w:rPr>
        <w:t> </w:t>
      </w:r>
      <w:r w:rsidRPr="0042639D">
        <w:rPr>
          <w:lang w:val="fr-CA"/>
        </w:rPr>
        <w:t>496</w:t>
      </w:r>
      <w:r>
        <w:rPr>
          <w:lang w:val="fr-CA"/>
        </w:rPr>
        <w:t> </w:t>
      </w:r>
      <w:r w:rsidRPr="0042639D">
        <w:rPr>
          <w:lang w:val="fr-CA"/>
        </w:rPr>
        <w:t>817</w:t>
      </w:r>
      <w:r>
        <w:rPr>
          <w:lang w:val="fr-CA"/>
        </w:rPr>
        <w:t> $US, plus des</w:t>
      </w:r>
      <w:r w:rsidRPr="0042639D">
        <w:rPr>
          <w:lang w:val="fr-CA"/>
        </w:rPr>
        <w:t xml:space="preserve"> </w:t>
      </w:r>
      <w:r>
        <w:rPr>
          <w:lang w:val="fr-CA"/>
        </w:rPr>
        <w:t>coûts d’appui d’agence</w:t>
      </w:r>
      <w:r w:rsidRPr="0042639D">
        <w:rPr>
          <w:lang w:val="fr-CA"/>
        </w:rPr>
        <w:t xml:space="preserve"> (</w:t>
      </w:r>
      <w:r>
        <w:rPr>
          <w:lang w:val="fr-CA"/>
        </w:rPr>
        <w:t xml:space="preserve">soit </w:t>
      </w:r>
      <w:r w:rsidRPr="0042639D">
        <w:rPr>
          <w:lang w:val="fr-CA"/>
        </w:rPr>
        <w:t>45</w:t>
      </w:r>
      <w:r>
        <w:rPr>
          <w:lang w:val="fr-CA"/>
        </w:rPr>
        <w:t xml:space="preserve"> % du financement total de </w:t>
      </w:r>
      <w:r w:rsidRPr="0042639D">
        <w:rPr>
          <w:lang w:val="fr-CA"/>
        </w:rPr>
        <w:t>14</w:t>
      </w:r>
      <w:r>
        <w:rPr>
          <w:lang w:val="fr-CA"/>
        </w:rPr>
        <w:t> </w:t>
      </w:r>
      <w:r w:rsidRPr="0042639D">
        <w:rPr>
          <w:lang w:val="fr-CA"/>
        </w:rPr>
        <w:t>551</w:t>
      </w:r>
      <w:r>
        <w:rPr>
          <w:lang w:val="fr-CA"/>
        </w:rPr>
        <w:t> </w:t>
      </w:r>
      <w:r w:rsidRPr="0042639D">
        <w:rPr>
          <w:lang w:val="fr-CA"/>
        </w:rPr>
        <w:t>476</w:t>
      </w:r>
      <w:r>
        <w:rPr>
          <w:lang w:val="fr-CA"/>
        </w:rPr>
        <w:t> $US</w:t>
      </w:r>
      <w:r w:rsidRPr="0042639D">
        <w:rPr>
          <w:lang w:val="fr-CA"/>
        </w:rPr>
        <w:t xml:space="preserve">, plus </w:t>
      </w:r>
      <w:r>
        <w:rPr>
          <w:lang w:val="fr-CA"/>
        </w:rPr>
        <w:t>des coûts d’appui d’agence</w:t>
      </w:r>
      <w:r w:rsidRPr="0042639D">
        <w:rPr>
          <w:lang w:val="fr-CA"/>
        </w:rPr>
        <w:t>, appro</w:t>
      </w:r>
      <w:r>
        <w:rPr>
          <w:lang w:val="fr-CA"/>
        </w:rPr>
        <w:t>uvés en principe</w:t>
      </w:r>
      <w:r w:rsidRPr="0042639D">
        <w:rPr>
          <w:lang w:val="fr-CA"/>
        </w:rPr>
        <w:t>).</w:t>
      </w:r>
      <w:r w:rsidRPr="0042639D">
        <w:rPr>
          <w:rStyle w:val="FootnoteReference"/>
          <w:lang w:val="fr-CA"/>
        </w:rPr>
        <w:footnoteReference w:id="44"/>
      </w:r>
      <w:r w:rsidRPr="0042639D">
        <w:rPr>
          <w:lang w:val="fr-CA"/>
        </w:rPr>
        <w:t xml:space="preserve"> </w:t>
      </w:r>
      <w:r>
        <w:rPr>
          <w:lang w:val="fr-CA"/>
        </w:rPr>
        <w:t xml:space="preserve">Conformément à l’Accord conclu entre le </w:t>
      </w:r>
      <w:r w:rsidRPr="0042639D">
        <w:rPr>
          <w:lang w:val="fr-CA"/>
        </w:rPr>
        <w:t xml:space="preserve">Gouvernement </w:t>
      </w:r>
      <w:r>
        <w:rPr>
          <w:lang w:val="fr-CA"/>
        </w:rPr>
        <w:t xml:space="preserve">et le </w:t>
      </w:r>
      <w:r w:rsidRPr="0042639D">
        <w:rPr>
          <w:lang w:val="fr-CA"/>
        </w:rPr>
        <w:t xml:space="preserve">Comité exécutif, </w:t>
      </w:r>
      <w:r>
        <w:rPr>
          <w:lang w:val="fr-CA"/>
        </w:rPr>
        <w:t xml:space="preserve">les deuxième et troisième </w:t>
      </w:r>
      <w:r w:rsidRPr="0042639D">
        <w:rPr>
          <w:lang w:val="fr-CA"/>
        </w:rPr>
        <w:t xml:space="preserve">tranches </w:t>
      </w:r>
      <w:r>
        <w:rPr>
          <w:lang w:val="fr-CA"/>
        </w:rPr>
        <w:t>devaient être soumises e</w:t>
      </w:r>
      <w:r w:rsidRPr="0042639D">
        <w:rPr>
          <w:lang w:val="fr-CA"/>
        </w:rPr>
        <w:t xml:space="preserve">n 2017 </w:t>
      </w:r>
      <w:r>
        <w:rPr>
          <w:lang w:val="fr-CA"/>
        </w:rPr>
        <w:t>et</w:t>
      </w:r>
      <w:r w:rsidRPr="0042639D">
        <w:rPr>
          <w:lang w:val="fr-CA"/>
        </w:rPr>
        <w:t xml:space="preserve"> 2018, respective</w:t>
      </w:r>
      <w:r>
        <w:rPr>
          <w:lang w:val="fr-CA"/>
        </w:rPr>
        <w:t>ment</w:t>
      </w:r>
      <w:r w:rsidRPr="0042639D">
        <w:rPr>
          <w:lang w:val="fr-CA"/>
        </w:rPr>
        <w:t xml:space="preserve">, </w:t>
      </w:r>
      <w:r>
        <w:rPr>
          <w:lang w:val="fr-CA"/>
        </w:rPr>
        <w:t xml:space="preserve">mais elles ont été soumises plutôt en </w:t>
      </w:r>
      <w:r w:rsidRPr="0042639D">
        <w:rPr>
          <w:lang w:val="fr-CA"/>
        </w:rPr>
        <w:t>2</w:t>
      </w:r>
      <w:r>
        <w:rPr>
          <w:lang w:val="fr-CA"/>
        </w:rPr>
        <w:t>0</w:t>
      </w:r>
      <w:r w:rsidRPr="0042639D">
        <w:rPr>
          <w:lang w:val="fr-CA"/>
        </w:rPr>
        <w:t xml:space="preserve">019 </w:t>
      </w:r>
      <w:r>
        <w:rPr>
          <w:lang w:val="fr-CA"/>
        </w:rPr>
        <w:t>et</w:t>
      </w:r>
      <w:r w:rsidRPr="0042639D">
        <w:rPr>
          <w:lang w:val="fr-CA"/>
        </w:rPr>
        <w:t xml:space="preserve"> 2021; </w:t>
      </w:r>
      <w:r>
        <w:rPr>
          <w:lang w:val="fr-CA"/>
        </w:rPr>
        <w:t>les quatrième</w:t>
      </w:r>
      <w:r w:rsidRPr="0042639D">
        <w:rPr>
          <w:lang w:val="fr-CA"/>
        </w:rPr>
        <w:t xml:space="preserve">, </w:t>
      </w:r>
      <w:r>
        <w:rPr>
          <w:lang w:val="fr-CA"/>
        </w:rPr>
        <w:t xml:space="preserve">cinquième, et sixième </w:t>
      </w:r>
      <w:r w:rsidRPr="0042639D">
        <w:rPr>
          <w:lang w:val="fr-CA"/>
        </w:rPr>
        <w:t xml:space="preserve">tranches </w:t>
      </w:r>
      <w:r>
        <w:rPr>
          <w:lang w:val="fr-CA"/>
        </w:rPr>
        <w:t>n’ont pas encore été soumises</w:t>
      </w:r>
      <w:r w:rsidRPr="0042639D">
        <w:rPr>
          <w:lang w:val="fr-CA"/>
        </w:rPr>
        <w:t xml:space="preserve">. </w:t>
      </w:r>
      <w:r>
        <w:rPr>
          <w:lang w:val="fr-CA"/>
        </w:rPr>
        <w:t xml:space="preserve">La comparaison entre la soumission prévue des tranches et leur soumission réelle et du financement correspondant est illustrée dans le </w:t>
      </w:r>
      <w:r w:rsidRPr="0042639D">
        <w:rPr>
          <w:lang w:val="fr-CA"/>
        </w:rPr>
        <w:t xml:space="preserve">Tableau 10. </w:t>
      </w:r>
      <w:r>
        <w:rPr>
          <w:lang w:val="fr-CA"/>
        </w:rPr>
        <w:t xml:space="preserve">La </w:t>
      </w:r>
      <w:r w:rsidRPr="0042639D">
        <w:rPr>
          <w:lang w:val="fr-CA"/>
        </w:rPr>
        <w:t xml:space="preserve">date </w:t>
      </w:r>
      <w:r>
        <w:rPr>
          <w:lang w:val="fr-CA"/>
        </w:rPr>
        <w:t xml:space="preserve">d’achèvement de la </w:t>
      </w:r>
      <w:r w:rsidRPr="0042639D">
        <w:rPr>
          <w:lang w:val="fr-CA"/>
        </w:rPr>
        <w:t xml:space="preserve">phase II </w:t>
      </w:r>
      <w:r>
        <w:rPr>
          <w:lang w:val="fr-CA"/>
        </w:rPr>
        <w:t xml:space="preserve">d’après l’Accord sur la </w:t>
      </w:r>
      <w:r w:rsidRPr="0042639D">
        <w:rPr>
          <w:lang w:val="fr-CA"/>
        </w:rPr>
        <w:t xml:space="preserve">phase II </w:t>
      </w:r>
      <w:r>
        <w:rPr>
          <w:lang w:val="fr-CA"/>
        </w:rPr>
        <w:t xml:space="preserve">est le </w:t>
      </w:r>
      <w:r w:rsidRPr="0042639D">
        <w:rPr>
          <w:lang w:val="fr-CA"/>
        </w:rPr>
        <w:t>31 </w:t>
      </w:r>
      <w:r>
        <w:rPr>
          <w:lang w:val="fr-CA"/>
        </w:rPr>
        <w:t>dé</w:t>
      </w:r>
      <w:r w:rsidRPr="0042639D">
        <w:rPr>
          <w:lang w:val="fr-CA"/>
        </w:rPr>
        <w:t>cemb</w:t>
      </w:r>
      <w:r>
        <w:rPr>
          <w:lang w:val="fr-CA"/>
        </w:rPr>
        <w:t>re</w:t>
      </w:r>
      <w:r w:rsidRPr="0042639D">
        <w:rPr>
          <w:lang w:val="fr-CA"/>
        </w:rPr>
        <w:t xml:space="preserve"> 2022.</w:t>
      </w:r>
    </w:p>
    <w:p w14:paraId="39A91E9A" w14:textId="77777777" w:rsidR="006345CD" w:rsidRPr="0042639D" w:rsidRDefault="006345CD" w:rsidP="006345CD">
      <w:pPr>
        <w:rPr>
          <w:lang w:val="fr-CA"/>
        </w:rPr>
      </w:pPr>
      <w:r w:rsidRPr="0042639D">
        <w:rPr>
          <w:b/>
          <w:lang w:val="fr-CA"/>
        </w:rPr>
        <w:t xml:space="preserve">Tableau 10. Date </w:t>
      </w:r>
      <w:r>
        <w:rPr>
          <w:b/>
          <w:lang w:val="fr-CA"/>
        </w:rPr>
        <w:t xml:space="preserve">de soumission des tranches de financement par rapport à la </w:t>
      </w:r>
      <w:r w:rsidRPr="0042639D">
        <w:rPr>
          <w:b/>
          <w:lang w:val="fr-CA"/>
        </w:rPr>
        <w:t xml:space="preserve">date </w:t>
      </w:r>
      <w:r>
        <w:rPr>
          <w:b/>
          <w:lang w:val="fr-CA"/>
        </w:rPr>
        <w:t xml:space="preserve">prévue pour la </w:t>
      </w:r>
      <w:r w:rsidRPr="0042639D">
        <w:rPr>
          <w:b/>
          <w:lang w:val="fr-CA"/>
        </w:rPr>
        <w:t>phase II</w:t>
      </w:r>
    </w:p>
    <w:tbl>
      <w:tblPr>
        <w:tblW w:w="9345" w:type="dxa"/>
        <w:tblLayout w:type="fixed"/>
        <w:tblLook w:val="04A0" w:firstRow="1" w:lastRow="0" w:firstColumn="1" w:lastColumn="0" w:noHBand="0" w:noVBand="1"/>
      </w:tblPr>
      <w:tblGrid>
        <w:gridCol w:w="1696"/>
        <w:gridCol w:w="2408"/>
        <w:gridCol w:w="2691"/>
        <w:gridCol w:w="2550"/>
      </w:tblGrid>
      <w:tr w:rsidR="006345CD" w:rsidRPr="0042639D" w14:paraId="3EE1664E" w14:textId="77777777" w:rsidTr="006023A6">
        <w:trPr>
          <w:tblHeader/>
        </w:trPr>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2807D85B" w14:textId="77777777" w:rsidR="006345CD" w:rsidRPr="0042639D" w:rsidRDefault="006345CD" w:rsidP="006023A6">
            <w:pPr>
              <w:jc w:val="left"/>
              <w:rPr>
                <w:b/>
                <w:color w:val="000000"/>
                <w:sz w:val="20"/>
                <w:szCs w:val="20"/>
                <w:lang w:val="fr-CA" w:eastAsia="en-CA"/>
              </w:rPr>
            </w:pPr>
            <w:r>
              <w:rPr>
                <w:b/>
                <w:color w:val="000000"/>
                <w:sz w:val="20"/>
                <w:szCs w:val="20"/>
                <w:lang w:val="fr-CA" w:eastAsia="en-CA"/>
              </w:rPr>
              <w:t>T</w:t>
            </w:r>
            <w:r w:rsidRPr="0042639D">
              <w:rPr>
                <w:b/>
                <w:color w:val="000000"/>
                <w:sz w:val="20"/>
                <w:szCs w:val="20"/>
                <w:lang w:val="fr-CA" w:eastAsia="en-CA"/>
              </w:rPr>
              <w:t>ranche</w:t>
            </w:r>
            <w:r>
              <w:rPr>
                <w:b/>
                <w:color w:val="000000"/>
                <w:sz w:val="20"/>
                <w:szCs w:val="20"/>
                <w:lang w:val="fr-CA" w:eastAsia="en-CA"/>
              </w:rPr>
              <w:t xml:space="preserve"> de financement</w:t>
            </w:r>
          </w:p>
        </w:tc>
        <w:tc>
          <w:tcPr>
            <w:tcW w:w="2410"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5003EFCD" w14:textId="77777777" w:rsidR="006345CD" w:rsidRPr="0042639D" w:rsidRDefault="006345CD" w:rsidP="006023A6">
            <w:pPr>
              <w:jc w:val="center"/>
              <w:rPr>
                <w:lang w:val="fr-CA"/>
              </w:rPr>
            </w:pPr>
            <w:r w:rsidRPr="0042639D">
              <w:rPr>
                <w:b/>
                <w:color w:val="000000"/>
                <w:sz w:val="20"/>
                <w:szCs w:val="20"/>
                <w:lang w:val="fr-CA" w:eastAsia="en-CA"/>
              </w:rPr>
              <w:t>F</w:t>
            </w:r>
            <w:r>
              <w:rPr>
                <w:b/>
                <w:color w:val="000000"/>
                <w:sz w:val="20"/>
                <w:szCs w:val="20"/>
                <w:lang w:val="fr-CA" w:eastAsia="en-CA"/>
              </w:rPr>
              <w:t>o</w:t>
            </w:r>
            <w:r w:rsidRPr="0042639D">
              <w:rPr>
                <w:b/>
                <w:color w:val="000000"/>
                <w:sz w:val="20"/>
                <w:szCs w:val="20"/>
                <w:lang w:val="fr-CA" w:eastAsia="en-CA"/>
              </w:rPr>
              <w:t>nds appro</w:t>
            </w:r>
            <w:r>
              <w:rPr>
                <w:b/>
                <w:color w:val="000000"/>
                <w:sz w:val="20"/>
                <w:szCs w:val="20"/>
                <w:lang w:val="fr-CA" w:eastAsia="en-CA"/>
              </w:rPr>
              <w:t>uvés</w:t>
            </w:r>
            <w:r w:rsidRPr="0042639D">
              <w:rPr>
                <w:b/>
                <w:color w:val="000000"/>
                <w:sz w:val="20"/>
                <w:szCs w:val="20"/>
                <w:lang w:val="fr-CA" w:eastAsia="en-CA"/>
              </w:rPr>
              <w:t xml:space="preserve"> </w:t>
            </w:r>
            <w:r w:rsidRPr="0042639D">
              <w:rPr>
                <w:lang w:val="fr-CA"/>
              </w:rPr>
              <w:t>(</w:t>
            </w:r>
            <w:r>
              <w:rPr>
                <w:lang w:val="fr-CA"/>
              </w:rPr>
              <w:t>$US</w:t>
            </w:r>
            <w:r w:rsidRPr="0042639D">
              <w:rPr>
                <w:lang w:val="fr-CA"/>
              </w:rPr>
              <w:t>)</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42137605" w14:textId="77777777" w:rsidR="006345CD" w:rsidRPr="0042639D" w:rsidRDefault="006345CD" w:rsidP="006023A6">
            <w:pPr>
              <w:jc w:val="center"/>
              <w:rPr>
                <w:b/>
                <w:color w:val="000000"/>
                <w:sz w:val="20"/>
                <w:szCs w:val="20"/>
                <w:lang w:val="fr-CA" w:eastAsia="en-CA"/>
              </w:rPr>
            </w:pPr>
            <w:r>
              <w:rPr>
                <w:b/>
                <w:color w:val="000000"/>
                <w:sz w:val="20"/>
                <w:szCs w:val="20"/>
                <w:lang w:val="fr-CA" w:eastAsia="en-CA"/>
              </w:rPr>
              <w:t>Année prévue de soumission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7FA382E4" w14:textId="77777777" w:rsidR="006345CD" w:rsidRPr="0042639D" w:rsidRDefault="006345CD" w:rsidP="006023A6">
            <w:pPr>
              <w:jc w:val="center"/>
              <w:rPr>
                <w:b/>
                <w:color w:val="000000"/>
                <w:sz w:val="20"/>
                <w:szCs w:val="20"/>
                <w:lang w:val="fr-CA" w:eastAsia="en-CA"/>
              </w:rPr>
            </w:pPr>
            <w:r>
              <w:rPr>
                <w:b/>
                <w:color w:val="000000"/>
                <w:sz w:val="20"/>
                <w:szCs w:val="20"/>
                <w:lang w:val="fr-CA" w:eastAsia="en-CA"/>
              </w:rPr>
              <w:t xml:space="preserve">Année réelle de soumission </w:t>
            </w:r>
          </w:p>
        </w:tc>
      </w:tr>
      <w:tr w:rsidR="006345CD" w:rsidRPr="0042639D" w14:paraId="1C75AEB2" w14:textId="77777777" w:rsidTr="006023A6">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681E9361" w14:textId="77777777" w:rsidR="006345CD" w:rsidRPr="0042639D" w:rsidRDefault="006345CD" w:rsidP="006023A6">
            <w:pPr>
              <w:jc w:val="left"/>
              <w:rPr>
                <w:color w:val="000000"/>
                <w:sz w:val="20"/>
                <w:szCs w:val="20"/>
                <w:lang w:val="fr-CA" w:eastAsia="en-CA"/>
              </w:rPr>
            </w:pPr>
            <w:r>
              <w:rPr>
                <w:color w:val="000000"/>
                <w:sz w:val="20"/>
                <w:szCs w:val="20"/>
                <w:lang w:val="fr-CA" w:eastAsia="en-CA"/>
              </w:rPr>
              <w:t>Première</w:t>
            </w:r>
          </w:p>
        </w:tc>
        <w:tc>
          <w:tcPr>
            <w:tcW w:w="2410" w:type="dxa"/>
            <w:tcBorders>
              <w:top w:val="nil"/>
              <w:left w:val="nil"/>
              <w:bottom w:val="single" w:sz="4" w:space="0" w:color="auto"/>
              <w:right w:val="single" w:sz="4" w:space="0" w:color="auto"/>
            </w:tcBorders>
            <w:noWrap/>
            <w:tcMar>
              <w:top w:w="0" w:type="dxa"/>
              <w:left w:w="85" w:type="dxa"/>
              <w:bottom w:w="0" w:type="dxa"/>
              <w:right w:w="85" w:type="dxa"/>
            </w:tcMar>
            <w:vAlign w:val="center"/>
            <w:hideMark/>
          </w:tcPr>
          <w:p w14:paraId="7808D04B"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345</w:t>
            </w:r>
            <w:r>
              <w:rPr>
                <w:color w:val="000000"/>
                <w:sz w:val="20"/>
                <w:szCs w:val="20"/>
                <w:lang w:val="fr-CA" w:eastAsia="en-CA"/>
              </w:rPr>
              <w:t> </w:t>
            </w:r>
            <w:r w:rsidRPr="0042639D">
              <w:rPr>
                <w:color w:val="000000"/>
                <w:sz w:val="20"/>
                <w:szCs w:val="20"/>
                <w:lang w:val="fr-CA" w:eastAsia="en-CA"/>
              </w:rPr>
              <w:t>987</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052BC835"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2016 (76</w:t>
            </w:r>
            <w:r>
              <w:rPr>
                <w:color w:val="000000"/>
                <w:sz w:val="20"/>
                <w:szCs w:val="20"/>
                <w:vertAlign w:val="superscript"/>
                <w:lang w:val="fr-CA" w:eastAsia="en-CA"/>
              </w:rPr>
              <w:t>e</w:t>
            </w:r>
            <w:r w:rsidRPr="0042639D">
              <w:rPr>
                <w:color w:val="000000"/>
                <w:sz w:val="20"/>
                <w:szCs w:val="20"/>
                <w:lang w:val="fr-CA" w:eastAsia="en-CA"/>
              </w:rPr>
              <w:t> réunion)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7BAC4F93"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2016 (76</w:t>
            </w:r>
            <w:r>
              <w:rPr>
                <w:color w:val="000000"/>
                <w:sz w:val="20"/>
                <w:szCs w:val="20"/>
                <w:vertAlign w:val="superscript"/>
                <w:lang w:val="fr-CA" w:eastAsia="en-CA"/>
              </w:rPr>
              <w:t>e</w:t>
            </w:r>
            <w:r w:rsidRPr="0042639D">
              <w:rPr>
                <w:color w:val="000000"/>
                <w:sz w:val="20"/>
                <w:szCs w:val="20"/>
                <w:lang w:val="fr-CA" w:eastAsia="en-CA"/>
              </w:rPr>
              <w:t> réunion)</w:t>
            </w:r>
          </w:p>
        </w:tc>
      </w:tr>
      <w:tr w:rsidR="006345CD" w:rsidRPr="0042639D" w14:paraId="6439FC60" w14:textId="77777777" w:rsidTr="006023A6">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69BB928B" w14:textId="77777777" w:rsidR="006345CD" w:rsidRPr="0042639D" w:rsidRDefault="006345CD" w:rsidP="006023A6">
            <w:pPr>
              <w:jc w:val="left"/>
              <w:rPr>
                <w:color w:val="000000"/>
                <w:sz w:val="20"/>
                <w:szCs w:val="20"/>
                <w:lang w:val="fr-CA" w:eastAsia="en-CA"/>
              </w:rPr>
            </w:pPr>
            <w:r>
              <w:rPr>
                <w:color w:val="000000"/>
                <w:sz w:val="20"/>
                <w:szCs w:val="20"/>
                <w:lang w:val="fr-CA" w:eastAsia="en-CA"/>
              </w:rPr>
              <w:t>Deuxième</w:t>
            </w:r>
          </w:p>
        </w:tc>
        <w:tc>
          <w:tcPr>
            <w:tcW w:w="2410" w:type="dxa"/>
            <w:tcBorders>
              <w:top w:val="nil"/>
              <w:left w:val="nil"/>
              <w:bottom w:val="single" w:sz="4" w:space="0" w:color="auto"/>
              <w:right w:val="single" w:sz="4" w:space="0" w:color="auto"/>
            </w:tcBorders>
            <w:noWrap/>
            <w:tcMar>
              <w:top w:w="0" w:type="dxa"/>
              <w:left w:w="85" w:type="dxa"/>
              <w:bottom w:w="0" w:type="dxa"/>
              <w:right w:w="85" w:type="dxa"/>
            </w:tcMar>
            <w:vAlign w:val="center"/>
            <w:hideMark/>
          </w:tcPr>
          <w:p w14:paraId="5BF1BAF5"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343</w:t>
            </w:r>
            <w:r>
              <w:rPr>
                <w:color w:val="000000"/>
                <w:sz w:val="20"/>
                <w:szCs w:val="20"/>
                <w:lang w:val="fr-CA" w:eastAsia="en-CA"/>
              </w:rPr>
              <w:t> </w:t>
            </w:r>
            <w:r w:rsidRPr="0042639D">
              <w:rPr>
                <w:color w:val="000000"/>
                <w:sz w:val="20"/>
                <w:szCs w:val="20"/>
                <w:lang w:val="fr-CA" w:eastAsia="en-CA"/>
              </w:rPr>
              <w:t>173</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639E2863"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 xml:space="preserve"> 2017 (80</w:t>
            </w:r>
            <w:r>
              <w:rPr>
                <w:color w:val="000000"/>
                <w:sz w:val="20"/>
                <w:szCs w:val="20"/>
                <w:vertAlign w:val="superscript"/>
                <w:lang w:val="fr-CA" w:eastAsia="en-CA"/>
              </w:rPr>
              <w:t>e</w:t>
            </w:r>
            <w:r w:rsidRPr="0042639D">
              <w:rPr>
                <w:color w:val="000000"/>
                <w:sz w:val="20"/>
                <w:szCs w:val="20"/>
                <w:lang w:val="fr-CA" w:eastAsia="en-CA"/>
              </w:rPr>
              <w:t> réunion)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45804092"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2019 (84</w:t>
            </w:r>
            <w:r>
              <w:rPr>
                <w:color w:val="000000"/>
                <w:sz w:val="20"/>
                <w:szCs w:val="20"/>
                <w:vertAlign w:val="superscript"/>
                <w:lang w:val="fr-CA" w:eastAsia="en-CA"/>
              </w:rPr>
              <w:t>e</w:t>
            </w:r>
            <w:r w:rsidRPr="0042639D">
              <w:rPr>
                <w:color w:val="000000"/>
                <w:sz w:val="20"/>
                <w:szCs w:val="20"/>
                <w:lang w:val="fr-CA" w:eastAsia="en-CA"/>
              </w:rPr>
              <w:t> réunion)</w:t>
            </w:r>
          </w:p>
        </w:tc>
      </w:tr>
      <w:tr w:rsidR="006345CD" w:rsidRPr="0042639D" w14:paraId="0931AD70" w14:textId="77777777" w:rsidTr="006023A6">
        <w:tc>
          <w:tcPr>
            <w:tcW w:w="1696" w:type="dxa"/>
            <w:tcBorders>
              <w:top w:val="single" w:sz="4" w:space="0" w:color="auto"/>
              <w:left w:val="single" w:sz="4" w:space="0" w:color="auto"/>
              <w:bottom w:val="single" w:sz="4" w:space="0" w:color="auto"/>
              <w:right w:val="single" w:sz="4" w:space="0" w:color="auto"/>
            </w:tcBorders>
            <w:noWrap/>
            <w:tcMar>
              <w:top w:w="0" w:type="dxa"/>
              <w:left w:w="85" w:type="dxa"/>
              <w:bottom w:w="0" w:type="dxa"/>
              <w:right w:w="85" w:type="dxa"/>
            </w:tcMar>
            <w:vAlign w:val="center"/>
            <w:hideMark/>
          </w:tcPr>
          <w:p w14:paraId="1F93D8D3" w14:textId="77777777" w:rsidR="006345CD" w:rsidRPr="0042639D" w:rsidRDefault="006345CD" w:rsidP="006023A6">
            <w:pPr>
              <w:jc w:val="left"/>
              <w:rPr>
                <w:color w:val="000000"/>
                <w:sz w:val="20"/>
                <w:szCs w:val="20"/>
                <w:lang w:val="fr-CA" w:eastAsia="en-CA"/>
              </w:rPr>
            </w:pPr>
            <w:r>
              <w:rPr>
                <w:color w:val="000000"/>
                <w:sz w:val="20"/>
                <w:szCs w:val="20"/>
                <w:lang w:val="fr-CA" w:eastAsia="en-CA"/>
              </w:rPr>
              <w:t>Troisième</w:t>
            </w:r>
          </w:p>
        </w:tc>
        <w:tc>
          <w:tcPr>
            <w:tcW w:w="2410" w:type="dxa"/>
            <w:tcBorders>
              <w:top w:val="nil"/>
              <w:left w:val="nil"/>
              <w:bottom w:val="single" w:sz="4" w:space="0" w:color="auto"/>
              <w:right w:val="single" w:sz="4" w:space="0" w:color="auto"/>
            </w:tcBorders>
            <w:noWrap/>
            <w:tcMar>
              <w:top w:w="0" w:type="dxa"/>
              <w:left w:w="85" w:type="dxa"/>
              <w:bottom w:w="0" w:type="dxa"/>
              <w:right w:w="85" w:type="dxa"/>
            </w:tcMar>
            <w:vAlign w:val="center"/>
            <w:hideMark/>
          </w:tcPr>
          <w:p w14:paraId="05F1EA5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w:t>
            </w:r>
            <w:r>
              <w:rPr>
                <w:color w:val="000000"/>
                <w:sz w:val="20"/>
                <w:szCs w:val="20"/>
                <w:lang w:val="fr-CA" w:eastAsia="en-CA"/>
              </w:rPr>
              <w:t> </w:t>
            </w:r>
            <w:r w:rsidRPr="0042639D">
              <w:rPr>
                <w:color w:val="000000"/>
                <w:sz w:val="20"/>
                <w:szCs w:val="20"/>
                <w:lang w:val="fr-CA" w:eastAsia="en-CA"/>
              </w:rPr>
              <w:t>807</w:t>
            </w:r>
            <w:r>
              <w:rPr>
                <w:color w:val="000000"/>
                <w:sz w:val="20"/>
                <w:szCs w:val="20"/>
                <w:lang w:val="fr-CA" w:eastAsia="en-CA"/>
              </w:rPr>
              <w:t> </w:t>
            </w:r>
            <w:r w:rsidRPr="0042639D">
              <w:rPr>
                <w:color w:val="000000"/>
                <w:sz w:val="20"/>
                <w:szCs w:val="20"/>
                <w:lang w:val="fr-CA" w:eastAsia="en-CA"/>
              </w:rPr>
              <w:t>657</w:t>
            </w:r>
          </w:p>
        </w:tc>
        <w:tc>
          <w:tcPr>
            <w:tcW w:w="2693" w:type="dxa"/>
            <w:tcBorders>
              <w:top w:val="single" w:sz="4" w:space="0" w:color="auto"/>
              <w:left w:val="nil"/>
              <w:bottom w:val="single" w:sz="4" w:space="0" w:color="auto"/>
              <w:right w:val="single" w:sz="4" w:space="0" w:color="auto"/>
            </w:tcBorders>
            <w:noWrap/>
            <w:tcMar>
              <w:top w:w="0" w:type="dxa"/>
              <w:left w:w="85" w:type="dxa"/>
              <w:bottom w:w="0" w:type="dxa"/>
              <w:right w:w="85" w:type="dxa"/>
            </w:tcMar>
            <w:vAlign w:val="center"/>
            <w:hideMark/>
          </w:tcPr>
          <w:p w14:paraId="2CB82E0D"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2018 (82</w:t>
            </w:r>
            <w:r>
              <w:rPr>
                <w:color w:val="000000"/>
                <w:sz w:val="20"/>
                <w:szCs w:val="20"/>
                <w:vertAlign w:val="superscript"/>
                <w:lang w:val="fr-CA" w:eastAsia="en-CA"/>
              </w:rPr>
              <w:t>e</w:t>
            </w:r>
            <w:r w:rsidRPr="0042639D">
              <w:rPr>
                <w:color w:val="000000"/>
                <w:sz w:val="20"/>
                <w:szCs w:val="20"/>
                <w:lang w:val="fr-CA" w:eastAsia="en-CA"/>
              </w:rPr>
              <w:t> réunion)</w:t>
            </w:r>
          </w:p>
        </w:tc>
        <w:tc>
          <w:tcPr>
            <w:tcW w:w="2552" w:type="dxa"/>
            <w:tcBorders>
              <w:top w:val="single" w:sz="4" w:space="0" w:color="auto"/>
              <w:left w:val="nil"/>
              <w:bottom w:val="single" w:sz="4" w:space="0" w:color="auto"/>
              <w:right w:val="single" w:sz="4" w:space="0" w:color="auto"/>
            </w:tcBorders>
            <w:tcMar>
              <w:top w:w="0" w:type="dxa"/>
              <w:left w:w="85" w:type="dxa"/>
              <w:bottom w:w="0" w:type="dxa"/>
              <w:right w:w="85" w:type="dxa"/>
            </w:tcMar>
            <w:vAlign w:val="center"/>
            <w:hideMark/>
          </w:tcPr>
          <w:p w14:paraId="30CB7AC5"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2021 (87</w:t>
            </w:r>
            <w:r>
              <w:rPr>
                <w:color w:val="000000"/>
                <w:sz w:val="20"/>
                <w:szCs w:val="20"/>
                <w:vertAlign w:val="superscript"/>
                <w:lang w:val="fr-CA" w:eastAsia="en-CA"/>
              </w:rPr>
              <w:t>e</w:t>
            </w:r>
            <w:r w:rsidRPr="0042639D">
              <w:rPr>
                <w:color w:val="000000"/>
                <w:sz w:val="20"/>
                <w:szCs w:val="20"/>
                <w:lang w:val="fr-CA" w:eastAsia="en-CA"/>
              </w:rPr>
              <w:t> réunion)</w:t>
            </w:r>
          </w:p>
        </w:tc>
      </w:tr>
    </w:tbl>
    <w:p w14:paraId="51D75B4E" w14:textId="77777777" w:rsidR="006345CD" w:rsidRPr="0042639D" w:rsidRDefault="006345CD" w:rsidP="006345CD">
      <w:pPr>
        <w:rPr>
          <w:lang w:val="fr-CA"/>
        </w:rPr>
      </w:pPr>
    </w:p>
    <w:p w14:paraId="4DD6B353" w14:textId="77777777" w:rsidR="006345CD" w:rsidRPr="0042639D" w:rsidRDefault="006345CD" w:rsidP="006345CD">
      <w:pPr>
        <w:pStyle w:val="Heading1"/>
        <w:numPr>
          <w:ilvl w:val="0"/>
          <w:numId w:val="30"/>
        </w:numPr>
        <w:rPr>
          <w:lang w:val="fr-CA"/>
        </w:rPr>
      </w:pPr>
      <w:r>
        <w:rPr>
          <w:lang w:val="fr-CA"/>
        </w:rPr>
        <w:t xml:space="preserve">La Banque mondiale a soumis, au nom du </w:t>
      </w:r>
      <w:r w:rsidRPr="0042639D">
        <w:rPr>
          <w:lang w:val="fr-CA"/>
        </w:rPr>
        <w:t xml:space="preserve">Gouvernement </w:t>
      </w:r>
      <w:r>
        <w:rPr>
          <w:lang w:val="fr-CA"/>
        </w:rPr>
        <w:t xml:space="preserve">du </w:t>
      </w:r>
      <w:r w:rsidRPr="0042639D">
        <w:rPr>
          <w:lang w:val="fr-CA"/>
        </w:rPr>
        <w:t xml:space="preserve">Viet Nam, </w:t>
      </w:r>
      <w:r>
        <w:rPr>
          <w:lang w:val="fr-CA"/>
        </w:rPr>
        <w:t>un rapport d’avancement</w:t>
      </w:r>
      <w:r w:rsidRPr="0042639D">
        <w:rPr>
          <w:lang w:val="fr-CA"/>
        </w:rPr>
        <w:t xml:space="preserve"> </w:t>
      </w:r>
      <w:r>
        <w:rPr>
          <w:lang w:val="fr-CA"/>
        </w:rPr>
        <w:t xml:space="preserve">sur la mise en œuvre de la troisième </w:t>
      </w:r>
      <w:r w:rsidRPr="0042639D">
        <w:rPr>
          <w:lang w:val="fr-CA"/>
        </w:rPr>
        <w:t xml:space="preserve">tranche </w:t>
      </w:r>
      <w:r>
        <w:rPr>
          <w:lang w:val="fr-CA"/>
        </w:rPr>
        <w:t>de la</w:t>
      </w:r>
      <w:r w:rsidRPr="0042639D">
        <w:rPr>
          <w:lang w:val="fr-CA"/>
        </w:rPr>
        <w:t xml:space="preserve"> phase II </w:t>
      </w:r>
      <w:r>
        <w:rPr>
          <w:lang w:val="fr-CA"/>
        </w:rPr>
        <w:t>du</w:t>
      </w:r>
      <w:r w:rsidRPr="0042639D">
        <w:rPr>
          <w:lang w:val="fr-CA"/>
        </w:rPr>
        <w:t xml:space="preserve"> PGEH </w:t>
      </w:r>
      <w:r>
        <w:rPr>
          <w:lang w:val="fr-CA"/>
        </w:rPr>
        <w:t xml:space="preserve">pour le </w:t>
      </w:r>
      <w:r w:rsidRPr="0042639D">
        <w:rPr>
          <w:lang w:val="fr-CA"/>
        </w:rPr>
        <w:t xml:space="preserve">Viet Nam. </w:t>
      </w:r>
      <w:r>
        <w:rPr>
          <w:lang w:val="fr-CA"/>
        </w:rPr>
        <w:t>L</w:t>
      </w:r>
      <w:r w:rsidRPr="0042639D">
        <w:rPr>
          <w:lang w:val="fr-CA"/>
        </w:rPr>
        <w:t xml:space="preserve">e </w:t>
      </w:r>
      <w:r>
        <w:rPr>
          <w:lang w:val="fr-CA"/>
        </w:rPr>
        <w:t>rapport d’avancement</w:t>
      </w:r>
      <w:r w:rsidRPr="0042639D">
        <w:rPr>
          <w:lang w:val="fr-CA"/>
        </w:rPr>
        <w:t xml:space="preserve"> </w:t>
      </w:r>
      <w:r>
        <w:rPr>
          <w:lang w:val="fr-CA"/>
        </w:rPr>
        <w:t xml:space="preserve">comprend une proposition de changements importants de la </w:t>
      </w:r>
      <w:r w:rsidRPr="0042639D">
        <w:rPr>
          <w:lang w:val="fr-CA"/>
        </w:rPr>
        <w:t xml:space="preserve">phase II </w:t>
      </w:r>
      <w:r>
        <w:rPr>
          <w:lang w:val="fr-CA"/>
        </w:rPr>
        <w:t>du</w:t>
      </w:r>
      <w:r w:rsidRPr="0042639D">
        <w:rPr>
          <w:lang w:val="fr-CA"/>
        </w:rPr>
        <w:t xml:space="preserve"> PGEH, </w:t>
      </w:r>
      <w:r>
        <w:rPr>
          <w:lang w:val="fr-CA"/>
        </w:rPr>
        <w:t>demande une prolongation de la date d’achèvement</w:t>
      </w:r>
      <w:r w:rsidRPr="0042639D">
        <w:rPr>
          <w:lang w:val="fr-CA"/>
        </w:rPr>
        <w:t>,</w:t>
      </w:r>
      <w:r>
        <w:rPr>
          <w:lang w:val="fr-CA"/>
        </w:rPr>
        <w:t xml:space="preserve"> et inclut un plan d’action pour </w:t>
      </w:r>
      <w:r w:rsidRPr="0042639D">
        <w:rPr>
          <w:lang w:val="fr-CA"/>
        </w:rPr>
        <w:t xml:space="preserve">2022-2023 </w:t>
      </w:r>
      <w:proofErr w:type="gramStart"/>
      <w:r w:rsidRPr="0042639D">
        <w:rPr>
          <w:lang w:val="fr-CA"/>
        </w:rPr>
        <w:t>action plan</w:t>
      </w:r>
      <w:proofErr w:type="gramEnd"/>
      <w:r w:rsidRPr="0042639D">
        <w:rPr>
          <w:lang w:val="fr-CA"/>
        </w:rPr>
        <w:t xml:space="preserve"> </w:t>
      </w:r>
      <w:r>
        <w:rPr>
          <w:lang w:val="fr-CA"/>
        </w:rPr>
        <w:t xml:space="preserve">et le </w:t>
      </w:r>
      <w:r w:rsidRPr="0042639D">
        <w:rPr>
          <w:lang w:val="fr-CA"/>
        </w:rPr>
        <w:t>rapport de vérification</w:t>
      </w:r>
      <w:r>
        <w:rPr>
          <w:lang w:val="fr-CA"/>
        </w:rPr>
        <w:t xml:space="preserve"> de </w:t>
      </w:r>
      <w:r w:rsidRPr="0042639D">
        <w:rPr>
          <w:lang w:val="fr-CA"/>
        </w:rPr>
        <w:t xml:space="preserve">2021; </w:t>
      </w:r>
      <w:r>
        <w:rPr>
          <w:lang w:val="fr-CA"/>
        </w:rPr>
        <w:t xml:space="preserve">la lettre d’autorisation du </w:t>
      </w:r>
      <w:r w:rsidRPr="0042639D">
        <w:rPr>
          <w:lang w:val="fr-CA"/>
        </w:rPr>
        <w:t xml:space="preserve">Gouvernement </w:t>
      </w:r>
      <w:r>
        <w:rPr>
          <w:lang w:val="fr-CA"/>
        </w:rPr>
        <w:t>accompagnait la soumission</w:t>
      </w:r>
      <w:r w:rsidRPr="0042639D">
        <w:rPr>
          <w:lang w:val="fr-CA"/>
        </w:rPr>
        <w:t xml:space="preserve">. </w:t>
      </w:r>
      <w:r>
        <w:rPr>
          <w:lang w:val="fr-CA"/>
        </w:rPr>
        <w:t>La</w:t>
      </w:r>
      <w:r w:rsidRPr="0042639D">
        <w:rPr>
          <w:lang w:val="fr-CA"/>
        </w:rPr>
        <w:t xml:space="preserve"> s</w:t>
      </w:r>
      <w:r>
        <w:rPr>
          <w:lang w:val="fr-CA"/>
        </w:rPr>
        <w:t xml:space="preserve">oumission n’inclut pas une demande à la présente réunion de libérer le financement de la </w:t>
      </w:r>
      <w:proofErr w:type="gramStart"/>
      <w:r>
        <w:rPr>
          <w:lang w:val="fr-CA"/>
        </w:rPr>
        <w:t xml:space="preserve">tranche  </w:t>
      </w:r>
      <w:r w:rsidRPr="0042639D">
        <w:rPr>
          <w:lang w:val="fr-CA"/>
        </w:rPr>
        <w:t>.</w:t>
      </w:r>
      <w:proofErr w:type="gramEnd"/>
    </w:p>
    <w:p w14:paraId="40AA57E3" w14:textId="77777777" w:rsidR="006345CD" w:rsidRPr="0042639D" w:rsidRDefault="006345CD" w:rsidP="006345CD">
      <w:pPr>
        <w:keepNext/>
        <w:keepLines/>
        <w:tabs>
          <w:tab w:val="left" w:pos="4677"/>
        </w:tabs>
        <w:spacing w:after="240"/>
        <w:rPr>
          <w:b/>
          <w:lang w:val="fr-CA"/>
        </w:rPr>
      </w:pPr>
      <w:r>
        <w:rPr>
          <w:b/>
          <w:lang w:val="fr-CA"/>
        </w:rPr>
        <w:t>Rapport d’avancement</w:t>
      </w:r>
      <w:r w:rsidRPr="0042639D">
        <w:rPr>
          <w:b/>
          <w:lang w:val="fr-CA"/>
        </w:rPr>
        <w:t xml:space="preserve"> </w:t>
      </w:r>
      <w:r>
        <w:rPr>
          <w:b/>
          <w:lang w:val="fr-CA"/>
        </w:rPr>
        <w:t xml:space="preserve">soumis à la </w:t>
      </w:r>
      <w:r w:rsidRPr="0042639D">
        <w:rPr>
          <w:b/>
          <w:lang w:val="fr-CA"/>
        </w:rPr>
        <w:t>90</w:t>
      </w:r>
      <w:r w:rsidRPr="00E85CD3">
        <w:rPr>
          <w:b/>
          <w:vertAlign w:val="superscript"/>
          <w:lang w:val="fr-CA"/>
        </w:rPr>
        <w:t>e</w:t>
      </w:r>
      <w:r>
        <w:rPr>
          <w:b/>
          <w:lang w:val="fr-CA"/>
        </w:rPr>
        <w:t xml:space="preserve"> </w:t>
      </w:r>
      <w:r w:rsidRPr="0042639D">
        <w:rPr>
          <w:b/>
          <w:lang w:val="fr-CA"/>
        </w:rPr>
        <w:t>réunion</w:t>
      </w:r>
    </w:p>
    <w:p w14:paraId="61FA660C" w14:textId="77777777" w:rsidR="006345CD" w:rsidRPr="0042639D" w:rsidRDefault="006345CD" w:rsidP="006345CD">
      <w:pPr>
        <w:pStyle w:val="Heading3"/>
        <w:numPr>
          <w:ilvl w:val="0"/>
          <w:numId w:val="0"/>
        </w:numPr>
        <w:tabs>
          <w:tab w:val="left" w:pos="708"/>
        </w:tabs>
        <w:rPr>
          <w:u w:val="single"/>
          <w:lang w:val="fr-CA"/>
        </w:rPr>
      </w:pPr>
      <w:r w:rsidRPr="0042639D">
        <w:rPr>
          <w:u w:val="single"/>
          <w:lang w:val="fr-CA"/>
        </w:rPr>
        <w:t>R</w:t>
      </w:r>
      <w:r>
        <w:rPr>
          <w:u w:val="single"/>
          <w:lang w:val="fr-CA"/>
        </w:rPr>
        <w:t>ap</w:t>
      </w:r>
      <w:r w:rsidRPr="0042639D">
        <w:rPr>
          <w:u w:val="single"/>
          <w:lang w:val="fr-CA"/>
        </w:rPr>
        <w:t xml:space="preserve">port </w:t>
      </w:r>
      <w:r>
        <w:rPr>
          <w:u w:val="single"/>
          <w:lang w:val="fr-CA"/>
        </w:rPr>
        <w:t>sur la consommation de</w:t>
      </w:r>
      <w:r w:rsidRPr="0042639D">
        <w:rPr>
          <w:u w:val="single"/>
          <w:lang w:val="fr-CA"/>
        </w:rPr>
        <w:t xml:space="preserve"> HCFC</w:t>
      </w:r>
    </w:p>
    <w:p w14:paraId="5E29B83E" w14:textId="77777777" w:rsidR="006345CD" w:rsidRPr="0042639D" w:rsidRDefault="006345CD" w:rsidP="006345CD">
      <w:pPr>
        <w:pStyle w:val="Heading1"/>
        <w:numPr>
          <w:ilvl w:val="0"/>
          <w:numId w:val="30"/>
        </w:numPr>
        <w:rPr>
          <w:lang w:val="fr-CA"/>
        </w:rPr>
      </w:pPr>
      <w:r>
        <w:rPr>
          <w:lang w:val="fr-CA"/>
        </w:rPr>
        <w:t>L</w:t>
      </w:r>
      <w:r w:rsidRPr="0042639D">
        <w:rPr>
          <w:lang w:val="fr-CA"/>
        </w:rPr>
        <w:t xml:space="preserve">e Gouvernement </w:t>
      </w:r>
      <w:r>
        <w:rPr>
          <w:lang w:val="fr-CA"/>
        </w:rPr>
        <w:t>du</w:t>
      </w:r>
      <w:r w:rsidRPr="0042639D">
        <w:rPr>
          <w:lang w:val="fr-CA"/>
        </w:rPr>
        <w:t xml:space="preserve"> Viet Nam </w:t>
      </w:r>
      <w:r>
        <w:rPr>
          <w:lang w:val="fr-CA"/>
        </w:rPr>
        <w:t>a indiqué dans le rapport de mise en œuvre du programme de pays</w:t>
      </w:r>
      <w:r w:rsidRPr="0042639D">
        <w:rPr>
          <w:lang w:val="fr-CA"/>
        </w:rPr>
        <w:t xml:space="preserve"> (</w:t>
      </w:r>
      <w:r>
        <w:rPr>
          <w:lang w:val="fr-CA"/>
        </w:rPr>
        <w:t>P</w:t>
      </w:r>
      <w:r w:rsidRPr="0042639D">
        <w:rPr>
          <w:lang w:val="fr-CA"/>
        </w:rPr>
        <w:t xml:space="preserve">P) </w:t>
      </w:r>
      <w:r>
        <w:rPr>
          <w:lang w:val="fr-CA"/>
        </w:rPr>
        <w:t xml:space="preserve">une consommation de </w:t>
      </w:r>
      <w:r w:rsidRPr="0042639D">
        <w:rPr>
          <w:lang w:val="fr-CA"/>
        </w:rPr>
        <w:t>141</w:t>
      </w:r>
      <w:r>
        <w:rPr>
          <w:lang w:val="fr-CA"/>
        </w:rPr>
        <w:t>,</w:t>
      </w:r>
      <w:r w:rsidRPr="0042639D">
        <w:rPr>
          <w:lang w:val="fr-CA"/>
        </w:rPr>
        <w:t xml:space="preserve">79 tonnes </w:t>
      </w:r>
      <w:r>
        <w:rPr>
          <w:lang w:val="fr-CA"/>
        </w:rPr>
        <w:t xml:space="preserve">PAO de </w:t>
      </w:r>
      <w:r w:rsidRPr="0042639D">
        <w:rPr>
          <w:lang w:val="fr-CA"/>
        </w:rPr>
        <w:t xml:space="preserve">HCFC </w:t>
      </w:r>
      <w:r>
        <w:rPr>
          <w:lang w:val="fr-CA"/>
        </w:rPr>
        <w:t>e</w:t>
      </w:r>
      <w:r w:rsidRPr="0042639D">
        <w:rPr>
          <w:lang w:val="fr-CA"/>
        </w:rPr>
        <w:t xml:space="preserve">n 2021, </w:t>
      </w:r>
      <w:r>
        <w:rPr>
          <w:lang w:val="fr-CA"/>
        </w:rPr>
        <w:t xml:space="preserve">soit </w:t>
      </w:r>
      <w:r w:rsidRPr="0042639D">
        <w:rPr>
          <w:lang w:val="fr-CA"/>
        </w:rPr>
        <w:t>36</w:t>
      </w:r>
      <w:r>
        <w:rPr>
          <w:lang w:val="fr-CA"/>
        </w:rPr>
        <w:t xml:space="preserve"> % en dessous du niveau de référence pour </w:t>
      </w:r>
      <w:proofErr w:type="gramStart"/>
      <w:r>
        <w:rPr>
          <w:lang w:val="fr-CA"/>
        </w:rPr>
        <w:t xml:space="preserve">les </w:t>
      </w:r>
      <w:r w:rsidRPr="0042639D">
        <w:rPr>
          <w:lang w:val="fr-CA"/>
        </w:rPr>
        <w:t> HCFC</w:t>
      </w:r>
      <w:proofErr w:type="gramEnd"/>
      <w:r w:rsidRPr="0042639D">
        <w:rPr>
          <w:lang w:val="fr-CA"/>
        </w:rPr>
        <w:t xml:space="preserve"> </w:t>
      </w:r>
      <w:r>
        <w:rPr>
          <w:lang w:val="fr-CA"/>
        </w:rPr>
        <w:t>aux fins de conformité</w:t>
      </w:r>
      <w:r w:rsidRPr="0042639D">
        <w:rPr>
          <w:lang w:val="fr-CA"/>
        </w:rPr>
        <w:t xml:space="preserve">. </w:t>
      </w:r>
      <w:r>
        <w:rPr>
          <w:lang w:val="fr-CA"/>
        </w:rPr>
        <w:t>Les données visées à l’A</w:t>
      </w:r>
      <w:r w:rsidRPr="0042639D">
        <w:rPr>
          <w:lang w:val="fr-CA"/>
        </w:rPr>
        <w:t xml:space="preserve">rticle 7 </w:t>
      </w:r>
      <w:r>
        <w:rPr>
          <w:lang w:val="fr-CA"/>
        </w:rPr>
        <w:t xml:space="preserve">pour </w:t>
      </w:r>
      <w:r w:rsidRPr="0042639D">
        <w:rPr>
          <w:lang w:val="fr-CA"/>
        </w:rPr>
        <w:t xml:space="preserve">2021 </w:t>
      </w:r>
      <w:r>
        <w:rPr>
          <w:lang w:val="fr-CA"/>
        </w:rPr>
        <w:t>n’ont pas encore été communiquées</w:t>
      </w:r>
      <w:r w:rsidRPr="0042639D">
        <w:rPr>
          <w:lang w:val="fr-CA"/>
        </w:rPr>
        <w:t xml:space="preserve">. </w:t>
      </w:r>
      <w:r>
        <w:rPr>
          <w:lang w:val="fr-CA"/>
        </w:rPr>
        <w:t>L</w:t>
      </w:r>
      <w:r w:rsidRPr="0042639D">
        <w:rPr>
          <w:lang w:val="fr-CA"/>
        </w:rPr>
        <w:t xml:space="preserve">e Gouvernement </w:t>
      </w:r>
      <w:r>
        <w:rPr>
          <w:lang w:val="fr-CA"/>
        </w:rPr>
        <w:t xml:space="preserve">a soumis les données de consommation par secteur dans le rapport de mise en œuvre du PP pour </w:t>
      </w:r>
      <w:r w:rsidRPr="0042639D">
        <w:rPr>
          <w:lang w:val="fr-CA"/>
        </w:rPr>
        <w:t>2020</w:t>
      </w:r>
      <w:r>
        <w:rPr>
          <w:lang w:val="fr-CA"/>
        </w:rPr>
        <w:t>, qui sont conformes aux données indiquées au titre de l’A</w:t>
      </w:r>
      <w:r w:rsidRPr="0042639D">
        <w:rPr>
          <w:lang w:val="fr-CA"/>
        </w:rPr>
        <w:t xml:space="preserve">rticle 7 </w:t>
      </w:r>
      <w:r>
        <w:rPr>
          <w:lang w:val="fr-CA"/>
        </w:rPr>
        <w:t>du</w:t>
      </w:r>
      <w:r w:rsidRPr="0042639D">
        <w:rPr>
          <w:lang w:val="fr-CA"/>
        </w:rPr>
        <w:t xml:space="preserve"> </w:t>
      </w:r>
      <w:r>
        <w:rPr>
          <w:lang w:val="fr-CA"/>
        </w:rPr>
        <w:t>Protocole de Montréal</w:t>
      </w:r>
      <w:r w:rsidRPr="0042639D">
        <w:rPr>
          <w:lang w:val="fr-CA"/>
        </w:rPr>
        <w:t xml:space="preserve">. </w:t>
      </w:r>
      <w:r>
        <w:rPr>
          <w:lang w:val="fr-CA"/>
        </w:rPr>
        <w:t xml:space="preserve">La consommation de HCFC pour la période </w:t>
      </w:r>
      <w:r w:rsidRPr="0042639D">
        <w:rPr>
          <w:lang w:val="fr-CA"/>
        </w:rPr>
        <w:t>2017-2021</w:t>
      </w:r>
      <w:r>
        <w:rPr>
          <w:lang w:val="fr-CA"/>
        </w:rPr>
        <w:t xml:space="preserve"> est indiquée dans </w:t>
      </w:r>
      <w:proofErr w:type="gramStart"/>
      <w:r>
        <w:rPr>
          <w:lang w:val="fr-CA"/>
        </w:rPr>
        <w:t xml:space="preserve">le </w:t>
      </w:r>
      <w:r w:rsidRPr="0042639D">
        <w:rPr>
          <w:lang w:val="fr-CA"/>
        </w:rPr>
        <w:t xml:space="preserve"> Tableau</w:t>
      </w:r>
      <w:proofErr w:type="gramEnd"/>
      <w:r w:rsidRPr="0042639D">
        <w:rPr>
          <w:lang w:val="fr-CA"/>
        </w:rPr>
        <w:t xml:space="preserve"> 11. </w:t>
      </w:r>
    </w:p>
    <w:p w14:paraId="018E1338" w14:textId="77777777" w:rsidR="006345CD" w:rsidRPr="0042639D" w:rsidRDefault="006345CD" w:rsidP="006345CD">
      <w:pPr>
        <w:rPr>
          <w:b/>
          <w:lang w:val="fr-CA"/>
        </w:rPr>
      </w:pPr>
      <w:r w:rsidRPr="0042639D">
        <w:rPr>
          <w:b/>
          <w:lang w:val="fr-CA"/>
        </w:rPr>
        <w:t xml:space="preserve">Tableau 11. </w:t>
      </w:r>
      <w:r>
        <w:rPr>
          <w:b/>
          <w:lang w:val="fr-CA"/>
        </w:rPr>
        <w:t xml:space="preserve">Consommation de </w:t>
      </w:r>
      <w:r w:rsidRPr="0042639D">
        <w:rPr>
          <w:b/>
          <w:lang w:val="fr-CA"/>
        </w:rPr>
        <w:t xml:space="preserve">HCFC </w:t>
      </w:r>
      <w:r>
        <w:rPr>
          <w:b/>
          <w:lang w:val="fr-CA"/>
        </w:rPr>
        <w:t>au</w:t>
      </w:r>
      <w:r w:rsidRPr="0042639D">
        <w:rPr>
          <w:b/>
          <w:lang w:val="fr-CA"/>
        </w:rPr>
        <w:t xml:space="preserve"> Viet Nam (</w:t>
      </w:r>
      <w:r>
        <w:rPr>
          <w:b/>
          <w:lang w:val="fr-CA"/>
        </w:rPr>
        <w:t xml:space="preserve">données visées à l’Article 7 pour </w:t>
      </w:r>
      <w:r w:rsidRPr="0042639D">
        <w:rPr>
          <w:b/>
          <w:lang w:val="fr-CA"/>
        </w:rPr>
        <w:t>2017-2021)</w:t>
      </w:r>
    </w:p>
    <w:tbl>
      <w:tblPr>
        <w:tblW w:w="5000" w:type="pct"/>
        <w:tblLook w:val="04A0" w:firstRow="1" w:lastRow="0" w:firstColumn="1" w:lastColumn="0" w:noHBand="0" w:noVBand="1"/>
      </w:tblPr>
      <w:tblGrid>
        <w:gridCol w:w="3891"/>
        <w:gridCol w:w="1019"/>
        <w:gridCol w:w="851"/>
        <w:gridCol w:w="851"/>
        <w:gridCol w:w="851"/>
        <w:gridCol w:w="888"/>
        <w:gridCol w:w="999"/>
      </w:tblGrid>
      <w:tr w:rsidR="006345CD" w:rsidRPr="00BC1B44" w14:paraId="0065B7F1" w14:textId="77777777" w:rsidTr="006023A6">
        <w:trPr>
          <w:tblHeader/>
        </w:trPr>
        <w:tc>
          <w:tcPr>
            <w:tcW w:w="20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2840603" w14:textId="77777777" w:rsidR="006345CD" w:rsidRPr="00BC1B44" w:rsidRDefault="006345CD" w:rsidP="006023A6">
            <w:pPr>
              <w:widowControl w:val="0"/>
              <w:jc w:val="left"/>
              <w:rPr>
                <w:b/>
                <w:bCs/>
                <w:color w:val="000000"/>
                <w:sz w:val="18"/>
                <w:szCs w:val="20"/>
                <w:lang w:val="fr-CA"/>
              </w:rPr>
            </w:pPr>
            <w:r w:rsidRPr="00BC1B44">
              <w:rPr>
                <w:b/>
                <w:bCs/>
                <w:color w:val="000000"/>
                <w:sz w:val="18"/>
                <w:szCs w:val="20"/>
                <w:lang w:val="fr-CA"/>
              </w:rPr>
              <w:t>HCFC</w:t>
            </w:r>
          </w:p>
        </w:tc>
        <w:tc>
          <w:tcPr>
            <w:tcW w:w="551" w:type="pct"/>
            <w:tcBorders>
              <w:top w:val="single" w:sz="4" w:space="0" w:color="auto"/>
              <w:left w:val="single" w:sz="4" w:space="0" w:color="auto"/>
              <w:bottom w:val="single" w:sz="4" w:space="0" w:color="auto"/>
              <w:right w:val="single" w:sz="4" w:space="0" w:color="auto"/>
            </w:tcBorders>
            <w:hideMark/>
          </w:tcPr>
          <w:p w14:paraId="5DE7838C" w14:textId="77777777" w:rsidR="006345CD" w:rsidRPr="00BC1B44" w:rsidRDefault="006345CD" w:rsidP="006023A6">
            <w:pPr>
              <w:widowControl w:val="0"/>
              <w:jc w:val="center"/>
              <w:rPr>
                <w:b/>
                <w:bCs/>
                <w:color w:val="000000"/>
                <w:sz w:val="18"/>
                <w:szCs w:val="20"/>
                <w:lang w:val="fr-CA"/>
              </w:rPr>
            </w:pPr>
            <w:r w:rsidRPr="00BC1B44">
              <w:rPr>
                <w:b/>
                <w:bCs/>
                <w:color w:val="000000"/>
                <w:sz w:val="18"/>
                <w:szCs w:val="20"/>
                <w:lang w:val="fr-CA"/>
              </w:rPr>
              <w:t>2017</w:t>
            </w:r>
          </w:p>
        </w:tc>
        <w:tc>
          <w:tcPr>
            <w:tcW w:w="461" w:type="pct"/>
            <w:tcBorders>
              <w:top w:val="single" w:sz="4" w:space="0" w:color="auto"/>
              <w:left w:val="single" w:sz="4" w:space="0" w:color="auto"/>
              <w:bottom w:val="single" w:sz="4" w:space="0" w:color="auto"/>
              <w:right w:val="single" w:sz="4" w:space="0" w:color="auto"/>
            </w:tcBorders>
            <w:hideMark/>
          </w:tcPr>
          <w:p w14:paraId="15AE6ABA" w14:textId="77777777" w:rsidR="006345CD" w:rsidRPr="00BC1B44" w:rsidRDefault="006345CD" w:rsidP="006023A6">
            <w:pPr>
              <w:widowControl w:val="0"/>
              <w:jc w:val="center"/>
              <w:rPr>
                <w:b/>
                <w:bCs/>
                <w:color w:val="000000"/>
                <w:sz w:val="18"/>
                <w:szCs w:val="20"/>
                <w:lang w:val="fr-CA"/>
              </w:rPr>
            </w:pPr>
            <w:r w:rsidRPr="00BC1B44">
              <w:rPr>
                <w:b/>
                <w:bCs/>
                <w:color w:val="000000"/>
                <w:sz w:val="18"/>
                <w:szCs w:val="20"/>
                <w:lang w:val="fr-CA"/>
              </w:rPr>
              <w:t>2018</w:t>
            </w:r>
          </w:p>
        </w:tc>
        <w:tc>
          <w:tcPr>
            <w:tcW w:w="461" w:type="pct"/>
            <w:tcBorders>
              <w:top w:val="single" w:sz="4" w:space="0" w:color="auto"/>
              <w:left w:val="single" w:sz="4" w:space="0" w:color="auto"/>
              <w:bottom w:val="single" w:sz="4" w:space="0" w:color="auto"/>
              <w:right w:val="single" w:sz="4" w:space="0" w:color="auto"/>
            </w:tcBorders>
            <w:hideMark/>
          </w:tcPr>
          <w:p w14:paraId="5F412561" w14:textId="77777777" w:rsidR="006345CD" w:rsidRPr="00BC1B44" w:rsidRDefault="006345CD" w:rsidP="006023A6">
            <w:pPr>
              <w:widowControl w:val="0"/>
              <w:jc w:val="center"/>
              <w:rPr>
                <w:b/>
                <w:bCs/>
                <w:color w:val="000000"/>
                <w:sz w:val="18"/>
                <w:szCs w:val="20"/>
                <w:lang w:val="fr-CA"/>
              </w:rPr>
            </w:pPr>
            <w:r w:rsidRPr="00BC1B44">
              <w:rPr>
                <w:b/>
                <w:bCs/>
                <w:color w:val="000000"/>
                <w:sz w:val="18"/>
                <w:szCs w:val="20"/>
                <w:lang w:val="fr-CA"/>
              </w:rPr>
              <w:t>2019</w:t>
            </w:r>
          </w:p>
        </w:tc>
        <w:tc>
          <w:tcPr>
            <w:tcW w:w="461" w:type="pct"/>
            <w:tcBorders>
              <w:top w:val="single" w:sz="4" w:space="0" w:color="auto"/>
              <w:left w:val="single" w:sz="4" w:space="0" w:color="auto"/>
              <w:bottom w:val="single" w:sz="4" w:space="0" w:color="auto"/>
              <w:right w:val="single" w:sz="4" w:space="0" w:color="auto"/>
            </w:tcBorders>
            <w:hideMark/>
          </w:tcPr>
          <w:p w14:paraId="6143E2D6" w14:textId="77777777" w:rsidR="006345CD" w:rsidRPr="00BC1B44" w:rsidRDefault="006345CD" w:rsidP="006023A6">
            <w:pPr>
              <w:widowControl w:val="0"/>
              <w:jc w:val="center"/>
              <w:rPr>
                <w:b/>
                <w:bCs/>
                <w:color w:val="000000"/>
                <w:sz w:val="18"/>
                <w:szCs w:val="20"/>
                <w:lang w:val="fr-CA"/>
              </w:rPr>
            </w:pPr>
            <w:r w:rsidRPr="00BC1B44">
              <w:rPr>
                <w:b/>
                <w:bCs/>
                <w:color w:val="000000"/>
                <w:sz w:val="18"/>
                <w:szCs w:val="20"/>
                <w:lang w:val="fr-CA"/>
              </w:rPr>
              <w:t>2020</w:t>
            </w:r>
          </w:p>
        </w:tc>
        <w:tc>
          <w:tcPr>
            <w:tcW w:w="481" w:type="pct"/>
            <w:tcBorders>
              <w:top w:val="single" w:sz="4" w:space="0" w:color="auto"/>
              <w:left w:val="single" w:sz="4" w:space="0" w:color="auto"/>
              <w:bottom w:val="single" w:sz="4" w:space="0" w:color="auto"/>
              <w:right w:val="single" w:sz="4" w:space="0" w:color="auto"/>
            </w:tcBorders>
            <w:hideMark/>
          </w:tcPr>
          <w:p w14:paraId="04621B77" w14:textId="77777777" w:rsidR="006345CD" w:rsidRPr="00BC1B44" w:rsidRDefault="006345CD" w:rsidP="006023A6">
            <w:pPr>
              <w:widowControl w:val="0"/>
              <w:jc w:val="center"/>
              <w:rPr>
                <w:b/>
                <w:bCs/>
                <w:color w:val="000000"/>
                <w:sz w:val="18"/>
                <w:szCs w:val="20"/>
                <w:lang w:val="fr-CA"/>
              </w:rPr>
            </w:pPr>
            <w:r w:rsidRPr="00BC1B44">
              <w:rPr>
                <w:b/>
                <w:bCs/>
                <w:color w:val="000000"/>
                <w:sz w:val="18"/>
                <w:szCs w:val="20"/>
                <w:lang w:val="fr-CA"/>
              </w:rPr>
              <w:t>2021*</w:t>
            </w:r>
          </w:p>
        </w:tc>
        <w:tc>
          <w:tcPr>
            <w:tcW w:w="540" w:type="pct"/>
            <w:tcBorders>
              <w:top w:val="single" w:sz="4" w:space="0" w:color="auto"/>
              <w:left w:val="single" w:sz="4" w:space="0" w:color="auto"/>
              <w:bottom w:val="single" w:sz="4" w:space="0" w:color="auto"/>
              <w:right w:val="single" w:sz="4" w:space="0" w:color="auto"/>
            </w:tcBorders>
            <w:noWrap/>
            <w:vAlign w:val="center"/>
            <w:hideMark/>
          </w:tcPr>
          <w:p w14:paraId="42C4510A" w14:textId="77777777" w:rsidR="006345CD" w:rsidRPr="00BC1B44" w:rsidRDefault="006345CD" w:rsidP="006023A6">
            <w:pPr>
              <w:widowControl w:val="0"/>
              <w:jc w:val="center"/>
              <w:rPr>
                <w:b/>
                <w:bCs/>
                <w:color w:val="000000"/>
                <w:sz w:val="18"/>
                <w:szCs w:val="20"/>
                <w:lang w:val="fr-CA"/>
              </w:rPr>
            </w:pPr>
            <w:r w:rsidRPr="00BC1B44">
              <w:rPr>
                <w:b/>
                <w:bCs/>
                <w:color w:val="000000"/>
                <w:sz w:val="18"/>
                <w:szCs w:val="20"/>
                <w:lang w:val="fr-CA"/>
              </w:rPr>
              <w:t>Référence</w:t>
            </w:r>
          </w:p>
        </w:tc>
      </w:tr>
      <w:tr w:rsidR="006345CD" w:rsidRPr="00BC1B44" w14:paraId="0AE297A7" w14:textId="77777777" w:rsidTr="006023A6">
        <w:trPr>
          <w:tblHeader/>
        </w:trPr>
        <w:tc>
          <w:tcPr>
            <w:tcW w:w="20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594E3AB8" w14:textId="77777777" w:rsidR="006345CD" w:rsidRPr="00BC1B44" w:rsidRDefault="006345CD" w:rsidP="006023A6">
            <w:pPr>
              <w:widowControl w:val="0"/>
              <w:jc w:val="left"/>
              <w:rPr>
                <w:b/>
                <w:bCs/>
                <w:color w:val="000000"/>
                <w:sz w:val="18"/>
                <w:szCs w:val="20"/>
                <w:lang w:val="fr-CA"/>
              </w:rPr>
            </w:pPr>
            <w:r w:rsidRPr="00BC1B44">
              <w:rPr>
                <w:b/>
                <w:bCs/>
                <w:color w:val="000000"/>
                <w:sz w:val="18"/>
                <w:szCs w:val="20"/>
                <w:lang w:val="fr-CA"/>
              </w:rPr>
              <w:t>Tonnes métriques</w:t>
            </w:r>
          </w:p>
        </w:tc>
        <w:tc>
          <w:tcPr>
            <w:tcW w:w="551" w:type="pct"/>
            <w:tcBorders>
              <w:top w:val="single" w:sz="4" w:space="0" w:color="auto"/>
              <w:left w:val="single" w:sz="4" w:space="0" w:color="auto"/>
              <w:bottom w:val="single" w:sz="4" w:space="0" w:color="auto"/>
              <w:right w:val="single" w:sz="4" w:space="0" w:color="auto"/>
            </w:tcBorders>
          </w:tcPr>
          <w:p w14:paraId="292F7818" w14:textId="77777777" w:rsidR="006345CD" w:rsidRPr="00BC1B44" w:rsidRDefault="006345CD" w:rsidP="006023A6">
            <w:pPr>
              <w:widowControl w:val="0"/>
              <w:jc w:val="center"/>
              <w:rPr>
                <w:b/>
                <w:bCs/>
                <w:color w:val="000000"/>
                <w:sz w:val="18"/>
                <w:szCs w:val="20"/>
                <w:lang w:val="fr-CA"/>
              </w:rPr>
            </w:pPr>
          </w:p>
        </w:tc>
        <w:tc>
          <w:tcPr>
            <w:tcW w:w="461" w:type="pct"/>
            <w:tcBorders>
              <w:top w:val="single" w:sz="4" w:space="0" w:color="auto"/>
              <w:left w:val="single" w:sz="4" w:space="0" w:color="auto"/>
              <w:bottom w:val="single" w:sz="4" w:space="0" w:color="auto"/>
              <w:right w:val="single" w:sz="4" w:space="0" w:color="auto"/>
            </w:tcBorders>
          </w:tcPr>
          <w:p w14:paraId="1D1EEB04" w14:textId="77777777" w:rsidR="006345CD" w:rsidRPr="00BC1B44" w:rsidRDefault="006345CD" w:rsidP="006023A6">
            <w:pPr>
              <w:widowControl w:val="0"/>
              <w:jc w:val="center"/>
              <w:rPr>
                <w:b/>
                <w:bCs/>
                <w:color w:val="000000"/>
                <w:sz w:val="18"/>
                <w:szCs w:val="20"/>
                <w:lang w:val="fr-CA"/>
              </w:rPr>
            </w:pPr>
          </w:p>
        </w:tc>
        <w:tc>
          <w:tcPr>
            <w:tcW w:w="461" w:type="pct"/>
            <w:tcBorders>
              <w:top w:val="single" w:sz="4" w:space="0" w:color="auto"/>
              <w:left w:val="single" w:sz="4" w:space="0" w:color="auto"/>
              <w:bottom w:val="single" w:sz="4" w:space="0" w:color="auto"/>
              <w:right w:val="single" w:sz="4" w:space="0" w:color="auto"/>
            </w:tcBorders>
          </w:tcPr>
          <w:p w14:paraId="462AB811" w14:textId="77777777" w:rsidR="006345CD" w:rsidRPr="00BC1B44" w:rsidRDefault="006345CD" w:rsidP="006023A6">
            <w:pPr>
              <w:widowControl w:val="0"/>
              <w:jc w:val="center"/>
              <w:rPr>
                <w:b/>
                <w:bCs/>
                <w:color w:val="000000"/>
                <w:sz w:val="18"/>
                <w:szCs w:val="20"/>
                <w:lang w:val="fr-CA"/>
              </w:rPr>
            </w:pPr>
          </w:p>
        </w:tc>
        <w:tc>
          <w:tcPr>
            <w:tcW w:w="461" w:type="pct"/>
            <w:tcBorders>
              <w:top w:val="single" w:sz="4" w:space="0" w:color="auto"/>
              <w:left w:val="single" w:sz="4" w:space="0" w:color="auto"/>
              <w:bottom w:val="single" w:sz="4" w:space="0" w:color="auto"/>
              <w:right w:val="single" w:sz="4" w:space="0" w:color="auto"/>
            </w:tcBorders>
          </w:tcPr>
          <w:p w14:paraId="6FE4462E" w14:textId="77777777" w:rsidR="006345CD" w:rsidRPr="00BC1B44" w:rsidRDefault="006345CD" w:rsidP="006023A6">
            <w:pPr>
              <w:widowControl w:val="0"/>
              <w:jc w:val="center"/>
              <w:rPr>
                <w:b/>
                <w:bCs/>
                <w:color w:val="000000"/>
                <w:sz w:val="18"/>
                <w:szCs w:val="20"/>
                <w:lang w:val="fr-CA"/>
              </w:rPr>
            </w:pPr>
          </w:p>
        </w:tc>
        <w:tc>
          <w:tcPr>
            <w:tcW w:w="481" w:type="pct"/>
            <w:tcBorders>
              <w:top w:val="single" w:sz="4" w:space="0" w:color="auto"/>
              <w:left w:val="single" w:sz="4" w:space="0" w:color="auto"/>
              <w:bottom w:val="single" w:sz="4" w:space="0" w:color="auto"/>
              <w:right w:val="single" w:sz="4" w:space="0" w:color="auto"/>
            </w:tcBorders>
          </w:tcPr>
          <w:p w14:paraId="23654308" w14:textId="77777777" w:rsidR="006345CD" w:rsidRPr="00BC1B44" w:rsidRDefault="006345CD" w:rsidP="006023A6">
            <w:pPr>
              <w:widowControl w:val="0"/>
              <w:jc w:val="center"/>
              <w:rPr>
                <w:b/>
                <w:bCs/>
                <w:color w:val="000000"/>
                <w:sz w:val="18"/>
                <w:szCs w:val="20"/>
                <w:lang w:val="fr-CA"/>
              </w:rPr>
            </w:pPr>
          </w:p>
        </w:tc>
        <w:tc>
          <w:tcPr>
            <w:tcW w:w="540" w:type="pct"/>
            <w:tcBorders>
              <w:top w:val="single" w:sz="4" w:space="0" w:color="auto"/>
              <w:left w:val="single" w:sz="4" w:space="0" w:color="auto"/>
              <w:bottom w:val="single" w:sz="4" w:space="0" w:color="auto"/>
              <w:right w:val="single" w:sz="4" w:space="0" w:color="auto"/>
            </w:tcBorders>
            <w:noWrap/>
            <w:vAlign w:val="center"/>
          </w:tcPr>
          <w:p w14:paraId="7EC9482B" w14:textId="77777777" w:rsidR="006345CD" w:rsidRPr="00BC1B44" w:rsidRDefault="006345CD" w:rsidP="006023A6">
            <w:pPr>
              <w:widowControl w:val="0"/>
              <w:jc w:val="center"/>
              <w:rPr>
                <w:b/>
                <w:bCs/>
                <w:color w:val="000000"/>
                <w:sz w:val="18"/>
                <w:szCs w:val="20"/>
                <w:lang w:val="fr-CA"/>
              </w:rPr>
            </w:pPr>
          </w:p>
        </w:tc>
      </w:tr>
      <w:tr w:rsidR="006345CD" w:rsidRPr="00BC1B44" w14:paraId="534BDBD5"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31E0A93A"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HCFC-22</w:t>
            </w:r>
          </w:p>
        </w:tc>
        <w:tc>
          <w:tcPr>
            <w:tcW w:w="551" w:type="pct"/>
            <w:tcBorders>
              <w:top w:val="nil"/>
              <w:left w:val="single" w:sz="4" w:space="0" w:color="auto"/>
              <w:bottom w:val="single" w:sz="4" w:space="0" w:color="auto"/>
              <w:right w:val="single" w:sz="4" w:space="0" w:color="auto"/>
            </w:tcBorders>
            <w:vAlign w:val="bottom"/>
            <w:hideMark/>
          </w:tcPr>
          <w:p w14:paraId="12C8DB75" w14:textId="77777777" w:rsidR="006345CD" w:rsidRPr="00BC1B44" w:rsidRDefault="006345CD" w:rsidP="006023A6">
            <w:pPr>
              <w:jc w:val="right"/>
              <w:rPr>
                <w:color w:val="000000"/>
                <w:sz w:val="18"/>
                <w:szCs w:val="20"/>
                <w:lang w:val="fr-CA"/>
              </w:rPr>
            </w:pPr>
            <w:r w:rsidRPr="00BC1B44">
              <w:rPr>
                <w:color w:val="000000"/>
                <w:sz w:val="18"/>
                <w:szCs w:val="20"/>
                <w:lang w:val="fr-CA"/>
              </w:rPr>
              <w:t>3 568,52</w:t>
            </w:r>
          </w:p>
        </w:tc>
        <w:tc>
          <w:tcPr>
            <w:tcW w:w="461" w:type="pct"/>
            <w:tcBorders>
              <w:top w:val="nil"/>
              <w:left w:val="single" w:sz="4" w:space="0" w:color="auto"/>
              <w:bottom w:val="single" w:sz="4" w:space="0" w:color="auto"/>
              <w:right w:val="single" w:sz="4" w:space="0" w:color="auto"/>
            </w:tcBorders>
            <w:vAlign w:val="bottom"/>
            <w:hideMark/>
          </w:tcPr>
          <w:p w14:paraId="3E97D29F" w14:textId="77777777" w:rsidR="006345CD" w:rsidRPr="00BC1B44" w:rsidRDefault="006345CD" w:rsidP="006023A6">
            <w:pPr>
              <w:jc w:val="right"/>
              <w:rPr>
                <w:color w:val="000000"/>
                <w:sz w:val="18"/>
                <w:szCs w:val="20"/>
                <w:lang w:val="fr-CA"/>
              </w:rPr>
            </w:pPr>
            <w:r w:rsidRPr="00BC1B44">
              <w:rPr>
                <w:color w:val="000000"/>
                <w:sz w:val="18"/>
                <w:szCs w:val="20"/>
                <w:lang w:val="fr-CA"/>
              </w:rPr>
              <w:t>3 516,23</w:t>
            </w:r>
          </w:p>
        </w:tc>
        <w:tc>
          <w:tcPr>
            <w:tcW w:w="461" w:type="pct"/>
            <w:tcBorders>
              <w:top w:val="nil"/>
              <w:left w:val="single" w:sz="4" w:space="0" w:color="auto"/>
              <w:bottom w:val="single" w:sz="4" w:space="0" w:color="auto"/>
              <w:right w:val="single" w:sz="4" w:space="0" w:color="auto"/>
            </w:tcBorders>
            <w:vAlign w:val="bottom"/>
            <w:hideMark/>
          </w:tcPr>
          <w:p w14:paraId="617803AA" w14:textId="77777777" w:rsidR="006345CD" w:rsidRPr="00BC1B44" w:rsidRDefault="006345CD" w:rsidP="006023A6">
            <w:pPr>
              <w:jc w:val="right"/>
              <w:rPr>
                <w:color w:val="000000"/>
                <w:sz w:val="18"/>
                <w:szCs w:val="20"/>
                <w:lang w:val="fr-CA"/>
              </w:rPr>
            </w:pPr>
            <w:r w:rsidRPr="00BC1B44">
              <w:rPr>
                <w:color w:val="000000"/>
                <w:sz w:val="18"/>
                <w:szCs w:val="20"/>
                <w:lang w:val="fr-CA"/>
              </w:rPr>
              <w:t>3 558,55</w:t>
            </w:r>
          </w:p>
        </w:tc>
        <w:tc>
          <w:tcPr>
            <w:tcW w:w="461" w:type="pct"/>
            <w:tcBorders>
              <w:top w:val="nil"/>
              <w:left w:val="single" w:sz="4" w:space="0" w:color="auto"/>
              <w:bottom w:val="single" w:sz="4" w:space="0" w:color="auto"/>
              <w:right w:val="single" w:sz="4" w:space="0" w:color="auto"/>
            </w:tcBorders>
            <w:hideMark/>
          </w:tcPr>
          <w:p w14:paraId="54316BCB" w14:textId="77777777" w:rsidR="006345CD" w:rsidRPr="00BC1B44" w:rsidRDefault="006345CD" w:rsidP="006023A6">
            <w:pPr>
              <w:jc w:val="right"/>
              <w:rPr>
                <w:color w:val="000000"/>
                <w:sz w:val="18"/>
                <w:szCs w:val="20"/>
                <w:lang w:val="fr-CA"/>
              </w:rPr>
            </w:pPr>
            <w:r w:rsidRPr="00BC1B44">
              <w:rPr>
                <w:sz w:val="18"/>
                <w:szCs w:val="20"/>
                <w:lang w:val="fr-CA"/>
              </w:rPr>
              <w:t>2 585,02</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bottom"/>
            <w:hideMark/>
          </w:tcPr>
          <w:p w14:paraId="07013F30" w14:textId="77777777" w:rsidR="006345CD" w:rsidRPr="00BC1B44" w:rsidRDefault="006345CD" w:rsidP="006023A6">
            <w:pPr>
              <w:jc w:val="right"/>
              <w:rPr>
                <w:color w:val="000000"/>
                <w:sz w:val="18"/>
                <w:szCs w:val="20"/>
                <w:lang w:val="fr-CA"/>
              </w:rPr>
            </w:pPr>
            <w:r w:rsidRPr="00BC1B44">
              <w:rPr>
                <w:color w:val="000000"/>
                <w:sz w:val="18"/>
                <w:szCs w:val="20"/>
                <w:lang w:val="fr-CA"/>
              </w:rPr>
              <w:t>2 574,95</w:t>
            </w:r>
          </w:p>
        </w:tc>
        <w:tc>
          <w:tcPr>
            <w:tcW w:w="540" w:type="pct"/>
            <w:tcBorders>
              <w:top w:val="nil"/>
              <w:left w:val="single" w:sz="4" w:space="0" w:color="auto"/>
              <w:bottom w:val="single" w:sz="4" w:space="0" w:color="auto"/>
              <w:right w:val="single" w:sz="4" w:space="0" w:color="auto"/>
            </w:tcBorders>
            <w:noWrap/>
            <w:tcMar>
              <w:top w:w="0" w:type="dxa"/>
              <w:left w:w="0" w:type="dxa"/>
              <w:bottom w:w="0" w:type="dxa"/>
              <w:right w:w="144" w:type="dxa"/>
            </w:tcMar>
            <w:hideMark/>
          </w:tcPr>
          <w:p w14:paraId="55E1D241" w14:textId="77777777" w:rsidR="006345CD" w:rsidRPr="00BC1B44" w:rsidRDefault="006345CD" w:rsidP="006023A6">
            <w:pPr>
              <w:jc w:val="right"/>
              <w:rPr>
                <w:sz w:val="18"/>
                <w:szCs w:val="20"/>
                <w:lang w:val="fr-CA"/>
              </w:rPr>
            </w:pPr>
            <w:r w:rsidRPr="00BC1B44">
              <w:rPr>
                <w:sz w:val="18"/>
                <w:szCs w:val="20"/>
                <w:lang w:val="fr-CA"/>
              </w:rPr>
              <w:t>3 039,00</w:t>
            </w:r>
          </w:p>
        </w:tc>
      </w:tr>
      <w:tr w:rsidR="006345CD" w:rsidRPr="00BC1B44" w14:paraId="29E2DA15"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203D5A84"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HCFC-123</w:t>
            </w:r>
          </w:p>
        </w:tc>
        <w:tc>
          <w:tcPr>
            <w:tcW w:w="551" w:type="pct"/>
            <w:tcBorders>
              <w:top w:val="nil"/>
              <w:left w:val="single" w:sz="4" w:space="0" w:color="auto"/>
              <w:bottom w:val="single" w:sz="4" w:space="0" w:color="auto"/>
              <w:right w:val="single" w:sz="4" w:space="0" w:color="auto"/>
            </w:tcBorders>
            <w:vAlign w:val="bottom"/>
            <w:hideMark/>
          </w:tcPr>
          <w:p w14:paraId="6CC62F26" w14:textId="77777777" w:rsidR="006345CD" w:rsidRPr="00BC1B44" w:rsidRDefault="006345CD" w:rsidP="006023A6">
            <w:pPr>
              <w:jc w:val="right"/>
              <w:rPr>
                <w:color w:val="000000"/>
                <w:sz w:val="18"/>
                <w:szCs w:val="20"/>
                <w:lang w:val="fr-CA"/>
              </w:rPr>
            </w:pPr>
            <w:r w:rsidRPr="00BC1B44">
              <w:rPr>
                <w:color w:val="000000"/>
                <w:sz w:val="18"/>
                <w:szCs w:val="20"/>
                <w:lang w:val="fr-CA"/>
              </w:rPr>
              <w:t>17,17</w:t>
            </w:r>
          </w:p>
        </w:tc>
        <w:tc>
          <w:tcPr>
            <w:tcW w:w="461" w:type="pct"/>
            <w:tcBorders>
              <w:top w:val="nil"/>
              <w:left w:val="single" w:sz="4" w:space="0" w:color="auto"/>
              <w:bottom w:val="single" w:sz="4" w:space="0" w:color="auto"/>
              <w:right w:val="single" w:sz="4" w:space="0" w:color="auto"/>
            </w:tcBorders>
            <w:vAlign w:val="bottom"/>
            <w:hideMark/>
          </w:tcPr>
          <w:p w14:paraId="0A0BC3A9" w14:textId="77777777" w:rsidR="006345CD" w:rsidRPr="00BC1B44" w:rsidRDefault="006345CD" w:rsidP="006023A6">
            <w:pPr>
              <w:jc w:val="right"/>
              <w:rPr>
                <w:color w:val="000000"/>
                <w:sz w:val="18"/>
                <w:szCs w:val="20"/>
                <w:lang w:val="fr-CA"/>
              </w:rPr>
            </w:pPr>
            <w:r w:rsidRPr="00BC1B44">
              <w:rPr>
                <w:color w:val="000000"/>
                <w:sz w:val="18"/>
                <w:szCs w:val="20"/>
                <w:lang w:val="fr-CA"/>
              </w:rPr>
              <w:t>16,34</w:t>
            </w:r>
          </w:p>
        </w:tc>
        <w:tc>
          <w:tcPr>
            <w:tcW w:w="461" w:type="pct"/>
            <w:tcBorders>
              <w:top w:val="nil"/>
              <w:left w:val="single" w:sz="4" w:space="0" w:color="auto"/>
              <w:bottom w:val="single" w:sz="4" w:space="0" w:color="auto"/>
              <w:right w:val="single" w:sz="4" w:space="0" w:color="auto"/>
            </w:tcBorders>
            <w:vAlign w:val="bottom"/>
            <w:hideMark/>
          </w:tcPr>
          <w:p w14:paraId="005DF1CE" w14:textId="77777777" w:rsidR="006345CD" w:rsidRPr="00BC1B44" w:rsidRDefault="006345CD" w:rsidP="006023A6">
            <w:pPr>
              <w:jc w:val="right"/>
              <w:rPr>
                <w:color w:val="000000"/>
                <w:sz w:val="18"/>
                <w:szCs w:val="20"/>
                <w:lang w:val="fr-CA"/>
              </w:rPr>
            </w:pPr>
            <w:r w:rsidRPr="00BC1B44">
              <w:rPr>
                <w:color w:val="000000"/>
                <w:sz w:val="18"/>
                <w:szCs w:val="20"/>
                <w:lang w:val="fr-CA"/>
              </w:rPr>
              <w:t>16,34</w:t>
            </w:r>
          </w:p>
        </w:tc>
        <w:tc>
          <w:tcPr>
            <w:tcW w:w="461" w:type="pct"/>
            <w:tcBorders>
              <w:top w:val="nil"/>
              <w:left w:val="single" w:sz="4" w:space="0" w:color="auto"/>
              <w:bottom w:val="single" w:sz="4" w:space="0" w:color="auto"/>
              <w:right w:val="single" w:sz="4" w:space="0" w:color="auto"/>
            </w:tcBorders>
            <w:hideMark/>
          </w:tcPr>
          <w:p w14:paraId="2F122349" w14:textId="77777777" w:rsidR="006345CD" w:rsidRPr="00BC1B44" w:rsidRDefault="006345CD" w:rsidP="006023A6">
            <w:pPr>
              <w:jc w:val="right"/>
              <w:rPr>
                <w:color w:val="000000"/>
                <w:sz w:val="18"/>
                <w:szCs w:val="20"/>
                <w:lang w:val="fr-CA"/>
              </w:rPr>
            </w:pPr>
            <w:r w:rsidRPr="00BC1B44">
              <w:rPr>
                <w:sz w:val="18"/>
                <w:szCs w:val="20"/>
                <w:lang w:val="fr-CA"/>
              </w:rPr>
              <w:t>0,00</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bottom"/>
            <w:hideMark/>
          </w:tcPr>
          <w:p w14:paraId="65E06AE1" w14:textId="77777777" w:rsidR="006345CD" w:rsidRPr="00BC1B44" w:rsidRDefault="006345CD" w:rsidP="006023A6">
            <w:pPr>
              <w:jc w:val="right"/>
              <w:rPr>
                <w:color w:val="000000"/>
                <w:sz w:val="18"/>
                <w:szCs w:val="20"/>
                <w:lang w:val="fr-CA"/>
              </w:rPr>
            </w:pPr>
            <w:r w:rsidRPr="00BC1B44">
              <w:rPr>
                <w:color w:val="000000"/>
                <w:sz w:val="18"/>
                <w:szCs w:val="20"/>
                <w:lang w:val="fr-CA"/>
              </w:rPr>
              <w:t>8,17</w:t>
            </w:r>
          </w:p>
        </w:tc>
        <w:tc>
          <w:tcPr>
            <w:tcW w:w="540" w:type="pct"/>
            <w:tcBorders>
              <w:top w:val="nil"/>
              <w:left w:val="single" w:sz="4" w:space="0" w:color="auto"/>
              <w:bottom w:val="single" w:sz="4" w:space="0" w:color="auto"/>
              <w:right w:val="single" w:sz="4" w:space="0" w:color="auto"/>
            </w:tcBorders>
            <w:noWrap/>
            <w:tcMar>
              <w:top w:w="0" w:type="dxa"/>
              <w:left w:w="0" w:type="dxa"/>
              <w:bottom w:w="0" w:type="dxa"/>
              <w:right w:w="144" w:type="dxa"/>
            </w:tcMar>
            <w:hideMark/>
          </w:tcPr>
          <w:p w14:paraId="6D712D46" w14:textId="77777777" w:rsidR="006345CD" w:rsidRPr="00BC1B44" w:rsidRDefault="006345CD" w:rsidP="006023A6">
            <w:pPr>
              <w:jc w:val="right"/>
              <w:rPr>
                <w:sz w:val="18"/>
                <w:szCs w:val="20"/>
                <w:lang w:val="fr-CA"/>
              </w:rPr>
            </w:pPr>
            <w:r w:rsidRPr="00BC1B44">
              <w:rPr>
                <w:sz w:val="18"/>
                <w:szCs w:val="20"/>
                <w:lang w:val="fr-CA"/>
              </w:rPr>
              <w:t>8,00</w:t>
            </w:r>
          </w:p>
        </w:tc>
      </w:tr>
      <w:tr w:rsidR="006345CD" w:rsidRPr="00BC1B44" w14:paraId="12DF67EF"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ED510A5"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HCFC-141b</w:t>
            </w:r>
          </w:p>
        </w:tc>
        <w:tc>
          <w:tcPr>
            <w:tcW w:w="551" w:type="pct"/>
            <w:tcBorders>
              <w:top w:val="nil"/>
              <w:left w:val="single" w:sz="4" w:space="0" w:color="auto"/>
              <w:bottom w:val="single" w:sz="4" w:space="0" w:color="auto"/>
              <w:right w:val="single" w:sz="4" w:space="0" w:color="auto"/>
            </w:tcBorders>
            <w:vAlign w:val="center"/>
            <w:hideMark/>
          </w:tcPr>
          <w:p w14:paraId="4EEC92E9" w14:textId="77777777" w:rsidR="006345CD" w:rsidRPr="00BC1B44" w:rsidRDefault="006345CD" w:rsidP="006023A6">
            <w:pPr>
              <w:jc w:val="right"/>
              <w:rPr>
                <w:sz w:val="18"/>
                <w:lang w:val="fr-CA"/>
              </w:rPr>
            </w:pPr>
            <w:r w:rsidRPr="00BC1B44">
              <w:rPr>
                <w:sz w:val="18"/>
                <w:szCs w:val="20"/>
                <w:lang w:val="fr-CA"/>
              </w:rPr>
              <w:t>0,00</w:t>
            </w:r>
          </w:p>
        </w:tc>
        <w:tc>
          <w:tcPr>
            <w:tcW w:w="461" w:type="pct"/>
            <w:tcBorders>
              <w:top w:val="nil"/>
              <w:left w:val="single" w:sz="4" w:space="0" w:color="auto"/>
              <w:bottom w:val="single" w:sz="4" w:space="0" w:color="auto"/>
              <w:right w:val="single" w:sz="4" w:space="0" w:color="auto"/>
            </w:tcBorders>
            <w:vAlign w:val="center"/>
            <w:hideMark/>
          </w:tcPr>
          <w:p w14:paraId="64CCCFFB" w14:textId="77777777" w:rsidR="006345CD" w:rsidRPr="00BC1B44" w:rsidRDefault="006345CD" w:rsidP="006023A6">
            <w:pPr>
              <w:jc w:val="right"/>
              <w:rPr>
                <w:sz w:val="18"/>
                <w:szCs w:val="20"/>
                <w:lang w:val="fr-CA"/>
              </w:rPr>
            </w:pPr>
            <w:r w:rsidRPr="00BC1B44">
              <w:rPr>
                <w:sz w:val="18"/>
                <w:szCs w:val="20"/>
                <w:lang w:val="fr-CA"/>
              </w:rPr>
              <w:t>0,00</w:t>
            </w:r>
          </w:p>
        </w:tc>
        <w:tc>
          <w:tcPr>
            <w:tcW w:w="461" w:type="pct"/>
            <w:tcBorders>
              <w:top w:val="nil"/>
              <w:left w:val="single" w:sz="4" w:space="0" w:color="auto"/>
              <w:bottom w:val="single" w:sz="4" w:space="0" w:color="auto"/>
              <w:right w:val="single" w:sz="4" w:space="0" w:color="auto"/>
            </w:tcBorders>
            <w:vAlign w:val="bottom"/>
            <w:hideMark/>
          </w:tcPr>
          <w:p w14:paraId="2053BA22" w14:textId="77777777" w:rsidR="006345CD" w:rsidRPr="00BC1B44" w:rsidRDefault="006345CD" w:rsidP="006023A6">
            <w:pPr>
              <w:jc w:val="right"/>
              <w:rPr>
                <w:sz w:val="18"/>
                <w:szCs w:val="20"/>
                <w:lang w:val="fr-CA"/>
              </w:rPr>
            </w:pPr>
            <w:r w:rsidRPr="00BC1B44">
              <w:rPr>
                <w:color w:val="000000"/>
                <w:sz w:val="18"/>
                <w:szCs w:val="20"/>
                <w:lang w:val="fr-CA"/>
              </w:rPr>
              <w:t>0,00</w:t>
            </w:r>
          </w:p>
        </w:tc>
        <w:tc>
          <w:tcPr>
            <w:tcW w:w="461" w:type="pct"/>
            <w:tcBorders>
              <w:top w:val="nil"/>
              <w:left w:val="single" w:sz="4" w:space="0" w:color="auto"/>
              <w:bottom w:val="single" w:sz="4" w:space="0" w:color="auto"/>
              <w:right w:val="single" w:sz="4" w:space="0" w:color="auto"/>
            </w:tcBorders>
            <w:hideMark/>
          </w:tcPr>
          <w:p w14:paraId="47187E0C" w14:textId="77777777" w:rsidR="006345CD" w:rsidRPr="00BC1B44" w:rsidRDefault="006345CD" w:rsidP="006023A6">
            <w:pPr>
              <w:jc w:val="right"/>
              <w:rPr>
                <w:sz w:val="18"/>
                <w:szCs w:val="20"/>
                <w:lang w:val="fr-CA"/>
              </w:rPr>
            </w:pPr>
            <w:r w:rsidRPr="00BC1B44">
              <w:rPr>
                <w:sz w:val="18"/>
                <w:szCs w:val="20"/>
                <w:lang w:val="fr-CA"/>
              </w:rPr>
              <w:t>0,00</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center"/>
            <w:hideMark/>
          </w:tcPr>
          <w:p w14:paraId="11A86815" w14:textId="77777777" w:rsidR="006345CD" w:rsidRPr="00BC1B44" w:rsidRDefault="006345CD" w:rsidP="006023A6">
            <w:pPr>
              <w:jc w:val="right"/>
              <w:rPr>
                <w:sz w:val="18"/>
                <w:szCs w:val="20"/>
                <w:lang w:val="fr-CA"/>
              </w:rPr>
            </w:pPr>
            <w:r w:rsidRPr="00BC1B44">
              <w:rPr>
                <w:sz w:val="18"/>
                <w:szCs w:val="20"/>
                <w:lang w:val="fr-CA"/>
              </w:rPr>
              <w:t>0,00</w:t>
            </w:r>
          </w:p>
        </w:tc>
        <w:tc>
          <w:tcPr>
            <w:tcW w:w="540" w:type="pct"/>
            <w:tcBorders>
              <w:top w:val="nil"/>
              <w:left w:val="single" w:sz="4" w:space="0" w:color="auto"/>
              <w:bottom w:val="single" w:sz="4" w:space="0" w:color="auto"/>
              <w:right w:val="single" w:sz="4" w:space="0" w:color="auto"/>
            </w:tcBorders>
            <w:noWrap/>
            <w:tcMar>
              <w:top w:w="0" w:type="dxa"/>
              <w:left w:w="0" w:type="dxa"/>
              <w:bottom w:w="0" w:type="dxa"/>
              <w:right w:w="144" w:type="dxa"/>
            </w:tcMar>
            <w:hideMark/>
          </w:tcPr>
          <w:p w14:paraId="04AD9951" w14:textId="77777777" w:rsidR="006345CD" w:rsidRPr="00BC1B44" w:rsidRDefault="006345CD" w:rsidP="006023A6">
            <w:pPr>
              <w:jc w:val="right"/>
              <w:rPr>
                <w:sz w:val="18"/>
                <w:szCs w:val="20"/>
                <w:lang w:val="fr-CA"/>
              </w:rPr>
            </w:pPr>
            <w:r w:rsidRPr="00BC1B44">
              <w:rPr>
                <w:sz w:val="18"/>
                <w:szCs w:val="20"/>
                <w:lang w:val="fr-CA"/>
              </w:rPr>
              <w:t>490,00</w:t>
            </w:r>
          </w:p>
        </w:tc>
      </w:tr>
      <w:tr w:rsidR="006345CD" w:rsidRPr="00BC1B44" w14:paraId="40ABF56B"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FA2F572"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HCFC-225</w:t>
            </w:r>
          </w:p>
        </w:tc>
        <w:tc>
          <w:tcPr>
            <w:tcW w:w="551" w:type="pct"/>
            <w:tcBorders>
              <w:top w:val="nil"/>
              <w:left w:val="single" w:sz="4" w:space="0" w:color="auto"/>
              <w:bottom w:val="single" w:sz="4" w:space="0" w:color="auto"/>
              <w:right w:val="single" w:sz="4" w:space="0" w:color="auto"/>
            </w:tcBorders>
            <w:vAlign w:val="bottom"/>
            <w:hideMark/>
          </w:tcPr>
          <w:p w14:paraId="49AEE40A" w14:textId="77777777" w:rsidR="006345CD" w:rsidRPr="00BC1B44" w:rsidRDefault="006345CD" w:rsidP="006023A6">
            <w:pPr>
              <w:jc w:val="right"/>
              <w:rPr>
                <w:color w:val="000000"/>
                <w:sz w:val="18"/>
                <w:szCs w:val="20"/>
                <w:lang w:val="fr-CA"/>
              </w:rPr>
            </w:pPr>
            <w:r w:rsidRPr="00BC1B44">
              <w:rPr>
                <w:color w:val="000000"/>
                <w:sz w:val="18"/>
                <w:szCs w:val="20"/>
                <w:lang w:val="fr-CA"/>
              </w:rPr>
              <w:t>13,90</w:t>
            </w:r>
          </w:p>
        </w:tc>
        <w:tc>
          <w:tcPr>
            <w:tcW w:w="461" w:type="pct"/>
            <w:tcBorders>
              <w:top w:val="nil"/>
              <w:left w:val="single" w:sz="4" w:space="0" w:color="auto"/>
              <w:bottom w:val="single" w:sz="4" w:space="0" w:color="auto"/>
              <w:right w:val="single" w:sz="4" w:space="0" w:color="auto"/>
            </w:tcBorders>
            <w:vAlign w:val="bottom"/>
            <w:hideMark/>
          </w:tcPr>
          <w:p w14:paraId="556F345D" w14:textId="77777777" w:rsidR="006345CD" w:rsidRPr="00BC1B44" w:rsidRDefault="006345CD" w:rsidP="006023A6">
            <w:pPr>
              <w:jc w:val="right"/>
              <w:rPr>
                <w:color w:val="000000"/>
                <w:sz w:val="18"/>
                <w:szCs w:val="20"/>
                <w:lang w:val="fr-CA"/>
              </w:rPr>
            </w:pPr>
            <w:r w:rsidRPr="00BC1B44">
              <w:rPr>
                <w:color w:val="000000"/>
                <w:sz w:val="18"/>
                <w:szCs w:val="20"/>
                <w:lang w:val="fr-CA"/>
              </w:rPr>
              <w:t>26,87</w:t>
            </w:r>
          </w:p>
        </w:tc>
        <w:tc>
          <w:tcPr>
            <w:tcW w:w="461" w:type="pct"/>
            <w:tcBorders>
              <w:top w:val="nil"/>
              <w:left w:val="single" w:sz="4" w:space="0" w:color="auto"/>
              <w:bottom w:val="single" w:sz="4" w:space="0" w:color="auto"/>
              <w:right w:val="single" w:sz="4" w:space="0" w:color="auto"/>
            </w:tcBorders>
            <w:vAlign w:val="bottom"/>
            <w:hideMark/>
          </w:tcPr>
          <w:p w14:paraId="2638C0BC" w14:textId="77777777" w:rsidR="006345CD" w:rsidRPr="00BC1B44" w:rsidRDefault="006345CD" w:rsidP="006023A6">
            <w:pPr>
              <w:jc w:val="right"/>
              <w:rPr>
                <w:color w:val="000000"/>
                <w:sz w:val="18"/>
                <w:szCs w:val="20"/>
                <w:lang w:val="fr-CA"/>
              </w:rPr>
            </w:pPr>
            <w:r w:rsidRPr="00BC1B44">
              <w:rPr>
                <w:color w:val="000000"/>
                <w:sz w:val="18"/>
                <w:szCs w:val="20"/>
                <w:lang w:val="fr-CA"/>
              </w:rPr>
              <w:t>21,46</w:t>
            </w:r>
          </w:p>
        </w:tc>
        <w:tc>
          <w:tcPr>
            <w:tcW w:w="461" w:type="pct"/>
            <w:tcBorders>
              <w:top w:val="nil"/>
              <w:left w:val="single" w:sz="4" w:space="0" w:color="auto"/>
              <w:bottom w:val="single" w:sz="4" w:space="0" w:color="auto"/>
              <w:right w:val="single" w:sz="4" w:space="0" w:color="auto"/>
            </w:tcBorders>
            <w:hideMark/>
          </w:tcPr>
          <w:p w14:paraId="6A46A3D1" w14:textId="77777777" w:rsidR="006345CD" w:rsidRPr="00BC1B44" w:rsidRDefault="006345CD" w:rsidP="006023A6">
            <w:pPr>
              <w:jc w:val="right"/>
              <w:rPr>
                <w:color w:val="000000"/>
                <w:sz w:val="18"/>
                <w:szCs w:val="20"/>
                <w:lang w:val="fr-CA"/>
              </w:rPr>
            </w:pPr>
            <w:r w:rsidRPr="00BC1B44">
              <w:rPr>
                <w:sz w:val="18"/>
                <w:szCs w:val="20"/>
                <w:lang w:val="fr-CA"/>
              </w:rPr>
              <w:t>0,00</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bottom"/>
            <w:hideMark/>
          </w:tcPr>
          <w:p w14:paraId="3307799E" w14:textId="77777777" w:rsidR="006345CD" w:rsidRPr="00BC1B44" w:rsidRDefault="006345CD" w:rsidP="006023A6">
            <w:pPr>
              <w:jc w:val="right"/>
              <w:rPr>
                <w:color w:val="000000"/>
                <w:sz w:val="18"/>
                <w:szCs w:val="20"/>
                <w:lang w:val="fr-CA"/>
              </w:rPr>
            </w:pPr>
            <w:r w:rsidRPr="00BC1B44">
              <w:rPr>
                <w:color w:val="000000"/>
                <w:sz w:val="18"/>
                <w:szCs w:val="20"/>
                <w:lang w:val="fr-CA"/>
              </w:rPr>
              <w:t>0,00</w:t>
            </w:r>
          </w:p>
        </w:tc>
        <w:tc>
          <w:tcPr>
            <w:tcW w:w="540" w:type="pct"/>
            <w:tcBorders>
              <w:top w:val="nil"/>
              <w:left w:val="single" w:sz="4" w:space="0" w:color="auto"/>
              <w:bottom w:val="single" w:sz="4" w:space="0" w:color="auto"/>
              <w:right w:val="single" w:sz="4" w:space="0" w:color="auto"/>
            </w:tcBorders>
            <w:noWrap/>
            <w:tcMar>
              <w:top w:w="0" w:type="dxa"/>
              <w:left w:w="0" w:type="dxa"/>
              <w:bottom w:w="0" w:type="dxa"/>
              <w:right w:w="144" w:type="dxa"/>
            </w:tcMar>
            <w:hideMark/>
          </w:tcPr>
          <w:p w14:paraId="40D1836E" w14:textId="77777777" w:rsidR="006345CD" w:rsidRPr="00BC1B44" w:rsidRDefault="006345CD" w:rsidP="006023A6">
            <w:pPr>
              <w:jc w:val="right"/>
              <w:rPr>
                <w:sz w:val="18"/>
                <w:szCs w:val="20"/>
                <w:lang w:val="fr-CA"/>
              </w:rPr>
            </w:pPr>
            <w:r w:rsidRPr="00BC1B44">
              <w:rPr>
                <w:sz w:val="18"/>
                <w:szCs w:val="20"/>
                <w:lang w:val="fr-CA"/>
              </w:rPr>
              <w:t>0,00</w:t>
            </w:r>
          </w:p>
        </w:tc>
      </w:tr>
      <w:tr w:rsidR="006345CD" w:rsidRPr="00BC1B44" w14:paraId="41F7E41A"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1FF2D746" w14:textId="77777777" w:rsidR="006345CD" w:rsidRPr="00BC1B44" w:rsidRDefault="006345CD" w:rsidP="006023A6">
            <w:pPr>
              <w:jc w:val="left"/>
              <w:rPr>
                <w:rFonts w:eastAsiaTheme="minorHAnsi"/>
                <w:b/>
                <w:color w:val="000000"/>
                <w:sz w:val="18"/>
                <w:szCs w:val="20"/>
                <w:lang w:val="fr-CA"/>
              </w:rPr>
            </w:pPr>
            <w:r w:rsidRPr="00BC1B44">
              <w:rPr>
                <w:b/>
                <w:color w:val="000000"/>
                <w:sz w:val="18"/>
                <w:szCs w:val="20"/>
                <w:lang w:val="fr-CA"/>
              </w:rPr>
              <w:t>Total (tm)</w:t>
            </w:r>
          </w:p>
        </w:tc>
        <w:tc>
          <w:tcPr>
            <w:tcW w:w="551" w:type="pct"/>
            <w:tcBorders>
              <w:top w:val="nil"/>
              <w:left w:val="single" w:sz="4" w:space="0" w:color="auto"/>
              <w:bottom w:val="single" w:sz="4" w:space="0" w:color="auto"/>
              <w:right w:val="single" w:sz="4" w:space="0" w:color="auto"/>
            </w:tcBorders>
            <w:vAlign w:val="bottom"/>
            <w:hideMark/>
          </w:tcPr>
          <w:p w14:paraId="42396442" w14:textId="77777777" w:rsidR="006345CD" w:rsidRPr="00BC1B44" w:rsidRDefault="006345CD" w:rsidP="006023A6">
            <w:pPr>
              <w:jc w:val="right"/>
              <w:rPr>
                <w:b/>
                <w:bCs/>
                <w:color w:val="000000"/>
                <w:sz w:val="18"/>
                <w:szCs w:val="20"/>
                <w:lang w:val="fr-CA"/>
              </w:rPr>
            </w:pPr>
            <w:r w:rsidRPr="00BC1B44">
              <w:rPr>
                <w:b/>
                <w:bCs/>
                <w:color w:val="000000"/>
                <w:sz w:val="18"/>
                <w:szCs w:val="20"/>
                <w:lang w:val="fr-CA"/>
              </w:rPr>
              <w:t>3 599,59</w:t>
            </w:r>
          </w:p>
        </w:tc>
        <w:tc>
          <w:tcPr>
            <w:tcW w:w="461" w:type="pct"/>
            <w:tcBorders>
              <w:top w:val="nil"/>
              <w:left w:val="single" w:sz="4" w:space="0" w:color="auto"/>
              <w:bottom w:val="single" w:sz="4" w:space="0" w:color="auto"/>
              <w:right w:val="single" w:sz="4" w:space="0" w:color="auto"/>
            </w:tcBorders>
            <w:vAlign w:val="bottom"/>
            <w:hideMark/>
          </w:tcPr>
          <w:p w14:paraId="2EC80AEC" w14:textId="77777777" w:rsidR="006345CD" w:rsidRPr="00BC1B44" w:rsidRDefault="006345CD" w:rsidP="006023A6">
            <w:pPr>
              <w:jc w:val="right"/>
              <w:rPr>
                <w:b/>
                <w:bCs/>
                <w:color w:val="000000"/>
                <w:sz w:val="18"/>
                <w:szCs w:val="20"/>
                <w:lang w:val="fr-CA"/>
              </w:rPr>
            </w:pPr>
            <w:r w:rsidRPr="00BC1B44">
              <w:rPr>
                <w:b/>
                <w:bCs/>
                <w:color w:val="000000"/>
                <w:sz w:val="18"/>
                <w:szCs w:val="20"/>
                <w:lang w:val="fr-CA"/>
              </w:rPr>
              <w:t>3 599,44</w:t>
            </w:r>
          </w:p>
        </w:tc>
        <w:tc>
          <w:tcPr>
            <w:tcW w:w="461" w:type="pct"/>
            <w:tcBorders>
              <w:top w:val="nil"/>
              <w:left w:val="single" w:sz="4" w:space="0" w:color="auto"/>
              <w:bottom w:val="single" w:sz="4" w:space="0" w:color="auto"/>
              <w:right w:val="single" w:sz="4" w:space="0" w:color="auto"/>
            </w:tcBorders>
            <w:vAlign w:val="bottom"/>
            <w:hideMark/>
          </w:tcPr>
          <w:p w14:paraId="4B57DC7F" w14:textId="77777777" w:rsidR="006345CD" w:rsidRPr="00BC1B44" w:rsidRDefault="006345CD" w:rsidP="006023A6">
            <w:pPr>
              <w:jc w:val="right"/>
              <w:rPr>
                <w:b/>
                <w:bCs/>
                <w:color w:val="000000"/>
                <w:sz w:val="18"/>
                <w:szCs w:val="20"/>
                <w:lang w:val="fr-CA"/>
              </w:rPr>
            </w:pPr>
            <w:r w:rsidRPr="00BC1B44">
              <w:rPr>
                <w:b/>
                <w:color w:val="000000"/>
                <w:sz w:val="18"/>
                <w:szCs w:val="20"/>
                <w:lang w:val="fr-CA"/>
              </w:rPr>
              <w:t>3 596,36</w:t>
            </w:r>
          </w:p>
        </w:tc>
        <w:tc>
          <w:tcPr>
            <w:tcW w:w="461" w:type="pct"/>
            <w:tcBorders>
              <w:top w:val="nil"/>
              <w:left w:val="single" w:sz="4" w:space="0" w:color="auto"/>
              <w:bottom w:val="single" w:sz="4" w:space="0" w:color="auto"/>
              <w:right w:val="single" w:sz="4" w:space="0" w:color="auto"/>
            </w:tcBorders>
            <w:hideMark/>
          </w:tcPr>
          <w:p w14:paraId="04B2C909" w14:textId="77777777" w:rsidR="006345CD" w:rsidRPr="00BC1B44" w:rsidRDefault="006345CD" w:rsidP="006023A6">
            <w:pPr>
              <w:jc w:val="right"/>
              <w:rPr>
                <w:b/>
                <w:bCs/>
                <w:color w:val="000000"/>
                <w:sz w:val="18"/>
                <w:szCs w:val="20"/>
                <w:lang w:val="fr-CA"/>
              </w:rPr>
            </w:pPr>
            <w:r w:rsidRPr="00BC1B44">
              <w:rPr>
                <w:b/>
                <w:color w:val="000000"/>
                <w:sz w:val="18"/>
                <w:szCs w:val="20"/>
                <w:lang w:val="fr-CA"/>
              </w:rPr>
              <w:t>2 585,02</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bottom"/>
            <w:hideMark/>
          </w:tcPr>
          <w:p w14:paraId="59D70A07" w14:textId="77777777" w:rsidR="006345CD" w:rsidRPr="00BC1B44" w:rsidRDefault="006345CD" w:rsidP="006023A6">
            <w:pPr>
              <w:jc w:val="right"/>
              <w:rPr>
                <w:b/>
                <w:bCs/>
                <w:color w:val="000000"/>
                <w:sz w:val="18"/>
                <w:szCs w:val="20"/>
                <w:lang w:val="fr-CA"/>
              </w:rPr>
            </w:pPr>
            <w:r w:rsidRPr="00BC1B44">
              <w:rPr>
                <w:b/>
                <w:bCs/>
                <w:color w:val="000000"/>
                <w:sz w:val="18"/>
                <w:szCs w:val="20"/>
                <w:lang w:val="fr-CA"/>
              </w:rPr>
              <w:t>2 583,12</w:t>
            </w:r>
          </w:p>
        </w:tc>
        <w:tc>
          <w:tcPr>
            <w:tcW w:w="540" w:type="pct"/>
            <w:tcBorders>
              <w:top w:val="nil"/>
              <w:left w:val="single" w:sz="4" w:space="0" w:color="auto"/>
              <w:bottom w:val="single" w:sz="4" w:space="0" w:color="auto"/>
              <w:right w:val="single" w:sz="4" w:space="0" w:color="auto"/>
            </w:tcBorders>
            <w:noWrap/>
            <w:tcMar>
              <w:top w:w="0" w:type="dxa"/>
              <w:left w:w="0" w:type="dxa"/>
              <w:bottom w:w="0" w:type="dxa"/>
              <w:right w:w="144" w:type="dxa"/>
            </w:tcMar>
            <w:vAlign w:val="center"/>
            <w:hideMark/>
          </w:tcPr>
          <w:p w14:paraId="29A88B61" w14:textId="77777777" w:rsidR="006345CD" w:rsidRPr="00BC1B44" w:rsidRDefault="006345CD" w:rsidP="006023A6">
            <w:pPr>
              <w:widowControl w:val="0"/>
              <w:jc w:val="right"/>
              <w:rPr>
                <w:b/>
                <w:color w:val="000000"/>
                <w:sz w:val="18"/>
                <w:szCs w:val="20"/>
                <w:lang w:val="fr-CA"/>
              </w:rPr>
            </w:pPr>
            <w:r w:rsidRPr="00BC1B44">
              <w:rPr>
                <w:b/>
                <w:color w:val="000000"/>
                <w:sz w:val="18"/>
                <w:szCs w:val="20"/>
                <w:lang w:val="fr-CA"/>
              </w:rPr>
              <w:fldChar w:fldCharType="begin"/>
            </w:r>
            <w:r w:rsidRPr="00BC1B44">
              <w:rPr>
                <w:b/>
                <w:color w:val="000000"/>
                <w:sz w:val="18"/>
                <w:szCs w:val="20"/>
                <w:lang w:val="fr-CA"/>
              </w:rPr>
              <w:instrText xml:space="preserve"> =SUM(ABOVE) </w:instrText>
            </w:r>
            <w:r w:rsidRPr="00BC1B44">
              <w:rPr>
                <w:b/>
                <w:color w:val="000000"/>
                <w:sz w:val="18"/>
                <w:szCs w:val="20"/>
                <w:lang w:val="fr-CA"/>
              </w:rPr>
              <w:fldChar w:fldCharType="separate"/>
            </w:r>
            <w:r w:rsidRPr="00BC1B44">
              <w:rPr>
                <w:b/>
                <w:noProof/>
                <w:color w:val="000000"/>
                <w:sz w:val="18"/>
                <w:szCs w:val="20"/>
                <w:lang w:val="fr-CA"/>
              </w:rPr>
              <w:t>3 537</w:t>
            </w:r>
            <w:r w:rsidRPr="00BC1B44">
              <w:rPr>
                <w:b/>
                <w:color w:val="000000"/>
                <w:sz w:val="18"/>
                <w:szCs w:val="20"/>
                <w:lang w:val="fr-CA"/>
              </w:rPr>
              <w:fldChar w:fldCharType="end"/>
            </w:r>
            <w:r w:rsidRPr="00BC1B44">
              <w:rPr>
                <w:b/>
                <w:color w:val="000000"/>
                <w:sz w:val="18"/>
                <w:szCs w:val="20"/>
                <w:lang w:val="fr-CA"/>
              </w:rPr>
              <w:t>,00</w:t>
            </w:r>
          </w:p>
        </w:tc>
      </w:tr>
      <w:tr w:rsidR="006345CD" w:rsidRPr="00BC1B44" w14:paraId="28710F8C"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hideMark/>
          </w:tcPr>
          <w:p w14:paraId="5DF68772" w14:textId="77777777" w:rsidR="006345CD" w:rsidRPr="00BC1B44" w:rsidRDefault="006345CD" w:rsidP="006023A6">
            <w:pPr>
              <w:jc w:val="left"/>
              <w:rPr>
                <w:b/>
                <w:bCs/>
                <w:color w:val="000000"/>
                <w:sz w:val="18"/>
                <w:szCs w:val="20"/>
                <w:lang w:val="fr-CA"/>
              </w:rPr>
            </w:pPr>
            <w:r w:rsidRPr="00BC1B44">
              <w:rPr>
                <w:color w:val="000000"/>
                <w:sz w:val="18"/>
                <w:szCs w:val="20"/>
                <w:lang w:val="fr-CA"/>
              </w:rPr>
              <w:t>HCFC-141b dans les polyols prémélangés importés*</w:t>
            </w:r>
          </w:p>
        </w:tc>
        <w:tc>
          <w:tcPr>
            <w:tcW w:w="551" w:type="pct"/>
            <w:tcBorders>
              <w:top w:val="nil"/>
              <w:left w:val="single" w:sz="4" w:space="0" w:color="auto"/>
              <w:bottom w:val="single" w:sz="4" w:space="0" w:color="auto"/>
              <w:right w:val="single" w:sz="4" w:space="0" w:color="auto"/>
            </w:tcBorders>
            <w:hideMark/>
          </w:tcPr>
          <w:p w14:paraId="55B6FDA0" w14:textId="77777777" w:rsidR="006345CD" w:rsidRPr="00BC1B44" w:rsidRDefault="006345CD" w:rsidP="006023A6">
            <w:pPr>
              <w:jc w:val="right"/>
              <w:rPr>
                <w:sz w:val="18"/>
                <w:szCs w:val="20"/>
                <w:lang w:val="fr-CA"/>
              </w:rPr>
            </w:pPr>
            <w:r w:rsidRPr="00BC1B44">
              <w:rPr>
                <w:rFonts w:eastAsiaTheme="minorHAnsi"/>
                <w:color w:val="000000"/>
                <w:sz w:val="18"/>
                <w:szCs w:val="20"/>
                <w:lang w:val="fr-CA"/>
              </w:rPr>
              <w:t>1 879,00</w:t>
            </w:r>
          </w:p>
        </w:tc>
        <w:tc>
          <w:tcPr>
            <w:tcW w:w="461" w:type="pct"/>
            <w:tcBorders>
              <w:top w:val="nil"/>
              <w:left w:val="single" w:sz="4" w:space="0" w:color="auto"/>
              <w:bottom w:val="single" w:sz="4" w:space="0" w:color="auto"/>
              <w:right w:val="single" w:sz="4" w:space="0" w:color="auto"/>
            </w:tcBorders>
            <w:hideMark/>
          </w:tcPr>
          <w:p w14:paraId="682CBB77" w14:textId="77777777" w:rsidR="006345CD" w:rsidRPr="00BC1B44" w:rsidRDefault="006345CD" w:rsidP="006023A6">
            <w:pPr>
              <w:jc w:val="right"/>
              <w:rPr>
                <w:sz w:val="18"/>
                <w:szCs w:val="20"/>
                <w:lang w:val="fr-CA"/>
              </w:rPr>
            </w:pPr>
            <w:r w:rsidRPr="00BC1B44">
              <w:rPr>
                <w:sz w:val="18"/>
                <w:szCs w:val="20"/>
                <w:lang w:val="fr-CA"/>
              </w:rPr>
              <w:t>1 145,50</w:t>
            </w:r>
          </w:p>
        </w:tc>
        <w:tc>
          <w:tcPr>
            <w:tcW w:w="461" w:type="pct"/>
            <w:tcBorders>
              <w:top w:val="nil"/>
              <w:left w:val="single" w:sz="4" w:space="0" w:color="auto"/>
              <w:bottom w:val="single" w:sz="4" w:space="0" w:color="auto"/>
              <w:right w:val="single" w:sz="4" w:space="0" w:color="auto"/>
            </w:tcBorders>
            <w:hideMark/>
          </w:tcPr>
          <w:p w14:paraId="1720A3FE" w14:textId="77777777" w:rsidR="006345CD" w:rsidRPr="00BC1B44" w:rsidRDefault="006345CD" w:rsidP="006023A6">
            <w:pPr>
              <w:jc w:val="right"/>
              <w:rPr>
                <w:sz w:val="18"/>
                <w:szCs w:val="20"/>
                <w:lang w:val="fr-CA"/>
              </w:rPr>
            </w:pPr>
            <w:r w:rsidRPr="00BC1B44">
              <w:rPr>
                <w:rFonts w:eastAsiaTheme="minorHAnsi"/>
                <w:color w:val="000000"/>
                <w:sz w:val="18"/>
                <w:szCs w:val="20"/>
                <w:lang w:val="fr-CA"/>
              </w:rPr>
              <w:t>687,29</w:t>
            </w:r>
          </w:p>
        </w:tc>
        <w:tc>
          <w:tcPr>
            <w:tcW w:w="461" w:type="pct"/>
            <w:tcBorders>
              <w:top w:val="nil"/>
              <w:left w:val="single" w:sz="4" w:space="0" w:color="auto"/>
              <w:bottom w:val="single" w:sz="4" w:space="0" w:color="auto"/>
              <w:right w:val="single" w:sz="4" w:space="0" w:color="auto"/>
            </w:tcBorders>
            <w:hideMark/>
          </w:tcPr>
          <w:p w14:paraId="5A3FFFFE" w14:textId="77777777" w:rsidR="006345CD" w:rsidRPr="00BC1B44" w:rsidRDefault="006345CD" w:rsidP="006023A6">
            <w:pPr>
              <w:jc w:val="right"/>
              <w:rPr>
                <w:sz w:val="18"/>
                <w:szCs w:val="20"/>
                <w:lang w:val="fr-CA"/>
              </w:rPr>
            </w:pPr>
            <w:r w:rsidRPr="00BC1B44">
              <w:rPr>
                <w:rFonts w:eastAsiaTheme="minorHAnsi"/>
                <w:color w:val="000000"/>
                <w:sz w:val="18"/>
                <w:szCs w:val="20"/>
                <w:lang w:val="fr-CA"/>
              </w:rPr>
              <w:t>147,66</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hideMark/>
          </w:tcPr>
          <w:p w14:paraId="644CA05E" w14:textId="77777777" w:rsidR="006345CD" w:rsidRPr="00BC1B44" w:rsidRDefault="006345CD" w:rsidP="006023A6">
            <w:pPr>
              <w:jc w:val="right"/>
              <w:rPr>
                <w:sz w:val="18"/>
                <w:szCs w:val="20"/>
                <w:lang w:val="fr-CA"/>
              </w:rPr>
            </w:pPr>
            <w:r w:rsidRPr="00BC1B44">
              <w:rPr>
                <w:sz w:val="18"/>
                <w:szCs w:val="20"/>
                <w:lang w:val="fr-CA"/>
              </w:rPr>
              <w:t>87,5</w:t>
            </w:r>
          </w:p>
        </w:tc>
        <w:tc>
          <w:tcPr>
            <w:tcW w:w="540" w:type="pct"/>
            <w:tcBorders>
              <w:top w:val="nil"/>
              <w:left w:val="single" w:sz="4" w:space="0" w:color="auto"/>
              <w:bottom w:val="single" w:sz="4" w:space="0" w:color="auto"/>
              <w:right w:val="single" w:sz="4" w:space="0" w:color="auto"/>
            </w:tcBorders>
            <w:noWrap/>
            <w:tcMar>
              <w:top w:w="0" w:type="dxa"/>
              <w:left w:w="0" w:type="dxa"/>
              <w:bottom w:w="0" w:type="dxa"/>
              <w:right w:w="144" w:type="dxa"/>
            </w:tcMar>
            <w:hideMark/>
          </w:tcPr>
          <w:p w14:paraId="6AB121F8" w14:textId="77777777" w:rsidR="006345CD" w:rsidRPr="00BC1B44" w:rsidRDefault="006345CD" w:rsidP="006023A6">
            <w:pPr>
              <w:jc w:val="right"/>
              <w:rPr>
                <w:sz w:val="18"/>
                <w:szCs w:val="20"/>
                <w:lang w:val="fr-CA"/>
              </w:rPr>
            </w:pPr>
            <w:r w:rsidRPr="00BC1B44">
              <w:rPr>
                <w:rFonts w:eastAsiaTheme="minorHAnsi"/>
                <w:color w:val="000000"/>
                <w:sz w:val="18"/>
                <w:szCs w:val="20"/>
                <w:lang w:val="fr-CA"/>
              </w:rPr>
              <w:t>1 496,36**</w:t>
            </w:r>
          </w:p>
        </w:tc>
      </w:tr>
      <w:tr w:rsidR="006345CD" w:rsidRPr="00BC1B44" w14:paraId="08C00D50"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146E2948" w14:textId="77777777" w:rsidR="006345CD" w:rsidRPr="00BC1B44" w:rsidRDefault="006345CD" w:rsidP="006023A6">
            <w:pPr>
              <w:widowControl w:val="0"/>
              <w:jc w:val="left"/>
              <w:rPr>
                <w:b/>
                <w:color w:val="000000"/>
                <w:sz w:val="18"/>
                <w:szCs w:val="20"/>
                <w:lang w:val="fr-CA"/>
              </w:rPr>
            </w:pPr>
            <w:r w:rsidRPr="00BC1B44">
              <w:rPr>
                <w:b/>
                <w:bCs/>
                <w:color w:val="000000"/>
                <w:sz w:val="18"/>
                <w:szCs w:val="20"/>
                <w:lang w:val="fr-CA"/>
              </w:rPr>
              <w:t>Tonnes PAO</w:t>
            </w:r>
          </w:p>
        </w:tc>
        <w:tc>
          <w:tcPr>
            <w:tcW w:w="551" w:type="pct"/>
            <w:tcBorders>
              <w:top w:val="nil"/>
              <w:left w:val="single" w:sz="4" w:space="0" w:color="auto"/>
              <w:bottom w:val="single" w:sz="4" w:space="0" w:color="auto"/>
              <w:right w:val="single" w:sz="4" w:space="0" w:color="auto"/>
            </w:tcBorders>
          </w:tcPr>
          <w:p w14:paraId="61326434" w14:textId="77777777" w:rsidR="006345CD" w:rsidRPr="00BC1B44" w:rsidRDefault="006345CD" w:rsidP="006023A6">
            <w:pPr>
              <w:jc w:val="right"/>
              <w:rPr>
                <w:b/>
                <w:sz w:val="18"/>
                <w:szCs w:val="20"/>
                <w:lang w:val="fr-CA"/>
              </w:rPr>
            </w:pPr>
          </w:p>
        </w:tc>
        <w:tc>
          <w:tcPr>
            <w:tcW w:w="461" w:type="pct"/>
            <w:tcBorders>
              <w:top w:val="nil"/>
              <w:left w:val="single" w:sz="4" w:space="0" w:color="auto"/>
              <w:bottom w:val="single" w:sz="4" w:space="0" w:color="auto"/>
              <w:right w:val="single" w:sz="4" w:space="0" w:color="auto"/>
            </w:tcBorders>
          </w:tcPr>
          <w:p w14:paraId="653B0FCE" w14:textId="77777777" w:rsidR="006345CD" w:rsidRPr="00BC1B44" w:rsidRDefault="006345CD" w:rsidP="006023A6">
            <w:pPr>
              <w:jc w:val="right"/>
              <w:rPr>
                <w:b/>
                <w:sz w:val="18"/>
                <w:szCs w:val="20"/>
                <w:lang w:val="fr-CA"/>
              </w:rPr>
            </w:pPr>
          </w:p>
        </w:tc>
        <w:tc>
          <w:tcPr>
            <w:tcW w:w="461" w:type="pct"/>
            <w:tcBorders>
              <w:top w:val="nil"/>
              <w:left w:val="single" w:sz="4" w:space="0" w:color="auto"/>
              <w:bottom w:val="single" w:sz="4" w:space="0" w:color="auto"/>
              <w:right w:val="single" w:sz="4" w:space="0" w:color="auto"/>
            </w:tcBorders>
          </w:tcPr>
          <w:p w14:paraId="25DA47C6" w14:textId="77777777" w:rsidR="006345CD" w:rsidRPr="00BC1B44" w:rsidRDefault="006345CD" w:rsidP="006023A6">
            <w:pPr>
              <w:jc w:val="right"/>
              <w:rPr>
                <w:b/>
                <w:sz w:val="18"/>
                <w:szCs w:val="20"/>
                <w:lang w:val="fr-CA"/>
              </w:rPr>
            </w:pPr>
          </w:p>
        </w:tc>
        <w:tc>
          <w:tcPr>
            <w:tcW w:w="461" w:type="pct"/>
            <w:tcBorders>
              <w:top w:val="nil"/>
              <w:left w:val="single" w:sz="4" w:space="0" w:color="auto"/>
              <w:bottom w:val="single" w:sz="4" w:space="0" w:color="auto"/>
              <w:right w:val="single" w:sz="4" w:space="0" w:color="auto"/>
            </w:tcBorders>
          </w:tcPr>
          <w:p w14:paraId="42004D06" w14:textId="77777777" w:rsidR="006345CD" w:rsidRPr="00BC1B44" w:rsidRDefault="006345CD" w:rsidP="006023A6">
            <w:pPr>
              <w:jc w:val="right"/>
              <w:rPr>
                <w:b/>
                <w:sz w:val="18"/>
                <w:szCs w:val="20"/>
                <w:lang w:val="fr-CA"/>
              </w:rPr>
            </w:pP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tcPr>
          <w:p w14:paraId="2097ADB5" w14:textId="77777777" w:rsidR="006345CD" w:rsidRPr="00BC1B44" w:rsidRDefault="006345CD" w:rsidP="006023A6">
            <w:pPr>
              <w:jc w:val="right"/>
              <w:rPr>
                <w:b/>
                <w:sz w:val="18"/>
                <w:szCs w:val="20"/>
                <w:lang w:val="fr-CA"/>
              </w:rPr>
            </w:pPr>
          </w:p>
        </w:tc>
        <w:tc>
          <w:tcPr>
            <w:tcW w:w="540" w:type="pct"/>
            <w:tcBorders>
              <w:top w:val="nil"/>
              <w:left w:val="single" w:sz="4" w:space="0" w:color="auto"/>
              <w:bottom w:val="single" w:sz="4" w:space="0" w:color="auto"/>
              <w:right w:val="single" w:sz="4" w:space="0" w:color="auto"/>
            </w:tcBorders>
            <w:noWrap/>
            <w:tcMar>
              <w:top w:w="0" w:type="dxa"/>
              <w:left w:w="108" w:type="dxa"/>
              <w:bottom w:w="0" w:type="dxa"/>
              <w:right w:w="144" w:type="dxa"/>
            </w:tcMar>
          </w:tcPr>
          <w:p w14:paraId="75EFBA03" w14:textId="77777777" w:rsidR="006345CD" w:rsidRPr="00BC1B44" w:rsidRDefault="006345CD" w:rsidP="006023A6">
            <w:pPr>
              <w:jc w:val="right"/>
              <w:rPr>
                <w:b/>
                <w:sz w:val="18"/>
                <w:szCs w:val="20"/>
                <w:lang w:val="fr-CA"/>
              </w:rPr>
            </w:pPr>
          </w:p>
        </w:tc>
      </w:tr>
      <w:tr w:rsidR="006345CD" w:rsidRPr="00BC1B44" w14:paraId="2AEF7E1F"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ACB723B" w14:textId="77777777" w:rsidR="006345CD" w:rsidRPr="00BC1B44" w:rsidRDefault="006345CD" w:rsidP="006023A6">
            <w:pPr>
              <w:keepNext/>
              <w:keepLines/>
              <w:widowControl w:val="0"/>
              <w:jc w:val="left"/>
              <w:rPr>
                <w:color w:val="000000"/>
                <w:sz w:val="18"/>
                <w:szCs w:val="20"/>
                <w:lang w:val="fr-CA"/>
              </w:rPr>
            </w:pPr>
            <w:r w:rsidRPr="00BC1B44">
              <w:rPr>
                <w:color w:val="000000"/>
                <w:sz w:val="18"/>
                <w:szCs w:val="20"/>
                <w:lang w:val="fr-CA"/>
              </w:rPr>
              <w:t>HCFC-22</w:t>
            </w:r>
          </w:p>
        </w:tc>
        <w:tc>
          <w:tcPr>
            <w:tcW w:w="551" w:type="pct"/>
            <w:tcBorders>
              <w:top w:val="nil"/>
              <w:left w:val="single" w:sz="4" w:space="0" w:color="auto"/>
              <w:bottom w:val="single" w:sz="4" w:space="0" w:color="auto"/>
              <w:right w:val="single" w:sz="4" w:space="0" w:color="auto"/>
            </w:tcBorders>
            <w:vAlign w:val="center"/>
            <w:hideMark/>
          </w:tcPr>
          <w:p w14:paraId="79EA15CD" w14:textId="77777777" w:rsidR="006345CD" w:rsidRPr="00BC1B44" w:rsidRDefault="006345CD" w:rsidP="006023A6">
            <w:pPr>
              <w:jc w:val="right"/>
              <w:rPr>
                <w:color w:val="000000"/>
                <w:sz w:val="18"/>
                <w:szCs w:val="20"/>
                <w:lang w:val="fr-CA"/>
              </w:rPr>
            </w:pPr>
            <w:r w:rsidRPr="00BC1B44">
              <w:rPr>
                <w:color w:val="000000"/>
                <w:sz w:val="18"/>
                <w:szCs w:val="20"/>
                <w:lang w:val="fr-CA"/>
              </w:rPr>
              <w:t>196,27</w:t>
            </w:r>
          </w:p>
        </w:tc>
        <w:tc>
          <w:tcPr>
            <w:tcW w:w="461" w:type="pct"/>
            <w:tcBorders>
              <w:top w:val="nil"/>
              <w:left w:val="single" w:sz="4" w:space="0" w:color="auto"/>
              <w:bottom w:val="single" w:sz="4" w:space="0" w:color="auto"/>
              <w:right w:val="single" w:sz="4" w:space="0" w:color="auto"/>
            </w:tcBorders>
            <w:vAlign w:val="center"/>
            <w:hideMark/>
          </w:tcPr>
          <w:p w14:paraId="2453478B" w14:textId="77777777" w:rsidR="006345CD" w:rsidRPr="00BC1B44" w:rsidRDefault="006345CD" w:rsidP="006023A6">
            <w:pPr>
              <w:jc w:val="right"/>
              <w:rPr>
                <w:color w:val="000000"/>
                <w:sz w:val="18"/>
                <w:szCs w:val="20"/>
                <w:lang w:val="fr-CA"/>
              </w:rPr>
            </w:pPr>
            <w:r w:rsidRPr="00BC1B44">
              <w:rPr>
                <w:color w:val="000000"/>
                <w:sz w:val="18"/>
                <w:szCs w:val="20"/>
                <w:lang w:val="fr-CA"/>
              </w:rPr>
              <w:t>193,39</w:t>
            </w:r>
          </w:p>
        </w:tc>
        <w:tc>
          <w:tcPr>
            <w:tcW w:w="461" w:type="pct"/>
            <w:tcBorders>
              <w:top w:val="nil"/>
              <w:left w:val="single" w:sz="4" w:space="0" w:color="auto"/>
              <w:bottom w:val="single" w:sz="4" w:space="0" w:color="auto"/>
              <w:right w:val="single" w:sz="4" w:space="0" w:color="auto"/>
            </w:tcBorders>
            <w:hideMark/>
          </w:tcPr>
          <w:p w14:paraId="29EC72E5" w14:textId="77777777" w:rsidR="006345CD" w:rsidRPr="00BC1B44" w:rsidRDefault="006345CD" w:rsidP="006023A6">
            <w:pPr>
              <w:jc w:val="right"/>
              <w:rPr>
                <w:color w:val="000000"/>
                <w:sz w:val="18"/>
                <w:szCs w:val="20"/>
                <w:lang w:val="fr-CA"/>
              </w:rPr>
            </w:pPr>
            <w:r w:rsidRPr="00BC1B44">
              <w:rPr>
                <w:sz w:val="18"/>
                <w:szCs w:val="20"/>
                <w:lang w:val="fr-CA"/>
              </w:rPr>
              <w:t>195,72</w:t>
            </w:r>
          </w:p>
        </w:tc>
        <w:tc>
          <w:tcPr>
            <w:tcW w:w="461" w:type="pct"/>
            <w:tcBorders>
              <w:top w:val="nil"/>
              <w:left w:val="single" w:sz="4" w:space="0" w:color="auto"/>
              <w:bottom w:val="single" w:sz="4" w:space="0" w:color="auto"/>
              <w:right w:val="single" w:sz="4" w:space="0" w:color="auto"/>
            </w:tcBorders>
            <w:hideMark/>
          </w:tcPr>
          <w:p w14:paraId="6F007509" w14:textId="77777777" w:rsidR="006345CD" w:rsidRPr="00BC1B44" w:rsidRDefault="006345CD" w:rsidP="006023A6">
            <w:pPr>
              <w:jc w:val="right"/>
              <w:rPr>
                <w:color w:val="000000"/>
                <w:sz w:val="18"/>
                <w:szCs w:val="20"/>
                <w:lang w:val="fr-CA"/>
              </w:rPr>
            </w:pPr>
            <w:r w:rsidRPr="00BC1B44">
              <w:rPr>
                <w:sz w:val="18"/>
                <w:szCs w:val="20"/>
                <w:lang w:val="fr-CA"/>
              </w:rPr>
              <w:t>142,18</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center"/>
            <w:hideMark/>
          </w:tcPr>
          <w:p w14:paraId="7F96BCCC" w14:textId="77777777" w:rsidR="006345CD" w:rsidRPr="00BC1B44" w:rsidRDefault="006345CD" w:rsidP="006023A6">
            <w:pPr>
              <w:jc w:val="right"/>
              <w:rPr>
                <w:color w:val="000000"/>
                <w:sz w:val="18"/>
                <w:szCs w:val="20"/>
                <w:lang w:val="fr-CA"/>
              </w:rPr>
            </w:pPr>
            <w:r w:rsidRPr="00BC1B44">
              <w:rPr>
                <w:color w:val="000000"/>
                <w:sz w:val="18"/>
                <w:szCs w:val="20"/>
                <w:lang w:val="fr-CA"/>
              </w:rPr>
              <w:t>141,62</w:t>
            </w:r>
          </w:p>
        </w:tc>
        <w:tc>
          <w:tcPr>
            <w:tcW w:w="540" w:type="pct"/>
            <w:tcBorders>
              <w:top w:val="nil"/>
              <w:left w:val="single" w:sz="4" w:space="0" w:color="auto"/>
              <w:bottom w:val="single" w:sz="4" w:space="0" w:color="auto"/>
              <w:right w:val="single" w:sz="4" w:space="0" w:color="auto"/>
            </w:tcBorders>
            <w:noWrap/>
            <w:tcMar>
              <w:top w:w="0" w:type="dxa"/>
              <w:left w:w="108" w:type="dxa"/>
              <w:bottom w:w="0" w:type="dxa"/>
              <w:right w:w="144" w:type="dxa"/>
            </w:tcMar>
            <w:hideMark/>
          </w:tcPr>
          <w:p w14:paraId="54D5D8EA" w14:textId="77777777" w:rsidR="006345CD" w:rsidRPr="00BC1B44" w:rsidRDefault="006345CD" w:rsidP="006023A6">
            <w:pPr>
              <w:keepNext/>
              <w:keepLines/>
              <w:jc w:val="right"/>
              <w:rPr>
                <w:sz w:val="18"/>
                <w:szCs w:val="20"/>
                <w:lang w:val="fr-CA"/>
              </w:rPr>
            </w:pPr>
            <w:r w:rsidRPr="00BC1B44">
              <w:rPr>
                <w:sz w:val="18"/>
                <w:szCs w:val="20"/>
                <w:lang w:val="fr-CA"/>
              </w:rPr>
              <w:t>167,15</w:t>
            </w:r>
          </w:p>
        </w:tc>
      </w:tr>
      <w:tr w:rsidR="006345CD" w:rsidRPr="00BC1B44" w14:paraId="3286C54F"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40C6416E"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HCFC-123</w:t>
            </w:r>
          </w:p>
        </w:tc>
        <w:tc>
          <w:tcPr>
            <w:tcW w:w="551" w:type="pct"/>
            <w:tcBorders>
              <w:top w:val="nil"/>
              <w:left w:val="single" w:sz="4" w:space="0" w:color="auto"/>
              <w:bottom w:val="single" w:sz="4" w:space="0" w:color="auto"/>
              <w:right w:val="single" w:sz="4" w:space="0" w:color="auto"/>
            </w:tcBorders>
            <w:vAlign w:val="center"/>
            <w:hideMark/>
          </w:tcPr>
          <w:p w14:paraId="10C8EE75" w14:textId="77777777" w:rsidR="006345CD" w:rsidRPr="00BC1B44" w:rsidRDefault="006345CD" w:rsidP="006023A6">
            <w:pPr>
              <w:jc w:val="right"/>
              <w:rPr>
                <w:color w:val="000000"/>
                <w:sz w:val="18"/>
                <w:szCs w:val="20"/>
                <w:lang w:val="fr-CA"/>
              </w:rPr>
            </w:pPr>
            <w:r w:rsidRPr="00BC1B44">
              <w:rPr>
                <w:color w:val="000000"/>
                <w:sz w:val="18"/>
                <w:szCs w:val="20"/>
                <w:lang w:val="fr-CA"/>
              </w:rPr>
              <w:t>0,34</w:t>
            </w:r>
          </w:p>
        </w:tc>
        <w:tc>
          <w:tcPr>
            <w:tcW w:w="461" w:type="pct"/>
            <w:tcBorders>
              <w:top w:val="nil"/>
              <w:left w:val="single" w:sz="4" w:space="0" w:color="auto"/>
              <w:bottom w:val="single" w:sz="4" w:space="0" w:color="auto"/>
              <w:right w:val="single" w:sz="4" w:space="0" w:color="auto"/>
            </w:tcBorders>
            <w:vAlign w:val="center"/>
            <w:hideMark/>
          </w:tcPr>
          <w:p w14:paraId="0770BBA6" w14:textId="77777777" w:rsidR="006345CD" w:rsidRPr="00BC1B44" w:rsidRDefault="006345CD" w:rsidP="006023A6">
            <w:pPr>
              <w:jc w:val="right"/>
              <w:rPr>
                <w:color w:val="000000"/>
                <w:sz w:val="18"/>
                <w:szCs w:val="20"/>
                <w:lang w:val="fr-CA"/>
              </w:rPr>
            </w:pPr>
            <w:r w:rsidRPr="00BC1B44">
              <w:rPr>
                <w:color w:val="000000"/>
                <w:sz w:val="18"/>
                <w:szCs w:val="20"/>
                <w:lang w:val="fr-CA"/>
              </w:rPr>
              <w:t>0,33</w:t>
            </w:r>
          </w:p>
        </w:tc>
        <w:tc>
          <w:tcPr>
            <w:tcW w:w="461" w:type="pct"/>
            <w:tcBorders>
              <w:top w:val="nil"/>
              <w:left w:val="single" w:sz="4" w:space="0" w:color="auto"/>
              <w:bottom w:val="single" w:sz="4" w:space="0" w:color="auto"/>
              <w:right w:val="single" w:sz="4" w:space="0" w:color="auto"/>
            </w:tcBorders>
            <w:hideMark/>
          </w:tcPr>
          <w:p w14:paraId="0ADB8B2D" w14:textId="77777777" w:rsidR="006345CD" w:rsidRPr="00BC1B44" w:rsidRDefault="006345CD" w:rsidP="006023A6">
            <w:pPr>
              <w:jc w:val="right"/>
              <w:rPr>
                <w:color w:val="000000"/>
                <w:sz w:val="18"/>
                <w:szCs w:val="20"/>
                <w:lang w:val="fr-CA"/>
              </w:rPr>
            </w:pPr>
            <w:r w:rsidRPr="00BC1B44">
              <w:rPr>
                <w:sz w:val="18"/>
                <w:szCs w:val="20"/>
                <w:lang w:val="fr-CA"/>
              </w:rPr>
              <w:t>0,33</w:t>
            </w:r>
          </w:p>
        </w:tc>
        <w:tc>
          <w:tcPr>
            <w:tcW w:w="461" w:type="pct"/>
            <w:tcBorders>
              <w:top w:val="nil"/>
              <w:left w:val="single" w:sz="4" w:space="0" w:color="auto"/>
              <w:bottom w:val="single" w:sz="4" w:space="0" w:color="auto"/>
              <w:right w:val="single" w:sz="4" w:space="0" w:color="auto"/>
            </w:tcBorders>
            <w:hideMark/>
          </w:tcPr>
          <w:p w14:paraId="2376F5D8" w14:textId="77777777" w:rsidR="006345CD" w:rsidRPr="00BC1B44" w:rsidRDefault="006345CD" w:rsidP="006023A6">
            <w:pPr>
              <w:jc w:val="right"/>
              <w:rPr>
                <w:color w:val="000000"/>
                <w:sz w:val="18"/>
                <w:szCs w:val="20"/>
                <w:lang w:val="fr-CA"/>
              </w:rPr>
            </w:pPr>
            <w:r w:rsidRPr="00BC1B44">
              <w:rPr>
                <w:sz w:val="18"/>
                <w:szCs w:val="20"/>
                <w:lang w:val="fr-CA"/>
              </w:rPr>
              <w:t>0,00</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center"/>
            <w:hideMark/>
          </w:tcPr>
          <w:p w14:paraId="25C237A9" w14:textId="77777777" w:rsidR="006345CD" w:rsidRPr="00BC1B44" w:rsidRDefault="006345CD" w:rsidP="006023A6">
            <w:pPr>
              <w:jc w:val="right"/>
              <w:rPr>
                <w:color w:val="000000"/>
                <w:sz w:val="18"/>
                <w:szCs w:val="20"/>
                <w:lang w:val="fr-CA"/>
              </w:rPr>
            </w:pPr>
            <w:r w:rsidRPr="00BC1B44">
              <w:rPr>
                <w:color w:val="000000"/>
                <w:sz w:val="18"/>
                <w:szCs w:val="20"/>
                <w:lang w:val="fr-CA"/>
              </w:rPr>
              <w:t>0,16</w:t>
            </w:r>
          </w:p>
        </w:tc>
        <w:tc>
          <w:tcPr>
            <w:tcW w:w="540" w:type="pct"/>
            <w:tcBorders>
              <w:top w:val="nil"/>
              <w:left w:val="single" w:sz="4" w:space="0" w:color="auto"/>
              <w:bottom w:val="single" w:sz="4" w:space="0" w:color="auto"/>
              <w:right w:val="single" w:sz="4" w:space="0" w:color="auto"/>
            </w:tcBorders>
            <w:noWrap/>
            <w:tcMar>
              <w:top w:w="0" w:type="dxa"/>
              <w:left w:w="108" w:type="dxa"/>
              <w:bottom w:w="0" w:type="dxa"/>
              <w:right w:w="144" w:type="dxa"/>
            </w:tcMar>
            <w:hideMark/>
          </w:tcPr>
          <w:p w14:paraId="26DE2038" w14:textId="77777777" w:rsidR="006345CD" w:rsidRPr="00BC1B44" w:rsidRDefault="006345CD" w:rsidP="006023A6">
            <w:pPr>
              <w:jc w:val="right"/>
              <w:rPr>
                <w:sz w:val="18"/>
                <w:szCs w:val="20"/>
                <w:lang w:val="fr-CA"/>
              </w:rPr>
            </w:pPr>
            <w:r w:rsidRPr="00BC1B44">
              <w:rPr>
                <w:sz w:val="18"/>
                <w:szCs w:val="20"/>
                <w:lang w:val="fr-CA"/>
              </w:rPr>
              <w:t>0,16</w:t>
            </w:r>
          </w:p>
        </w:tc>
      </w:tr>
      <w:tr w:rsidR="006345CD" w:rsidRPr="00BC1B44" w14:paraId="1F976616" w14:textId="77777777" w:rsidTr="006023A6">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774C2DAE"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HCFC-141b</w:t>
            </w:r>
          </w:p>
        </w:tc>
        <w:tc>
          <w:tcPr>
            <w:tcW w:w="551" w:type="pct"/>
            <w:tcBorders>
              <w:top w:val="nil"/>
              <w:left w:val="single" w:sz="4" w:space="0" w:color="auto"/>
              <w:bottom w:val="single" w:sz="4" w:space="0" w:color="auto"/>
              <w:right w:val="single" w:sz="4" w:space="0" w:color="auto"/>
            </w:tcBorders>
            <w:vAlign w:val="center"/>
            <w:hideMark/>
          </w:tcPr>
          <w:p w14:paraId="40815F14" w14:textId="77777777" w:rsidR="006345CD" w:rsidRPr="00BC1B44" w:rsidRDefault="006345CD" w:rsidP="006023A6">
            <w:pPr>
              <w:jc w:val="right"/>
              <w:rPr>
                <w:sz w:val="18"/>
                <w:lang w:val="fr-CA"/>
              </w:rPr>
            </w:pPr>
            <w:r w:rsidRPr="00BC1B44">
              <w:rPr>
                <w:sz w:val="18"/>
                <w:szCs w:val="20"/>
                <w:lang w:val="fr-CA"/>
              </w:rPr>
              <w:t>0,00</w:t>
            </w:r>
          </w:p>
        </w:tc>
        <w:tc>
          <w:tcPr>
            <w:tcW w:w="461" w:type="pct"/>
            <w:tcBorders>
              <w:top w:val="nil"/>
              <w:left w:val="single" w:sz="4" w:space="0" w:color="auto"/>
              <w:bottom w:val="single" w:sz="4" w:space="0" w:color="auto"/>
              <w:right w:val="single" w:sz="4" w:space="0" w:color="auto"/>
            </w:tcBorders>
            <w:vAlign w:val="center"/>
            <w:hideMark/>
          </w:tcPr>
          <w:p w14:paraId="3E294746" w14:textId="77777777" w:rsidR="006345CD" w:rsidRPr="00BC1B44" w:rsidRDefault="006345CD" w:rsidP="006023A6">
            <w:pPr>
              <w:jc w:val="right"/>
              <w:rPr>
                <w:sz w:val="18"/>
                <w:szCs w:val="20"/>
                <w:lang w:val="fr-CA"/>
              </w:rPr>
            </w:pPr>
            <w:r w:rsidRPr="00BC1B44">
              <w:rPr>
                <w:sz w:val="18"/>
                <w:szCs w:val="20"/>
                <w:lang w:val="fr-CA"/>
              </w:rPr>
              <w:t>0,00</w:t>
            </w:r>
          </w:p>
        </w:tc>
        <w:tc>
          <w:tcPr>
            <w:tcW w:w="461" w:type="pct"/>
            <w:tcBorders>
              <w:top w:val="nil"/>
              <w:left w:val="single" w:sz="4" w:space="0" w:color="auto"/>
              <w:bottom w:val="single" w:sz="4" w:space="0" w:color="auto"/>
              <w:right w:val="single" w:sz="4" w:space="0" w:color="auto"/>
            </w:tcBorders>
            <w:hideMark/>
          </w:tcPr>
          <w:p w14:paraId="50A02D6F" w14:textId="77777777" w:rsidR="006345CD" w:rsidRPr="00BC1B44" w:rsidRDefault="006345CD" w:rsidP="006023A6">
            <w:pPr>
              <w:jc w:val="right"/>
              <w:rPr>
                <w:sz w:val="18"/>
                <w:szCs w:val="20"/>
                <w:lang w:val="fr-CA"/>
              </w:rPr>
            </w:pPr>
            <w:r w:rsidRPr="00BC1B44">
              <w:rPr>
                <w:sz w:val="18"/>
                <w:szCs w:val="20"/>
                <w:lang w:val="fr-CA"/>
              </w:rPr>
              <w:t>0,00</w:t>
            </w:r>
          </w:p>
        </w:tc>
        <w:tc>
          <w:tcPr>
            <w:tcW w:w="461" w:type="pct"/>
            <w:tcBorders>
              <w:top w:val="nil"/>
              <w:left w:val="single" w:sz="4" w:space="0" w:color="auto"/>
              <w:bottom w:val="single" w:sz="4" w:space="0" w:color="auto"/>
              <w:right w:val="single" w:sz="4" w:space="0" w:color="auto"/>
            </w:tcBorders>
            <w:hideMark/>
          </w:tcPr>
          <w:p w14:paraId="2BFBCF78" w14:textId="77777777" w:rsidR="006345CD" w:rsidRPr="00BC1B44" w:rsidRDefault="006345CD" w:rsidP="006023A6">
            <w:pPr>
              <w:jc w:val="right"/>
              <w:rPr>
                <w:sz w:val="18"/>
                <w:szCs w:val="20"/>
                <w:lang w:val="fr-CA"/>
              </w:rPr>
            </w:pPr>
            <w:r w:rsidRPr="00BC1B44">
              <w:rPr>
                <w:sz w:val="18"/>
                <w:szCs w:val="20"/>
                <w:lang w:val="fr-CA"/>
              </w:rPr>
              <w:t>0,00</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center"/>
            <w:hideMark/>
          </w:tcPr>
          <w:p w14:paraId="765307C1" w14:textId="77777777" w:rsidR="006345CD" w:rsidRPr="00BC1B44" w:rsidRDefault="006345CD" w:rsidP="006023A6">
            <w:pPr>
              <w:jc w:val="right"/>
              <w:rPr>
                <w:sz w:val="18"/>
                <w:szCs w:val="20"/>
                <w:lang w:val="fr-CA"/>
              </w:rPr>
            </w:pPr>
            <w:r w:rsidRPr="00BC1B44">
              <w:rPr>
                <w:sz w:val="18"/>
                <w:szCs w:val="20"/>
                <w:lang w:val="fr-CA"/>
              </w:rPr>
              <w:t>0,00</w:t>
            </w:r>
          </w:p>
        </w:tc>
        <w:tc>
          <w:tcPr>
            <w:tcW w:w="540" w:type="pct"/>
            <w:tcBorders>
              <w:top w:val="nil"/>
              <w:left w:val="single" w:sz="4" w:space="0" w:color="auto"/>
              <w:bottom w:val="single" w:sz="4" w:space="0" w:color="auto"/>
              <w:right w:val="single" w:sz="4" w:space="0" w:color="auto"/>
            </w:tcBorders>
            <w:noWrap/>
            <w:tcMar>
              <w:top w:w="0" w:type="dxa"/>
              <w:left w:w="108" w:type="dxa"/>
              <w:bottom w:w="0" w:type="dxa"/>
              <w:right w:w="144" w:type="dxa"/>
            </w:tcMar>
            <w:hideMark/>
          </w:tcPr>
          <w:p w14:paraId="6A5D7D28" w14:textId="77777777" w:rsidR="006345CD" w:rsidRPr="00BC1B44" w:rsidRDefault="006345CD" w:rsidP="006023A6">
            <w:pPr>
              <w:jc w:val="right"/>
              <w:rPr>
                <w:sz w:val="18"/>
                <w:szCs w:val="20"/>
                <w:lang w:val="fr-CA"/>
              </w:rPr>
            </w:pPr>
            <w:r w:rsidRPr="00BC1B44">
              <w:rPr>
                <w:sz w:val="18"/>
                <w:szCs w:val="20"/>
                <w:lang w:val="fr-CA"/>
              </w:rPr>
              <w:t>53,90</w:t>
            </w:r>
          </w:p>
        </w:tc>
      </w:tr>
      <w:tr w:rsidR="006345CD" w:rsidRPr="00BC1B44" w14:paraId="3CAE105B" w14:textId="77777777" w:rsidTr="006023A6">
        <w:trPr>
          <w:trHeight w:val="20"/>
        </w:trPr>
        <w:tc>
          <w:tcPr>
            <w:tcW w:w="2044" w:type="pct"/>
            <w:tcBorders>
              <w:top w:val="nil"/>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0E342BD1" w14:textId="77777777" w:rsidR="006345CD" w:rsidRPr="00BC1B44" w:rsidRDefault="006345CD" w:rsidP="006023A6">
            <w:pPr>
              <w:widowControl w:val="0"/>
              <w:jc w:val="left"/>
              <w:rPr>
                <w:color w:val="000000"/>
                <w:sz w:val="18"/>
                <w:szCs w:val="20"/>
                <w:lang w:val="fr-CA"/>
              </w:rPr>
            </w:pPr>
            <w:r w:rsidRPr="00BC1B44">
              <w:rPr>
                <w:color w:val="000000"/>
                <w:sz w:val="18"/>
                <w:szCs w:val="20"/>
                <w:lang w:val="fr-CA"/>
              </w:rPr>
              <w:t>HCFC-225</w:t>
            </w:r>
          </w:p>
        </w:tc>
        <w:tc>
          <w:tcPr>
            <w:tcW w:w="551" w:type="pct"/>
            <w:tcBorders>
              <w:top w:val="nil"/>
              <w:left w:val="single" w:sz="4" w:space="0" w:color="auto"/>
              <w:bottom w:val="single" w:sz="4" w:space="0" w:color="auto"/>
              <w:right w:val="single" w:sz="4" w:space="0" w:color="auto"/>
            </w:tcBorders>
            <w:vAlign w:val="center"/>
            <w:hideMark/>
          </w:tcPr>
          <w:p w14:paraId="0281B1E5" w14:textId="77777777" w:rsidR="006345CD" w:rsidRPr="00BC1B44" w:rsidRDefault="006345CD" w:rsidP="006023A6">
            <w:pPr>
              <w:jc w:val="right"/>
              <w:rPr>
                <w:color w:val="000000"/>
                <w:sz w:val="18"/>
                <w:szCs w:val="20"/>
                <w:lang w:val="fr-CA"/>
              </w:rPr>
            </w:pPr>
            <w:r w:rsidRPr="00BC1B44">
              <w:rPr>
                <w:color w:val="000000"/>
                <w:sz w:val="18"/>
                <w:szCs w:val="20"/>
                <w:lang w:val="fr-CA"/>
              </w:rPr>
              <w:t>0,97</w:t>
            </w:r>
          </w:p>
        </w:tc>
        <w:tc>
          <w:tcPr>
            <w:tcW w:w="461" w:type="pct"/>
            <w:tcBorders>
              <w:top w:val="nil"/>
              <w:left w:val="single" w:sz="4" w:space="0" w:color="auto"/>
              <w:bottom w:val="single" w:sz="4" w:space="0" w:color="auto"/>
              <w:right w:val="single" w:sz="4" w:space="0" w:color="auto"/>
            </w:tcBorders>
            <w:vAlign w:val="center"/>
            <w:hideMark/>
          </w:tcPr>
          <w:p w14:paraId="44923DD0" w14:textId="77777777" w:rsidR="006345CD" w:rsidRPr="00BC1B44" w:rsidRDefault="006345CD" w:rsidP="006023A6">
            <w:pPr>
              <w:jc w:val="right"/>
              <w:rPr>
                <w:color w:val="000000"/>
                <w:sz w:val="18"/>
                <w:szCs w:val="20"/>
                <w:lang w:val="fr-CA"/>
              </w:rPr>
            </w:pPr>
            <w:r w:rsidRPr="00BC1B44">
              <w:rPr>
                <w:color w:val="000000"/>
                <w:sz w:val="18"/>
                <w:szCs w:val="20"/>
                <w:lang w:val="fr-CA"/>
              </w:rPr>
              <w:t>1,88</w:t>
            </w:r>
          </w:p>
        </w:tc>
        <w:tc>
          <w:tcPr>
            <w:tcW w:w="461" w:type="pct"/>
            <w:tcBorders>
              <w:top w:val="nil"/>
              <w:left w:val="single" w:sz="4" w:space="0" w:color="auto"/>
              <w:bottom w:val="single" w:sz="4" w:space="0" w:color="auto"/>
              <w:right w:val="single" w:sz="4" w:space="0" w:color="auto"/>
            </w:tcBorders>
            <w:hideMark/>
          </w:tcPr>
          <w:p w14:paraId="395A2111" w14:textId="77777777" w:rsidR="006345CD" w:rsidRPr="00BC1B44" w:rsidRDefault="006345CD" w:rsidP="006023A6">
            <w:pPr>
              <w:jc w:val="right"/>
              <w:rPr>
                <w:color w:val="000000"/>
                <w:sz w:val="18"/>
                <w:szCs w:val="20"/>
                <w:lang w:val="fr-CA"/>
              </w:rPr>
            </w:pPr>
            <w:r w:rsidRPr="00BC1B44">
              <w:rPr>
                <w:sz w:val="18"/>
                <w:szCs w:val="20"/>
                <w:lang w:val="fr-CA"/>
              </w:rPr>
              <w:t>1,50</w:t>
            </w:r>
          </w:p>
        </w:tc>
        <w:tc>
          <w:tcPr>
            <w:tcW w:w="461" w:type="pct"/>
            <w:tcBorders>
              <w:top w:val="nil"/>
              <w:left w:val="single" w:sz="4" w:space="0" w:color="auto"/>
              <w:bottom w:val="single" w:sz="4" w:space="0" w:color="auto"/>
              <w:right w:val="single" w:sz="4" w:space="0" w:color="auto"/>
            </w:tcBorders>
            <w:hideMark/>
          </w:tcPr>
          <w:p w14:paraId="51B3651D" w14:textId="77777777" w:rsidR="006345CD" w:rsidRPr="00BC1B44" w:rsidRDefault="006345CD" w:rsidP="006023A6">
            <w:pPr>
              <w:jc w:val="right"/>
              <w:rPr>
                <w:color w:val="000000"/>
                <w:sz w:val="18"/>
                <w:szCs w:val="20"/>
                <w:lang w:val="fr-CA"/>
              </w:rPr>
            </w:pPr>
            <w:r w:rsidRPr="00BC1B44">
              <w:rPr>
                <w:sz w:val="18"/>
                <w:szCs w:val="20"/>
                <w:lang w:val="fr-CA"/>
              </w:rPr>
              <w:t>0,00</w:t>
            </w:r>
          </w:p>
        </w:tc>
        <w:tc>
          <w:tcPr>
            <w:tcW w:w="481" w:type="pct"/>
            <w:tcBorders>
              <w:top w:val="nil"/>
              <w:left w:val="single" w:sz="4" w:space="0" w:color="auto"/>
              <w:bottom w:val="single" w:sz="4" w:space="0" w:color="auto"/>
              <w:right w:val="single" w:sz="4" w:space="0" w:color="auto"/>
            </w:tcBorders>
            <w:tcMar>
              <w:top w:w="0" w:type="dxa"/>
              <w:left w:w="108" w:type="dxa"/>
              <w:bottom w:w="0" w:type="dxa"/>
              <w:right w:w="144" w:type="dxa"/>
            </w:tcMar>
            <w:vAlign w:val="center"/>
            <w:hideMark/>
          </w:tcPr>
          <w:p w14:paraId="6A3ADE80" w14:textId="77777777" w:rsidR="006345CD" w:rsidRPr="00BC1B44" w:rsidRDefault="006345CD" w:rsidP="006023A6">
            <w:pPr>
              <w:jc w:val="right"/>
              <w:rPr>
                <w:color w:val="000000"/>
                <w:sz w:val="18"/>
                <w:szCs w:val="20"/>
                <w:lang w:val="fr-CA"/>
              </w:rPr>
            </w:pPr>
            <w:r w:rsidRPr="00BC1B44">
              <w:rPr>
                <w:color w:val="000000"/>
                <w:sz w:val="18"/>
                <w:szCs w:val="20"/>
                <w:lang w:val="fr-CA"/>
              </w:rPr>
              <w:t>0,00</w:t>
            </w:r>
          </w:p>
        </w:tc>
        <w:tc>
          <w:tcPr>
            <w:tcW w:w="540" w:type="pct"/>
            <w:tcBorders>
              <w:top w:val="nil"/>
              <w:left w:val="single" w:sz="4" w:space="0" w:color="auto"/>
              <w:bottom w:val="single" w:sz="4" w:space="0" w:color="auto"/>
              <w:right w:val="single" w:sz="4" w:space="0" w:color="auto"/>
            </w:tcBorders>
            <w:noWrap/>
            <w:tcMar>
              <w:top w:w="0" w:type="dxa"/>
              <w:left w:w="108" w:type="dxa"/>
              <w:bottom w:w="0" w:type="dxa"/>
              <w:right w:w="144" w:type="dxa"/>
            </w:tcMar>
            <w:hideMark/>
          </w:tcPr>
          <w:p w14:paraId="6F76D3F3" w14:textId="77777777" w:rsidR="006345CD" w:rsidRPr="00BC1B44" w:rsidRDefault="006345CD" w:rsidP="006023A6">
            <w:pPr>
              <w:jc w:val="right"/>
              <w:rPr>
                <w:sz w:val="18"/>
                <w:szCs w:val="20"/>
                <w:lang w:val="fr-CA"/>
              </w:rPr>
            </w:pPr>
            <w:r w:rsidRPr="00BC1B44">
              <w:rPr>
                <w:sz w:val="18"/>
                <w:szCs w:val="20"/>
                <w:lang w:val="fr-CA"/>
              </w:rPr>
              <w:t>0,00</w:t>
            </w:r>
          </w:p>
        </w:tc>
      </w:tr>
      <w:tr w:rsidR="006345CD" w:rsidRPr="00BC1B44" w14:paraId="1C4EC133" w14:textId="77777777" w:rsidTr="006023A6">
        <w:tc>
          <w:tcPr>
            <w:tcW w:w="20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7CB64F4B" w14:textId="77777777" w:rsidR="006345CD" w:rsidRPr="00BC1B44" w:rsidRDefault="006345CD" w:rsidP="006023A6">
            <w:pPr>
              <w:jc w:val="left"/>
              <w:rPr>
                <w:rFonts w:eastAsiaTheme="minorHAnsi"/>
                <w:b/>
                <w:sz w:val="18"/>
                <w:szCs w:val="20"/>
                <w:lang w:val="fr-CA"/>
              </w:rPr>
            </w:pPr>
            <w:r w:rsidRPr="00BC1B44">
              <w:rPr>
                <w:b/>
                <w:sz w:val="18"/>
                <w:szCs w:val="20"/>
                <w:lang w:val="fr-CA"/>
              </w:rPr>
              <w:t>Total (ODP tonnes)</w:t>
            </w:r>
          </w:p>
        </w:tc>
        <w:tc>
          <w:tcPr>
            <w:tcW w:w="551" w:type="pct"/>
            <w:tcBorders>
              <w:top w:val="single" w:sz="4" w:space="0" w:color="auto"/>
              <w:left w:val="single" w:sz="4" w:space="0" w:color="auto"/>
              <w:bottom w:val="single" w:sz="4" w:space="0" w:color="auto"/>
              <w:right w:val="single" w:sz="4" w:space="0" w:color="auto"/>
            </w:tcBorders>
            <w:vAlign w:val="center"/>
            <w:hideMark/>
          </w:tcPr>
          <w:p w14:paraId="790CE116" w14:textId="77777777" w:rsidR="006345CD" w:rsidRPr="00BC1B44" w:rsidRDefault="006345CD" w:rsidP="006023A6">
            <w:pPr>
              <w:jc w:val="right"/>
              <w:rPr>
                <w:b/>
                <w:bCs/>
                <w:color w:val="000000"/>
                <w:sz w:val="18"/>
                <w:szCs w:val="20"/>
                <w:lang w:val="fr-CA"/>
              </w:rPr>
            </w:pPr>
            <w:r w:rsidRPr="00BC1B44">
              <w:rPr>
                <w:b/>
                <w:bCs/>
                <w:color w:val="000000"/>
                <w:sz w:val="18"/>
                <w:szCs w:val="20"/>
                <w:lang w:val="fr-CA"/>
              </w:rPr>
              <w:t>197,58</w:t>
            </w:r>
          </w:p>
        </w:tc>
        <w:tc>
          <w:tcPr>
            <w:tcW w:w="461" w:type="pct"/>
            <w:tcBorders>
              <w:top w:val="single" w:sz="4" w:space="0" w:color="auto"/>
              <w:left w:val="single" w:sz="4" w:space="0" w:color="auto"/>
              <w:bottom w:val="single" w:sz="4" w:space="0" w:color="auto"/>
              <w:right w:val="single" w:sz="4" w:space="0" w:color="auto"/>
            </w:tcBorders>
            <w:vAlign w:val="center"/>
            <w:hideMark/>
          </w:tcPr>
          <w:p w14:paraId="7E23F81B" w14:textId="77777777" w:rsidR="006345CD" w:rsidRPr="00BC1B44" w:rsidRDefault="006345CD" w:rsidP="006023A6">
            <w:pPr>
              <w:jc w:val="right"/>
              <w:rPr>
                <w:b/>
                <w:bCs/>
                <w:color w:val="000000"/>
                <w:sz w:val="18"/>
                <w:szCs w:val="20"/>
                <w:lang w:val="fr-CA"/>
              </w:rPr>
            </w:pPr>
            <w:r w:rsidRPr="00BC1B44">
              <w:rPr>
                <w:b/>
                <w:bCs/>
                <w:color w:val="000000"/>
                <w:sz w:val="18"/>
                <w:szCs w:val="20"/>
                <w:lang w:val="fr-CA"/>
              </w:rPr>
              <w:t>195,60</w:t>
            </w:r>
          </w:p>
        </w:tc>
        <w:tc>
          <w:tcPr>
            <w:tcW w:w="461" w:type="pct"/>
            <w:tcBorders>
              <w:top w:val="single" w:sz="4" w:space="0" w:color="auto"/>
              <w:left w:val="single" w:sz="4" w:space="0" w:color="auto"/>
              <w:bottom w:val="single" w:sz="4" w:space="0" w:color="auto"/>
              <w:right w:val="single" w:sz="4" w:space="0" w:color="auto"/>
            </w:tcBorders>
            <w:hideMark/>
          </w:tcPr>
          <w:p w14:paraId="44F23266" w14:textId="77777777" w:rsidR="006345CD" w:rsidRPr="00BC1B44" w:rsidRDefault="006345CD" w:rsidP="006023A6">
            <w:pPr>
              <w:jc w:val="right"/>
              <w:rPr>
                <w:b/>
                <w:bCs/>
                <w:color w:val="000000"/>
                <w:sz w:val="18"/>
                <w:szCs w:val="20"/>
                <w:lang w:val="fr-CA"/>
              </w:rPr>
            </w:pPr>
            <w:r w:rsidRPr="00BC1B44">
              <w:rPr>
                <w:b/>
                <w:sz w:val="18"/>
                <w:szCs w:val="20"/>
                <w:lang w:val="fr-CA"/>
              </w:rPr>
              <w:t>197,55</w:t>
            </w:r>
          </w:p>
        </w:tc>
        <w:tc>
          <w:tcPr>
            <w:tcW w:w="461" w:type="pct"/>
            <w:tcBorders>
              <w:top w:val="single" w:sz="4" w:space="0" w:color="auto"/>
              <w:left w:val="single" w:sz="4" w:space="0" w:color="auto"/>
              <w:bottom w:val="single" w:sz="4" w:space="0" w:color="auto"/>
              <w:right w:val="single" w:sz="4" w:space="0" w:color="auto"/>
            </w:tcBorders>
            <w:hideMark/>
          </w:tcPr>
          <w:p w14:paraId="1A844002" w14:textId="77777777" w:rsidR="006345CD" w:rsidRPr="00BC1B44" w:rsidRDefault="006345CD" w:rsidP="006023A6">
            <w:pPr>
              <w:jc w:val="right"/>
              <w:rPr>
                <w:b/>
                <w:bCs/>
                <w:color w:val="000000"/>
                <w:sz w:val="18"/>
                <w:szCs w:val="20"/>
                <w:lang w:val="fr-CA"/>
              </w:rPr>
            </w:pPr>
            <w:r w:rsidRPr="00BC1B44">
              <w:rPr>
                <w:b/>
                <w:sz w:val="18"/>
                <w:szCs w:val="20"/>
                <w:lang w:val="fr-CA"/>
              </w:rPr>
              <w:t>142,18</w:t>
            </w:r>
          </w:p>
        </w:tc>
        <w:tc>
          <w:tcPr>
            <w:tcW w:w="481" w:type="pct"/>
            <w:tcBorders>
              <w:top w:val="single" w:sz="4" w:space="0" w:color="auto"/>
              <w:left w:val="single" w:sz="4" w:space="0" w:color="auto"/>
              <w:bottom w:val="single" w:sz="4" w:space="0" w:color="auto"/>
              <w:right w:val="single" w:sz="4" w:space="0" w:color="auto"/>
            </w:tcBorders>
            <w:tcMar>
              <w:top w:w="0" w:type="dxa"/>
              <w:left w:w="108" w:type="dxa"/>
              <w:bottom w:w="0" w:type="dxa"/>
              <w:right w:w="144" w:type="dxa"/>
            </w:tcMar>
            <w:vAlign w:val="center"/>
            <w:hideMark/>
          </w:tcPr>
          <w:p w14:paraId="5E98551B" w14:textId="77777777" w:rsidR="006345CD" w:rsidRPr="00BC1B44" w:rsidRDefault="006345CD" w:rsidP="006023A6">
            <w:pPr>
              <w:jc w:val="right"/>
              <w:rPr>
                <w:b/>
                <w:bCs/>
                <w:color w:val="000000"/>
                <w:sz w:val="18"/>
                <w:szCs w:val="20"/>
                <w:lang w:val="fr-CA"/>
              </w:rPr>
            </w:pPr>
            <w:r w:rsidRPr="00BC1B44">
              <w:rPr>
                <w:b/>
                <w:bCs/>
                <w:color w:val="000000"/>
                <w:sz w:val="18"/>
                <w:szCs w:val="20"/>
                <w:lang w:val="fr-CA"/>
              </w:rPr>
              <w:t>141,79</w:t>
            </w:r>
          </w:p>
        </w:tc>
        <w:tc>
          <w:tcPr>
            <w:tcW w:w="54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44" w:type="dxa"/>
            </w:tcMar>
            <w:hideMark/>
          </w:tcPr>
          <w:p w14:paraId="1505D87C" w14:textId="77777777" w:rsidR="006345CD" w:rsidRPr="00BC1B44" w:rsidRDefault="006345CD" w:rsidP="006023A6">
            <w:pPr>
              <w:jc w:val="right"/>
              <w:rPr>
                <w:b/>
                <w:sz w:val="18"/>
                <w:szCs w:val="20"/>
                <w:lang w:val="fr-CA"/>
              </w:rPr>
            </w:pPr>
            <w:r w:rsidRPr="00BC1B44">
              <w:rPr>
                <w:b/>
                <w:sz w:val="18"/>
                <w:szCs w:val="20"/>
                <w:lang w:val="fr-CA"/>
              </w:rPr>
              <w:t>221,21</w:t>
            </w:r>
          </w:p>
        </w:tc>
      </w:tr>
      <w:tr w:rsidR="006345CD" w:rsidRPr="00BC1B44" w14:paraId="31DCFCE1" w14:textId="77777777" w:rsidTr="006023A6">
        <w:tc>
          <w:tcPr>
            <w:tcW w:w="2044" w:type="pc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14568531" w14:textId="77777777" w:rsidR="006345CD" w:rsidRPr="00BC1B44" w:rsidRDefault="006345CD" w:rsidP="006023A6">
            <w:pPr>
              <w:jc w:val="left"/>
              <w:rPr>
                <w:color w:val="000000"/>
                <w:sz w:val="18"/>
                <w:szCs w:val="20"/>
                <w:lang w:val="fr-CA"/>
              </w:rPr>
            </w:pPr>
            <w:r w:rsidRPr="00BC1B44">
              <w:rPr>
                <w:color w:val="000000"/>
                <w:sz w:val="18"/>
                <w:szCs w:val="20"/>
                <w:lang w:val="fr-CA"/>
              </w:rPr>
              <w:t>HCFC-141b dans les polyols prémélangés importés*</w:t>
            </w:r>
          </w:p>
        </w:tc>
        <w:tc>
          <w:tcPr>
            <w:tcW w:w="551" w:type="pct"/>
            <w:tcBorders>
              <w:top w:val="single" w:sz="4" w:space="0" w:color="auto"/>
              <w:left w:val="single" w:sz="4" w:space="0" w:color="auto"/>
              <w:bottom w:val="single" w:sz="4" w:space="0" w:color="auto"/>
              <w:right w:val="single" w:sz="4" w:space="0" w:color="auto"/>
            </w:tcBorders>
            <w:hideMark/>
          </w:tcPr>
          <w:p w14:paraId="56405D1A" w14:textId="77777777" w:rsidR="006345CD" w:rsidRPr="00BC1B44" w:rsidRDefault="006345CD" w:rsidP="006023A6">
            <w:pPr>
              <w:jc w:val="right"/>
              <w:rPr>
                <w:sz w:val="18"/>
                <w:szCs w:val="20"/>
                <w:lang w:val="fr-CA"/>
              </w:rPr>
            </w:pPr>
            <w:r w:rsidRPr="00BC1B44">
              <w:rPr>
                <w:rFonts w:eastAsiaTheme="minorHAnsi"/>
                <w:color w:val="000000"/>
                <w:sz w:val="18"/>
                <w:szCs w:val="20"/>
                <w:lang w:val="fr-CA"/>
              </w:rPr>
              <w:t>206,69</w:t>
            </w:r>
          </w:p>
        </w:tc>
        <w:tc>
          <w:tcPr>
            <w:tcW w:w="461" w:type="pct"/>
            <w:tcBorders>
              <w:top w:val="single" w:sz="4" w:space="0" w:color="auto"/>
              <w:left w:val="single" w:sz="4" w:space="0" w:color="auto"/>
              <w:bottom w:val="single" w:sz="4" w:space="0" w:color="auto"/>
              <w:right w:val="single" w:sz="4" w:space="0" w:color="auto"/>
            </w:tcBorders>
            <w:hideMark/>
          </w:tcPr>
          <w:p w14:paraId="7E40800A" w14:textId="77777777" w:rsidR="006345CD" w:rsidRPr="00BC1B44" w:rsidRDefault="006345CD" w:rsidP="006023A6">
            <w:pPr>
              <w:jc w:val="right"/>
              <w:rPr>
                <w:sz w:val="18"/>
                <w:szCs w:val="20"/>
                <w:lang w:val="fr-CA"/>
              </w:rPr>
            </w:pPr>
            <w:r w:rsidRPr="00BC1B44">
              <w:rPr>
                <w:sz w:val="18"/>
                <w:szCs w:val="20"/>
                <w:lang w:val="fr-CA"/>
              </w:rPr>
              <w:t>126,00</w:t>
            </w:r>
          </w:p>
        </w:tc>
        <w:tc>
          <w:tcPr>
            <w:tcW w:w="461" w:type="pct"/>
            <w:tcBorders>
              <w:top w:val="single" w:sz="4" w:space="0" w:color="auto"/>
              <w:left w:val="single" w:sz="4" w:space="0" w:color="auto"/>
              <w:bottom w:val="single" w:sz="4" w:space="0" w:color="auto"/>
              <w:right w:val="single" w:sz="4" w:space="0" w:color="auto"/>
            </w:tcBorders>
            <w:hideMark/>
          </w:tcPr>
          <w:p w14:paraId="0B7CF86C" w14:textId="77777777" w:rsidR="006345CD" w:rsidRPr="00BC1B44" w:rsidRDefault="006345CD" w:rsidP="006023A6">
            <w:pPr>
              <w:jc w:val="right"/>
              <w:rPr>
                <w:sz w:val="18"/>
                <w:szCs w:val="20"/>
                <w:lang w:val="fr-CA"/>
              </w:rPr>
            </w:pPr>
            <w:r w:rsidRPr="00BC1B44">
              <w:rPr>
                <w:sz w:val="18"/>
                <w:szCs w:val="20"/>
                <w:lang w:val="fr-CA"/>
              </w:rPr>
              <w:t>75,60</w:t>
            </w:r>
          </w:p>
        </w:tc>
        <w:tc>
          <w:tcPr>
            <w:tcW w:w="461" w:type="pct"/>
            <w:tcBorders>
              <w:top w:val="single" w:sz="4" w:space="0" w:color="auto"/>
              <w:left w:val="single" w:sz="4" w:space="0" w:color="auto"/>
              <w:bottom w:val="single" w:sz="4" w:space="0" w:color="auto"/>
              <w:right w:val="single" w:sz="4" w:space="0" w:color="auto"/>
            </w:tcBorders>
            <w:hideMark/>
          </w:tcPr>
          <w:p w14:paraId="5452F337" w14:textId="77777777" w:rsidR="006345CD" w:rsidRPr="00BC1B44" w:rsidRDefault="006345CD" w:rsidP="006023A6">
            <w:pPr>
              <w:jc w:val="right"/>
              <w:rPr>
                <w:sz w:val="18"/>
                <w:szCs w:val="20"/>
                <w:lang w:val="fr-CA"/>
              </w:rPr>
            </w:pPr>
            <w:r w:rsidRPr="00BC1B44">
              <w:rPr>
                <w:sz w:val="18"/>
                <w:szCs w:val="20"/>
                <w:lang w:val="fr-CA"/>
              </w:rPr>
              <w:t>16,24</w:t>
            </w:r>
          </w:p>
        </w:tc>
        <w:tc>
          <w:tcPr>
            <w:tcW w:w="481" w:type="pct"/>
            <w:tcBorders>
              <w:top w:val="single" w:sz="4" w:space="0" w:color="auto"/>
              <w:left w:val="single" w:sz="4" w:space="0" w:color="auto"/>
              <w:bottom w:val="single" w:sz="4" w:space="0" w:color="auto"/>
              <w:right w:val="single" w:sz="4" w:space="0" w:color="auto"/>
            </w:tcBorders>
            <w:tcMar>
              <w:top w:w="0" w:type="dxa"/>
              <w:left w:w="108" w:type="dxa"/>
              <w:bottom w:w="0" w:type="dxa"/>
              <w:right w:w="144" w:type="dxa"/>
            </w:tcMar>
            <w:hideMark/>
          </w:tcPr>
          <w:p w14:paraId="0D4976BA" w14:textId="77777777" w:rsidR="006345CD" w:rsidRPr="00BC1B44" w:rsidRDefault="006345CD" w:rsidP="006023A6">
            <w:pPr>
              <w:jc w:val="right"/>
              <w:rPr>
                <w:sz w:val="18"/>
                <w:szCs w:val="20"/>
                <w:lang w:val="fr-CA"/>
              </w:rPr>
            </w:pPr>
            <w:r w:rsidRPr="00BC1B44">
              <w:rPr>
                <w:sz w:val="18"/>
                <w:szCs w:val="20"/>
                <w:lang w:val="fr-CA"/>
              </w:rPr>
              <w:t>9,63</w:t>
            </w:r>
          </w:p>
        </w:tc>
        <w:tc>
          <w:tcPr>
            <w:tcW w:w="540" w:type="pct"/>
            <w:tcBorders>
              <w:top w:val="single" w:sz="4" w:space="0" w:color="auto"/>
              <w:left w:val="single" w:sz="4" w:space="0" w:color="auto"/>
              <w:bottom w:val="single" w:sz="4" w:space="0" w:color="auto"/>
              <w:right w:val="single" w:sz="4" w:space="0" w:color="auto"/>
            </w:tcBorders>
            <w:noWrap/>
            <w:tcMar>
              <w:top w:w="0" w:type="dxa"/>
              <w:left w:w="108" w:type="dxa"/>
              <w:bottom w:w="0" w:type="dxa"/>
              <w:right w:w="144" w:type="dxa"/>
            </w:tcMar>
            <w:hideMark/>
          </w:tcPr>
          <w:p w14:paraId="565C66B4" w14:textId="77777777" w:rsidR="006345CD" w:rsidRPr="00BC1B44" w:rsidRDefault="006345CD" w:rsidP="006023A6">
            <w:pPr>
              <w:jc w:val="right"/>
              <w:rPr>
                <w:rFonts w:eastAsiaTheme="minorHAnsi"/>
                <w:color w:val="000000"/>
                <w:sz w:val="18"/>
                <w:szCs w:val="20"/>
                <w:lang w:val="fr-CA"/>
              </w:rPr>
            </w:pPr>
            <w:r w:rsidRPr="00BC1B44">
              <w:rPr>
                <w:sz w:val="18"/>
                <w:szCs w:val="20"/>
                <w:lang w:val="fr-CA"/>
              </w:rPr>
              <w:t>164,56**</w:t>
            </w:r>
          </w:p>
        </w:tc>
      </w:tr>
    </w:tbl>
    <w:p w14:paraId="05DE1663" w14:textId="77777777" w:rsidR="006345CD" w:rsidRPr="0042639D" w:rsidRDefault="006345CD" w:rsidP="006345CD">
      <w:pPr>
        <w:rPr>
          <w:sz w:val="16"/>
          <w:szCs w:val="16"/>
          <w:lang w:val="fr-CA"/>
        </w:rPr>
      </w:pPr>
      <w:r w:rsidRPr="0042639D">
        <w:rPr>
          <w:sz w:val="16"/>
          <w:szCs w:val="16"/>
          <w:lang w:val="fr-CA"/>
        </w:rPr>
        <w:t xml:space="preserve">* </w:t>
      </w:r>
      <w:r>
        <w:rPr>
          <w:sz w:val="16"/>
          <w:szCs w:val="16"/>
          <w:lang w:val="fr-CA"/>
        </w:rPr>
        <w:t>Données du PP</w:t>
      </w:r>
      <w:r w:rsidRPr="0042639D">
        <w:rPr>
          <w:sz w:val="16"/>
          <w:szCs w:val="16"/>
          <w:lang w:val="fr-CA"/>
        </w:rPr>
        <w:t>.</w:t>
      </w:r>
    </w:p>
    <w:p w14:paraId="340D94DB" w14:textId="77777777" w:rsidR="006345CD" w:rsidRPr="0042639D" w:rsidRDefault="006345CD" w:rsidP="006345CD">
      <w:pPr>
        <w:rPr>
          <w:sz w:val="16"/>
          <w:szCs w:val="16"/>
          <w:lang w:val="fr-CA"/>
        </w:rPr>
      </w:pPr>
      <w:r w:rsidRPr="0042639D">
        <w:rPr>
          <w:sz w:val="16"/>
          <w:szCs w:val="16"/>
          <w:lang w:val="fr-CA"/>
        </w:rPr>
        <w:t xml:space="preserve">** </w:t>
      </w:r>
      <w:r>
        <w:rPr>
          <w:sz w:val="16"/>
          <w:szCs w:val="16"/>
          <w:lang w:val="fr-CA"/>
        </w:rPr>
        <w:t xml:space="preserve">Consommation moyenne de </w:t>
      </w:r>
      <w:r w:rsidRPr="0042639D">
        <w:rPr>
          <w:sz w:val="16"/>
          <w:szCs w:val="16"/>
          <w:lang w:val="fr-CA"/>
        </w:rPr>
        <w:t>2007</w:t>
      </w:r>
      <w:r>
        <w:rPr>
          <w:sz w:val="16"/>
          <w:szCs w:val="16"/>
          <w:lang w:val="fr-CA"/>
        </w:rPr>
        <w:t>à</w:t>
      </w:r>
      <w:r w:rsidRPr="0042639D">
        <w:rPr>
          <w:sz w:val="16"/>
          <w:szCs w:val="16"/>
          <w:lang w:val="fr-CA"/>
        </w:rPr>
        <w:t xml:space="preserve"> 2009.</w:t>
      </w:r>
    </w:p>
    <w:p w14:paraId="08145494" w14:textId="77777777" w:rsidR="006345CD" w:rsidRPr="0042639D" w:rsidRDefault="006345CD" w:rsidP="006345CD">
      <w:pPr>
        <w:rPr>
          <w:i/>
          <w:lang w:val="fr-CA"/>
        </w:rPr>
      </w:pPr>
    </w:p>
    <w:p w14:paraId="0EFD5C07" w14:textId="77777777" w:rsidR="006345CD" w:rsidRPr="0042639D" w:rsidRDefault="006345CD" w:rsidP="006345CD">
      <w:pPr>
        <w:rPr>
          <w:iCs/>
          <w:u w:val="single"/>
          <w:lang w:val="fr-CA"/>
        </w:rPr>
      </w:pPr>
      <w:r w:rsidRPr="0042639D">
        <w:rPr>
          <w:iCs/>
          <w:u w:val="single"/>
          <w:lang w:val="fr-CA"/>
        </w:rPr>
        <w:t>Rapport de vérification</w:t>
      </w:r>
    </w:p>
    <w:p w14:paraId="28C03D1B" w14:textId="77777777" w:rsidR="006345CD" w:rsidRPr="0042639D" w:rsidRDefault="006345CD" w:rsidP="006345CD">
      <w:pPr>
        <w:rPr>
          <w:lang w:val="fr-CA"/>
        </w:rPr>
      </w:pPr>
    </w:p>
    <w:p w14:paraId="71F4F000" w14:textId="30D658C4" w:rsidR="006345CD" w:rsidRPr="0042639D" w:rsidRDefault="006345CD" w:rsidP="006345CD">
      <w:pPr>
        <w:pStyle w:val="Heading1"/>
        <w:numPr>
          <w:ilvl w:val="0"/>
          <w:numId w:val="30"/>
        </w:numPr>
        <w:rPr>
          <w:lang w:val="fr-CA"/>
        </w:rPr>
      </w:pPr>
      <w:r>
        <w:rPr>
          <w:lang w:val="fr-CA"/>
        </w:rPr>
        <w:t>L</w:t>
      </w:r>
      <w:r w:rsidRPr="0042639D">
        <w:rPr>
          <w:lang w:val="fr-CA"/>
        </w:rPr>
        <w:t xml:space="preserve">e rapport de vérification </w:t>
      </w:r>
      <w:r>
        <w:rPr>
          <w:lang w:val="fr-CA"/>
        </w:rPr>
        <w:t xml:space="preserve">a confirmé que le </w:t>
      </w:r>
      <w:r w:rsidRPr="0042639D">
        <w:rPr>
          <w:lang w:val="fr-CA"/>
        </w:rPr>
        <w:t xml:space="preserve">Gouvernement </w:t>
      </w:r>
      <w:r>
        <w:rPr>
          <w:lang w:val="fr-CA"/>
        </w:rPr>
        <w:t>a mis sur pied un mécani</w:t>
      </w:r>
      <w:r w:rsidR="00BC1B44">
        <w:rPr>
          <w:lang w:val="fr-CA"/>
        </w:rPr>
        <w:t>sme</w:t>
      </w:r>
      <w:r>
        <w:rPr>
          <w:lang w:val="fr-CA"/>
        </w:rPr>
        <w:t xml:space="preserve"> de licences et de quotas pour les importations et exportations de</w:t>
      </w:r>
      <w:r w:rsidRPr="0042639D">
        <w:rPr>
          <w:lang w:val="fr-CA"/>
        </w:rPr>
        <w:t xml:space="preserve"> HCFC </w:t>
      </w:r>
      <w:r>
        <w:rPr>
          <w:lang w:val="fr-CA"/>
        </w:rPr>
        <w:t xml:space="preserve">et que la consommation totale de </w:t>
      </w:r>
      <w:r w:rsidRPr="0042639D">
        <w:rPr>
          <w:lang w:val="fr-CA"/>
        </w:rPr>
        <w:t xml:space="preserve">HCFC </w:t>
      </w:r>
      <w:r>
        <w:rPr>
          <w:lang w:val="fr-CA"/>
        </w:rPr>
        <w:t xml:space="preserve">indiquée dans le rapport de mise en œuvre du programme de pays de </w:t>
      </w:r>
      <w:r w:rsidRPr="0042639D">
        <w:rPr>
          <w:lang w:val="fr-CA"/>
        </w:rPr>
        <w:t>2021</w:t>
      </w:r>
      <w:r>
        <w:rPr>
          <w:lang w:val="fr-CA"/>
        </w:rPr>
        <w:t xml:space="preserve"> était </w:t>
      </w:r>
      <w:r w:rsidRPr="0042639D">
        <w:rPr>
          <w:lang w:val="fr-CA"/>
        </w:rPr>
        <w:t>correct</w:t>
      </w:r>
      <w:r>
        <w:rPr>
          <w:lang w:val="fr-CA"/>
        </w:rPr>
        <w:t>e</w:t>
      </w:r>
      <w:r w:rsidRPr="0042639D">
        <w:rPr>
          <w:lang w:val="fr-CA"/>
        </w:rPr>
        <w:t xml:space="preserve">; </w:t>
      </w:r>
      <w:r>
        <w:rPr>
          <w:lang w:val="fr-CA"/>
        </w:rPr>
        <w:t>les données visées à l’</w:t>
      </w:r>
      <w:r w:rsidRPr="0042639D">
        <w:rPr>
          <w:lang w:val="fr-CA"/>
        </w:rPr>
        <w:t xml:space="preserve">Article 7 </w:t>
      </w:r>
      <w:r>
        <w:rPr>
          <w:lang w:val="fr-CA"/>
        </w:rPr>
        <w:t xml:space="preserve">pour </w:t>
      </w:r>
      <w:r w:rsidRPr="0042639D">
        <w:rPr>
          <w:lang w:val="fr-CA"/>
        </w:rPr>
        <w:t xml:space="preserve">2021 </w:t>
      </w:r>
      <w:r>
        <w:rPr>
          <w:lang w:val="fr-CA"/>
        </w:rPr>
        <w:t>n’ont pas encore été communiquées</w:t>
      </w:r>
      <w:r w:rsidRPr="0042639D">
        <w:rPr>
          <w:lang w:val="fr-CA"/>
        </w:rPr>
        <w:t xml:space="preserve">. </w:t>
      </w:r>
      <w:r>
        <w:rPr>
          <w:lang w:val="fr-CA"/>
        </w:rPr>
        <w:t>La</w:t>
      </w:r>
      <w:r w:rsidRPr="0042639D">
        <w:rPr>
          <w:lang w:val="fr-CA"/>
        </w:rPr>
        <w:t xml:space="preserve"> vérification </w:t>
      </w:r>
      <w:r>
        <w:rPr>
          <w:lang w:val="fr-CA"/>
        </w:rPr>
        <w:t xml:space="preserve">a conclu que le </w:t>
      </w:r>
      <w:r w:rsidRPr="0042639D">
        <w:rPr>
          <w:lang w:val="fr-CA"/>
        </w:rPr>
        <w:t xml:space="preserve">Viet Nam </w:t>
      </w:r>
      <w:r>
        <w:rPr>
          <w:lang w:val="fr-CA"/>
        </w:rPr>
        <w:t xml:space="preserve">est en conformité avec les seuils stipulés dans l’Accord entre le </w:t>
      </w:r>
      <w:r w:rsidRPr="0042639D">
        <w:rPr>
          <w:lang w:val="fr-CA"/>
        </w:rPr>
        <w:t xml:space="preserve">Gouvernement </w:t>
      </w:r>
      <w:r>
        <w:rPr>
          <w:lang w:val="fr-CA"/>
        </w:rPr>
        <w:t xml:space="preserve">et le </w:t>
      </w:r>
      <w:r w:rsidRPr="0042639D">
        <w:rPr>
          <w:lang w:val="fr-CA"/>
        </w:rPr>
        <w:t>Comité exécutif.</w:t>
      </w:r>
    </w:p>
    <w:p w14:paraId="5CA81CDF" w14:textId="77777777" w:rsidR="006345CD" w:rsidRPr="0042639D" w:rsidRDefault="006345CD" w:rsidP="006345CD">
      <w:pPr>
        <w:keepNext/>
        <w:keepLines/>
        <w:rPr>
          <w:iCs/>
          <w:u w:val="single"/>
          <w:lang w:val="fr-CA"/>
        </w:rPr>
      </w:pPr>
      <w:r>
        <w:rPr>
          <w:iCs/>
          <w:u w:val="single"/>
          <w:lang w:val="fr-CA"/>
        </w:rPr>
        <w:t>Secteur de la fabrication</w:t>
      </w:r>
    </w:p>
    <w:p w14:paraId="38686E01" w14:textId="77777777" w:rsidR="006345CD" w:rsidRPr="0042639D" w:rsidRDefault="006345CD" w:rsidP="006345CD">
      <w:pPr>
        <w:keepNext/>
        <w:keepLines/>
        <w:rPr>
          <w:lang w:val="fr-CA"/>
        </w:rPr>
      </w:pPr>
    </w:p>
    <w:p w14:paraId="1950F1C9" w14:textId="77777777" w:rsidR="006345CD" w:rsidRPr="0042639D" w:rsidRDefault="006345CD" w:rsidP="006345CD">
      <w:pPr>
        <w:pStyle w:val="Heading1"/>
        <w:keepNext/>
        <w:keepLines/>
        <w:numPr>
          <w:ilvl w:val="0"/>
          <w:numId w:val="0"/>
        </w:numPr>
        <w:tabs>
          <w:tab w:val="left" w:pos="708"/>
        </w:tabs>
        <w:rPr>
          <w:i/>
          <w:iCs/>
          <w:lang w:val="fr-CA"/>
        </w:rPr>
      </w:pPr>
      <w:r>
        <w:rPr>
          <w:i/>
          <w:iCs/>
          <w:lang w:val="fr-CA"/>
        </w:rPr>
        <w:t xml:space="preserve">Secteur de la fabrication </w:t>
      </w:r>
      <w:r w:rsidRPr="0042639D">
        <w:rPr>
          <w:i/>
          <w:iCs/>
          <w:lang w:val="fr-CA"/>
        </w:rPr>
        <w:t>AC</w:t>
      </w:r>
    </w:p>
    <w:p w14:paraId="51586231" w14:textId="77777777" w:rsidR="006345CD" w:rsidRPr="0042639D" w:rsidRDefault="006345CD" w:rsidP="006345CD">
      <w:pPr>
        <w:pStyle w:val="Heading1"/>
        <w:keepNext/>
        <w:keepLines/>
        <w:numPr>
          <w:ilvl w:val="0"/>
          <w:numId w:val="30"/>
        </w:numPr>
        <w:rPr>
          <w:lang w:val="fr-CA"/>
        </w:rPr>
      </w:pPr>
      <w:r>
        <w:rPr>
          <w:lang w:val="fr-CA"/>
        </w:rPr>
        <w:t xml:space="preserve">Sur les </w:t>
      </w:r>
      <w:r>
        <w:rPr>
          <w:lang w:val="fr-CA"/>
        </w:rPr>
        <w:tab/>
        <w:t xml:space="preserve">quatre entreprises de fabrication d’appareils de climatisation incluses dans le financement </w:t>
      </w:r>
      <w:proofErr w:type="gramStart"/>
      <w:r>
        <w:rPr>
          <w:lang w:val="fr-CA"/>
        </w:rPr>
        <w:t>de  la</w:t>
      </w:r>
      <w:proofErr w:type="gramEnd"/>
      <w:r>
        <w:rPr>
          <w:lang w:val="fr-CA"/>
        </w:rPr>
        <w:t xml:space="preserve"> </w:t>
      </w:r>
      <w:r w:rsidRPr="0042639D">
        <w:rPr>
          <w:lang w:val="fr-CA"/>
        </w:rPr>
        <w:t xml:space="preserve">phase I, </w:t>
      </w:r>
      <w:r>
        <w:rPr>
          <w:lang w:val="fr-CA"/>
        </w:rPr>
        <w:t>deux d’entre elles</w:t>
      </w:r>
      <w:r w:rsidRPr="0042639D">
        <w:rPr>
          <w:lang w:val="fr-CA"/>
        </w:rPr>
        <w:t xml:space="preserve"> (</w:t>
      </w:r>
      <w:proofErr w:type="spellStart"/>
      <w:r w:rsidRPr="0042639D">
        <w:rPr>
          <w:lang w:val="fr-CA"/>
        </w:rPr>
        <w:t>Hoa</w:t>
      </w:r>
      <w:proofErr w:type="spellEnd"/>
      <w:r w:rsidRPr="0042639D">
        <w:rPr>
          <w:lang w:val="fr-CA"/>
        </w:rPr>
        <w:t xml:space="preserve"> </w:t>
      </w:r>
      <w:proofErr w:type="spellStart"/>
      <w:r w:rsidRPr="0042639D">
        <w:rPr>
          <w:lang w:val="fr-CA"/>
        </w:rPr>
        <w:t>Phat</w:t>
      </w:r>
      <w:proofErr w:type="spellEnd"/>
      <w:r w:rsidRPr="0042639D">
        <w:rPr>
          <w:lang w:val="fr-CA"/>
        </w:rPr>
        <w:t xml:space="preserve"> </w:t>
      </w:r>
      <w:r>
        <w:rPr>
          <w:lang w:val="fr-CA"/>
        </w:rPr>
        <w:t>et</w:t>
      </w:r>
      <w:r w:rsidRPr="0042639D">
        <w:rPr>
          <w:lang w:val="fr-CA"/>
        </w:rPr>
        <w:t xml:space="preserve"> </w:t>
      </w:r>
      <w:proofErr w:type="spellStart"/>
      <w:r w:rsidRPr="0042639D">
        <w:rPr>
          <w:lang w:val="fr-CA"/>
        </w:rPr>
        <w:t>Nagakawa</w:t>
      </w:r>
      <w:proofErr w:type="spellEnd"/>
      <w:r w:rsidRPr="0042639D">
        <w:rPr>
          <w:lang w:val="fr-CA"/>
        </w:rPr>
        <w:t xml:space="preserve">) </w:t>
      </w:r>
      <w:r>
        <w:rPr>
          <w:lang w:val="fr-CA"/>
        </w:rPr>
        <w:t xml:space="preserve">ont signé des sous-accords de subvention </w:t>
      </w:r>
      <w:r w:rsidRPr="0042639D">
        <w:rPr>
          <w:lang w:val="fr-CA"/>
        </w:rPr>
        <w:t>(S</w:t>
      </w:r>
      <w:r>
        <w:rPr>
          <w:lang w:val="fr-CA"/>
        </w:rPr>
        <w:t>AS</w:t>
      </w:r>
      <w:r w:rsidRPr="0042639D">
        <w:rPr>
          <w:lang w:val="fr-CA"/>
        </w:rPr>
        <w:t>)</w:t>
      </w:r>
      <w:r>
        <w:rPr>
          <w:lang w:val="fr-CA"/>
        </w:rPr>
        <w:t xml:space="preserve"> et attendent la livraison de l’équipement de fabrication requis pour la re</w:t>
      </w:r>
      <w:r w:rsidRPr="0042639D">
        <w:rPr>
          <w:lang w:val="fr-CA"/>
        </w:rPr>
        <w:t xml:space="preserve">conversion; </w:t>
      </w:r>
      <w:r>
        <w:rPr>
          <w:lang w:val="fr-CA"/>
        </w:rPr>
        <w:t xml:space="preserve">l’achèvement de ces </w:t>
      </w:r>
      <w:r w:rsidRPr="0042639D">
        <w:rPr>
          <w:lang w:val="fr-CA"/>
        </w:rPr>
        <w:t xml:space="preserve">projets </w:t>
      </w:r>
      <w:r>
        <w:rPr>
          <w:lang w:val="fr-CA"/>
        </w:rPr>
        <w:t>est prévu pour n</w:t>
      </w:r>
      <w:r w:rsidRPr="0042639D">
        <w:rPr>
          <w:lang w:val="fr-CA"/>
        </w:rPr>
        <w:t>ovemb</w:t>
      </w:r>
      <w:r>
        <w:rPr>
          <w:lang w:val="fr-CA"/>
        </w:rPr>
        <w:t>re</w:t>
      </w:r>
      <w:r w:rsidRPr="0042639D">
        <w:rPr>
          <w:lang w:val="fr-CA"/>
        </w:rPr>
        <w:t xml:space="preserve"> 2022. </w:t>
      </w:r>
      <w:r>
        <w:rPr>
          <w:lang w:val="fr-CA"/>
        </w:rPr>
        <w:t>Les deux autres entreprise</w:t>
      </w:r>
      <w:r w:rsidRPr="0042639D">
        <w:rPr>
          <w:lang w:val="fr-CA"/>
        </w:rPr>
        <w:t xml:space="preserve">s </w:t>
      </w:r>
      <w:r>
        <w:rPr>
          <w:lang w:val="fr-CA"/>
        </w:rPr>
        <w:t xml:space="preserve">ne participeront plus au </w:t>
      </w:r>
      <w:r w:rsidRPr="0042639D">
        <w:rPr>
          <w:lang w:val="fr-CA"/>
        </w:rPr>
        <w:t xml:space="preserve">projet </w:t>
      </w:r>
      <w:r>
        <w:rPr>
          <w:lang w:val="fr-CA"/>
        </w:rPr>
        <w:t>en raison de l’évolution de la demande sur le marché et des difficultés résultant de la pandémie</w:t>
      </w:r>
      <w:r w:rsidRPr="0042639D">
        <w:rPr>
          <w:lang w:val="fr-CA"/>
        </w:rPr>
        <w:t>:</w:t>
      </w:r>
    </w:p>
    <w:p w14:paraId="46BBD827" w14:textId="77777777" w:rsidR="006345CD" w:rsidRPr="0042639D" w:rsidRDefault="006345CD" w:rsidP="006345CD">
      <w:pPr>
        <w:pStyle w:val="Heading2"/>
        <w:numPr>
          <w:ilvl w:val="1"/>
          <w:numId w:val="30"/>
        </w:numPr>
        <w:rPr>
          <w:lang w:val="fr-CA"/>
        </w:rPr>
      </w:pPr>
      <w:proofErr w:type="spellStart"/>
      <w:r w:rsidRPr="0042639D">
        <w:rPr>
          <w:lang w:val="fr-CA"/>
        </w:rPr>
        <w:t>Midea</w:t>
      </w:r>
      <w:proofErr w:type="spellEnd"/>
      <w:r w:rsidRPr="0042639D">
        <w:rPr>
          <w:lang w:val="fr-CA"/>
        </w:rPr>
        <w:t xml:space="preserve"> Viet Nam </w:t>
      </w:r>
      <w:r>
        <w:rPr>
          <w:lang w:val="fr-CA"/>
        </w:rPr>
        <w:t xml:space="preserve">a arrêté la fabrication d’appareils </w:t>
      </w:r>
      <w:r w:rsidRPr="0042639D">
        <w:rPr>
          <w:lang w:val="fr-CA"/>
        </w:rPr>
        <w:t xml:space="preserve">AC </w:t>
      </w:r>
      <w:r>
        <w:rPr>
          <w:lang w:val="fr-CA"/>
        </w:rPr>
        <w:t xml:space="preserve">au </w:t>
      </w:r>
      <w:r w:rsidRPr="0042639D">
        <w:rPr>
          <w:lang w:val="fr-CA"/>
        </w:rPr>
        <w:t xml:space="preserve">Viet Nam </w:t>
      </w:r>
      <w:r>
        <w:rPr>
          <w:lang w:val="fr-CA"/>
        </w:rPr>
        <w:t xml:space="preserve">et a décidé de se retirer du </w:t>
      </w:r>
      <w:r w:rsidRPr="0042639D">
        <w:rPr>
          <w:lang w:val="fr-CA"/>
        </w:rPr>
        <w:t xml:space="preserve">projet; </w:t>
      </w:r>
      <w:proofErr w:type="spellStart"/>
      <w:r w:rsidRPr="0042639D">
        <w:rPr>
          <w:lang w:val="fr-CA"/>
        </w:rPr>
        <w:t>Midea</w:t>
      </w:r>
      <w:proofErr w:type="spellEnd"/>
      <w:r w:rsidRPr="0042639D">
        <w:rPr>
          <w:lang w:val="fr-CA"/>
        </w:rPr>
        <w:t xml:space="preserve"> </w:t>
      </w:r>
      <w:r>
        <w:rPr>
          <w:lang w:val="fr-CA"/>
        </w:rPr>
        <w:t xml:space="preserve">a ouvert une nouvelle usine en </w:t>
      </w:r>
      <w:r w:rsidRPr="0042639D">
        <w:rPr>
          <w:lang w:val="fr-CA"/>
        </w:rPr>
        <w:t xml:space="preserve">Thaïlande </w:t>
      </w:r>
      <w:r>
        <w:rPr>
          <w:lang w:val="fr-CA"/>
        </w:rPr>
        <w:t>pour compenser la capacité réduite de fabrication</w:t>
      </w:r>
      <w:r w:rsidRPr="0042639D">
        <w:rPr>
          <w:lang w:val="fr-CA"/>
        </w:rPr>
        <w:t xml:space="preserve">; </w:t>
      </w:r>
      <w:r>
        <w:rPr>
          <w:lang w:val="fr-CA"/>
        </w:rPr>
        <w:t>et</w:t>
      </w:r>
    </w:p>
    <w:p w14:paraId="2F602EA7" w14:textId="77777777" w:rsidR="006345CD" w:rsidRPr="0042639D" w:rsidRDefault="006345CD" w:rsidP="006345CD">
      <w:pPr>
        <w:pStyle w:val="Heading2"/>
        <w:numPr>
          <w:ilvl w:val="1"/>
          <w:numId w:val="30"/>
        </w:numPr>
        <w:rPr>
          <w:lang w:val="fr-CA"/>
        </w:rPr>
      </w:pPr>
      <w:r w:rsidRPr="0042639D">
        <w:rPr>
          <w:lang w:val="fr-CA"/>
        </w:rPr>
        <w:t xml:space="preserve">REE </w:t>
      </w:r>
      <w:r>
        <w:rPr>
          <w:lang w:val="fr-CA"/>
        </w:rPr>
        <w:t xml:space="preserve">a connu des problèmes constants dans la production des documents requis </w:t>
      </w:r>
      <w:proofErr w:type="gramStart"/>
      <w:r>
        <w:rPr>
          <w:lang w:val="fr-CA"/>
        </w:rPr>
        <w:t>pour  participer</w:t>
      </w:r>
      <w:proofErr w:type="gramEnd"/>
      <w:r>
        <w:rPr>
          <w:lang w:val="fr-CA"/>
        </w:rPr>
        <w:t xml:space="preserve"> au </w:t>
      </w:r>
      <w:r w:rsidRPr="0042639D">
        <w:rPr>
          <w:lang w:val="fr-CA"/>
        </w:rPr>
        <w:t xml:space="preserve">projet; </w:t>
      </w:r>
      <w:r>
        <w:rPr>
          <w:lang w:val="fr-CA"/>
        </w:rPr>
        <w:t>en outre, l’entreprise</w:t>
      </w:r>
      <w:r w:rsidRPr="0042639D">
        <w:rPr>
          <w:lang w:val="fr-CA"/>
        </w:rPr>
        <w:t xml:space="preserve"> </w:t>
      </w:r>
      <w:r>
        <w:rPr>
          <w:lang w:val="fr-CA"/>
        </w:rPr>
        <w:t>a eu des difficultés à rester compétitive et a donc décidé d’importer des appareils AC pleinement chargés</w:t>
      </w:r>
      <w:r w:rsidRPr="0042639D">
        <w:rPr>
          <w:lang w:val="fr-CA"/>
        </w:rPr>
        <w:t xml:space="preserve">. </w:t>
      </w:r>
      <w:r>
        <w:rPr>
          <w:lang w:val="fr-CA"/>
        </w:rPr>
        <w:t xml:space="preserve">En conséquence, le </w:t>
      </w:r>
      <w:r w:rsidRPr="0042639D">
        <w:rPr>
          <w:lang w:val="fr-CA"/>
        </w:rPr>
        <w:t xml:space="preserve">Gouvernement </w:t>
      </w:r>
      <w:r>
        <w:rPr>
          <w:lang w:val="fr-CA"/>
        </w:rPr>
        <w:t>et l’entreprise</w:t>
      </w:r>
      <w:r w:rsidRPr="0042639D">
        <w:rPr>
          <w:lang w:val="fr-CA"/>
        </w:rPr>
        <w:t xml:space="preserve"> </w:t>
      </w:r>
      <w:r>
        <w:rPr>
          <w:lang w:val="fr-CA"/>
        </w:rPr>
        <w:t>ont décidé d’annuler la reco</w:t>
      </w:r>
      <w:r w:rsidRPr="0042639D">
        <w:rPr>
          <w:lang w:val="fr-CA"/>
        </w:rPr>
        <w:t xml:space="preserve">nversion </w:t>
      </w:r>
      <w:r>
        <w:rPr>
          <w:lang w:val="fr-CA"/>
        </w:rPr>
        <w:t xml:space="preserve">de </w:t>
      </w:r>
      <w:r w:rsidRPr="0042639D">
        <w:rPr>
          <w:lang w:val="fr-CA"/>
        </w:rPr>
        <w:t xml:space="preserve">REE, </w:t>
      </w:r>
      <w:r>
        <w:rPr>
          <w:lang w:val="fr-CA"/>
        </w:rPr>
        <w:t>qui continuera néanmoins à participer à l’élément d’</w:t>
      </w:r>
      <w:r w:rsidRPr="0042639D">
        <w:rPr>
          <w:lang w:val="fr-CA"/>
        </w:rPr>
        <w:t xml:space="preserve">assistance </w:t>
      </w:r>
      <w:r>
        <w:rPr>
          <w:lang w:val="fr-CA"/>
        </w:rPr>
        <w:t xml:space="preserve">technique </w:t>
      </w:r>
      <w:r w:rsidRPr="0042639D">
        <w:rPr>
          <w:lang w:val="fr-CA"/>
        </w:rPr>
        <w:t>(</w:t>
      </w:r>
      <w:r>
        <w:rPr>
          <w:lang w:val="fr-CA"/>
        </w:rPr>
        <w:t>A</w:t>
      </w:r>
      <w:r w:rsidRPr="0042639D">
        <w:rPr>
          <w:lang w:val="fr-CA"/>
        </w:rPr>
        <w:t xml:space="preserve">T) </w:t>
      </w:r>
      <w:r>
        <w:rPr>
          <w:lang w:val="fr-CA"/>
        </w:rPr>
        <w:t xml:space="preserve">sur l’utilisation sécuritaire du </w:t>
      </w:r>
      <w:r w:rsidRPr="0042639D">
        <w:rPr>
          <w:lang w:val="fr-CA"/>
        </w:rPr>
        <w:t xml:space="preserve">HFC-32 </w:t>
      </w:r>
      <w:r>
        <w:rPr>
          <w:lang w:val="fr-CA"/>
        </w:rPr>
        <w:t xml:space="preserve">mis en œuvre par le </w:t>
      </w:r>
      <w:r w:rsidRPr="0042639D">
        <w:rPr>
          <w:lang w:val="fr-CA"/>
        </w:rPr>
        <w:t xml:space="preserve">Gouvernement </w:t>
      </w:r>
      <w:r>
        <w:rPr>
          <w:lang w:val="fr-CA"/>
        </w:rPr>
        <w:t>du</w:t>
      </w:r>
      <w:r w:rsidRPr="0042639D">
        <w:rPr>
          <w:lang w:val="fr-CA"/>
        </w:rPr>
        <w:t xml:space="preserve"> Japon.</w:t>
      </w:r>
    </w:p>
    <w:p w14:paraId="17EA9862" w14:textId="77777777" w:rsidR="006345CD" w:rsidRPr="0042639D" w:rsidRDefault="006345CD" w:rsidP="006345CD">
      <w:pPr>
        <w:pStyle w:val="Heading1"/>
        <w:numPr>
          <w:ilvl w:val="0"/>
          <w:numId w:val="0"/>
        </w:numPr>
        <w:tabs>
          <w:tab w:val="left" w:pos="708"/>
        </w:tabs>
        <w:rPr>
          <w:i/>
          <w:iCs/>
          <w:lang w:val="fr-CA"/>
        </w:rPr>
      </w:pPr>
      <w:r>
        <w:rPr>
          <w:i/>
          <w:iCs/>
          <w:lang w:val="fr-CA"/>
        </w:rPr>
        <w:t>Secteur de fabrication de mousse de p</w:t>
      </w:r>
      <w:r w:rsidRPr="0042639D">
        <w:rPr>
          <w:i/>
          <w:iCs/>
          <w:lang w:val="fr-CA"/>
        </w:rPr>
        <w:t>olyur</w:t>
      </w:r>
      <w:r>
        <w:rPr>
          <w:i/>
          <w:iCs/>
          <w:lang w:val="fr-CA"/>
        </w:rPr>
        <w:t>é</w:t>
      </w:r>
      <w:r w:rsidRPr="0042639D">
        <w:rPr>
          <w:i/>
          <w:iCs/>
          <w:lang w:val="fr-CA"/>
        </w:rPr>
        <w:t>thane (PU)</w:t>
      </w:r>
    </w:p>
    <w:p w14:paraId="1DE4A7AB" w14:textId="77777777" w:rsidR="006345CD" w:rsidRPr="0042639D" w:rsidRDefault="006345CD" w:rsidP="006345CD">
      <w:pPr>
        <w:pStyle w:val="Heading1"/>
        <w:numPr>
          <w:ilvl w:val="0"/>
          <w:numId w:val="30"/>
        </w:numPr>
        <w:rPr>
          <w:lang w:val="fr-CA"/>
        </w:rPr>
      </w:pPr>
      <w:r>
        <w:rPr>
          <w:lang w:val="fr-CA"/>
        </w:rPr>
        <w:t>La p</w:t>
      </w:r>
      <w:r w:rsidRPr="0042639D">
        <w:rPr>
          <w:lang w:val="fr-CA"/>
        </w:rPr>
        <w:t xml:space="preserve">hase II </w:t>
      </w:r>
      <w:r>
        <w:rPr>
          <w:lang w:val="fr-CA"/>
        </w:rPr>
        <w:t>incluait le financement de la re</w:t>
      </w:r>
      <w:r w:rsidRPr="0042639D">
        <w:rPr>
          <w:lang w:val="fr-CA"/>
        </w:rPr>
        <w:t xml:space="preserve">conversion </w:t>
      </w:r>
      <w:r>
        <w:rPr>
          <w:lang w:val="fr-CA"/>
        </w:rPr>
        <w:t xml:space="preserve">de </w:t>
      </w:r>
      <w:r w:rsidRPr="0042639D">
        <w:rPr>
          <w:lang w:val="fr-CA"/>
        </w:rPr>
        <w:t xml:space="preserve">44 </w:t>
      </w:r>
      <w:r>
        <w:rPr>
          <w:lang w:val="fr-CA"/>
        </w:rPr>
        <w:t>entreprise</w:t>
      </w:r>
      <w:r w:rsidRPr="0042639D">
        <w:rPr>
          <w:lang w:val="fr-CA"/>
        </w:rPr>
        <w:t>s</w:t>
      </w:r>
      <w:r>
        <w:rPr>
          <w:lang w:val="fr-CA"/>
        </w:rPr>
        <w:t xml:space="preserve"> de mousse PU</w:t>
      </w:r>
      <w:r w:rsidRPr="0042639D">
        <w:rPr>
          <w:lang w:val="fr-CA"/>
        </w:rPr>
        <w:t xml:space="preserve"> </w:t>
      </w:r>
      <w:r>
        <w:rPr>
          <w:lang w:val="fr-CA"/>
        </w:rPr>
        <w:t xml:space="preserve">afin d’éliminer </w:t>
      </w:r>
      <w:r w:rsidRPr="0042639D">
        <w:rPr>
          <w:lang w:val="fr-CA"/>
        </w:rPr>
        <w:t>684</w:t>
      </w:r>
      <w:r>
        <w:rPr>
          <w:lang w:val="fr-CA"/>
        </w:rPr>
        <w:t>,</w:t>
      </w:r>
      <w:r w:rsidRPr="0042639D">
        <w:rPr>
          <w:lang w:val="fr-CA"/>
        </w:rPr>
        <w:t>18 </w:t>
      </w:r>
      <w:r>
        <w:rPr>
          <w:lang w:val="fr-CA"/>
        </w:rPr>
        <w:t>t</w:t>
      </w:r>
      <w:r w:rsidRPr="0042639D">
        <w:rPr>
          <w:lang w:val="fr-CA"/>
        </w:rPr>
        <w:t xml:space="preserve">m </w:t>
      </w:r>
      <w:r>
        <w:rPr>
          <w:lang w:val="fr-CA"/>
        </w:rPr>
        <w:t xml:space="preserve">de </w:t>
      </w:r>
      <w:r w:rsidRPr="0042639D">
        <w:rPr>
          <w:lang w:val="fr-CA"/>
        </w:rPr>
        <w:t>HCFC-141b cont</w:t>
      </w:r>
      <w:r>
        <w:rPr>
          <w:lang w:val="fr-CA"/>
        </w:rPr>
        <w:t xml:space="preserve">enu dans les </w:t>
      </w:r>
      <w:r w:rsidRPr="0042639D">
        <w:rPr>
          <w:lang w:val="fr-CA"/>
        </w:rPr>
        <w:t>polyols</w:t>
      </w:r>
      <w:r>
        <w:rPr>
          <w:lang w:val="fr-CA"/>
        </w:rPr>
        <w:t xml:space="preserve"> prémélangés importés</w:t>
      </w:r>
      <w:r w:rsidRPr="0042639D">
        <w:rPr>
          <w:lang w:val="fr-CA"/>
        </w:rPr>
        <w:t>. T</w:t>
      </w:r>
      <w:r>
        <w:rPr>
          <w:lang w:val="fr-CA"/>
        </w:rPr>
        <w:t>rois des entreprise</w:t>
      </w:r>
      <w:r w:rsidRPr="0042639D">
        <w:rPr>
          <w:lang w:val="fr-CA"/>
        </w:rPr>
        <w:t xml:space="preserve">s </w:t>
      </w:r>
      <w:r>
        <w:rPr>
          <w:lang w:val="fr-CA"/>
        </w:rPr>
        <w:t>ont signé des SAS et sont censées terminer leur re</w:t>
      </w:r>
      <w:r w:rsidRPr="0042639D">
        <w:rPr>
          <w:lang w:val="fr-CA"/>
        </w:rPr>
        <w:t xml:space="preserve">conversion </w:t>
      </w:r>
      <w:r>
        <w:rPr>
          <w:lang w:val="fr-CA"/>
        </w:rPr>
        <w:t>au</w:t>
      </w:r>
      <w:r w:rsidRPr="0042639D">
        <w:rPr>
          <w:lang w:val="fr-CA"/>
        </w:rPr>
        <w:t xml:space="preserve"> cyclopentane (Yantai Moon </w:t>
      </w:r>
      <w:r>
        <w:rPr>
          <w:lang w:val="fr-CA"/>
        </w:rPr>
        <w:t>et</w:t>
      </w:r>
      <w:r w:rsidRPr="0042639D">
        <w:rPr>
          <w:lang w:val="fr-CA"/>
        </w:rPr>
        <w:t xml:space="preserve"> </w:t>
      </w:r>
      <w:proofErr w:type="spellStart"/>
      <w:r w:rsidRPr="0042639D">
        <w:rPr>
          <w:lang w:val="fr-CA"/>
        </w:rPr>
        <w:t>Tran</w:t>
      </w:r>
      <w:proofErr w:type="spellEnd"/>
      <w:r w:rsidRPr="0042639D">
        <w:rPr>
          <w:lang w:val="fr-CA"/>
        </w:rPr>
        <w:t xml:space="preserve"> Huu Duc) </w:t>
      </w:r>
      <w:r>
        <w:rPr>
          <w:lang w:val="fr-CA"/>
        </w:rPr>
        <w:t xml:space="preserve">et au </w:t>
      </w:r>
      <w:r w:rsidRPr="0042639D">
        <w:rPr>
          <w:lang w:val="fr-CA"/>
        </w:rPr>
        <w:t>cyclopentane</w:t>
      </w:r>
      <w:r>
        <w:rPr>
          <w:lang w:val="fr-CA"/>
        </w:rPr>
        <w:t xml:space="preserve"> </w:t>
      </w:r>
      <w:proofErr w:type="spellStart"/>
      <w:r>
        <w:rPr>
          <w:lang w:val="fr-CA"/>
        </w:rPr>
        <w:t>prémélangé</w:t>
      </w:r>
      <w:proofErr w:type="spellEnd"/>
      <w:r w:rsidRPr="0042639D">
        <w:rPr>
          <w:lang w:val="fr-CA"/>
        </w:rPr>
        <w:t xml:space="preserve"> (</w:t>
      </w:r>
      <w:proofErr w:type="spellStart"/>
      <w:r w:rsidRPr="0042639D">
        <w:rPr>
          <w:lang w:val="fr-CA"/>
        </w:rPr>
        <w:t>Saree</w:t>
      </w:r>
      <w:proofErr w:type="spellEnd"/>
      <w:r w:rsidRPr="0042639D">
        <w:rPr>
          <w:lang w:val="fr-CA"/>
        </w:rPr>
        <w:t xml:space="preserve">) </w:t>
      </w:r>
      <w:r>
        <w:rPr>
          <w:lang w:val="fr-CA"/>
        </w:rPr>
        <w:t>d’ici à dé</w:t>
      </w:r>
      <w:r w:rsidRPr="0042639D">
        <w:rPr>
          <w:lang w:val="fr-CA"/>
        </w:rPr>
        <w:t>cemb</w:t>
      </w:r>
      <w:r>
        <w:rPr>
          <w:lang w:val="fr-CA"/>
        </w:rPr>
        <w:t>re</w:t>
      </w:r>
      <w:r w:rsidRPr="0042639D">
        <w:rPr>
          <w:lang w:val="fr-CA"/>
        </w:rPr>
        <w:t xml:space="preserve"> 2022; </w:t>
      </w:r>
      <w:r>
        <w:rPr>
          <w:lang w:val="fr-CA"/>
        </w:rPr>
        <w:t xml:space="preserve">ces SAS représentent </w:t>
      </w:r>
      <w:r w:rsidRPr="0042639D">
        <w:rPr>
          <w:lang w:val="fr-CA"/>
        </w:rPr>
        <w:t>849</w:t>
      </w:r>
      <w:r>
        <w:rPr>
          <w:lang w:val="fr-CA"/>
        </w:rPr>
        <w:t> </w:t>
      </w:r>
      <w:r w:rsidRPr="0042639D">
        <w:rPr>
          <w:lang w:val="fr-CA"/>
        </w:rPr>
        <w:t>589</w:t>
      </w:r>
      <w:r>
        <w:rPr>
          <w:lang w:val="fr-CA"/>
        </w:rPr>
        <w:t xml:space="preserve"> $US et élimineront </w:t>
      </w:r>
      <w:r w:rsidRPr="0042639D">
        <w:rPr>
          <w:lang w:val="fr-CA"/>
        </w:rPr>
        <w:t>86</w:t>
      </w:r>
      <w:r>
        <w:rPr>
          <w:lang w:val="fr-CA"/>
        </w:rPr>
        <w:t>,</w:t>
      </w:r>
      <w:r w:rsidRPr="0042639D">
        <w:rPr>
          <w:lang w:val="fr-CA"/>
        </w:rPr>
        <w:t>87 </w:t>
      </w:r>
      <w:r>
        <w:rPr>
          <w:lang w:val="fr-CA"/>
        </w:rPr>
        <w:t>t</w:t>
      </w:r>
      <w:r w:rsidRPr="0042639D">
        <w:rPr>
          <w:lang w:val="fr-CA"/>
        </w:rPr>
        <w:t xml:space="preserve">m </w:t>
      </w:r>
      <w:r>
        <w:rPr>
          <w:lang w:val="fr-CA"/>
        </w:rPr>
        <w:t xml:space="preserve">de </w:t>
      </w:r>
      <w:r w:rsidRPr="0042639D">
        <w:rPr>
          <w:lang w:val="fr-CA"/>
        </w:rPr>
        <w:t xml:space="preserve">HCFC. </w:t>
      </w:r>
      <w:r>
        <w:rPr>
          <w:lang w:val="fr-CA"/>
        </w:rPr>
        <w:t>Deux entreprise</w:t>
      </w:r>
      <w:r w:rsidRPr="0042639D">
        <w:rPr>
          <w:lang w:val="fr-CA"/>
        </w:rPr>
        <w:t xml:space="preserve">s (Darling </w:t>
      </w:r>
      <w:r>
        <w:rPr>
          <w:lang w:val="fr-CA"/>
        </w:rPr>
        <w:t>et</w:t>
      </w:r>
      <w:r w:rsidRPr="0042639D">
        <w:rPr>
          <w:lang w:val="fr-CA"/>
        </w:rPr>
        <w:t xml:space="preserve"> Tan A) </w:t>
      </w:r>
      <w:r>
        <w:rPr>
          <w:lang w:val="fr-CA"/>
        </w:rPr>
        <w:t xml:space="preserve">ont également confirmé leur </w:t>
      </w:r>
      <w:r w:rsidRPr="0042639D">
        <w:rPr>
          <w:lang w:val="fr-CA"/>
        </w:rPr>
        <w:t xml:space="preserve">participation </w:t>
      </w:r>
      <w:r>
        <w:rPr>
          <w:lang w:val="fr-CA"/>
        </w:rPr>
        <w:t>au</w:t>
      </w:r>
      <w:r w:rsidRPr="0042639D">
        <w:rPr>
          <w:lang w:val="fr-CA"/>
        </w:rPr>
        <w:t xml:space="preserve"> projet </w:t>
      </w:r>
      <w:r>
        <w:rPr>
          <w:lang w:val="fr-CA"/>
        </w:rPr>
        <w:t>mais n’ont pas encore signé de SAS</w:t>
      </w:r>
      <w:r w:rsidRPr="0042639D">
        <w:rPr>
          <w:lang w:val="fr-CA"/>
        </w:rPr>
        <w:t xml:space="preserve">; </w:t>
      </w:r>
      <w:r>
        <w:rPr>
          <w:lang w:val="fr-CA"/>
        </w:rPr>
        <w:t>les coûts estimatifs de ces re</w:t>
      </w:r>
      <w:r w:rsidRPr="0042639D">
        <w:rPr>
          <w:lang w:val="fr-CA"/>
        </w:rPr>
        <w:t xml:space="preserve">conversions </w:t>
      </w:r>
      <w:r>
        <w:rPr>
          <w:lang w:val="fr-CA"/>
        </w:rPr>
        <w:t>sont de 5</w:t>
      </w:r>
      <w:r w:rsidRPr="0042639D">
        <w:rPr>
          <w:lang w:val="fr-CA"/>
        </w:rPr>
        <w:t>00</w:t>
      </w:r>
      <w:r>
        <w:rPr>
          <w:lang w:val="fr-CA"/>
        </w:rPr>
        <w:t> </w:t>
      </w:r>
      <w:r w:rsidRPr="0042639D">
        <w:rPr>
          <w:lang w:val="fr-CA"/>
        </w:rPr>
        <w:t>000</w:t>
      </w:r>
      <w:r>
        <w:rPr>
          <w:lang w:val="fr-CA"/>
        </w:rPr>
        <w:t xml:space="preserve"> $US et visent l’élimination de </w:t>
      </w:r>
      <w:r w:rsidRPr="0042639D">
        <w:rPr>
          <w:lang w:val="fr-CA"/>
        </w:rPr>
        <w:t>61</w:t>
      </w:r>
      <w:r>
        <w:rPr>
          <w:lang w:val="fr-CA"/>
        </w:rPr>
        <w:t>,</w:t>
      </w:r>
      <w:r w:rsidRPr="0042639D">
        <w:rPr>
          <w:lang w:val="fr-CA"/>
        </w:rPr>
        <w:t>06 </w:t>
      </w:r>
      <w:r>
        <w:rPr>
          <w:lang w:val="fr-CA"/>
        </w:rPr>
        <w:t>t</w:t>
      </w:r>
      <w:r w:rsidRPr="0042639D">
        <w:rPr>
          <w:lang w:val="fr-CA"/>
        </w:rPr>
        <w:t xml:space="preserve">m </w:t>
      </w:r>
      <w:r>
        <w:rPr>
          <w:lang w:val="fr-CA"/>
        </w:rPr>
        <w:t xml:space="preserve">de </w:t>
      </w:r>
      <w:r w:rsidRPr="0042639D">
        <w:rPr>
          <w:lang w:val="fr-CA"/>
        </w:rPr>
        <w:t xml:space="preserve">HCFC. </w:t>
      </w:r>
      <w:r>
        <w:rPr>
          <w:lang w:val="fr-CA"/>
        </w:rPr>
        <w:t>En outre, avec l’</w:t>
      </w:r>
      <w:r w:rsidRPr="0042639D">
        <w:rPr>
          <w:lang w:val="fr-CA"/>
        </w:rPr>
        <w:t xml:space="preserve">assistance </w:t>
      </w:r>
      <w:r>
        <w:rPr>
          <w:lang w:val="fr-CA"/>
        </w:rPr>
        <w:t xml:space="preserve">d’un </w:t>
      </w:r>
      <w:r w:rsidRPr="0042639D">
        <w:rPr>
          <w:lang w:val="fr-CA"/>
        </w:rPr>
        <w:t xml:space="preserve">consultant, </w:t>
      </w:r>
      <w:r>
        <w:rPr>
          <w:lang w:val="fr-CA"/>
        </w:rPr>
        <w:t>une norme a été établie pour la fabrication de mousse avec des agents de gonflage inflammables</w:t>
      </w:r>
      <w:r w:rsidRPr="0042639D">
        <w:rPr>
          <w:lang w:val="fr-CA"/>
        </w:rPr>
        <w:t>.</w:t>
      </w:r>
    </w:p>
    <w:p w14:paraId="68010A35" w14:textId="77777777" w:rsidR="006345CD" w:rsidRPr="0042639D" w:rsidRDefault="006345CD" w:rsidP="006345CD">
      <w:pPr>
        <w:pStyle w:val="Heading1"/>
        <w:numPr>
          <w:ilvl w:val="0"/>
          <w:numId w:val="0"/>
        </w:numPr>
        <w:tabs>
          <w:tab w:val="left" w:pos="708"/>
        </w:tabs>
        <w:rPr>
          <w:i/>
          <w:iCs/>
          <w:lang w:val="fr-CA"/>
        </w:rPr>
      </w:pPr>
      <w:r>
        <w:rPr>
          <w:i/>
          <w:iCs/>
          <w:lang w:val="fr-CA"/>
        </w:rPr>
        <w:t>Secteur de la fabrication en ré</w:t>
      </w:r>
      <w:r w:rsidRPr="0042639D">
        <w:rPr>
          <w:i/>
          <w:iCs/>
          <w:lang w:val="fr-CA"/>
        </w:rPr>
        <w:t>frigération</w:t>
      </w:r>
    </w:p>
    <w:p w14:paraId="0AF19136" w14:textId="77777777" w:rsidR="006345CD" w:rsidRPr="0042639D" w:rsidRDefault="006345CD" w:rsidP="006345CD">
      <w:pPr>
        <w:pStyle w:val="Heading1"/>
        <w:numPr>
          <w:ilvl w:val="0"/>
          <w:numId w:val="30"/>
        </w:numPr>
        <w:rPr>
          <w:lang w:val="fr-CA"/>
        </w:rPr>
      </w:pPr>
      <w:r>
        <w:rPr>
          <w:lang w:val="fr-CA"/>
        </w:rPr>
        <w:t>La p</w:t>
      </w:r>
      <w:r w:rsidRPr="0042639D">
        <w:rPr>
          <w:lang w:val="fr-CA"/>
        </w:rPr>
        <w:t xml:space="preserve">hase II </w:t>
      </w:r>
      <w:r>
        <w:rPr>
          <w:lang w:val="fr-CA"/>
        </w:rPr>
        <w:t xml:space="preserve">comprenait le financement de </w:t>
      </w:r>
      <w:r w:rsidRPr="0042639D">
        <w:rPr>
          <w:lang w:val="fr-CA"/>
        </w:rPr>
        <w:t xml:space="preserve">34 </w:t>
      </w:r>
      <w:r>
        <w:rPr>
          <w:lang w:val="fr-CA"/>
        </w:rPr>
        <w:t xml:space="preserve">entreprises de fabrication d’appareils de </w:t>
      </w:r>
      <w:r w:rsidRPr="0042639D">
        <w:rPr>
          <w:lang w:val="fr-CA"/>
        </w:rPr>
        <w:t xml:space="preserve">réfrigération </w:t>
      </w:r>
      <w:r>
        <w:rPr>
          <w:lang w:val="fr-CA"/>
        </w:rPr>
        <w:t xml:space="preserve">pour l’élimination de </w:t>
      </w:r>
      <w:r w:rsidRPr="0042639D">
        <w:rPr>
          <w:lang w:val="fr-CA"/>
        </w:rPr>
        <w:t>303</w:t>
      </w:r>
      <w:r>
        <w:rPr>
          <w:lang w:val="fr-CA"/>
        </w:rPr>
        <w:t>,</w:t>
      </w:r>
      <w:r w:rsidRPr="0042639D">
        <w:rPr>
          <w:lang w:val="fr-CA"/>
        </w:rPr>
        <w:t>0 </w:t>
      </w:r>
      <w:r>
        <w:rPr>
          <w:lang w:val="fr-CA"/>
        </w:rPr>
        <w:t>t</w:t>
      </w:r>
      <w:r w:rsidRPr="0042639D">
        <w:rPr>
          <w:lang w:val="fr-CA"/>
        </w:rPr>
        <w:t xml:space="preserve">m </w:t>
      </w:r>
      <w:r>
        <w:rPr>
          <w:lang w:val="fr-CA"/>
        </w:rPr>
        <w:t>de</w:t>
      </w:r>
      <w:r w:rsidRPr="0042639D">
        <w:rPr>
          <w:lang w:val="fr-CA"/>
        </w:rPr>
        <w:t xml:space="preserve"> HCFC</w:t>
      </w:r>
      <w:r w:rsidRPr="0042639D">
        <w:rPr>
          <w:lang w:val="fr-CA"/>
        </w:rPr>
        <w:noBreakHyphen/>
        <w:t xml:space="preserve">22. </w:t>
      </w:r>
      <w:r>
        <w:rPr>
          <w:lang w:val="fr-CA"/>
        </w:rPr>
        <w:t xml:space="preserve">L’équipement a été installé à une </w:t>
      </w:r>
      <w:bookmarkStart w:id="10" w:name="_Hlk104037515"/>
      <w:r>
        <w:rPr>
          <w:lang w:val="fr-CA"/>
        </w:rPr>
        <w:t>entreprise</w:t>
      </w:r>
      <w:r w:rsidRPr="0042639D">
        <w:rPr>
          <w:lang w:val="fr-CA"/>
        </w:rPr>
        <w:t xml:space="preserve">, </w:t>
      </w:r>
      <w:proofErr w:type="spellStart"/>
      <w:r w:rsidRPr="0042639D">
        <w:rPr>
          <w:lang w:val="fr-CA"/>
        </w:rPr>
        <w:t>Phuong</w:t>
      </w:r>
      <w:proofErr w:type="spellEnd"/>
      <w:r w:rsidRPr="0042639D">
        <w:rPr>
          <w:lang w:val="fr-CA"/>
        </w:rPr>
        <w:t xml:space="preserve"> Nam, </w:t>
      </w:r>
      <w:r>
        <w:rPr>
          <w:lang w:val="fr-CA"/>
        </w:rPr>
        <w:t>qui est censée terminer sa re</w:t>
      </w:r>
      <w:r w:rsidRPr="0042639D">
        <w:rPr>
          <w:lang w:val="fr-CA"/>
        </w:rPr>
        <w:t xml:space="preserve">conversion </w:t>
      </w:r>
      <w:r>
        <w:rPr>
          <w:lang w:val="fr-CA"/>
        </w:rPr>
        <w:t xml:space="preserve">à l’ammoniac en juin </w:t>
      </w:r>
      <w:r w:rsidRPr="0042639D">
        <w:rPr>
          <w:lang w:val="fr-CA"/>
        </w:rPr>
        <w:t xml:space="preserve">2022; </w:t>
      </w:r>
      <w:r>
        <w:rPr>
          <w:lang w:val="fr-CA"/>
        </w:rPr>
        <w:t xml:space="preserve">ce SAS d’une valeur de </w:t>
      </w:r>
      <w:r w:rsidRPr="0042639D">
        <w:rPr>
          <w:lang w:val="fr-CA"/>
        </w:rPr>
        <w:t>147</w:t>
      </w:r>
      <w:r>
        <w:rPr>
          <w:lang w:val="fr-CA"/>
        </w:rPr>
        <w:t> </w:t>
      </w:r>
      <w:r w:rsidRPr="0042639D">
        <w:rPr>
          <w:lang w:val="fr-CA"/>
        </w:rPr>
        <w:t>366</w:t>
      </w:r>
      <w:r>
        <w:rPr>
          <w:lang w:val="fr-CA"/>
        </w:rPr>
        <w:t xml:space="preserve"> $US permettra d’éliminer </w:t>
      </w:r>
      <w:r w:rsidRPr="0042639D">
        <w:rPr>
          <w:lang w:val="fr-CA"/>
        </w:rPr>
        <w:t>9</w:t>
      </w:r>
      <w:r>
        <w:rPr>
          <w:lang w:val="fr-CA"/>
        </w:rPr>
        <w:t>,</w:t>
      </w:r>
      <w:r w:rsidRPr="0042639D">
        <w:rPr>
          <w:lang w:val="fr-CA"/>
        </w:rPr>
        <w:t>82 </w:t>
      </w:r>
      <w:r>
        <w:rPr>
          <w:lang w:val="fr-CA"/>
        </w:rPr>
        <w:t>t</w:t>
      </w:r>
      <w:r w:rsidRPr="0042639D">
        <w:rPr>
          <w:lang w:val="fr-CA"/>
        </w:rPr>
        <w:t xml:space="preserve">m </w:t>
      </w:r>
      <w:r>
        <w:rPr>
          <w:lang w:val="fr-CA"/>
        </w:rPr>
        <w:t xml:space="preserve">de </w:t>
      </w:r>
      <w:r w:rsidRPr="0042639D">
        <w:rPr>
          <w:lang w:val="fr-CA"/>
        </w:rPr>
        <w:t xml:space="preserve">HCFC-22. </w:t>
      </w:r>
      <w:r>
        <w:rPr>
          <w:lang w:val="fr-CA"/>
        </w:rPr>
        <w:t>Deux autres entreprise</w:t>
      </w:r>
      <w:r w:rsidRPr="0042639D">
        <w:rPr>
          <w:lang w:val="fr-CA"/>
        </w:rPr>
        <w:t xml:space="preserve">s, </w:t>
      </w:r>
      <w:proofErr w:type="spellStart"/>
      <w:r w:rsidRPr="0042639D">
        <w:rPr>
          <w:lang w:val="fr-CA"/>
        </w:rPr>
        <w:t>Saree</w:t>
      </w:r>
      <w:proofErr w:type="spellEnd"/>
      <w:r w:rsidRPr="0042639D">
        <w:rPr>
          <w:lang w:val="fr-CA"/>
        </w:rPr>
        <w:t xml:space="preserve"> </w:t>
      </w:r>
      <w:r>
        <w:rPr>
          <w:lang w:val="fr-CA"/>
        </w:rPr>
        <w:t>et</w:t>
      </w:r>
      <w:r w:rsidRPr="0042639D">
        <w:rPr>
          <w:lang w:val="fr-CA"/>
        </w:rPr>
        <w:t xml:space="preserve"> Hung Tri, </w:t>
      </w:r>
      <w:r>
        <w:rPr>
          <w:lang w:val="fr-CA"/>
        </w:rPr>
        <w:t xml:space="preserve">ont confirmé leur intérêt à participer au </w:t>
      </w:r>
      <w:r w:rsidRPr="0042639D">
        <w:rPr>
          <w:lang w:val="fr-CA"/>
        </w:rPr>
        <w:t>projet</w:t>
      </w:r>
      <w:r>
        <w:rPr>
          <w:lang w:val="fr-CA"/>
        </w:rPr>
        <w:t>, avec des SAS</w:t>
      </w:r>
      <w:r w:rsidRPr="0042639D">
        <w:rPr>
          <w:lang w:val="fr-CA"/>
        </w:rPr>
        <w:t xml:space="preserve"> </w:t>
      </w:r>
      <w:r>
        <w:rPr>
          <w:lang w:val="fr-CA"/>
        </w:rPr>
        <w:t xml:space="preserve">en cours de </w:t>
      </w:r>
      <w:r w:rsidRPr="0042639D">
        <w:rPr>
          <w:lang w:val="fr-CA"/>
        </w:rPr>
        <w:t xml:space="preserve">préparation; </w:t>
      </w:r>
      <w:bookmarkEnd w:id="10"/>
      <w:r>
        <w:rPr>
          <w:lang w:val="fr-CA"/>
        </w:rPr>
        <w:t>les coûts estimatifs de ces re</w:t>
      </w:r>
      <w:r w:rsidRPr="0042639D">
        <w:rPr>
          <w:lang w:val="fr-CA"/>
        </w:rPr>
        <w:t xml:space="preserve">conversions </w:t>
      </w:r>
      <w:r>
        <w:rPr>
          <w:lang w:val="fr-CA"/>
        </w:rPr>
        <w:t xml:space="preserve">s’élèvent à </w:t>
      </w:r>
      <w:r w:rsidRPr="0042639D">
        <w:rPr>
          <w:lang w:val="fr-CA"/>
        </w:rPr>
        <w:t>624</w:t>
      </w:r>
      <w:r>
        <w:rPr>
          <w:lang w:val="fr-CA"/>
        </w:rPr>
        <w:t> </w:t>
      </w:r>
      <w:r w:rsidRPr="0042639D">
        <w:rPr>
          <w:lang w:val="fr-CA"/>
        </w:rPr>
        <w:t>000</w:t>
      </w:r>
      <w:r>
        <w:rPr>
          <w:lang w:val="fr-CA"/>
        </w:rPr>
        <w:t> $US et élimineront</w:t>
      </w:r>
      <w:r w:rsidRPr="0042639D">
        <w:rPr>
          <w:lang w:val="fr-CA"/>
        </w:rPr>
        <w:t xml:space="preserve"> 52</w:t>
      </w:r>
      <w:r>
        <w:rPr>
          <w:lang w:val="fr-CA"/>
        </w:rPr>
        <w:t>,</w:t>
      </w:r>
      <w:r w:rsidRPr="0042639D">
        <w:rPr>
          <w:lang w:val="fr-CA"/>
        </w:rPr>
        <w:t>0 </w:t>
      </w:r>
      <w:r>
        <w:rPr>
          <w:lang w:val="fr-CA"/>
        </w:rPr>
        <w:t>t</w:t>
      </w:r>
      <w:r w:rsidRPr="0042639D">
        <w:rPr>
          <w:lang w:val="fr-CA"/>
        </w:rPr>
        <w:t xml:space="preserve">m </w:t>
      </w:r>
      <w:r>
        <w:rPr>
          <w:lang w:val="fr-CA"/>
        </w:rPr>
        <w:t xml:space="preserve">de </w:t>
      </w:r>
      <w:r w:rsidRPr="0042639D">
        <w:rPr>
          <w:lang w:val="fr-CA"/>
        </w:rPr>
        <w:t xml:space="preserve">HCFC-22. </w:t>
      </w:r>
    </w:p>
    <w:p w14:paraId="705C850E" w14:textId="77777777" w:rsidR="006345CD" w:rsidRPr="0042639D" w:rsidRDefault="006345CD" w:rsidP="006345CD">
      <w:pPr>
        <w:rPr>
          <w:iCs/>
          <w:u w:val="single"/>
          <w:lang w:val="fr-CA"/>
        </w:rPr>
      </w:pPr>
      <w:r>
        <w:rPr>
          <w:iCs/>
          <w:u w:val="single"/>
          <w:lang w:val="fr-CA"/>
        </w:rPr>
        <w:t>Secteur de l’entretien en r</w:t>
      </w:r>
      <w:r w:rsidRPr="0042639D">
        <w:rPr>
          <w:iCs/>
          <w:u w:val="single"/>
          <w:lang w:val="fr-CA"/>
        </w:rPr>
        <w:t>éfrigération</w:t>
      </w:r>
    </w:p>
    <w:p w14:paraId="28694C05" w14:textId="77777777" w:rsidR="006345CD" w:rsidRPr="0042639D" w:rsidRDefault="006345CD" w:rsidP="006345CD">
      <w:pPr>
        <w:rPr>
          <w:i/>
          <w:lang w:val="fr-CA"/>
        </w:rPr>
      </w:pPr>
    </w:p>
    <w:p w14:paraId="6A961EE0" w14:textId="77777777" w:rsidR="006345CD" w:rsidRPr="0042639D" w:rsidRDefault="006345CD" w:rsidP="006345CD">
      <w:pPr>
        <w:pStyle w:val="Heading1"/>
        <w:numPr>
          <w:ilvl w:val="0"/>
          <w:numId w:val="30"/>
        </w:numPr>
        <w:rPr>
          <w:lang w:val="fr-CA"/>
        </w:rPr>
      </w:pPr>
      <w:r>
        <w:rPr>
          <w:lang w:val="fr-CA"/>
        </w:rPr>
        <w:t>Les activités ci-après ont été entreprises</w:t>
      </w:r>
      <w:r w:rsidRPr="0042639D">
        <w:rPr>
          <w:lang w:val="fr-CA"/>
        </w:rPr>
        <w:t xml:space="preserve">: </w:t>
      </w:r>
    </w:p>
    <w:p w14:paraId="1C2B6705" w14:textId="77777777" w:rsidR="006345CD" w:rsidRPr="0042639D" w:rsidRDefault="006345CD" w:rsidP="006345CD">
      <w:pPr>
        <w:pStyle w:val="Heading2"/>
        <w:numPr>
          <w:ilvl w:val="1"/>
          <w:numId w:val="30"/>
        </w:numPr>
        <w:rPr>
          <w:lang w:val="fr-CA"/>
        </w:rPr>
      </w:pPr>
      <w:r>
        <w:rPr>
          <w:lang w:val="fr-CA"/>
        </w:rPr>
        <w:t xml:space="preserve">Dans le cadre de l’AT mise en œuvre par le </w:t>
      </w:r>
      <w:r w:rsidRPr="0042639D">
        <w:rPr>
          <w:lang w:val="fr-CA"/>
        </w:rPr>
        <w:t xml:space="preserve">Gouvernement </w:t>
      </w:r>
      <w:r>
        <w:rPr>
          <w:lang w:val="fr-CA"/>
        </w:rPr>
        <w:t>du</w:t>
      </w:r>
      <w:r w:rsidRPr="0042639D">
        <w:rPr>
          <w:lang w:val="fr-CA"/>
        </w:rPr>
        <w:t xml:space="preserve"> Japon, </w:t>
      </w:r>
      <w:r>
        <w:rPr>
          <w:lang w:val="fr-CA"/>
        </w:rPr>
        <w:t xml:space="preserve">le programme de formation à l’utilisation sécuritaire du </w:t>
      </w:r>
      <w:r w:rsidRPr="0042639D">
        <w:rPr>
          <w:lang w:val="fr-CA"/>
        </w:rPr>
        <w:t xml:space="preserve">HFC-32 </w:t>
      </w:r>
      <w:r>
        <w:rPr>
          <w:lang w:val="fr-CA"/>
        </w:rPr>
        <w:t>dans le secteur</w:t>
      </w:r>
      <w:r w:rsidRPr="0042639D">
        <w:rPr>
          <w:lang w:val="fr-CA"/>
        </w:rPr>
        <w:t xml:space="preserve"> </w:t>
      </w:r>
      <w:r>
        <w:rPr>
          <w:lang w:val="fr-CA"/>
        </w:rPr>
        <w:t>AC a pris fin</w:t>
      </w:r>
      <w:r w:rsidRPr="0042639D">
        <w:rPr>
          <w:lang w:val="fr-CA"/>
        </w:rPr>
        <w:t xml:space="preserve">. </w:t>
      </w:r>
      <w:r>
        <w:rPr>
          <w:lang w:val="fr-CA"/>
        </w:rPr>
        <w:t xml:space="preserve">Le début de la formation à trois entreprises de fabrication d’appareils </w:t>
      </w:r>
      <w:r w:rsidRPr="0042639D">
        <w:rPr>
          <w:lang w:val="fr-CA"/>
        </w:rPr>
        <w:t>AC (</w:t>
      </w:r>
      <w:proofErr w:type="spellStart"/>
      <w:r w:rsidRPr="0042639D">
        <w:rPr>
          <w:lang w:val="fr-CA"/>
        </w:rPr>
        <w:t>Hoa</w:t>
      </w:r>
      <w:proofErr w:type="spellEnd"/>
      <w:r w:rsidRPr="0042639D">
        <w:rPr>
          <w:lang w:val="fr-CA"/>
        </w:rPr>
        <w:t xml:space="preserve"> </w:t>
      </w:r>
      <w:proofErr w:type="spellStart"/>
      <w:r w:rsidRPr="0042639D">
        <w:rPr>
          <w:lang w:val="fr-CA"/>
        </w:rPr>
        <w:t>Phat</w:t>
      </w:r>
      <w:proofErr w:type="spellEnd"/>
      <w:r w:rsidRPr="0042639D">
        <w:rPr>
          <w:lang w:val="fr-CA"/>
        </w:rPr>
        <w:t xml:space="preserve">, </w:t>
      </w:r>
      <w:proofErr w:type="spellStart"/>
      <w:r w:rsidRPr="0042639D">
        <w:rPr>
          <w:lang w:val="fr-CA"/>
        </w:rPr>
        <w:t>Nagakawa</w:t>
      </w:r>
      <w:proofErr w:type="spellEnd"/>
      <w:r w:rsidRPr="0042639D">
        <w:rPr>
          <w:lang w:val="fr-CA"/>
        </w:rPr>
        <w:t xml:space="preserve"> </w:t>
      </w:r>
      <w:r>
        <w:rPr>
          <w:lang w:val="fr-CA"/>
        </w:rPr>
        <w:t>et</w:t>
      </w:r>
      <w:r w:rsidRPr="0042639D">
        <w:rPr>
          <w:lang w:val="fr-CA"/>
        </w:rPr>
        <w:t xml:space="preserve"> REE) </w:t>
      </w:r>
      <w:r>
        <w:rPr>
          <w:lang w:val="fr-CA"/>
        </w:rPr>
        <w:t xml:space="preserve">a été retardé en raison des restrictions dues à la pandémie de </w:t>
      </w:r>
      <w:r w:rsidRPr="0042639D">
        <w:rPr>
          <w:lang w:val="fr-CA"/>
        </w:rPr>
        <w:t>COVID-19</w:t>
      </w:r>
      <w:r>
        <w:rPr>
          <w:lang w:val="fr-CA"/>
        </w:rPr>
        <w:t xml:space="preserve">, mais la formation devrait s’achever en décembre </w:t>
      </w:r>
      <w:r w:rsidRPr="0042639D">
        <w:rPr>
          <w:lang w:val="fr-CA"/>
        </w:rPr>
        <w:t>2022;</w:t>
      </w:r>
    </w:p>
    <w:p w14:paraId="481BF705" w14:textId="77777777" w:rsidR="006345CD" w:rsidRPr="0042639D" w:rsidRDefault="006345CD" w:rsidP="006345CD">
      <w:pPr>
        <w:pStyle w:val="Heading2"/>
        <w:keepNext/>
        <w:keepLines/>
        <w:numPr>
          <w:ilvl w:val="1"/>
          <w:numId w:val="30"/>
        </w:numPr>
        <w:rPr>
          <w:lang w:val="fr-CA"/>
        </w:rPr>
      </w:pPr>
      <w:r>
        <w:rPr>
          <w:lang w:val="fr-CA"/>
        </w:rPr>
        <w:t>Un</w:t>
      </w:r>
      <w:r w:rsidRPr="0042639D">
        <w:rPr>
          <w:lang w:val="fr-CA"/>
        </w:rPr>
        <w:t xml:space="preserve"> consultant </w:t>
      </w:r>
      <w:r>
        <w:rPr>
          <w:lang w:val="fr-CA"/>
        </w:rPr>
        <w:t xml:space="preserve">a examiné les normes et les règlements régissant les équipements </w:t>
      </w:r>
      <w:r w:rsidRPr="0042639D">
        <w:rPr>
          <w:lang w:val="fr-CA"/>
        </w:rPr>
        <w:t xml:space="preserve">AC </w:t>
      </w:r>
      <w:r>
        <w:rPr>
          <w:lang w:val="fr-CA"/>
        </w:rPr>
        <w:t>contenant des frigorigène</w:t>
      </w:r>
      <w:r w:rsidRPr="0042639D">
        <w:rPr>
          <w:lang w:val="fr-CA"/>
        </w:rPr>
        <w:t>s</w:t>
      </w:r>
      <w:r>
        <w:rPr>
          <w:lang w:val="fr-CA"/>
        </w:rPr>
        <w:t xml:space="preserve"> inflammables et des ateliers de consultation virtuelle ont été organisés à l’intention des parties prenantes en octobre et décembre</w:t>
      </w:r>
      <w:r w:rsidRPr="0042639D">
        <w:rPr>
          <w:lang w:val="fr-CA"/>
        </w:rPr>
        <w:t xml:space="preserve"> 2021;</w:t>
      </w:r>
    </w:p>
    <w:p w14:paraId="73E04A3D" w14:textId="77777777" w:rsidR="006345CD" w:rsidRPr="00286CE2" w:rsidRDefault="006345CD" w:rsidP="006345CD">
      <w:pPr>
        <w:pStyle w:val="Heading2"/>
        <w:numPr>
          <w:ilvl w:val="1"/>
          <w:numId w:val="30"/>
        </w:numPr>
        <w:rPr>
          <w:lang w:val="fr-CA"/>
        </w:rPr>
      </w:pPr>
      <w:r>
        <w:rPr>
          <w:lang w:val="fr-CA"/>
        </w:rPr>
        <w:t>Des trousses d’outils</w:t>
      </w:r>
      <w:r w:rsidRPr="0042639D">
        <w:rPr>
          <w:lang w:val="fr-CA"/>
        </w:rPr>
        <w:t xml:space="preserve"> (</w:t>
      </w:r>
      <w:r>
        <w:rPr>
          <w:lang w:val="fr-CA"/>
        </w:rPr>
        <w:t>ex. : détecteur de fuites</w:t>
      </w:r>
      <w:r w:rsidRPr="0042639D">
        <w:rPr>
          <w:lang w:val="fr-CA"/>
        </w:rPr>
        <w:t xml:space="preserve">; </w:t>
      </w:r>
      <w:r>
        <w:rPr>
          <w:lang w:val="fr-CA"/>
        </w:rPr>
        <w:t xml:space="preserve">manomètre </w:t>
      </w:r>
      <w:r w:rsidRPr="0042639D">
        <w:rPr>
          <w:lang w:val="fr-CA"/>
        </w:rPr>
        <w:t xml:space="preserve">; </w:t>
      </w:r>
      <w:r>
        <w:rPr>
          <w:lang w:val="fr-CA"/>
        </w:rPr>
        <w:t>machine de récupération de frigorigène</w:t>
      </w:r>
      <w:r w:rsidRPr="0042639D">
        <w:rPr>
          <w:lang w:val="fr-CA"/>
        </w:rPr>
        <w:t xml:space="preserve">; </w:t>
      </w:r>
      <w:r>
        <w:rPr>
          <w:lang w:val="fr-CA"/>
        </w:rPr>
        <w:t>bonbonne de frigorigène</w:t>
      </w:r>
      <w:r w:rsidRPr="0042639D">
        <w:rPr>
          <w:lang w:val="fr-CA"/>
        </w:rPr>
        <w:t xml:space="preserve">; </w:t>
      </w:r>
      <w:r>
        <w:rPr>
          <w:lang w:val="fr-CA"/>
        </w:rPr>
        <w:t>pompe à vide</w:t>
      </w:r>
      <w:r w:rsidRPr="0042639D">
        <w:rPr>
          <w:lang w:val="fr-CA"/>
        </w:rPr>
        <w:t xml:space="preserve">; </w:t>
      </w:r>
      <w:r>
        <w:rPr>
          <w:lang w:val="fr-CA"/>
        </w:rPr>
        <w:t xml:space="preserve">appareil </w:t>
      </w:r>
      <w:r w:rsidRPr="0042639D">
        <w:rPr>
          <w:lang w:val="fr-CA"/>
        </w:rPr>
        <w:t xml:space="preserve">AC; </w:t>
      </w:r>
      <w:r>
        <w:rPr>
          <w:lang w:val="fr-CA"/>
        </w:rPr>
        <w:t xml:space="preserve">série de </w:t>
      </w:r>
      <w:r w:rsidRPr="00286CE2">
        <w:rPr>
          <w:lang w:val="fr-CA"/>
        </w:rPr>
        <w:t xml:space="preserve">clés dynamométriques, </w:t>
      </w:r>
      <w:r>
        <w:rPr>
          <w:lang w:val="fr-CA"/>
        </w:rPr>
        <w:t>de torchage</w:t>
      </w:r>
      <w:r w:rsidRPr="00286CE2">
        <w:rPr>
          <w:lang w:val="fr-CA"/>
        </w:rPr>
        <w:t xml:space="preserve">, </w:t>
      </w:r>
      <w:r>
        <w:rPr>
          <w:lang w:val="fr-CA"/>
        </w:rPr>
        <w:t>et coupe-tube</w:t>
      </w:r>
      <w:r w:rsidRPr="00286CE2">
        <w:rPr>
          <w:lang w:val="fr-CA"/>
        </w:rPr>
        <w:t xml:space="preserve">; </w:t>
      </w:r>
      <w:r>
        <w:rPr>
          <w:lang w:val="fr-CA"/>
        </w:rPr>
        <w:t xml:space="preserve">échelle de températures pour </w:t>
      </w:r>
      <w:r w:rsidRPr="00286CE2">
        <w:rPr>
          <w:lang w:val="fr-CA"/>
        </w:rPr>
        <w:t>frigorigène</w:t>
      </w:r>
      <w:r>
        <w:rPr>
          <w:lang w:val="fr-CA"/>
        </w:rPr>
        <w:t>s</w:t>
      </w:r>
      <w:r w:rsidRPr="00286CE2">
        <w:rPr>
          <w:lang w:val="fr-CA"/>
        </w:rPr>
        <w:t xml:space="preserve">) </w:t>
      </w:r>
      <w:r>
        <w:rPr>
          <w:lang w:val="fr-CA"/>
        </w:rPr>
        <w:t xml:space="preserve">ont été livrées à </w:t>
      </w:r>
      <w:r w:rsidRPr="00286CE2">
        <w:rPr>
          <w:lang w:val="fr-CA"/>
        </w:rPr>
        <w:t xml:space="preserve">65 </w:t>
      </w:r>
      <w:r>
        <w:rPr>
          <w:lang w:val="fr-CA"/>
        </w:rPr>
        <w:t>écoles de formation professionnelle</w:t>
      </w:r>
      <w:r w:rsidRPr="00286CE2">
        <w:rPr>
          <w:lang w:val="fr-CA"/>
        </w:rPr>
        <w:t xml:space="preserve">, </w:t>
      </w:r>
      <w:r>
        <w:rPr>
          <w:lang w:val="fr-CA"/>
        </w:rPr>
        <w:t>et</w:t>
      </w:r>
      <w:r w:rsidRPr="00286CE2">
        <w:rPr>
          <w:lang w:val="fr-CA"/>
        </w:rPr>
        <w:t xml:space="preserve"> 100 </w:t>
      </w:r>
      <w:r>
        <w:rPr>
          <w:lang w:val="fr-CA"/>
        </w:rPr>
        <w:t xml:space="preserve">trousses d’outils </w:t>
      </w:r>
      <w:r w:rsidRPr="00286CE2">
        <w:rPr>
          <w:lang w:val="fr-CA"/>
        </w:rPr>
        <w:t>(e</w:t>
      </w:r>
      <w:r>
        <w:rPr>
          <w:lang w:val="fr-CA"/>
        </w:rPr>
        <w:t>x</w:t>
      </w:r>
      <w:r w:rsidRPr="00286CE2">
        <w:rPr>
          <w:lang w:val="fr-CA"/>
        </w:rPr>
        <w:t>.</w:t>
      </w:r>
      <w:r>
        <w:rPr>
          <w:lang w:val="fr-CA"/>
        </w:rPr>
        <w:t> : pompe à vide</w:t>
      </w:r>
      <w:r w:rsidRPr="00286CE2">
        <w:rPr>
          <w:lang w:val="fr-CA"/>
        </w:rPr>
        <w:t xml:space="preserve">; </w:t>
      </w:r>
      <w:r>
        <w:rPr>
          <w:lang w:val="fr-CA"/>
        </w:rPr>
        <w:t>série de clés dynamométriques</w:t>
      </w:r>
      <w:r w:rsidRPr="00286CE2">
        <w:rPr>
          <w:lang w:val="fr-CA"/>
        </w:rPr>
        <w:t xml:space="preserve">, </w:t>
      </w:r>
      <w:r>
        <w:rPr>
          <w:lang w:val="fr-CA"/>
        </w:rPr>
        <w:t>de torchage</w:t>
      </w:r>
      <w:r w:rsidRPr="00286CE2">
        <w:rPr>
          <w:lang w:val="fr-CA"/>
        </w:rPr>
        <w:t xml:space="preserve">, </w:t>
      </w:r>
      <w:r>
        <w:rPr>
          <w:lang w:val="fr-CA"/>
        </w:rPr>
        <w:t>et coupe-tube</w:t>
      </w:r>
      <w:r w:rsidRPr="00286CE2">
        <w:rPr>
          <w:lang w:val="fr-CA"/>
        </w:rPr>
        <w:t xml:space="preserve">) </w:t>
      </w:r>
      <w:r>
        <w:rPr>
          <w:lang w:val="fr-CA"/>
        </w:rPr>
        <w:t>ont été distribuées à des ateliers d’entretien</w:t>
      </w:r>
      <w:r w:rsidRPr="00286CE2">
        <w:rPr>
          <w:lang w:val="fr-CA"/>
        </w:rPr>
        <w:t xml:space="preserve">; </w:t>
      </w:r>
    </w:p>
    <w:p w14:paraId="7E8CF4AD" w14:textId="77777777" w:rsidR="006345CD" w:rsidRPr="00286CE2" w:rsidRDefault="006345CD" w:rsidP="006345CD">
      <w:pPr>
        <w:pStyle w:val="Heading2"/>
        <w:numPr>
          <w:ilvl w:val="1"/>
          <w:numId w:val="30"/>
        </w:numPr>
        <w:rPr>
          <w:lang w:val="fr-CA"/>
        </w:rPr>
      </w:pPr>
      <w:r>
        <w:rPr>
          <w:lang w:val="fr-CA"/>
        </w:rPr>
        <w:t>Une base de données de référence sur les écoles professionnelle, les écoles de formation et les centres de réparation a été créée</w:t>
      </w:r>
      <w:r w:rsidRPr="00286CE2">
        <w:rPr>
          <w:lang w:val="fr-CA"/>
        </w:rPr>
        <w:t xml:space="preserve">; </w:t>
      </w:r>
    </w:p>
    <w:p w14:paraId="00938E0F" w14:textId="77777777" w:rsidR="006345CD" w:rsidRPr="0042639D" w:rsidRDefault="006345CD" w:rsidP="006345CD">
      <w:pPr>
        <w:pStyle w:val="Heading2"/>
        <w:numPr>
          <w:ilvl w:val="1"/>
          <w:numId w:val="30"/>
        </w:numPr>
        <w:rPr>
          <w:lang w:val="fr-CA"/>
        </w:rPr>
      </w:pPr>
      <w:r>
        <w:rPr>
          <w:lang w:val="fr-CA"/>
        </w:rPr>
        <w:t xml:space="preserve">Un programme de formation sur les bonnes pratiques de sécurité sur l’utilisation de </w:t>
      </w:r>
      <w:r w:rsidRPr="00286CE2">
        <w:rPr>
          <w:lang w:val="fr-CA"/>
        </w:rPr>
        <w:t xml:space="preserve">frigorigènes </w:t>
      </w:r>
      <w:r>
        <w:rPr>
          <w:lang w:val="fr-CA"/>
        </w:rPr>
        <w:t xml:space="preserve">inflammables en </w:t>
      </w:r>
      <w:r w:rsidRPr="0042639D">
        <w:rPr>
          <w:lang w:val="fr-CA"/>
        </w:rPr>
        <w:t xml:space="preserve">RAC </w:t>
      </w:r>
      <w:r>
        <w:rPr>
          <w:lang w:val="fr-CA"/>
        </w:rPr>
        <w:t>a été élaboré</w:t>
      </w:r>
      <w:r w:rsidRPr="0042639D">
        <w:rPr>
          <w:lang w:val="fr-CA"/>
        </w:rPr>
        <w:t xml:space="preserve">, </w:t>
      </w:r>
      <w:r>
        <w:rPr>
          <w:lang w:val="fr-CA"/>
        </w:rPr>
        <w:t xml:space="preserve">et trois ateliers de formation d’instructeurs ont été organisés pour </w:t>
      </w:r>
      <w:r w:rsidRPr="0042639D">
        <w:rPr>
          <w:lang w:val="fr-CA"/>
        </w:rPr>
        <w:t xml:space="preserve">71 </w:t>
      </w:r>
      <w:r>
        <w:rPr>
          <w:lang w:val="fr-CA"/>
        </w:rPr>
        <w:t>instructeurs</w:t>
      </w:r>
      <w:r w:rsidRPr="0042639D">
        <w:rPr>
          <w:lang w:val="fr-CA"/>
        </w:rPr>
        <w:t xml:space="preserve">. </w:t>
      </w:r>
      <w:r>
        <w:rPr>
          <w:lang w:val="fr-CA"/>
        </w:rPr>
        <w:t xml:space="preserve">La formation de techniciens </w:t>
      </w:r>
      <w:r w:rsidRPr="0042639D">
        <w:rPr>
          <w:lang w:val="fr-CA"/>
        </w:rPr>
        <w:t xml:space="preserve">RAC </w:t>
      </w:r>
      <w:r>
        <w:rPr>
          <w:lang w:val="fr-CA"/>
        </w:rPr>
        <w:t>a repris en o</w:t>
      </w:r>
      <w:r w:rsidRPr="0042639D">
        <w:rPr>
          <w:lang w:val="fr-CA"/>
        </w:rPr>
        <w:t>ctob</w:t>
      </w:r>
      <w:r>
        <w:rPr>
          <w:lang w:val="fr-CA"/>
        </w:rPr>
        <w:t>r</w:t>
      </w:r>
      <w:r w:rsidRPr="0042639D">
        <w:rPr>
          <w:lang w:val="fr-CA"/>
        </w:rPr>
        <w:t xml:space="preserve">e 2021 </w:t>
      </w:r>
      <w:r>
        <w:rPr>
          <w:lang w:val="fr-CA"/>
        </w:rPr>
        <w:t xml:space="preserve">avec la levée des </w:t>
      </w:r>
      <w:r w:rsidRPr="0042639D">
        <w:rPr>
          <w:lang w:val="fr-CA"/>
        </w:rPr>
        <w:t>restrictions</w:t>
      </w:r>
      <w:r>
        <w:rPr>
          <w:lang w:val="fr-CA"/>
        </w:rPr>
        <w:t xml:space="preserve"> dues à la pandémie de </w:t>
      </w:r>
      <w:r w:rsidRPr="0042639D">
        <w:rPr>
          <w:lang w:val="fr-CA"/>
        </w:rPr>
        <w:t>COVID-19</w:t>
      </w:r>
      <w:r>
        <w:rPr>
          <w:lang w:val="fr-CA"/>
        </w:rPr>
        <w:t xml:space="preserve">, et </w:t>
      </w:r>
      <w:r w:rsidRPr="0042639D">
        <w:rPr>
          <w:lang w:val="fr-CA"/>
        </w:rPr>
        <w:t>850 technici</w:t>
      </w:r>
      <w:r>
        <w:rPr>
          <w:lang w:val="fr-CA"/>
        </w:rPr>
        <w:t>e</w:t>
      </w:r>
      <w:r w:rsidRPr="0042639D">
        <w:rPr>
          <w:lang w:val="fr-CA"/>
        </w:rPr>
        <w:t xml:space="preserve">ns </w:t>
      </w:r>
      <w:r>
        <w:rPr>
          <w:lang w:val="fr-CA"/>
        </w:rPr>
        <w:t>de plus ont été formés</w:t>
      </w:r>
      <w:r w:rsidRPr="0042639D">
        <w:rPr>
          <w:lang w:val="fr-CA"/>
        </w:rPr>
        <w:t xml:space="preserve">; </w:t>
      </w:r>
    </w:p>
    <w:p w14:paraId="37BD76A5" w14:textId="77777777" w:rsidR="006345CD" w:rsidRPr="0042639D" w:rsidRDefault="006345CD" w:rsidP="006345CD">
      <w:pPr>
        <w:pStyle w:val="Heading2"/>
        <w:numPr>
          <w:ilvl w:val="1"/>
          <w:numId w:val="30"/>
        </w:numPr>
        <w:rPr>
          <w:lang w:val="fr-CA"/>
        </w:rPr>
      </w:pPr>
      <w:r>
        <w:rPr>
          <w:lang w:val="fr-CA"/>
        </w:rPr>
        <w:t xml:space="preserve">Les </w:t>
      </w:r>
      <w:r w:rsidRPr="0042639D">
        <w:rPr>
          <w:lang w:val="fr-CA"/>
        </w:rPr>
        <w:t xml:space="preserve">activités </w:t>
      </w:r>
      <w:r>
        <w:rPr>
          <w:lang w:val="fr-CA"/>
        </w:rPr>
        <w:t xml:space="preserve">de gestion de fuites ont été évaluées auprès des utilisateurs ultimes de </w:t>
      </w:r>
      <w:r w:rsidRPr="0042639D">
        <w:rPr>
          <w:lang w:val="fr-CA"/>
        </w:rPr>
        <w:t xml:space="preserve">réfrigération </w:t>
      </w:r>
      <w:r>
        <w:rPr>
          <w:lang w:val="fr-CA"/>
        </w:rPr>
        <w:t>industrielle</w:t>
      </w:r>
      <w:r w:rsidRPr="0042639D">
        <w:rPr>
          <w:lang w:val="fr-CA"/>
        </w:rPr>
        <w:t xml:space="preserve">, </w:t>
      </w:r>
      <w:r>
        <w:rPr>
          <w:lang w:val="fr-CA"/>
        </w:rPr>
        <w:t xml:space="preserve">et </w:t>
      </w:r>
      <w:r w:rsidRPr="0042639D">
        <w:rPr>
          <w:lang w:val="fr-CA"/>
        </w:rPr>
        <w:t xml:space="preserve">20 </w:t>
      </w:r>
      <w:r>
        <w:rPr>
          <w:lang w:val="fr-CA"/>
        </w:rPr>
        <w:t xml:space="preserve">détecteurs de fuites ont été achetés et distribués en </w:t>
      </w:r>
      <w:r w:rsidRPr="0042639D">
        <w:rPr>
          <w:lang w:val="fr-CA"/>
        </w:rPr>
        <w:t xml:space="preserve">2022; </w:t>
      </w:r>
      <w:r>
        <w:rPr>
          <w:lang w:val="fr-CA"/>
        </w:rPr>
        <w:t>et</w:t>
      </w:r>
      <w:r w:rsidRPr="0042639D">
        <w:rPr>
          <w:lang w:val="fr-CA"/>
        </w:rPr>
        <w:t xml:space="preserve"> </w:t>
      </w:r>
    </w:p>
    <w:p w14:paraId="7A7D5D53" w14:textId="77777777" w:rsidR="006345CD" w:rsidRPr="0042639D" w:rsidRDefault="006345CD" w:rsidP="006345CD">
      <w:pPr>
        <w:pStyle w:val="Heading2"/>
        <w:numPr>
          <w:ilvl w:val="1"/>
          <w:numId w:val="30"/>
        </w:numPr>
        <w:rPr>
          <w:lang w:val="fr-CA"/>
        </w:rPr>
      </w:pPr>
      <w:r>
        <w:rPr>
          <w:lang w:val="fr-CA"/>
        </w:rPr>
        <w:t xml:space="preserve">Un atelier de formation s’est tenu pour former </w:t>
      </w:r>
      <w:r w:rsidRPr="0042639D">
        <w:rPr>
          <w:lang w:val="fr-CA"/>
        </w:rPr>
        <w:t xml:space="preserve">58 </w:t>
      </w:r>
      <w:r>
        <w:rPr>
          <w:lang w:val="fr-CA"/>
        </w:rPr>
        <w:t xml:space="preserve">agents de douane au contrôle et à la surveillance des importations et exportations de </w:t>
      </w:r>
      <w:r w:rsidRPr="0042639D">
        <w:rPr>
          <w:lang w:val="fr-CA"/>
        </w:rPr>
        <w:t xml:space="preserve">HCFC. </w:t>
      </w:r>
      <w:r>
        <w:rPr>
          <w:lang w:val="fr-CA"/>
        </w:rPr>
        <w:t xml:space="preserve">D’autres ateliers de formation pour quelques </w:t>
      </w:r>
      <w:r w:rsidRPr="0042639D">
        <w:rPr>
          <w:lang w:val="fr-CA"/>
        </w:rPr>
        <w:t xml:space="preserve">250 </w:t>
      </w:r>
      <w:r>
        <w:rPr>
          <w:lang w:val="fr-CA"/>
        </w:rPr>
        <w:t xml:space="preserve">agents de douane, retardés par le </w:t>
      </w:r>
      <w:r w:rsidRPr="0042639D">
        <w:rPr>
          <w:lang w:val="fr-CA"/>
        </w:rPr>
        <w:t xml:space="preserve">COVID-19, </w:t>
      </w:r>
      <w:r>
        <w:rPr>
          <w:lang w:val="fr-CA"/>
        </w:rPr>
        <w:t xml:space="preserve">sont planifiés pour </w:t>
      </w:r>
      <w:r w:rsidRPr="0042639D">
        <w:rPr>
          <w:lang w:val="fr-CA"/>
        </w:rPr>
        <w:t xml:space="preserve">2022 </w:t>
      </w:r>
      <w:r>
        <w:rPr>
          <w:lang w:val="fr-CA"/>
        </w:rPr>
        <w:t>et</w:t>
      </w:r>
      <w:r w:rsidRPr="0042639D">
        <w:rPr>
          <w:lang w:val="fr-CA"/>
        </w:rPr>
        <w:t xml:space="preserve"> 2023.</w:t>
      </w:r>
    </w:p>
    <w:p w14:paraId="36722619" w14:textId="77777777" w:rsidR="006345CD" w:rsidRPr="0042639D" w:rsidRDefault="006345CD" w:rsidP="006345CD">
      <w:pPr>
        <w:rPr>
          <w:iCs/>
          <w:u w:val="single"/>
          <w:lang w:val="fr-CA"/>
        </w:rPr>
      </w:pPr>
      <w:r>
        <w:rPr>
          <w:iCs/>
          <w:u w:val="single"/>
          <w:lang w:val="fr-CA"/>
        </w:rPr>
        <w:t>Unité de mise en œuvre et de surveillance du projet</w:t>
      </w:r>
      <w:r w:rsidRPr="0042639D">
        <w:rPr>
          <w:iCs/>
          <w:u w:val="single"/>
          <w:lang w:val="fr-CA"/>
        </w:rPr>
        <w:t xml:space="preserve"> (</w:t>
      </w:r>
      <w:r>
        <w:rPr>
          <w:iCs/>
          <w:u w:val="single"/>
          <w:lang w:val="fr-CA"/>
        </w:rPr>
        <w:t>UMS</w:t>
      </w:r>
      <w:r w:rsidRPr="0042639D">
        <w:rPr>
          <w:iCs/>
          <w:u w:val="single"/>
          <w:lang w:val="fr-CA"/>
        </w:rPr>
        <w:t>)</w:t>
      </w:r>
    </w:p>
    <w:p w14:paraId="542C6B1E" w14:textId="77777777" w:rsidR="006345CD" w:rsidRPr="0042639D" w:rsidRDefault="006345CD" w:rsidP="006345CD">
      <w:pPr>
        <w:rPr>
          <w:lang w:val="fr-CA"/>
        </w:rPr>
      </w:pPr>
    </w:p>
    <w:p w14:paraId="4716362A" w14:textId="77777777" w:rsidR="006345CD" w:rsidRPr="0042639D" w:rsidRDefault="006345CD" w:rsidP="006345CD">
      <w:pPr>
        <w:pStyle w:val="Heading1"/>
        <w:numPr>
          <w:ilvl w:val="0"/>
          <w:numId w:val="30"/>
        </w:numPr>
        <w:rPr>
          <w:u w:val="single"/>
          <w:lang w:val="fr-CA"/>
        </w:rPr>
      </w:pPr>
      <w:r>
        <w:rPr>
          <w:lang w:val="fr-CA"/>
        </w:rPr>
        <w:t>Les a</w:t>
      </w:r>
      <w:r w:rsidRPr="0042639D">
        <w:rPr>
          <w:lang w:val="fr-CA"/>
        </w:rPr>
        <w:t xml:space="preserve">ctivités </w:t>
      </w:r>
      <w:r>
        <w:rPr>
          <w:lang w:val="fr-CA"/>
        </w:rPr>
        <w:t>entreprises par l’UMS</w:t>
      </w:r>
      <w:r w:rsidRPr="0042639D">
        <w:rPr>
          <w:lang w:val="fr-CA"/>
        </w:rPr>
        <w:t xml:space="preserve"> </w:t>
      </w:r>
      <w:r>
        <w:rPr>
          <w:lang w:val="fr-CA"/>
        </w:rPr>
        <w:t xml:space="preserve">incluaient une nouvelle révision du manuel de mise en œuvre du projet à la suite de l’étude approfondie du projet qui a eu lieu en novembre </w:t>
      </w:r>
      <w:r w:rsidRPr="0042639D">
        <w:rPr>
          <w:lang w:val="fr-CA"/>
        </w:rPr>
        <w:t xml:space="preserve">2021; </w:t>
      </w:r>
      <w:r>
        <w:rPr>
          <w:lang w:val="fr-CA"/>
        </w:rPr>
        <w:t>l’</w:t>
      </w:r>
      <w:r w:rsidRPr="0042639D">
        <w:rPr>
          <w:lang w:val="fr-CA"/>
        </w:rPr>
        <w:t>organi</w:t>
      </w:r>
      <w:r>
        <w:rPr>
          <w:lang w:val="fr-CA"/>
        </w:rPr>
        <w:t>s</w:t>
      </w:r>
      <w:r w:rsidRPr="0042639D">
        <w:rPr>
          <w:lang w:val="fr-CA"/>
        </w:rPr>
        <w:t xml:space="preserve">ation </w:t>
      </w:r>
      <w:r>
        <w:rPr>
          <w:lang w:val="fr-CA"/>
        </w:rPr>
        <w:t xml:space="preserve">de </w:t>
      </w:r>
      <w:r w:rsidRPr="0042639D">
        <w:rPr>
          <w:lang w:val="fr-CA"/>
        </w:rPr>
        <w:t xml:space="preserve">réunions </w:t>
      </w:r>
      <w:r>
        <w:rPr>
          <w:lang w:val="fr-CA"/>
        </w:rPr>
        <w:t>virtuelles avec les entreprise</w:t>
      </w:r>
      <w:r w:rsidRPr="0042639D">
        <w:rPr>
          <w:lang w:val="fr-CA"/>
        </w:rPr>
        <w:t xml:space="preserve">s </w:t>
      </w:r>
      <w:r>
        <w:rPr>
          <w:lang w:val="fr-CA"/>
        </w:rPr>
        <w:t xml:space="preserve">à l’appui de la mise en œuvre de sous-projets et appeler plus d’intérêt pour le </w:t>
      </w:r>
      <w:r w:rsidRPr="0042639D">
        <w:rPr>
          <w:lang w:val="fr-CA"/>
        </w:rPr>
        <w:t xml:space="preserve">projet; </w:t>
      </w:r>
      <w:r>
        <w:rPr>
          <w:lang w:val="fr-CA"/>
        </w:rPr>
        <w:t xml:space="preserve">sensibilisation du </w:t>
      </w:r>
      <w:r w:rsidRPr="0042639D">
        <w:rPr>
          <w:lang w:val="fr-CA"/>
        </w:rPr>
        <w:t xml:space="preserve">public </w:t>
      </w:r>
      <w:r>
        <w:rPr>
          <w:lang w:val="fr-CA"/>
        </w:rPr>
        <w:t xml:space="preserve">à l’assistance financière et technique disponible pour l’élimination des </w:t>
      </w:r>
      <w:r w:rsidRPr="0042639D">
        <w:rPr>
          <w:lang w:val="fr-CA"/>
        </w:rPr>
        <w:t xml:space="preserve">HCFC; </w:t>
      </w:r>
      <w:r>
        <w:rPr>
          <w:lang w:val="fr-CA"/>
        </w:rPr>
        <w:t xml:space="preserve">touche finale du contrat pour le premier audit financier annuel des dépenses du </w:t>
      </w:r>
      <w:r w:rsidRPr="0042639D">
        <w:rPr>
          <w:lang w:val="fr-CA"/>
        </w:rPr>
        <w:t xml:space="preserve">projet; </w:t>
      </w:r>
      <w:r>
        <w:rPr>
          <w:lang w:val="fr-CA"/>
        </w:rPr>
        <w:t>et soutien au rapport de vérification de la consommation de</w:t>
      </w:r>
      <w:r w:rsidRPr="0042639D">
        <w:rPr>
          <w:lang w:val="fr-CA"/>
        </w:rPr>
        <w:t xml:space="preserve"> 2021. A</w:t>
      </w:r>
      <w:r>
        <w:rPr>
          <w:lang w:val="fr-CA"/>
        </w:rPr>
        <w:t xml:space="preserve">u mois de mars </w:t>
      </w:r>
      <w:r w:rsidRPr="0042639D">
        <w:rPr>
          <w:lang w:val="fr-CA"/>
        </w:rPr>
        <w:t xml:space="preserve">2022, </w:t>
      </w:r>
      <w:r>
        <w:rPr>
          <w:lang w:val="fr-CA"/>
        </w:rPr>
        <w:t>les décaissements</w:t>
      </w:r>
      <w:r w:rsidRPr="0042639D">
        <w:rPr>
          <w:lang w:val="fr-CA"/>
        </w:rPr>
        <w:t xml:space="preserve"> </w:t>
      </w:r>
      <w:r>
        <w:rPr>
          <w:lang w:val="fr-CA"/>
        </w:rPr>
        <w:t>pour l’UMS</w:t>
      </w:r>
      <w:r w:rsidRPr="0042639D">
        <w:rPr>
          <w:lang w:val="fr-CA"/>
        </w:rPr>
        <w:t xml:space="preserve"> (359</w:t>
      </w:r>
      <w:r>
        <w:rPr>
          <w:lang w:val="fr-CA"/>
        </w:rPr>
        <w:t> </w:t>
      </w:r>
      <w:r w:rsidRPr="0042639D">
        <w:rPr>
          <w:lang w:val="fr-CA"/>
        </w:rPr>
        <w:t>766</w:t>
      </w:r>
      <w:r>
        <w:rPr>
          <w:lang w:val="fr-CA"/>
        </w:rPr>
        <w:t> $US</w:t>
      </w:r>
      <w:r w:rsidRPr="0042639D">
        <w:rPr>
          <w:lang w:val="fr-CA"/>
        </w:rPr>
        <w:t xml:space="preserve">), </w:t>
      </w:r>
      <w:r>
        <w:rPr>
          <w:lang w:val="fr-CA"/>
        </w:rPr>
        <w:t>composé de cinq employés</w:t>
      </w:r>
      <w:r w:rsidRPr="0042639D">
        <w:rPr>
          <w:lang w:val="fr-CA"/>
        </w:rPr>
        <w:t xml:space="preserve">, </w:t>
      </w:r>
      <w:r>
        <w:rPr>
          <w:lang w:val="fr-CA"/>
        </w:rPr>
        <w:t>comprenaient les salaires du personnel</w:t>
      </w:r>
      <w:r w:rsidRPr="0042639D">
        <w:rPr>
          <w:lang w:val="fr-CA"/>
        </w:rPr>
        <w:t xml:space="preserve"> (285</w:t>
      </w:r>
      <w:r>
        <w:rPr>
          <w:lang w:val="fr-CA"/>
        </w:rPr>
        <w:t> </w:t>
      </w:r>
      <w:r w:rsidRPr="0042639D">
        <w:rPr>
          <w:lang w:val="fr-CA"/>
        </w:rPr>
        <w:t>289</w:t>
      </w:r>
      <w:r>
        <w:rPr>
          <w:lang w:val="fr-CA"/>
        </w:rPr>
        <w:t> $US</w:t>
      </w:r>
      <w:r w:rsidRPr="0042639D">
        <w:rPr>
          <w:lang w:val="fr-CA"/>
        </w:rPr>
        <w:t xml:space="preserve">), </w:t>
      </w:r>
      <w:r>
        <w:rPr>
          <w:lang w:val="fr-CA"/>
        </w:rPr>
        <w:t xml:space="preserve">les </w:t>
      </w:r>
      <w:r w:rsidRPr="0042639D">
        <w:rPr>
          <w:lang w:val="fr-CA"/>
        </w:rPr>
        <w:t>consultants (14</w:t>
      </w:r>
      <w:r>
        <w:rPr>
          <w:lang w:val="fr-CA"/>
        </w:rPr>
        <w:t> </w:t>
      </w:r>
      <w:r w:rsidRPr="0042639D">
        <w:rPr>
          <w:lang w:val="fr-CA"/>
        </w:rPr>
        <w:t>975</w:t>
      </w:r>
      <w:r>
        <w:rPr>
          <w:lang w:val="fr-CA"/>
        </w:rPr>
        <w:t> $US</w:t>
      </w:r>
      <w:r w:rsidRPr="0042639D">
        <w:rPr>
          <w:lang w:val="fr-CA"/>
        </w:rPr>
        <w:t xml:space="preserve">), </w:t>
      </w:r>
      <w:r>
        <w:rPr>
          <w:lang w:val="fr-CA"/>
        </w:rPr>
        <w:t>le matériel de bureau</w:t>
      </w:r>
      <w:r w:rsidRPr="0042639D">
        <w:rPr>
          <w:lang w:val="fr-CA"/>
        </w:rPr>
        <w:t xml:space="preserve"> (14</w:t>
      </w:r>
      <w:r>
        <w:rPr>
          <w:lang w:val="fr-CA"/>
        </w:rPr>
        <w:t> </w:t>
      </w:r>
      <w:r w:rsidRPr="0042639D">
        <w:rPr>
          <w:lang w:val="fr-CA"/>
        </w:rPr>
        <w:t>338</w:t>
      </w:r>
      <w:r>
        <w:rPr>
          <w:lang w:val="fr-CA"/>
        </w:rPr>
        <w:t> $US</w:t>
      </w:r>
      <w:r w:rsidRPr="0042639D">
        <w:rPr>
          <w:lang w:val="fr-CA"/>
        </w:rPr>
        <w:t xml:space="preserve">), </w:t>
      </w:r>
      <w:r>
        <w:rPr>
          <w:lang w:val="fr-CA"/>
        </w:rPr>
        <w:t xml:space="preserve">le logiciel comptable </w:t>
      </w:r>
      <w:r w:rsidRPr="0042639D">
        <w:rPr>
          <w:lang w:val="fr-CA"/>
        </w:rPr>
        <w:t>(2</w:t>
      </w:r>
      <w:r>
        <w:rPr>
          <w:lang w:val="fr-CA"/>
        </w:rPr>
        <w:t> </w:t>
      </w:r>
      <w:r w:rsidRPr="0042639D">
        <w:rPr>
          <w:lang w:val="fr-CA"/>
        </w:rPr>
        <w:t>464</w:t>
      </w:r>
      <w:r>
        <w:rPr>
          <w:lang w:val="fr-CA"/>
        </w:rPr>
        <w:t> $US</w:t>
      </w:r>
      <w:r w:rsidRPr="0042639D">
        <w:rPr>
          <w:lang w:val="fr-CA"/>
        </w:rPr>
        <w:t xml:space="preserve">), </w:t>
      </w:r>
      <w:r>
        <w:rPr>
          <w:lang w:val="fr-CA"/>
        </w:rPr>
        <w:t>les dépenses de fonctionnement</w:t>
      </w:r>
      <w:r w:rsidRPr="0042639D">
        <w:rPr>
          <w:lang w:val="fr-CA"/>
        </w:rPr>
        <w:t xml:space="preserve"> (37</w:t>
      </w:r>
      <w:r>
        <w:rPr>
          <w:lang w:val="fr-CA"/>
        </w:rPr>
        <w:t> </w:t>
      </w:r>
      <w:r w:rsidRPr="0042639D">
        <w:rPr>
          <w:lang w:val="fr-CA"/>
        </w:rPr>
        <w:t>732</w:t>
      </w:r>
      <w:r>
        <w:rPr>
          <w:lang w:val="fr-CA"/>
        </w:rPr>
        <w:t> $US</w:t>
      </w:r>
      <w:r w:rsidRPr="0042639D">
        <w:rPr>
          <w:lang w:val="fr-CA"/>
        </w:rPr>
        <w:t xml:space="preserve">), </w:t>
      </w:r>
      <w:r>
        <w:rPr>
          <w:lang w:val="fr-CA"/>
        </w:rPr>
        <w:t xml:space="preserve">et l’atelier de lancement de la </w:t>
      </w:r>
      <w:r w:rsidRPr="0042639D">
        <w:rPr>
          <w:lang w:val="fr-CA"/>
        </w:rPr>
        <w:t>phase II (4</w:t>
      </w:r>
      <w:r>
        <w:rPr>
          <w:lang w:val="fr-CA"/>
        </w:rPr>
        <w:t> </w:t>
      </w:r>
      <w:r w:rsidRPr="0042639D">
        <w:rPr>
          <w:lang w:val="fr-CA"/>
        </w:rPr>
        <w:t>968</w:t>
      </w:r>
      <w:r>
        <w:rPr>
          <w:lang w:val="fr-CA"/>
        </w:rPr>
        <w:t> $US</w:t>
      </w:r>
      <w:r w:rsidRPr="0042639D">
        <w:rPr>
          <w:lang w:val="fr-CA"/>
        </w:rPr>
        <w:t>).</w:t>
      </w:r>
    </w:p>
    <w:p w14:paraId="3A28C20C" w14:textId="77777777" w:rsidR="006345CD" w:rsidRPr="0042639D" w:rsidRDefault="006345CD" w:rsidP="006345CD">
      <w:pPr>
        <w:keepNext/>
        <w:keepLines/>
        <w:rPr>
          <w:iCs/>
          <w:u w:val="single"/>
          <w:lang w:val="fr-CA"/>
        </w:rPr>
      </w:pPr>
      <w:r>
        <w:rPr>
          <w:iCs/>
          <w:u w:val="single"/>
          <w:lang w:val="fr-CA"/>
        </w:rPr>
        <w:t>Niveau de décaissement des fonds</w:t>
      </w:r>
    </w:p>
    <w:p w14:paraId="48A92990" w14:textId="77777777" w:rsidR="006345CD" w:rsidRPr="0042639D" w:rsidRDefault="006345CD" w:rsidP="006345CD">
      <w:pPr>
        <w:keepNext/>
        <w:keepLines/>
        <w:rPr>
          <w:lang w:val="fr-CA"/>
        </w:rPr>
      </w:pPr>
    </w:p>
    <w:p w14:paraId="1CAC6609" w14:textId="77777777" w:rsidR="006345CD" w:rsidRPr="0042639D" w:rsidRDefault="006345CD" w:rsidP="006345CD">
      <w:pPr>
        <w:pStyle w:val="Heading1"/>
        <w:keepLines/>
        <w:numPr>
          <w:ilvl w:val="0"/>
          <w:numId w:val="30"/>
        </w:numPr>
        <w:rPr>
          <w:lang w:val="fr-CA"/>
        </w:rPr>
      </w:pPr>
      <w:r>
        <w:rPr>
          <w:lang w:val="fr-CA"/>
        </w:rPr>
        <w:t>En mars</w:t>
      </w:r>
      <w:r w:rsidRPr="0042639D">
        <w:rPr>
          <w:lang w:val="fr-CA"/>
        </w:rPr>
        <w:t xml:space="preserve"> 2022, </w:t>
      </w:r>
      <w:r>
        <w:rPr>
          <w:lang w:val="fr-CA"/>
        </w:rPr>
        <w:t xml:space="preserve">sur les </w:t>
      </w:r>
      <w:r w:rsidRPr="0042639D">
        <w:rPr>
          <w:lang w:val="fr-CA"/>
        </w:rPr>
        <w:t>5</w:t>
      </w:r>
      <w:r>
        <w:rPr>
          <w:lang w:val="fr-CA"/>
        </w:rPr>
        <w:t> </w:t>
      </w:r>
      <w:r w:rsidRPr="0042639D">
        <w:rPr>
          <w:lang w:val="fr-CA"/>
        </w:rPr>
        <w:t>883</w:t>
      </w:r>
      <w:r>
        <w:rPr>
          <w:lang w:val="fr-CA"/>
        </w:rPr>
        <w:t> </w:t>
      </w:r>
      <w:r w:rsidRPr="0042639D">
        <w:rPr>
          <w:lang w:val="fr-CA"/>
        </w:rPr>
        <w:t>249</w:t>
      </w:r>
      <w:r>
        <w:rPr>
          <w:lang w:val="fr-CA"/>
        </w:rPr>
        <w:t> $US approuvés jusqu’ici</w:t>
      </w:r>
      <w:r w:rsidRPr="0042639D">
        <w:rPr>
          <w:lang w:val="fr-CA"/>
        </w:rPr>
        <w:t>, 1</w:t>
      </w:r>
      <w:r>
        <w:rPr>
          <w:lang w:val="fr-CA"/>
        </w:rPr>
        <w:t> </w:t>
      </w:r>
      <w:r w:rsidRPr="0042639D">
        <w:rPr>
          <w:lang w:val="fr-CA"/>
        </w:rPr>
        <w:t>902</w:t>
      </w:r>
      <w:r>
        <w:rPr>
          <w:lang w:val="fr-CA"/>
        </w:rPr>
        <w:t> </w:t>
      </w:r>
      <w:r w:rsidRPr="0042639D">
        <w:rPr>
          <w:lang w:val="fr-CA"/>
        </w:rPr>
        <w:t>533</w:t>
      </w:r>
      <w:r>
        <w:rPr>
          <w:lang w:val="fr-CA"/>
        </w:rPr>
        <w:t> $US ont été décaissés</w:t>
      </w:r>
      <w:r w:rsidRPr="0042639D">
        <w:rPr>
          <w:lang w:val="fr-CA"/>
        </w:rPr>
        <w:t xml:space="preserve"> (1</w:t>
      </w:r>
      <w:r>
        <w:rPr>
          <w:lang w:val="fr-CA"/>
        </w:rPr>
        <w:t> </w:t>
      </w:r>
      <w:r w:rsidRPr="0042639D">
        <w:rPr>
          <w:lang w:val="fr-CA"/>
        </w:rPr>
        <w:t>844</w:t>
      </w:r>
      <w:r>
        <w:rPr>
          <w:lang w:val="fr-CA"/>
        </w:rPr>
        <w:t> </w:t>
      </w:r>
      <w:r w:rsidRPr="0042639D">
        <w:rPr>
          <w:lang w:val="fr-CA"/>
        </w:rPr>
        <w:t>495</w:t>
      </w:r>
      <w:r>
        <w:rPr>
          <w:lang w:val="fr-CA"/>
        </w:rPr>
        <w:t> $US</w:t>
      </w:r>
      <w:r w:rsidRPr="0042639D">
        <w:rPr>
          <w:lang w:val="fr-CA"/>
        </w:rPr>
        <w:t xml:space="preserve"> </w:t>
      </w:r>
      <w:r>
        <w:rPr>
          <w:lang w:val="fr-CA"/>
        </w:rPr>
        <w:t xml:space="preserve">pour la </w:t>
      </w:r>
      <w:r w:rsidRPr="0042639D">
        <w:rPr>
          <w:lang w:val="fr-CA"/>
        </w:rPr>
        <w:t xml:space="preserve">Banque Mondiale </w:t>
      </w:r>
      <w:r>
        <w:rPr>
          <w:lang w:val="fr-CA"/>
        </w:rPr>
        <w:t xml:space="preserve">et </w:t>
      </w:r>
      <w:r w:rsidRPr="0042639D">
        <w:rPr>
          <w:lang w:val="fr-CA"/>
        </w:rPr>
        <w:t>58</w:t>
      </w:r>
      <w:r>
        <w:rPr>
          <w:lang w:val="fr-CA"/>
        </w:rPr>
        <w:t> </w:t>
      </w:r>
      <w:r w:rsidRPr="0042639D">
        <w:rPr>
          <w:lang w:val="fr-CA"/>
        </w:rPr>
        <w:t>038</w:t>
      </w:r>
      <w:r>
        <w:rPr>
          <w:lang w:val="fr-CA"/>
        </w:rPr>
        <w:t xml:space="preserve"> $US pour le </w:t>
      </w:r>
      <w:r w:rsidRPr="0042639D">
        <w:rPr>
          <w:lang w:val="fr-CA"/>
        </w:rPr>
        <w:t xml:space="preserve">Gouvernement </w:t>
      </w:r>
      <w:r>
        <w:rPr>
          <w:lang w:val="fr-CA"/>
        </w:rPr>
        <w:t xml:space="preserve">du </w:t>
      </w:r>
      <w:r w:rsidRPr="0042639D">
        <w:rPr>
          <w:lang w:val="fr-CA"/>
        </w:rPr>
        <w:t xml:space="preserve">Japon), </w:t>
      </w:r>
      <w:r>
        <w:rPr>
          <w:lang w:val="fr-CA"/>
        </w:rPr>
        <w:t xml:space="preserve">comme l’indique le </w:t>
      </w:r>
      <w:r w:rsidRPr="0042639D">
        <w:rPr>
          <w:lang w:val="fr-CA"/>
        </w:rPr>
        <w:t>Tableau 12.</w:t>
      </w:r>
    </w:p>
    <w:p w14:paraId="1CD33041" w14:textId="77777777" w:rsidR="006345CD" w:rsidRPr="0042639D" w:rsidRDefault="006345CD" w:rsidP="006345CD">
      <w:pPr>
        <w:rPr>
          <w:b/>
          <w:lang w:val="fr-CA"/>
        </w:rPr>
      </w:pPr>
      <w:r w:rsidRPr="0042639D">
        <w:rPr>
          <w:b/>
          <w:lang w:val="fr-CA"/>
        </w:rPr>
        <w:t xml:space="preserve">Tableau 12. </w:t>
      </w:r>
      <w:r>
        <w:rPr>
          <w:b/>
          <w:lang w:val="fr-CA"/>
        </w:rPr>
        <w:t>Rapport f</w:t>
      </w:r>
      <w:r w:rsidRPr="0042639D">
        <w:rPr>
          <w:b/>
          <w:lang w:val="fr-CA"/>
        </w:rPr>
        <w:t>inanci</w:t>
      </w:r>
      <w:r>
        <w:rPr>
          <w:b/>
          <w:lang w:val="fr-CA"/>
        </w:rPr>
        <w:t xml:space="preserve">er de la </w:t>
      </w:r>
      <w:r w:rsidRPr="0042639D">
        <w:rPr>
          <w:b/>
          <w:lang w:val="fr-CA"/>
        </w:rPr>
        <w:t xml:space="preserve">phase II </w:t>
      </w:r>
      <w:r>
        <w:rPr>
          <w:b/>
          <w:lang w:val="fr-CA"/>
        </w:rPr>
        <w:t>du</w:t>
      </w:r>
      <w:r w:rsidRPr="0042639D">
        <w:rPr>
          <w:b/>
          <w:lang w:val="fr-CA"/>
        </w:rPr>
        <w:t xml:space="preserve"> PGEH </w:t>
      </w:r>
      <w:r>
        <w:rPr>
          <w:b/>
          <w:lang w:val="fr-CA"/>
        </w:rPr>
        <w:t xml:space="preserve">pour le </w:t>
      </w:r>
      <w:r w:rsidRPr="0042639D">
        <w:rPr>
          <w:b/>
          <w:lang w:val="fr-CA"/>
        </w:rPr>
        <w:t>Viet Nam (</w:t>
      </w:r>
      <w:r>
        <w:rPr>
          <w:b/>
          <w:lang w:val="fr-CA"/>
        </w:rPr>
        <w:t>$US</w:t>
      </w:r>
      <w:r w:rsidRPr="0042639D">
        <w:rPr>
          <w:b/>
          <w:lang w:val="fr-CA"/>
        </w:rPr>
        <w:t>)</w:t>
      </w:r>
    </w:p>
    <w:tbl>
      <w:tblPr>
        <w:tblW w:w="9330" w:type="dxa"/>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11"/>
        <w:gridCol w:w="1276"/>
        <w:gridCol w:w="1559"/>
        <w:gridCol w:w="1464"/>
        <w:gridCol w:w="1653"/>
        <w:gridCol w:w="2267"/>
      </w:tblGrid>
      <w:tr w:rsidR="006345CD" w:rsidRPr="0042639D" w14:paraId="17AA413B" w14:textId="77777777" w:rsidTr="006023A6">
        <w:trPr>
          <w:trHeight w:val="187"/>
          <w:tblHeader/>
        </w:trPr>
        <w:tc>
          <w:tcPr>
            <w:tcW w:w="2387" w:type="dxa"/>
            <w:gridSpan w:val="2"/>
            <w:tcBorders>
              <w:top w:val="single" w:sz="4" w:space="0" w:color="auto"/>
              <w:left w:val="single" w:sz="4" w:space="0" w:color="auto"/>
              <w:bottom w:val="single" w:sz="4" w:space="0" w:color="auto"/>
              <w:right w:val="single" w:sz="4" w:space="0" w:color="auto"/>
            </w:tcBorders>
            <w:noWrap/>
            <w:vAlign w:val="center"/>
            <w:hideMark/>
          </w:tcPr>
          <w:p w14:paraId="6CEEDDF1" w14:textId="77777777" w:rsidR="006345CD" w:rsidRPr="0042639D" w:rsidRDefault="006345CD" w:rsidP="006023A6">
            <w:pPr>
              <w:jc w:val="left"/>
              <w:rPr>
                <w:b/>
                <w:bCs/>
                <w:color w:val="000000"/>
                <w:sz w:val="20"/>
                <w:szCs w:val="20"/>
                <w:lang w:val="fr-CA" w:eastAsia="en-CA"/>
              </w:rPr>
            </w:pPr>
            <w:r w:rsidRPr="0042639D">
              <w:rPr>
                <w:b/>
                <w:bCs/>
                <w:color w:val="000000"/>
                <w:sz w:val="20"/>
                <w:szCs w:val="20"/>
                <w:lang w:val="fr-CA" w:eastAsia="en-CA"/>
              </w:rPr>
              <w:t>Tranche</w:t>
            </w:r>
          </w:p>
        </w:tc>
        <w:tc>
          <w:tcPr>
            <w:tcW w:w="1559" w:type="dxa"/>
            <w:tcBorders>
              <w:top w:val="single" w:sz="4" w:space="0" w:color="auto"/>
              <w:left w:val="single" w:sz="4" w:space="0" w:color="auto"/>
              <w:bottom w:val="single" w:sz="4" w:space="0" w:color="auto"/>
              <w:right w:val="single" w:sz="4" w:space="0" w:color="auto"/>
            </w:tcBorders>
            <w:noWrap/>
            <w:vAlign w:val="center"/>
            <w:hideMark/>
          </w:tcPr>
          <w:p w14:paraId="22C54676" w14:textId="77777777" w:rsidR="006345CD" w:rsidRPr="0042639D" w:rsidRDefault="006345CD" w:rsidP="006023A6">
            <w:pPr>
              <w:jc w:val="center"/>
              <w:rPr>
                <w:b/>
                <w:color w:val="000000"/>
                <w:sz w:val="20"/>
                <w:szCs w:val="20"/>
                <w:lang w:val="fr-CA" w:eastAsia="en-CA"/>
              </w:rPr>
            </w:pPr>
            <w:r w:rsidRPr="0042639D">
              <w:rPr>
                <w:b/>
                <w:color w:val="000000"/>
                <w:sz w:val="20"/>
                <w:szCs w:val="20"/>
                <w:lang w:val="fr-CA" w:eastAsia="en-CA"/>
              </w:rPr>
              <w:t>Banque Mondiale</w:t>
            </w:r>
          </w:p>
        </w:tc>
        <w:tc>
          <w:tcPr>
            <w:tcW w:w="1464" w:type="dxa"/>
            <w:tcBorders>
              <w:top w:val="single" w:sz="4" w:space="0" w:color="auto"/>
              <w:left w:val="single" w:sz="4" w:space="0" w:color="auto"/>
              <w:bottom w:val="single" w:sz="4" w:space="0" w:color="auto"/>
              <w:right w:val="single" w:sz="4" w:space="0" w:color="auto"/>
            </w:tcBorders>
            <w:vAlign w:val="center"/>
            <w:hideMark/>
          </w:tcPr>
          <w:p w14:paraId="052CE387" w14:textId="77777777" w:rsidR="006345CD" w:rsidRPr="0042639D" w:rsidRDefault="006345CD" w:rsidP="006023A6">
            <w:pPr>
              <w:jc w:val="center"/>
              <w:rPr>
                <w:b/>
                <w:color w:val="000000"/>
                <w:sz w:val="20"/>
                <w:szCs w:val="20"/>
                <w:lang w:val="fr-CA" w:eastAsia="en-CA"/>
              </w:rPr>
            </w:pPr>
            <w:r w:rsidRPr="0042639D">
              <w:rPr>
                <w:b/>
                <w:color w:val="000000"/>
                <w:sz w:val="20"/>
                <w:szCs w:val="20"/>
                <w:lang w:val="fr-CA" w:eastAsia="en-CA"/>
              </w:rPr>
              <w:t>Japon</w:t>
            </w:r>
          </w:p>
        </w:tc>
        <w:tc>
          <w:tcPr>
            <w:tcW w:w="1653" w:type="dxa"/>
            <w:tcBorders>
              <w:top w:val="single" w:sz="4" w:space="0" w:color="auto"/>
              <w:left w:val="single" w:sz="4" w:space="0" w:color="auto"/>
              <w:bottom w:val="single" w:sz="4" w:space="0" w:color="auto"/>
              <w:right w:val="single" w:sz="4" w:space="0" w:color="auto"/>
            </w:tcBorders>
            <w:noWrap/>
            <w:vAlign w:val="center"/>
            <w:hideMark/>
          </w:tcPr>
          <w:p w14:paraId="26217089" w14:textId="77777777" w:rsidR="006345CD" w:rsidRPr="0042639D" w:rsidRDefault="006345CD" w:rsidP="006023A6">
            <w:pPr>
              <w:jc w:val="center"/>
              <w:rPr>
                <w:b/>
                <w:color w:val="000000"/>
                <w:sz w:val="20"/>
                <w:szCs w:val="20"/>
                <w:lang w:val="fr-CA" w:eastAsia="en-CA"/>
              </w:rPr>
            </w:pPr>
            <w:r w:rsidRPr="0042639D">
              <w:rPr>
                <w:b/>
                <w:color w:val="000000"/>
                <w:sz w:val="20"/>
                <w:szCs w:val="20"/>
                <w:lang w:val="fr-CA" w:eastAsia="en-CA"/>
              </w:rPr>
              <w:t>Total</w:t>
            </w:r>
          </w:p>
        </w:tc>
        <w:tc>
          <w:tcPr>
            <w:tcW w:w="2267" w:type="dxa"/>
            <w:tcBorders>
              <w:top w:val="single" w:sz="4" w:space="0" w:color="auto"/>
              <w:left w:val="single" w:sz="4" w:space="0" w:color="auto"/>
              <w:bottom w:val="single" w:sz="4" w:space="0" w:color="auto"/>
              <w:right w:val="single" w:sz="4" w:space="0" w:color="auto"/>
            </w:tcBorders>
            <w:noWrap/>
            <w:vAlign w:val="center"/>
            <w:hideMark/>
          </w:tcPr>
          <w:p w14:paraId="6BE6FDFA" w14:textId="77777777" w:rsidR="006345CD" w:rsidRPr="0042639D" w:rsidRDefault="006345CD" w:rsidP="006023A6">
            <w:pPr>
              <w:jc w:val="center"/>
              <w:rPr>
                <w:b/>
                <w:color w:val="000000"/>
                <w:sz w:val="20"/>
                <w:szCs w:val="20"/>
                <w:lang w:val="fr-CA" w:eastAsia="en-CA"/>
              </w:rPr>
            </w:pPr>
            <w:r>
              <w:rPr>
                <w:b/>
                <w:color w:val="000000"/>
                <w:sz w:val="20"/>
                <w:szCs w:val="20"/>
                <w:lang w:val="fr-CA" w:eastAsia="en-CA"/>
              </w:rPr>
              <w:t>Taux de décaissement</w:t>
            </w:r>
            <w:r w:rsidRPr="0042639D">
              <w:rPr>
                <w:b/>
                <w:color w:val="000000"/>
                <w:sz w:val="20"/>
                <w:szCs w:val="20"/>
                <w:lang w:val="fr-CA" w:eastAsia="en-CA"/>
              </w:rPr>
              <w:t xml:space="preserve"> (%)</w:t>
            </w:r>
          </w:p>
        </w:tc>
      </w:tr>
      <w:tr w:rsidR="006345CD" w:rsidRPr="0042639D" w14:paraId="65F5072F" w14:textId="77777777" w:rsidTr="006023A6">
        <w:trPr>
          <w:trHeight w:val="179"/>
        </w:trPr>
        <w:tc>
          <w:tcPr>
            <w:tcW w:w="1111" w:type="dxa"/>
            <w:vMerge w:val="restart"/>
            <w:tcBorders>
              <w:top w:val="single" w:sz="4" w:space="0" w:color="auto"/>
              <w:left w:val="single" w:sz="4" w:space="0" w:color="auto"/>
              <w:bottom w:val="single" w:sz="4" w:space="0" w:color="auto"/>
              <w:right w:val="single" w:sz="4" w:space="0" w:color="auto"/>
            </w:tcBorders>
            <w:noWrap/>
            <w:vAlign w:val="center"/>
            <w:hideMark/>
          </w:tcPr>
          <w:p w14:paraId="79952D00" w14:textId="77777777" w:rsidR="006345CD" w:rsidRPr="0042639D" w:rsidRDefault="006345CD" w:rsidP="006023A6">
            <w:pPr>
              <w:jc w:val="left"/>
              <w:rPr>
                <w:bCs/>
                <w:color w:val="000000"/>
                <w:sz w:val="20"/>
                <w:szCs w:val="20"/>
                <w:lang w:val="fr-CA" w:eastAsia="en-CA"/>
              </w:rPr>
            </w:pPr>
            <w:r>
              <w:rPr>
                <w:bCs/>
                <w:color w:val="000000"/>
                <w:sz w:val="20"/>
                <w:szCs w:val="20"/>
                <w:lang w:val="fr-CA" w:eastAsia="en-CA"/>
              </w:rPr>
              <w:t>Première</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6AEC5E85" w14:textId="77777777" w:rsidR="006345CD" w:rsidRPr="0042639D" w:rsidRDefault="006345CD" w:rsidP="006023A6">
            <w:pPr>
              <w:rPr>
                <w:bCs/>
                <w:color w:val="000000"/>
                <w:sz w:val="20"/>
                <w:szCs w:val="20"/>
                <w:lang w:val="fr-CA" w:eastAsia="en-CA"/>
              </w:rPr>
            </w:pPr>
            <w:r>
              <w:rPr>
                <w:bCs/>
                <w:color w:val="000000"/>
                <w:sz w:val="20"/>
                <w:szCs w:val="20"/>
                <w:lang w:val="fr-CA" w:eastAsia="en-CA"/>
              </w:rPr>
              <w:t>Approuvés</w:t>
            </w:r>
            <w:r w:rsidRPr="0042639D">
              <w:rPr>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noWrap/>
            <w:hideMark/>
          </w:tcPr>
          <w:p w14:paraId="08F30889"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302</w:t>
            </w:r>
            <w:r>
              <w:rPr>
                <w:color w:val="000000"/>
                <w:sz w:val="20"/>
                <w:szCs w:val="20"/>
                <w:lang w:val="fr-CA" w:eastAsia="en-CA"/>
              </w:rPr>
              <w:t> </w:t>
            </w:r>
            <w:r w:rsidRPr="0042639D">
              <w:rPr>
                <w:color w:val="000000"/>
                <w:sz w:val="20"/>
                <w:szCs w:val="20"/>
                <w:lang w:val="fr-CA" w:eastAsia="en-CA"/>
              </w:rPr>
              <w:t>737*</w:t>
            </w:r>
          </w:p>
        </w:tc>
        <w:tc>
          <w:tcPr>
            <w:tcW w:w="1464" w:type="dxa"/>
            <w:tcBorders>
              <w:top w:val="single" w:sz="4" w:space="0" w:color="auto"/>
              <w:left w:val="single" w:sz="4" w:space="0" w:color="auto"/>
              <w:bottom w:val="single" w:sz="4" w:space="0" w:color="auto"/>
              <w:right w:val="single" w:sz="4" w:space="0" w:color="auto"/>
            </w:tcBorders>
            <w:hideMark/>
          </w:tcPr>
          <w:p w14:paraId="6E9B18C1"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43</w:t>
            </w:r>
            <w:r>
              <w:rPr>
                <w:color w:val="000000"/>
                <w:sz w:val="20"/>
                <w:szCs w:val="20"/>
                <w:lang w:val="fr-CA" w:eastAsia="en-CA"/>
              </w:rPr>
              <w:t> </w:t>
            </w:r>
            <w:r w:rsidRPr="0042639D">
              <w:rPr>
                <w:color w:val="000000"/>
                <w:sz w:val="20"/>
                <w:szCs w:val="20"/>
                <w:lang w:val="fr-CA" w:eastAsia="en-CA"/>
              </w:rPr>
              <w:t>250</w:t>
            </w:r>
          </w:p>
        </w:tc>
        <w:tc>
          <w:tcPr>
            <w:tcW w:w="1653" w:type="dxa"/>
            <w:tcBorders>
              <w:top w:val="single" w:sz="4" w:space="0" w:color="auto"/>
              <w:left w:val="single" w:sz="4" w:space="0" w:color="auto"/>
              <w:bottom w:val="single" w:sz="4" w:space="0" w:color="auto"/>
              <w:right w:val="single" w:sz="4" w:space="0" w:color="auto"/>
            </w:tcBorders>
            <w:noWrap/>
            <w:hideMark/>
          </w:tcPr>
          <w:p w14:paraId="4F118BA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345</w:t>
            </w:r>
            <w:r>
              <w:rPr>
                <w:color w:val="000000"/>
                <w:sz w:val="20"/>
                <w:szCs w:val="20"/>
                <w:lang w:val="fr-CA" w:eastAsia="en-CA"/>
              </w:rPr>
              <w:t> </w:t>
            </w:r>
            <w:r w:rsidRPr="0042639D">
              <w:rPr>
                <w:color w:val="000000"/>
                <w:sz w:val="20"/>
                <w:szCs w:val="20"/>
                <w:lang w:val="fr-CA" w:eastAsia="en-CA"/>
              </w:rPr>
              <w:t>987*</w:t>
            </w:r>
          </w:p>
        </w:tc>
        <w:tc>
          <w:tcPr>
            <w:tcW w:w="2267" w:type="dxa"/>
            <w:vMerge w:val="restart"/>
            <w:tcBorders>
              <w:top w:val="single" w:sz="4" w:space="0" w:color="auto"/>
              <w:left w:val="single" w:sz="4" w:space="0" w:color="auto"/>
              <w:bottom w:val="single" w:sz="4" w:space="0" w:color="auto"/>
              <w:right w:val="single" w:sz="4" w:space="0" w:color="auto"/>
            </w:tcBorders>
            <w:noWrap/>
            <w:vAlign w:val="center"/>
            <w:hideMark/>
          </w:tcPr>
          <w:p w14:paraId="6F27D3CB" w14:textId="77777777" w:rsidR="006345CD" w:rsidRPr="0042639D" w:rsidRDefault="006345CD" w:rsidP="006023A6">
            <w:pPr>
              <w:jc w:val="center"/>
              <w:rPr>
                <w:color w:val="000000"/>
                <w:sz w:val="20"/>
                <w:szCs w:val="20"/>
                <w:lang w:val="fr-CA" w:eastAsia="en-CA"/>
              </w:rPr>
            </w:pPr>
            <w:r w:rsidRPr="0042639D">
              <w:rPr>
                <w:color w:val="000000"/>
                <w:sz w:val="20"/>
                <w:szCs w:val="20"/>
                <w:lang w:val="fr-CA" w:eastAsia="en-CA"/>
              </w:rPr>
              <w:t>100</w:t>
            </w:r>
          </w:p>
        </w:tc>
      </w:tr>
      <w:tr w:rsidR="006345CD" w:rsidRPr="0042639D" w14:paraId="29F02BDF" w14:textId="77777777" w:rsidTr="006023A6">
        <w:trPr>
          <w:trHeight w:val="215"/>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04217A68" w14:textId="77777777" w:rsidR="006345CD" w:rsidRPr="0042639D" w:rsidRDefault="006345CD" w:rsidP="006023A6">
            <w:pPr>
              <w:jc w:val="left"/>
              <w:rPr>
                <w:bCs/>
                <w:color w:val="000000"/>
                <w:sz w:val="20"/>
                <w:szCs w:val="20"/>
                <w:lang w:val="fr-CA" w:eastAsia="en-CA"/>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1361A394" w14:textId="77777777" w:rsidR="006345CD" w:rsidRPr="0042639D" w:rsidRDefault="006345CD" w:rsidP="006023A6">
            <w:pPr>
              <w:rPr>
                <w:bCs/>
                <w:color w:val="000000"/>
                <w:sz w:val="20"/>
                <w:szCs w:val="20"/>
                <w:lang w:val="fr-CA" w:eastAsia="en-CA"/>
              </w:rPr>
            </w:pPr>
            <w:r>
              <w:rPr>
                <w:bCs/>
                <w:color w:val="000000"/>
                <w:sz w:val="20"/>
                <w:szCs w:val="20"/>
                <w:lang w:val="fr-CA" w:eastAsia="en-CA"/>
              </w:rPr>
              <w:t>Décaissés</w:t>
            </w:r>
            <w:r w:rsidRPr="0042639D">
              <w:rPr>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noWrap/>
            <w:hideMark/>
          </w:tcPr>
          <w:p w14:paraId="23CD164C"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302</w:t>
            </w:r>
            <w:r>
              <w:rPr>
                <w:color w:val="000000"/>
                <w:sz w:val="20"/>
                <w:szCs w:val="20"/>
                <w:lang w:val="fr-CA" w:eastAsia="en-CA"/>
              </w:rPr>
              <w:t> </w:t>
            </w:r>
            <w:r w:rsidRPr="0042639D">
              <w:rPr>
                <w:color w:val="000000"/>
                <w:sz w:val="20"/>
                <w:szCs w:val="20"/>
                <w:lang w:val="fr-CA" w:eastAsia="en-CA"/>
              </w:rPr>
              <w:t>737*</w:t>
            </w:r>
          </w:p>
        </w:tc>
        <w:tc>
          <w:tcPr>
            <w:tcW w:w="1464" w:type="dxa"/>
            <w:tcBorders>
              <w:top w:val="single" w:sz="4" w:space="0" w:color="auto"/>
              <w:left w:val="single" w:sz="4" w:space="0" w:color="auto"/>
              <w:bottom w:val="single" w:sz="4" w:space="0" w:color="auto"/>
              <w:right w:val="single" w:sz="4" w:space="0" w:color="auto"/>
            </w:tcBorders>
            <w:hideMark/>
          </w:tcPr>
          <w:p w14:paraId="0DDD1790"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43</w:t>
            </w:r>
            <w:r>
              <w:rPr>
                <w:color w:val="000000"/>
                <w:sz w:val="20"/>
                <w:szCs w:val="20"/>
                <w:lang w:val="fr-CA" w:eastAsia="en-CA"/>
              </w:rPr>
              <w:t> </w:t>
            </w:r>
            <w:r w:rsidRPr="0042639D">
              <w:rPr>
                <w:color w:val="000000"/>
                <w:sz w:val="20"/>
                <w:szCs w:val="20"/>
                <w:lang w:val="fr-CA" w:eastAsia="en-CA"/>
              </w:rPr>
              <w:t>250</w:t>
            </w:r>
          </w:p>
        </w:tc>
        <w:tc>
          <w:tcPr>
            <w:tcW w:w="1653" w:type="dxa"/>
            <w:tcBorders>
              <w:top w:val="single" w:sz="4" w:space="0" w:color="auto"/>
              <w:left w:val="single" w:sz="4" w:space="0" w:color="auto"/>
              <w:bottom w:val="single" w:sz="4" w:space="0" w:color="auto"/>
              <w:right w:val="single" w:sz="4" w:space="0" w:color="auto"/>
            </w:tcBorders>
            <w:noWrap/>
            <w:hideMark/>
          </w:tcPr>
          <w:p w14:paraId="75DD9A65"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345</w:t>
            </w:r>
            <w:r>
              <w:rPr>
                <w:color w:val="000000"/>
                <w:sz w:val="20"/>
                <w:szCs w:val="20"/>
                <w:lang w:val="fr-CA" w:eastAsia="en-CA"/>
              </w:rPr>
              <w:t> </w:t>
            </w:r>
            <w:r w:rsidRPr="0042639D">
              <w:rPr>
                <w:color w:val="000000"/>
                <w:sz w:val="20"/>
                <w:szCs w:val="20"/>
                <w:lang w:val="fr-CA" w:eastAsia="en-CA"/>
              </w:rPr>
              <w:t>987*</w:t>
            </w: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5178FF8A" w14:textId="77777777" w:rsidR="006345CD" w:rsidRPr="0042639D" w:rsidRDefault="006345CD" w:rsidP="006023A6">
            <w:pPr>
              <w:jc w:val="left"/>
              <w:rPr>
                <w:color w:val="000000"/>
                <w:sz w:val="20"/>
                <w:szCs w:val="20"/>
                <w:lang w:val="fr-CA" w:eastAsia="en-CA"/>
              </w:rPr>
            </w:pPr>
          </w:p>
        </w:tc>
      </w:tr>
      <w:tr w:rsidR="006345CD" w:rsidRPr="0042639D" w14:paraId="50C39448" w14:textId="77777777" w:rsidTr="006023A6">
        <w:trPr>
          <w:trHeight w:val="152"/>
        </w:trPr>
        <w:tc>
          <w:tcPr>
            <w:tcW w:w="1111" w:type="dxa"/>
            <w:vMerge w:val="restart"/>
            <w:tcBorders>
              <w:top w:val="single" w:sz="4" w:space="0" w:color="auto"/>
              <w:left w:val="single" w:sz="4" w:space="0" w:color="auto"/>
              <w:bottom w:val="single" w:sz="4" w:space="0" w:color="auto"/>
              <w:right w:val="single" w:sz="4" w:space="0" w:color="auto"/>
            </w:tcBorders>
            <w:noWrap/>
            <w:vAlign w:val="center"/>
            <w:hideMark/>
          </w:tcPr>
          <w:p w14:paraId="7DCFE293" w14:textId="77777777" w:rsidR="006345CD" w:rsidRPr="0042639D" w:rsidRDefault="006345CD" w:rsidP="006023A6">
            <w:pPr>
              <w:jc w:val="left"/>
              <w:rPr>
                <w:bCs/>
                <w:color w:val="000000"/>
                <w:sz w:val="20"/>
                <w:szCs w:val="20"/>
                <w:lang w:val="fr-CA" w:eastAsia="en-CA"/>
              </w:rPr>
            </w:pPr>
            <w:r>
              <w:rPr>
                <w:bCs/>
                <w:color w:val="000000"/>
                <w:sz w:val="20"/>
                <w:szCs w:val="20"/>
                <w:lang w:val="fr-CA" w:eastAsia="en-CA"/>
              </w:rPr>
              <w:t>Deuxième</w:t>
            </w:r>
            <w:r w:rsidRPr="0042639D">
              <w:rPr>
                <w:bCs/>
                <w:color w:val="000000"/>
                <w:sz w:val="20"/>
                <w:szCs w:val="20"/>
                <w:lang w:val="fr-CA" w:eastAsia="en-CA"/>
              </w:rPr>
              <w:t xml:space="preserve"> </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B341611" w14:textId="77777777" w:rsidR="006345CD" w:rsidRPr="0042639D" w:rsidRDefault="006345CD" w:rsidP="006023A6">
            <w:pPr>
              <w:rPr>
                <w:bCs/>
                <w:color w:val="000000"/>
                <w:sz w:val="20"/>
                <w:szCs w:val="20"/>
                <w:lang w:val="fr-CA" w:eastAsia="en-CA"/>
              </w:rPr>
            </w:pPr>
            <w:r>
              <w:rPr>
                <w:bCs/>
                <w:color w:val="000000"/>
                <w:sz w:val="20"/>
                <w:szCs w:val="20"/>
                <w:lang w:val="fr-CA" w:eastAsia="en-CA"/>
              </w:rPr>
              <w:t>Approuvés</w:t>
            </w:r>
            <w:r w:rsidRPr="0042639D">
              <w:rPr>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noWrap/>
            <w:hideMark/>
          </w:tcPr>
          <w:p w14:paraId="083F5CF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179</w:t>
            </w:r>
            <w:r>
              <w:rPr>
                <w:color w:val="000000"/>
                <w:sz w:val="20"/>
                <w:szCs w:val="20"/>
                <w:lang w:val="fr-CA" w:eastAsia="en-CA"/>
              </w:rPr>
              <w:t> </w:t>
            </w:r>
            <w:r w:rsidRPr="0042639D">
              <w:rPr>
                <w:color w:val="000000"/>
                <w:sz w:val="20"/>
                <w:szCs w:val="20"/>
                <w:lang w:val="fr-CA" w:eastAsia="en-CA"/>
              </w:rPr>
              <w:t>193</w:t>
            </w:r>
          </w:p>
        </w:tc>
        <w:tc>
          <w:tcPr>
            <w:tcW w:w="1464" w:type="dxa"/>
            <w:tcBorders>
              <w:top w:val="single" w:sz="4" w:space="0" w:color="auto"/>
              <w:left w:val="single" w:sz="4" w:space="0" w:color="auto"/>
              <w:bottom w:val="single" w:sz="4" w:space="0" w:color="auto"/>
              <w:right w:val="single" w:sz="4" w:space="0" w:color="auto"/>
            </w:tcBorders>
            <w:hideMark/>
          </w:tcPr>
          <w:p w14:paraId="01DE8B49"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163</w:t>
            </w:r>
            <w:r>
              <w:rPr>
                <w:color w:val="000000"/>
                <w:sz w:val="20"/>
                <w:szCs w:val="20"/>
                <w:lang w:val="fr-CA" w:eastAsia="en-CA"/>
              </w:rPr>
              <w:t> </w:t>
            </w:r>
            <w:r w:rsidRPr="0042639D">
              <w:rPr>
                <w:color w:val="000000"/>
                <w:sz w:val="20"/>
                <w:szCs w:val="20"/>
                <w:lang w:val="fr-CA" w:eastAsia="en-CA"/>
              </w:rPr>
              <w:t>980</w:t>
            </w:r>
          </w:p>
        </w:tc>
        <w:tc>
          <w:tcPr>
            <w:tcW w:w="1653" w:type="dxa"/>
            <w:tcBorders>
              <w:top w:val="single" w:sz="4" w:space="0" w:color="auto"/>
              <w:left w:val="single" w:sz="4" w:space="0" w:color="auto"/>
              <w:bottom w:val="single" w:sz="4" w:space="0" w:color="auto"/>
              <w:right w:val="single" w:sz="4" w:space="0" w:color="auto"/>
            </w:tcBorders>
            <w:noWrap/>
            <w:hideMark/>
          </w:tcPr>
          <w:p w14:paraId="5192264B"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343</w:t>
            </w:r>
            <w:r>
              <w:rPr>
                <w:color w:val="000000"/>
                <w:sz w:val="20"/>
                <w:szCs w:val="20"/>
                <w:lang w:val="fr-CA" w:eastAsia="en-CA"/>
              </w:rPr>
              <w:t> </w:t>
            </w:r>
            <w:r w:rsidRPr="0042639D">
              <w:rPr>
                <w:color w:val="000000"/>
                <w:sz w:val="20"/>
                <w:szCs w:val="20"/>
                <w:lang w:val="fr-CA" w:eastAsia="en-CA"/>
              </w:rPr>
              <w:t>173</w:t>
            </w:r>
          </w:p>
        </w:tc>
        <w:tc>
          <w:tcPr>
            <w:tcW w:w="2267" w:type="dxa"/>
            <w:vMerge w:val="restart"/>
            <w:tcBorders>
              <w:top w:val="single" w:sz="4" w:space="0" w:color="auto"/>
              <w:left w:val="single" w:sz="4" w:space="0" w:color="auto"/>
              <w:bottom w:val="single" w:sz="4" w:space="0" w:color="auto"/>
              <w:right w:val="single" w:sz="4" w:space="0" w:color="auto"/>
            </w:tcBorders>
            <w:noWrap/>
            <w:vAlign w:val="center"/>
            <w:hideMark/>
          </w:tcPr>
          <w:p w14:paraId="6ED3DC9E" w14:textId="77777777" w:rsidR="006345CD" w:rsidRPr="0042639D" w:rsidRDefault="006345CD" w:rsidP="006023A6">
            <w:pPr>
              <w:jc w:val="center"/>
              <w:rPr>
                <w:color w:val="000000"/>
                <w:sz w:val="20"/>
                <w:szCs w:val="20"/>
                <w:lang w:val="fr-CA" w:eastAsia="en-CA"/>
              </w:rPr>
            </w:pPr>
            <w:r w:rsidRPr="0042639D">
              <w:rPr>
                <w:color w:val="000000"/>
                <w:sz w:val="20"/>
                <w:szCs w:val="20"/>
                <w:lang w:val="fr-CA" w:eastAsia="en-CA"/>
              </w:rPr>
              <w:t>59</w:t>
            </w:r>
          </w:p>
        </w:tc>
      </w:tr>
      <w:tr w:rsidR="006345CD" w:rsidRPr="0042639D" w14:paraId="094B063D" w14:textId="77777777" w:rsidTr="006023A6">
        <w:trPr>
          <w:trHeight w:val="179"/>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7A1C63CC" w14:textId="77777777" w:rsidR="006345CD" w:rsidRPr="0042639D" w:rsidRDefault="006345CD" w:rsidP="006023A6">
            <w:pPr>
              <w:jc w:val="left"/>
              <w:rPr>
                <w:bCs/>
                <w:color w:val="000000"/>
                <w:sz w:val="20"/>
                <w:szCs w:val="20"/>
                <w:lang w:val="fr-CA" w:eastAsia="en-CA"/>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2E2D7A8D" w14:textId="77777777" w:rsidR="006345CD" w:rsidRPr="0042639D" w:rsidRDefault="006345CD" w:rsidP="006023A6">
            <w:pPr>
              <w:rPr>
                <w:bCs/>
                <w:color w:val="000000"/>
                <w:sz w:val="20"/>
                <w:szCs w:val="20"/>
                <w:lang w:val="fr-CA" w:eastAsia="en-CA"/>
              </w:rPr>
            </w:pPr>
            <w:r>
              <w:rPr>
                <w:bCs/>
                <w:color w:val="000000"/>
                <w:sz w:val="20"/>
                <w:szCs w:val="20"/>
                <w:lang w:val="fr-CA" w:eastAsia="en-CA"/>
              </w:rPr>
              <w:t>Décaissés</w:t>
            </w:r>
            <w:r w:rsidRPr="0042639D">
              <w:rPr>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noWrap/>
            <w:hideMark/>
          </w:tcPr>
          <w:p w14:paraId="21C34D5D"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363</w:t>
            </w:r>
            <w:r>
              <w:rPr>
                <w:color w:val="000000"/>
                <w:sz w:val="20"/>
                <w:szCs w:val="20"/>
                <w:lang w:val="fr-CA" w:eastAsia="en-CA"/>
              </w:rPr>
              <w:t> </w:t>
            </w:r>
            <w:r w:rsidRPr="0042639D">
              <w:rPr>
                <w:color w:val="000000"/>
                <w:sz w:val="20"/>
                <w:szCs w:val="20"/>
                <w:lang w:val="fr-CA" w:eastAsia="en-CA"/>
              </w:rPr>
              <w:t>060</w:t>
            </w:r>
          </w:p>
        </w:tc>
        <w:tc>
          <w:tcPr>
            <w:tcW w:w="1464" w:type="dxa"/>
            <w:tcBorders>
              <w:top w:val="single" w:sz="4" w:space="0" w:color="auto"/>
              <w:left w:val="single" w:sz="4" w:space="0" w:color="auto"/>
              <w:bottom w:val="single" w:sz="4" w:space="0" w:color="auto"/>
              <w:right w:val="single" w:sz="4" w:space="0" w:color="auto"/>
            </w:tcBorders>
            <w:hideMark/>
          </w:tcPr>
          <w:p w14:paraId="5C7BAFF7"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14</w:t>
            </w:r>
            <w:r>
              <w:rPr>
                <w:color w:val="000000"/>
                <w:sz w:val="20"/>
                <w:szCs w:val="20"/>
                <w:lang w:val="fr-CA" w:eastAsia="en-CA"/>
              </w:rPr>
              <w:t> </w:t>
            </w:r>
            <w:r w:rsidRPr="0042639D">
              <w:rPr>
                <w:color w:val="000000"/>
                <w:sz w:val="20"/>
                <w:szCs w:val="20"/>
                <w:lang w:val="fr-CA" w:eastAsia="en-CA"/>
              </w:rPr>
              <w:t>788</w:t>
            </w:r>
          </w:p>
        </w:tc>
        <w:tc>
          <w:tcPr>
            <w:tcW w:w="1653" w:type="dxa"/>
            <w:tcBorders>
              <w:top w:val="single" w:sz="4" w:space="0" w:color="auto"/>
              <w:left w:val="single" w:sz="4" w:space="0" w:color="auto"/>
              <w:bottom w:val="single" w:sz="4" w:space="0" w:color="auto"/>
              <w:right w:val="single" w:sz="4" w:space="0" w:color="auto"/>
            </w:tcBorders>
            <w:noWrap/>
            <w:hideMark/>
          </w:tcPr>
          <w:p w14:paraId="101A8601"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377</w:t>
            </w:r>
            <w:r>
              <w:rPr>
                <w:color w:val="000000"/>
                <w:sz w:val="20"/>
                <w:szCs w:val="20"/>
                <w:lang w:val="fr-CA" w:eastAsia="en-CA"/>
              </w:rPr>
              <w:t> </w:t>
            </w:r>
            <w:r w:rsidRPr="0042639D">
              <w:rPr>
                <w:color w:val="000000"/>
                <w:sz w:val="20"/>
                <w:szCs w:val="20"/>
                <w:lang w:val="fr-CA" w:eastAsia="en-CA"/>
              </w:rPr>
              <w:t>848</w:t>
            </w: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64937DB9" w14:textId="77777777" w:rsidR="006345CD" w:rsidRPr="0042639D" w:rsidRDefault="006345CD" w:rsidP="006023A6">
            <w:pPr>
              <w:jc w:val="left"/>
              <w:rPr>
                <w:color w:val="000000"/>
                <w:sz w:val="20"/>
                <w:szCs w:val="20"/>
                <w:lang w:val="fr-CA" w:eastAsia="en-CA"/>
              </w:rPr>
            </w:pPr>
          </w:p>
        </w:tc>
      </w:tr>
      <w:tr w:rsidR="006345CD" w:rsidRPr="0042639D" w14:paraId="13326BEF" w14:textId="77777777" w:rsidTr="006023A6">
        <w:trPr>
          <w:trHeight w:val="125"/>
        </w:trPr>
        <w:tc>
          <w:tcPr>
            <w:tcW w:w="1111" w:type="dxa"/>
            <w:vMerge w:val="restart"/>
            <w:tcBorders>
              <w:top w:val="single" w:sz="4" w:space="0" w:color="auto"/>
              <w:left w:val="single" w:sz="4" w:space="0" w:color="auto"/>
              <w:bottom w:val="single" w:sz="4" w:space="0" w:color="auto"/>
              <w:right w:val="single" w:sz="4" w:space="0" w:color="auto"/>
            </w:tcBorders>
            <w:noWrap/>
            <w:vAlign w:val="center"/>
            <w:hideMark/>
          </w:tcPr>
          <w:p w14:paraId="1E3B1872" w14:textId="77777777" w:rsidR="006345CD" w:rsidRPr="0042639D" w:rsidRDefault="006345CD" w:rsidP="006023A6">
            <w:pPr>
              <w:jc w:val="left"/>
              <w:rPr>
                <w:bCs/>
                <w:color w:val="000000"/>
                <w:sz w:val="20"/>
                <w:szCs w:val="20"/>
                <w:lang w:val="fr-CA" w:eastAsia="en-CA"/>
              </w:rPr>
            </w:pPr>
            <w:r w:rsidRPr="0042639D">
              <w:rPr>
                <w:bCs/>
                <w:color w:val="000000"/>
                <w:sz w:val="20"/>
                <w:szCs w:val="20"/>
                <w:lang w:val="fr-CA" w:eastAsia="en-CA"/>
              </w:rPr>
              <w:t>T</w:t>
            </w:r>
            <w:r>
              <w:rPr>
                <w:bCs/>
                <w:color w:val="000000"/>
                <w:sz w:val="20"/>
                <w:szCs w:val="20"/>
                <w:lang w:val="fr-CA" w:eastAsia="en-CA"/>
              </w:rPr>
              <w:t>roisième</w:t>
            </w:r>
            <w:r w:rsidRPr="0042639D">
              <w:rPr>
                <w:bCs/>
                <w:color w:val="000000"/>
                <w:sz w:val="20"/>
                <w:szCs w:val="20"/>
                <w:lang w:val="fr-CA" w:eastAsia="en-CA"/>
              </w:rPr>
              <w:t xml:space="preserve"> </w:t>
            </w: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C258F6D" w14:textId="77777777" w:rsidR="006345CD" w:rsidRPr="0042639D" w:rsidRDefault="006345CD" w:rsidP="006023A6">
            <w:pPr>
              <w:rPr>
                <w:bCs/>
                <w:color w:val="000000"/>
                <w:sz w:val="20"/>
                <w:szCs w:val="20"/>
                <w:lang w:val="fr-CA" w:eastAsia="en-CA"/>
              </w:rPr>
            </w:pPr>
            <w:r>
              <w:rPr>
                <w:bCs/>
                <w:color w:val="000000"/>
                <w:sz w:val="20"/>
                <w:szCs w:val="20"/>
                <w:lang w:val="fr-CA" w:eastAsia="en-CA"/>
              </w:rPr>
              <w:t>Approuvés</w:t>
            </w:r>
            <w:r w:rsidRPr="0042639D">
              <w:rPr>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noWrap/>
            <w:hideMark/>
          </w:tcPr>
          <w:p w14:paraId="27FC236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w:t>
            </w:r>
            <w:r>
              <w:rPr>
                <w:color w:val="000000"/>
                <w:sz w:val="20"/>
                <w:szCs w:val="20"/>
                <w:lang w:val="fr-CA" w:eastAsia="en-CA"/>
              </w:rPr>
              <w:t> </w:t>
            </w:r>
            <w:r w:rsidRPr="0042639D">
              <w:rPr>
                <w:color w:val="000000"/>
                <w:sz w:val="20"/>
                <w:szCs w:val="20"/>
                <w:lang w:val="fr-CA" w:eastAsia="en-CA"/>
              </w:rPr>
              <w:t>167</w:t>
            </w:r>
            <w:r>
              <w:rPr>
                <w:color w:val="000000"/>
                <w:sz w:val="20"/>
                <w:szCs w:val="20"/>
                <w:lang w:val="fr-CA" w:eastAsia="en-CA"/>
              </w:rPr>
              <w:t> </w:t>
            </w:r>
            <w:r w:rsidRPr="0042639D">
              <w:rPr>
                <w:color w:val="000000"/>
                <w:sz w:val="20"/>
                <w:szCs w:val="20"/>
                <w:lang w:val="fr-CA" w:eastAsia="en-CA"/>
              </w:rPr>
              <w:t>689*</w:t>
            </w:r>
          </w:p>
        </w:tc>
        <w:tc>
          <w:tcPr>
            <w:tcW w:w="1464" w:type="dxa"/>
            <w:tcBorders>
              <w:top w:val="single" w:sz="4" w:space="0" w:color="auto"/>
              <w:left w:val="single" w:sz="4" w:space="0" w:color="auto"/>
              <w:bottom w:val="single" w:sz="4" w:space="0" w:color="auto"/>
              <w:right w:val="single" w:sz="4" w:space="0" w:color="auto"/>
            </w:tcBorders>
            <w:hideMark/>
          </w:tcPr>
          <w:p w14:paraId="0EE752A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26</w:t>
            </w:r>
            <w:r>
              <w:rPr>
                <w:color w:val="000000"/>
                <w:sz w:val="20"/>
                <w:szCs w:val="20"/>
                <w:lang w:val="fr-CA" w:eastAsia="en-CA"/>
              </w:rPr>
              <w:t> </w:t>
            </w:r>
            <w:r w:rsidRPr="0042639D">
              <w:rPr>
                <w:color w:val="000000"/>
                <w:sz w:val="20"/>
                <w:szCs w:val="20"/>
                <w:lang w:val="fr-CA" w:eastAsia="en-CA"/>
              </w:rPr>
              <w:t>400</w:t>
            </w:r>
          </w:p>
        </w:tc>
        <w:tc>
          <w:tcPr>
            <w:tcW w:w="1653" w:type="dxa"/>
            <w:tcBorders>
              <w:top w:val="single" w:sz="4" w:space="0" w:color="auto"/>
              <w:left w:val="single" w:sz="4" w:space="0" w:color="auto"/>
              <w:bottom w:val="single" w:sz="4" w:space="0" w:color="auto"/>
              <w:right w:val="single" w:sz="4" w:space="0" w:color="auto"/>
            </w:tcBorders>
            <w:noWrap/>
            <w:hideMark/>
          </w:tcPr>
          <w:p w14:paraId="5B5BA763"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w:t>
            </w:r>
            <w:r>
              <w:rPr>
                <w:color w:val="000000"/>
                <w:sz w:val="20"/>
                <w:szCs w:val="20"/>
                <w:lang w:val="fr-CA" w:eastAsia="en-CA"/>
              </w:rPr>
              <w:t> </w:t>
            </w:r>
            <w:r w:rsidRPr="0042639D">
              <w:rPr>
                <w:color w:val="000000"/>
                <w:sz w:val="20"/>
                <w:szCs w:val="20"/>
                <w:lang w:val="fr-CA" w:eastAsia="en-CA"/>
              </w:rPr>
              <w:t>194</w:t>
            </w:r>
            <w:r>
              <w:rPr>
                <w:color w:val="000000"/>
                <w:sz w:val="20"/>
                <w:szCs w:val="20"/>
                <w:lang w:val="fr-CA" w:eastAsia="en-CA"/>
              </w:rPr>
              <w:t> </w:t>
            </w:r>
            <w:r w:rsidRPr="0042639D">
              <w:rPr>
                <w:color w:val="000000"/>
                <w:sz w:val="20"/>
                <w:szCs w:val="20"/>
                <w:lang w:val="fr-CA" w:eastAsia="en-CA"/>
              </w:rPr>
              <w:t>089*</w:t>
            </w:r>
          </w:p>
        </w:tc>
        <w:tc>
          <w:tcPr>
            <w:tcW w:w="2267" w:type="dxa"/>
            <w:vMerge w:val="restart"/>
            <w:tcBorders>
              <w:top w:val="single" w:sz="4" w:space="0" w:color="auto"/>
              <w:left w:val="single" w:sz="4" w:space="0" w:color="auto"/>
              <w:bottom w:val="single" w:sz="4" w:space="0" w:color="auto"/>
              <w:right w:val="single" w:sz="4" w:space="0" w:color="auto"/>
            </w:tcBorders>
            <w:noWrap/>
            <w:vAlign w:val="center"/>
            <w:hideMark/>
          </w:tcPr>
          <w:p w14:paraId="66317A6C" w14:textId="77777777" w:rsidR="006345CD" w:rsidRPr="0042639D" w:rsidRDefault="006345CD" w:rsidP="006023A6">
            <w:pPr>
              <w:jc w:val="center"/>
              <w:rPr>
                <w:color w:val="000000"/>
                <w:sz w:val="20"/>
                <w:szCs w:val="20"/>
                <w:lang w:val="fr-CA" w:eastAsia="en-CA"/>
              </w:rPr>
            </w:pPr>
            <w:r w:rsidRPr="0042639D">
              <w:rPr>
                <w:color w:val="000000"/>
                <w:sz w:val="20"/>
                <w:szCs w:val="20"/>
                <w:lang w:val="fr-CA" w:eastAsia="en-CA"/>
              </w:rPr>
              <w:t>6</w:t>
            </w:r>
          </w:p>
        </w:tc>
      </w:tr>
      <w:tr w:rsidR="006345CD" w:rsidRPr="0042639D" w14:paraId="04737ED1" w14:textId="77777777" w:rsidTr="006023A6">
        <w:trPr>
          <w:trHeight w:val="58"/>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10637C7B" w14:textId="77777777" w:rsidR="006345CD" w:rsidRPr="0042639D" w:rsidRDefault="006345CD" w:rsidP="006023A6">
            <w:pPr>
              <w:jc w:val="left"/>
              <w:rPr>
                <w:bCs/>
                <w:color w:val="000000"/>
                <w:sz w:val="20"/>
                <w:szCs w:val="20"/>
                <w:lang w:val="fr-CA" w:eastAsia="en-CA"/>
              </w:rPr>
            </w:pPr>
          </w:p>
        </w:tc>
        <w:tc>
          <w:tcPr>
            <w:tcW w:w="1276" w:type="dxa"/>
            <w:tcBorders>
              <w:top w:val="single" w:sz="4" w:space="0" w:color="auto"/>
              <w:left w:val="single" w:sz="4" w:space="0" w:color="auto"/>
              <w:bottom w:val="single" w:sz="4" w:space="0" w:color="auto"/>
              <w:right w:val="single" w:sz="4" w:space="0" w:color="auto"/>
            </w:tcBorders>
            <w:noWrap/>
            <w:vAlign w:val="center"/>
            <w:hideMark/>
          </w:tcPr>
          <w:p w14:paraId="53AB2731" w14:textId="77777777" w:rsidR="006345CD" w:rsidRPr="0042639D" w:rsidRDefault="006345CD" w:rsidP="006023A6">
            <w:pPr>
              <w:rPr>
                <w:bCs/>
                <w:color w:val="000000"/>
                <w:sz w:val="20"/>
                <w:szCs w:val="20"/>
                <w:lang w:val="fr-CA" w:eastAsia="en-CA"/>
              </w:rPr>
            </w:pPr>
            <w:r>
              <w:rPr>
                <w:bCs/>
                <w:color w:val="000000"/>
                <w:sz w:val="20"/>
                <w:szCs w:val="20"/>
                <w:lang w:val="fr-CA" w:eastAsia="en-CA"/>
              </w:rPr>
              <w:t>Décaissés</w:t>
            </w:r>
            <w:r w:rsidRPr="0042639D">
              <w:rPr>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noWrap/>
            <w:hideMark/>
          </w:tcPr>
          <w:p w14:paraId="680B5897"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178</w:t>
            </w:r>
            <w:r>
              <w:rPr>
                <w:color w:val="000000"/>
                <w:sz w:val="20"/>
                <w:szCs w:val="20"/>
                <w:lang w:val="fr-CA" w:eastAsia="en-CA"/>
              </w:rPr>
              <w:t> </w:t>
            </w:r>
            <w:r w:rsidRPr="0042639D">
              <w:rPr>
                <w:color w:val="000000"/>
                <w:sz w:val="20"/>
                <w:szCs w:val="20"/>
                <w:lang w:val="fr-CA" w:eastAsia="en-CA"/>
              </w:rPr>
              <w:t>698</w:t>
            </w:r>
          </w:p>
        </w:tc>
        <w:tc>
          <w:tcPr>
            <w:tcW w:w="1464" w:type="dxa"/>
            <w:tcBorders>
              <w:top w:val="single" w:sz="4" w:space="0" w:color="auto"/>
              <w:left w:val="single" w:sz="4" w:space="0" w:color="auto"/>
              <w:bottom w:val="single" w:sz="4" w:space="0" w:color="auto"/>
              <w:right w:val="single" w:sz="4" w:space="0" w:color="auto"/>
            </w:tcBorders>
            <w:hideMark/>
          </w:tcPr>
          <w:p w14:paraId="1652983D"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0</w:t>
            </w:r>
          </w:p>
        </w:tc>
        <w:tc>
          <w:tcPr>
            <w:tcW w:w="1653" w:type="dxa"/>
            <w:tcBorders>
              <w:top w:val="single" w:sz="4" w:space="0" w:color="auto"/>
              <w:left w:val="single" w:sz="4" w:space="0" w:color="auto"/>
              <w:bottom w:val="single" w:sz="4" w:space="0" w:color="auto"/>
              <w:right w:val="single" w:sz="4" w:space="0" w:color="auto"/>
            </w:tcBorders>
            <w:noWrap/>
            <w:hideMark/>
          </w:tcPr>
          <w:p w14:paraId="79A7078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178</w:t>
            </w:r>
            <w:r>
              <w:rPr>
                <w:color w:val="000000"/>
                <w:sz w:val="20"/>
                <w:szCs w:val="20"/>
                <w:lang w:val="fr-CA" w:eastAsia="en-CA"/>
              </w:rPr>
              <w:t> </w:t>
            </w:r>
            <w:r w:rsidRPr="0042639D">
              <w:rPr>
                <w:color w:val="000000"/>
                <w:sz w:val="20"/>
                <w:szCs w:val="20"/>
                <w:lang w:val="fr-CA" w:eastAsia="en-CA"/>
              </w:rPr>
              <w:t>698</w:t>
            </w: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17D93FDB" w14:textId="77777777" w:rsidR="006345CD" w:rsidRPr="0042639D" w:rsidRDefault="006345CD" w:rsidP="006023A6">
            <w:pPr>
              <w:jc w:val="left"/>
              <w:rPr>
                <w:color w:val="000000"/>
                <w:sz w:val="20"/>
                <w:szCs w:val="20"/>
                <w:lang w:val="fr-CA" w:eastAsia="en-CA"/>
              </w:rPr>
            </w:pPr>
          </w:p>
        </w:tc>
      </w:tr>
      <w:tr w:rsidR="006345CD" w:rsidRPr="0042639D" w14:paraId="6CA59582" w14:textId="77777777" w:rsidTr="006023A6">
        <w:trPr>
          <w:trHeight w:val="58"/>
        </w:trPr>
        <w:tc>
          <w:tcPr>
            <w:tcW w:w="1111" w:type="dxa"/>
            <w:vMerge w:val="restart"/>
            <w:tcBorders>
              <w:top w:val="single" w:sz="4" w:space="0" w:color="auto"/>
              <w:left w:val="single" w:sz="4" w:space="0" w:color="auto"/>
              <w:bottom w:val="single" w:sz="4" w:space="0" w:color="auto"/>
              <w:right w:val="single" w:sz="4" w:space="0" w:color="auto"/>
            </w:tcBorders>
            <w:vAlign w:val="center"/>
            <w:hideMark/>
          </w:tcPr>
          <w:p w14:paraId="5DD4CBA0" w14:textId="77777777" w:rsidR="006345CD" w:rsidRPr="0042639D" w:rsidRDefault="006345CD" w:rsidP="006023A6">
            <w:pPr>
              <w:jc w:val="left"/>
              <w:rPr>
                <w:b/>
                <w:bCs/>
                <w:color w:val="000000"/>
                <w:sz w:val="20"/>
                <w:szCs w:val="20"/>
                <w:lang w:val="fr-CA" w:eastAsia="en-CA"/>
              </w:rPr>
            </w:pPr>
            <w:r w:rsidRPr="0042639D">
              <w:rPr>
                <w:b/>
                <w:bCs/>
                <w:color w:val="000000"/>
                <w:sz w:val="20"/>
                <w:szCs w:val="20"/>
                <w:lang w:val="fr-CA" w:eastAsia="en-CA"/>
              </w:rPr>
              <w:t>Total</w:t>
            </w:r>
          </w:p>
        </w:tc>
        <w:tc>
          <w:tcPr>
            <w:tcW w:w="1276" w:type="dxa"/>
            <w:tcBorders>
              <w:top w:val="single" w:sz="4" w:space="0" w:color="auto"/>
              <w:left w:val="single" w:sz="4" w:space="0" w:color="auto"/>
              <w:bottom w:val="single" w:sz="4" w:space="0" w:color="auto"/>
              <w:right w:val="single" w:sz="4" w:space="0" w:color="auto"/>
            </w:tcBorders>
            <w:vAlign w:val="center"/>
            <w:hideMark/>
          </w:tcPr>
          <w:p w14:paraId="47949FB4" w14:textId="77777777" w:rsidR="006345CD" w:rsidRPr="0042639D" w:rsidRDefault="006345CD" w:rsidP="006023A6">
            <w:pPr>
              <w:rPr>
                <w:b/>
                <w:bCs/>
                <w:color w:val="000000"/>
                <w:sz w:val="20"/>
                <w:szCs w:val="20"/>
                <w:lang w:val="fr-CA" w:eastAsia="en-CA"/>
              </w:rPr>
            </w:pPr>
            <w:r>
              <w:rPr>
                <w:b/>
                <w:bCs/>
                <w:color w:val="000000"/>
                <w:sz w:val="20"/>
                <w:szCs w:val="20"/>
                <w:lang w:val="fr-CA" w:eastAsia="en-CA"/>
              </w:rPr>
              <w:t>Approuvés</w:t>
            </w:r>
            <w:r w:rsidRPr="0042639D">
              <w:rPr>
                <w:b/>
                <w:bCs/>
                <w:color w:val="000000"/>
                <w:sz w:val="20"/>
                <w:szCs w:val="20"/>
                <w:lang w:val="fr-CA" w:eastAsia="en-CA"/>
              </w:rPr>
              <w:t xml:space="preserve"> </w:t>
            </w:r>
          </w:p>
        </w:tc>
        <w:tc>
          <w:tcPr>
            <w:tcW w:w="1559" w:type="dxa"/>
            <w:tcBorders>
              <w:top w:val="single" w:sz="4" w:space="0" w:color="auto"/>
              <w:left w:val="single" w:sz="4" w:space="0" w:color="auto"/>
              <w:bottom w:val="single" w:sz="4" w:space="0" w:color="auto"/>
              <w:right w:val="single" w:sz="4" w:space="0" w:color="auto"/>
            </w:tcBorders>
            <w:hideMark/>
          </w:tcPr>
          <w:p w14:paraId="2BBF896B" w14:textId="77777777" w:rsidR="006345CD" w:rsidRPr="0042639D" w:rsidRDefault="006345CD" w:rsidP="006023A6">
            <w:pPr>
              <w:jc w:val="right"/>
              <w:rPr>
                <w:b/>
                <w:color w:val="000000"/>
                <w:sz w:val="20"/>
                <w:szCs w:val="20"/>
                <w:lang w:val="fr-CA" w:eastAsia="en-CA"/>
              </w:rPr>
            </w:pPr>
            <w:r w:rsidRPr="0042639D">
              <w:rPr>
                <w:b/>
                <w:color w:val="000000"/>
                <w:sz w:val="20"/>
                <w:szCs w:val="20"/>
                <w:lang w:val="fr-CA" w:eastAsia="en-CA"/>
              </w:rPr>
              <w:t>5</w:t>
            </w:r>
            <w:r>
              <w:rPr>
                <w:b/>
                <w:color w:val="000000"/>
                <w:sz w:val="20"/>
                <w:szCs w:val="20"/>
                <w:lang w:val="fr-CA" w:eastAsia="en-CA"/>
              </w:rPr>
              <w:t> </w:t>
            </w:r>
            <w:r w:rsidRPr="0042639D">
              <w:rPr>
                <w:b/>
                <w:color w:val="000000"/>
                <w:sz w:val="20"/>
                <w:szCs w:val="20"/>
                <w:lang w:val="fr-CA" w:eastAsia="en-CA"/>
              </w:rPr>
              <w:t>649</w:t>
            </w:r>
            <w:r>
              <w:rPr>
                <w:b/>
                <w:color w:val="000000"/>
                <w:sz w:val="20"/>
                <w:szCs w:val="20"/>
                <w:lang w:val="fr-CA" w:eastAsia="en-CA"/>
              </w:rPr>
              <w:t> </w:t>
            </w:r>
            <w:r w:rsidRPr="0042639D">
              <w:rPr>
                <w:b/>
                <w:color w:val="000000"/>
                <w:sz w:val="20"/>
                <w:szCs w:val="20"/>
                <w:lang w:val="fr-CA" w:eastAsia="en-CA"/>
              </w:rPr>
              <w:t>619*</w:t>
            </w:r>
          </w:p>
        </w:tc>
        <w:tc>
          <w:tcPr>
            <w:tcW w:w="1464" w:type="dxa"/>
            <w:tcBorders>
              <w:top w:val="single" w:sz="4" w:space="0" w:color="auto"/>
              <w:left w:val="single" w:sz="4" w:space="0" w:color="auto"/>
              <w:bottom w:val="single" w:sz="4" w:space="0" w:color="auto"/>
              <w:right w:val="single" w:sz="4" w:space="0" w:color="auto"/>
            </w:tcBorders>
            <w:hideMark/>
          </w:tcPr>
          <w:p w14:paraId="6E079D38" w14:textId="77777777" w:rsidR="006345CD" w:rsidRPr="0042639D" w:rsidRDefault="006345CD" w:rsidP="006023A6">
            <w:pPr>
              <w:jc w:val="right"/>
              <w:rPr>
                <w:b/>
                <w:color w:val="000000"/>
                <w:sz w:val="20"/>
                <w:szCs w:val="20"/>
                <w:lang w:val="fr-CA" w:eastAsia="en-CA"/>
              </w:rPr>
            </w:pPr>
            <w:r w:rsidRPr="0042639D">
              <w:rPr>
                <w:b/>
                <w:color w:val="000000"/>
                <w:sz w:val="20"/>
                <w:szCs w:val="20"/>
                <w:lang w:val="fr-CA" w:eastAsia="en-CA"/>
              </w:rPr>
              <w:t>233</w:t>
            </w:r>
            <w:r>
              <w:rPr>
                <w:b/>
                <w:color w:val="000000"/>
                <w:sz w:val="20"/>
                <w:szCs w:val="20"/>
                <w:lang w:val="fr-CA" w:eastAsia="en-CA"/>
              </w:rPr>
              <w:t> </w:t>
            </w:r>
            <w:r w:rsidRPr="0042639D">
              <w:rPr>
                <w:b/>
                <w:color w:val="000000"/>
                <w:sz w:val="20"/>
                <w:szCs w:val="20"/>
                <w:lang w:val="fr-CA" w:eastAsia="en-CA"/>
              </w:rPr>
              <w:t>630</w:t>
            </w:r>
          </w:p>
        </w:tc>
        <w:tc>
          <w:tcPr>
            <w:tcW w:w="1653" w:type="dxa"/>
            <w:tcBorders>
              <w:top w:val="single" w:sz="4" w:space="0" w:color="auto"/>
              <w:left w:val="single" w:sz="4" w:space="0" w:color="auto"/>
              <w:bottom w:val="single" w:sz="4" w:space="0" w:color="auto"/>
              <w:right w:val="single" w:sz="4" w:space="0" w:color="auto"/>
            </w:tcBorders>
            <w:hideMark/>
          </w:tcPr>
          <w:p w14:paraId="352754E5" w14:textId="77777777" w:rsidR="006345CD" w:rsidRPr="0042639D" w:rsidRDefault="006345CD" w:rsidP="006023A6">
            <w:pPr>
              <w:jc w:val="right"/>
              <w:rPr>
                <w:b/>
                <w:color w:val="000000"/>
                <w:sz w:val="20"/>
                <w:szCs w:val="20"/>
                <w:lang w:val="fr-CA" w:eastAsia="en-CA"/>
              </w:rPr>
            </w:pPr>
            <w:r w:rsidRPr="0042639D">
              <w:rPr>
                <w:b/>
                <w:color w:val="000000"/>
                <w:sz w:val="20"/>
                <w:szCs w:val="20"/>
                <w:lang w:val="fr-CA" w:eastAsia="en-CA"/>
              </w:rPr>
              <w:t>5</w:t>
            </w:r>
            <w:r>
              <w:rPr>
                <w:b/>
                <w:color w:val="000000"/>
                <w:sz w:val="20"/>
                <w:szCs w:val="20"/>
                <w:lang w:val="fr-CA" w:eastAsia="en-CA"/>
              </w:rPr>
              <w:t> </w:t>
            </w:r>
            <w:r w:rsidRPr="0042639D">
              <w:rPr>
                <w:b/>
                <w:color w:val="000000"/>
                <w:sz w:val="20"/>
                <w:szCs w:val="20"/>
                <w:lang w:val="fr-CA" w:eastAsia="en-CA"/>
              </w:rPr>
              <w:t>883</w:t>
            </w:r>
            <w:r>
              <w:rPr>
                <w:b/>
                <w:color w:val="000000"/>
                <w:sz w:val="20"/>
                <w:szCs w:val="20"/>
                <w:lang w:val="fr-CA" w:eastAsia="en-CA"/>
              </w:rPr>
              <w:t> </w:t>
            </w:r>
            <w:r w:rsidRPr="0042639D">
              <w:rPr>
                <w:b/>
                <w:color w:val="000000"/>
                <w:sz w:val="20"/>
                <w:szCs w:val="20"/>
                <w:lang w:val="fr-CA" w:eastAsia="en-CA"/>
              </w:rPr>
              <w:t>249*</w:t>
            </w:r>
          </w:p>
        </w:tc>
        <w:tc>
          <w:tcPr>
            <w:tcW w:w="2267" w:type="dxa"/>
            <w:vMerge w:val="restart"/>
            <w:tcBorders>
              <w:top w:val="single" w:sz="4" w:space="0" w:color="auto"/>
              <w:left w:val="single" w:sz="4" w:space="0" w:color="auto"/>
              <w:bottom w:val="single" w:sz="4" w:space="0" w:color="auto"/>
              <w:right w:val="single" w:sz="4" w:space="0" w:color="auto"/>
            </w:tcBorders>
            <w:vAlign w:val="center"/>
            <w:hideMark/>
          </w:tcPr>
          <w:p w14:paraId="40F0B03B" w14:textId="77777777" w:rsidR="006345CD" w:rsidRPr="0042639D" w:rsidRDefault="006345CD" w:rsidP="006023A6">
            <w:pPr>
              <w:jc w:val="center"/>
              <w:rPr>
                <w:b/>
                <w:color w:val="000000"/>
                <w:sz w:val="20"/>
                <w:szCs w:val="20"/>
                <w:lang w:val="fr-CA" w:eastAsia="en-CA"/>
              </w:rPr>
            </w:pPr>
            <w:r w:rsidRPr="0042639D">
              <w:rPr>
                <w:b/>
                <w:color w:val="000000"/>
                <w:sz w:val="20"/>
                <w:szCs w:val="20"/>
                <w:lang w:val="fr-CA" w:eastAsia="en-CA"/>
              </w:rPr>
              <w:t>32</w:t>
            </w:r>
          </w:p>
        </w:tc>
      </w:tr>
      <w:tr w:rsidR="006345CD" w:rsidRPr="0042639D" w14:paraId="79143820" w14:textId="77777777" w:rsidTr="006023A6">
        <w:trPr>
          <w:trHeight w:val="58"/>
        </w:trPr>
        <w:tc>
          <w:tcPr>
            <w:tcW w:w="1111" w:type="dxa"/>
            <w:vMerge/>
            <w:tcBorders>
              <w:top w:val="single" w:sz="4" w:space="0" w:color="auto"/>
              <w:left w:val="single" w:sz="4" w:space="0" w:color="auto"/>
              <w:bottom w:val="single" w:sz="4" w:space="0" w:color="auto"/>
              <w:right w:val="single" w:sz="4" w:space="0" w:color="auto"/>
            </w:tcBorders>
            <w:vAlign w:val="center"/>
            <w:hideMark/>
          </w:tcPr>
          <w:p w14:paraId="27658068" w14:textId="77777777" w:rsidR="006345CD" w:rsidRPr="0042639D" w:rsidRDefault="006345CD" w:rsidP="006023A6">
            <w:pPr>
              <w:jc w:val="left"/>
              <w:rPr>
                <w:b/>
                <w:bCs/>
                <w:color w:val="000000"/>
                <w:sz w:val="20"/>
                <w:szCs w:val="20"/>
                <w:lang w:val="fr-CA" w:eastAsia="en-CA"/>
              </w:rPr>
            </w:pPr>
          </w:p>
        </w:tc>
        <w:tc>
          <w:tcPr>
            <w:tcW w:w="1276" w:type="dxa"/>
            <w:tcBorders>
              <w:top w:val="single" w:sz="4" w:space="0" w:color="auto"/>
              <w:left w:val="single" w:sz="4" w:space="0" w:color="auto"/>
              <w:bottom w:val="single" w:sz="4" w:space="0" w:color="auto"/>
              <w:right w:val="single" w:sz="4" w:space="0" w:color="auto"/>
            </w:tcBorders>
            <w:vAlign w:val="center"/>
            <w:hideMark/>
          </w:tcPr>
          <w:p w14:paraId="7BFBEA12" w14:textId="77777777" w:rsidR="006345CD" w:rsidRPr="0042639D" w:rsidRDefault="006345CD" w:rsidP="006023A6">
            <w:pPr>
              <w:rPr>
                <w:b/>
                <w:bCs/>
                <w:color w:val="000000"/>
                <w:sz w:val="20"/>
                <w:szCs w:val="20"/>
                <w:lang w:val="fr-CA" w:eastAsia="en-CA"/>
              </w:rPr>
            </w:pPr>
            <w:r>
              <w:rPr>
                <w:b/>
                <w:bCs/>
                <w:color w:val="000000"/>
                <w:sz w:val="20"/>
                <w:szCs w:val="20"/>
                <w:lang w:val="fr-CA" w:eastAsia="en-CA"/>
              </w:rPr>
              <w:t>Décaissés</w:t>
            </w:r>
          </w:p>
        </w:tc>
        <w:tc>
          <w:tcPr>
            <w:tcW w:w="1559" w:type="dxa"/>
            <w:tcBorders>
              <w:top w:val="single" w:sz="4" w:space="0" w:color="auto"/>
              <w:left w:val="single" w:sz="4" w:space="0" w:color="auto"/>
              <w:bottom w:val="single" w:sz="4" w:space="0" w:color="auto"/>
              <w:right w:val="single" w:sz="4" w:space="0" w:color="auto"/>
            </w:tcBorders>
            <w:hideMark/>
          </w:tcPr>
          <w:p w14:paraId="0A4FC202" w14:textId="77777777" w:rsidR="006345CD" w:rsidRPr="0042639D" w:rsidRDefault="006345CD" w:rsidP="006023A6">
            <w:pPr>
              <w:jc w:val="right"/>
              <w:rPr>
                <w:b/>
                <w:color w:val="000000"/>
                <w:sz w:val="20"/>
                <w:szCs w:val="20"/>
                <w:lang w:val="fr-CA" w:eastAsia="en-CA"/>
              </w:rPr>
            </w:pPr>
            <w:r w:rsidRPr="0042639D">
              <w:rPr>
                <w:b/>
                <w:color w:val="000000"/>
                <w:sz w:val="20"/>
                <w:szCs w:val="20"/>
                <w:lang w:val="fr-CA" w:eastAsia="en-CA"/>
              </w:rPr>
              <w:t>1</w:t>
            </w:r>
            <w:r>
              <w:rPr>
                <w:b/>
                <w:color w:val="000000"/>
                <w:sz w:val="20"/>
                <w:szCs w:val="20"/>
                <w:lang w:val="fr-CA" w:eastAsia="en-CA"/>
              </w:rPr>
              <w:t> </w:t>
            </w:r>
            <w:r w:rsidRPr="0042639D">
              <w:rPr>
                <w:b/>
                <w:color w:val="000000"/>
                <w:sz w:val="20"/>
                <w:szCs w:val="20"/>
                <w:lang w:val="fr-CA" w:eastAsia="en-CA"/>
              </w:rPr>
              <w:t>844</w:t>
            </w:r>
            <w:r>
              <w:rPr>
                <w:b/>
                <w:color w:val="000000"/>
                <w:sz w:val="20"/>
                <w:szCs w:val="20"/>
                <w:lang w:val="fr-CA" w:eastAsia="en-CA"/>
              </w:rPr>
              <w:t> </w:t>
            </w:r>
            <w:r w:rsidRPr="0042639D">
              <w:rPr>
                <w:b/>
                <w:color w:val="000000"/>
                <w:sz w:val="20"/>
                <w:szCs w:val="20"/>
                <w:lang w:val="fr-CA" w:eastAsia="en-CA"/>
              </w:rPr>
              <w:t>495</w:t>
            </w:r>
          </w:p>
        </w:tc>
        <w:tc>
          <w:tcPr>
            <w:tcW w:w="1464" w:type="dxa"/>
            <w:tcBorders>
              <w:top w:val="single" w:sz="4" w:space="0" w:color="auto"/>
              <w:left w:val="single" w:sz="4" w:space="0" w:color="auto"/>
              <w:bottom w:val="single" w:sz="4" w:space="0" w:color="auto"/>
              <w:right w:val="single" w:sz="4" w:space="0" w:color="auto"/>
            </w:tcBorders>
            <w:hideMark/>
          </w:tcPr>
          <w:p w14:paraId="30D277CE" w14:textId="77777777" w:rsidR="006345CD" w:rsidRPr="0042639D" w:rsidRDefault="006345CD" w:rsidP="006023A6">
            <w:pPr>
              <w:jc w:val="right"/>
              <w:rPr>
                <w:b/>
                <w:color w:val="000000"/>
                <w:sz w:val="20"/>
                <w:szCs w:val="20"/>
                <w:lang w:val="fr-CA" w:eastAsia="en-CA"/>
              </w:rPr>
            </w:pPr>
            <w:r w:rsidRPr="0042639D">
              <w:rPr>
                <w:b/>
                <w:color w:val="000000"/>
                <w:sz w:val="20"/>
                <w:szCs w:val="20"/>
                <w:lang w:val="fr-CA" w:eastAsia="en-CA"/>
              </w:rPr>
              <w:t>58</w:t>
            </w:r>
            <w:r>
              <w:rPr>
                <w:b/>
                <w:color w:val="000000"/>
                <w:sz w:val="20"/>
                <w:szCs w:val="20"/>
                <w:lang w:val="fr-CA" w:eastAsia="en-CA"/>
              </w:rPr>
              <w:t> </w:t>
            </w:r>
            <w:r w:rsidRPr="0042639D">
              <w:rPr>
                <w:b/>
                <w:color w:val="000000"/>
                <w:sz w:val="20"/>
                <w:szCs w:val="20"/>
                <w:lang w:val="fr-CA" w:eastAsia="en-CA"/>
              </w:rPr>
              <w:t>038</w:t>
            </w:r>
          </w:p>
        </w:tc>
        <w:tc>
          <w:tcPr>
            <w:tcW w:w="1653" w:type="dxa"/>
            <w:tcBorders>
              <w:top w:val="single" w:sz="4" w:space="0" w:color="auto"/>
              <w:left w:val="single" w:sz="4" w:space="0" w:color="auto"/>
              <w:bottom w:val="single" w:sz="4" w:space="0" w:color="auto"/>
              <w:right w:val="single" w:sz="4" w:space="0" w:color="auto"/>
            </w:tcBorders>
            <w:hideMark/>
          </w:tcPr>
          <w:p w14:paraId="154AF2B4" w14:textId="77777777" w:rsidR="006345CD" w:rsidRPr="0042639D" w:rsidRDefault="006345CD" w:rsidP="006023A6">
            <w:pPr>
              <w:jc w:val="right"/>
              <w:rPr>
                <w:b/>
                <w:color w:val="000000"/>
                <w:sz w:val="20"/>
                <w:szCs w:val="20"/>
                <w:lang w:val="fr-CA" w:eastAsia="en-CA"/>
              </w:rPr>
            </w:pPr>
            <w:r w:rsidRPr="0042639D">
              <w:rPr>
                <w:b/>
                <w:color w:val="000000"/>
                <w:sz w:val="20"/>
                <w:szCs w:val="20"/>
                <w:lang w:val="fr-CA" w:eastAsia="en-CA"/>
              </w:rPr>
              <w:t>1</w:t>
            </w:r>
            <w:r>
              <w:rPr>
                <w:b/>
                <w:color w:val="000000"/>
                <w:sz w:val="20"/>
                <w:szCs w:val="20"/>
                <w:lang w:val="fr-CA" w:eastAsia="en-CA"/>
              </w:rPr>
              <w:t> </w:t>
            </w:r>
            <w:r w:rsidRPr="0042639D">
              <w:rPr>
                <w:b/>
                <w:color w:val="000000"/>
                <w:sz w:val="20"/>
                <w:szCs w:val="20"/>
                <w:lang w:val="fr-CA" w:eastAsia="en-CA"/>
              </w:rPr>
              <w:t>902</w:t>
            </w:r>
            <w:r>
              <w:rPr>
                <w:b/>
                <w:color w:val="000000"/>
                <w:sz w:val="20"/>
                <w:szCs w:val="20"/>
                <w:lang w:val="fr-CA" w:eastAsia="en-CA"/>
              </w:rPr>
              <w:t> </w:t>
            </w:r>
            <w:r w:rsidRPr="0042639D">
              <w:rPr>
                <w:b/>
                <w:color w:val="000000"/>
                <w:sz w:val="20"/>
                <w:szCs w:val="20"/>
                <w:lang w:val="fr-CA" w:eastAsia="en-CA"/>
              </w:rPr>
              <w:t>533</w:t>
            </w:r>
          </w:p>
        </w:tc>
        <w:tc>
          <w:tcPr>
            <w:tcW w:w="2267" w:type="dxa"/>
            <w:vMerge/>
            <w:tcBorders>
              <w:top w:val="single" w:sz="4" w:space="0" w:color="auto"/>
              <w:left w:val="single" w:sz="4" w:space="0" w:color="auto"/>
              <w:bottom w:val="single" w:sz="4" w:space="0" w:color="auto"/>
              <w:right w:val="single" w:sz="4" w:space="0" w:color="auto"/>
            </w:tcBorders>
            <w:vAlign w:val="center"/>
            <w:hideMark/>
          </w:tcPr>
          <w:p w14:paraId="774DA733" w14:textId="77777777" w:rsidR="006345CD" w:rsidRPr="0042639D" w:rsidRDefault="006345CD" w:rsidP="006023A6">
            <w:pPr>
              <w:jc w:val="left"/>
              <w:rPr>
                <w:b/>
                <w:color w:val="000000"/>
                <w:sz w:val="20"/>
                <w:szCs w:val="20"/>
                <w:lang w:val="fr-CA" w:eastAsia="en-CA"/>
              </w:rPr>
            </w:pPr>
          </w:p>
        </w:tc>
      </w:tr>
    </w:tbl>
    <w:p w14:paraId="17BA1359" w14:textId="3F0F2E2E" w:rsidR="006345CD" w:rsidRPr="0042639D" w:rsidRDefault="006345CD" w:rsidP="006345CD">
      <w:pPr>
        <w:rPr>
          <w:bCs/>
          <w:color w:val="000000"/>
          <w:sz w:val="16"/>
          <w:szCs w:val="16"/>
          <w:lang w:val="fr-CA" w:eastAsia="en-CA"/>
        </w:rPr>
      </w:pPr>
      <w:r w:rsidRPr="0042639D">
        <w:rPr>
          <w:bCs/>
          <w:sz w:val="16"/>
          <w:szCs w:val="16"/>
          <w:lang w:val="fr-CA"/>
        </w:rPr>
        <w:t>*</w:t>
      </w:r>
      <w:r w:rsidRPr="0042639D">
        <w:rPr>
          <w:bCs/>
          <w:color w:val="000000"/>
          <w:sz w:val="16"/>
          <w:szCs w:val="16"/>
          <w:lang w:val="fr-CA" w:eastAsia="en-CA"/>
        </w:rPr>
        <w:t xml:space="preserve"> </w:t>
      </w:r>
      <w:r>
        <w:rPr>
          <w:bCs/>
          <w:color w:val="000000"/>
          <w:sz w:val="16"/>
          <w:szCs w:val="16"/>
          <w:lang w:val="fr-CA" w:eastAsia="en-CA"/>
        </w:rPr>
        <w:t xml:space="preserve">Mis à jour pour inclure le remboursement de </w:t>
      </w:r>
      <w:bookmarkStart w:id="11" w:name="_Hlk104460675"/>
      <w:r w:rsidRPr="0042639D">
        <w:rPr>
          <w:bCs/>
          <w:color w:val="000000"/>
          <w:sz w:val="16"/>
          <w:szCs w:val="16"/>
          <w:lang w:val="fr-CA" w:eastAsia="en-CA"/>
        </w:rPr>
        <w:t>93</w:t>
      </w:r>
      <w:r>
        <w:rPr>
          <w:bCs/>
          <w:color w:val="000000"/>
          <w:sz w:val="16"/>
          <w:szCs w:val="16"/>
          <w:lang w:val="fr-CA" w:eastAsia="en-CA"/>
        </w:rPr>
        <w:t> </w:t>
      </w:r>
      <w:r w:rsidRPr="0042639D">
        <w:rPr>
          <w:bCs/>
          <w:color w:val="000000"/>
          <w:sz w:val="16"/>
          <w:szCs w:val="16"/>
          <w:lang w:val="fr-CA" w:eastAsia="en-CA"/>
        </w:rPr>
        <w:t>358</w:t>
      </w:r>
      <w:r>
        <w:rPr>
          <w:bCs/>
          <w:color w:val="000000"/>
          <w:sz w:val="16"/>
          <w:szCs w:val="16"/>
          <w:lang w:val="fr-CA" w:eastAsia="en-CA"/>
        </w:rPr>
        <w:t> $US</w:t>
      </w:r>
      <w:r w:rsidRPr="0042639D">
        <w:rPr>
          <w:bCs/>
          <w:color w:val="000000"/>
          <w:sz w:val="16"/>
          <w:szCs w:val="16"/>
          <w:lang w:val="fr-CA" w:eastAsia="en-CA"/>
        </w:rPr>
        <w:t xml:space="preserve">, plus </w:t>
      </w:r>
      <w:r>
        <w:rPr>
          <w:bCs/>
          <w:color w:val="000000"/>
          <w:sz w:val="16"/>
          <w:szCs w:val="16"/>
          <w:lang w:val="fr-CA" w:eastAsia="en-CA"/>
        </w:rPr>
        <w:t>des coûts d’appui d’agence</w:t>
      </w:r>
      <w:r w:rsidRPr="0042639D">
        <w:rPr>
          <w:bCs/>
          <w:color w:val="000000"/>
          <w:sz w:val="16"/>
          <w:szCs w:val="16"/>
          <w:lang w:val="fr-CA" w:eastAsia="en-CA"/>
        </w:rPr>
        <w:t xml:space="preserve">, </w:t>
      </w:r>
      <w:r>
        <w:rPr>
          <w:bCs/>
          <w:color w:val="000000"/>
          <w:sz w:val="16"/>
          <w:szCs w:val="16"/>
          <w:lang w:val="fr-CA" w:eastAsia="en-CA"/>
        </w:rPr>
        <w:t xml:space="preserve">résultant du changement de </w:t>
      </w:r>
      <w:r w:rsidRPr="0042639D">
        <w:rPr>
          <w:sz w:val="16"/>
          <w:szCs w:val="16"/>
          <w:lang w:val="fr-CA"/>
        </w:rPr>
        <w:t>technolog</w:t>
      </w:r>
      <w:r>
        <w:rPr>
          <w:sz w:val="16"/>
          <w:szCs w:val="16"/>
          <w:lang w:val="fr-CA"/>
        </w:rPr>
        <w:t>ie à</w:t>
      </w:r>
      <w:r w:rsidRPr="0042639D">
        <w:rPr>
          <w:sz w:val="16"/>
          <w:szCs w:val="16"/>
          <w:lang w:val="fr-CA"/>
        </w:rPr>
        <w:t xml:space="preserve"> </w:t>
      </w:r>
      <w:proofErr w:type="spellStart"/>
      <w:r w:rsidRPr="0042639D">
        <w:rPr>
          <w:sz w:val="16"/>
          <w:szCs w:val="16"/>
          <w:lang w:val="fr-CA"/>
        </w:rPr>
        <w:t>Midea</w:t>
      </w:r>
      <w:proofErr w:type="spellEnd"/>
      <w:r w:rsidRPr="0042639D">
        <w:rPr>
          <w:sz w:val="16"/>
          <w:szCs w:val="16"/>
          <w:lang w:val="fr-CA"/>
        </w:rPr>
        <w:t xml:space="preserve"> Viet Nam </w:t>
      </w:r>
      <w:r>
        <w:rPr>
          <w:sz w:val="16"/>
          <w:szCs w:val="16"/>
          <w:lang w:val="fr-CA"/>
        </w:rPr>
        <w:t xml:space="preserve">pour passer du </w:t>
      </w:r>
      <w:r w:rsidRPr="0042639D">
        <w:rPr>
          <w:sz w:val="16"/>
          <w:szCs w:val="16"/>
          <w:lang w:val="fr-CA"/>
        </w:rPr>
        <w:t xml:space="preserve">R-290 </w:t>
      </w:r>
      <w:r>
        <w:rPr>
          <w:sz w:val="16"/>
          <w:szCs w:val="16"/>
          <w:lang w:val="fr-CA"/>
        </w:rPr>
        <w:t xml:space="preserve">au </w:t>
      </w:r>
      <w:r w:rsidRPr="0042639D">
        <w:rPr>
          <w:sz w:val="16"/>
          <w:szCs w:val="16"/>
          <w:lang w:val="fr-CA"/>
        </w:rPr>
        <w:t>HFC</w:t>
      </w:r>
      <w:r w:rsidRPr="0042639D">
        <w:rPr>
          <w:sz w:val="16"/>
          <w:szCs w:val="16"/>
          <w:lang w:val="fr-CA"/>
        </w:rPr>
        <w:noBreakHyphen/>
        <w:t>32 (</w:t>
      </w:r>
      <w:r>
        <w:rPr>
          <w:sz w:val="16"/>
          <w:szCs w:val="16"/>
          <w:lang w:val="fr-CA"/>
        </w:rPr>
        <w:t>décision</w:t>
      </w:r>
      <w:r w:rsidRPr="0042639D">
        <w:rPr>
          <w:sz w:val="16"/>
          <w:szCs w:val="16"/>
          <w:lang w:val="fr-CA"/>
        </w:rPr>
        <w:t xml:space="preserve"> 82/37(b)), </w:t>
      </w:r>
      <w:bookmarkEnd w:id="11"/>
      <w:r>
        <w:rPr>
          <w:sz w:val="16"/>
          <w:szCs w:val="16"/>
          <w:lang w:val="fr-CA"/>
        </w:rPr>
        <w:t xml:space="preserve">et le remboursement de </w:t>
      </w:r>
      <w:r w:rsidRPr="0042639D">
        <w:rPr>
          <w:bCs/>
          <w:sz w:val="16"/>
          <w:szCs w:val="16"/>
          <w:lang w:val="fr-CA"/>
        </w:rPr>
        <w:t>613</w:t>
      </w:r>
      <w:r>
        <w:rPr>
          <w:bCs/>
          <w:sz w:val="16"/>
          <w:szCs w:val="16"/>
          <w:lang w:val="fr-CA"/>
        </w:rPr>
        <w:t> </w:t>
      </w:r>
      <w:r w:rsidRPr="0042639D">
        <w:rPr>
          <w:bCs/>
          <w:sz w:val="16"/>
          <w:szCs w:val="16"/>
          <w:lang w:val="fr-CA"/>
        </w:rPr>
        <w:t>568</w:t>
      </w:r>
      <w:r>
        <w:rPr>
          <w:bCs/>
          <w:sz w:val="16"/>
          <w:szCs w:val="16"/>
          <w:lang w:val="fr-CA"/>
        </w:rPr>
        <w:t> $US</w:t>
      </w:r>
      <w:r w:rsidRPr="0042639D">
        <w:rPr>
          <w:bCs/>
          <w:sz w:val="16"/>
          <w:szCs w:val="16"/>
          <w:lang w:val="fr-CA"/>
        </w:rPr>
        <w:t xml:space="preserve">, plus </w:t>
      </w:r>
      <w:r>
        <w:rPr>
          <w:bCs/>
          <w:sz w:val="16"/>
          <w:szCs w:val="16"/>
          <w:lang w:val="fr-CA"/>
        </w:rPr>
        <w:t>des coûts d’appui d’agence</w:t>
      </w:r>
      <w:r w:rsidRPr="0042639D">
        <w:rPr>
          <w:bCs/>
          <w:sz w:val="16"/>
          <w:szCs w:val="16"/>
          <w:lang w:val="fr-CA"/>
        </w:rPr>
        <w:t xml:space="preserve">, </w:t>
      </w:r>
      <w:r>
        <w:rPr>
          <w:bCs/>
          <w:sz w:val="16"/>
          <w:szCs w:val="16"/>
          <w:lang w:val="fr-CA"/>
        </w:rPr>
        <w:t xml:space="preserve">liés à l’entreprise de mousse </w:t>
      </w:r>
      <w:r w:rsidR="0026119A">
        <w:rPr>
          <w:sz w:val="16"/>
          <w:szCs w:val="16"/>
          <w:lang w:val="fr-CA"/>
        </w:rPr>
        <w:t>de polystyrène extrudé</w:t>
      </w:r>
      <w:r w:rsidRPr="0042639D">
        <w:rPr>
          <w:sz w:val="16"/>
          <w:szCs w:val="16"/>
          <w:lang w:val="fr-CA"/>
        </w:rPr>
        <w:t xml:space="preserve"> Phu </w:t>
      </w:r>
      <w:proofErr w:type="spellStart"/>
      <w:r w:rsidRPr="0042639D">
        <w:rPr>
          <w:sz w:val="16"/>
          <w:szCs w:val="16"/>
          <w:lang w:val="fr-CA"/>
        </w:rPr>
        <w:t>Vuong</w:t>
      </w:r>
      <w:proofErr w:type="spellEnd"/>
      <w:r w:rsidRPr="0042639D">
        <w:rPr>
          <w:sz w:val="16"/>
          <w:szCs w:val="16"/>
          <w:lang w:val="fr-CA"/>
        </w:rPr>
        <w:t xml:space="preserve"> Corporation </w:t>
      </w:r>
      <w:proofErr w:type="spellStart"/>
      <w:r w:rsidRPr="0042639D">
        <w:rPr>
          <w:sz w:val="16"/>
          <w:szCs w:val="16"/>
          <w:lang w:val="fr-CA"/>
        </w:rPr>
        <w:t>Industry</w:t>
      </w:r>
      <w:proofErr w:type="spellEnd"/>
      <w:r w:rsidRPr="0042639D">
        <w:rPr>
          <w:sz w:val="16"/>
          <w:szCs w:val="16"/>
          <w:lang w:val="fr-CA"/>
        </w:rPr>
        <w:t xml:space="preserve">, </w:t>
      </w:r>
      <w:r>
        <w:rPr>
          <w:sz w:val="16"/>
          <w:szCs w:val="16"/>
          <w:lang w:val="fr-CA"/>
        </w:rPr>
        <w:t xml:space="preserve">qui a été trouvée non admissible au financement </w:t>
      </w:r>
      <w:r w:rsidRPr="0042639D">
        <w:rPr>
          <w:sz w:val="16"/>
          <w:szCs w:val="16"/>
          <w:lang w:val="fr-CA"/>
        </w:rPr>
        <w:t>(</w:t>
      </w:r>
      <w:r>
        <w:rPr>
          <w:sz w:val="16"/>
          <w:szCs w:val="16"/>
          <w:lang w:val="fr-CA"/>
        </w:rPr>
        <w:t>décision</w:t>
      </w:r>
      <w:r w:rsidRPr="0042639D">
        <w:rPr>
          <w:sz w:val="16"/>
          <w:szCs w:val="16"/>
          <w:lang w:val="fr-CA"/>
        </w:rPr>
        <w:t> 87/28(a))</w:t>
      </w:r>
      <w:r w:rsidRPr="0042639D">
        <w:rPr>
          <w:bCs/>
          <w:sz w:val="16"/>
          <w:szCs w:val="16"/>
          <w:lang w:val="fr-CA"/>
        </w:rPr>
        <w:t>.</w:t>
      </w:r>
    </w:p>
    <w:p w14:paraId="5884EA37" w14:textId="77777777" w:rsidR="006345CD" w:rsidRPr="0042639D" w:rsidRDefault="006345CD" w:rsidP="006345CD">
      <w:pPr>
        <w:rPr>
          <w:color w:val="000000" w:themeColor="text1"/>
          <w:lang w:val="fr-CA"/>
        </w:rPr>
      </w:pPr>
    </w:p>
    <w:p w14:paraId="7E1A1240" w14:textId="77777777" w:rsidR="006345CD" w:rsidRPr="0042639D" w:rsidRDefault="006345CD" w:rsidP="006345CD">
      <w:pPr>
        <w:keepNext/>
        <w:keepLines/>
        <w:spacing w:after="240"/>
        <w:rPr>
          <w:b/>
          <w:lang w:val="fr-CA"/>
        </w:rPr>
      </w:pPr>
      <w:r>
        <w:rPr>
          <w:b/>
          <w:lang w:val="fr-CA"/>
        </w:rPr>
        <w:t xml:space="preserve">Changements proposés à la </w:t>
      </w:r>
      <w:r w:rsidRPr="0042639D">
        <w:rPr>
          <w:b/>
          <w:lang w:val="fr-CA"/>
        </w:rPr>
        <w:t xml:space="preserve">phase II </w:t>
      </w:r>
      <w:r>
        <w:rPr>
          <w:b/>
          <w:lang w:val="fr-CA"/>
        </w:rPr>
        <w:t>du</w:t>
      </w:r>
      <w:r w:rsidRPr="0042639D">
        <w:rPr>
          <w:b/>
          <w:lang w:val="fr-CA"/>
        </w:rPr>
        <w:t xml:space="preserve"> PGEH</w:t>
      </w:r>
    </w:p>
    <w:p w14:paraId="493B0C06" w14:textId="77777777" w:rsidR="006345CD" w:rsidRPr="0042639D" w:rsidRDefault="006345CD" w:rsidP="006345CD">
      <w:pPr>
        <w:pStyle w:val="Heading1"/>
        <w:numPr>
          <w:ilvl w:val="0"/>
          <w:numId w:val="30"/>
        </w:numPr>
        <w:rPr>
          <w:lang w:val="fr-CA"/>
        </w:rPr>
      </w:pPr>
      <w:r>
        <w:rPr>
          <w:lang w:val="fr-CA"/>
        </w:rPr>
        <w:t xml:space="preserve">Une étude approfondie de la mise en œuvre des activités du </w:t>
      </w:r>
      <w:r w:rsidRPr="0042639D">
        <w:rPr>
          <w:lang w:val="fr-CA"/>
        </w:rPr>
        <w:t xml:space="preserve">PGEH </w:t>
      </w:r>
      <w:r>
        <w:rPr>
          <w:lang w:val="fr-CA"/>
        </w:rPr>
        <w:t xml:space="preserve">a été menée par la </w:t>
      </w:r>
      <w:r w:rsidRPr="0042639D">
        <w:rPr>
          <w:lang w:val="fr-CA"/>
        </w:rPr>
        <w:t xml:space="preserve">Banque Mondiale </w:t>
      </w:r>
      <w:r>
        <w:rPr>
          <w:lang w:val="fr-CA"/>
        </w:rPr>
        <w:t>et l’UMS</w:t>
      </w:r>
      <w:r w:rsidRPr="0042639D">
        <w:rPr>
          <w:lang w:val="fr-CA"/>
        </w:rPr>
        <w:t xml:space="preserve"> </w:t>
      </w:r>
      <w:r>
        <w:rPr>
          <w:lang w:val="fr-CA"/>
        </w:rPr>
        <w:t>e</w:t>
      </w:r>
      <w:r w:rsidRPr="0042639D">
        <w:rPr>
          <w:lang w:val="fr-CA"/>
        </w:rPr>
        <w:t xml:space="preserve">n </w:t>
      </w:r>
      <w:r>
        <w:rPr>
          <w:lang w:val="fr-CA"/>
        </w:rPr>
        <w:t>n</w:t>
      </w:r>
      <w:r w:rsidRPr="0042639D">
        <w:rPr>
          <w:lang w:val="fr-CA"/>
        </w:rPr>
        <w:t xml:space="preserve">ovembre 2021 </w:t>
      </w:r>
      <w:r>
        <w:rPr>
          <w:lang w:val="fr-CA"/>
        </w:rPr>
        <w:t xml:space="preserve">à la lumière des retards dans la mise en œuvre du </w:t>
      </w:r>
      <w:r w:rsidRPr="0042639D">
        <w:rPr>
          <w:lang w:val="fr-CA"/>
        </w:rPr>
        <w:t xml:space="preserve">projet </w:t>
      </w:r>
      <w:r>
        <w:rPr>
          <w:lang w:val="fr-CA"/>
        </w:rPr>
        <w:t>et les difficultés à obtenir la participation des entreprise</w:t>
      </w:r>
      <w:r w:rsidRPr="0042639D">
        <w:rPr>
          <w:lang w:val="fr-CA"/>
        </w:rPr>
        <w:t xml:space="preserve">s </w:t>
      </w:r>
      <w:r>
        <w:rPr>
          <w:lang w:val="fr-CA"/>
        </w:rPr>
        <w:t>au</w:t>
      </w:r>
      <w:r w:rsidRPr="0042639D">
        <w:rPr>
          <w:lang w:val="fr-CA"/>
        </w:rPr>
        <w:t xml:space="preserve"> projet. </w:t>
      </w:r>
      <w:r>
        <w:rPr>
          <w:lang w:val="fr-CA"/>
        </w:rPr>
        <w:t xml:space="preserve">L’étude a révélé la gravité des retards causés par la pandémie de </w:t>
      </w:r>
      <w:r w:rsidRPr="0042639D">
        <w:rPr>
          <w:lang w:val="fr-CA"/>
        </w:rPr>
        <w:t xml:space="preserve">COVID-19 </w:t>
      </w:r>
      <w:r>
        <w:rPr>
          <w:lang w:val="fr-CA"/>
        </w:rPr>
        <w:t>et l’absence de demande pour la re</w:t>
      </w:r>
      <w:r w:rsidRPr="0042639D">
        <w:rPr>
          <w:lang w:val="fr-CA"/>
        </w:rPr>
        <w:t xml:space="preserve">conversion </w:t>
      </w:r>
      <w:r>
        <w:rPr>
          <w:lang w:val="fr-CA"/>
        </w:rPr>
        <w:t xml:space="preserve">des sous-projets dans les secteurs de la climatisation, des mousses et de la fabrication d’appareils de </w:t>
      </w:r>
      <w:r w:rsidRPr="0042639D">
        <w:rPr>
          <w:lang w:val="fr-CA"/>
        </w:rPr>
        <w:t xml:space="preserve">réfrigération. </w:t>
      </w:r>
      <w:r>
        <w:rPr>
          <w:lang w:val="fr-CA"/>
        </w:rPr>
        <w:t xml:space="preserve">Les petites et moyennes entreprises (PME) en particulier dans les secteurs des mousses et de la fabrication en </w:t>
      </w:r>
      <w:r w:rsidRPr="0042639D">
        <w:rPr>
          <w:lang w:val="fr-CA"/>
        </w:rPr>
        <w:t>réfrigération</w:t>
      </w:r>
      <w:r>
        <w:rPr>
          <w:lang w:val="fr-CA"/>
        </w:rPr>
        <w:t>, qui devaient participer, ont hésité à se rallier, en raison des nombreuses exigences de documentation, de</w:t>
      </w:r>
      <w:r w:rsidRPr="0042639D">
        <w:rPr>
          <w:lang w:val="fr-CA"/>
        </w:rPr>
        <w:t xml:space="preserve"> validation, </w:t>
      </w:r>
      <w:r>
        <w:rPr>
          <w:lang w:val="fr-CA"/>
        </w:rPr>
        <w:t>et de comptes rendus pour répondre aux conditions des SAS</w:t>
      </w:r>
      <w:r w:rsidRPr="0042639D">
        <w:rPr>
          <w:lang w:val="fr-CA"/>
        </w:rPr>
        <w:t xml:space="preserve">. </w:t>
      </w:r>
      <w:r>
        <w:rPr>
          <w:lang w:val="fr-CA"/>
        </w:rPr>
        <w:t>En outre, plusieurs entreprise</w:t>
      </w:r>
      <w:r w:rsidRPr="0042639D">
        <w:rPr>
          <w:lang w:val="fr-CA"/>
        </w:rPr>
        <w:t xml:space="preserve">s </w:t>
      </w:r>
      <w:r>
        <w:rPr>
          <w:lang w:val="fr-CA"/>
        </w:rPr>
        <w:t xml:space="preserve">dans le secteur de la fabrication en </w:t>
      </w:r>
      <w:r w:rsidRPr="0042639D">
        <w:rPr>
          <w:lang w:val="fr-CA"/>
        </w:rPr>
        <w:t>réfrigération</w:t>
      </w:r>
      <w:r>
        <w:rPr>
          <w:lang w:val="fr-CA"/>
        </w:rPr>
        <w:t xml:space="preserve"> qui étaient initialement identifiées comme des fabricants avaient changé de vocation ou favorisaient davantage l’assemblage</w:t>
      </w:r>
      <w:r w:rsidRPr="0042639D">
        <w:rPr>
          <w:lang w:val="fr-CA"/>
        </w:rPr>
        <w:t xml:space="preserve">. </w:t>
      </w:r>
      <w:r>
        <w:rPr>
          <w:lang w:val="fr-CA"/>
        </w:rPr>
        <w:t>Les entreprise</w:t>
      </w:r>
      <w:r w:rsidRPr="0042639D">
        <w:rPr>
          <w:lang w:val="fr-CA"/>
        </w:rPr>
        <w:t xml:space="preserve">s </w:t>
      </w:r>
      <w:r>
        <w:rPr>
          <w:lang w:val="fr-CA"/>
        </w:rPr>
        <w:t xml:space="preserve">qui étaient encore des fabricants hésitaient à s’engager à recourir à des produits de remplacement à faible potentiel de réchauffement global </w:t>
      </w:r>
      <w:r w:rsidRPr="0042639D">
        <w:rPr>
          <w:lang w:val="fr-CA"/>
        </w:rPr>
        <w:t>(</w:t>
      </w:r>
      <w:r>
        <w:rPr>
          <w:lang w:val="fr-CA"/>
        </w:rPr>
        <w:t>PRG</w:t>
      </w:r>
      <w:r w:rsidRPr="0042639D">
        <w:rPr>
          <w:lang w:val="fr-CA"/>
        </w:rPr>
        <w:t xml:space="preserve">); </w:t>
      </w:r>
      <w:r>
        <w:rPr>
          <w:lang w:val="fr-CA"/>
        </w:rPr>
        <w:t>les entreprise</w:t>
      </w:r>
      <w:r w:rsidRPr="0042639D">
        <w:rPr>
          <w:lang w:val="fr-CA"/>
        </w:rPr>
        <w:t xml:space="preserve">s </w:t>
      </w:r>
      <w:r>
        <w:rPr>
          <w:lang w:val="fr-CA"/>
        </w:rPr>
        <w:t>peuvent fabriquer une vaste gamme de produits selon l’application et la demande des utilisateurs ultimes et elles considéraient la restriction des technologies à des substances inflammables ou toxiques comme une perte de souplesse et de compétitivité</w:t>
      </w:r>
      <w:r w:rsidRPr="0042639D">
        <w:rPr>
          <w:lang w:val="fr-CA"/>
        </w:rPr>
        <w:t xml:space="preserve">. </w:t>
      </w:r>
    </w:p>
    <w:p w14:paraId="794915DF" w14:textId="6F07AC16" w:rsidR="006345CD" w:rsidRPr="0042639D" w:rsidRDefault="006345CD" w:rsidP="006345CD">
      <w:pPr>
        <w:pStyle w:val="Heading1"/>
        <w:numPr>
          <w:ilvl w:val="0"/>
          <w:numId w:val="30"/>
        </w:numPr>
        <w:rPr>
          <w:lang w:val="fr-CA"/>
        </w:rPr>
      </w:pPr>
      <w:r>
        <w:rPr>
          <w:lang w:val="fr-CA"/>
        </w:rPr>
        <w:t xml:space="preserve">À l’issue de l’étude, le </w:t>
      </w:r>
      <w:r w:rsidRPr="0042639D">
        <w:rPr>
          <w:lang w:val="fr-CA"/>
        </w:rPr>
        <w:t xml:space="preserve">Gouvernement </w:t>
      </w:r>
      <w:r>
        <w:rPr>
          <w:lang w:val="fr-CA"/>
        </w:rPr>
        <w:t>du</w:t>
      </w:r>
      <w:r w:rsidRPr="0042639D">
        <w:rPr>
          <w:lang w:val="fr-CA"/>
        </w:rPr>
        <w:t xml:space="preserve"> Viet Nam </w:t>
      </w:r>
      <w:r>
        <w:rPr>
          <w:lang w:val="fr-CA"/>
        </w:rPr>
        <w:t>a proposé des changements à apporter aux secteurs de fabrication de climatiseurs et de mousse PU</w:t>
      </w:r>
      <w:r w:rsidRPr="0042639D">
        <w:rPr>
          <w:lang w:val="fr-CA"/>
        </w:rPr>
        <w:t xml:space="preserve">, </w:t>
      </w:r>
      <w:r>
        <w:rPr>
          <w:lang w:val="fr-CA"/>
        </w:rPr>
        <w:t xml:space="preserve">ainsi qu’à la modalité de mise en œuvre dans le secteur de la fabrication en </w:t>
      </w:r>
      <w:r w:rsidRPr="0042639D">
        <w:rPr>
          <w:lang w:val="fr-CA"/>
        </w:rPr>
        <w:t xml:space="preserve">réfrigération, </w:t>
      </w:r>
      <w:r>
        <w:rPr>
          <w:lang w:val="fr-CA"/>
        </w:rPr>
        <w:t xml:space="preserve">permettant une réduction de </w:t>
      </w:r>
      <w:r w:rsidRPr="0042639D">
        <w:rPr>
          <w:lang w:val="fr-CA"/>
        </w:rPr>
        <w:t>6</w:t>
      </w:r>
      <w:r>
        <w:rPr>
          <w:lang w:val="fr-CA"/>
        </w:rPr>
        <w:t> </w:t>
      </w:r>
      <w:r w:rsidRPr="0042639D">
        <w:rPr>
          <w:lang w:val="fr-CA"/>
        </w:rPr>
        <w:t>789</w:t>
      </w:r>
      <w:r>
        <w:rPr>
          <w:lang w:val="fr-CA"/>
        </w:rPr>
        <w:t> </w:t>
      </w:r>
      <w:r w:rsidRPr="0042639D">
        <w:rPr>
          <w:lang w:val="fr-CA"/>
        </w:rPr>
        <w:t>971</w:t>
      </w:r>
      <w:r>
        <w:rPr>
          <w:lang w:val="fr-CA"/>
        </w:rPr>
        <w:t> $US</w:t>
      </w:r>
      <w:r w:rsidRPr="0042639D">
        <w:rPr>
          <w:rStyle w:val="FootnoteReference"/>
          <w:lang w:val="fr-CA"/>
        </w:rPr>
        <w:footnoteReference w:id="45"/>
      </w:r>
      <w:r w:rsidRPr="0042639D">
        <w:rPr>
          <w:lang w:val="fr-CA"/>
        </w:rPr>
        <w:t xml:space="preserve"> </w:t>
      </w:r>
      <w:r>
        <w:rPr>
          <w:lang w:val="fr-CA"/>
        </w:rPr>
        <w:t>dans le financement de ces éléments</w:t>
      </w:r>
      <w:r w:rsidRPr="0042639D">
        <w:rPr>
          <w:lang w:val="fr-CA"/>
        </w:rPr>
        <w:t xml:space="preserve">. </w:t>
      </w:r>
      <w:r>
        <w:rPr>
          <w:lang w:val="fr-CA"/>
        </w:rPr>
        <w:t xml:space="preserve">Par ailleurs, le </w:t>
      </w:r>
      <w:r w:rsidRPr="0042639D">
        <w:rPr>
          <w:lang w:val="fr-CA"/>
        </w:rPr>
        <w:t xml:space="preserve">Gouvernement </w:t>
      </w:r>
      <w:r>
        <w:rPr>
          <w:lang w:val="fr-CA"/>
        </w:rPr>
        <w:t xml:space="preserve">a proposé d’augmenter le financement pour le secteur de l’entretien de </w:t>
      </w:r>
      <w:r w:rsidRPr="0042639D">
        <w:rPr>
          <w:lang w:val="fr-CA"/>
        </w:rPr>
        <w:t>1</w:t>
      </w:r>
      <w:r>
        <w:rPr>
          <w:lang w:val="fr-CA"/>
        </w:rPr>
        <w:t> </w:t>
      </w:r>
      <w:r w:rsidRPr="0042639D">
        <w:rPr>
          <w:lang w:val="fr-CA"/>
        </w:rPr>
        <w:t>330</w:t>
      </w:r>
      <w:r>
        <w:rPr>
          <w:lang w:val="fr-CA"/>
        </w:rPr>
        <w:t> </w:t>
      </w:r>
      <w:r w:rsidRPr="0042639D">
        <w:rPr>
          <w:lang w:val="fr-CA"/>
        </w:rPr>
        <w:t>000</w:t>
      </w:r>
      <w:r>
        <w:rPr>
          <w:lang w:val="fr-CA"/>
        </w:rPr>
        <w:t> $US et celui de l’AT et de l’UMS</w:t>
      </w:r>
      <w:r w:rsidRPr="0042639D">
        <w:rPr>
          <w:lang w:val="fr-CA"/>
        </w:rPr>
        <w:t xml:space="preserve"> </w:t>
      </w:r>
      <w:r>
        <w:rPr>
          <w:lang w:val="fr-CA"/>
        </w:rPr>
        <w:t xml:space="preserve">de </w:t>
      </w:r>
      <w:r w:rsidRPr="0042639D">
        <w:rPr>
          <w:lang w:val="fr-CA"/>
        </w:rPr>
        <w:t>180</w:t>
      </w:r>
      <w:r>
        <w:rPr>
          <w:lang w:val="fr-CA"/>
        </w:rPr>
        <w:t> </w:t>
      </w:r>
      <w:r w:rsidRPr="0042639D">
        <w:rPr>
          <w:lang w:val="fr-CA"/>
        </w:rPr>
        <w:t>539</w:t>
      </w:r>
      <w:r>
        <w:rPr>
          <w:lang w:val="fr-CA"/>
        </w:rPr>
        <w:t> $US</w:t>
      </w:r>
      <w:r w:rsidRPr="0042639D">
        <w:rPr>
          <w:lang w:val="fr-CA"/>
        </w:rPr>
        <w:t xml:space="preserve">; </w:t>
      </w:r>
      <w:r>
        <w:rPr>
          <w:lang w:val="fr-CA"/>
        </w:rPr>
        <w:t xml:space="preserve">aucune autre réduction n’a été proposée dans la consommation restante de </w:t>
      </w:r>
      <w:r w:rsidRPr="0042639D">
        <w:rPr>
          <w:lang w:val="fr-CA"/>
        </w:rPr>
        <w:t xml:space="preserve">HCFC </w:t>
      </w:r>
      <w:r>
        <w:rPr>
          <w:lang w:val="fr-CA"/>
        </w:rPr>
        <w:t>admissible au financement, compte tenu des financements supplémentaires alloués à ces secteur</w:t>
      </w:r>
      <w:r w:rsidRPr="0042639D">
        <w:rPr>
          <w:lang w:val="fr-CA"/>
        </w:rPr>
        <w:t xml:space="preserve">s. </w:t>
      </w:r>
      <w:r>
        <w:rPr>
          <w:lang w:val="fr-CA"/>
        </w:rPr>
        <w:t xml:space="preserve">Les changements proposés, ainsi que l’annulation du projet dans le secteur de la fabrication de mousses </w:t>
      </w:r>
      <w:r w:rsidR="0026119A">
        <w:rPr>
          <w:lang w:val="fr-CA"/>
        </w:rPr>
        <w:t>de polystyrène extrudé</w:t>
      </w:r>
      <w:r w:rsidRPr="0042639D">
        <w:rPr>
          <w:lang w:val="fr-CA"/>
        </w:rPr>
        <w:t xml:space="preserve"> (</w:t>
      </w:r>
      <w:r>
        <w:rPr>
          <w:lang w:val="fr-CA"/>
        </w:rPr>
        <w:t>décision</w:t>
      </w:r>
      <w:r w:rsidRPr="0042639D">
        <w:rPr>
          <w:lang w:val="fr-CA"/>
        </w:rPr>
        <w:t> </w:t>
      </w:r>
      <w:r w:rsidRPr="0042639D">
        <w:rPr>
          <w:kern w:val="36"/>
          <w:lang w:val="fr-CA"/>
        </w:rPr>
        <w:t xml:space="preserve">87/28(a)), </w:t>
      </w:r>
      <w:r>
        <w:rPr>
          <w:kern w:val="36"/>
          <w:lang w:val="fr-CA"/>
        </w:rPr>
        <w:t xml:space="preserve">réduiraient le financement total de la </w:t>
      </w:r>
      <w:r w:rsidRPr="0042639D">
        <w:rPr>
          <w:kern w:val="36"/>
          <w:lang w:val="fr-CA"/>
        </w:rPr>
        <w:t xml:space="preserve">phase II </w:t>
      </w:r>
      <w:r>
        <w:rPr>
          <w:kern w:val="36"/>
          <w:lang w:val="fr-CA"/>
        </w:rPr>
        <w:t xml:space="preserve">du </w:t>
      </w:r>
      <w:r w:rsidRPr="0042639D">
        <w:rPr>
          <w:kern w:val="36"/>
          <w:lang w:val="fr-CA"/>
        </w:rPr>
        <w:t>PGEH</w:t>
      </w:r>
      <w:r>
        <w:rPr>
          <w:kern w:val="36"/>
          <w:lang w:val="fr-CA"/>
        </w:rPr>
        <w:t xml:space="preserve">, passant de </w:t>
      </w:r>
      <w:r w:rsidRPr="0042639D">
        <w:rPr>
          <w:kern w:val="36"/>
          <w:lang w:val="fr-CA"/>
        </w:rPr>
        <w:t>14</w:t>
      </w:r>
      <w:r>
        <w:rPr>
          <w:kern w:val="36"/>
          <w:lang w:val="fr-CA"/>
        </w:rPr>
        <w:t> </w:t>
      </w:r>
      <w:r w:rsidRPr="0042639D">
        <w:rPr>
          <w:kern w:val="36"/>
          <w:lang w:val="fr-CA"/>
        </w:rPr>
        <w:t>644</w:t>
      </w:r>
      <w:r>
        <w:rPr>
          <w:kern w:val="36"/>
          <w:lang w:val="fr-CA"/>
        </w:rPr>
        <w:t> </w:t>
      </w:r>
      <w:r w:rsidRPr="0042639D">
        <w:rPr>
          <w:kern w:val="36"/>
          <w:lang w:val="fr-CA"/>
        </w:rPr>
        <w:t>834</w:t>
      </w:r>
      <w:r>
        <w:rPr>
          <w:kern w:val="36"/>
          <w:lang w:val="fr-CA"/>
        </w:rPr>
        <w:t xml:space="preserve"> $US à </w:t>
      </w:r>
      <w:r w:rsidRPr="0042639D">
        <w:rPr>
          <w:kern w:val="36"/>
          <w:lang w:val="fr-CA"/>
        </w:rPr>
        <w:t>8</w:t>
      </w:r>
      <w:r>
        <w:rPr>
          <w:kern w:val="36"/>
          <w:lang w:val="fr-CA"/>
        </w:rPr>
        <w:t> </w:t>
      </w:r>
      <w:r w:rsidRPr="0042639D">
        <w:rPr>
          <w:kern w:val="36"/>
          <w:lang w:val="fr-CA"/>
        </w:rPr>
        <w:t>751</w:t>
      </w:r>
      <w:r>
        <w:rPr>
          <w:kern w:val="36"/>
          <w:lang w:val="fr-CA"/>
        </w:rPr>
        <w:t> </w:t>
      </w:r>
      <w:r w:rsidRPr="0042639D">
        <w:rPr>
          <w:kern w:val="36"/>
          <w:lang w:val="fr-CA"/>
        </w:rPr>
        <w:t>834</w:t>
      </w:r>
      <w:r>
        <w:rPr>
          <w:kern w:val="36"/>
          <w:lang w:val="fr-CA"/>
        </w:rPr>
        <w:t> $US, selon les détails présentés ci-après</w:t>
      </w:r>
      <w:r w:rsidRPr="0042639D">
        <w:rPr>
          <w:lang w:val="fr-CA"/>
        </w:rPr>
        <w:t>.</w:t>
      </w:r>
    </w:p>
    <w:p w14:paraId="03D90819" w14:textId="77777777" w:rsidR="006345CD" w:rsidRPr="0042639D" w:rsidRDefault="006345CD" w:rsidP="006345CD">
      <w:pPr>
        <w:keepNext/>
        <w:rPr>
          <w:b/>
          <w:iCs/>
          <w:u w:val="single"/>
          <w:lang w:val="fr-CA"/>
        </w:rPr>
      </w:pPr>
      <w:r>
        <w:rPr>
          <w:iCs/>
          <w:u w:val="single"/>
          <w:lang w:val="fr-CA"/>
        </w:rPr>
        <w:t>Secteur de la fabrication</w:t>
      </w:r>
    </w:p>
    <w:p w14:paraId="381852C4" w14:textId="77777777" w:rsidR="006345CD" w:rsidRPr="0042639D" w:rsidRDefault="006345CD" w:rsidP="006345CD">
      <w:pPr>
        <w:keepNext/>
        <w:ind w:hanging="2"/>
        <w:rPr>
          <w:i/>
          <w:lang w:val="fr-CA"/>
        </w:rPr>
      </w:pPr>
    </w:p>
    <w:p w14:paraId="182BFF13" w14:textId="77777777" w:rsidR="006345CD" w:rsidRPr="0042639D" w:rsidRDefault="006345CD" w:rsidP="006345CD">
      <w:pPr>
        <w:pStyle w:val="Heading1"/>
        <w:keepNext/>
        <w:numPr>
          <w:ilvl w:val="0"/>
          <w:numId w:val="0"/>
        </w:numPr>
        <w:tabs>
          <w:tab w:val="left" w:pos="708"/>
        </w:tabs>
        <w:rPr>
          <w:i/>
          <w:iCs/>
          <w:lang w:val="fr-CA"/>
        </w:rPr>
      </w:pPr>
      <w:r>
        <w:rPr>
          <w:i/>
          <w:iCs/>
          <w:lang w:val="fr-CA"/>
        </w:rPr>
        <w:t>Secteur de la fabrication en climatisation</w:t>
      </w:r>
    </w:p>
    <w:p w14:paraId="6AE53585" w14:textId="77777777" w:rsidR="006345CD" w:rsidRPr="0042639D" w:rsidRDefault="006345CD" w:rsidP="006345CD">
      <w:pPr>
        <w:pStyle w:val="Heading1"/>
        <w:numPr>
          <w:ilvl w:val="0"/>
          <w:numId w:val="30"/>
        </w:numPr>
        <w:rPr>
          <w:lang w:val="fr-CA"/>
        </w:rPr>
      </w:pPr>
      <w:r>
        <w:rPr>
          <w:lang w:val="fr-CA"/>
        </w:rPr>
        <w:t xml:space="preserve">Des fonds ont été approuvés pour le secteur de la fabrication rn climatisation, soit </w:t>
      </w:r>
      <w:r w:rsidRPr="0042639D">
        <w:rPr>
          <w:lang w:val="fr-CA"/>
        </w:rPr>
        <w:t>2</w:t>
      </w:r>
      <w:r>
        <w:rPr>
          <w:lang w:val="fr-CA"/>
        </w:rPr>
        <w:t> </w:t>
      </w:r>
      <w:r w:rsidRPr="0042639D">
        <w:rPr>
          <w:lang w:val="fr-CA"/>
        </w:rPr>
        <w:t>184</w:t>
      </w:r>
      <w:r>
        <w:rPr>
          <w:lang w:val="fr-CA"/>
        </w:rPr>
        <w:t> </w:t>
      </w:r>
      <w:r w:rsidRPr="0042639D">
        <w:rPr>
          <w:lang w:val="fr-CA"/>
        </w:rPr>
        <w:t>867</w:t>
      </w:r>
      <w:r>
        <w:rPr>
          <w:lang w:val="fr-CA"/>
        </w:rPr>
        <w:t> $US pour la r</w:t>
      </w:r>
      <w:r w:rsidRPr="0042639D">
        <w:rPr>
          <w:lang w:val="fr-CA"/>
        </w:rPr>
        <w:t xml:space="preserve">econversion </w:t>
      </w:r>
      <w:r>
        <w:rPr>
          <w:lang w:val="fr-CA"/>
        </w:rPr>
        <w:t>de quatre entreprise</w:t>
      </w:r>
      <w:r w:rsidRPr="0042639D">
        <w:rPr>
          <w:lang w:val="fr-CA"/>
        </w:rPr>
        <w:t xml:space="preserve">s. </w:t>
      </w:r>
      <w:proofErr w:type="spellStart"/>
      <w:r w:rsidRPr="0042639D">
        <w:rPr>
          <w:lang w:val="fr-CA"/>
        </w:rPr>
        <w:t>Midea</w:t>
      </w:r>
      <w:proofErr w:type="spellEnd"/>
      <w:r w:rsidRPr="0042639D">
        <w:rPr>
          <w:lang w:val="fr-CA"/>
        </w:rPr>
        <w:t xml:space="preserve"> Viet Nam </w:t>
      </w:r>
      <w:r>
        <w:rPr>
          <w:lang w:val="fr-CA"/>
        </w:rPr>
        <w:t>et</w:t>
      </w:r>
      <w:r w:rsidRPr="0042639D">
        <w:rPr>
          <w:lang w:val="fr-CA"/>
        </w:rPr>
        <w:t xml:space="preserve"> REE </w:t>
      </w:r>
      <w:r>
        <w:rPr>
          <w:lang w:val="fr-CA"/>
        </w:rPr>
        <w:t xml:space="preserve">ayant décidé de se retirer de ce </w:t>
      </w:r>
      <w:r w:rsidRPr="0042639D">
        <w:rPr>
          <w:lang w:val="fr-CA"/>
        </w:rPr>
        <w:t xml:space="preserve">projet, </w:t>
      </w:r>
      <w:r>
        <w:rPr>
          <w:lang w:val="fr-CA"/>
        </w:rPr>
        <w:t xml:space="preserve">les coûts du projet ont baissé respectivement de </w:t>
      </w:r>
      <w:r w:rsidRPr="0042639D">
        <w:rPr>
          <w:lang w:val="fr-CA"/>
        </w:rPr>
        <w:t>743</w:t>
      </w:r>
      <w:r>
        <w:rPr>
          <w:lang w:val="fr-CA"/>
        </w:rPr>
        <w:t> </w:t>
      </w:r>
      <w:r w:rsidRPr="0042639D">
        <w:rPr>
          <w:lang w:val="fr-CA"/>
        </w:rPr>
        <w:t>659</w:t>
      </w:r>
      <w:r>
        <w:rPr>
          <w:lang w:val="fr-CA"/>
        </w:rPr>
        <w:t> $US</w:t>
      </w:r>
      <w:r w:rsidRPr="0042639D">
        <w:rPr>
          <w:rStyle w:val="FootnoteReference"/>
          <w:lang w:val="fr-CA"/>
        </w:rPr>
        <w:footnoteReference w:id="46"/>
      </w:r>
      <w:r w:rsidRPr="0042639D">
        <w:rPr>
          <w:lang w:val="fr-CA"/>
        </w:rPr>
        <w:t xml:space="preserve"> </w:t>
      </w:r>
      <w:r>
        <w:rPr>
          <w:lang w:val="fr-CA"/>
        </w:rPr>
        <w:t xml:space="preserve">et de </w:t>
      </w:r>
      <w:r w:rsidRPr="0042639D">
        <w:rPr>
          <w:lang w:val="fr-CA"/>
        </w:rPr>
        <w:t>226</w:t>
      </w:r>
      <w:r>
        <w:rPr>
          <w:lang w:val="fr-CA"/>
        </w:rPr>
        <w:t> </w:t>
      </w:r>
      <w:r w:rsidRPr="0042639D">
        <w:rPr>
          <w:lang w:val="fr-CA"/>
        </w:rPr>
        <w:t>300</w:t>
      </w:r>
      <w:r>
        <w:rPr>
          <w:lang w:val="fr-CA"/>
        </w:rPr>
        <w:t> $US</w:t>
      </w:r>
      <w:r w:rsidRPr="0042639D">
        <w:rPr>
          <w:lang w:val="fr-CA"/>
        </w:rPr>
        <w:t xml:space="preserve">. </w:t>
      </w:r>
      <w:proofErr w:type="gramStart"/>
      <w:r>
        <w:rPr>
          <w:lang w:val="fr-CA"/>
        </w:rPr>
        <w:t>La re</w:t>
      </w:r>
      <w:r w:rsidRPr="0042639D">
        <w:rPr>
          <w:lang w:val="fr-CA"/>
        </w:rPr>
        <w:t>conversions</w:t>
      </w:r>
      <w:proofErr w:type="gramEnd"/>
      <w:r w:rsidRPr="0042639D">
        <w:rPr>
          <w:lang w:val="fr-CA"/>
        </w:rPr>
        <w:t xml:space="preserve"> </w:t>
      </w:r>
      <w:r>
        <w:rPr>
          <w:lang w:val="fr-CA"/>
        </w:rPr>
        <w:t>des deux entreprise</w:t>
      </w:r>
      <w:r w:rsidRPr="0042639D">
        <w:rPr>
          <w:lang w:val="fr-CA"/>
        </w:rPr>
        <w:t xml:space="preserve">s, </w:t>
      </w:r>
      <w:proofErr w:type="spellStart"/>
      <w:r w:rsidRPr="0042639D">
        <w:rPr>
          <w:lang w:val="fr-CA"/>
        </w:rPr>
        <w:t>Hoa</w:t>
      </w:r>
      <w:proofErr w:type="spellEnd"/>
      <w:r w:rsidRPr="0042639D">
        <w:rPr>
          <w:lang w:val="fr-CA"/>
        </w:rPr>
        <w:t xml:space="preserve"> </w:t>
      </w:r>
      <w:proofErr w:type="spellStart"/>
      <w:r w:rsidRPr="0042639D">
        <w:rPr>
          <w:lang w:val="fr-CA"/>
        </w:rPr>
        <w:t>Phat</w:t>
      </w:r>
      <w:proofErr w:type="spellEnd"/>
      <w:r w:rsidRPr="0042639D">
        <w:rPr>
          <w:lang w:val="fr-CA"/>
        </w:rPr>
        <w:t xml:space="preserve"> </w:t>
      </w:r>
      <w:r>
        <w:rPr>
          <w:lang w:val="fr-CA"/>
        </w:rPr>
        <w:t xml:space="preserve">et </w:t>
      </w:r>
      <w:proofErr w:type="spellStart"/>
      <w:r w:rsidRPr="0042639D">
        <w:rPr>
          <w:lang w:val="fr-CA"/>
        </w:rPr>
        <w:t>Nagakawa</w:t>
      </w:r>
      <w:proofErr w:type="spellEnd"/>
      <w:r w:rsidRPr="0042639D">
        <w:rPr>
          <w:lang w:val="fr-CA"/>
        </w:rPr>
        <w:t xml:space="preserve">, </w:t>
      </w:r>
      <w:r>
        <w:rPr>
          <w:lang w:val="fr-CA"/>
        </w:rPr>
        <w:t>est en cours</w:t>
      </w:r>
      <w:r w:rsidRPr="0042639D">
        <w:rPr>
          <w:lang w:val="fr-CA"/>
        </w:rPr>
        <w:t xml:space="preserve">; </w:t>
      </w:r>
      <w:r>
        <w:rPr>
          <w:lang w:val="fr-CA"/>
        </w:rPr>
        <w:t>l</w:t>
      </w:r>
      <w:r w:rsidRPr="0042639D">
        <w:rPr>
          <w:lang w:val="fr-CA"/>
        </w:rPr>
        <w:t xml:space="preserve">e Gouvernement </w:t>
      </w:r>
      <w:r>
        <w:rPr>
          <w:lang w:val="fr-CA"/>
        </w:rPr>
        <w:t xml:space="preserve">a demandé un montant de </w:t>
      </w:r>
      <w:r w:rsidRPr="0042639D">
        <w:rPr>
          <w:lang w:val="fr-CA"/>
        </w:rPr>
        <w:t>554</w:t>
      </w:r>
      <w:r>
        <w:rPr>
          <w:lang w:val="fr-CA"/>
        </w:rPr>
        <w:t> </w:t>
      </w:r>
      <w:r w:rsidRPr="0042639D">
        <w:rPr>
          <w:lang w:val="fr-CA"/>
        </w:rPr>
        <w:t>612</w:t>
      </w:r>
      <w:r>
        <w:rPr>
          <w:lang w:val="fr-CA"/>
        </w:rPr>
        <w:t> $US pour ces re</w:t>
      </w:r>
      <w:r w:rsidRPr="0042639D">
        <w:rPr>
          <w:lang w:val="fr-CA"/>
        </w:rPr>
        <w:t xml:space="preserve">conversions, </w:t>
      </w:r>
      <w:r>
        <w:rPr>
          <w:lang w:val="fr-CA"/>
        </w:rPr>
        <w:t xml:space="preserve">ce qui est inférieur de </w:t>
      </w:r>
      <w:r w:rsidRPr="0042639D">
        <w:rPr>
          <w:lang w:val="fr-CA"/>
        </w:rPr>
        <w:t>566</w:t>
      </w:r>
      <w:r>
        <w:rPr>
          <w:lang w:val="fr-CA"/>
        </w:rPr>
        <w:t> </w:t>
      </w:r>
      <w:r w:rsidRPr="0042639D">
        <w:rPr>
          <w:lang w:val="fr-CA"/>
        </w:rPr>
        <w:t>938</w:t>
      </w:r>
      <w:r>
        <w:rPr>
          <w:lang w:val="fr-CA"/>
        </w:rPr>
        <w:t xml:space="preserve"> $US aux coûts convenus de </w:t>
      </w:r>
      <w:r w:rsidRPr="0042639D">
        <w:rPr>
          <w:lang w:val="fr-CA"/>
        </w:rPr>
        <w:t>1</w:t>
      </w:r>
      <w:r>
        <w:rPr>
          <w:lang w:val="fr-CA"/>
        </w:rPr>
        <w:t> </w:t>
      </w:r>
      <w:r w:rsidRPr="0042639D">
        <w:rPr>
          <w:lang w:val="fr-CA"/>
        </w:rPr>
        <w:t>121</w:t>
      </w:r>
      <w:r>
        <w:rPr>
          <w:lang w:val="fr-CA"/>
        </w:rPr>
        <w:t> </w:t>
      </w:r>
      <w:r w:rsidRPr="0042639D">
        <w:rPr>
          <w:lang w:val="fr-CA"/>
        </w:rPr>
        <w:t>550</w:t>
      </w:r>
      <w:r>
        <w:rPr>
          <w:lang w:val="fr-CA"/>
        </w:rPr>
        <w:t> $US</w:t>
      </w:r>
      <w:r w:rsidRPr="0042639D">
        <w:rPr>
          <w:lang w:val="fr-CA"/>
        </w:rPr>
        <w:t>.</w:t>
      </w:r>
    </w:p>
    <w:p w14:paraId="7643234D" w14:textId="77777777" w:rsidR="006345CD" w:rsidRPr="0042639D" w:rsidRDefault="006345CD" w:rsidP="006345CD">
      <w:pPr>
        <w:pStyle w:val="Heading1"/>
        <w:numPr>
          <w:ilvl w:val="0"/>
          <w:numId w:val="0"/>
        </w:numPr>
        <w:tabs>
          <w:tab w:val="left" w:pos="708"/>
        </w:tabs>
        <w:rPr>
          <w:i/>
          <w:iCs/>
          <w:lang w:val="fr-CA"/>
        </w:rPr>
      </w:pPr>
      <w:r>
        <w:rPr>
          <w:i/>
          <w:iCs/>
          <w:lang w:val="fr-CA"/>
        </w:rPr>
        <w:t xml:space="preserve">Secteur de la fabrication de mousses </w:t>
      </w:r>
      <w:r w:rsidRPr="0042639D">
        <w:rPr>
          <w:i/>
          <w:iCs/>
          <w:lang w:val="fr-CA"/>
        </w:rPr>
        <w:t>PU</w:t>
      </w:r>
    </w:p>
    <w:p w14:paraId="08AE4812" w14:textId="77777777" w:rsidR="006345CD" w:rsidRPr="0042639D" w:rsidRDefault="006345CD" w:rsidP="006345CD">
      <w:pPr>
        <w:pStyle w:val="Heading1"/>
        <w:numPr>
          <w:ilvl w:val="0"/>
          <w:numId w:val="30"/>
        </w:numPr>
        <w:rPr>
          <w:lang w:val="fr-CA"/>
        </w:rPr>
      </w:pPr>
      <w:r>
        <w:rPr>
          <w:lang w:val="fr-CA"/>
        </w:rPr>
        <w:t>Afin de permettre la re</w:t>
      </w:r>
      <w:r w:rsidRPr="0042639D">
        <w:rPr>
          <w:lang w:val="fr-CA"/>
        </w:rPr>
        <w:t xml:space="preserve">conversion </w:t>
      </w:r>
      <w:r>
        <w:rPr>
          <w:lang w:val="fr-CA"/>
        </w:rPr>
        <w:t>des</w:t>
      </w:r>
      <w:r w:rsidRPr="0042639D">
        <w:rPr>
          <w:lang w:val="fr-CA"/>
        </w:rPr>
        <w:t xml:space="preserve"> </w:t>
      </w:r>
      <w:r>
        <w:rPr>
          <w:lang w:val="fr-CA"/>
        </w:rPr>
        <w:t>P</w:t>
      </w:r>
      <w:r w:rsidRPr="0042639D">
        <w:rPr>
          <w:lang w:val="fr-CA"/>
        </w:rPr>
        <w:t xml:space="preserve">ME </w:t>
      </w:r>
      <w:r>
        <w:rPr>
          <w:lang w:val="fr-CA"/>
        </w:rPr>
        <w:t xml:space="preserve">qui n’avaient pas encore confirmé leur participation au </w:t>
      </w:r>
      <w:r w:rsidRPr="0042639D">
        <w:rPr>
          <w:lang w:val="fr-CA"/>
        </w:rPr>
        <w:t xml:space="preserve">projet, </w:t>
      </w:r>
      <w:r>
        <w:rPr>
          <w:lang w:val="fr-CA"/>
        </w:rPr>
        <w:t>l</w:t>
      </w:r>
      <w:r w:rsidRPr="0042639D">
        <w:rPr>
          <w:lang w:val="fr-CA"/>
        </w:rPr>
        <w:t xml:space="preserve">e Gouvernement </w:t>
      </w:r>
      <w:r>
        <w:rPr>
          <w:lang w:val="fr-CA"/>
        </w:rPr>
        <w:t>a proposé de cibler les maisons de mélange plutôt que les différentes entreprise</w:t>
      </w:r>
      <w:r w:rsidRPr="0042639D">
        <w:rPr>
          <w:lang w:val="fr-CA"/>
        </w:rPr>
        <w:t xml:space="preserve">s. </w:t>
      </w:r>
      <w:r>
        <w:rPr>
          <w:lang w:val="fr-CA"/>
        </w:rPr>
        <w:t>Quatre maisons de mélange admissibles ont été identifiées</w:t>
      </w:r>
      <w:r w:rsidRPr="0042639D">
        <w:rPr>
          <w:lang w:val="fr-CA"/>
        </w:rPr>
        <w:t xml:space="preserve">, </w:t>
      </w:r>
      <w:r>
        <w:rPr>
          <w:lang w:val="fr-CA"/>
        </w:rPr>
        <w:t xml:space="preserve">dont trois se converseraient au </w:t>
      </w:r>
      <w:r w:rsidRPr="0042639D">
        <w:rPr>
          <w:lang w:val="fr-CA"/>
        </w:rPr>
        <w:t xml:space="preserve">cyclopentane </w:t>
      </w:r>
      <w:r>
        <w:rPr>
          <w:lang w:val="fr-CA"/>
        </w:rPr>
        <w:t xml:space="preserve">prémélangé et le quatrième aux HFO </w:t>
      </w:r>
      <w:proofErr w:type="spellStart"/>
      <w:r>
        <w:rPr>
          <w:lang w:val="fr-CA"/>
        </w:rPr>
        <w:t>prémélangés</w:t>
      </w:r>
      <w:proofErr w:type="spellEnd"/>
      <w:r>
        <w:rPr>
          <w:lang w:val="fr-CA"/>
        </w:rPr>
        <w:t xml:space="preserve"> </w:t>
      </w:r>
      <w:r w:rsidRPr="0042639D">
        <w:rPr>
          <w:lang w:val="fr-CA"/>
        </w:rPr>
        <w:t>(</w:t>
      </w:r>
      <w:r>
        <w:rPr>
          <w:lang w:val="fr-CA"/>
        </w:rPr>
        <w:t>réduits</w:t>
      </w:r>
      <w:r w:rsidRPr="0042639D">
        <w:rPr>
          <w:lang w:val="fr-CA"/>
        </w:rPr>
        <w:t xml:space="preserve">). </w:t>
      </w:r>
      <w:r>
        <w:rPr>
          <w:lang w:val="fr-CA"/>
        </w:rPr>
        <w:t xml:space="preserve">Les maisons de mélange aideraient quelques </w:t>
      </w:r>
      <w:r w:rsidRPr="0042639D">
        <w:rPr>
          <w:lang w:val="fr-CA"/>
        </w:rPr>
        <w:t xml:space="preserve">200 </w:t>
      </w:r>
      <w:r>
        <w:rPr>
          <w:lang w:val="fr-CA"/>
        </w:rPr>
        <w:t xml:space="preserve">PME avec une consommation d’environ </w:t>
      </w:r>
      <w:r w:rsidRPr="0042639D">
        <w:rPr>
          <w:lang w:val="fr-CA"/>
        </w:rPr>
        <w:t>150 </w:t>
      </w:r>
      <w:r>
        <w:rPr>
          <w:lang w:val="fr-CA"/>
        </w:rPr>
        <w:t>t</w:t>
      </w:r>
      <w:r w:rsidRPr="0042639D">
        <w:rPr>
          <w:lang w:val="fr-CA"/>
        </w:rPr>
        <w:t xml:space="preserve">m </w:t>
      </w:r>
      <w:r>
        <w:rPr>
          <w:lang w:val="fr-CA"/>
        </w:rPr>
        <w:t xml:space="preserve">de </w:t>
      </w:r>
      <w:r w:rsidRPr="0042639D">
        <w:rPr>
          <w:lang w:val="fr-CA"/>
        </w:rPr>
        <w:t>HCFC-141b cont</w:t>
      </w:r>
      <w:r>
        <w:rPr>
          <w:lang w:val="fr-CA"/>
        </w:rPr>
        <w:t>enus dans les polyols prémélangés</w:t>
      </w:r>
      <w:r w:rsidRPr="0042639D">
        <w:rPr>
          <w:lang w:val="fr-CA"/>
        </w:rPr>
        <w:t>.</w:t>
      </w:r>
      <w:r>
        <w:rPr>
          <w:lang w:val="fr-CA"/>
        </w:rPr>
        <w:t xml:space="preserve"> La</w:t>
      </w:r>
      <w:r w:rsidRPr="0042639D">
        <w:rPr>
          <w:lang w:val="fr-CA"/>
        </w:rPr>
        <w:t xml:space="preserve"> Banque Mondiale </w:t>
      </w:r>
      <w:r>
        <w:rPr>
          <w:lang w:val="fr-CA"/>
        </w:rPr>
        <w:t xml:space="preserve">a évalué les coûts d’appui aux maisons de mélange sur la base des coûts historiques des maisons de </w:t>
      </w:r>
      <w:r w:rsidRPr="0042639D">
        <w:rPr>
          <w:lang w:val="fr-CA"/>
        </w:rPr>
        <w:t>syst</w:t>
      </w:r>
      <w:r>
        <w:rPr>
          <w:lang w:val="fr-CA"/>
        </w:rPr>
        <w:t>è</w:t>
      </w:r>
      <w:r w:rsidRPr="0042639D">
        <w:rPr>
          <w:lang w:val="fr-CA"/>
        </w:rPr>
        <w:t>m</w:t>
      </w:r>
      <w:r>
        <w:rPr>
          <w:lang w:val="fr-CA"/>
        </w:rPr>
        <w:t>e</w:t>
      </w:r>
      <w:r w:rsidRPr="0042639D">
        <w:rPr>
          <w:lang w:val="fr-CA"/>
        </w:rPr>
        <w:t xml:space="preserve">, </w:t>
      </w:r>
      <w:r>
        <w:rPr>
          <w:lang w:val="fr-CA"/>
        </w:rPr>
        <w:t xml:space="preserve">avec </w:t>
      </w:r>
      <w:r w:rsidRPr="0042639D">
        <w:rPr>
          <w:lang w:val="fr-CA"/>
        </w:rPr>
        <w:t>95</w:t>
      </w:r>
      <w:r>
        <w:rPr>
          <w:lang w:val="fr-CA"/>
        </w:rPr>
        <w:t> </w:t>
      </w:r>
      <w:r w:rsidRPr="0042639D">
        <w:rPr>
          <w:lang w:val="fr-CA"/>
        </w:rPr>
        <w:t>000</w:t>
      </w:r>
      <w:r>
        <w:rPr>
          <w:lang w:val="fr-CA"/>
        </w:rPr>
        <w:t xml:space="preserve"> $US pour les agents de gonflage de mousse non inflammables jusqu’à un maximum de </w:t>
      </w:r>
      <w:r w:rsidRPr="0042639D">
        <w:rPr>
          <w:lang w:val="fr-CA"/>
        </w:rPr>
        <w:t>350</w:t>
      </w:r>
      <w:r>
        <w:rPr>
          <w:lang w:val="fr-CA"/>
        </w:rPr>
        <w:t> </w:t>
      </w:r>
      <w:r w:rsidRPr="0042639D">
        <w:rPr>
          <w:lang w:val="fr-CA"/>
        </w:rPr>
        <w:t>000</w:t>
      </w:r>
      <w:r>
        <w:rPr>
          <w:lang w:val="fr-CA"/>
        </w:rPr>
        <w:t xml:space="preserve"> $US pour le mélange de </w:t>
      </w:r>
      <w:r w:rsidRPr="0042639D">
        <w:rPr>
          <w:lang w:val="fr-CA"/>
        </w:rPr>
        <w:t xml:space="preserve">cyclopentane; </w:t>
      </w:r>
      <w:r>
        <w:rPr>
          <w:lang w:val="fr-CA"/>
        </w:rPr>
        <w:t xml:space="preserve">la fourchette prévue se situait toutefois entre </w:t>
      </w:r>
      <w:r w:rsidRPr="0042639D">
        <w:rPr>
          <w:lang w:val="fr-CA"/>
        </w:rPr>
        <w:t>155</w:t>
      </w:r>
      <w:r>
        <w:rPr>
          <w:lang w:val="fr-CA"/>
        </w:rPr>
        <w:t> </w:t>
      </w:r>
      <w:r w:rsidRPr="0042639D">
        <w:rPr>
          <w:lang w:val="fr-CA"/>
        </w:rPr>
        <w:t>000</w:t>
      </w:r>
      <w:r>
        <w:rPr>
          <w:lang w:val="fr-CA"/>
        </w:rPr>
        <w:t xml:space="preserve"> $US et </w:t>
      </w:r>
      <w:r w:rsidRPr="0042639D">
        <w:rPr>
          <w:lang w:val="fr-CA"/>
        </w:rPr>
        <w:t>255</w:t>
      </w:r>
      <w:r>
        <w:rPr>
          <w:lang w:val="fr-CA"/>
        </w:rPr>
        <w:t> </w:t>
      </w:r>
      <w:r w:rsidRPr="0042639D">
        <w:rPr>
          <w:lang w:val="fr-CA"/>
        </w:rPr>
        <w:t>000</w:t>
      </w:r>
      <w:r>
        <w:rPr>
          <w:lang w:val="fr-CA"/>
        </w:rPr>
        <w:t> $US</w:t>
      </w:r>
      <w:r w:rsidRPr="0042639D">
        <w:rPr>
          <w:lang w:val="fr-CA"/>
        </w:rPr>
        <w:t xml:space="preserve">, </w:t>
      </w:r>
      <w:r>
        <w:rPr>
          <w:lang w:val="fr-CA"/>
        </w:rPr>
        <w:t>lorsque les coûts exacts seront connus une fois que les quatre maisons de mélange sont vérifiées et leurs propositions soumises</w:t>
      </w:r>
      <w:r w:rsidRPr="0042639D">
        <w:rPr>
          <w:lang w:val="fr-CA"/>
        </w:rPr>
        <w:t xml:space="preserve">. </w:t>
      </w:r>
      <w:r>
        <w:rPr>
          <w:lang w:val="fr-CA"/>
        </w:rPr>
        <w:t xml:space="preserve">En outre, un montant de </w:t>
      </w:r>
      <w:r w:rsidRPr="0042639D">
        <w:rPr>
          <w:lang w:val="fr-CA"/>
        </w:rPr>
        <w:t>40</w:t>
      </w:r>
      <w:r>
        <w:rPr>
          <w:lang w:val="fr-CA"/>
        </w:rPr>
        <w:t> </w:t>
      </w:r>
      <w:r w:rsidRPr="0042639D">
        <w:rPr>
          <w:lang w:val="fr-CA"/>
        </w:rPr>
        <w:t>000</w:t>
      </w:r>
      <w:r>
        <w:rPr>
          <w:lang w:val="fr-CA"/>
        </w:rPr>
        <w:t xml:space="preserve"> $US est proposé pour un </w:t>
      </w:r>
      <w:r w:rsidRPr="0042639D">
        <w:rPr>
          <w:lang w:val="fr-CA"/>
        </w:rPr>
        <w:t xml:space="preserve">consultant </w:t>
      </w:r>
      <w:r>
        <w:rPr>
          <w:lang w:val="fr-CA"/>
        </w:rPr>
        <w:t xml:space="preserve">national chargé d’aider la </w:t>
      </w:r>
      <w:r w:rsidRPr="0042639D">
        <w:rPr>
          <w:lang w:val="fr-CA"/>
        </w:rPr>
        <w:t xml:space="preserve">coordination. </w:t>
      </w:r>
    </w:p>
    <w:p w14:paraId="210FA133" w14:textId="77777777" w:rsidR="006345CD" w:rsidRPr="0042639D" w:rsidRDefault="006345CD" w:rsidP="006345CD">
      <w:pPr>
        <w:pStyle w:val="Heading1"/>
        <w:numPr>
          <w:ilvl w:val="0"/>
          <w:numId w:val="30"/>
        </w:numPr>
        <w:rPr>
          <w:lang w:val="fr-CA"/>
        </w:rPr>
      </w:pPr>
      <w:r>
        <w:rPr>
          <w:lang w:val="fr-CA"/>
        </w:rPr>
        <w:t>En fonction des SAS</w:t>
      </w:r>
      <w:r w:rsidRPr="0042639D">
        <w:rPr>
          <w:lang w:val="fr-CA"/>
        </w:rPr>
        <w:t xml:space="preserve"> </w:t>
      </w:r>
      <w:r>
        <w:rPr>
          <w:lang w:val="fr-CA"/>
        </w:rPr>
        <w:t>pour les trois entreprise</w:t>
      </w:r>
      <w:r w:rsidRPr="0042639D">
        <w:rPr>
          <w:lang w:val="fr-CA"/>
        </w:rPr>
        <w:t xml:space="preserve">s </w:t>
      </w:r>
      <w:r>
        <w:rPr>
          <w:lang w:val="fr-CA"/>
        </w:rPr>
        <w:t xml:space="preserve">qui participent déjà au </w:t>
      </w:r>
      <w:r w:rsidRPr="0042639D">
        <w:rPr>
          <w:lang w:val="fr-CA"/>
        </w:rPr>
        <w:t>projet (849</w:t>
      </w:r>
      <w:r>
        <w:rPr>
          <w:lang w:val="fr-CA"/>
        </w:rPr>
        <w:t> </w:t>
      </w:r>
      <w:r w:rsidRPr="0042639D">
        <w:rPr>
          <w:lang w:val="fr-CA"/>
        </w:rPr>
        <w:t>589</w:t>
      </w:r>
      <w:r>
        <w:rPr>
          <w:lang w:val="fr-CA"/>
        </w:rPr>
        <w:t> $US</w:t>
      </w:r>
      <w:r w:rsidRPr="0042639D">
        <w:rPr>
          <w:lang w:val="fr-CA"/>
        </w:rPr>
        <w:t xml:space="preserve">), </w:t>
      </w:r>
      <w:r>
        <w:rPr>
          <w:lang w:val="fr-CA"/>
        </w:rPr>
        <w:t>la participation prévue de deux autres entreprise</w:t>
      </w:r>
      <w:r w:rsidRPr="0042639D">
        <w:rPr>
          <w:lang w:val="fr-CA"/>
        </w:rPr>
        <w:t>s (500</w:t>
      </w:r>
      <w:r>
        <w:rPr>
          <w:lang w:val="fr-CA"/>
        </w:rPr>
        <w:t> </w:t>
      </w:r>
      <w:r w:rsidRPr="0042639D">
        <w:rPr>
          <w:lang w:val="fr-CA"/>
        </w:rPr>
        <w:t>000</w:t>
      </w:r>
      <w:r>
        <w:rPr>
          <w:lang w:val="fr-CA"/>
        </w:rPr>
        <w:t> $US</w:t>
      </w:r>
      <w:r w:rsidRPr="0042639D">
        <w:rPr>
          <w:lang w:val="fr-CA"/>
        </w:rPr>
        <w:t xml:space="preserve">), </w:t>
      </w:r>
      <w:r>
        <w:rPr>
          <w:lang w:val="fr-CA"/>
        </w:rPr>
        <w:t>l’</w:t>
      </w:r>
      <w:r w:rsidRPr="0042639D">
        <w:rPr>
          <w:lang w:val="fr-CA"/>
        </w:rPr>
        <w:t xml:space="preserve">assistance </w:t>
      </w:r>
      <w:r>
        <w:rPr>
          <w:lang w:val="fr-CA"/>
        </w:rPr>
        <w:t>aux quatre maisons de système</w:t>
      </w:r>
      <w:r w:rsidRPr="0042639D">
        <w:rPr>
          <w:lang w:val="fr-CA"/>
        </w:rPr>
        <w:t xml:space="preserve"> (1</w:t>
      </w:r>
      <w:r>
        <w:rPr>
          <w:lang w:val="fr-CA"/>
        </w:rPr>
        <w:t> </w:t>
      </w:r>
      <w:r w:rsidRPr="0042639D">
        <w:rPr>
          <w:lang w:val="fr-CA"/>
        </w:rPr>
        <w:t>140</w:t>
      </w:r>
      <w:r>
        <w:rPr>
          <w:lang w:val="fr-CA"/>
        </w:rPr>
        <w:t> </w:t>
      </w:r>
      <w:r w:rsidRPr="0042639D">
        <w:rPr>
          <w:lang w:val="fr-CA"/>
        </w:rPr>
        <w:t>000</w:t>
      </w:r>
      <w:r>
        <w:rPr>
          <w:lang w:val="fr-CA"/>
        </w:rPr>
        <w:t> $US</w:t>
      </w:r>
      <w:r w:rsidRPr="0042639D">
        <w:rPr>
          <w:lang w:val="fr-CA"/>
        </w:rPr>
        <w:t xml:space="preserve">) </w:t>
      </w:r>
      <w:r>
        <w:rPr>
          <w:lang w:val="fr-CA"/>
        </w:rPr>
        <w:t>et l’AT</w:t>
      </w:r>
      <w:r w:rsidRPr="0042639D">
        <w:rPr>
          <w:lang w:val="fr-CA"/>
        </w:rPr>
        <w:t xml:space="preserve"> (40</w:t>
      </w:r>
      <w:r>
        <w:rPr>
          <w:lang w:val="fr-CA"/>
        </w:rPr>
        <w:t> </w:t>
      </w:r>
      <w:r w:rsidRPr="0042639D">
        <w:rPr>
          <w:lang w:val="fr-CA"/>
        </w:rPr>
        <w:t>000</w:t>
      </w:r>
      <w:r>
        <w:rPr>
          <w:lang w:val="fr-CA"/>
        </w:rPr>
        <w:t> $US</w:t>
      </w:r>
      <w:r w:rsidRPr="0042639D">
        <w:rPr>
          <w:lang w:val="fr-CA"/>
        </w:rPr>
        <w:t xml:space="preserve">), </w:t>
      </w:r>
      <w:r>
        <w:rPr>
          <w:lang w:val="fr-CA"/>
        </w:rPr>
        <w:t>le coût total des re</w:t>
      </w:r>
      <w:r w:rsidRPr="0042639D">
        <w:rPr>
          <w:lang w:val="fr-CA"/>
        </w:rPr>
        <w:t xml:space="preserve">conversions </w:t>
      </w:r>
      <w:r>
        <w:rPr>
          <w:lang w:val="fr-CA"/>
        </w:rPr>
        <w:t xml:space="preserve">dans le secteur de la fabrication de mousses </w:t>
      </w:r>
      <w:r w:rsidRPr="0042639D">
        <w:rPr>
          <w:lang w:val="fr-CA"/>
        </w:rPr>
        <w:t>PU</w:t>
      </w:r>
      <w:r>
        <w:rPr>
          <w:lang w:val="fr-CA"/>
        </w:rPr>
        <w:t xml:space="preserve"> s’élève à</w:t>
      </w:r>
      <w:r w:rsidRPr="0042639D">
        <w:rPr>
          <w:lang w:val="fr-CA"/>
        </w:rPr>
        <w:t xml:space="preserve"> 2</w:t>
      </w:r>
      <w:r>
        <w:rPr>
          <w:lang w:val="fr-CA"/>
        </w:rPr>
        <w:t> </w:t>
      </w:r>
      <w:r w:rsidRPr="0042639D">
        <w:rPr>
          <w:lang w:val="fr-CA"/>
        </w:rPr>
        <w:t>529</w:t>
      </w:r>
      <w:r>
        <w:rPr>
          <w:lang w:val="fr-CA"/>
        </w:rPr>
        <w:t> </w:t>
      </w:r>
      <w:r w:rsidRPr="0042639D">
        <w:rPr>
          <w:lang w:val="fr-CA"/>
        </w:rPr>
        <w:t>589</w:t>
      </w:r>
      <w:r>
        <w:rPr>
          <w:lang w:val="fr-CA"/>
        </w:rPr>
        <w:t> $US</w:t>
      </w:r>
      <w:r w:rsidRPr="0042639D">
        <w:rPr>
          <w:lang w:val="fr-CA"/>
        </w:rPr>
        <w:t xml:space="preserve">, </w:t>
      </w:r>
      <w:r>
        <w:rPr>
          <w:lang w:val="fr-CA"/>
        </w:rPr>
        <w:t xml:space="preserve">ce qui représente une </w:t>
      </w:r>
      <w:r w:rsidRPr="0042639D">
        <w:rPr>
          <w:lang w:val="fr-CA"/>
        </w:rPr>
        <w:t>r</w:t>
      </w:r>
      <w:r>
        <w:rPr>
          <w:lang w:val="fr-CA"/>
        </w:rPr>
        <w:t>é</w:t>
      </w:r>
      <w:r w:rsidRPr="0042639D">
        <w:rPr>
          <w:lang w:val="fr-CA"/>
        </w:rPr>
        <w:t xml:space="preserve">duction </w:t>
      </w:r>
      <w:r>
        <w:rPr>
          <w:lang w:val="fr-CA"/>
        </w:rPr>
        <w:t xml:space="preserve">de </w:t>
      </w:r>
      <w:r w:rsidRPr="0042639D">
        <w:rPr>
          <w:lang w:val="fr-CA"/>
        </w:rPr>
        <w:t>2</w:t>
      </w:r>
      <w:r>
        <w:rPr>
          <w:lang w:val="fr-CA"/>
        </w:rPr>
        <w:t> </w:t>
      </w:r>
      <w:r w:rsidRPr="0042639D">
        <w:rPr>
          <w:lang w:val="fr-CA"/>
        </w:rPr>
        <w:t>992</w:t>
      </w:r>
      <w:r>
        <w:rPr>
          <w:lang w:val="fr-CA"/>
        </w:rPr>
        <w:t> </w:t>
      </w:r>
      <w:r w:rsidRPr="0042639D">
        <w:rPr>
          <w:lang w:val="fr-CA"/>
        </w:rPr>
        <w:t>808</w:t>
      </w:r>
      <w:r>
        <w:rPr>
          <w:lang w:val="fr-CA"/>
        </w:rPr>
        <w:t> $US du financement convenu pour le secteur</w:t>
      </w:r>
      <w:r w:rsidRPr="0042639D">
        <w:rPr>
          <w:lang w:val="fr-CA"/>
        </w:rPr>
        <w:t xml:space="preserve"> (5</w:t>
      </w:r>
      <w:r>
        <w:rPr>
          <w:lang w:val="fr-CA"/>
        </w:rPr>
        <w:t> </w:t>
      </w:r>
      <w:r w:rsidRPr="0042639D">
        <w:rPr>
          <w:lang w:val="fr-CA"/>
        </w:rPr>
        <w:t>522</w:t>
      </w:r>
      <w:r>
        <w:rPr>
          <w:lang w:val="fr-CA"/>
        </w:rPr>
        <w:t> </w:t>
      </w:r>
      <w:r w:rsidRPr="0042639D">
        <w:rPr>
          <w:lang w:val="fr-CA"/>
        </w:rPr>
        <w:t>397</w:t>
      </w:r>
      <w:r>
        <w:rPr>
          <w:lang w:val="fr-CA"/>
        </w:rPr>
        <w:t> $US</w:t>
      </w:r>
      <w:r w:rsidRPr="0042639D">
        <w:rPr>
          <w:lang w:val="fr-CA"/>
        </w:rPr>
        <w:t xml:space="preserve">). </w:t>
      </w:r>
      <w:r>
        <w:rPr>
          <w:lang w:val="fr-CA"/>
        </w:rPr>
        <w:t>La</w:t>
      </w:r>
      <w:r w:rsidRPr="0042639D">
        <w:rPr>
          <w:lang w:val="fr-CA"/>
        </w:rPr>
        <w:t xml:space="preserve"> Banque Mondiale </w:t>
      </w:r>
      <w:r>
        <w:rPr>
          <w:lang w:val="fr-CA"/>
        </w:rPr>
        <w:t xml:space="preserve">a proposé en outre d’allouer </w:t>
      </w:r>
      <w:r w:rsidRPr="0042639D">
        <w:rPr>
          <w:lang w:val="fr-CA"/>
        </w:rPr>
        <w:t>45</w:t>
      </w:r>
      <w:r>
        <w:rPr>
          <w:lang w:val="fr-CA"/>
        </w:rPr>
        <w:t> </w:t>
      </w:r>
      <w:r w:rsidRPr="0042639D">
        <w:rPr>
          <w:lang w:val="fr-CA"/>
        </w:rPr>
        <w:t>000</w:t>
      </w:r>
      <w:r>
        <w:rPr>
          <w:lang w:val="fr-CA"/>
        </w:rPr>
        <w:t xml:space="preserve"> $US et </w:t>
      </w:r>
      <w:r w:rsidRPr="0042639D">
        <w:rPr>
          <w:lang w:val="fr-CA"/>
        </w:rPr>
        <w:t>45</w:t>
      </w:r>
      <w:r>
        <w:rPr>
          <w:lang w:val="fr-CA"/>
        </w:rPr>
        <w:t> </w:t>
      </w:r>
      <w:r w:rsidRPr="0042639D">
        <w:rPr>
          <w:lang w:val="fr-CA"/>
        </w:rPr>
        <w:t>539</w:t>
      </w:r>
      <w:r>
        <w:rPr>
          <w:lang w:val="fr-CA"/>
        </w:rPr>
        <w:t> $US pour l’AT et l’UMS</w:t>
      </w:r>
      <w:r w:rsidRPr="0042639D">
        <w:rPr>
          <w:lang w:val="fr-CA"/>
        </w:rPr>
        <w:t>, respective</w:t>
      </w:r>
      <w:r>
        <w:rPr>
          <w:lang w:val="fr-CA"/>
        </w:rPr>
        <w:t>ment</w:t>
      </w:r>
      <w:r w:rsidRPr="0042639D">
        <w:rPr>
          <w:lang w:val="fr-CA"/>
        </w:rPr>
        <w:t xml:space="preserve">, </w:t>
      </w:r>
      <w:r>
        <w:rPr>
          <w:lang w:val="fr-CA"/>
        </w:rPr>
        <w:t>pour soutenir les activités techniques, organisationnelles et de vulgarisation dans le secteur des mousses</w:t>
      </w:r>
      <w:r w:rsidRPr="0042639D">
        <w:rPr>
          <w:lang w:val="fr-CA"/>
        </w:rPr>
        <w:t>.</w:t>
      </w:r>
    </w:p>
    <w:p w14:paraId="6FA7E004" w14:textId="77777777" w:rsidR="006345CD" w:rsidRPr="0042639D" w:rsidRDefault="006345CD" w:rsidP="006345CD">
      <w:pPr>
        <w:pStyle w:val="Heading1"/>
        <w:numPr>
          <w:ilvl w:val="0"/>
          <w:numId w:val="0"/>
        </w:numPr>
        <w:tabs>
          <w:tab w:val="left" w:pos="708"/>
        </w:tabs>
        <w:rPr>
          <w:i/>
          <w:iCs/>
          <w:lang w:val="fr-CA"/>
        </w:rPr>
      </w:pPr>
      <w:r>
        <w:rPr>
          <w:i/>
          <w:iCs/>
          <w:lang w:val="fr-CA"/>
        </w:rPr>
        <w:t>Secteur de la fabrication en r</w:t>
      </w:r>
      <w:r w:rsidRPr="0042639D">
        <w:rPr>
          <w:i/>
          <w:iCs/>
          <w:lang w:val="fr-CA"/>
        </w:rPr>
        <w:t>éfrigération</w:t>
      </w:r>
    </w:p>
    <w:p w14:paraId="1649E607" w14:textId="77777777" w:rsidR="006345CD" w:rsidRPr="00CF2151" w:rsidRDefault="006345CD" w:rsidP="006345CD">
      <w:pPr>
        <w:pStyle w:val="Heading1"/>
        <w:numPr>
          <w:ilvl w:val="0"/>
          <w:numId w:val="30"/>
        </w:numPr>
        <w:rPr>
          <w:lang w:val="fr-CA"/>
        </w:rPr>
      </w:pPr>
      <w:r w:rsidRPr="00CF2151">
        <w:rPr>
          <w:lang w:val="fr-CA"/>
        </w:rPr>
        <w:t xml:space="preserve">Jusqu’ici, une entreprise avait signé un SAS pour participer au projet, et deux autres entreprises ont confirmé leur intention de participer; le coût de ces reconversions a été évalué à 771 366 $US. Afin d’appuyer les reconversions d’autres entreprises dans le secteur, la Banque Mondiale a envisagé d’autres façons de procéder qui pourraient surmonter les barrières et appuyer la reconversion des PME; elle a proposé une démarche similaire à celle suivie dans le secteur des mousses, </w:t>
      </w:r>
      <w:r w:rsidRPr="00CF2151">
        <w:rPr>
          <w:lang w:val="fr-FR"/>
        </w:rPr>
        <w:t xml:space="preserve">où </w:t>
      </w:r>
      <w:r>
        <w:rPr>
          <w:lang w:val="fr-FR"/>
        </w:rPr>
        <w:t xml:space="preserve">un intermédiaire dans la chaîne d’approvisionnement </w:t>
      </w:r>
      <w:r>
        <w:rPr>
          <w:lang w:val="fr-CA"/>
        </w:rPr>
        <w:t xml:space="preserve">servirait de coordonnateur de projet du groupe, pour fournir de l’AT, du savoir-faire sur la conception et le développement, et une formation pratique et concrète pour construire des prototypes d’équipement de </w:t>
      </w:r>
      <w:r w:rsidRPr="00CF2151">
        <w:rPr>
          <w:lang w:val="fr-CA"/>
        </w:rPr>
        <w:t xml:space="preserve">réfrigération </w:t>
      </w:r>
      <w:r>
        <w:rPr>
          <w:lang w:val="fr-CA"/>
        </w:rPr>
        <w:t xml:space="preserve">en utilisant des frigorigènes de remplacement à PRG faible ou nul. Chaque </w:t>
      </w:r>
      <w:r w:rsidRPr="00CF2151">
        <w:rPr>
          <w:lang w:val="fr-CA"/>
        </w:rPr>
        <w:t xml:space="preserve">PME </w:t>
      </w:r>
      <w:r>
        <w:rPr>
          <w:lang w:val="fr-CA"/>
        </w:rPr>
        <w:t xml:space="preserve">participante recevra l’équipement et les outils nécessaires pour travailler avec les nouveaux </w:t>
      </w:r>
      <w:r w:rsidRPr="00CF2151">
        <w:rPr>
          <w:lang w:val="fr-CA"/>
        </w:rPr>
        <w:t xml:space="preserve">frigorigènes. </w:t>
      </w:r>
      <w:r>
        <w:rPr>
          <w:lang w:val="fr-CA"/>
        </w:rPr>
        <w:t>L</w:t>
      </w:r>
      <w:r w:rsidRPr="00CF2151">
        <w:rPr>
          <w:lang w:val="fr-CA"/>
        </w:rPr>
        <w:t>e coord</w:t>
      </w:r>
      <w:r>
        <w:rPr>
          <w:lang w:val="fr-CA"/>
        </w:rPr>
        <w:t xml:space="preserve">onnateur aidera à recruter les </w:t>
      </w:r>
      <w:r w:rsidRPr="00CF2151">
        <w:rPr>
          <w:lang w:val="fr-CA"/>
        </w:rPr>
        <w:t xml:space="preserve">PME, </w:t>
      </w:r>
      <w:r>
        <w:rPr>
          <w:lang w:val="fr-CA"/>
        </w:rPr>
        <w:t xml:space="preserve">préparer les </w:t>
      </w:r>
      <w:r w:rsidRPr="00CF2151">
        <w:rPr>
          <w:lang w:val="fr-CA"/>
        </w:rPr>
        <w:t xml:space="preserve">spécifications, </w:t>
      </w:r>
      <w:r>
        <w:rPr>
          <w:lang w:val="fr-CA"/>
        </w:rPr>
        <w:t>et autres tâches</w:t>
      </w:r>
      <w:r w:rsidRPr="00CF2151">
        <w:rPr>
          <w:lang w:val="fr-CA"/>
        </w:rPr>
        <w:t xml:space="preserve">. </w:t>
      </w:r>
      <w:r>
        <w:rPr>
          <w:lang w:val="fr-CA"/>
        </w:rPr>
        <w:t xml:space="preserve">Une quinzaine de </w:t>
      </w:r>
      <w:r w:rsidRPr="00CF2151">
        <w:rPr>
          <w:lang w:val="fr-CA"/>
        </w:rPr>
        <w:t xml:space="preserve">PME </w:t>
      </w:r>
      <w:r>
        <w:rPr>
          <w:lang w:val="fr-CA"/>
        </w:rPr>
        <w:t xml:space="preserve">avec une consommation combinée d’environ </w:t>
      </w:r>
      <w:r w:rsidRPr="00CF2151">
        <w:rPr>
          <w:lang w:val="fr-CA"/>
        </w:rPr>
        <w:t xml:space="preserve">30 </w:t>
      </w:r>
      <w:r>
        <w:rPr>
          <w:lang w:val="fr-CA"/>
        </w:rPr>
        <w:t>à</w:t>
      </w:r>
      <w:r w:rsidRPr="00CF2151">
        <w:rPr>
          <w:lang w:val="fr-CA"/>
        </w:rPr>
        <w:t xml:space="preserve"> 50 </w:t>
      </w:r>
      <w:r>
        <w:rPr>
          <w:lang w:val="fr-CA"/>
        </w:rPr>
        <w:t>t</w:t>
      </w:r>
      <w:r w:rsidRPr="00CF2151">
        <w:rPr>
          <w:lang w:val="fr-CA"/>
        </w:rPr>
        <w:t xml:space="preserve">m </w:t>
      </w:r>
      <w:r>
        <w:rPr>
          <w:lang w:val="fr-CA"/>
        </w:rPr>
        <w:t xml:space="preserve">de </w:t>
      </w:r>
      <w:r w:rsidRPr="00CF2151">
        <w:rPr>
          <w:lang w:val="fr-CA"/>
        </w:rPr>
        <w:t xml:space="preserve">HCFC-22 </w:t>
      </w:r>
      <w:r>
        <w:rPr>
          <w:lang w:val="fr-CA"/>
        </w:rPr>
        <w:t>seront visées par des spécialistes de l’industrie pour participer</w:t>
      </w:r>
      <w:r w:rsidRPr="00CF2151">
        <w:rPr>
          <w:lang w:val="fr-CA"/>
        </w:rPr>
        <w:t xml:space="preserve">. </w:t>
      </w:r>
      <w:r>
        <w:rPr>
          <w:lang w:val="fr-CA"/>
        </w:rPr>
        <w:t>La</w:t>
      </w:r>
      <w:r w:rsidRPr="00CF2151">
        <w:rPr>
          <w:lang w:val="fr-CA"/>
        </w:rPr>
        <w:t xml:space="preserve"> Banque Mondiale </w:t>
      </w:r>
      <w:r>
        <w:rPr>
          <w:lang w:val="fr-CA"/>
        </w:rPr>
        <w:t xml:space="preserve">a évalué les coûts de ce projet de groupe à </w:t>
      </w:r>
      <w:r w:rsidRPr="00CF2151">
        <w:rPr>
          <w:lang w:val="fr-CA"/>
        </w:rPr>
        <w:t>633</w:t>
      </w:r>
      <w:r>
        <w:rPr>
          <w:lang w:val="fr-CA"/>
        </w:rPr>
        <w:t> </w:t>
      </w:r>
      <w:r w:rsidRPr="00CF2151">
        <w:rPr>
          <w:lang w:val="fr-CA"/>
        </w:rPr>
        <w:t>926</w:t>
      </w:r>
      <w:r>
        <w:rPr>
          <w:lang w:val="fr-CA"/>
        </w:rPr>
        <w:t> $US</w:t>
      </w:r>
      <w:r w:rsidRPr="00CF2151">
        <w:rPr>
          <w:lang w:val="fr-CA"/>
        </w:rPr>
        <w:t xml:space="preserve">, </w:t>
      </w:r>
      <w:r>
        <w:rPr>
          <w:lang w:val="fr-CA"/>
        </w:rPr>
        <w:t xml:space="preserve">avec un coût total pour le secteur de </w:t>
      </w:r>
      <w:r w:rsidRPr="00CF2151">
        <w:rPr>
          <w:lang w:val="fr-CA"/>
        </w:rPr>
        <w:t>1</w:t>
      </w:r>
      <w:r>
        <w:rPr>
          <w:lang w:val="fr-CA"/>
        </w:rPr>
        <w:t> </w:t>
      </w:r>
      <w:r w:rsidRPr="00CF2151">
        <w:rPr>
          <w:lang w:val="fr-CA"/>
        </w:rPr>
        <w:t>405</w:t>
      </w:r>
      <w:r>
        <w:rPr>
          <w:lang w:val="fr-CA"/>
        </w:rPr>
        <w:t> </w:t>
      </w:r>
      <w:r w:rsidRPr="00CF2151">
        <w:rPr>
          <w:lang w:val="fr-CA"/>
        </w:rPr>
        <w:t>292</w:t>
      </w:r>
      <w:r>
        <w:rPr>
          <w:lang w:val="fr-CA"/>
        </w:rPr>
        <w:t> $US</w:t>
      </w:r>
      <w:r w:rsidRPr="00CF2151">
        <w:rPr>
          <w:lang w:val="fr-CA"/>
        </w:rPr>
        <w:t xml:space="preserve">, </w:t>
      </w:r>
      <w:r>
        <w:rPr>
          <w:lang w:val="fr-CA"/>
        </w:rPr>
        <w:t xml:space="preserve">soit </w:t>
      </w:r>
      <w:r w:rsidRPr="00CF2151">
        <w:rPr>
          <w:lang w:val="fr-CA"/>
        </w:rPr>
        <w:t>2</w:t>
      </w:r>
      <w:r>
        <w:rPr>
          <w:lang w:val="fr-CA"/>
        </w:rPr>
        <w:t> </w:t>
      </w:r>
      <w:r w:rsidRPr="00CF2151">
        <w:rPr>
          <w:lang w:val="fr-CA"/>
        </w:rPr>
        <w:t>230</w:t>
      </w:r>
      <w:r>
        <w:rPr>
          <w:lang w:val="fr-CA"/>
        </w:rPr>
        <w:t> </w:t>
      </w:r>
      <w:r w:rsidRPr="00CF2151">
        <w:rPr>
          <w:lang w:val="fr-CA"/>
        </w:rPr>
        <w:t>708</w:t>
      </w:r>
      <w:r>
        <w:rPr>
          <w:lang w:val="fr-CA"/>
        </w:rPr>
        <w:t xml:space="preserve"> $US de moins que les coûts convenus de </w:t>
      </w:r>
      <w:r w:rsidRPr="00CF2151">
        <w:rPr>
          <w:lang w:val="fr-CA"/>
        </w:rPr>
        <w:t>3</w:t>
      </w:r>
      <w:r>
        <w:rPr>
          <w:lang w:val="fr-CA"/>
        </w:rPr>
        <w:t> </w:t>
      </w:r>
      <w:r w:rsidRPr="00CF2151">
        <w:rPr>
          <w:lang w:val="fr-CA"/>
        </w:rPr>
        <w:t>636</w:t>
      </w:r>
      <w:r>
        <w:rPr>
          <w:lang w:val="fr-CA"/>
        </w:rPr>
        <w:t> </w:t>
      </w:r>
      <w:r w:rsidRPr="00CF2151">
        <w:rPr>
          <w:lang w:val="fr-CA"/>
        </w:rPr>
        <w:t>000</w:t>
      </w:r>
      <w:r>
        <w:rPr>
          <w:lang w:val="fr-CA"/>
        </w:rPr>
        <w:t> $US</w:t>
      </w:r>
      <w:r w:rsidRPr="00CF2151">
        <w:rPr>
          <w:lang w:val="fr-CA"/>
        </w:rPr>
        <w:t xml:space="preserve"> </w:t>
      </w:r>
      <w:r>
        <w:rPr>
          <w:lang w:val="fr-CA"/>
        </w:rPr>
        <w:t>pour l</w:t>
      </w:r>
      <w:r w:rsidRPr="00CF2151">
        <w:rPr>
          <w:lang w:val="fr-CA"/>
        </w:rPr>
        <w:t>e secteur.</w:t>
      </w:r>
    </w:p>
    <w:p w14:paraId="2C0A55AA" w14:textId="77777777" w:rsidR="006345CD" w:rsidRPr="0042639D" w:rsidRDefault="006345CD" w:rsidP="006345CD">
      <w:pPr>
        <w:keepNext/>
        <w:rPr>
          <w:iCs/>
          <w:u w:val="single"/>
          <w:lang w:val="fr-CA"/>
        </w:rPr>
      </w:pPr>
      <w:r>
        <w:rPr>
          <w:iCs/>
          <w:u w:val="single"/>
          <w:lang w:val="fr-CA"/>
        </w:rPr>
        <w:t>Secteur de l’entretien en r</w:t>
      </w:r>
      <w:r w:rsidRPr="0042639D">
        <w:rPr>
          <w:iCs/>
          <w:u w:val="single"/>
          <w:lang w:val="fr-CA"/>
        </w:rPr>
        <w:t>éfrigération</w:t>
      </w:r>
    </w:p>
    <w:p w14:paraId="23851A4D" w14:textId="77777777" w:rsidR="006345CD" w:rsidRPr="0042639D" w:rsidRDefault="006345CD" w:rsidP="006345CD">
      <w:pPr>
        <w:keepNext/>
        <w:rPr>
          <w:lang w:val="fr-CA"/>
        </w:rPr>
      </w:pPr>
    </w:p>
    <w:p w14:paraId="444EB0A6" w14:textId="77777777" w:rsidR="006345CD" w:rsidRPr="0042639D" w:rsidRDefault="006345CD" w:rsidP="006345CD">
      <w:pPr>
        <w:pStyle w:val="Heading1"/>
        <w:numPr>
          <w:ilvl w:val="0"/>
          <w:numId w:val="30"/>
        </w:numPr>
        <w:rPr>
          <w:lang w:val="fr-CA"/>
        </w:rPr>
      </w:pPr>
      <w:r>
        <w:rPr>
          <w:lang w:val="fr-CA"/>
        </w:rPr>
        <w:t>L</w:t>
      </w:r>
      <w:r w:rsidRPr="0042639D">
        <w:rPr>
          <w:lang w:val="fr-CA"/>
        </w:rPr>
        <w:t xml:space="preserve">e Gouvernement </w:t>
      </w:r>
      <w:r>
        <w:rPr>
          <w:lang w:val="fr-CA"/>
        </w:rPr>
        <w:t xml:space="preserve">a proposé un financement supplémentaire de </w:t>
      </w:r>
      <w:r w:rsidRPr="0042639D">
        <w:rPr>
          <w:lang w:val="fr-CA"/>
        </w:rPr>
        <w:t>1</w:t>
      </w:r>
      <w:r>
        <w:rPr>
          <w:lang w:val="fr-CA"/>
        </w:rPr>
        <w:t> </w:t>
      </w:r>
      <w:r w:rsidRPr="0042639D">
        <w:rPr>
          <w:lang w:val="fr-CA"/>
        </w:rPr>
        <w:t>330</w:t>
      </w:r>
      <w:r>
        <w:rPr>
          <w:lang w:val="fr-CA"/>
        </w:rPr>
        <w:t> </w:t>
      </w:r>
      <w:r w:rsidRPr="0042639D">
        <w:rPr>
          <w:lang w:val="fr-CA"/>
        </w:rPr>
        <w:t>000</w:t>
      </w:r>
      <w:r>
        <w:rPr>
          <w:lang w:val="fr-CA"/>
        </w:rPr>
        <w:t> $US pour mieux soutenir le programme de formation d’instructeurs (</w:t>
      </w:r>
      <w:r w:rsidRPr="0042639D">
        <w:rPr>
          <w:lang w:val="fr-CA"/>
        </w:rPr>
        <w:t>60</w:t>
      </w:r>
      <w:r>
        <w:rPr>
          <w:lang w:val="fr-CA"/>
        </w:rPr>
        <w:t> </w:t>
      </w:r>
      <w:r w:rsidRPr="0042639D">
        <w:rPr>
          <w:lang w:val="fr-CA"/>
        </w:rPr>
        <w:t>000</w:t>
      </w:r>
      <w:r>
        <w:rPr>
          <w:lang w:val="fr-CA"/>
        </w:rPr>
        <w:t> $US</w:t>
      </w:r>
      <w:r w:rsidRPr="0042639D">
        <w:rPr>
          <w:lang w:val="fr-CA"/>
        </w:rPr>
        <w:t>),</w:t>
      </w:r>
      <w:r>
        <w:rPr>
          <w:lang w:val="fr-CA"/>
        </w:rPr>
        <w:t xml:space="preserve"> de mettre sur pied une base de données en ligne sur les techniciens formés et les activités de formation </w:t>
      </w:r>
      <w:r w:rsidRPr="0042639D">
        <w:rPr>
          <w:lang w:val="fr-CA"/>
        </w:rPr>
        <w:t>(35</w:t>
      </w:r>
      <w:r>
        <w:rPr>
          <w:lang w:val="fr-CA"/>
        </w:rPr>
        <w:t> </w:t>
      </w:r>
      <w:r w:rsidRPr="0042639D">
        <w:rPr>
          <w:lang w:val="fr-CA"/>
        </w:rPr>
        <w:t>000</w:t>
      </w:r>
      <w:r>
        <w:rPr>
          <w:lang w:val="fr-CA"/>
        </w:rPr>
        <w:t> $US</w:t>
      </w:r>
      <w:r w:rsidRPr="0042639D">
        <w:rPr>
          <w:lang w:val="fr-CA"/>
        </w:rPr>
        <w:t xml:space="preserve">), </w:t>
      </w:r>
      <w:r>
        <w:rPr>
          <w:lang w:val="fr-CA"/>
        </w:rPr>
        <w:t xml:space="preserve">d’élaborer une norme de certification et d’évaluation pour la formation de </w:t>
      </w:r>
      <w:r w:rsidRPr="0042639D">
        <w:rPr>
          <w:lang w:val="fr-CA"/>
        </w:rPr>
        <w:t>technici</w:t>
      </w:r>
      <w:r>
        <w:rPr>
          <w:lang w:val="fr-CA"/>
        </w:rPr>
        <w:t>e</w:t>
      </w:r>
      <w:r w:rsidRPr="0042639D">
        <w:rPr>
          <w:lang w:val="fr-CA"/>
        </w:rPr>
        <w:t>ns (35</w:t>
      </w:r>
      <w:r>
        <w:rPr>
          <w:lang w:val="fr-CA"/>
        </w:rPr>
        <w:t> </w:t>
      </w:r>
      <w:r w:rsidRPr="0042639D">
        <w:rPr>
          <w:lang w:val="fr-CA"/>
        </w:rPr>
        <w:t>000</w:t>
      </w:r>
      <w:r>
        <w:rPr>
          <w:lang w:val="fr-CA"/>
        </w:rPr>
        <w:t> $US</w:t>
      </w:r>
      <w:r w:rsidRPr="0042639D">
        <w:rPr>
          <w:lang w:val="fr-CA"/>
        </w:rPr>
        <w:t xml:space="preserve">), </w:t>
      </w:r>
      <w:r>
        <w:rPr>
          <w:lang w:val="fr-CA"/>
        </w:rPr>
        <w:t xml:space="preserve">et de fournir des trousses d’outils supplémentaires à </w:t>
      </w:r>
      <w:r w:rsidRPr="0042639D">
        <w:rPr>
          <w:lang w:val="fr-CA"/>
        </w:rPr>
        <w:t xml:space="preserve">50 centres </w:t>
      </w:r>
      <w:r>
        <w:rPr>
          <w:lang w:val="fr-CA"/>
        </w:rPr>
        <w:t xml:space="preserve">de formation et à </w:t>
      </w:r>
      <w:r w:rsidRPr="0042639D">
        <w:rPr>
          <w:lang w:val="fr-CA"/>
        </w:rPr>
        <w:t xml:space="preserve">200 </w:t>
      </w:r>
      <w:r>
        <w:rPr>
          <w:lang w:val="fr-CA"/>
        </w:rPr>
        <w:t>ateliers d’entretien</w:t>
      </w:r>
      <w:r w:rsidRPr="0042639D">
        <w:rPr>
          <w:lang w:val="fr-CA"/>
        </w:rPr>
        <w:t xml:space="preserve"> (1</w:t>
      </w:r>
      <w:r>
        <w:rPr>
          <w:lang w:val="fr-CA"/>
        </w:rPr>
        <w:t> </w:t>
      </w:r>
      <w:r w:rsidRPr="0042639D">
        <w:rPr>
          <w:lang w:val="fr-CA"/>
        </w:rPr>
        <w:t>200</w:t>
      </w:r>
      <w:r>
        <w:rPr>
          <w:lang w:val="fr-CA"/>
        </w:rPr>
        <w:t> </w:t>
      </w:r>
      <w:r w:rsidRPr="0042639D">
        <w:rPr>
          <w:lang w:val="fr-CA"/>
        </w:rPr>
        <w:t>000</w:t>
      </w:r>
      <w:r>
        <w:rPr>
          <w:lang w:val="fr-CA"/>
        </w:rPr>
        <w:t> $US</w:t>
      </w:r>
      <w:r w:rsidRPr="0042639D">
        <w:rPr>
          <w:lang w:val="fr-CA"/>
        </w:rPr>
        <w:t>).</w:t>
      </w:r>
    </w:p>
    <w:p w14:paraId="19DB9E62" w14:textId="77777777" w:rsidR="006345CD" w:rsidRPr="0042639D" w:rsidRDefault="006345CD" w:rsidP="006345CD">
      <w:pPr>
        <w:rPr>
          <w:iCs/>
          <w:u w:val="single"/>
          <w:lang w:val="fr-CA"/>
        </w:rPr>
      </w:pPr>
      <w:r>
        <w:rPr>
          <w:iCs/>
          <w:u w:val="single"/>
          <w:lang w:val="fr-CA"/>
        </w:rPr>
        <w:t>A</w:t>
      </w:r>
      <w:r w:rsidRPr="0042639D">
        <w:rPr>
          <w:iCs/>
          <w:u w:val="single"/>
          <w:lang w:val="fr-CA"/>
        </w:rPr>
        <w:t>ssistance</w:t>
      </w:r>
      <w:r>
        <w:rPr>
          <w:iCs/>
          <w:u w:val="single"/>
          <w:lang w:val="fr-CA"/>
        </w:rPr>
        <w:t xml:space="preserve"> technique (AT)</w:t>
      </w:r>
    </w:p>
    <w:p w14:paraId="1957D36C" w14:textId="77777777" w:rsidR="006345CD" w:rsidRPr="0042639D" w:rsidRDefault="006345CD" w:rsidP="006345CD">
      <w:pPr>
        <w:rPr>
          <w:lang w:val="fr-CA"/>
        </w:rPr>
      </w:pPr>
    </w:p>
    <w:p w14:paraId="59568417" w14:textId="77777777" w:rsidR="006345CD" w:rsidRPr="0042639D" w:rsidRDefault="006345CD" w:rsidP="006345CD">
      <w:pPr>
        <w:pStyle w:val="Heading1"/>
        <w:numPr>
          <w:ilvl w:val="0"/>
          <w:numId w:val="30"/>
        </w:numPr>
        <w:rPr>
          <w:lang w:val="fr-CA"/>
        </w:rPr>
      </w:pPr>
      <w:r>
        <w:rPr>
          <w:lang w:val="fr-CA"/>
        </w:rPr>
        <w:t xml:space="preserve">La </w:t>
      </w:r>
      <w:r w:rsidRPr="0042639D">
        <w:rPr>
          <w:lang w:val="fr-CA"/>
        </w:rPr>
        <w:t xml:space="preserve">Banque Mondiale </w:t>
      </w:r>
      <w:r>
        <w:rPr>
          <w:lang w:val="fr-CA"/>
        </w:rPr>
        <w:t xml:space="preserve">a proposé de relever le financement de l’AT de </w:t>
      </w:r>
      <w:r w:rsidRPr="0042639D">
        <w:rPr>
          <w:lang w:val="fr-CA"/>
        </w:rPr>
        <w:t>90</w:t>
      </w:r>
      <w:r>
        <w:rPr>
          <w:lang w:val="fr-CA"/>
        </w:rPr>
        <w:t> </w:t>
      </w:r>
      <w:r w:rsidRPr="0042639D">
        <w:rPr>
          <w:lang w:val="fr-CA"/>
        </w:rPr>
        <w:t>000</w:t>
      </w:r>
      <w:r>
        <w:rPr>
          <w:lang w:val="fr-CA"/>
        </w:rPr>
        <w:t> $US afin d’élaborer une norme nationale</w:t>
      </w:r>
      <w:r w:rsidRPr="0042639D">
        <w:rPr>
          <w:lang w:val="fr-CA"/>
        </w:rPr>
        <w:t xml:space="preserve"> s</w:t>
      </w:r>
      <w:r>
        <w:rPr>
          <w:lang w:val="fr-CA"/>
        </w:rPr>
        <w:t>ur la sécurité de la fabrication et de l’installation de climatiseurs de chambre utilisant des frigorigène</w:t>
      </w:r>
      <w:r w:rsidRPr="0042639D">
        <w:rPr>
          <w:lang w:val="fr-CA"/>
        </w:rPr>
        <w:t>s</w:t>
      </w:r>
      <w:r>
        <w:rPr>
          <w:lang w:val="fr-CA"/>
        </w:rPr>
        <w:t xml:space="preserve"> inflammables</w:t>
      </w:r>
      <w:r w:rsidRPr="0042639D">
        <w:rPr>
          <w:lang w:val="fr-CA"/>
        </w:rPr>
        <w:t xml:space="preserve">, </w:t>
      </w:r>
      <w:r>
        <w:rPr>
          <w:lang w:val="fr-CA"/>
        </w:rPr>
        <w:t xml:space="preserve">et d’appuyer davantage des </w:t>
      </w:r>
      <w:r w:rsidRPr="0042639D">
        <w:rPr>
          <w:lang w:val="fr-CA"/>
        </w:rPr>
        <w:t>activités</w:t>
      </w:r>
      <w:r>
        <w:rPr>
          <w:lang w:val="fr-CA"/>
        </w:rPr>
        <w:t xml:space="preserve"> convenues</w:t>
      </w:r>
      <w:r w:rsidRPr="0042639D">
        <w:rPr>
          <w:lang w:val="fr-CA"/>
        </w:rPr>
        <w:t>.</w:t>
      </w:r>
    </w:p>
    <w:p w14:paraId="6716467D" w14:textId="77777777" w:rsidR="006345CD" w:rsidRPr="0042639D" w:rsidRDefault="006345CD" w:rsidP="006345CD">
      <w:pPr>
        <w:keepNext/>
        <w:ind w:hanging="2"/>
        <w:rPr>
          <w:iCs/>
          <w:u w:val="single"/>
          <w:lang w:val="fr-CA"/>
        </w:rPr>
      </w:pPr>
      <w:r>
        <w:rPr>
          <w:iCs/>
          <w:u w:val="single"/>
          <w:lang w:val="fr-CA"/>
        </w:rPr>
        <w:t>UMS</w:t>
      </w:r>
    </w:p>
    <w:p w14:paraId="5C9B04F9" w14:textId="77777777" w:rsidR="006345CD" w:rsidRPr="0042639D" w:rsidRDefault="006345CD" w:rsidP="006345CD">
      <w:pPr>
        <w:keepNext/>
        <w:rPr>
          <w:lang w:val="fr-CA"/>
        </w:rPr>
      </w:pPr>
    </w:p>
    <w:p w14:paraId="421A9CF3" w14:textId="77777777" w:rsidR="006345CD" w:rsidRPr="0042639D" w:rsidRDefault="006345CD" w:rsidP="006345CD">
      <w:pPr>
        <w:pStyle w:val="Heading1"/>
        <w:keepNext/>
        <w:numPr>
          <w:ilvl w:val="0"/>
          <w:numId w:val="30"/>
        </w:numPr>
        <w:rPr>
          <w:lang w:val="fr-CA"/>
        </w:rPr>
      </w:pPr>
      <w:r>
        <w:rPr>
          <w:lang w:val="fr-CA"/>
        </w:rPr>
        <w:t>En raison de la capacité limitée des PME</w:t>
      </w:r>
      <w:r w:rsidRPr="0042639D">
        <w:rPr>
          <w:lang w:val="fr-CA"/>
        </w:rPr>
        <w:t xml:space="preserve"> </w:t>
      </w:r>
      <w:r>
        <w:rPr>
          <w:lang w:val="fr-CA"/>
        </w:rPr>
        <w:t>à formuler des propositions et à acquérir des équipements</w:t>
      </w:r>
      <w:r w:rsidRPr="0042639D">
        <w:rPr>
          <w:lang w:val="fr-CA"/>
        </w:rPr>
        <w:t xml:space="preserve">, </w:t>
      </w:r>
      <w:r>
        <w:rPr>
          <w:lang w:val="fr-CA"/>
        </w:rPr>
        <w:t xml:space="preserve">leur résistance à participer au </w:t>
      </w:r>
      <w:r w:rsidRPr="0042639D">
        <w:rPr>
          <w:lang w:val="fr-CA"/>
        </w:rPr>
        <w:t>projet</w:t>
      </w:r>
      <w:r>
        <w:rPr>
          <w:lang w:val="fr-CA"/>
        </w:rPr>
        <w:t>, l’UMS</w:t>
      </w:r>
      <w:r w:rsidRPr="0042639D">
        <w:rPr>
          <w:lang w:val="fr-CA"/>
        </w:rPr>
        <w:t xml:space="preserve"> </w:t>
      </w:r>
      <w:r>
        <w:rPr>
          <w:lang w:val="fr-CA"/>
        </w:rPr>
        <w:t>a encouru des dépenses qui dépassaient les niveaux anticipés initialement</w:t>
      </w:r>
      <w:r w:rsidRPr="0042639D">
        <w:rPr>
          <w:lang w:val="fr-CA"/>
        </w:rPr>
        <w:t xml:space="preserve">. </w:t>
      </w:r>
      <w:r>
        <w:rPr>
          <w:lang w:val="fr-CA"/>
        </w:rPr>
        <w:t>En conséquence, et compte tenu de la prolongation d’un an du projet</w:t>
      </w:r>
      <w:r w:rsidRPr="0042639D">
        <w:rPr>
          <w:lang w:val="fr-CA"/>
        </w:rPr>
        <w:t xml:space="preserve">, </w:t>
      </w:r>
      <w:r>
        <w:rPr>
          <w:lang w:val="fr-CA"/>
        </w:rPr>
        <w:t>la</w:t>
      </w:r>
      <w:r w:rsidRPr="0042639D">
        <w:rPr>
          <w:lang w:val="fr-CA"/>
        </w:rPr>
        <w:t xml:space="preserve"> Banque Mondiale</w:t>
      </w:r>
      <w:r>
        <w:rPr>
          <w:lang w:val="fr-CA"/>
        </w:rPr>
        <w:t xml:space="preserve"> </w:t>
      </w:r>
      <w:proofErr w:type="gramStart"/>
      <w:r>
        <w:rPr>
          <w:lang w:val="fr-CA"/>
        </w:rPr>
        <w:t xml:space="preserve">a </w:t>
      </w:r>
      <w:r w:rsidRPr="0042639D">
        <w:rPr>
          <w:lang w:val="fr-CA"/>
        </w:rPr>
        <w:t xml:space="preserve"> propos</w:t>
      </w:r>
      <w:r>
        <w:rPr>
          <w:lang w:val="fr-CA"/>
        </w:rPr>
        <w:t>é</w:t>
      </w:r>
      <w:proofErr w:type="gramEnd"/>
      <w:r w:rsidRPr="0042639D">
        <w:rPr>
          <w:lang w:val="fr-CA"/>
        </w:rPr>
        <w:t xml:space="preserve"> </w:t>
      </w:r>
      <w:r>
        <w:rPr>
          <w:lang w:val="fr-CA"/>
        </w:rPr>
        <w:t xml:space="preserve">un financement supplémentaire de </w:t>
      </w:r>
      <w:r w:rsidRPr="0042639D">
        <w:rPr>
          <w:lang w:val="fr-CA"/>
        </w:rPr>
        <w:t>90</w:t>
      </w:r>
      <w:r>
        <w:rPr>
          <w:lang w:val="fr-CA"/>
        </w:rPr>
        <w:t> </w:t>
      </w:r>
      <w:r w:rsidRPr="0042639D">
        <w:rPr>
          <w:lang w:val="fr-CA"/>
        </w:rPr>
        <w:t>539</w:t>
      </w:r>
      <w:r>
        <w:rPr>
          <w:lang w:val="fr-CA"/>
        </w:rPr>
        <w:t xml:space="preserve"> $US pour assurer que l’UMS puisse continuer à gérer efficacement le </w:t>
      </w:r>
      <w:r w:rsidRPr="0042639D">
        <w:rPr>
          <w:lang w:val="fr-CA"/>
        </w:rPr>
        <w:t xml:space="preserve">projet </w:t>
      </w:r>
      <w:r>
        <w:rPr>
          <w:lang w:val="fr-CA"/>
        </w:rPr>
        <w:t xml:space="preserve">tout en s’acquittant de ses responsabilités de surveillance, de compte rendu, et fiduciaires pour l’achèvement du </w:t>
      </w:r>
      <w:r w:rsidRPr="0042639D">
        <w:rPr>
          <w:lang w:val="fr-CA"/>
        </w:rPr>
        <w:t>projet.</w:t>
      </w:r>
    </w:p>
    <w:p w14:paraId="1203DD9D" w14:textId="77777777" w:rsidR="006345CD" w:rsidRPr="0042639D" w:rsidRDefault="006345CD" w:rsidP="006345CD">
      <w:pPr>
        <w:rPr>
          <w:b/>
          <w:lang w:val="fr-CA"/>
        </w:rPr>
      </w:pPr>
      <w:r w:rsidRPr="0042639D">
        <w:rPr>
          <w:b/>
          <w:lang w:val="fr-CA"/>
        </w:rPr>
        <w:t xml:space="preserve">Tableau 13. </w:t>
      </w:r>
      <w:r>
        <w:rPr>
          <w:b/>
          <w:lang w:val="fr-CA"/>
        </w:rPr>
        <w:t xml:space="preserve">Financement proposé pour la </w:t>
      </w:r>
      <w:r w:rsidRPr="0042639D">
        <w:rPr>
          <w:b/>
          <w:lang w:val="fr-CA"/>
        </w:rPr>
        <w:t xml:space="preserve">phase II </w:t>
      </w:r>
      <w:r>
        <w:rPr>
          <w:b/>
          <w:lang w:val="fr-CA"/>
        </w:rPr>
        <w:t xml:space="preserve">révisée du </w:t>
      </w:r>
      <w:r w:rsidRPr="0042639D">
        <w:rPr>
          <w:b/>
          <w:lang w:val="fr-CA"/>
        </w:rPr>
        <w:t xml:space="preserve">PGEH </w:t>
      </w:r>
      <w:r>
        <w:rPr>
          <w:b/>
          <w:lang w:val="fr-CA"/>
        </w:rPr>
        <w:t xml:space="preserve">pour le </w:t>
      </w:r>
      <w:r w:rsidRPr="0042639D">
        <w:rPr>
          <w:b/>
          <w:lang w:val="fr-CA"/>
        </w:rPr>
        <w:t>Viet Nam (</w:t>
      </w:r>
      <w:r>
        <w:rPr>
          <w:b/>
          <w:lang w:val="fr-CA"/>
        </w:rPr>
        <w:t>$US</w:t>
      </w:r>
      <w:r w:rsidRPr="0042639D">
        <w:rPr>
          <w:b/>
          <w:lang w:val="fr-CA"/>
        </w:rPr>
        <w:t>)</w:t>
      </w:r>
    </w:p>
    <w:tbl>
      <w:tblPr>
        <w:tblW w:w="5000" w:type="pct"/>
        <w:tblLook w:val="04A0" w:firstRow="1" w:lastRow="0" w:firstColumn="1" w:lastColumn="0" w:noHBand="0" w:noVBand="1"/>
      </w:tblPr>
      <w:tblGrid>
        <w:gridCol w:w="2838"/>
        <w:gridCol w:w="1266"/>
        <w:gridCol w:w="1633"/>
        <w:gridCol w:w="1857"/>
        <w:gridCol w:w="1756"/>
      </w:tblGrid>
      <w:tr w:rsidR="006345CD" w:rsidRPr="0042639D" w14:paraId="2FEA5F3B" w14:textId="77777777" w:rsidTr="006023A6">
        <w:trPr>
          <w:trHeight w:val="300"/>
          <w:tblHeader/>
        </w:trPr>
        <w:tc>
          <w:tcPr>
            <w:tcW w:w="1518" w:type="pct"/>
            <w:tcBorders>
              <w:top w:val="single" w:sz="4" w:space="0" w:color="auto"/>
              <w:left w:val="single" w:sz="4" w:space="0" w:color="auto"/>
              <w:bottom w:val="single" w:sz="4" w:space="0" w:color="auto"/>
              <w:right w:val="single" w:sz="4" w:space="0" w:color="auto"/>
            </w:tcBorders>
            <w:noWrap/>
            <w:vAlign w:val="center"/>
            <w:hideMark/>
          </w:tcPr>
          <w:p w14:paraId="39598084" w14:textId="77777777" w:rsidR="006345CD" w:rsidRPr="0042639D" w:rsidRDefault="006345CD" w:rsidP="006023A6">
            <w:pPr>
              <w:jc w:val="center"/>
              <w:rPr>
                <w:b/>
                <w:bCs/>
                <w:color w:val="000000"/>
                <w:sz w:val="20"/>
                <w:szCs w:val="20"/>
                <w:lang w:val="fr-CA" w:eastAsia="en-CA"/>
              </w:rPr>
            </w:pPr>
            <w:r>
              <w:rPr>
                <w:b/>
                <w:bCs/>
                <w:color w:val="000000"/>
                <w:sz w:val="20"/>
                <w:szCs w:val="20"/>
                <w:lang w:val="fr-CA" w:eastAsia="en-CA"/>
              </w:rPr>
              <w:t>Secteur</w:t>
            </w:r>
          </w:p>
        </w:tc>
        <w:tc>
          <w:tcPr>
            <w:tcW w:w="677" w:type="pct"/>
            <w:tcBorders>
              <w:top w:val="single" w:sz="4" w:space="0" w:color="auto"/>
              <w:left w:val="nil"/>
              <w:bottom w:val="single" w:sz="4" w:space="0" w:color="auto"/>
              <w:right w:val="single" w:sz="4" w:space="0" w:color="auto"/>
            </w:tcBorders>
            <w:vAlign w:val="center"/>
            <w:hideMark/>
          </w:tcPr>
          <w:p w14:paraId="39A40F6F" w14:textId="77777777" w:rsidR="006345CD" w:rsidRPr="0042639D" w:rsidRDefault="006345CD" w:rsidP="006023A6">
            <w:pPr>
              <w:jc w:val="center"/>
              <w:rPr>
                <w:b/>
                <w:bCs/>
                <w:color w:val="000000"/>
                <w:sz w:val="20"/>
                <w:szCs w:val="20"/>
                <w:lang w:val="fr-CA" w:eastAsia="en-CA"/>
              </w:rPr>
            </w:pPr>
            <w:r w:rsidRPr="0042639D">
              <w:rPr>
                <w:b/>
                <w:bCs/>
                <w:color w:val="000000"/>
                <w:sz w:val="20"/>
                <w:szCs w:val="20"/>
                <w:lang w:val="fr-CA" w:eastAsia="en-CA"/>
              </w:rPr>
              <w:t>Agenc</w:t>
            </w:r>
            <w:r>
              <w:rPr>
                <w:b/>
                <w:bCs/>
                <w:color w:val="000000"/>
                <w:sz w:val="20"/>
                <w:szCs w:val="20"/>
                <w:lang w:val="fr-CA" w:eastAsia="en-CA"/>
              </w:rPr>
              <w:t>e</w:t>
            </w:r>
          </w:p>
        </w:tc>
        <w:tc>
          <w:tcPr>
            <w:tcW w:w="873" w:type="pct"/>
            <w:tcBorders>
              <w:top w:val="single" w:sz="4" w:space="0" w:color="auto"/>
              <w:left w:val="nil"/>
              <w:bottom w:val="single" w:sz="4" w:space="0" w:color="auto"/>
              <w:right w:val="single" w:sz="4" w:space="0" w:color="auto"/>
            </w:tcBorders>
            <w:vAlign w:val="center"/>
            <w:hideMark/>
          </w:tcPr>
          <w:p w14:paraId="65F0FA1A" w14:textId="77777777" w:rsidR="006345CD" w:rsidRPr="0042639D" w:rsidRDefault="006345CD" w:rsidP="006023A6">
            <w:pPr>
              <w:jc w:val="center"/>
              <w:rPr>
                <w:b/>
                <w:bCs/>
                <w:color w:val="000000"/>
                <w:sz w:val="20"/>
                <w:szCs w:val="20"/>
                <w:lang w:val="fr-CA" w:eastAsia="en-CA"/>
              </w:rPr>
            </w:pPr>
            <w:r>
              <w:rPr>
                <w:b/>
                <w:bCs/>
                <w:color w:val="000000"/>
                <w:sz w:val="20"/>
                <w:szCs w:val="20"/>
                <w:lang w:val="fr-CA" w:eastAsia="en-CA"/>
              </w:rPr>
              <w:t>Financement approuvé</w:t>
            </w:r>
          </w:p>
        </w:tc>
        <w:tc>
          <w:tcPr>
            <w:tcW w:w="993" w:type="pct"/>
            <w:tcBorders>
              <w:top w:val="single" w:sz="4" w:space="0" w:color="auto"/>
              <w:left w:val="nil"/>
              <w:bottom w:val="single" w:sz="4" w:space="0" w:color="auto"/>
              <w:right w:val="single" w:sz="4" w:space="0" w:color="auto"/>
            </w:tcBorders>
            <w:noWrap/>
            <w:vAlign w:val="center"/>
            <w:hideMark/>
          </w:tcPr>
          <w:p w14:paraId="68B79D0C" w14:textId="77777777" w:rsidR="006345CD" w:rsidRDefault="006345CD" w:rsidP="006023A6">
            <w:pPr>
              <w:jc w:val="center"/>
              <w:rPr>
                <w:b/>
                <w:bCs/>
                <w:color w:val="000000"/>
                <w:sz w:val="20"/>
                <w:szCs w:val="20"/>
                <w:lang w:val="fr-CA" w:eastAsia="en-CA"/>
              </w:rPr>
            </w:pPr>
            <w:r>
              <w:rPr>
                <w:b/>
                <w:bCs/>
                <w:color w:val="000000"/>
                <w:sz w:val="20"/>
                <w:szCs w:val="20"/>
                <w:lang w:val="fr-CA" w:eastAsia="en-CA"/>
              </w:rPr>
              <w:t xml:space="preserve">Changements </w:t>
            </w:r>
          </w:p>
          <w:p w14:paraId="6710BAE3" w14:textId="77777777" w:rsidR="006345CD" w:rsidRPr="0042639D" w:rsidRDefault="006345CD" w:rsidP="006023A6">
            <w:pPr>
              <w:jc w:val="center"/>
              <w:rPr>
                <w:b/>
                <w:bCs/>
                <w:color w:val="000000"/>
                <w:sz w:val="20"/>
                <w:szCs w:val="20"/>
                <w:lang w:val="fr-CA" w:eastAsia="en-CA"/>
              </w:rPr>
            </w:pPr>
            <w:proofErr w:type="gramStart"/>
            <w:r>
              <w:rPr>
                <w:b/>
                <w:bCs/>
                <w:color w:val="000000"/>
                <w:sz w:val="20"/>
                <w:szCs w:val="20"/>
                <w:lang w:val="fr-CA" w:eastAsia="en-CA"/>
              </w:rPr>
              <w:t>proposés</w:t>
            </w:r>
            <w:proofErr w:type="gramEnd"/>
          </w:p>
        </w:tc>
        <w:tc>
          <w:tcPr>
            <w:tcW w:w="939" w:type="pct"/>
            <w:tcBorders>
              <w:top w:val="single" w:sz="4" w:space="0" w:color="auto"/>
              <w:left w:val="nil"/>
              <w:bottom w:val="single" w:sz="4" w:space="0" w:color="auto"/>
              <w:right w:val="single" w:sz="4" w:space="0" w:color="auto"/>
            </w:tcBorders>
            <w:noWrap/>
            <w:vAlign w:val="center"/>
            <w:hideMark/>
          </w:tcPr>
          <w:p w14:paraId="07DE7507" w14:textId="77777777" w:rsidR="006345CD" w:rsidRDefault="006345CD" w:rsidP="006023A6">
            <w:pPr>
              <w:jc w:val="center"/>
              <w:rPr>
                <w:b/>
                <w:bCs/>
                <w:color w:val="000000"/>
                <w:sz w:val="20"/>
                <w:szCs w:val="20"/>
                <w:lang w:val="fr-CA" w:eastAsia="en-CA"/>
              </w:rPr>
            </w:pPr>
            <w:r>
              <w:rPr>
                <w:b/>
                <w:bCs/>
                <w:color w:val="000000"/>
                <w:sz w:val="20"/>
                <w:szCs w:val="20"/>
                <w:lang w:val="fr-CA" w:eastAsia="en-CA"/>
              </w:rPr>
              <w:t xml:space="preserve">Financement </w:t>
            </w:r>
          </w:p>
          <w:p w14:paraId="7C3C49DB" w14:textId="77777777" w:rsidR="006345CD" w:rsidRPr="0042639D" w:rsidRDefault="006345CD" w:rsidP="006023A6">
            <w:pPr>
              <w:jc w:val="center"/>
              <w:rPr>
                <w:b/>
                <w:bCs/>
                <w:color w:val="000000"/>
                <w:sz w:val="20"/>
                <w:szCs w:val="20"/>
                <w:lang w:val="fr-CA" w:eastAsia="en-CA"/>
              </w:rPr>
            </w:pPr>
            <w:proofErr w:type="gramStart"/>
            <w:r>
              <w:rPr>
                <w:b/>
                <w:bCs/>
                <w:color w:val="000000"/>
                <w:sz w:val="20"/>
                <w:szCs w:val="20"/>
                <w:lang w:val="fr-CA" w:eastAsia="en-CA"/>
              </w:rPr>
              <w:t>révisé</w:t>
            </w:r>
            <w:proofErr w:type="gramEnd"/>
          </w:p>
        </w:tc>
      </w:tr>
      <w:tr w:rsidR="006345CD" w:rsidRPr="0042639D" w14:paraId="0BABC2D2" w14:textId="77777777" w:rsidTr="006023A6">
        <w:trPr>
          <w:trHeight w:val="187"/>
        </w:trPr>
        <w:tc>
          <w:tcPr>
            <w:tcW w:w="1518" w:type="pct"/>
            <w:tcBorders>
              <w:top w:val="nil"/>
              <w:left w:val="single" w:sz="4" w:space="0" w:color="auto"/>
              <w:bottom w:val="single" w:sz="4" w:space="0" w:color="auto"/>
              <w:right w:val="single" w:sz="4" w:space="0" w:color="auto"/>
            </w:tcBorders>
            <w:vAlign w:val="center"/>
            <w:hideMark/>
          </w:tcPr>
          <w:p w14:paraId="4D5419E6"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 xml:space="preserve">Fabrication AC </w:t>
            </w:r>
          </w:p>
        </w:tc>
        <w:tc>
          <w:tcPr>
            <w:tcW w:w="677" w:type="pct"/>
            <w:tcBorders>
              <w:top w:val="nil"/>
              <w:left w:val="nil"/>
              <w:bottom w:val="single" w:sz="4" w:space="0" w:color="auto"/>
              <w:right w:val="single" w:sz="4" w:space="0" w:color="auto"/>
            </w:tcBorders>
            <w:vAlign w:val="center"/>
            <w:hideMark/>
          </w:tcPr>
          <w:p w14:paraId="2E7260A0"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noWrap/>
            <w:vAlign w:val="center"/>
            <w:hideMark/>
          </w:tcPr>
          <w:p w14:paraId="74F1AC52"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184</w:t>
            </w:r>
            <w:r>
              <w:rPr>
                <w:color w:val="000000"/>
                <w:sz w:val="20"/>
                <w:szCs w:val="20"/>
                <w:lang w:val="fr-CA" w:eastAsia="en-CA"/>
              </w:rPr>
              <w:t> </w:t>
            </w:r>
            <w:r w:rsidRPr="0042639D">
              <w:rPr>
                <w:color w:val="000000"/>
                <w:sz w:val="20"/>
                <w:szCs w:val="20"/>
                <w:lang w:val="fr-CA" w:eastAsia="en-CA"/>
              </w:rPr>
              <w:t>867</w:t>
            </w:r>
          </w:p>
        </w:tc>
        <w:tc>
          <w:tcPr>
            <w:tcW w:w="993" w:type="pct"/>
            <w:tcBorders>
              <w:top w:val="nil"/>
              <w:left w:val="nil"/>
              <w:bottom w:val="single" w:sz="4" w:space="0" w:color="auto"/>
              <w:right w:val="single" w:sz="4" w:space="0" w:color="auto"/>
            </w:tcBorders>
            <w:noWrap/>
            <w:vAlign w:val="center"/>
            <w:hideMark/>
          </w:tcPr>
          <w:p w14:paraId="766CA997"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566</w:t>
            </w:r>
            <w:r>
              <w:rPr>
                <w:color w:val="000000"/>
                <w:sz w:val="20"/>
                <w:szCs w:val="20"/>
                <w:lang w:val="fr-CA" w:eastAsia="en-CA"/>
              </w:rPr>
              <w:t> </w:t>
            </w:r>
            <w:r w:rsidRPr="0042639D">
              <w:rPr>
                <w:color w:val="000000"/>
                <w:sz w:val="20"/>
                <w:szCs w:val="20"/>
                <w:lang w:val="fr-CA" w:eastAsia="en-CA"/>
              </w:rPr>
              <w:t>455</w:t>
            </w:r>
            <w:r w:rsidRPr="0042639D">
              <w:rPr>
                <w:color w:val="000000"/>
                <w:sz w:val="20"/>
                <w:szCs w:val="20"/>
                <w:vertAlign w:val="superscript"/>
                <w:lang w:val="fr-CA" w:eastAsia="en-CA"/>
              </w:rPr>
              <w:t>*</w:t>
            </w:r>
          </w:p>
        </w:tc>
        <w:tc>
          <w:tcPr>
            <w:tcW w:w="939" w:type="pct"/>
            <w:tcBorders>
              <w:top w:val="nil"/>
              <w:left w:val="nil"/>
              <w:bottom w:val="single" w:sz="4" w:space="0" w:color="auto"/>
              <w:right w:val="single" w:sz="4" w:space="0" w:color="auto"/>
            </w:tcBorders>
            <w:vAlign w:val="center"/>
            <w:hideMark/>
          </w:tcPr>
          <w:p w14:paraId="41B303F6"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618</w:t>
            </w:r>
            <w:r>
              <w:rPr>
                <w:color w:val="000000"/>
                <w:sz w:val="20"/>
                <w:szCs w:val="20"/>
                <w:lang w:val="fr-CA" w:eastAsia="en-CA"/>
              </w:rPr>
              <w:t> </w:t>
            </w:r>
            <w:r w:rsidRPr="0042639D">
              <w:rPr>
                <w:color w:val="000000"/>
                <w:sz w:val="20"/>
                <w:szCs w:val="20"/>
                <w:lang w:val="fr-CA" w:eastAsia="en-CA"/>
              </w:rPr>
              <w:t>412</w:t>
            </w:r>
          </w:p>
        </w:tc>
      </w:tr>
      <w:tr w:rsidR="006345CD" w:rsidRPr="0042639D" w14:paraId="305C23F2" w14:textId="77777777" w:rsidTr="006023A6">
        <w:trPr>
          <w:trHeight w:val="187"/>
        </w:trPr>
        <w:tc>
          <w:tcPr>
            <w:tcW w:w="1518" w:type="pct"/>
            <w:tcBorders>
              <w:top w:val="nil"/>
              <w:left w:val="single" w:sz="4" w:space="0" w:color="auto"/>
              <w:bottom w:val="single" w:sz="4" w:space="0" w:color="auto"/>
              <w:right w:val="single" w:sz="4" w:space="0" w:color="auto"/>
            </w:tcBorders>
            <w:vAlign w:val="center"/>
            <w:hideMark/>
          </w:tcPr>
          <w:p w14:paraId="575DAC95" w14:textId="0A900C5C" w:rsidR="006345CD" w:rsidRPr="0042639D" w:rsidRDefault="006345CD" w:rsidP="0026119A">
            <w:pPr>
              <w:jc w:val="left"/>
              <w:rPr>
                <w:color w:val="000000"/>
                <w:sz w:val="20"/>
                <w:szCs w:val="20"/>
                <w:lang w:val="fr-CA" w:eastAsia="en-CA"/>
              </w:rPr>
            </w:pPr>
            <w:r>
              <w:rPr>
                <w:color w:val="000000"/>
                <w:sz w:val="20"/>
                <w:szCs w:val="20"/>
                <w:lang w:val="fr-CA" w:eastAsia="en-CA"/>
              </w:rPr>
              <w:t xml:space="preserve">Fabrication de mousses </w:t>
            </w:r>
            <w:r w:rsidR="0026119A">
              <w:rPr>
                <w:color w:val="000000"/>
                <w:sz w:val="20"/>
                <w:szCs w:val="20"/>
                <w:lang w:val="fr-CA" w:eastAsia="en-CA"/>
              </w:rPr>
              <w:t>de polystyrène extrudé</w:t>
            </w:r>
          </w:p>
        </w:tc>
        <w:tc>
          <w:tcPr>
            <w:tcW w:w="677" w:type="pct"/>
            <w:tcBorders>
              <w:top w:val="nil"/>
              <w:left w:val="nil"/>
              <w:bottom w:val="single" w:sz="4" w:space="0" w:color="auto"/>
              <w:right w:val="single" w:sz="4" w:space="0" w:color="auto"/>
            </w:tcBorders>
            <w:vAlign w:val="center"/>
            <w:hideMark/>
          </w:tcPr>
          <w:p w14:paraId="3FB2B61B"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noWrap/>
            <w:vAlign w:val="center"/>
            <w:hideMark/>
          </w:tcPr>
          <w:p w14:paraId="46010BD1"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613</w:t>
            </w:r>
            <w:r>
              <w:rPr>
                <w:color w:val="000000"/>
                <w:sz w:val="20"/>
                <w:szCs w:val="20"/>
                <w:lang w:val="fr-CA" w:eastAsia="en-CA"/>
              </w:rPr>
              <w:t> </w:t>
            </w:r>
            <w:r w:rsidRPr="0042639D">
              <w:rPr>
                <w:color w:val="000000"/>
                <w:sz w:val="20"/>
                <w:szCs w:val="20"/>
                <w:lang w:val="fr-CA" w:eastAsia="en-CA"/>
              </w:rPr>
              <w:t>568</w:t>
            </w:r>
          </w:p>
        </w:tc>
        <w:tc>
          <w:tcPr>
            <w:tcW w:w="993" w:type="pct"/>
            <w:tcBorders>
              <w:top w:val="nil"/>
              <w:left w:val="nil"/>
              <w:bottom w:val="single" w:sz="4" w:space="0" w:color="auto"/>
              <w:right w:val="single" w:sz="4" w:space="0" w:color="auto"/>
            </w:tcBorders>
            <w:noWrap/>
            <w:vAlign w:val="center"/>
            <w:hideMark/>
          </w:tcPr>
          <w:p w14:paraId="312F1AE2"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-613</w:t>
            </w:r>
            <w:r>
              <w:rPr>
                <w:color w:val="000000"/>
                <w:sz w:val="20"/>
                <w:szCs w:val="20"/>
                <w:lang w:val="fr-CA" w:eastAsia="en-CA"/>
              </w:rPr>
              <w:t> </w:t>
            </w:r>
            <w:r w:rsidRPr="0042639D">
              <w:rPr>
                <w:color w:val="000000"/>
                <w:sz w:val="20"/>
                <w:szCs w:val="20"/>
                <w:lang w:val="fr-CA" w:eastAsia="en-CA"/>
              </w:rPr>
              <w:t>568</w:t>
            </w:r>
            <w:r w:rsidRPr="0042639D">
              <w:rPr>
                <w:color w:val="000000"/>
                <w:sz w:val="20"/>
                <w:szCs w:val="20"/>
                <w:vertAlign w:val="superscript"/>
                <w:lang w:val="fr-CA" w:eastAsia="en-CA"/>
              </w:rPr>
              <w:t>**</w:t>
            </w:r>
          </w:p>
        </w:tc>
        <w:tc>
          <w:tcPr>
            <w:tcW w:w="939" w:type="pct"/>
            <w:tcBorders>
              <w:top w:val="nil"/>
              <w:left w:val="nil"/>
              <w:bottom w:val="single" w:sz="4" w:space="0" w:color="auto"/>
              <w:right w:val="single" w:sz="4" w:space="0" w:color="auto"/>
            </w:tcBorders>
            <w:vAlign w:val="center"/>
            <w:hideMark/>
          </w:tcPr>
          <w:p w14:paraId="77270E4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0</w:t>
            </w:r>
          </w:p>
        </w:tc>
      </w:tr>
      <w:tr w:rsidR="006345CD" w:rsidRPr="0042639D" w14:paraId="5E65FF75" w14:textId="77777777" w:rsidTr="006023A6">
        <w:trPr>
          <w:trHeight w:val="187"/>
        </w:trPr>
        <w:tc>
          <w:tcPr>
            <w:tcW w:w="1518" w:type="pct"/>
            <w:tcBorders>
              <w:top w:val="nil"/>
              <w:left w:val="single" w:sz="4" w:space="0" w:color="auto"/>
              <w:bottom w:val="single" w:sz="4" w:space="0" w:color="auto"/>
              <w:right w:val="single" w:sz="4" w:space="0" w:color="auto"/>
            </w:tcBorders>
            <w:vAlign w:val="center"/>
            <w:hideMark/>
          </w:tcPr>
          <w:p w14:paraId="59DBC684" w14:textId="77777777" w:rsidR="006345CD" w:rsidRPr="0042639D" w:rsidRDefault="006345CD" w:rsidP="006023A6">
            <w:pPr>
              <w:jc w:val="left"/>
              <w:rPr>
                <w:color w:val="000000"/>
                <w:sz w:val="20"/>
                <w:szCs w:val="20"/>
                <w:lang w:val="fr-CA" w:eastAsia="en-CA"/>
              </w:rPr>
            </w:pPr>
            <w:r>
              <w:rPr>
                <w:color w:val="000000"/>
                <w:sz w:val="20"/>
                <w:szCs w:val="20"/>
                <w:lang w:val="fr-CA" w:eastAsia="en-CA"/>
              </w:rPr>
              <w:t xml:space="preserve">Fabrication de mousses </w:t>
            </w:r>
            <w:r w:rsidRPr="0042639D">
              <w:rPr>
                <w:bCs/>
                <w:color w:val="000000"/>
                <w:sz w:val="20"/>
                <w:szCs w:val="20"/>
                <w:lang w:val="fr-CA" w:eastAsia="en-CA"/>
              </w:rPr>
              <w:t xml:space="preserve">PU </w:t>
            </w:r>
          </w:p>
        </w:tc>
        <w:tc>
          <w:tcPr>
            <w:tcW w:w="677" w:type="pct"/>
            <w:tcBorders>
              <w:top w:val="nil"/>
              <w:left w:val="nil"/>
              <w:bottom w:val="single" w:sz="4" w:space="0" w:color="auto"/>
              <w:right w:val="single" w:sz="4" w:space="0" w:color="auto"/>
            </w:tcBorders>
            <w:vAlign w:val="center"/>
            <w:hideMark/>
          </w:tcPr>
          <w:p w14:paraId="5F5B9A5B"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noWrap/>
            <w:vAlign w:val="center"/>
            <w:hideMark/>
          </w:tcPr>
          <w:p w14:paraId="583D7E2F"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5</w:t>
            </w:r>
            <w:r>
              <w:rPr>
                <w:color w:val="000000"/>
                <w:sz w:val="20"/>
                <w:szCs w:val="20"/>
                <w:lang w:val="fr-CA" w:eastAsia="en-CA"/>
              </w:rPr>
              <w:t> </w:t>
            </w:r>
            <w:r w:rsidRPr="0042639D">
              <w:rPr>
                <w:color w:val="000000"/>
                <w:sz w:val="20"/>
                <w:szCs w:val="20"/>
                <w:lang w:val="fr-CA" w:eastAsia="en-CA"/>
              </w:rPr>
              <w:t>522</w:t>
            </w:r>
            <w:r>
              <w:rPr>
                <w:color w:val="000000"/>
                <w:sz w:val="20"/>
                <w:szCs w:val="20"/>
                <w:lang w:val="fr-CA" w:eastAsia="en-CA"/>
              </w:rPr>
              <w:t> </w:t>
            </w:r>
            <w:r w:rsidRPr="0042639D">
              <w:rPr>
                <w:color w:val="000000"/>
                <w:sz w:val="20"/>
                <w:szCs w:val="20"/>
                <w:lang w:val="fr-CA" w:eastAsia="en-CA"/>
              </w:rPr>
              <w:t>397</w:t>
            </w:r>
          </w:p>
        </w:tc>
        <w:tc>
          <w:tcPr>
            <w:tcW w:w="993" w:type="pct"/>
            <w:tcBorders>
              <w:top w:val="nil"/>
              <w:left w:val="nil"/>
              <w:bottom w:val="single" w:sz="4" w:space="0" w:color="auto"/>
              <w:right w:val="single" w:sz="4" w:space="0" w:color="auto"/>
            </w:tcBorders>
            <w:noWrap/>
            <w:vAlign w:val="center"/>
            <w:hideMark/>
          </w:tcPr>
          <w:p w14:paraId="4A1EA4D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992</w:t>
            </w:r>
            <w:r>
              <w:rPr>
                <w:color w:val="000000"/>
                <w:sz w:val="20"/>
                <w:szCs w:val="20"/>
                <w:lang w:val="fr-CA" w:eastAsia="en-CA"/>
              </w:rPr>
              <w:t> </w:t>
            </w:r>
            <w:r w:rsidRPr="0042639D">
              <w:rPr>
                <w:color w:val="000000"/>
                <w:sz w:val="20"/>
                <w:szCs w:val="20"/>
                <w:lang w:val="fr-CA" w:eastAsia="en-CA"/>
              </w:rPr>
              <w:t>808</w:t>
            </w:r>
          </w:p>
        </w:tc>
        <w:tc>
          <w:tcPr>
            <w:tcW w:w="939" w:type="pct"/>
            <w:tcBorders>
              <w:top w:val="nil"/>
              <w:left w:val="nil"/>
              <w:bottom w:val="single" w:sz="4" w:space="0" w:color="auto"/>
              <w:right w:val="single" w:sz="4" w:space="0" w:color="auto"/>
            </w:tcBorders>
            <w:vAlign w:val="center"/>
            <w:hideMark/>
          </w:tcPr>
          <w:p w14:paraId="14A6CF2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529</w:t>
            </w:r>
            <w:r>
              <w:rPr>
                <w:color w:val="000000"/>
                <w:sz w:val="20"/>
                <w:szCs w:val="20"/>
                <w:lang w:val="fr-CA" w:eastAsia="en-CA"/>
              </w:rPr>
              <w:t> </w:t>
            </w:r>
            <w:r w:rsidRPr="0042639D">
              <w:rPr>
                <w:color w:val="000000"/>
                <w:sz w:val="20"/>
                <w:szCs w:val="20"/>
                <w:lang w:val="fr-CA" w:eastAsia="en-CA"/>
              </w:rPr>
              <w:t>589</w:t>
            </w:r>
          </w:p>
        </w:tc>
      </w:tr>
      <w:tr w:rsidR="006345CD" w:rsidRPr="0042639D" w14:paraId="777EFBF6" w14:textId="77777777" w:rsidTr="006023A6">
        <w:trPr>
          <w:trHeight w:val="187"/>
        </w:trPr>
        <w:tc>
          <w:tcPr>
            <w:tcW w:w="1518" w:type="pct"/>
            <w:tcBorders>
              <w:top w:val="nil"/>
              <w:left w:val="single" w:sz="4" w:space="0" w:color="auto"/>
              <w:bottom w:val="single" w:sz="4" w:space="0" w:color="auto"/>
              <w:right w:val="single" w:sz="4" w:space="0" w:color="auto"/>
            </w:tcBorders>
            <w:noWrap/>
            <w:vAlign w:val="center"/>
            <w:hideMark/>
          </w:tcPr>
          <w:p w14:paraId="0A0601C0" w14:textId="77777777" w:rsidR="006345CD" w:rsidRPr="0042639D" w:rsidRDefault="006345CD" w:rsidP="006023A6">
            <w:pPr>
              <w:jc w:val="left"/>
              <w:rPr>
                <w:color w:val="000000"/>
                <w:sz w:val="20"/>
                <w:szCs w:val="20"/>
                <w:lang w:val="fr-CA" w:eastAsia="en-CA"/>
              </w:rPr>
            </w:pPr>
            <w:r>
              <w:rPr>
                <w:color w:val="000000"/>
                <w:sz w:val="20"/>
                <w:szCs w:val="20"/>
                <w:lang w:val="fr-CA" w:eastAsia="en-CA"/>
              </w:rPr>
              <w:t>Fabrication</w:t>
            </w:r>
            <w:r w:rsidRPr="0042639D">
              <w:rPr>
                <w:bCs/>
                <w:color w:val="000000"/>
                <w:sz w:val="20"/>
                <w:szCs w:val="20"/>
                <w:lang w:val="fr-CA" w:eastAsia="en-CA"/>
              </w:rPr>
              <w:t xml:space="preserve"> </w:t>
            </w:r>
            <w:r>
              <w:rPr>
                <w:bCs/>
                <w:color w:val="000000"/>
                <w:sz w:val="20"/>
                <w:szCs w:val="20"/>
                <w:lang w:val="fr-CA" w:eastAsia="en-CA"/>
              </w:rPr>
              <w:t>en r</w:t>
            </w:r>
            <w:r w:rsidRPr="0042639D">
              <w:rPr>
                <w:bCs/>
                <w:color w:val="000000"/>
                <w:sz w:val="20"/>
                <w:szCs w:val="20"/>
                <w:lang w:val="fr-CA" w:eastAsia="en-CA"/>
              </w:rPr>
              <w:t xml:space="preserve">éfrigération </w:t>
            </w:r>
          </w:p>
        </w:tc>
        <w:tc>
          <w:tcPr>
            <w:tcW w:w="677" w:type="pct"/>
            <w:tcBorders>
              <w:top w:val="nil"/>
              <w:left w:val="nil"/>
              <w:bottom w:val="single" w:sz="4" w:space="0" w:color="auto"/>
              <w:right w:val="single" w:sz="4" w:space="0" w:color="auto"/>
            </w:tcBorders>
            <w:vAlign w:val="center"/>
            <w:hideMark/>
          </w:tcPr>
          <w:p w14:paraId="237DD8DA"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noWrap/>
            <w:vAlign w:val="center"/>
            <w:hideMark/>
          </w:tcPr>
          <w:p w14:paraId="2DF4DC3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w:t>
            </w:r>
            <w:r>
              <w:rPr>
                <w:color w:val="000000"/>
                <w:sz w:val="20"/>
                <w:szCs w:val="20"/>
                <w:lang w:val="fr-CA" w:eastAsia="en-CA"/>
              </w:rPr>
              <w:t> </w:t>
            </w:r>
            <w:r w:rsidRPr="0042639D">
              <w:rPr>
                <w:color w:val="000000"/>
                <w:sz w:val="20"/>
                <w:szCs w:val="20"/>
                <w:lang w:val="fr-CA" w:eastAsia="en-CA"/>
              </w:rPr>
              <w:t>636</w:t>
            </w:r>
            <w:r>
              <w:rPr>
                <w:color w:val="000000"/>
                <w:sz w:val="20"/>
                <w:szCs w:val="20"/>
                <w:lang w:val="fr-CA" w:eastAsia="en-CA"/>
              </w:rPr>
              <w:t> </w:t>
            </w:r>
            <w:r w:rsidRPr="0042639D">
              <w:rPr>
                <w:color w:val="000000"/>
                <w:sz w:val="20"/>
                <w:szCs w:val="20"/>
                <w:lang w:val="fr-CA" w:eastAsia="en-CA"/>
              </w:rPr>
              <w:t>000</w:t>
            </w:r>
          </w:p>
        </w:tc>
        <w:tc>
          <w:tcPr>
            <w:tcW w:w="993" w:type="pct"/>
            <w:tcBorders>
              <w:top w:val="nil"/>
              <w:left w:val="nil"/>
              <w:bottom w:val="single" w:sz="4" w:space="0" w:color="auto"/>
              <w:right w:val="single" w:sz="4" w:space="0" w:color="auto"/>
            </w:tcBorders>
            <w:noWrap/>
            <w:vAlign w:val="center"/>
            <w:hideMark/>
          </w:tcPr>
          <w:p w14:paraId="25B10C97"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230</w:t>
            </w:r>
            <w:r>
              <w:rPr>
                <w:color w:val="000000"/>
                <w:sz w:val="20"/>
                <w:szCs w:val="20"/>
                <w:lang w:val="fr-CA" w:eastAsia="en-CA"/>
              </w:rPr>
              <w:t> </w:t>
            </w:r>
            <w:r w:rsidRPr="0042639D">
              <w:rPr>
                <w:color w:val="000000"/>
                <w:sz w:val="20"/>
                <w:szCs w:val="20"/>
                <w:lang w:val="fr-CA" w:eastAsia="en-CA"/>
              </w:rPr>
              <w:t>708</w:t>
            </w:r>
          </w:p>
        </w:tc>
        <w:tc>
          <w:tcPr>
            <w:tcW w:w="939" w:type="pct"/>
            <w:tcBorders>
              <w:top w:val="nil"/>
              <w:left w:val="nil"/>
              <w:bottom w:val="single" w:sz="4" w:space="0" w:color="auto"/>
              <w:right w:val="single" w:sz="4" w:space="0" w:color="auto"/>
            </w:tcBorders>
            <w:vAlign w:val="center"/>
            <w:hideMark/>
          </w:tcPr>
          <w:p w14:paraId="143CB1D5"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405</w:t>
            </w:r>
            <w:r>
              <w:rPr>
                <w:color w:val="000000"/>
                <w:sz w:val="20"/>
                <w:szCs w:val="20"/>
                <w:lang w:val="fr-CA" w:eastAsia="en-CA"/>
              </w:rPr>
              <w:t> </w:t>
            </w:r>
            <w:r w:rsidRPr="0042639D">
              <w:rPr>
                <w:color w:val="000000"/>
                <w:sz w:val="20"/>
                <w:szCs w:val="20"/>
                <w:lang w:val="fr-CA" w:eastAsia="en-CA"/>
              </w:rPr>
              <w:t>292</w:t>
            </w:r>
          </w:p>
        </w:tc>
      </w:tr>
      <w:tr w:rsidR="006345CD" w:rsidRPr="0042639D" w14:paraId="68AF3935" w14:textId="77777777" w:rsidTr="006023A6">
        <w:trPr>
          <w:trHeight w:val="187"/>
        </w:trPr>
        <w:tc>
          <w:tcPr>
            <w:tcW w:w="1518" w:type="pct"/>
            <w:tcBorders>
              <w:top w:val="nil"/>
              <w:left w:val="single" w:sz="4" w:space="0" w:color="auto"/>
              <w:bottom w:val="single" w:sz="4" w:space="0" w:color="auto"/>
              <w:right w:val="single" w:sz="4" w:space="0" w:color="auto"/>
            </w:tcBorders>
            <w:noWrap/>
            <w:vAlign w:val="center"/>
            <w:hideMark/>
          </w:tcPr>
          <w:p w14:paraId="5D95066D"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Entretien en r</w:t>
            </w:r>
            <w:r w:rsidRPr="0042639D">
              <w:rPr>
                <w:bCs/>
                <w:color w:val="000000"/>
                <w:sz w:val="20"/>
                <w:szCs w:val="20"/>
                <w:lang w:val="fr-CA" w:eastAsia="en-CA"/>
              </w:rPr>
              <w:t>éfrigération</w:t>
            </w:r>
          </w:p>
        </w:tc>
        <w:tc>
          <w:tcPr>
            <w:tcW w:w="677" w:type="pct"/>
            <w:tcBorders>
              <w:top w:val="nil"/>
              <w:left w:val="nil"/>
              <w:bottom w:val="single" w:sz="4" w:space="0" w:color="auto"/>
              <w:right w:val="single" w:sz="4" w:space="0" w:color="auto"/>
            </w:tcBorders>
            <w:vAlign w:val="center"/>
            <w:hideMark/>
          </w:tcPr>
          <w:p w14:paraId="39245964"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Japon</w:t>
            </w:r>
          </w:p>
        </w:tc>
        <w:tc>
          <w:tcPr>
            <w:tcW w:w="873" w:type="pct"/>
            <w:tcBorders>
              <w:top w:val="nil"/>
              <w:left w:val="nil"/>
              <w:bottom w:val="single" w:sz="4" w:space="0" w:color="auto"/>
              <w:right w:val="single" w:sz="4" w:space="0" w:color="auto"/>
            </w:tcBorders>
            <w:noWrap/>
            <w:vAlign w:val="center"/>
            <w:hideMark/>
          </w:tcPr>
          <w:p w14:paraId="42862A5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233</w:t>
            </w:r>
            <w:r>
              <w:rPr>
                <w:color w:val="000000"/>
                <w:sz w:val="20"/>
                <w:szCs w:val="20"/>
                <w:lang w:val="fr-CA" w:eastAsia="en-CA"/>
              </w:rPr>
              <w:t> </w:t>
            </w:r>
            <w:r w:rsidRPr="0042639D">
              <w:rPr>
                <w:color w:val="000000"/>
                <w:sz w:val="20"/>
                <w:szCs w:val="20"/>
                <w:lang w:val="fr-CA" w:eastAsia="en-CA"/>
              </w:rPr>
              <w:t>630</w:t>
            </w:r>
          </w:p>
        </w:tc>
        <w:tc>
          <w:tcPr>
            <w:tcW w:w="993" w:type="pct"/>
            <w:tcBorders>
              <w:top w:val="nil"/>
              <w:left w:val="nil"/>
              <w:bottom w:val="single" w:sz="4" w:space="0" w:color="auto"/>
              <w:right w:val="single" w:sz="4" w:space="0" w:color="auto"/>
            </w:tcBorders>
            <w:noWrap/>
            <w:vAlign w:val="center"/>
            <w:hideMark/>
          </w:tcPr>
          <w:p w14:paraId="301343B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0</w:t>
            </w:r>
          </w:p>
        </w:tc>
        <w:tc>
          <w:tcPr>
            <w:tcW w:w="939" w:type="pct"/>
            <w:tcBorders>
              <w:top w:val="nil"/>
              <w:left w:val="nil"/>
              <w:bottom w:val="single" w:sz="4" w:space="0" w:color="auto"/>
              <w:right w:val="single" w:sz="4" w:space="0" w:color="auto"/>
            </w:tcBorders>
            <w:vAlign w:val="center"/>
            <w:hideMark/>
          </w:tcPr>
          <w:p w14:paraId="6E19A3D6"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233</w:t>
            </w:r>
            <w:r>
              <w:rPr>
                <w:color w:val="000000"/>
                <w:sz w:val="20"/>
                <w:szCs w:val="20"/>
                <w:lang w:val="fr-CA" w:eastAsia="en-CA"/>
              </w:rPr>
              <w:t> </w:t>
            </w:r>
            <w:r w:rsidRPr="0042639D">
              <w:rPr>
                <w:color w:val="000000"/>
                <w:sz w:val="20"/>
                <w:szCs w:val="20"/>
                <w:lang w:val="fr-CA" w:eastAsia="en-CA"/>
              </w:rPr>
              <w:t>630</w:t>
            </w:r>
          </w:p>
        </w:tc>
      </w:tr>
      <w:tr w:rsidR="006345CD" w:rsidRPr="0042639D" w14:paraId="5F506A6C" w14:textId="77777777" w:rsidTr="006023A6">
        <w:trPr>
          <w:trHeight w:val="187"/>
        </w:trPr>
        <w:tc>
          <w:tcPr>
            <w:tcW w:w="1518" w:type="pct"/>
            <w:tcBorders>
              <w:top w:val="nil"/>
              <w:left w:val="single" w:sz="4" w:space="0" w:color="auto"/>
              <w:bottom w:val="single" w:sz="4" w:space="0" w:color="auto"/>
              <w:right w:val="single" w:sz="4" w:space="0" w:color="auto"/>
            </w:tcBorders>
            <w:noWrap/>
            <w:vAlign w:val="center"/>
            <w:hideMark/>
          </w:tcPr>
          <w:p w14:paraId="253298D2"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Entretien en r</w:t>
            </w:r>
            <w:r w:rsidRPr="0042639D">
              <w:rPr>
                <w:bCs/>
                <w:color w:val="000000"/>
                <w:sz w:val="20"/>
                <w:szCs w:val="20"/>
                <w:lang w:val="fr-CA" w:eastAsia="en-CA"/>
              </w:rPr>
              <w:t>éfrigération</w:t>
            </w:r>
          </w:p>
        </w:tc>
        <w:tc>
          <w:tcPr>
            <w:tcW w:w="677" w:type="pct"/>
            <w:tcBorders>
              <w:top w:val="nil"/>
              <w:left w:val="nil"/>
              <w:bottom w:val="single" w:sz="4" w:space="0" w:color="auto"/>
              <w:right w:val="single" w:sz="4" w:space="0" w:color="auto"/>
            </w:tcBorders>
            <w:vAlign w:val="center"/>
            <w:hideMark/>
          </w:tcPr>
          <w:p w14:paraId="211D7FB7"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noWrap/>
            <w:vAlign w:val="center"/>
            <w:hideMark/>
          </w:tcPr>
          <w:p w14:paraId="03B957A4"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369</w:t>
            </w:r>
            <w:r>
              <w:rPr>
                <w:color w:val="000000"/>
                <w:sz w:val="20"/>
                <w:szCs w:val="20"/>
                <w:lang w:val="fr-CA" w:eastAsia="en-CA"/>
              </w:rPr>
              <w:t> </w:t>
            </w:r>
            <w:r w:rsidRPr="0042639D">
              <w:rPr>
                <w:color w:val="000000"/>
                <w:sz w:val="20"/>
                <w:szCs w:val="20"/>
                <w:lang w:val="fr-CA" w:eastAsia="en-CA"/>
              </w:rPr>
              <w:t>570</w:t>
            </w:r>
          </w:p>
        </w:tc>
        <w:tc>
          <w:tcPr>
            <w:tcW w:w="993" w:type="pct"/>
            <w:tcBorders>
              <w:top w:val="nil"/>
              <w:left w:val="nil"/>
              <w:bottom w:val="single" w:sz="4" w:space="0" w:color="auto"/>
              <w:right w:val="single" w:sz="4" w:space="0" w:color="auto"/>
            </w:tcBorders>
            <w:noWrap/>
            <w:vAlign w:val="center"/>
            <w:hideMark/>
          </w:tcPr>
          <w:p w14:paraId="7863DEFB"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330</w:t>
            </w:r>
            <w:r>
              <w:rPr>
                <w:color w:val="000000"/>
                <w:sz w:val="20"/>
                <w:szCs w:val="20"/>
                <w:lang w:val="fr-CA" w:eastAsia="en-CA"/>
              </w:rPr>
              <w:t> </w:t>
            </w:r>
            <w:r w:rsidRPr="0042639D">
              <w:rPr>
                <w:color w:val="000000"/>
                <w:sz w:val="20"/>
                <w:szCs w:val="20"/>
                <w:lang w:val="fr-CA" w:eastAsia="en-CA"/>
              </w:rPr>
              <w:t>000</w:t>
            </w:r>
          </w:p>
        </w:tc>
        <w:tc>
          <w:tcPr>
            <w:tcW w:w="939" w:type="pct"/>
            <w:tcBorders>
              <w:top w:val="nil"/>
              <w:left w:val="nil"/>
              <w:bottom w:val="single" w:sz="4" w:space="0" w:color="auto"/>
              <w:right w:val="single" w:sz="4" w:space="0" w:color="auto"/>
            </w:tcBorders>
            <w:vAlign w:val="center"/>
            <w:hideMark/>
          </w:tcPr>
          <w:p w14:paraId="2A6E2A10"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699</w:t>
            </w:r>
            <w:r>
              <w:rPr>
                <w:color w:val="000000"/>
                <w:sz w:val="20"/>
                <w:szCs w:val="20"/>
                <w:lang w:val="fr-CA" w:eastAsia="en-CA"/>
              </w:rPr>
              <w:t> </w:t>
            </w:r>
            <w:r w:rsidRPr="0042639D">
              <w:rPr>
                <w:color w:val="000000"/>
                <w:sz w:val="20"/>
                <w:szCs w:val="20"/>
                <w:lang w:val="fr-CA" w:eastAsia="en-CA"/>
              </w:rPr>
              <w:t>570</w:t>
            </w:r>
          </w:p>
        </w:tc>
      </w:tr>
      <w:tr w:rsidR="006345CD" w:rsidRPr="0042639D" w14:paraId="48A9B1AC" w14:textId="77777777" w:rsidTr="006023A6">
        <w:trPr>
          <w:trHeight w:val="187"/>
        </w:trPr>
        <w:tc>
          <w:tcPr>
            <w:tcW w:w="1518" w:type="pct"/>
            <w:tcBorders>
              <w:top w:val="nil"/>
              <w:left w:val="single" w:sz="4" w:space="0" w:color="auto"/>
              <w:bottom w:val="single" w:sz="4" w:space="0" w:color="auto"/>
              <w:right w:val="single" w:sz="4" w:space="0" w:color="auto"/>
            </w:tcBorders>
            <w:vAlign w:val="center"/>
            <w:hideMark/>
          </w:tcPr>
          <w:p w14:paraId="2B0F9D6F"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AT</w:t>
            </w:r>
          </w:p>
        </w:tc>
        <w:tc>
          <w:tcPr>
            <w:tcW w:w="677" w:type="pct"/>
            <w:tcBorders>
              <w:top w:val="nil"/>
              <w:left w:val="nil"/>
              <w:bottom w:val="single" w:sz="4" w:space="0" w:color="auto"/>
              <w:right w:val="single" w:sz="4" w:space="0" w:color="auto"/>
            </w:tcBorders>
            <w:vAlign w:val="center"/>
            <w:hideMark/>
          </w:tcPr>
          <w:p w14:paraId="111769E4"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noWrap/>
            <w:vAlign w:val="center"/>
            <w:hideMark/>
          </w:tcPr>
          <w:p w14:paraId="4A461D01"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406</w:t>
            </w:r>
            <w:r>
              <w:rPr>
                <w:color w:val="000000"/>
                <w:sz w:val="20"/>
                <w:szCs w:val="20"/>
                <w:lang w:val="fr-CA" w:eastAsia="en-CA"/>
              </w:rPr>
              <w:t> </w:t>
            </w:r>
            <w:r w:rsidRPr="0042639D">
              <w:rPr>
                <w:color w:val="000000"/>
                <w:sz w:val="20"/>
                <w:szCs w:val="20"/>
                <w:lang w:val="fr-CA" w:eastAsia="en-CA"/>
              </w:rPr>
              <w:t>801</w:t>
            </w:r>
          </w:p>
        </w:tc>
        <w:tc>
          <w:tcPr>
            <w:tcW w:w="993" w:type="pct"/>
            <w:tcBorders>
              <w:top w:val="nil"/>
              <w:left w:val="nil"/>
              <w:bottom w:val="single" w:sz="4" w:space="0" w:color="auto"/>
              <w:right w:val="single" w:sz="4" w:space="0" w:color="auto"/>
            </w:tcBorders>
            <w:noWrap/>
            <w:vAlign w:val="center"/>
            <w:hideMark/>
          </w:tcPr>
          <w:p w14:paraId="7ED38CA5"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90</w:t>
            </w:r>
            <w:r>
              <w:rPr>
                <w:color w:val="000000"/>
                <w:sz w:val="20"/>
                <w:szCs w:val="20"/>
                <w:lang w:val="fr-CA" w:eastAsia="en-CA"/>
              </w:rPr>
              <w:t> </w:t>
            </w:r>
            <w:r w:rsidRPr="0042639D">
              <w:rPr>
                <w:color w:val="000000"/>
                <w:sz w:val="20"/>
                <w:szCs w:val="20"/>
                <w:lang w:val="fr-CA" w:eastAsia="en-CA"/>
              </w:rPr>
              <w:t>000</w:t>
            </w:r>
          </w:p>
        </w:tc>
        <w:tc>
          <w:tcPr>
            <w:tcW w:w="939" w:type="pct"/>
            <w:tcBorders>
              <w:top w:val="nil"/>
              <w:left w:val="nil"/>
              <w:bottom w:val="single" w:sz="4" w:space="0" w:color="auto"/>
              <w:right w:val="single" w:sz="4" w:space="0" w:color="auto"/>
            </w:tcBorders>
            <w:vAlign w:val="center"/>
            <w:hideMark/>
          </w:tcPr>
          <w:p w14:paraId="14C79B9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496</w:t>
            </w:r>
            <w:r>
              <w:rPr>
                <w:color w:val="000000"/>
                <w:sz w:val="20"/>
                <w:szCs w:val="20"/>
                <w:lang w:val="fr-CA" w:eastAsia="en-CA"/>
              </w:rPr>
              <w:t> </w:t>
            </w:r>
            <w:r w:rsidRPr="0042639D">
              <w:rPr>
                <w:color w:val="000000"/>
                <w:sz w:val="20"/>
                <w:szCs w:val="20"/>
                <w:lang w:val="fr-CA" w:eastAsia="en-CA"/>
              </w:rPr>
              <w:t>801</w:t>
            </w:r>
          </w:p>
        </w:tc>
      </w:tr>
      <w:tr w:rsidR="006345CD" w:rsidRPr="0042639D" w14:paraId="0C9D38D5" w14:textId="77777777" w:rsidTr="006023A6">
        <w:trPr>
          <w:trHeight w:val="187"/>
        </w:trPr>
        <w:tc>
          <w:tcPr>
            <w:tcW w:w="1518" w:type="pct"/>
            <w:tcBorders>
              <w:top w:val="nil"/>
              <w:left w:val="single" w:sz="4" w:space="0" w:color="auto"/>
              <w:bottom w:val="single" w:sz="4" w:space="0" w:color="auto"/>
              <w:right w:val="single" w:sz="4" w:space="0" w:color="auto"/>
            </w:tcBorders>
            <w:vAlign w:val="center"/>
            <w:hideMark/>
          </w:tcPr>
          <w:p w14:paraId="3111F2F2"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UMS</w:t>
            </w:r>
          </w:p>
        </w:tc>
        <w:tc>
          <w:tcPr>
            <w:tcW w:w="677" w:type="pct"/>
            <w:tcBorders>
              <w:top w:val="nil"/>
              <w:left w:val="nil"/>
              <w:bottom w:val="single" w:sz="4" w:space="0" w:color="auto"/>
              <w:right w:val="single" w:sz="4" w:space="0" w:color="auto"/>
            </w:tcBorders>
            <w:vAlign w:val="center"/>
            <w:hideMark/>
          </w:tcPr>
          <w:p w14:paraId="18A1F121" w14:textId="77777777" w:rsidR="006345CD" w:rsidRPr="0042639D" w:rsidRDefault="006345CD" w:rsidP="006023A6">
            <w:pPr>
              <w:jc w:val="left"/>
              <w:rPr>
                <w:color w:val="000000"/>
                <w:sz w:val="20"/>
                <w:szCs w:val="20"/>
                <w:lang w:val="fr-CA" w:eastAsia="en-CA"/>
              </w:rPr>
            </w:pPr>
            <w:r w:rsidRPr="0042639D">
              <w:rPr>
                <w:color w:val="000000"/>
                <w:sz w:val="20"/>
                <w:szCs w:val="20"/>
                <w:lang w:val="fr-CA" w:eastAsia="en-CA"/>
              </w:rPr>
              <w:t>Banque Mondiale</w:t>
            </w:r>
          </w:p>
        </w:tc>
        <w:tc>
          <w:tcPr>
            <w:tcW w:w="873" w:type="pct"/>
            <w:tcBorders>
              <w:top w:val="nil"/>
              <w:left w:val="nil"/>
              <w:bottom w:val="single" w:sz="4" w:space="0" w:color="auto"/>
              <w:right w:val="single" w:sz="4" w:space="0" w:color="auto"/>
            </w:tcBorders>
            <w:vAlign w:val="center"/>
            <w:hideMark/>
          </w:tcPr>
          <w:p w14:paraId="17AC2FD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678</w:t>
            </w:r>
            <w:r>
              <w:rPr>
                <w:color w:val="000000"/>
                <w:sz w:val="20"/>
                <w:szCs w:val="20"/>
                <w:lang w:val="fr-CA" w:eastAsia="en-CA"/>
              </w:rPr>
              <w:t> </w:t>
            </w:r>
            <w:r w:rsidRPr="0042639D">
              <w:rPr>
                <w:color w:val="000000"/>
                <w:sz w:val="20"/>
                <w:szCs w:val="20"/>
                <w:lang w:val="fr-CA" w:eastAsia="en-CA"/>
              </w:rPr>
              <w:t>002</w:t>
            </w:r>
          </w:p>
        </w:tc>
        <w:tc>
          <w:tcPr>
            <w:tcW w:w="993" w:type="pct"/>
            <w:tcBorders>
              <w:top w:val="nil"/>
              <w:left w:val="nil"/>
              <w:bottom w:val="single" w:sz="4" w:space="0" w:color="auto"/>
              <w:right w:val="single" w:sz="4" w:space="0" w:color="auto"/>
            </w:tcBorders>
            <w:vAlign w:val="center"/>
            <w:hideMark/>
          </w:tcPr>
          <w:p w14:paraId="43B4356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90</w:t>
            </w:r>
            <w:r>
              <w:rPr>
                <w:color w:val="000000"/>
                <w:sz w:val="20"/>
                <w:szCs w:val="20"/>
                <w:lang w:val="fr-CA" w:eastAsia="en-CA"/>
              </w:rPr>
              <w:t> </w:t>
            </w:r>
            <w:r w:rsidRPr="0042639D">
              <w:rPr>
                <w:color w:val="000000"/>
                <w:sz w:val="20"/>
                <w:szCs w:val="20"/>
                <w:lang w:val="fr-CA" w:eastAsia="en-CA"/>
              </w:rPr>
              <w:t>539</w:t>
            </w:r>
          </w:p>
        </w:tc>
        <w:tc>
          <w:tcPr>
            <w:tcW w:w="939" w:type="pct"/>
            <w:tcBorders>
              <w:top w:val="nil"/>
              <w:left w:val="nil"/>
              <w:bottom w:val="single" w:sz="4" w:space="0" w:color="auto"/>
              <w:right w:val="single" w:sz="4" w:space="0" w:color="auto"/>
            </w:tcBorders>
            <w:vAlign w:val="center"/>
            <w:hideMark/>
          </w:tcPr>
          <w:p w14:paraId="73728D22"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768</w:t>
            </w:r>
            <w:r>
              <w:rPr>
                <w:color w:val="000000"/>
                <w:sz w:val="20"/>
                <w:szCs w:val="20"/>
                <w:lang w:val="fr-CA" w:eastAsia="en-CA"/>
              </w:rPr>
              <w:t> </w:t>
            </w:r>
            <w:r w:rsidRPr="0042639D">
              <w:rPr>
                <w:color w:val="000000"/>
                <w:sz w:val="20"/>
                <w:szCs w:val="20"/>
                <w:lang w:val="fr-CA" w:eastAsia="en-CA"/>
              </w:rPr>
              <w:t>541</w:t>
            </w:r>
          </w:p>
        </w:tc>
      </w:tr>
      <w:tr w:rsidR="006345CD" w:rsidRPr="0042639D" w14:paraId="5FDFEF1F" w14:textId="77777777" w:rsidTr="006023A6">
        <w:trPr>
          <w:trHeight w:val="187"/>
        </w:trPr>
        <w:tc>
          <w:tcPr>
            <w:tcW w:w="1518" w:type="pct"/>
            <w:tcBorders>
              <w:top w:val="nil"/>
              <w:left w:val="single" w:sz="4" w:space="0" w:color="auto"/>
              <w:bottom w:val="single" w:sz="4" w:space="0" w:color="auto"/>
              <w:right w:val="single" w:sz="4" w:space="0" w:color="auto"/>
            </w:tcBorders>
            <w:vAlign w:val="center"/>
            <w:hideMark/>
          </w:tcPr>
          <w:p w14:paraId="0699F104" w14:textId="77777777" w:rsidR="006345CD" w:rsidRPr="0042639D" w:rsidRDefault="006345CD" w:rsidP="006023A6">
            <w:pPr>
              <w:jc w:val="left"/>
              <w:rPr>
                <w:b/>
                <w:bCs/>
                <w:color w:val="000000"/>
                <w:sz w:val="20"/>
                <w:szCs w:val="20"/>
                <w:lang w:val="fr-CA" w:eastAsia="en-CA"/>
              </w:rPr>
            </w:pPr>
            <w:r w:rsidRPr="0042639D">
              <w:rPr>
                <w:b/>
                <w:bCs/>
                <w:color w:val="000000"/>
                <w:sz w:val="20"/>
                <w:szCs w:val="20"/>
                <w:lang w:val="fr-CA" w:eastAsia="en-CA"/>
              </w:rPr>
              <w:t>Total</w:t>
            </w:r>
          </w:p>
        </w:tc>
        <w:tc>
          <w:tcPr>
            <w:tcW w:w="677" w:type="pct"/>
            <w:tcBorders>
              <w:top w:val="nil"/>
              <w:left w:val="nil"/>
              <w:bottom w:val="single" w:sz="4" w:space="0" w:color="auto"/>
              <w:right w:val="single" w:sz="4" w:space="0" w:color="auto"/>
            </w:tcBorders>
            <w:vAlign w:val="center"/>
            <w:hideMark/>
          </w:tcPr>
          <w:p w14:paraId="5ABFCB51" w14:textId="77777777" w:rsidR="006345CD" w:rsidRPr="0042639D" w:rsidRDefault="006345CD" w:rsidP="006023A6">
            <w:pPr>
              <w:jc w:val="left"/>
              <w:rPr>
                <w:b/>
                <w:bCs/>
                <w:color w:val="000000"/>
                <w:sz w:val="20"/>
                <w:szCs w:val="20"/>
                <w:lang w:val="fr-CA" w:eastAsia="en-CA"/>
              </w:rPr>
            </w:pPr>
            <w:r w:rsidRPr="0042639D">
              <w:rPr>
                <w:b/>
                <w:bCs/>
                <w:color w:val="000000"/>
                <w:sz w:val="20"/>
                <w:szCs w:val="20"/>
                <w:lang w:val="fr-CA" w:eastAsia="en-CA"/>
              </w:rPr>
              <w:t> </w:t>
            </w:r>
          </w:p>
        </w:tc>
        <w:tc>
          <w:tcPr>
            <w:tcW w:w="873" w:type="pct"/>
            <w:tcBorders>
              <w:top w:val="nil"/>
              <w:left w:val="nil"/>
              <w:bottom w:val="single" w:sz="4" w:space="0" w:color="auto"/>
              <w:right w:val="single" w:sz="4" w:space="0" w:color="auto"/>
            </w:tcBorders>
            <w:vAlign w:val="center"/>
            <w:hideMark/>
          </w:tcPr>
          <w:p w14:paraId="0AE7CA5B" w14:textId="77777777" w:rsidR="006345CD" w:rsidRPr="0042639D" w:rsidRDefault="006345CD" w:rsidP="006023A6">
            <w:pPr>
              <w:jc w:val="right"/>
              <w:rPr>
                <w:b/>
                <w:bCs/>
                <w:color w:val="000000"/>
                <w:sz w:val="20"/>
                <w:szCs w:val="20"/>
                <w:lang w:val="fr-CA" w:eastAsia="en-CA"/>
              </w:rPr>
            </w:pPr>
            <w:r w:rsidRPr="0042639D">
              <w:rPr>
                <w:b/>
                <w:bCs/>
                <w:color w:val="000000"/>
                <w:sz w:val="20"/>
                <w:szCs w:val="20"/>
                <w:lang w:val="fr-CA" w:eastAsia="en-CA"/>
              </w:rPr>
              <w:t>14</w:t>
            </w:r>
            <w:r>
              <w:rPr>
                <w:b/>
                <w:bCs/>
                <w:color w:val="000000"/>
                <w:sz w:val="20"/>
                <w:szCs w:val="20"/>
                <w:lang w:val="fr-CA" w:eastAsia="en-CA"/>
              </w:rPr>
              <w:t> </w:t>
            </w:r>
            <w:r w:rsidRPr="0042639D">
              <w:rPr>
                <w:b/>
                <w:bCs/>
                <w:color w:val="000000"/>
                <w:sz w:val="20"/>
                <w:szCs w:val="20"/>
                <w:lang w:val="fr-CA" w:eastAsia="en-CA"/>
              </w:rPr>
              <w:t>644</w:t>
            </w:r>
            <w:r>
              <w:rPr>
                <w:b/>
                <w:bCs/>
                <w:color w:val="000000"/>
                <w:sz w:val="20"/>
                <w:szCs w:val="20"/>
                <w:lang w:val="fr-CA" w:eastAsia="en-CA"/>
              </w:rPr>
              <w:t> </w:t>
            </w:r>
            <w:r w:rsidRPr="0042639D">
              <w:rPr>
                <w:b/>
                <w:bCs/>
                <w:color w:val="000000"/>
                <w:sz w:val="20"/>
                <w:szCs w:val="20"/>
                <w:lang w:val="fr-CA" w:eastAsia="en-CA"/>
              </w:rPr>
              <w:t>834</w:t>
            </w:r>
          </w:p>
        </w:tc>
        <w:tc>
          <w:tcPr>
            <w:tcW w:w="993" w:type="pct"/>
            <w:tcBorders>
              <w:top w:val="nil"/>
              <w:left w:val="nil"/>
              <w:bottom w:val="single" w:sz="4" w:space="0" w:color="auto"/>
              <w:right w:val="single" w:sz="4" w:space="0" w:color="auto"/>
            </w:tcBorders>
            <w:vAlign w:val="center"/>
            <w:hideMark/>
          </w:tcPr>
          <w:p w14:paraId="794AB60F" w14:textId="77777777" w:rsidR="006345CD" w:rsidRPr="0042639D" w:rsidRDefault="006345CD" w:rsidP="006023A6">
            <w:pPr>
              <w:jc w:val="right"/>
              <w:rPr>
                <w:b/>
                <w:bCs/>
                <w:color w:val="000000"/>
                <w:sz w:val="20"/>
                <w:szCs w:val="20"/>
                <w:lang w:val="fr-CA" w:eastAsia="en-CA"/>
              </w:rPr>
            </w:pPr>
            <w:r w:rsidRPr="0042639D">
              <w:rPr>
                <w:b/>
                <w:bCs/>
                <w:color w:val="000000"/>
                <w:sz w:val="20"/>
                <w:szCs w:val="20"/>
                <w:lang w:val="fr-CA" w:eastAsia="en-CA"/>
              </w:rPr>
              <w:t>-5</w:t>
            </w:r>
            <w:r>
              <w:rPr>
                <w:b/>
                <w:bCs/>
                <w:color w:val="000000"/>
                <w:sz w:val="20"/>
                <w:szCs w:val="20"/>
                <w:lang w:val="fr-CA" w:eastAsia="en-CA"/>
              </w:rPr>
              <w:t> </w:t>
            </w:r>
            <w:r w:rsidRPr="0042639D">
              <w:rPr>
                <w:b/>
                <w:bCs/>
                <w:color w:val="000000"/>
                <w:sz w:val="20"/>
                <w:szCs w:val="20"/>
                <w:lang w:val="fr-CA" w:eastAsia="en-CA"/>
              </w:rPr>
              <w:t>893</w:t>
            </w:r>
            <w:r>
              <w:rPr>
                <w:b/>
                <w:bCs/>
                <w:color w:val="000000"/>
                <w:sz w:val="20"/>
                <w:szCs w:val="20"/>
                <w:lang w:val="fr-CA" w:eastAsia="en-CA"/>
              </w:rPr>
              <w:t> </w:t>
            </w:r>
            <w:r w:rsidRPr="0042639D">
              <w:rPr>
                <w:b/>
                <w:bCs/>
                <w:color w:val="000000"/>
                <w:sz w:val="20"/>
                <w:szCs w:val="20"/>
                <w:lang w:val="fr-CA" w:eastAsia="en-CA"/>
              </w:rPr>
              <w:t>000</w:t>
            </w:r>
          </w:p>
        </w:tc>
        <w:tc>
          <w:tcPr>
            <w:tcW w:w="939" w:type="pct"/>
            <w:tcBorders>
              <w:top w:val="nil"/>
              <w:left w:val="nil"/>
              <w:bottom w:val="single" w:sz="4" w:space="0" w:color="auto"/>
              <w:right w:val="single" w:sz="4" w:space="0" w:color="auto"/>
            </w:tcBorders>
            <w:vAlign w:val="center"/>
            <w:hideMark/>
          </w:tcPr>
          <w:p w14:paraId="423755B6" w14:textId="77777777" w:rsidR="006345CD" w:rsidRPr="0042639D" w:rsidRDefault="006345CD" w:rsidP="006023A6">
            <w:pPr>
              <w:jc w:val="right"/>
              <w:rPr>
                <w:b/>
                <w:bCs/>
                <w:color w:val="000000"/>
                <w:sz w:val="20"/>
                <w:szCs w:val="20"/>
                <w:lang w:val="fr-CA" w:eastAsia="en-CA"/>
              </w:rPr>
            </w:pPr>
            <w:r w:rsidRPr="0042639D">
              <w:rPr>
                <w:b/>
                <w:bCs/>
                <w:color w:val="000000"/>
                <w:sz w:val="20"/>
                <w:szCs w:val="20"/>
                <w:lang w:val="fr-CA" w:eastAsia="en-CA"/>
              </w:rPr>
              <w:t>8</w:t>
            </w:r>
            <w:r>
              <w:rPr>
                <w:b/>
                <w:bCs/>
                <w:color w:val="000000"/>
                <w:sz w:val="20"/>
                <w:szCs w:val="20"/>
                <w:lang w:val="fr-CA" w:eastAsia="en-CA"/>
              </w:rPr>
              <w:t> </w:t>
            </w:r>
            <w:r w:rsidRPr="0042639D">
              <w:rPr>
                <w:b/>
                <w:bCs/>
                <w:color w:val="000000"/>
                <w:sz w:val="20"/>
                <w:szCs w:val="20"/>
                <w:lang w:val="fr-CA" w:eastAsia="en-CA"/>
              </w:rPr>
              <w:t>751</w:t>
            </w:r>
            <w:r>
              <w:rPr>
                <w:b/>
                <w:bCs/>
                <w:color w:val="000000"/>
                <w:sz w:val="20"/>
                <w:szCs w:val="20"/>
                <w:lang w:val="fr-CA" w:eastAsia="en-CA"/>
              </w:rPr>
              <w:t> </w:t>
            </w:r>
            <w:r w:rsidRPr="0042639D">
              <w:rPr>
                <w:b/>
                <w:bCs/>
                <w:color w:val="000000"/>
                <w:sz w:val="20"/>
                <w:szCs w:val="20"/>
                <w:lang w:val="fr-CA" w:eastAsia="en-CA"/>
              </w:rPr>
              <w:t>834</w:t>
            </w:r>
          </w:p>
        </w:tc>
      </w:tr>
    </w:tbl>
    <w:p w14:paraId="2CE56775" w14:textId="77777777" w:rsidR="006345CD" w:rsidRPr="0042639D" w:rsidRDefault="006345CD" w:rsidP="006345CD">
      <w:pPr>
        <w:rPr>
          <w:bCs/>
          <w:sz w:val="16"/>
          <w:szCs w:val="16"/>
          <w:lang w:val="fr-CA"/>
        </w:rPr>
      </w:pPr>
      <w:r w:rsidRPr="0042639D">
        <w:rPr>
          <w:bCs/>
          <w:sz w:val="16"/>
          <w:szCs w:val="16"/>
          <w:lang w:val="fr-CA"/>
        </w:rPr>
        <w:t>*</w:t>
      </w:r>
      <w:r w:rsidRPr="0042639D">
        <w:rPr>
          <w:bCs/>
          <w:color w:val="000000"/>
          <w:sz w:val="16"/>
          <w:szCs w:val="16"/>
          <w:lang w:val="fr-CA" w:eastAsia="en-CA"/>
        </w:rPr>
        <w:t xml:space="preserve"> </w:t>
      </w:r>
      <w:r>
        <w:rPr>
          <w:bCs/>
          <w:color w:val="000000"/>
          <w:sz w:val="16"/>
          <w:szCs w:val="16"/>
          <w:lang w:val="fr-CA" w:eastAsia="en-CA"/>
        </w:rPr>
        <w:t xml:space="preserve">Incluant le remboursement de </w:t>
      </w:r>
      <w:r w:rsidRPr="0042639D">
        <w:rPr>
          <w:bCs/>
          <w:color w:val="000000"/>
          <w:sz w:val="16"/>
          <w:szCs w:val="16"/>
          <w:lang w:val="fr-CA" w:eastAsia="en-CA"/>
        </w:rPr>
        <w:t>93</w:t>
      </w:r>
      <w:r>
        <w:rPr>
          <w:bCs/>
          <w:color w:val="000000"/>
          <w:sz w:val="16"/>
          <w:szCs w:val="16"/>
          <w:lang w:val="fr-CA" w:eastAsia="en-CA"/>
        </w:rPr>
        <w:t> </w:t>
      </w:r>
      <w:r w:rsidRPr="0042639D">
        <w:rPr>
          <w:bCs/>
          <w:color w:val="000000"/>
          <w:sz w:val="16"/>
          <w:szCs w:val="16"/>
          <w:lang w:val="fr-CA" w:eastAsia="en-CA"/>
        </w:rPr>
        <w:t>358</w:t>
      </w:r>
      <w:r>
        <w:rPr>
          <w:bCs/>
          <w:color w:val="000000"/>
          <w:sz w:val="16"/>
          <w:szCs w:val="16"/>
          <w:lang w:val="fr-CA" w:eastAsia="en-CA"/>
        </w:rPr>
        <w:t> $US</w:t>
      </w:r>
      <w:r w:rsidRPr="0042639D">
        <w:rPr>
          <w:bCs/>
          <w:color w:val="000000"/>
          <w:sz w:val="16"/>
          <w:szCs w:val="16"/>
          <w:lang w:val="fr-CA" w:eastAsia="en-CA"/>
        </w:rPr>
        <w:t xml:space="preserve">, plus </w:t>
      </w:r>
      <w:r>
        <w:rPr>
          <w:bCs/>
          <w:color w:val="000000"/>
          <w:sz w:val="16"/>
          <w:szCs w:val="16"/>
          <w:lang w:val="fr-CA" w:eastAsia="en-CA"/>
        </w:rPr>
        <w:t>les coûts d’appui d’agence</w:t>
      </w:r>
      <w:r w:rsidRPr="0042639D">
        <w:rPr>
          <w:bCs/>
          <w:color w:val="000000"/>
          <w:sz w:val="16"/>
          <w:szCs w:val="16"/>
          <w:lang w:val="fr-CA" w:eastAsia="en-CA"/>
        </w:rPr>
        <w:t xml:space="preserve">, </w:t>
      </w:r>
      <w:r>
        <w:rPr>
          <w:bCs/>
          <w:color w:val="000000"/>
          <w:sz w:val="16"/>
          <w:szCs w:val="16"/>
          <w:lang w:val="fr-CA" w:eastAsia="en-CA"/>
        </w:rPr>
        <w:t xml:space="preserve">en raison du changement de </w:t>
      </w:r>
      <w:r w:rsidRPr="0042639D">
        <w:rPr>
          <w:sz w:val="16"/>
          <w:szCs w:val="16"/>
          <w:lang w:val="fr-CA"/>
        </w:rPr>
        <w:t>technolog</w:t>
      </w:r>
      <w:r>
        <w:rPr>
          <w:sz w:val="16"/>
          <w:szCs w:val="16"/>
          <w:lang w:val="fr-CA"/>
        </w:rPr>
        <w:t xml:space="preserve">ie à </w:t>
      </w:r>
      <w:proofErr w:type="spellStart"/>
      <w:r w:rsidRPr="0042639D">
        <w:rPr>
          <w:sz w:val="16"/>
          <w:szCs w:val="16"/>
          <w:lang w:val="fr-CA"/>
        </w:rPr>
        <w:t>Midea</w:t>
      </w:r>
      <w:proofErr w:type="spellEnd"/>
      <w:r w:rsidRPr="0042639D">
        <w:rPr>
          <w:sz w:val="16"/>
          <w:szCs w:val="16"/>
          <w:lang w:val="fr-CA"/>
        </w:rPr>
        <w:t xml:space="preserve"> Viet Nam </w:t>
      </w:r>
      <w:r>
        <w:rPr>
          <w:sz w:val="16"/>
          <w:szCs w:val="16"/>
          <w:lang w:val="fr-CA"/>
        </w:rPr>
        <w:t>pour passer du</w:t>
      </w:r>
      <w:r w:rsidRPr="0042639D">
        <w:rPr>
          <w:sz w:val="16"/>
          <w:szCs w:val="16"/>
          <w:lang w:val="fr-CA"/>
        </w:rPr>
        <w:t xml:space="preserve"> R-290 </w:t>
      </w:r>
      <w:r>
        <w:rPr>
          <w:sz w:val="16"/>
          <w:szCs w:val="16"/>
          <w:lang w:val="fr-CA"/>
        </w:rPr>
        <w:t>au</w:t>
      </w:r>
      <w:r w:rsidRPr="0042639D">
        <w:rPr>
          <w:sz w:val="16"/>
          <w:szCs w:val="16"/>
          <w:lang w:val="fr-CA"/>
        </w:rPr>
        <w:t xml:space="preserve"> HFC-32</w:t>
      </w:r>
      <w:r>
        <w:rPr>
          <w:sz w:val="16"/>
          <w:szCs w:val="16"/>
          <w:lang w:val="fr-CA"/>
        </w:rPr>
        <w:t>, déjà restitués</w:t>
      </w:r>
      <w:r w:rsidRPr="0042639D">
        <w:rPr>
          <w:sz w:val="16"/>
          <w:szCs w:val="16"/>
          <w:lang w:val="fr-CA"/>
        </w:rPr>
        <w:t xml:space="preserve"> (</w:t>
      </w:r>
      <w:r>
        <w:rPr>
          <w:sz w:val="16"/>
          <w:szCs w:val="16"/>
          <w:lang w:val="fr-CA"/>
        </w:rPr>
        <w:t>décision</w:t>
      </w:r>
      <w:r w:rsidRPr="0042639D">
        <w:rPr>
          <w:sz w:val="16"/>
          <w:szCs w:val="16"/>
          <w:lang w:val="fr-CA"/>
        </w:rPr>
        <w:t> 82/37(b))</w:t>
      </w:r>
      <w:r w:rsidRPr="0042639D">
        <w:rPr>
          <w:bCs/>
          <w:sz w:val="16"/>
          <w:szCs w:val="16"/>
          <w:lang w:val="fr-CA"/>
        </w:rPr>
        <w:t>.</w:t>
      </w:r>
    </w:p>
    <w:p w14:paraId="77BEBC42" w14:textId="239CF3A8" w:rsidR="006345CD" w:rsidRPr="0042639D" w:rsidRDefault="006345CD" w:rsidP="006345CD">
      <w:pPr>
        <w:rPr>
          <w:bCs/>
          <w:sz w:val="16"/>
          <w:szCs w:val="16"/>
          <w:lang w:val="fr-CA"/>
        </w:rPr>
      </w:pPr>
      <w:r w:rsidRPr="0042639D">
        <w:rPr>
          <w:bCs/>
          <w:sz w:val="16"/>
          <w:szCs w:val="16"/>
          <w:lang w:val="fr-CA"/>
        </w:rPr>
        <w:t>**</w:t>
      </w:r>
      <w:r w:rsidRPr="0042639D">
        <w:rPr>
          <w:bCs/>
          <w:color w:val="000000"/>
          <w:sz w:val="16"/>
          <w:szCs w:val="16"/>
          <w:lang w:val="fr-CA" w:eastAsia="en-CA"/>
        </w:rPr>
        <w:t xml:space="preserve"> Inclu</w:t>
      </w:r>
      <w:r>
        <w:rPr>
          <w:bCs/>
          <w:color w:val="000000"/>
          <w:sz w:val="16"/>
          <w:szCs w:val="16"/>
          <w:lang w:val="fr-CA" w:eastAsia="en-CA"/>
        </w:rPr>
        <w:t xml:space="preserve">ant </w:t>
      </w:r>
      <w:r w:rsidRPr="0042639D">
        <w:rPr>
          <w:bCs/>
          <w:sz w:val="16"/>
          <w:szCs w:val="16"/>
          <w:lang w:val="fr-CA"/>
        </w:rPr>
        <w:t>613</w:t>
      </w:r>
      <w:r>
        <w:rPr>
          <w:bCs/>
          <w:sz w:val="16"/>
          <w:szCs w:val="16"/>
          <w:lang w:val="fr-CA"/>
        </w:rPr>
        <w:t> </w:t>
      </w:r>
      <w:r w:rsidRPr="0042639D">
        <w:rPr>
          <w:bCs/>
          <w:sz w:val="16"/>
          <w:szCs w:val="16"/>
          <w:lang w:val="fr-CA"/>
        </w:rPr>
        <w:t>568</w:t>
      </w:r>
      <w:r>
        <w:rPr>
          <w:bCs/>
          <w:sz w:val="16"/>
          <w:szCs w:val="16"/>
          <w:lang w:val="fr-CA"/>
        </w:rPr>
        <w:t> $US</w:t>
      </w:r>
      <w:r w:rsidRPr="0042639D">
        <w:rPr>
          <w:bCs/>
          <w:sz w:val="16"/>
          <w:szCs w:val="16"/>
          <w:lang w:val="fr-CA"/>
        </w:rPr>
        <w:t xml:space="preserve">, plus </w:t>
      </w:r>
      <w:r>
        <w:rPr>
          <w:bCs/>
          <w:sz w:val="16"/>
          <w:szCs w:val="16"/>
          <w:lang w:val="fr-CA"/>
        </w:rPr>
        <w:t>les coûts d’appui d’agence</w:t>
      </w:r>
      <w:r w:rsidRPr="0042639D">
        <w:rPr>
          <w:bCs/>
          <w:sz w:val="16"/>
          <w:szCs w:val="16"/>
          <w:lang w:val="fr-CA"/>
        </w:rPr>
        <w:t xml:space="preserve">, </w:t>
      </w:r>
      <w:r>
        <w:rPr>
          <w:bCs/>
          <w:sz w:val="16"/>
          <w:szCs w:val="16"/>
          <w:lang w:val="fr-CA"/>
        </w:rPr>
        <w:t xml:space="preserve">liés à l’entreprise de fabrication de mousse </w:t>
      </w:r>
      <w:r w:rsidR="0026119A">
        <w:rPr>
          <w:sz w:val="16"/>
          <w:szCs w:val="16"/>
          <w:lang w:val="fr-CA"/>
        </w:rPr>
        <w:t>de polystyrène extrudé</w:t>
      </w:r>
      <w:r w:rsidRPr="0042639D">
        <w:rPr>
          <w:sz w:val="16"/>
          <w:szCs w:val="16"/>
          <w:lang w:val="fr-CA"/>
        </w:rPr>
        <w:t xml:space="preserve"> Phu </w:t>
      </w:r>
      <w:proofErr w:type="spellStart"/>
      <w:r w:rsidRPr="0042639D">
        <w:rPr>
          <w:sz w:val="16"/>
          <w:szCs w:val="16"/>
          <w:lang w:val="fr-CA"/>
        </w:rPr>
        <w:t>Vuong</w:t>
      </w:r>
      <w:proofErr w:type="spellEnd"/>
      <w:r w:rsidRPr="0042639D">
        <w:rPr>
          <w:sz w:val="16"/>
          <w:szCs w:val="16"/>
          <w:lang w:val="fr-CA"/>
        </w:rPr>
        <w:t xml:space="preserve"> Corporation </w:t>
      </w:r>
      <w:proofErr w:type="spellStart"/>
      <w:r w:rsidRPr="0042639D">
        <w:rPr>
          <w:sz w:val="16"/>
          <w:szCs w:val="16"/>
          <w:lang w:val="fr-CA"/>
        </w:rPr>
        <w:t>Industry</w:t>
      </w:r>
      <w:proofErr w:type="spellEnd"/>
      <w:r w:rsidRPr="0042639D">
        <w:rPr>
          <w:sz w:val="16"/>
          <w:szCs w:val="16"/>
          <w:lang w:val="fr-CA"/>
        </w:rPr>
        <w:t xml:space="preserve">, </w:t>
      </w:r>
      <w:r>
        <w:rPr>
          <w:sz w:val="16"/>
          <w:szCs w:val="16"/>
          <w:lang w:val="fr-CA"/>
        </w:rPr>
        <w:t>qui a été jugée non admissible au financement, déjà restitués</w:t>
      </w:r>
      <w:r w:rsidRPr="0042639D">
        <w:rPr>
          <w:sz w:val="16"/>
          <w:szCs w:val="16"/>
          <w:lang w:val="fr-CA"/>
        </w:rPr>
        <w:t xml:space="preserve"> (</w:t>
      </w:r>
      <w:r>
        <w:rPr>
          <w:sz w:val="16"/>
          <w:szCs w:val="16"/>
          <w:lang w:val="fr-CA"/>
        </w:rPr>
        <w:t>décision</w:t>
      </w:r>
      <w:r w:rsidRPr="0042639D">
        <w:rPr>
          <w:sz w:val="16"/>
          <w:szCs w:val="16"/>
          <w:lang w:val="fr-CA"/>
        </w:rPr>
        <w:t> 87/28(a))</w:t>
      </w:r>
      <w:r w:rsidRPr="0042639D">
        <w:rPr>
          <w:bCs/>
          <w:sz w:val="16"/>
          <w:szCs w:val="16"/>
          <w:lang w:val="fr-CA"/>
        </w:rPr>
        <w:t>.</w:t>
      </w:r>
    </w:p>
    <w:p w14:paraId="6B491820" w14:textId="77777777" w:rsidR="006345CD" w:rsidRPr="0042639D" w:rsidRDefault="006345CD" w:rsidP="006345CD">
      <w:pPr>
        <w:rPr>
          <w:lang w:val="fr-CA"/>
        </w:rPr>
      </w:pPr>
    </w:p>
    <w:p w14:paraId="6E2F700B" w14:textId="77777777" w:rsidR="006345CD" w:rsidRPr="0042639D" w:rsidRDefault="006345CD" w:rsidP="006345CD">
      <w:pPr>
        <w:rPr>
          <w:b/>
          <w:bCs/>
          <w:iCs/>
          <w:lang w:val="fr-CA"/>
        </w:rPr>
      </w:pPr>
      <w:r>
        <w:rPr>
          <w:b/>
          <w:bCs/>
          <w:iCs/>
          <w:lang w:val="fr-CA"/>
        </w:rPr>
        <w:t xml:space="preserve">Achèvement de la </w:t>
      </w:r>
      <w:r w:rsidRPr="0042639D">
        <w:rPr>
          <w:b/>
          <w:bCs/>
          <w:iCs/>
          <w:lang w:val="fr-CA"/>
        </w:rPr>
        <w:t>phase II</w:t>
      </w:r>
    </w:p>
    <w:p w14:paraId="2CEA4FE8" w14:textId="77777777" w:rsidR="006345CD" w:rsidRPr="0042639D" w:rsidRDefault="006345CD" w:rsidP="006345CD">
      <w:pPr>
        <w:jc w:val="center"/>
        <w:rPr>
          <w:i/>
          <w:lang w:val="fr-CA"/>
        </w:rPr>
      </w:pPr>
    </w:p>
    <w:p w14:paraId="34083F23" w14:textId="77777777" w:rsidR="006345CD" w:rsidRPr="0042639D" w:rsidRDefault="006345CD" w:rsidP="006345CD">
      <w:pPr>
        <w:pStyle w:val="Heading1"/>
        <w:numPr>
          <w:ilvl w:val="0"/>
          <w:numId w:val="30"/>
        </w:numPr>
        <w:rPr>
          <w:lang w:val="fr-CA"/>
        </w:rPr>
      </w:pPr>
      <w:r>
        <w:rPr>
          <w:lang w:val="fr-CA"/>
        </w:rPr>
        <w:t>L</w:t>
      </w:r>
      <w:r w:rsidRPr="0042639D">
        <w:rPr>
          <w:lang w:val="fr-CA"/>
        </w:rPr>
        <w:t xml:space="preserve">e Gouvernement </w:t>
      </w:r>
      <w:r>
        <w:rPr>
          <w:lang w:val="fr-CA"/>
        </w:rPr>
        <w:t xml:space="preserve">du </w:t>
      </w:r>
      <w:r w:rsidRPr="0042639D">
        <w:rPr>
          <w:lang w:val="fr-CA"/>
        </w:rPr>
        <w:t xml:space="preserve">Viet Nam </w:t>
      </w:r>
      <w:r>
        <w:rPr>
          <w:lang w:val="fr-CA"/>
        </w:rPr>
        <w:t xml:space="preserve">demande le report de la </w:t>
      </w:r>
      <w:r w:rsidRPr="0042639D">
        <w:rPr>
          <w:lang w:val="fr-CA"/>
        </w:rPr>
        <w:t xml:space="preserve">date </w:t>
      </w:r>
      <w:r>
        <w:rPr>
          <w:lang w:val="fr-CA"/>
        </w:rPr>
        <w:t>d’achèvement de la</w:t>
      </w:r>
      <w:r w:rsidRPr="0042639D">
        <w:rPr>
          <w:lang w:val="fr-CA"/>
        </w:rPr>
        <w:t xml:space="preserve"> phase II </w:t>
      </w:r>
      <w:r>
        <w:rPr>
          <w:lang w:val="fr-CA"/>
        </w:rPr>
        <w:t xml:space="preserve">jusqu’au </w:t>
      </w:r>
      <w:r w:rsidRPr="0042639D">
        <w:rPr>
          <w:lang w:val="fr-CA"/>
        </w:rPr>
        <w:t>31</w:t>
      </w:r>
      <w:r>
        <w:rPr>
          <w:lang w:val="fr-CA"/>
        </w:rPr>
        <w:t> dé</w:t>
      </w:r>
      <w:r w:rsidRPr="0042639D">
        <w:rPr>
          <w:lang w:val="fr-CA"/>
        </w:rPr>
        <w:t>cemb</w:t>
      </w:r>
      <w:r>
        <w:rPr>
          <w:lang w:val="fr-CA"/>
        </w:rPr>
        <w:t>r</w:t>
      </w:r>
      <w:r w:rsidRPr="0042639D">
        <w:rPr>
          <w:lang w:val="fr-CA"/>
        </w:rPr>
        <w:t>e 2023</w:t>
      </w:r>
      <w:r>
        <w:rPr>
          <w:lang w:val="fr-CA"/>
        </w:rPr>
        <w:t xml:space="preserve">, pour pouvoir apporter les changements proposés à la </w:t>
      </w:r>
      <w:r w:rsidRPr="0042639D">
        <w:rPr>
          <w:lang w:val="fr-CA"/>
        </w:rPr>
        <w:t xml:space="preserve">phase II </w:t>
      </w:r>
      <w:r>
        <w:rPr>
          <w:lang w:val="fr-CA"/>
        </w:rPr>
        <w:t>du</w:t>
      </w:r>
      <w:r w:rsidRPr="0042639D">
        <w:rPr>
          <w:lang w:val="fr-CA"/>
        </w:rPr>
        <w:t xml:space="preserve"> PGEH. </w:t>
      </w:r>
      <w:r>
        <w:rPr>
          <w:lang w:val="fr-CA"/>
        </w:rPr>
        <w:t>Devant la nécessité de temps supplémentaire pour réaliser les re</w:t>
      </w:r>
      <w:r w:rsidRPr="0042639D">
        <w:rPr>
          <w:lang w:val="fr-CA"/>
        </w:rPr>
        <w:t xml:space="preserve">conversions </w:t>
      </w:r>
      <w:r>
        <w:rPr>
          <w:lang w:val="fr-CA"/>
        </w:rPr>
        <w:t xml:space="preserve">dans le secteur de la fabrication de mousses </w:t>
      </w:r>
      <w:r w:rsidRPr="0042639D">
        <w:rPr>
          <w:lang w:val="fr-CA"/>
        </w:rPr>
        <w:t xml:space="preserve">PU, </w:t>
      </w:r>
      <w:r>
        <w:rPr>
          <w:lang w:val="fr-CA"/>
        </w:rPr>
        <w:t>le pays a reporté au 1</w:t>
      </w:r>
      <w:r w:rsidRPr="00BB1FAD">
        <w:rPr>
          <w:vertAlign w:val="superscript"/>
          <w:lang w:val="fr-CA"/>
        </w:rPr>
        <w:t>er</w:t>
      </w:r>
      <w:r>
        <w:rPr>
          <w:lang w:val="fr-CA"/>
        </w:rPr>
        <w:t xml:space="preserve"> janvier 2023 l’interdiction du </w:t>
      </w:r>
      <w:r w:rsidRPr="0042639D">
        <w:rPr>
          <w:lang w:val="fr-CA"/>
        </w:rPr>
        <w:t>HCFC-141b cont</w:t>
      </w:r>
      <w:r>
        <w:rPr>
          <w:lang w:val="fr-CA"/>
        </w:rPr>
        <w:t xml:space="preserve">enu dans les </w:t>
      </w:r>
      <w:r w:rsidRPr="0042639D">
        <w:rPr>
          <w:lang w:val="fr-CA"/>
        </w:rPr>
        <w:t xml:space="preserve">polyols </w:t>
      </w:r>
      <w:r>
        <w:rPr>
          <w:lang w:val="fr-CA"/>
        </w:rPr>
        <w:t>prémélangés notée dans la décision</w:t>
      </w:r>
      <w:r w:rsidRPr="0042639D">
        <w:rPr>
          <w:lang w:val="fr-CA"/>
        </w:rPr>
        <w:t> 76/42(c)(i).</w:t>
      </w:r>
    </w:p>
    <w:p w14:paraId="3B6B02F9" w14:textId="77777777" w:rsidR="006345CD" w:rsidRPr="0042639D" w:rsidRDefault="006345CD" w:rsidP="006345CD">
      <w:pPr>
        <w:keepNext/>
        <w:keepLines/>
        <w:spacing w:after="240"/>
        <w:rPr>
          <w:b/>
          <w:lang w:val="fr-CA"/>
        </w:rPr>
      </w:pPr>
      <w:r>
        <w:rPr>
          <w:b/>
          <w:lang w:val="fr-CA"/>
        </w:rPr>
        <w:t>Observations du Secrétariat</w:t>
      </w:r>
    </w:p>
    <w:p w14:paraId="135DDB75" w14:textId="77777777" w:rsidR="006345CD" w:rsidRPr="0042639D" w:rsidRDefault="006345CD" w:rsidP="006345CD">
      <w:pPr>
        <w:keepNext/>
        <w:keepLines/>
        <w:rPr>
          <w:u w:val="single"/>
          <w:lang w:val="fr-CA"/>
        </w:rPr>
      </w:pPr>
      <w:r>
        <w:rPr>
          <w:u w:val="single"/>
          <w:lang w:val="fr-CA"/>
        </w:rPr>
        <w:t xml:space="preserve">Rapport d’avancement soumis à la </w:t>
      </w:r>
      <w:r w:rsidRPr="0042639D">
        <w:rPr>
          <w:u w:val="single"/>
          <w:lang w:val="fr-CA"/>
        </w:rPr>
        <w:t>90</w:t>
      </w:r>
      <w:r>
        <w:rPr>
          <w:u w:val="single"/>
          <w:vertAlign w:val="superscript"/>
          <w:lang w:val="fr-CA"/>
        </w:rPr>
        <w:t>e</w:t>
      </w:r>
      <w:r w:rsidRPr="0042639D">
        <w:rPr>
          <w:u w:val="single"/>
          <w:lang w:val="fr-CA"/>
        </w:rPr>
        <w:t> réunion</w:t>
      </w:r>
    </w:p>
    <w:p w14:paraId="12B8D88B" w14:textId="77777777" w:rsidR="006345CD" w:rsidRPr="0042639D" w:rsidRDefault="006345CD" w:rsidP="006345CD">
      <w:pPr>
        <w:keepNext/>
        <w:keepLines/>
        <w:rPr>
          <w:u w:val="single"/>
          <w:lang w:val="fr-CA"/>
        </w:rPr>
      </w:pPr>
    </w:p>
    <w:p w14:paraId="58581972" w14:textId="77777777" w:rsidR="006345CD" w:rsidRPr="0042639D" w:rsidRDefault="006345CD" w:rsidP="006345CD">
      <w:pPr>
        <w:keepNext/>
        <w:keepLines/>
        <w:spacing w:after="240"/>
        <w:rPr>
          <w:bCs/>
          <w:i/>
          <w:iCs/>
          <w:lang w:val="fr-CA"/>
        </w:rPr>
      </w:pPr>
      <w:r w:rsidRPr="0042639D">
        <w:rPr>
          <w:bCs/>
          <w:i/>
          <w:iCs/>
          <w:lang w:val="fr-CA"/>
        </w:rPr>
        <w:t>R</w:t>
      </w:r>
      <w:r>
        <w:rPr>
          <w:bCs/>
          <w:i/>
          <w:iCs/>
          <w:lang w:val="fr-CA"/>
        </w:rPr>
        <w:t>ap</w:t>
      </w:r>
      <w:r w:rsidRPr="0042639D">
        <w:rPr>
          <w:bCs/>
          <w:i/>
          <w:iCs/>
          <w:lang w:val="fr-CA"/>
        </w:rPr>
        <w:t xml:space="preserve">port </w:t>
      </w:r>
      <w:r>
        <w:rPr>
          <w:bCs/>
          <w:i/>
          <w:iCs/>
          <w:lang w:val="fr-CA"/>
        </w:rPr>
        <w:t>sur la consommation de</w:t>
      </w:r>
      <w:r w:rsidRPr="0042639D">
        <w:rPr>
          <w:bCs/>
          <w:i/>
          <w:iCs/>
          <w:lang w:val="fr-CA"/>
        </w:rPr>
        <w:t xml:space="preserve"> HCFC</w:t>
      </w:r>
    </w:p>
    <w:p w14:paraId="46D51928" w14:textId="77777777" w:rsidR="006345CD" w:rsidRPr="0042639D" w:rsidRDefault="006345CD" w:rsidP="006345CD">
      <w:pPr>
        <w:pStyle w:val="Heading1"/>
        <w:numPr>
          <w:ilvl w:val="0"/>
          <w:numId w:val="30"/>
        </w:numPr>
        <w:rPr>
          <w:lang w:val="fr-CA"/>
        </w:rPr>
      </w:pPr>
      <w:r>
        <w:rPr>
          <w:lang w:val="fr-CA"/>
        </w:rPr>
        <w:t>La</w:t>
      </w:r>
      <w:r w:rsidRPr="0042639D">
        <w:rPr>
          <w:lang w:val="fr-CA"/>
        </w:rPr>
        <w:t xml:space="preserve"> réduction </w:t>
      </w:r>
      <w:r>
        <w:rPr>
          <w:lang w:val="fr-CA"/>
        </w:rPr>
        <w:t xml:space="preserve">de la consommation en </w:t>
      </w:r>
      <w:r w:rsidRPr="0042639D">
        <w:rPr>
          <w:lang w:val="fr-CA"/>
        </w:rPr>
        <w:t xml:space="preserve">2020 </w:t>
      </w:r>
      <w:r>
        <w:rPr>
          <w:lang w:val="fr-CA"/>
        </w:rPr>
        <w:t>était conforme aux quotas réduits adoptés pour atteindre la cible de réduction de 35 % du pays</w:t>
      </w:r>
      <w:r w:rsidRPr="0042639D">
        <w:rPr>
          <w:lang w:val="fr-CA"/>
        </w:rPr>
        <w:t xml:space="preserve">. </w:t>
      </w:r>
      <w:r>
        <w:rPr>
          <w:lang w:val="fr-CA"/>
        </w:rPr>
        <w:t xml:space="preserve">Bien que la consommation de </w:t>
      </w:r>
      <w:r w:rsidRPr="0042639D">
        <w:rPr>
          <w:lang w:val="fr-CA"/>
        </w:rPr>
        <w:t xml:space="preserve">HCFC-22 </w:t>
      </w:r>
      <w:r>
        <w:rPr>
          <w:lang w:val="fr-CA"/>
        </w:rPr>
        <w:t xml:space="preserve">dans la fabrication </w:t>
      </w:r>
      <w:r w:rsidRPr="0042639D">
        <w:rPr>
          <w:lang w:val="fr-CA"/>
        </w:rPr>
        <w:t>RAC</w:t>
      </w:r>
      <w:r>
        <w:rPr>
          <w:lang w:val="fr-CA"/>
        </w:rPr>
        <w:t xml:space="preserve"> ait connu une baisse constante</w:t>
      </w:r>
      <w:r w:rsidRPr="0042639D">
        <w:rPr>
          <w:lang w:val="fr-CA"/>
        </w:rPr>
        <w:t xml:space="preserve">, </w:t>
      </w:r>
      <w:r>
        <w:rPr>
          <w:lang w:val="fr-CA"/>
        </w:rPr>
        <w:t xml:space="preserve">la réduction différait entre les secteurs de fabrication en climatisation et en </w:t>
      </w:r>
      <w:r w:rsidRPr="0042639D">
        <w:rPr>
          <w:lang w:val="fr-CA"/>
        </w:rPr>
        <w:t xml:space="preserve">réfrigération: </w:t>
      </w:r>
      <w:r>
        <w:rPr>
          <w:lang w:val="fr-CA"/>
        </w:rPr>
        <w:t xml:space="preserve">la consommation de </w:t>
      </w:r>
      <w:r w:rsidRPr="0042639D">
        <w:rPr>
          <w:lang w:val="fr-CA"/>
        </w:rPr>
        <w:t xml:space="preserve">HCFC-22 </w:t>
      </w:r>
      <w:r>
        <w:rPr>
          <w:lang w:val="fr-CA"/>
        </w:rPr>
        <w:t xml:space="preserve">dans la fabrication AC était nulle en </w:t>
      </w:r>
      <w:r w:rsidRPr="0042639D">
        <w:rPr>
          <w:lang w:val="fr-CA"/>
        </w:rPr>
        <w:t xml:space="preserve">2019 </w:t>
      </w:r>
      <w:r>
        <w:rPr>
          <w:lang w:val="fr-CA"/>
        </w:rPr>
        <w:t xml:space="preserve">et était resté à ce niveau car les constructeurs sont passés à l’importation d’unités AC non fondées sur le </w:t>
      </w:r>
      <w:r w:rsidRPr="0042639D">
        <w:rPr>
          <w:lang w:val="fr-CA"/>
        </w:rPr>
        <w:t>HCFC-22</w:t>
      </w:r>
      <w:r>
        <w:rPr>
          <w:lang w:val="fr-CA"/>
        </w:rPr>
        <w:t xml:space="preserve">, en raison de la haute demande tant pour les climatiseurs à circuit inverseur que pour les appareils à base de </w:t>
      </w:r>
      <w:r w:rsidRPr="0042639D">
        <w:rPr>
          <w:lang w:val="fr-CA"/>
        </w:rPr>
        <w:t xml:space="preserve">HFC-32, </w:t>
      </w:r>
      <w:r>
        <w:rPr>
          <w:lang w:val="fr-CA"/>
        </w:rPr>
        <w:t>et de la baisse de la fabrication sur un marché hautement compétitif</w:t>
      </w:r>
      <w:r w:rsidRPr="0042639D">
        <w:rPr>
          <w:lang w:val="fr-CA"/>
        </w:rPr>
        <w:t xml:space="preserve">. </w:t>
      </w:r>
      <w:r>
        <w:rPr>
          <w:lang w:val="fr-CA"/>
        </w:rPr>
        <w:t xml:space="preserve">La consommation de </w:t>
      </w:r>
      <w:r w:rsidRPr="0042639D">
        <w:rPr>
          <w:lang w:val="fr-CA"/>
        </w:rPr>
        <w:t xml:space="preserve">HCFC-22 </w:t>
      </w:r>
      <w:r>
        <w:rPr>
          <w:lang w:val="fr-CA"/>
        </w:rPr>
        <w:t xml:space="preserve">dans la fabrication en </w:t>
      </w:r>
      <w:r w:rsidRPr="0042639D">
        <w:rPr>
          <w:lang w:val="fr-CA"/>
        </w:rPr>
        <w:t xml:space="preserve">réfrigération </w:t>
      </w:r>
      <w:r>
        <w:rPr>
          <w:lang w:val="fr-CA"/>
        </w:rPr>
        <w:t>e</w:t>
      </w:r>
      <w:r w:rsidRPr="0042639D">
        <w:rPr>
          <w:lang w:val="fr-CA"/>
        </w:rPr>
        <w:t xml:space="preserve">n 2014 </w:t>
      </w:r>
      <w:r>
        <w:rPr>
          <w:lang w:val="fr-CA"/>
        </w:rPr>
        <w:t xml:space="preserve">a été évaluée à </w:t>
      </w:r>
      <w:r w:rsidRPr="0042639D">
        <w:rPr>
          <w:lang w:val="fr-CA"/>
        </w:rPr>
        <w:t>617 </w:t>
      </w:r>
      <w:r>
        <w:rPr>
          <w:lang w:val="fr-CA"/>
        </w:rPr>
        <w:t>t</w:t>
      </w:r>
      <w:r w:rsidRPr="0042639D">
        <w:rPr>
          <w:lang w:val="fr-CA"/>
        </w:rPr>
        <w:t xml:space="preserve">m; </w:t>
      </w:r>
      <w:r>
        <w:rPr>
          <w:lang w:val="fr-CA"/>
        </w:rPr>
        <w:t xml:space="preserve">cette consommation a augmenté à </w:t>
      </w:r>
      <w:r w:rsidRPr="0042639D">
        <w:rPr>
          <w:lang w:val="fr-CA"/>
        </w:rPr>
        <w:t>890 </w:t>
      </w:r>
      <w:r>
        <w:rPr>
          <w:lang w:val="fr-CA"/>
        </w:rPr>
        <w:t>t</w:t>
      </w:r>
      <w:r w:rsidRPr="0042639D">
        <w:rPr>
          <w:lang w:val="fr-CA"/>
        </w:rPr>
        <w:t xml:space="preserve">m </w:t>
      </w:r>
      <w:r>
        <w:rPr>
          <w:lang w:val="fr-CA"/>
        </w:rPr>
        <w:t>e</w:t>
      </w:r>
      <w:r w:rsidRPr="0042639D">
        <w:rPr>
          <w:lang w:val="fr-CA"/>
        </w:rPr>
        <w:t>n 2019</w:t>
      </w:r>
      <w:r>
        <w:rPr>
          <w:lang w:val="fr-CA"/>
        </w:rPr>
        <w:t xml:space="preserve">, puis </w:t>
      </w:r>
      <w:proofErr w:type="spellStart"/>
      <w:proofErr w:type="gramStart"/>
      <w:r>
        <w:rPr>
          <w:lang w:val="fr-CA"/>
        </w:rPr>
        <w:t>à</w:t>
      </w:r>
      <w:proofErr w:type="spellEnd"/>
      <w:proofErr w:type="gramEnd"/>
      <w:r>
        <w:rPr>
          <w:lang w:val="fr-CA"/>
        </w:rPr>
        <w:t xml:space="preserve"> chuté à</w:t>
      </w:r>
      <w:r w:rsidRPr="0042639D">
        <w:rPr>
          <w:lang w:val="fr-CA"/>
        </w:rPr>
        <w:t xml:space="preserve"> 266 </w:t>
      </w:r>
      <w:proofErr w:type="spellStart"/>
      <w:r>
        <w:rPr>
          <w:lang w:val="fr-CA"/>
        </w:rPr>
        <w:t>t</w:t>
      </w:r>
      <w:r w:rsidRPr="0042639D">
        <w:rPr>
          <w:lang w:val="fr-CA"/>
        </w:rPr>
        <w:t>m</w:t>
      </w:r>
      <w:proofErr w:type="spellEnd"/>
      <w:r w:rsidRPr="0042639D">
        <w:rPr>
          <w:lang w:val="fr-CA"/>
        </w:rPr>
        <w:t xml:space="preserve"> </w:t>
      </w:r>
      <w:r>
        <w:rPr>
          <w:lang w:val="fr-CA"/>
        </w:rPr>
        <w:t>e</w:t>
      </w:r>
      <w:r w:rsidRPr="0042639D">
        <w:rPr>
          <w:lang w:val="fr-CA"/>
        </w:rPr>
        <w:t xml:space="preserve">n 2021; </w:t>
      </w:r>
      <w:r>
        <w:rPr>
          <w:lang w:val="fr-CA"/>
        </w:rPr>
        <w:t xml:space="preserve">cette baisse était sans doute due à l’introduction accrue de frigorigènes à base de </w:t>
      </w:r>
      <w:r w:rsidRPr="0042639D">
        <w:rPr>
          <w:lang w:val="fr-CA"/>
        </w:rPr>
        <w:t>HFC (</w:t>
      </w:r>
      <w:r>
        <w:rPr>
          <w:lang w:val="fr-CA"/>
        </w:rPr>
        <w:t xml:space="preserve">par ex. : </w:t>
      </w:r>
      <w:r w:rsidRPr="0042639D">
        <w:rPr>
          <w:lang w:val="fr-CA"/>
        </w:rPr>
        <w:t xml:space="preserve">R-404A </w:t>
      </w:r>
      <w:r>
        <w:rPr>
          <w:lang w:val="fr-CA"/>
        </w:rPr>
        <w:t>et</w:t>
      </w:r>
      <w:r w:rsidRPr="0042639D">
        <w:rPr>
          <w:lang w:val="fr-CA"/>
        </w:rPr>
        <w:t xml:space="preserve"> HFC-134a), </w:t>
      </w:r>
      <w:r>
        <w:rPr>
          <w:lang w:val="fr-CA"/>
        </w:rPr>
        <w:t xml:space="preserve">aux réduction des </w:t>
      </w:r>
      <w:r w:rsidRPr="0042639D">
        <w:rPr>
          <w:lang w:val="fr-CA"/>
        </w:rPr>
        <w:t>quota</w:t>
      </w:r>
      <w:r>
        <w:rPr>
          <w:lang w:val="fr-CA"/>
        </w:rPr>
        <w:t>s</w:t>
      </w:r>
      <w:r w:rsidRPr="0042639D">
        <w:rPr>
          <w:lang w:val="fr-CA"/>
        </w:rPr>
        <w:t xml:space="preserve">, </w:t>
      </w:r>
      <w:r>
        <w:rPr>
          <w:lang w:val="fr-CA"/>
        </w:rPr>
        <w:t>à une transition de la fabrication à l’assemblage</w:t>
      </w:r>
      <w:r w:rsidRPr="0042639D">
        <w:rPr>
          <w:lang w:val="fr-CA"/>
        </w:rPr>
        <w:t xml:space="preserve">, </w:t>
      </w:r>
      <w:r>
        <w:rPr>
          <w:lang w:val="fr-CA"/>
        </w:rPr>
        <w:t xml:space="preserve">et aux incidences économiques de la pandémie de </w:t>
      </w:r>
      <w:r w:rsidRPr="0042639D">
        <w:rPr>
          <w:lang w:val="fr-CA"/>
        </w:rPr>
        <w:t xml:space="preserve">COVID-19. </w:t>
      </w:r>
      <w:r>
        <w:rPr>
          <w:lang w:val="fr-CA"/>
        </w:rPr>
        <w:t xml:space="preserve">La consommation de </w:t>
      </w:r>
      <w:r w:rsidRPr="0042639D">
        <w:rPr>
          <w:lang w:val="fr-CA"/>
        </w:rPr>
        <w:t xml:space="preserve">HCFC-22 </w:t>
      </w:r>
      <w:r>
        <w:rPr>
          <w:lang w:val="fr-CA"/>
        </w:rPr>
        <w:t xml:space="preserve">pour l’entretien n’a pas connu une baisse constante, indiquant que de nouvelles </w:t>
      </w:r>
      <w:r w:rsidRPr="0042639D">
        <w:rPr>
          <w:lang w:val="fr-CA"/>
        </w:rPr>
        <w:t xml:space="preserve">activités </w:t>
      </w:r>
      <w:r>
        <w:rPr>
          <w:lang w:val="fr-CA"/>
        </w:rPr>
        <w:t>dans le secteur de l’entretien pourraient être importantes</w:t>
      </w:r>
      <w:r w:rsidRPr="0042639D">
        <w:rPr>
          <w:lang w:val="fr-CA"/>
        </w:rPr>
        <w:t xml:space="preserve">. </w:t>
      </w:r>
    </w:p>
    <w:p w14:paraId="7832FF33" w14:textId="77777777" w:rsidR="006345CD" w:rsidRPr="00602ACA" w:rsidRDefault="006345CD" w:rsidP="006345CD">
      <w:pPr>
        <w:pStyle w:val="Heading1"/>
        <w:numPr>
          <w:ilvl w:val="0"/>
          <w:numId w:val="30"/>
        </w:numPr>
        <w:rPr>
          <w:lang w:val="fr-CA"/>
        </w:rPr>
      </w:pPr>
      <w:r>
        <w:rPr>
          <w:lang w:val="fr-CA"/>
        </w:rPr>
        <w:t xml:space="preserve">La consommation de </w:t>
      </w:r>
      <w:r w:rsidRPr="0042639D">
        <w:rPr>
          <w:lang w:val="fr-CA"/>
        </w:rPr>
        <w:t>HCFC-141b cont</w:t>
      </w:r>
      <w:r>
        <w:rPr>
          <w:lang w:val="fr-CA"/>
        </w:rPr>
        <w:t xml:space="preserve">enu dans les </w:t>
      </w:r>
      <w:r w:rsidRPr="0042639D">
        <w:rPr>
          <w:lang w:val="fr-CA"/>
        </w:rPr>
        <w:t xml:space="preserve">polyols </w:t>
      </w:r>
      <w:r>
        <w:rPr>
          <w:lang w:val="fr-CA"/>
        </w:rPr>
        <w:t xml:space="preserve">prémélangés a continué à diminuer selon la tendance notée à la </w:t>
      </w:r>
      <w:r w:rsidRPr="0042639D">
        <w:rPr>
          <w:lang w:val="fr-CA"/>
        </w:rPr>
        <w:t>87</w:t>
      </w:r>
      <w:r>
        <w:rPr>
          <w:vertAlign w:val="superscript"/>
          <w:lang w:val="fr-CA"/>
        </w:rPr>
        <w:t>e</w:t>
      </w:r>
      <w:r w:rsidRPr="0042639D">
        <w:rPr>
          <w:lang w:val="fr-CA"/>
        </w:rPr>
        <w:t> réunion,</w:t>
      </w:r>
      <w:r w:rsidRPr="0042639D">
        <w:rPr>
          <w:rStyle w:val="FootnoteReference"/>
          <w:lang w:val="fr-CA"/>
        </w:rPr>
        <w:footnoteReference w:id="47"/>
      </w:r>
      <w:r w:rsidRPr="0042639D">
        <w:rPr>
          <w:lang w:val="fr-CA"/>
        </w:rPr>
        <w:t xml:space="preserve"> </w:t>
      </w:r>
      <w:r>
        <w:rPr>
          <w:lang w:val="fr-CA"/>
        </w:rPr>
        <w:t xml:space="preserve">avec la consommation de </w:t>
      </w:r>
      <w:r w:rsidRPr="0042639D">
        <w:rPr>
          <w:lang w:val="fr-CA"/>
        </w:rPr>
        <w:t xml:space="preserve">2020 </w:t>
      </w:r>
      <w:r>
        <w:rPr>
          <w:lang w:val="fr-CA"/>
        </w:rPr>
        <w:t xml:space="preserve">et de </w:t>
      </w:r>
      <w:r w:rsidRPr="0042639D">
        <w:rPr>
          <w:lang w:val="fr-CA"/>
        </w:rPr>
        <w:t xml:space="preserve">2021 </w:t>
      </w:r>
      <w:r>
        <w:rPr>
          <w:lang w:val="fr-CA"/>
        </w:rPr>
        <w:t xml:space="preserve">chutant de </w:t>
      </w:r>
      <w:r w:rsidRPr="0042639D">
        <w:rPr>
          <w:lang w:val="fr-CA"/>
        </w:rPr>
        <w:t>87</w:t>
      </w:r>
      <w:r>
        <w:rPr>
          <w:lang w:val="fr-CA"/>
        </w:rPr>
        <w:t> % et de</w:t>
      </w:r>
      <w:r w:rsidRPr="0042639D">
        <w:rPr>
          <w:lang w:val="fr-CA"/>
        </w:rPr>
        <w:t xml:space="preserve"> 93</w:t>
      </w:r>
      <w:r>
        <w:rPr>
          <w:lang w:val="fr-CA"/>
        </w:rPr>
        <w:t xml:space="preserve"> % par rapport à la consommation de </w:t>
      </w:r>
      <w:r w:rsidRPr="00602ACA">
        <w:rPr>
          <w:lang w:val="fr-CA"/>
        </w:rPr>
        <w:t xml:space="preserve">2018. </w:t>
      </w:r>
      <w:r>
        <w:rPr>
          <w:lang w:val="fr-CA"/>
        </w:rPr>
        <w:t xml:space="preserve">La </w:t>
      </w:r>
      <w:r w:rsidRPr="00602ACA">
        <w:rPr>
          <w:lang w:val="fr-CA"/>
        </w:rPr>
        <w:t xml:space="preserve">Banque Mondiale </w:t>
      </w:r>
      <w:r>
        <w:rPr>
          <w:lang w:val="fr-CA"/>
        </w:rPr>
        <w:t>a confirmé que cette baisse continue était due entre autres au fait que les petits utilisateurs dépendant des polyols prémélangés étaient sensibles aux prix du marché et qu’ils pouvaient passer aux polyols prémélangés moins coûteux</w:t>
      </w:r>
      <w:r w:rsidRPr="00602ACA">
        <w:rPr>
          <w:lang w:val="fr-CA"/>
        </w:rPr>
        <w:t xml:space="preserve">, </w:t>
      </w:r>
      <w:r>
        <w:rPr>
          <w:lang w:val="fr-CA"/>
        </w:rPr>
        <w:t xml:space="preserve">fort probablement aux polyols prémélangés à base d’eau pour certaines </w:t>
      </w:r>
      <w:r w:rsidRPr="00602ACA">
        <w:rPr>
          <w:lang w:val="fr-CA"/>
        </w:rPr>
        <w:t xml:space="preserve">applications. </w:t>
      </w:r>
      <w:r>
        <w:rPr>
          <w:lang w:val="fr-CA"/>
        </w:rPr>
        <w:t xml:space="preserve">En outre, les polyols de </w:t>
      </w:r>
      <w:r w:rsidRPr="00602ACA">
        <w:rPr>
          <w:lang w:val="fr-CA"/>
        </w:rPr>
        <w:t xml:space="preserve">cyclopentane </w:t>
      </w:r>
      <w:r>
        <w:rPr>
          <w:lang w:val="fr-CA"/>
        </w:rPr>
        <w:t xml:space="preserve">prémélangés sont également importés, tandis que des problèmes avec la chaîne d’approvisionnement risquent de restreindre la disponibilité des importations de </w:t>
      </w:r>
      <w:r w:rsidRPr="00602ACA">
        <w:rPr>
          <w:lang w:val="fr-CA"/>
        </w:rPr>
        <w:t>HCFC-141b cont</w:t>
      </w:r>
      <w:r>
        <w:rPr>
          <w:lang w:val="fr-CA"/>
        </w:rPr>
        <w:t xml:space="preserve">enu dans les </w:t>
      </w:r>
      <w:r w:rsidRPr="00602ACA">
        <w:rPr>
          <w:lang w:val="fr-CA"/>
        </w:rPr>
        <w:t xml:space="preserve">polyols </w:t>
      </w:r>
      <w:r>
        <w:rPr>
          <w:lang w:val="fr-CA"/>
        </w:rPr>
        <w:t xml:space="preserve">prémélangés provenant d’un fournisseur important visé à l’Article </w:t>
      </w:r>
      <w:r w:rsidRPr="00602ACA">
        <w:rPr>
          <w:lang w:val="fr-CA"/>
        </w:rPr>
        <w:t xml:space="preserve">5 </w:t>
      </w:r>
      <w:r>
        <w:rPr>
          <w:lang w:val="fr-CA"/>
        </w:rPr>
        <w:t>dans la</w:t>
      </w:r>
      <w:r w:rsidRPr="00602ACA">
        <w:rPr>
          <w:lang w:val="fr-CA"/>
        </w:rPr>
        <w:t xml:space="preserve"> région. </w:t>
      </w:r>
    </w:p>
    <w:p w14:paraId="57754867" w14:textId="77777777" w:rsidR="006345CD" w:rsidRPr="0042639D" w:rsidRDefault="006345CD" w:rsidP="006345CD">
      <w:pPr>
        <w:keepNext/>
        <w:keepLines/>
        <w:spacing w:after="240"/>
        <w:rPr>
          <w:bCs/>
          <w:i/>
          <w:iCs/>
          <w:lang w:val="fr-CA"/>
        </w:rPr>
      </w:pPr>
      <w:r>
        <w:rPr>
          <w:bCs/>
          <w:i/>
          <w:iCs/>
          <w:lang w:val="fr-CA"/>
        </w:rPr>
        <w:t>Cadre juridique</w:t>
      </w:r>
    </w:p>
    <w:p w14:paraId="49678171" w14:textId="77777777" w:rsidR="006345CD" w:rsidRPr="0042639D" w:rsidRDefault="006345CD" w:rsidP="006345CD">
      <w:pPr>
        <w:pStyle w:val="Heading1"/>
        <w:numPr>
          <w:ilvl w:val="0"/>
          <w:numId w:val="30"/>
        </w:numPr>
        <w:rPr>
          <w:lang w:val="fr-CA"/>
        </w:rPr>
      </w:pPr>
      <w:r>
        <w:rPr>
          <w:rFonts w:eastAsia="SimSun"/>
          <w:lang w:val="fr-CA"/>
        </w:rPr>
        <w:t>L</w:t>
      </w:r>
      <w:r w:rsidRPr="0042639D">
        <w:rPr>
          <w:rFonts w:eastAsia="SimSun"/>
          <w:lang w:val="fr-CA"/>
        </w:rPr>
        <w:t xml:space="preserve">e Gouvernement </w:t>
      </w:r>
      <w:r>
        <w:rPr>
          <w:rFonts w:eastAsia="SimSun"/>
          <w:lang w:val="fr-CA"/>
        </w:rPr>
        <w:t xml:space="preserve">a adopté des </w:t>
      </w:r>
      <w:r w:rsidRPr="0042639D">
        <w:rPr>
          <w:rFonts w:eastAsia="SimSun"/>
          <w:lang w:val="fr-CA"/>
        </w:rPr>
        <w:t xml:space="preserve">quotas </w:t>
      </w:r>
      <w:r>
        <w:rPr>
          <w:rFonts w:eastAsia="SimSun"/>
          <w:lang w:val="fr-CA"/>
        </w:rPr>
        <w:t>pour</w:t>
      </w:r>
      <w:r w:rsidRPr="0042639D">
        <w:rPr>
          <w:rFonts w:eastAsia="SimSun"/>
          <w:lang w:val="fr-CA"/>
        </w:rPr>
        <w:t xml:space="preserve"> 2022</w:t>
      </w:r>
      <w:r>
        <w:rPr>
          <w:rFonts w:eastAsia="SimSun"/>
          <w:lang w:val="fr-CA"/>
        </w:rPr>
        <w:t xml:space="preserve"> au niveau de </w:t>
      </w:r>
      <w:r w:rsidRPr="0042639D">
        <w:rPr>
          <w:rFonts w:eastAsia="SimSun"/>
          <w:color w:val="000000"/>
          <w:lang w:val="fr-CA"/>
        </w:rPr>
        <w:t>143</w:t>
      </w:r>
      <w:r>
        <w:rPr>
          <w:rFonts w:eastAsia="SimSun"/>
          <w:color w:val="000000"/>
          <w:lang w:val="fr-CA"/>
        </w:rPr>
        <w:t>,</w:t>
      </w:r>
      <w:r w:rsidRPr="0042639D">
        <w:rPr>
          <w:rFonts w:eastAsia="SimSun"/>
          <w:color w:val="000000"/>
          <w:lang w:val="fr-CA"/>
        </w:rPr>
        <w:t>78</w:t>
      </w:r>
      <w:r w:rsidRPr="0042639D">
        <w:rPr>
          <w:rFonts w:eastAsia="SimSun"/>
          <w:lang w:val="fr-CA"/>
        </w:rPr>
        <w:t> tonnes</w:t>
      </w:r>
      <w:r>
        <w:rPr>
          <w:rFonts w:eastAsia="SimSun"/>
          <w:lang w:val="fr-CA"/>
        </w:rPr>
        <w:t xml:space="preserve"> PAO</w:t>
      </w:r>
      <w:r w:rsidRPr="0042639D">
        <w:rPr>
          <w:rFonts w:eastAsia="SimSun"/>
          <w:lang w:val="fr-CA"/>
        </w:rPr>
        <w:t xml:space="preserve">, </w:t>
      </w:r>
      <w:r>
        <w:rPr>
          <w:rFonts w:eastAsia="SimSun"/>
          <w:lang w:val="fr-CA"/>
        </w:rPr>
        <w:t>ce qui est conforme à la cible de contrôle du Protocole de Montréal</w:t>
      </w:r>
      <w:r w:rsidRPr="0042639D">
        <w:rPr>
          <w:rFonts w:eastAsia="SimSun"/>
          <w:lang w:val="fr-CA"/>
        </w:rPr>
        <w:t xml:space="preserve"> </w:t>
      </w:r>
      <w:r>
        <w:rPr>
          <w:rFonts w:eastAsia="SimSun"/>
          <w:lang w:val="fr-CA"/>
        </w:rPr>
        <w:t>pour l’année en question</w:t>
      </w:r>
      <w:r w:rsidRPr="0042639D">
        <w:rPr>
          <w:rFonts w:eastAsia="SimSun"/>
          <w:lang w:val="fr-CA"/>
        </w:rPr>
        <w:t xml:space="preserve">. </w:t>
      </w:r>
      <w:r>
        <w:rPr>
          <w:rFonts w:eastAsia="SimSun"/>
          <w:lang w:val="fr-CA"/>
        </w:rPr>
        <w:t>En application de la décision</w:t>
      </w:r>
      <w:r w:rsidRPr="0042639D">
        <w:rPr>
          <w:rFonts w:eastAsia="SimSun"/>
          <w:lang w:val="fr-CA"/>
        </w:rPr>
        <w:t xml:space="preserve"> 76/42(c)(ii), </w:t>
      </w:r>
      <w:r>
        <w:rPr>
          <w:rFonts w:eastAsia="SimSun"/>
          <w:lang w:val="fr-CA"/>
        </w:rPr>
        <w:t>l</w:t>
      </w:r>
      <w:r w:rsidRPr="0042639D">
        <w:rPr>
          <w:rFonts w:eastAsia="SimSun"/>
          <w:lang w:val="fr-CA"/>
        </w:rPr>
        <w:t xml:space="preserve">e Gouvernement </w:t>
      </w:r>
      <w:r>
        <w:rPr>
          <w:rFonts w:eastAsia="SimSun"/>
          <w:lang w:val="fr-CA"/>
        </w:rPr>
        <w:t xml:space="preserve">a interdit l’importation et la fabrication d’unités AC à base de </w:t>
      </w:r>
      <w:r w:rsidRPr="0042639D">
        <w:rPr>
          <w:rFonts w:eastAsia="SimSun"/>
          <w:lang w:val="fr-CA"/>
        </w:rPr>
        <w:t>HCFC-22</w:t>
      </w:r>
      <w:r>
        <w:rPr>
          <w:rFonts w:eastAsia="SimSun"/>
          <w:lang w:val="fr-CA"/>
        </w:rPr>
        <w:t xml:space="preserve"> à compter du</w:t>
      </w:r>
      <w:r w:rsidRPr="0042639D">
        <w:rPr>
          <w:rFonts w:eastAsia="SimSun"/>
          <w:lang w:val="fr-CA"/>
        </w:rPr>
        <w:t xml:space="preserve"> 1</w:t>
      </w:r>
      <w:r w:rsidRPr="007A71B9">
        <w:rPr>
          <w:rFonts w:eastAsia="SimSun"/>
          <w:vertAlign w:val="superscript"/>
          <w:lang w:val="fr-CA"/>
        </w:rPr>
        <w:t>er</w:t>
      </w:r>
      <w:r>
        <w:rPr>
          <w:rFonts w:eastAsia="SimSun"/>
          <w:lang w:val="fr-CA"/>
        </w:rPr>
        <w:t> janvier</w:t>
      </w:r>
      <w:r w:rsidRPr="0042639D">
        <w:rPr>
          <w:rFonts w:eastAsia="SimSun"/>
          <w:lang w:val="fr-CA"/>
        </w:rPr>
        <w:t xml:space="preserve"> 2022.</w:t>
      </w:r>
    </w:p>
    <w:p w14:paraId="22DDA6B7" w14:textId="77777777" w:rsidR="006345CD" w:rsidRPr="0042639D" w:rsidRDefault="006345CD" w:rsidP="006345CD">
      <w:pPr>
        <w:keepNext/>
        <w:keepLines/>
        <w:spacing w:after="240"/>
        <w:rPr>
          <w:bCs/>
          <w:u w:val="single"/>
          <w:lang w:val="fr-CA"/>
        </w:rPr>
      </w:pPr>
      <w:r>
        <w:rPr>
          <w:bCs/>
          <w:u w:val="single"/>
          <w:lang w:val="fr-CA"/>
        </w:rPr>
        <w:t xml:space="preserve">Changements proposés pour la </w:t>
      </w:r>
      <w:r w:rsidRPr="0042639D">
        <w:rPr>
          <w:bCs/>
          <w:u w:val="single"/>
          <w:lang w:val="fr-CA"/>
        </w:rPr>
        <w:t xml:space="preserve">phase II </w:t>
      </w:r>
      <w:r>
        <w:rPr>
          <w:bCs/>
          <w:u w:val="single"/>
          <w:lang w:val="fr-CA"/>
        </w:rPr>
        <w:t>du</w:t>
      </w:r>
      <w:r w:rsidRPr="0042639D">
        <w:rPr>
          <w:bCs/>
          <w:u w:val="single"/>
          <w:lang w:val="fr-CA"/>
        </w:rPr>
        <w:t xml:space="preserve"> PGEH</w:t>
      </w:r>
    </w:p>
    <w:p w14:paraId="2C518C14" w14:textId="77777777" w:rsidR="006345CD" w:rsidRPr="0042639D" w:rsidRDefault="006345CD" w:rsidP="006345CD">
      <w:pPr>
        <w:pStyle w:val="Heading1"/>
        <w:numPr>
          <w:ilvl w:val="0"/>
          <w:numId w:val="30"/>
        </w:numPr>
        <w:rPr>
          <w:iCs/>
          <w:lang w:val="fr-CA"/>
        </w:rPr>
      </w:pPr>
      <w:r>
        <w:rPr>
          <w:lang w:val="fr-CA"/>
        </w:rPr>
        <w:t xml:space="preserve">Le Secrétariat a pris note avec satisfaction de l’étude exhaustive et critique entreprise par le </w:t>
      </w:r>
      <w:r w:rsidRPr="0042639D">
        <w:rPr>
          <w:lang w:val="fr-CA"/>
        </w:rPr>
        <w:t xml:space="preserve">Gouvernement </w:t>
      </w:r>
      <w:r>
        <w:rPr>
          <w:lang w:val="fr-CA"/>
        </w:rPr>
        <w:t xml:space="preserve">et la </w:t>
      </w:r>
      <w:r w:rsidRPr="0042639D">
        <w:rPr>
          <w:lang w:val="fr-CA"/>
        </w:rPr>
        <w:t xml:space="preserve">Banque Mondiale </w:t>
      </w:r>
      <w:r>
        <w:rPr>
          <w:lang w:val="fr-CA"/>
        </w:rPr>
        <w:t xml:space="preserve">pour déterminer les problèmes de mise en œuvre de la </w:t>
      </w:r>
      <w:r w:rsidRPr="0042639D">
        <w:rPr>
          <w:lang w:val="fr-CA"/>
        </w:rPr>
        <w:t xml:space="preserve">phase II, </w:t>
      </w:r>
      <w:r>
        <w:rPr>
          <w:lang w:val="fr-CA"/>
        </w:rPr>
        <w:t>et des changements proposés pour résoudre ces problèmes</w:t>
      </w:r>
      <w:r w:rsidRPr="0042639D">
        <w:rPr>
          <w:lang w:val="fr-CA"/>
        </w:rPr>
        <w:t xml:space="preserve">. </w:t>
      </w:r>
      <w:r>
        <w:rPr>
          <w:lang w:val="fr-CA"/>
        </w:rPr>
        <w:t xml:space="preserve">Le </w:t>
      </w:r>
      <w:proofErr w:type="gramStart"/>
      <w:r>
        <w:rPr>
          <w:lang w:val="fr-CA"/>
        </w:rPr>
        <w:t xml:space="preserve">Secrétariat </w:t>
      </w:r>
      <w:r w:rsidRPr="0042639D">
        <w:rPr>
          <w:lang w:val="fr-CA"/>
        </w:rPr>
        <w:t xml:space="preserve"> </w:t>
      </w:r>
      <w:r>
        <w:rPr>
          <w:lang w:val="fr-CA"/>
        </w:rPr>
        <w:t>a</w:t>
      </w:r>
      <w:proofErr w:type="gramEnd"/>
      <w:r>
        <w:rPr>
          <w:lang w:val="fr-CA"/>
        </w:rPr>
        <w:t xml:space="preserve"> considéré un grand nombre des changements proposés comme étant significatifs et a noté l’urgence d’assurer la poursuite de la mise en œuvre pour que les entreprise</w:t>
      </w:r>
      <w:r w:rsidRPr="0042639D">
        <w:rPr>
          <w:lang w:val="fr-CA"/>
        </w:rPr>
        <w:t xml:space="preserve">s </w:t>
      </w:r>
      <w:r>
        <w:rPr>
          <w:lang w:val="fr-CA"/>
        </w:rPr>
        <w:t xml:space="preserve">admissibles puissent recevoir une assistance au titre du </w:t>
      </w:r>
      <w:r w:rsidRPr="0042639D">
        <w:rPr>
          <w:lang w:val="fr-CA"/>
        </w:rPr>
        <w:t>PGEH</w:t>
      </w:r>
      <w:r>
        <w:rPr>
          <w:lang w:val="fr-CA"/>
        </w:rPr>
        <w:t>;</w:t>
      </w:r>
      <w:r w:rsidRPr="0042639D">
        <w:rPr>
          <w:lang w:val="fr-CA"/>
        </w:rPr>
        <w:t xml:space="preserve"> </w:t>
      </w:r>
      <w:r>
        <w:rPr>
          <w:lang w:val="fr-CA"/>
        </w:rPr>
        <w:t>il estime cependant que certains des changements proposés ne pourraient pas être réalisés à temps pour la date d’achèvement révisée</w:t>
      </w:r>
      <w:r w:rsidRPr="0042639D">
        <w:rPr>
          <w:lang w:val="fr-CA"/>
        </w:rPr>
        <w:t xml:space="preserve">. </w:t>
      </w:r>
      <w:r>
        <w:rPr>
          <w:lang w:val="fr-CA"/>
        </w:rPr>
        <w:t xml:space="preserve">En conséquence, le Secrétariat a élaboré la proposition décrite ci-après, fondée sur la proposition soumise par la </w:t>
      </w:r>
      <w:r w:rsidRPr="0042639D">
        <w:rPr>
          <w:lang w:val="fr-CA"/>
        </w:rPr>
        <w:t xml:space="preserve">Banque Mondiale, </w:t>
      </w:r>
      <w:r>
        <w:rPr>
          <w:lang w:val="fr-CA"/>
        </w:rPr>
        <w:t>avec quelques modifications</w:t>
      </w:r>
      <w:r w:rsidRPr="0042639D">
        <w:rPr>
          <w:lang w:val="fr-CA"/>
        </w:rPr>
        <w:t xml:space="preserve">. </w:t>
      </w:r>
    </w:p>
    <w:p w14:paraId="4F77ADB0" w14:textId="77777777" w:rsidR="006345CD" w:rsidRPr="0042639D" w:rsidRDefault="006345CD" w:rsidP="006345CD">
      <w:pPr>
        <w:rPr>
          <w:i/>
          <w:iCs/>
          <w:lang w:val="fr-CA"/>
        </w:rPr>
      </w:pPr>
      <w:r>
        <w:rPr>
          <w:i/>
          <w:iCs/>
          <w:lang w:val="fr-CA"/>
        </w:rPr>
        <w:t xml:space="preserve">Secteur de la fabrication </w:t>
      </w:r>
      <w:r w:rsidRPr="0042639D">
        <w:rPr>
          <w:i/>
          <w:iCs/>
          <w:lang w:val="fr-CA"/>
        </w:rPr>
        <w:t>AC</w:t>
      </w:r>
    </w:p>
    <w:p w14:paraId="3D4F0B49" w14:textId="77777777" w:rsidR="006345CD" w:rsidRPr="0042639D" w:rsidRDefault="006345CD" w:rsidP="006345CD">
      <w:pPr>
        <w:rPr>
          <w:lang w:val="fr-CA"/>
        </w:rPr>
      </w:pPr>
    </w:p>
    <w:p w14:paraId="1C70BAE6" w14:textId="77777777" w:rsidR="006345CD" w:rsidRPr="0042639D" w:rsidRDefault="006345CD" w:rsidP="006345CD">
      <w:pPr>
        <w:pStyle w:val="Heading1"/>
        <w:numPr>
          <w:ilvl w:val="0"/>
          <w:numId w:val="30"/>
        </w:numPr>
        <w:rPr>
          <w:lang w:val="fr-CA"/>
        </w:rPr>
      </w:pPr>
      <w:r>
        <w:rPr>
          <w:lang w:val="fr-CA"/>
        </w:rPr>
        <w:t>La</w:t>
      </w:r>
      <w:r w:rsidRPr="0042639D">
        <w:rPr>
          <w:lang w:val="fr-CA"/>
        </w:rPr>
        <w:t xml:space="preserve"> Banque Mondiale </w:t>
      </w:r>
      <w:r>
        <w:rPr>
          <w:lang w:val="fr-CA"/>
        </w:rPr>
        <w:t>a évalué la viabilité financière des deux entreprise</w:t>
      </w:r>
      <w:r w:rsidRPr="0042639D">
        <w:rPr>
          <w:lang w:val="fr-CA"/>
        </w:rPr>
        <w:t xml:space="preserve">s </w:t>
      </w:r>
      <w:r>
        <w:rPr>
          <w:lang w:val="fr-CA"/>
        </w:rPr>
        <w:t>participantes et elle a confirmé entre autres que, depuis plus de trois ans, les entreprise</w:t>
      </w:r>
      <w:r w:rsidRPr="0042639D">
        <w:rPr>
          <w:lang w:val="fr-CA"/>
        </w:rPr>
        <w:t xml:space="preserve">s </w:t>
      </w:r>
      <w:r>
        <w:rPr>
          <w:lang w:val="fr-CA"/>
        </w:rPr>
        <w:t>étaient profitables, que leurs revenus ont augmenté et qu’elles étaient opérationnelles et en croissance</w:t>
      </w:r>
      <w:r w:rsidRPr="0042639D">
        <w:rPr>
          <w:lang w:val="fr-CA"/>
        </w:rPr>
        <w:t xml:space="preserve">. </w:t>
      </w:r>
      <w:r>
        <w:rPr>
          <w:lang w:val="fr-CA"/>
        </w:rPr>
        <w:t>Malgré le fait que ces entreprise</w:t>
      </w:r>
      <w:r w:rsidRPr="0042639D">
        <w:rPr>
          <w:lang w:val="fr-CA"/>
        </w:rPr>
        <w:t xml:space="preserve">s </w:t>
      </w:r>
      <w:r>
        <w:rPr>
          <w:lang w:val="fr-CA"/>
        </w:rPr>
        <w:t xml:space="preserve">avaient cessé de fabriquer des équipements </w:t>
      </w:r>
      <w:r w:rsidRPr="0042639D">
        <w:rPr>
          <w:lang w:val="fr-CA"/>
        </w:rPr>
        <w:t>AC</w:t>
      </w:r>
      <w:r>
        <w:rPr>
          <w:lang w:val="fr-CA"/>
        </w:rPr>
        <w:t xml:space="preserve"> durant les trois années précédant la soumission</w:t>
      </w:r>
      <w:r w:rsidRPr="0042639D">
        <w:rPr>
          <w:lang w:val="fr-CA"/>
        </w:rPr>
        <w:t xml:space="preserve">, </w:t>
      </w:r>
      <w:r>
        <w:rPr>
          <w:lang w:val="fr-CA"/>
        </w:rPr>
        <w:t xml:space="preserve">leur capacité de fabrication était admissible et le </w:t>
      </w:r>
      <w:r w:rsidRPr="0042639D">
        <w:rPr>
          <w:lang w:val="fr-CA"/>
        </w:rPr>
        <w:t xml:space="preserve">projet </w:t>
      </w:r>
      <w:r>
        <w:rPr>
          <w:lang w:val="fr-CA"/>
        </w:rPr>
        <w:t>de reconversion de ces entreprise</w:t>
      </w:r>
      <w:r w:rsidRPr="0042639D">
        <w:rPr>
          <w:lang w:val="fr-CA"/>
        </w:rPr>
        <w:t xml:space="preserve">s </w:t>
      </w:r>
      <w:r>
        <w:rPr>
          <w:lang w:val="fr-CA"/>
        </w:rPr>
        <w:t xml:space="preserve">a été approuvé à la </w:t>
      </w:r>
      <w:r w:rsidRPr="0042639D">
        <w:rPr>
          <w:lang w:val="fr-CA"/>
        </w:rPr>
        <w:t>76</w:t>
      </w:r>
      <w:r>
        <w:rPr>
          <w:vertAlign w:val="superscript"/>
          <w:lang w:val="fr-CA"/>
        </w:rPr>
        <w:t>e</w:t>
      </w:r>
      <w:r w:rsidRPr="0042639D">
        <w:rPr>
          <w:lang w:val="fr-CA"/>
        </w:rPr>
        <w:t xml:space="preserve"> réunion. </w:t>
      </w:r>
      <w:r>
        <w:rPr>
          <w:lang w:val="fr-CA"/>
        </w:rPr>
        <w:t xml:space="preserve">Par ailleurs, à la </w:t>
      </w:r>
      <w:r w:rsidRPr="0042639D">
        <w:rPr>
          <w:lang w:val="fr-CA"/>
        </w:rPr>
        <w:t>87</w:t>
      </w:r>
      <w:r>
        <w:rPr>
          <w:vertAlign w:val="superscript"/>
          <w:lang w:val="fr-CA"/>
        </w:rPr>
        <w:t>e</w:t>
      </w:r>
      <w:r w:rsidRPr="0042639D">
        <w:rPr>
          <w:lang w:val="fr-CA"/>
        </w:rPr>
        <w:t> réunion</w:t>
      </w:r>
      <w:r>
        <w:rPr>
          <w:lang w:val="fr-CA"/>
        </w:rPr>
        <w:t xml:space="preserve">, le Secrétariat avait noté une consommation importante de </w:t>
      </w:r>
      <w:r w:rsidRPr="0042639D">
        <w:rPr>
          <w:lang w:val="fr-CA"/>
        </w:rPr>
        <w:t xml:space="preserve">HFC-32 </w:t>
      </w:r>
      <w:r>
        <w:rPr>
          <w:lang w:val="fr-CA"/>
        </w:rPr>
        <w:t>dans le pays</w:t>
      </w:r>
      <w:r w:rsidRPr="0042639D">
        <w:rPr>
          <w:lang w:val="fr-CA"/>
        </w:rPr>
        <w:t>;</w:t>
      </w:r>
      <w:r w:rsidRPr="0042639D">
        <w:rPr>
          <w:rStyle w:val="FootnoteReference"/>
          <w:lang w:val="fr-CA"/>
        </w:rPr>
        <w:footnoteReference w:id="48"/>
      </w:r>
      <w:r w:rsidRPr="0042639D">
        <w:rPr>
          <w:lang w:val="fr-CA"/>
        </w:rPr>
        <w:t xml:space="preserve"> </w:t>
      </w:r>
      <w:r>
        <w:rPr>
          <w:lang w:val="fr-CA"/>
        </w:rPr>
        <w:t xml:space="preserve">cette consommation avait continué à augmenter de façon importante, principalement en raison de l’introduction croissante de climatiseurs à base de </w:t>
      </w:r>
      <w:r w:rsidRPr="0042639D">
        <w:rPr>
          <w:lang w:val="fr-CA"/>
        </w:rPr>
        <w:t xml:space="preserve">HFC-32-based AC </w:t>
      </w:r>
      <w:r>
        <w:rPr>
          <w:lang w:val="fr-CA"/>
        </w:rPr>
        <w:t>sur le marché local</w:t>
      </w:r>
      <w:r w:rsidRPr="0042639D">
        <w:rPr>
          <w:lang w:val="fr-CA"/>
        </w:rPr>
        <w:t xml:space="preserve">. </w:t>
      </w:r>
      <w:r>
        <w:rPr>
          <w:lang w:val="fr-CA"/>
        </w:rPr>
        <w:t xml:space="preserve">Le </w:t>
      </w:r>
      <w:proofErr w:type="gramStart"/>
      <w:r>
        <w:rPr>
          <w:lang w:val="fr-CA"/>
        </w:rPr>
        <w:t xml:space="preserve">Secrétariat </w:t>
      </w:r>
      <w:r w:rsidRPr="0042639D">
        <w:rPr>
          <w:lang w:val="fr-CA"/>
        </w:rPr>
        <w:t xml:space="preserve"> </w:t>
      </w:r>
      <w:r>
        <w:rPr>
          <w:lang w:val="fr-CA"/>
        </w:rPr>
        <w:t>partage</w:t>
      </w:r>
      <w:proofErr w:type="gramEnd"/>
      <w:r>
        <w:rPr>
          <w:lang w:val="fr-CA"/>
        </w:rPr>
        <w:t xml:space="preserve"> donc l’évaluation de la </w:t>
      </w:r>
      <w:r w:rsidRPr="0042639D">
        <w:rPr>
          <w:lang w:val="fr-CA"/>
        </w:rPr>
        <w:t>Banque Mondiale</w:t>
      </w:r>
      <w:r>
        <w:rPr>
          <w:lang w:val="fr-CA"/>
        </w:rPr>
        <w:t>, qui était que ces entreprise</w:t>
      </w:r>
      <w:r w:rsidRPr="0042639D">
        <w:rPr>
          <w:lang w:val="fr-CA"/>
        </w:rPr>
        <w:t xml:space="preserve">s </w:t>
      </w:r>
      <w:r>
        <w:rPr>
          <w:lang w:val="fr-CA"/>
        </w:rPr>
        <w:t xml:space="preserve">seraient en mesure de vendre des unités AC à base de </w:t>
      </w:r>
      <w:r w:rsidRPr="0042639D">
        <w:rPr>
          <w:lang w:val="fr-CA"/>
        </w:rPr>
        <w:t>HFC-32</w:t>
      </w:r>
      <w:r>
        <w:rPr>
          <w:lang w:val="fr-CA"/>
        </w:rPr>
        <w:t xml:space="preserve"> après leur re</w:t>
      </w:r>
      <w:r w:rsidRPr="0042639D">
        <w:rPr>
          <w:lang w:val="fr-CA"/>
        </w:rPr>
        <w:t xml:space="preserve">conversion. </w:t>
      </w:r>
    </w:p>
    <w:p w14:paraId="2BBED90E" w14:textId="77777777" w:rsidR="006345CD" w:rsidRPr="00AB2019" w:rsidRDefault="006345CD" w:rsidP="006345CD">
      <w:pPr>
        <w:pStyle w:val="Heading1"/>
        <w:numPr>
          <w:ilvl w:val="0"/>
          <w:numId w:val="30"/>
        </w:numPr>
        <w:rPr>
          <w:lang w:val="fr-CA"/>
        </w:rPr>
      </w:pPr>
      <w:r w:rsidRPr="00AB2019">
        <w:rPr>
          <w:lang w:val="fr-CA"/>
        </w:rPr>
        <w:t xml:space="preserve">Les coûts de la reconversion des deux entreprises participantes s’élèvent à 554 612 $US. La Banque Mondiale a précisé que sa proposition initiale incluait 63 800 $US pour la reconversion prévue de REE et elle a confirmé que ce financement n’était plus requis. En conséquence, le </w:t>
      </w:r>
      <w:proofErr w:type="gramStart"/>
      <w:r w:rsidRPr="00AB2019">
        <w:rPr>
          <w:lang w:val="fr-CA"/>
        </w:rPr>
        <w:t>Secrétariat  a</w:t>
      </w:r>
      <w:proofErr w:type="gramEnd"/>
      <w:r w:rsidRPr="00AB2019">
        <w:rPr>
          <w:lang w:val="fr-CA"/>
        </w:rPr>
        <w:t xml:space="preserve"> proposé un financement de 554 612 $US pour reconvertir le secteur de la fabrication AC, étant entendu que les entreprises s’engagent à ne plus importer d’unités AC à base de R-410A, après l’achèvement du projet.</w:t>
      </w:r>
    </w:p>
    <w:p w14:paraId="5399BD36" w14:textId="77777777" w:rsidR="006345CD" w:rsidRPr="0042639D" w:rsidRDefault="006345CD" w:rsidP="006345CD">
      <w:pPr>
        <w:rPr>
          <w:i/>
          <w:iCs/>
          <w:lang w:val="fr-CA"/>
        </w:rPr>
      </w:pPr>
      <w:r>
        <w:rPr>
          <w:i/>
          <w:iCs/>
          <w:lang w:val="fr-CA"/>
        </w:rPr>
        <w:t xml:space="preserve">Secteur de la fabrication de mousse </w:t>
      </w:r>
      <w:r w:rsidRPr="0042639D">
        <w:rPr>
          <w:i/>
          <w:iCs/>
          <w:lang w:val="fr-CA"/>
        </w:rPr>
        <w:t>PU</w:t>
      </w:r>
    </w:p>
    <w:p w14:paraId="4BFC9343" w14:textId="77777777" w:rsidR="006345CD" w:rsidRPr="0042639D" w:rsidRDefault="006345CD" w:rsidP="006345CD">
      <w:pPr>
        <w:rPr>
          <w:lang w:val="fr-CA"/>
        </w:rPr>
      </w:pPr>
    </w:p>
    <w:p w14:paraId="33AA5898" w14:textId="77777777" w:rsidR="006345CD" w:rsidRPr="0042639D" w:rsidRDefault="006345CD" w:rsidP="006345CD">
      <w:pPr>
        <w:pStyle w:val="Heading1"/>
        <w:numPr>
          <w:ilvl w:val="0"/>
          <w:numId w:val="30"/>
        </w:numPr>
        <w:rPr>
          <w:lang w:val="fr-CA"/>
        </w:rPr>
      </w:pPr>
      <w:r>
        <w:rPr>
          <w:lang w:val="fr-CA"/>
        </w:rPr>
        <w:t xml:space="preserve">Le </w:t>
      </w:r>
      <w:proofErr w:type="gramStart"/>
      <w:r>
        <w:rPr>
          <w:lang w:val="fr-CA"/>
        </w:rPr>
        <w:t xml:space="preserve">Secrétariat </w:t>
      </w:r>
      <w:r w:rsidRPr="0042639D">
        <w:rPr>
          <w:lang w:val="fr-CA"/>
        </w:rPr>
        <w:t xml:space="preserve"> </w:t>
      </w:r>
      <w:r>
        <w:rPr>
          <w:lang w:val="fr-CA"/>
        </w:rPr>
        <w:t>a</w:t>
      </w:r>
      <w:proofErr w:type="gramEnd"/>
      <w:r>
        <w:rPr>
          <w:lang w:val="fr-CA"/>
        </w:rPr>
        <w:t xml:space="preserve"> appuyé le recours à un maximum de quatre maisons de mélange pour la fabrication locale de </w:t>
      </w:r>
      <w:r w:rsidRPr="0042639D">
        <w:rPr>
          <w:lang w:val="fr-CA"/>
        </w:rPr>
        <w:t xml:space="preserve">cyclopentane </w:t>
      </w:r>
      <w:proofErr w:type="spellStart"/>
      <w:r>
        <w:rPr>
          <w:lang w:val="fr-CA"/>
        </w:rPr>
        <w:t>prémélangé</w:t>
      </w:r>
      <w:proofErr w:type="spellEnd"/>
      <w:r>
        <w:rPr>
          <w:lang w:val="fr-CA"/>
        </w:rPr>
        <w:t xml:space="preserve"> et de HFO </w:t>
      </w:r>
      <w:proofErr w:type="spellStart"/>
      <w:r>
        <w:rPr>
          <w:lang w:val="fr-CA"/>
        </w:rPr>
        <w:t>prémélangés</w:t>
      </w:r>
      <w:proofErr w:type="spellEnd"/>
      <w:r>
        <w:rPr>
          <w:lang w:val="fr-CA"/>
        </w:rPr>
        <w:t xml:space="preserve"> </w:t>
      </w:r>
      <w:r w:rsidRPr="0042639D">
        <w:rPr>
          <w:lang w:val="fr-CA"/>
        </w:rPr>
        <w:t>(r</w:t>
      </w:r>
      <w:r>
        <w:rPr>
          <w:lang w:val="fr-CA"/>
        </w:rPr>
        <w:t>éduits</w:t>
      </w:r>
      <w:r w:rsidRPr="0042639D">
        <w:rPr>
          <w:lang w:val="fr-CA"/>
        </w:rPr>
        <w:t xml:space="preserve">). </w:t>
      </w:r>
      <w:r>
        <w:rPr>
          <w:lang w:val="fr-CA"/>
        </w:rPr>
        <w:t>Toutefois, le financement exact requis pour les maisons de mélange, la confirmation de leur participation, et le financement exact de la re</w:t>
      </w:r>
      <w:r w:rsidRPr="0042639D">
        <w:rPr>
          <w:lang w:val="fr-CA"/>
        </w:rPr>
        <w:t xml:space="preserve">conversion </w:t>
      </w:r>
      <w:r>
        <w:rPr>
          <w:lang w:val="fr-CA"/>
        </w:rPr>
        <w:t xml:space="preserve">de deux entreprises </w:t>
      </w:r>
      <w:r w:rsidRPr="0042639D">
        <w:rPr>
          <w:lang w:val="fr-CA"/>
        </w:rPr>
        <w:t xml:space="preserve">(Darling </w:t>
      </w:r>
      <w:r>
        <w:rPr>
          <w:lang w:val="fr-CA"/>
        </w:rPr>
        <w:t>et</w:t>
      </w:r>
      <w:r w:rsidRPr="0042639D">
        <w:rPr>
          <w:lang w:val="fr-CA"/>
        </w:rPr>
        <w:t xml:space="preserve"> Tan A) </w:t>
      </w:r>
      <w:r>
        <w:rPr>
          <w:lang w:val="fr-CA"/>
        </w:rPr>
        <w:t>sont suspendus en attendant la soumission</w:t>
      </w:r>
      <w:r w:rsidRPr="0042639D">
        <w:rPr>
          <w:lang w:val="fr-CA"/>
        </w:rPr>
        <w:t xml:space="preserve"> </w:t>
      </w:r>
      <w:r>
        <w:rPr>
          <w:lang w:val="fr-CA"/>
        </w:rPr>
        <w:t xml:space="preserve">de propositions de </w:t>
      </w:r>
      <w:r w:rsidRPr="0042639D">
        <w:rPr>
          <w:lang w:val="fr-CA"/>
        </w:rPr>
        <w:t>projet</w:t>
      </w:r>
      <w:r>
        <w:rPr>
          <w:lang w:val="fr-CA"/>
        </w:rPr>
        <w:t>s</w:t>
      </w:r>
      <w:r w:rsidRPr="0042639D">
        <w:rPr>
          <w:lang w:val="fr-CA"/>
        </w:rPr>
        <w:t xml:space="preserve"> </w:t>
      </w:r>
      <w:r>
        <w:rPr>
          <w:lang w:val="fr-CA"/>
        </w:rPr>
        <w:t>de ces entreprise</w:t>
      </w:r>
      <w:r w:rsidRPr="0042639D">
        <w:rPr>
          <w:lang w:val="fr-CA"/>
        </w:rPr>
        <w:t xml:space="preserve">s </w:t>
      </w:r>
      <w:r>
        <w:rPr>
          <w:lang w:val="fr-CA"/>
        </w:rPr>
        <w:t xml:space="preserve">et la </w:t>
      </w:r>
      <w:r w:rsidRPr="0042639D">
        <w:rPr>
          <w:lang w:val="fr-CA"/>
        </w:rPr>
        <w:t xml:space="preserve">signature </w:t>
      </w:r>
      <w:r>
        <w:rPr>
          <w:lang w:val="fr-CA"/>
        </w:rPr>
        <w:t>des</w:t>
      </w:r>
      <w:r w:rsidRPr="0042639D">
        <w:rPr>
          <w:lang w:val="fr-CA"/>
        </w:rPr>
        <w:t xml:space="preserve"> </w:t>
      </w:r>
      <w:r>
        <w:rPr>
          <w:lang w:val="fr-CA"/>
        </w:rPr>
        <w:t>SAS</w:t>
      </w:r>
      <w:r w:rsidRPr="0042639D">
        <w:rPr>
          <w:lang w:val="fr-CA"/>
        </w:rPr>
        <w:t>. Reco</w:t>
      </w:r>
      <w:r>
        <w:rPr>
          <w:lang w:val="fr-CA"/>
        </w:rPr>
        <w:t xml:space="preserve">nnaissant le peu de temps disponible avant l’interdiction des importations de </w:t>
      </w:r>
      <w:r w:rsidRPr="0042639D">
        <w:rPr>
          <w:lang w:val="fr-CA"/>
        </w:rPr>
        <w:t>HCFC-141b cont</w:t>
      </w:r>
      <w:r>
        <w:rPr>
          <w:lang w:val="fr-CA"/>
        </w:rPr>
        <w:t xml:space="preserve">enu dans les polyols prémélangés à la date du </w:t>
      </w:r>
      <w:r w:rsidRPr="0042639D">
        <w:rPr>
          <w:lang w:val="fr-CA"/>
        </w:rPr>
        <w:t>1</w:t>
      </w:r>
      <w:r w:rsidRPr="00101A98">
        <w:rPr>
          <w:vertAlign w:val="superscript"/>
          <w:lang w:val="fr-CA"/>
        </w:rPr>
        <w:t>er</w:t>
      </w:r>
      <w:r>
        <w:rPr>
          <w:lang w:val="fr-CA"/>
        </w:rPr>
        <w:t> janvier 0</w:t>
      </w:r>
      <w:r w:rsidRPr="0042639D">
        <w:rPr>
          <w:lang w:val="fr-CA"/>
        </w:rPr>
        <w:t xml:space="preserve">2023, </w:t>
      </w:r>
      <w:r>
        <w:rPr>
          <w:lang w:val="fr-CA"/>
        </w:rPr>
        <w:t xml:space="preserve">et rappelant qu’à la </w:t>
      </w:r>
      <w:r w:rsidRPr="0042639D">
        <w:rPr>
          <w:lang w:val="fr-CA"/>
        </w:rPr>
        <w:t>76</w:t>
      </w:r>
      <w:r>
        <w:rPr>
          <w:vertAlign w:val="superscript"/>
          <w:lang w:val="fr-CA"/>
        </w:rPr>
        <w:t>e</w:t>
      </w:r>
      <w:r w:rsidRPr="0042639D">
        <w:rPr>
          <w:lang w:val="fr-CA"/>
        </w:rPr>
        <w:t> réunion</w:t>
      </w:r>
      <w:r>
        <w:rPr>
          <w:lang w:val="fr-CA"/>
        </w:rPr>
        <w:t>, il a été convenu de fixer</w:t>
      </w:r>
      <w:r w:rsidRPr="0042639D">
        <w:rPr>
          <w:lang w:val="fr-CA"/>
        </w:rPr>
        <w:t xml:space="preserve"> </w:t>
      </w:r>
      <w:r>
        <w:rPr>
          <w:lang w:val="fr-CA"/>
        </w:rPr>
        <w:t>à</w:t>
      </w:r>
      <w:r w:rsidRPr="0042639D">
        <w:rPr>
          <w:lang w:val="fr-CA"/>
        </w:rPr>
        <w:t xml:space="preserve"> 5</w:t>
      </w:r>
      <w:r>
        <w:rPr>
          <w:lang w:val="fr-CA"/>
        </w:rPr>
        <w:t>,</w:t>
      </w:r>
      <w:r w:rsidRPr="0042639D">
        <w:rPr>
          <w:lang w:val="fr-CA"/>
        </w:rPr>
        <w:t>90</w:t>
      </w:r>
      <w:r>
        <w:rPr>
          <w:lang w:val="fr-CA"/>
        </w:rPr>
        <w:t> $US</w:t>
      </w:r>
      <w:r w:rsidRPr="0042639D">
        <w:rPr>
          <w:lang w:val="fr-CA"/>
        </w:rPr>
        <w:t xml:space="preserve">/kg </w:t>
      </w:r>
      <w:r>
        <w:rPr>
          <w:lang w:val="fr-CA"/>
        </w:rPr>
        <w:t xml:space="preserve">les coûts différentiels d’exploitation (CDE) des </w:t>
      </w:r>
      <w:r w:rsidRPr="0042639D">
        <w:rPr>
          <w:lang w:val="fr-CA"/>
        </w:rPr>
        <w:t>HFO</w:t>
      </w:r>
      <w:r>
        <w:rPr>
          <w:lang w:val="fr-CA"/>
        </w:rPr>
        <w:t xml:space="preserve"> </w:t>
      </w:r>
      <w:proofErr w:type="spellStart"/>
      <w:r>
        <w:rPr>
          <w:lang w:val="fr-CA"/>
        </w:rPr>
        <w:t>prémélangés</w:t>
      </w:r>
      <w:proofErr w:type="spellEnd"/>
      <w:r w:rsidRPr="0042639D">
        <w:rPr>
          <w:lang w:val="fr-CA"/>
        </w:rPr>
        <w:t xml:space="preserve">, </w:t>
      </w:r>
      <w:r>
        <w:rPr>
          <w:lang w:val="fr-CA"/>
        </w:rPr>
        <w:t xml:space="preserve">le </w:t>
      </w:r>
      <w:proofErr w:type="gramStart"/>
      <w:r>
        <w:rPr>
          <w:lang w:val="fr-CA"/>
        </w:rPr>
        <w:t xml:space="preserve">Secrétariat </w:t>
      </w:r>
      <w:r w:rsidRPr="0042639D">
        <w:rPr>
          <w:lang w:val="fr-CA"/>
        </w:rPr>
        <w:t xml:space="preserve"> </w:t>
      </w:r>
      <w:r>
        <w:rPr>
          <w:lang w:val="fr-CA"/>
        </w:rPr>
        <w:t>a</w:t>
      </w:r>
      <w:proofErr w:type="gramEnd"/>
      <w:r>
        <w:rPr>
          <w:lang w:val="fr-CA"/>
        </w:rPr>
        <w:t xml:space="preserve"> proposé ce qui suit</w:t>
      </w:r>
      <w:r w:rsidRPr="0042639D">
        <w:rPr>
          <w:lang w:val="fr-CA"/>
        </w:rPr>
        <w:t>:</w:t>
      </w:r>
    </w:p>
    <w:p w14:paraId="29157E3C" w14:textId="77777777" w:rsidR="006345CD" w:rsidRPr="0042639D" w:rsidRDefault="006345CD" w:rsidP="006345CD">
      <w:pPr>
        <w:pStyle w:val="Heading2"/>
        <w:numPr>
          <w:ilvl w:val="1"/>
          <w:numId w:val="30"/>
        </w:numPr>
        <w:rPr>
          <w:lang w:val="fr-CA"/>
        </w:rPr>
      </w:pPr>
      <w:r>
        <w:rPr>
          <w:lang w:val="fr-CA"/>
        </w:rPr>
        <w:t xml:space="preserve">Noter que le </w:t>
      </w:r>
      <w:r w:rsidRPr="0042639D">
        <w:rPr>
          <w:lang w:val="fr-CA"/>
        </w:rPr>
        <w:t xml:space="preserve">Gouvernement </w:t>
      </w:r>
      <w:r>
        <w:rPr>
          <w:lang w:val="fr-CA"/>
        </w:rPr>
        <w:t>imposera, au 1</w:t>
      </w:r>
      <w:r w:rsidRPr="009A7838">
        <w:rPr>
          <w:vertAlign w:val="superscript"/>
          <w:lang w:val="fr-CA"/>
        </w:rPr>
        <w:t>er</w:t>
      </w:r>
      <w:r>
        <w:rPr>
          <w:lang w:val="fr-CA"/>
        </w:rPr>
        <w:t xml:space="preserve"> janvier 2023, l’interdiction d’importer et d’utiliser le </w:t>
      </w:r>
      <w:r w:rsidRPr="0042639D">
        <w:rPr>
          <w:lang w:val="fr-CA"/>
        </w:rPr>
        <w:t>HCFC-141b cont</w:t>
      </w:r>
      <w:r>
        <w:rPr>
          <w:lang w:val="fr-CA"/>
        </w:rPr>
        <w:t>enu dans les polyols prémélangés</w:t>
      </w:r>
      <w:r w:rsidRPr="0042639D">
        <w:rPr>
          <w:lang w:val="fr-CA"/>
        </w:rPr>
        <w:t xml:space="preserve">, </w:t>
      </w:r>
      <w:r>
        <w:rPr>
          <w:lang w:val="fr-CA"/>
        </w:rPr>
        <w:t>comme il est proposé</w:t>
      </w:r>
      <w:r w:rsidRPr="0042639D">
        <w:rPr>
          <w:lang w:val="fr-CA"/>
        </w:rPr>
        <w:t>;</w:t>
      </w:r>
    </w:p>
    <w:p w14:paraId="3898946C" w14:textId="77777777" w:rsidR="006345CD" w:rsidRPr="0042639D" w:rsidRDefault="006345CD" w:rsidP="006345CD">
      <w:pPr>
        <w:pStyle w:val="Heading2"/>
        <w:numPr>
          <w:ilvl w:val="1"/>
          <w:numId w:val="30"/>
        </w:numPr>
        <w:rPr>
          <w:lang w:val="fr-CA"/>
        </w:rPr>
      </w:pPr>
      <w:r>
        <w:rPr>
          <w:lang w:val="fr-CA"/>
        </w:rPr>
        <w:t xml:space="preserve">Le </w:t>
      </w:r>
      <w:r w:rsidRPr="0042639D">
        <w:rPr>
          <w:lang w:val="fr-CA"/>
        </w:rPr>
        <w:t xml:space="preserve">Gouvernement </w:t>
      </w:r>
      <w:r>
        <w:rPr>
          <w:lang w:val="fr-CA"/>
        </w:rPr>
        <w:t xml:space="preserve">soumettra, par l’intermédiaire de la </w:t>
      </w:r>
      <w:r w:rsidRPr="0042639D">
        <w:rPr>
          <w:lang w:val="fr-CA"/>
        </w:rPr>
        <w:t>Banque Mondiale</w:t>
      </w:r>
      <w:r>
        <w:rPr>
          <w:lang w:val="fr-CA"/>
        </w:rPr>
        <w:t xml:space="preserve">, et </w:t>
      </w:r>
      <w:r w:rsidRPr="0042639D">
        <w:rPr>
          <w:lang w:val="fr-CA"/>
        </w:rPr>
        <w:t xml:space="preserve">16 </w:t>
      </w:r>
      <w:r>
        <w:rPr>
          <w:lang w:val="fr-CA"/>
        </w:rPr>
        <w:t xml:space="preserve">semaines avant la tenue de la </w:t>
      </w:r>
      <w:r w:rsidRPr="0042639D">
        <w:rPr>
          <w:lang w:val="fr-CA"/>
        </w:rPr>
        <w:t>91</w:t>
      </w:r>
      <w:r>
        <w:rPr>
          <w:vertAlign w:val="superscript"/>
          <w:lang w:val="fr-CA"/>
        </w:rPr>
        <w:t>e</w:t>
      </w:r>
      <w:r w:rsidRPr="0042639D">
        <w:rPr>
          <w:lang w:val="fr-CA"/>
        </w:rPr>
        <w:t> réunion</w:t>
      </w:r>
      <w:r>
        <w:rPr>
          <w:lang w:val="fr-CA"/>
        </w:rPr>
        <w:t>, un rapport d’avancement</w:t>
      </w:r>
      <w:r w:rsidRPr="0042639D">
        <w:rPr>
          <w:lang w:val="fr-CA"/>
        </w:rPr>
        <w:t xml:space="preserve"> </w:t>
      </w:r>
      <w:r>
        <w:rPr>
          <w:lang w:val="fr-CA"/>
        </w:rPr>
        <w:t>détaillant les éléments suivants</w:t>
      </w:r>
      <w:r w:rsidRPr="0042639D">
        <w:rPr>
          <w:lang w:val="fr-CA"/>
        </w:rPr>
        <w:t>: progr</w:t>
      </w:r>
      <w:r>
        <w:rPr>
          <w:lang w:val="fr-CA"/>
        </w:rPr>
        <w:t>ès dans l’application de l’interdiction</w:t>
      </w:r>
      <w:r w:rsidRPr="0042639D">
        <w:rPr>
          <w:lang w:val="fr-CA"/>
        </w:rPr>
        <w:t xml:space="preserve">; </w:t>
      </w:r>
      <w:r>
        <w:rPr>
          <w:lang w:val="fr-CA"/>
        </w:rPr>
        <w:t>nombre de maisons de mélange ayant signé des SAS</w:t>
      </w:r>
      <w:r w:rsidRPr="0042639D">
        <w:rPr>
          <w:lang w:val="fr-CA"/>
        </w:rPr>
        <w:t xml:space="preserve"> </w:t>
      </w:r>
      <w:r>
        <w:rPr>
          <w:lang w:val="fr-CA"/>
        </w:rPr>
        <w:t xml:space="preserve">et le coût </w:t>
      </w:r>
      <w:r w:rsidRPr="0042639D">
        <w:rPr>
          <w:lang w:val="fr-CA"/>
        </w:rPr>
        <w:t xml:space="preserve">exact </w:t>
      </w:r>
      <w:r>
        <w:rPr>
          <w:lang w:val="fr-CA"/>
        </w:rPr>
        <w:t>de ces SAS</w:t>
      </w:r>
      <w:r w:rsidRPr="0042639D">
        <w:rPr>
          <w:lang w:val="fr-CA"/>
        </w:rPr>
        <w:t xml:space="preserve">; </w:t>
      </w:r>
      <w:r>
        <w:rPr>
          <w:lang w:val="fr-CA"/>
        </w:rPr>
        <w:t xml:space="preserve">et </w:t>
      </w:r>
      <w:r w:rsidRPr="0042639D">
        <w:rPr>
          <w:lang w:val="fr-CA"/>
        </w:rPr>
        <w:t xml:space="preserve">confirmation </w:t>
      </w:r>
      <w:r>
        <w:rPr>
          <w:lang w:val="fr-CA"/>
        </w:rPr>
        <w:t>que</w:t>
      </w:r>
      <w:r w:rsidRPr="0042639D">
        <w:rPr>
          <w:lang w:val="fr-CA"/>
        </w:rPr>
        <w:t xml:space="preserve"> Darling </w:t>
      </w:r>
      <w:r>
        <w:rPr>
          <w:lang w:val="fr-CA"/>
        </w:rPr>
        <w:t>et</w:t>
      </w:r>
      <w:r w:rsidRPr="0042639D">
        <w:rPr>
          <w:lang w:val="fr-CA"/>
        </w:rPr>
        <w:t xml:space="preserve"> Tan A </w:t>
      </w:r>
      <w:r>
        <w:rPr>
          <w:lang w:val="fr-CA"/>
        </w:rPr>
        <w:t>ont signé des SAS</w:t>
      </w:r>
      <w:r w:rsidRPr="0042639D">
        <w:rPr>
          <w:lang w:val="fr-CA"/>
        </w:rPr>
        <w:t xml:space="preserve"> </w:t>
      </w:r>
      <w:r>
        <w:rPr>
          <w:lang w:val="fr-CA"/>
        </w:rPr>
        <w:t xml:space="preserve">et </w:t>
      </w:r>
      <w:proofErr w:type="gramStart"/>
      <w:r>
        <w:rPr>
          <w:lang w:val="fr-CA"/>
        </w:rPr>
        <w:t xml:space="preserve">leurs coût </w:t>
      </w:r>
      <w:r w:rsidRPr="0042639D">
        <w:rPr>
          <w:lang w:val="fr-CA"/>
        </w:rPr>
        <w:t>exact</w:t>
      </w:r>
      <w:proofErr w:type="gramEnd"/>
      <w:r w:rsidRPr="0042639D">
        <w:rPr>
          <w:lang w:val="fr-CA"/>
        </w:rPr>
        <w:t xml:space="preserve">; </w:t>
      </w:r>
    </w:p>
    <w:p w14:paraId="5082B7CB" w14:textId="77777777" w:rsidR="006345CD" w:rsidRPr="0042639D" w:rsidRDefault="006345CD" w:rsidP="006345CD">
      <w:pPr>
        <w:pStyle w:val="Heading2"/>
        <w:numPr>
          <w:ilvl w:val="1"/>
          <w:numId w:val="30"/>
        </w:numPr>
        <w:rPr>
          <w:lang w:val="fr-CA"/>
        </w:rPr>
      </w:pPr>
      <w:r>
        <w:rPr>
          <w:lang w:val="fr-CA"/>
        </w:rPr>
        <w:t>Le niveau maximal de financement pour la re</w:t>
      </w:r>
      <w:r w:rsidRPr="0042639D">
        <w:rPr>
          <w:lang w:val="fr-CA"/>
        </w:rPr>
        <w:t xml:space="preserve">conversion </w:t>
      </w:r>
      <w:r>
        <w:rPr>
          <w:lang w:val="fr-CA"/>
        </w:rPr>
        <w:t xml:space="preserve">des entreprises </w:t>
      </w:r>
      <w:r w:rsidRPr="0042639D">
        <w:rPr>
          <w:lang w:val="fr-CA"/>
        </w:rPr>
        <w:t xml:space="preserve">Darling </w:t>
      </w:r>
      <w:r>
        <w:rPr>
          <w:lang w:val="fr-CA"/>
        </w:rPr>
        <w:t>et</w:t>
      </w:r>
      <w:r w:rsidRPr="0042639D">
        <w:rPr>
          <w:lang w:val="fr-CA"/>
        </w:rPr>
        <w:t xml:space="preserve"> Tan A </w:t>
      </w:r>
      <w:r>
        <w:rPr>
          <w:lang w:val="fr-CA"/>
        </w:rPr>
        <w:t xml:space="preserve">serait de </w:t>
      </w:r>
      <w:r w:rsidRPr="0042639D">
        <w:rPr>
          <w:lang w:val="fr-CA"/>
        </w:rPr>
        <w:t>500</w:t>
      </w:r>
      <w:r>
        <w:rPr>
          <w:lang w:val="fr-CA"/>
        </w:rPr>
        <w:t> </w:t>
      </w:r>
      <w:r w:rsidRPr="0042639D">
        <w:rPr>
          <w:lang w:val="fr-CA"/>
        </w:rPr>
        <w:t>000</w:t>
      </w:r>
      <w:r>
        <w:rPr>
          <w:lang w:val="fr-CA"/>
        </w:rPr>
        <w:t> $US</w:t>
      </w:r>
      <w:r w:rsidRPr="0042639D">
        <w:rPr>
          <w:lang w:val="fr-CA"/>
        </w:rPr>
        <w:t>;</w:t>
      </w:r>
    </w:p>
    <w:p w14:paraId="41D1C84E" w14:textId="77777777" w:rsidR="006345CD" w:rsidRPr="0042639D" w:rsidRDefault="006345CD" w:rsidP="006345CD">
      <w:pPr>
        <w:pStyle w:val="Heading2"/>
        <w:numPr>
          <w:ilvl w:val="1"/>
          <w:numId w:val="30"/>
        </w:numPr>
        <w:rPr>
          <w:lang w:val="fr-CA"/>
        </w:rPr>
      </w:pPr>
      <w:bookmarkStart w:id="12" w:name="_Hlk104473937"/>
      <w:r>
        <w:rPr>
          <w:lang w:val="fr-CA"/>
        </w:rPr>
        <w:t>Le niveau maximal de financement</w:t>
      </w:r>
      <w:r w:rsidRPr="0042639D">
        <w:rPr>
          <w:lang w:val="fr-CA"/>
        </w:rPr>
        <w:t xml:space="preserve"> </w:t>
      </w:r>
      <w:r>
        <w:rPr>
          <w:lang w:val="fr-CA"/>
        </w:rPr>
        <w:t xml:space="preserve">pour appuyer un maximum de trois maisons de mélange serait de </w:t>
      </w:r>
      <w:r w:rsidRPr="0042639D">
        <w:rPr>
          <w:lang w:val="fr-CA"/>
        </w:rPr>
        <w:t>973</w:t>
      </w:r>
      <w:r>
        <w:rPr>
          <w:lang w:val="fr-CA"/>
        </w:rPr>
        <w:t> </w:t>
      </w:r>
      <w:r w:rsidRPr="0042639D">
        <w:rPr>
          <w:lang w:val="fr-CA"/>
        </w:rPr>
        <w:t>500</w:t>
      </w:r>
      <w:r>
        <w:rPr>
          <w:lang w:val="fr-CA"/>
        </w:rPr>
        <w:t> $US</w:t>
      </w:r>
      <w:r w:rsidRPr="0042639D">
        <w:rPr>
          <w:lang w:val="fr-CA"/>
        </w:rPr>
        <w:t>, calcul</w:t>
      </w:r>
      <w:r>
        <w:rPr>
          <w:lang w:val="fr-CA"/>
        </w:rPr>
        <w:t xml:space="preserve">é sur la base d’un montant maximal de </w:t>
      </w:r>
      <w:r w:rsidRPr="0042639D">
        <w:rPr>
          <w:lang w:val="fr-CA"/>
        </w:rPr>
        <w:t>312</w:t>
      </w:r>
      <w:r>
        <w:rPr>
          <w:lang w:val="fr-CA"/>
        </w:rPr>
        <w:t> </w:t>
      </w:r>
      <w:r w:rsidRPr="0042639D">
        <w:rPr>
          <w:lang w:val="fr-CA"/>
        </w:rPr>
        <w:t>500</w:t>
      </w:r>
      <w:r>
        <w:rPr>
          <w:lang w:val="fr-CA"/>
        </w:rPr>
        <w:t xml:space="preserve"> $US par maison de mélange pour mélanger du </w:t>
      </w:r>
      <w:r w:rsidRPr="0042639D">
        <w:rPr>
          <w:lang w:val="fr-CA"/>
        </w:rPr>
        <w:t xml:space="preserve">cyclopentane </w:t>
      </w:r>
      <w:r>
        <w:rPr>
          <w:lang w:val="fr-CA"/>
        </w:rPr>
        <w:t xml:space="preserve">et d’un montant maximal de </w:t>
      </w:r>
      <w:r w:rsidRPr="0042639D">
        <w:rPr>
          <w:lang w:val="fr-CA"/>
        </w:rPr>
        <w:t>36</w:t>
      </w:r>
      <w:r>
        <w:rPr>
          <w:lang w:val="fr-CA"/>
        </w:rPr>
        <w:t> </w:t>
      </w:r>
      <w:r w:rsidRPr="0042639D">
        <w:rPr>
          <w:lang w:val="fr-CA"/>
        </w:rPr>
        <w:t>000</w:t>
      </w:r>
      <w:r>
        <w:rPr>
          <w:lang w:val="fr-CA"/>
        </w:rPr>
        <w:t> $US pour l’AT aux maisons de mélange</w:t>
      </w:r>
      <w:r w:rsidRPr="0042639D">
        <w:rPr>
          <w:lang w:val="fr-CA"/>
        </w:rPr>
        <w:t>;</w:t>
      </w:r>
    </w:p>
    <w:p w14:paraId="27FE1ED8" w14:textId="77777777" w:rsidR="006345CD" w:rsidRPr="0042639D" w:rsidRDefault="006345CD" w:rsidP="006345CD">
      <w:pPr>
        <w:pStyle w:val="Heading2"/>
        <w:numPr>
          <w:ilvl w:val="1"/>
          <w:numId w:val="30"/>
        </w:numPr>
        <w:rPr>
          <w:lang w:val="fr-CA"/>
        </w:rPr>
      </w:pPr>
      <w:r>
        <w:rPr>
          <w:lang w:val="fr-CA"/>
        </w:rPr>
        <w:t>Le niveau maximal de financement</w:t>
      </w:r>
      <w:r w:rsidRPr="0042639D">
        <w:rPr>
          <w:lang w:val="fr-CA"/>
        </w:rPr>
        <w:t xml:space="preserve"> </w:t>
      </w:r>
      <w:r>
        <w:rPr>
          <w:lang w:val="fr-CA"/>
        </w:rPr>
        <w:t xml:space="preserve">à l’appui de la maison de mélange qui souhaiterait fabriquer des systèmes à base de HFO </w:t>
      </w:r>
      <w:proofErr w:type="spellStart"/>
      <w:r>
        <w:rPr>
          <w:lang w:val="fr-CA"/>
        </w:rPr>
        <w:t>prémélangés</w:t>
      </w:r>
      <w:proofErr w:type="spellEnd"/>
      <w:r>
        <w:rPr>
          <w:lang w:val="fr-CA"/>
        </w:rPr>
        <w:t xml:space="preserve"> (réduits) serait de </w:t>
      </w:r>
      <w:r w:rsidRPr="0042639D">
        <w:rPr>
          <w:lang w:val="fr-CA"/>
        </w:rPr>
        <w:t>206</w:t>
      </w:r>
      <w:r>
        <w:rPr>
          <w:lang w:val="fr-CA"/>
        </w:rPr>
        <w:t> </w:t>
      </w:r>
      <w:r w:rsidRPr="0042639D">
        <w:rPr>
          <w:lang w:val="fr-CA"/>
        </w:rPr>
        <w:t>500</w:t>
      </w:r>
      <w:r>
        <w:rPr>
          <w:lang w:val="fr-CA"/>
        </w:rPr>
        <w:t> $US</w:t>
      </w:r>
      <w:r w:rsidRPr="0042639D">
        <w:rPr>
          <w:lang w:val="fr-CA"/>
        </w:rPr>
        <w:t>, calcul</w:t>
      </w:r>
      <w:r>
        <w:rPr>
          <w:lang w:val="fr-CA"/>
        </w:rPr>
        <w:t>é sur la base de l’élimination de 35 tm qui résulterait de la re</w:t>
      </w:r>
      <w:r w:rsidRPr="0042639D">
        <w:rPr>
          <w:lang w:val="fr-CA"/>
        </w:rPr>
        <w:t xml:space="preserve">conversion </w:t>
      </w:r>
      <w:r>
        <w:rPr>
          <w:lang w:val="fr-CA"/>
        </w:rPr>
        <w:t>de</w:t>
      </w:r>
      <w:r w:rsidRPr="0042639D">
        <w:rPr>
          <w:lang w:val="fr-CA"/>
        </w:rPr>
        <w:t xml:space="preserve"> 80 </w:t>
      </w:r>
      <w:r>
        <w:rPr>
          <w:lang w:val="fr-CA"/>
        </w:rPr>
        <w:t>PME</w:t>
      </w:r>
      <w:r w:rsidRPr="0042639D">
        <w:rPr>
          <w:lang w:val="fr-CA"/>
        </w:rPr>
        <w:t>, not</w:t>
      </w:r>
      <w:r>
        <w:rPr>
          <w:lang w:val="fr-CA"/>
        </w:rPr>
        <w:t>ant qu’un tel financement ne pourrait être décaissé que conformément à la décision</w:t>
      </w:r>
      <w:r w:rsidRPr="0042639D">
        <w:rPr>
          <w:lang w:val="fr-CA"/>
        </w:rPr>
        <w:t xml:space="preserve"> 77/35, </w:t>
      </w:r>
      <w:r>
        <w:rPr>
          <w:lang w:val="fr-CA"/>
        </w:rPr>
        <w:t xml:space="preserve">et que la </w:t>
      </w:r>
      <w:r w:rsidRPr="0042639D">
        <w:rPr>
          <w:lang w:val="fr-CA"/>
        </w:rPr>
        <w:t xml:space="preserve">Banque Mondiale </w:t>
      </w:r>
      <w:r>
        <w:rPr>
          <w:lang w:val="fr-CA"/>
        </w:rPr>
        <w:t>inclurait dans la soumission</w:t>
      </w:r>
      <w:r w:rsidRPr="0042639D">
        <w:rPr>
          <w:lang w:val="fr-CA"/>
        </w:rPr>
        <w:t xml:space="preserve"> </w:t>
      </w:r>
      <w:r>
        <w:rPr>
          <w:lang w:val="fr-CA"/>
        </w:rPr>
        <w:t>mentionnée à l’alinéa</w:t>
      </w:r>
      <w:r w:rsidRPr="0042639D">
        <w:rPr>
          <w:lang w:val="fr-CA"/>
        </w:rPr>
        <w:t xml:space="preserve"> (b) </w:t>
      </w:r>
      <w:r>
        <w:rPr>
          <w:lang w:val="fr-CA"/>
        </w:rPr>
        <w:t>ci-dessus le nombre de PME</w:t>
      </w:r>
      <w:r w:rsidRPr="0042639D">
        <w:rPr>
          <w:lang w:val="fr-CA"/>
        </w:rPr>
        <w:t xml:space="preserve"> </w:t>
      </w:r>
      <w:r>
        <w:rPr>
          <w:lang w:val="fr-CA"/>
        </w:rPr>
        <w:t xml:space="preserve">ayant signé des lettres d’engagement à participer au </w:t>
      </w:r>
      <w:r w:rsidRPr="0042639D">
        <w:rPr>
          <w:lang w:val="fr-CA"/>
        </w:rPr>
        <w:t xml:space="preserve">projet </w:t>
      </w:r>
      <w:r>
        <w:rPr>
          <w:lang w:val="fr-CA"/>
        </w:rPr>
        <w:t xml:space="preserve">en se reconvertissant aux HFO </w:t>
      </w:r>
      <w:proofErr w:type="spellStart"/>
      <w:r>
        <w:rPr>
          <w:lang w:val="fr-CA"/>
        </w:rPr>
        <w:t>prémélangés</w:t>
      </w:r>
      <w:proofErr w:type="spellEnd"/>
      <w:r w:rsidRPr="0042639D">
        <w:rPr>
          <w:lang w:val="fr-CA"/>
        </w:rPr>
        <w:t xml:space="preserve">, </w:t>
      </w:r>
      <w:r>
        <w:rPr>
          <w:lang w:val="fr-CA"/>
        </w:rPr>
        <w:t>et que le niveau de financement admissible serait déterminé par la consommation des entreprises admissibles ayant signé ces lettres et les CDE convenus</w:t>
      </w:r>
      <w:r w:rsidRPr="0042639D">
        <w:rPr>
          <w:lang w:val="fr-CA"/>
        </w:rPr>
        <w:t>;</w:t>
      </w:r>
    </w:p>
    <w:bookmarkEnd w:id="12"/>
    <w:p w14:paraId="5AF21B62" w14:textId="77777777" w:rsidR="006345CD" w:rsidRPr="0042639D" w:rsidRDefault="006345CD" w:rsidP="006345CD">
      <w:pPr>
        <w:pStyle w:val="Heading2"/>
        <w:numPr>
          <w:ilvl w:val="1"/>
          <w:numId w:val="30"/>
        </w:numPr>
        <w:rPr>
          <w:lang w:val="fr-CA"/>
        </w:rPr>
      </w:pPr>
      <w:r>
        <w:rPr>
          <w:lang w:val="fr-CA"/>
        </w:rPr>
        <w:t>Seules les entreprise</w:t>
      </w:r>
      <w:r w:rsidRPr="0042639D">
        <w:rPr>
          <w:lang w:val="fr-CA"/>
        </w:rPr>
        <w:t xml:space="preserve">s </w:t>
      </w:r>
      <w:r>
        <w:rPr>
          <w:lang w:val="fr-CA"/>
        </w:rPr>
        <w:t xml:space="preserve">admissibles avec une consommation confirmée de </w:t>
      </w:r>
      <w:r w:rsidRPr="0042639D">
        <w:rPr>
          <w:lang w:val="fr-CA"/>
        </w:rPr>
        <w:t xml:space="preserve">HCFC-141b </w:t>
      </w:r>
      <w:r>
        <w:rPr>
          <w:lang w:val="fr-CA"/>
        </w:rPr>
        <w:t xml:space="preserve">contenu dans les </w:t>
      </w:r>
      <w:r w:rsidRPr="0042639D">
        <w:rPr>
          <w:lang w:val="fr-CA"/>
        </w:rPr>
        <w:t xml:space="preserve">polyols </w:t>
      </w:r>
      <w:r>
        <w:rPr>
          <w:lang w:val="fr-CA"/>
        </w:rPr>
        <w:t xml:space="preserve">prémélangés seront assistées et la </w:t>
      </w:r>
      <w:r w:rsidRPr="0042639D">
        <w:rPr>
          <w:lang w:val="fr-CA"/>
        </w:rPr>
        <w:t xml:space="preserve">Banque Mondiale </w:t>
      </w:r>
      <w:r>
        <w:rPr>
          <w:lang w:val="fr-CA"/>
        </w:rPr>
        <w:t xml:space="preserve">présentera une liste de ces entreprises dans le rapport d’achèvement du </w:t>
      </w:r>
      <w:r w:rsidRPr="0042639D">
        <w:rPr>
          <w:lang w:val="fr-CA"/>
        </w:rPr>
        <w:t>projet (</w:t>
      </w:r>
      <w:r>
        <w:rPr>
          <w:lang w:val="fr-CA"/>
        </w:rPr>
        <w:t>RA</w:t>
      </w:r>
      <w:r w:rsidRPr="0042639D">
        <w:rPr>
          <w:lang w:val="fr-CA"/>
        </w:rPr>
        <w:t>P);</w:t>
      </w:r>
    </w:p>
    <w:p w14:paraId="1511736B" w14:textId="77777777" w:rsidR="006345CD" w:rsidRPr="0042639D" w:rsidRDefault="006345CD" w:rsidP="006345CD">
      <w:pPr>
        <w:pStyle w:val="Heading2"/>
        <w:widowControl/>
        <w:numPr>
          <w:ilvl w:val="1"/>
          <w:numId w:val="30"/>
        </w:numPr>
        <w:rPr>
          <w:lang w:val="fr-CA"/>
        </w:rPr>
      </w:pPr>
      <w:r>
        <w:rPr>
          <w:lang w:val="fr-CA"/>
        </w:rPr>
        <w:t>La capacité reconvertie à des produits de remplacement à faible PRG des entreprises assistées au titre de ce projet ne sera pas admissible à d’autre financement du Fonds multilatéral</w:t>
      </w:r>
      <w:r w:rsidRPr="0042639D">
        <w:rPr>
          <w:lang w:val="fr-CA"/>
        </w:rPr>
        <w:t>;</w:t>
      </w:r>
    </w:p>
    <w:p w14:paraId="59858A2A" w14:textId="77777777" w:rsidR="006345CD" w:rsidRPr="0042639D" w:rsidRDefault="006345CD" w:rsidP="006345CD">
      <w:pPr>
        <w:pStyle w:val="Heading2"/>
        <w:numPr>
          <w:ilvl w:val="1"/>
          <w:numId w:val="30"/>
        </w:numPr>
        <w:rPr>
          <w:lang w:val="fr-CA"/>
        </w:rPr>
      </w:pPr>
      <w:r>
        <w:rPr>
          <w:lang w:val="fr-CA"/>
        </w:rPr>
        <w:t xml:space="preserve">Convenir d’un niveau de financement maximal de </w:t>
      </w:r>
      <w:r w:rsidRPr="0042639D">
        <w:rPr>
          <w:lang w:val="fr-CA"/>
        </w:rPr>
        <w:t>2</w:t>
      </w:r>
      <w:r>
        <w:rPr>
          <w:lang w:val="fr-CA"/>
        </w:rPr>
        <w:t> </w:t>
      </w:r>
      <w:r w:rsidRPr="0042639D">
        <w:rPr>
          <w:lang w:val="fr-CA"/>
        </w:rPr>
        <w:t>529</w:t>
      </w:r>
      <w:r>
        <w:rPr>
          <w:lang w:val="fr-CA"/>
        </w:rPr>
        <w:t> </w:t>
      </w:r>
      <w:r w:rsidRPr="0042639D">
        <w:rPr>
          <w:lang w:val="fr-CA"/>
        </w:rPr>
        <w:t>589</w:t>
      </w:r>
      <w:r>
        <w:rPr>
          <w:lang w:val="fr-CA"/>
        </w:rPr>
        <w:t> $US pour le secteur des mousses</w:t>
      </w:r>
      <w:r w:rsidRPr="0042639D">
        <w:rPr>
          <w:lang w:val="fr-CA"/>
        </w:rPr>
        <w:t xml:space="preserve">, </w:t>
      </w:r>
      <w:r>
        <w:rPr>
          <w:lang w:val="fr-CA"/>
        </w:rPr>
        <w:t xml:space="preserve">comme l’a proposé la </w:t>
      </w:r>
      <w:r w:rsidRPr="0042639D">
        <w:rPr>
          <w:lang w:val="fr-CA"/>
        </w:rPr>
        <w:t xml:space="preserve">Banque Mondiale, </w:t>
      </w:r>
      <w:r>
        <w:rPr>
          <w:lang w:val="fr-CA"/>
        </w:rPr>
        <w:t xml:space="preserve">étant entendu qu’en fonction des informations sur les coûts admissibles à soumettre à la </w:t>
      </w:r>
      <w:r w:rsidRPr="0042639D">
        <w:rPr>
          <w:lang w:val="fr-CA"/>
        </w:rPr>
        <w:t>91</w:t>
      </w:r>
      <w:r>
        <w:rPr>
          <w:vertAlign w:val="superscript"/>
          <w:lang w:val="fr-CA"/>
        </w:rPr>
        <w:t>e</w:t>
      </w:r>
      <w:r w:rsidRPr="0042639D">
        <w:rPr>
          <w:lang w:val="fr-CA"/>
        </w:rPr>
        <w:t xml:space="preserve"> réunion </w:t>
      </w:r>
      <w:r>
        <w:rPr>
          <w:lang w:val="fr-CA"/>
        </w:rPr>
        <w:t xml:space="preserve">conformément aux alinéas </w:t>
      </w:r>
      <w:r w:rsidRPr="0042639D">
        <w:rPr>
          <w:lang w:val="fr-CA"/>
        </w:rPr>
        <w:t xml:space="preserve">(b) </w:t>
      </w:r>
      <w:r>
        <w:rPr>
          <w:lang w:val="fr-CA"/>
        </w:rPr>
        <w:t>et</w:t>
      </w:r>
      <w:r w:rsidRPr="0042639D">
        <w:rPr>
          <w:lang w:val="fr-CA"/>
        </w:rPr>
        <w:t xml:space="preserve"> (e) </w:t>
      </w:r>
      <w:r>
        <w:rPr>
          <w:lang w:val="fr-CA"/>
        </w:rPr>
        <w:t>ci-dessus</w:t>
      </w:r>
      <w:r w:rsidRPr="0042639D">
        <w:rPr>
          <w:lang w:val="fr-CA"/>
        </w:rPr>
        <w:t xml:space="preserve">, </w:t>
      </w:r>
      <w:r>
        <w:rPr>
          <w:lang w:val="fr-CA"/>
        </w:rPr>
        <w:t>l</w:t>
      </w:r>
      <w:r w:rsidRPr="0042639D">
        <w:rPr>
          <w:lang w:val="fr-CA"/>
        </w:rPr>
        <w:t xml:space="preserve">e Gouvernement </w:t>
      </w:r>
      <w:r>
        <w:rPr>
          <w:lang w:val="fr-CA"/>
        </w:rPr>
        <w:t>du</w:t>
      </w:r>
      <w:r w:rsidRPr="0042639D">
        <w:rPr>
          <w:lang w:val="fr-CA"/>
        </w:rPr>
        <w:t xml:space="preserve"> Viet Nam, </w:t>
      </w:r>
      <w:r>
        <w:rPr>
          <w:lang w:val="fr-CA"/>
        </w:rPr>
        <w:t xml:space="preserve">par l’intermédiaire de la </w:t>
      </w:r>
      <w:r w:rsidRPr="0042639D">
        <w:rPr>
          <w:lang w:val="fr-CA"/>
        </w:rPr>
        <w:t xml:space="preserve">Banque Mondiale, </w:t>
      </w:r>
      <w:r>
        <w:rPr>
          <w:lang w:val="fr-CA"/>
        </w:rPr>
        <w:t xml:space="preserve">retournera à la </w:t>
      </w:r>
      <w:r w:rsidRPr="0042639D">
        <w:rPr>
          <w:lang w:val="fr-CA"/>
        </w:rPr>
        <w:t>91</w:t>
      </w:r>
      <w:r>
        <w:rPr>
          <w:vertAlign w:val="superscript"/>
          <w:lang w:val="fr-CA"/>
        </w:rPr>
        <w:t>e</w:t>
      </w:r>
      <w:r w:rsidRPr="0042639D">
        <w:rPr>
          <w:lang w:val="fr-CA"/>
        </w:rPr>
        <w:t xml:space="preserve"> réunion </w:t>
      </w:r>
      <w:r>
        <w:rPr>
          <w:lang w:val="fr-CA"/>
        </w:rPr>
        <w:t xml:space="preserve">la </w:t>
      </w:r>
      <w:r w:rsidRPr="0042639D">
        <w:rPr>
          <w:lang w:val="fr-CA"/>
        </w:rPr>
        <w:t>diff</w:t>
      </w:r>
      <w:r>
        <w:rPr>
          <w:lang w:val="fr-CA"/>
        </w:rPr>
        <w:t>é</w:t>
      </w:r>
      <w:r w:rsidRPr="0042639D">
        <w:rPr>
          <w:lang w:val="fr-CA"/>
        </w:rPr>
        <w:t xml:space="preserve">rence </w:t>
      </w:r>
      <w:r>
        <w:rPr>
          <w:lang w:val="fr-CA"/>
        </w:rPr>
        <w:t xml:space="preserve">entre le niveau de financement maximal convenu </w:t>
      </w:r>
      <w:r w:rsidRPr="0042639D">
        <w:rPr>
          <w:lang w:val="fr-CA"/>
        </w:rPr>
        <w:t>(2</w:t>
      </w:r>
      <w:r>
        <w:rPr>
          <w:lang w:val="fr-CA"/>
        </w:rPr>
        <w:t> </w:t>
      </w:r>
      <w:r w:rsidRPr="0042639D">
        <w:rPr>
          <w:lang w:val="fr-CA"/>
        </w:rPr>
        <w:t>529</w:t>
      </w:r>
      <w:r>
        <w:rPr>
          <w:lang w:val="fr-CA"/>
        </w:rPr>
        <w:t> </w:t>
      </w:r>
      <w:r w:rsidRPr="0042639D">
        <w:rPr>
          <w:lang w:val="fr-CA"/>
        </w:rPr>
        <w:t>589</w:t>
      </w:r>
      <w:r>
        <w:rPr>
          <w:lang w:val="fr-CA"/>
        </w:rPr>
        <w:t> $US</w:t>
      </w:r>
      <w:r w:rsidRPr="0042639D">
        <w:rPr>
          <w:lang w:val="fr-CA"/>
        </w:rPr>
        <w:t xml:space="preserve">) </w:t>
      </w:r>
      <w:r>
        <w:rPr>
          <w:lang w:val="fr-CA"/>
        </w:rPr>
        <w:t>et les coûts admissibles</w:t>
      </w:r>
      <w:r w:rsidRPr="0042639D">
        <w:rPr>
          <w:lang w:val="fr-CA"/>
        </w:rPr>
        <w:t xml:space="preserve">. </w:t>
      </w:r>
      <w:r>
        <w:rPr>
          <w:lang w:val="fr-CA"/>
        </w:rPr>
        <w:t>Pa</w:t>
      </w:r>
      <w:r w:rsidRPr="0042639D">
        <w:rPr>
          <w:lang w:val="fr-CA"/>
        </w:rPr>
        <w:t>r ex</w:t>
      </w:r>
      <w:r>
        <w:rPr>
          <w:lang w:val="fr-CA"/>
        </w:rPr>
        <w:t>e</w:t>
      </w:r>
      <w:r w:rsidRPr="0042639D">
        <w:rPr>
          <w:lang w:val="fr-CA"/>
        </w:rPr>
        <w:t xml:space="preserve">mple, </w:t>
      </w:r>
      <w:r>
        <w:rPr>
          <w:lang w:val="fr-CA"/>
        </w:rPr>
        <w:t>si la re</w:t>
      </w:r>
      <w:r w:rsidRPr="0042639D">
        <w:rPr>
          <w:lang w:val="fr-CA"/>
        </w:rPr>
        <w:t xml:space="preserve">conversion </w:t>
      </w:r>
      <w:r>
        <w:rPr>
          <w:lang w:val="fr-CA"/>
        </w:rPr>
        <w:t>de</w:t>
      </w:r>
      <w:r w:rsidRPr="0042639D">
        <w:rPr>
          <w:lang w:val="fr-CA"/>
        </w:rPr>
        <w:t xml:space="preserve"> Darling </w:t>
      </w:r>
      <w:r>
        <w:rPr>
          <w:lang w:val="fr-CA"/>
        </w:rPr>
        <w:t>et</w:t>
      </w:r>
      <w:r w:rsidRPr="0042639D">
        <w:rPr>
          <w:lang w:val="fr-CA"/>
        </w:rPr>
        <w:t xml:space="preserve"> Tan A </w:t>
      </w:r>
      <w:r>
        <w:rPr>
          <w:lang w:val="fr-CA"/>
        </w:rPr>
        <w:t xml:space="preserve">ne coûtait que </w:t>
      </w:r>
      <w:r w:rsidRPr="0042639D">
        <w:rPr>
          <w:lang w:val="fr-CA"/>
        </w:rPr>
        <w:t>490</w:t>
      </w:r>
      <w:r>
        <w:rPr>
          <w:lang w:val="fr-CA"/>
        </w:rPr>
        <w:t> </w:t>
      </w:r>
      <w:r w:rsidRPr="0042639D">
        <w:rPr>
          <w:lang w:val="fr-CA"/>
        </w:rPr>
        <w:t>000</w:t>
      </w:r>
      <w:r>
        <w:rPr>
          <w:lang w:val="fr-CA"/>
        </w:rPr>
        <w:t> $US</w:t>
      </w:r>
      <w:r w:rsidRPr="0042639D">
        <w:rPr>
          <w:lang w:val="fr-CA"/>
        </w:rPr>
        <w:t xml:space="preserve">; </w:t>
      </w:r>
      <w:r>
        <w:rPr>
          <w:lang w:val="fr-CA"/>
        </w:rPr>
        <w:t xml:space="preserve">si seules deux maisons de mélange ont signé des SAS pour se reconvertir au </w:t>
      </w:r>
      <w:r w:rsidRPr="0042639D">
        <w:rPr>
          <w:lang w:val="fr-CA"/>
        </w:rPr>
        <w:t xml:space="preserve">cyclopentane </w:t>
      </w:r>
      <w:r>
        <w:rPr>
          <w:lang w:val="fr-CA"/>
        </w:rPr>
        <w:t xml:space="preserve">prémélangé </w:t>
      </w:r>
      <w:r w:rsidRPr="0042639D">
        <w:rPr>
          <w:lang w:val="fr-CA"/>
        </w:rPr>
        <w:t>(625</w:t>
      </w:r>
      <w:r>
        <w:rPr>
          <w:lang w:val="fr-CA"/>
        </w:rPr>
        <w:t> </w:t>
      </w:r>
      <w:r w:rsidRPr="0042639D">
        <w:rPr>
          <w:lang w:val="fr-CA"/>
        </w:rPr>
        <w:t>000</w:t>
      </w:r>
      <w:r>
        <w:rPr>
          <w:lang w:val="fr-CA"/>
        </w:rPr>
        <w:t> $US</w:t>
      </w:r>
      <w:r w:rsidRPr="0042639D">
        <w:rPr>
          <w:lang w:val="fr-CA"/>
        </w:rPr>
        <w:t xml:space="preserve">); </w:t>
      </w:r>
      <w:r>
        <w:rPr>
          <w:lang w:val="fr-CA"/>
        </w:rPr>
        <w:t xml:space="preserve">si la maison de mélange fournissant des HFO </w:t>
      </w:r>
      <w:proofErr w:type="spellStart"/>
      <w:r>
        <w:rPr>
          <w:lang w:val="fr-CA"/>
        </w:rPr>
        <w:t>prémélangés</w:t>
      </w:r>
      <w:proofErr w:type="spellEnd"/>
      <w:r>
        <w:rPr>
          <w:lang w:val="fr-CA"/>
        </w:rPr>
        <w:t xml:space="preserve"> ne pouvait assurer la </w:t>
      </w:r>
      <w:r w:rsidRPr="0042639D">
        <w:rPr>
          <w:lang w:val="fr-CA"/>
        </w:rPr>
        <w:t xml:space="preserve">participation </w:t>
      </w:r>
      <w:r>
        <w:rPr>
          <w:lang w:val="fr-CA"/>
        </w:rPr>
        <w:t xml:space="preserve">que des PME admissibles avec une consommation de </w:t>
      </w:r>
      <w:r w:rsidRPr="0042639D">
        <w:rPr>
          <w:lang w:val="fr-CA"/>
        </w:rPr>
        <w:t>30 </w:t>
      </w:r>
      <w:r>
        <w:rPr>
          <w:lang w:val="fr-CA"/>
        </w:rPr>
        <w:t>t</w:t>
      </w:r>
      <w:r w:rsidRPr="0042639D">
        <w:rPr>
          <w:lang w:val="fr-CA"/>
        </w:rPr>
        <w:t xml:space="preserve">m </w:t>
      </w:r>
      <w:r>
        <w:rPr>
          <w:lang w:val="fr-CA"/>
        </w:rPr>
        <w:t>de</w:t>
      </w:r>
      <w:r w:rsidRPr="0042639D">
        <w:rPr>
          <w:lang w:val="fr-CA"/>
        </w:rPr>
        <w:t xml:space="preserve"> HCFC</w:t>
      </w:r>
      <w:r w:rsidRPr="0042639D">
        <w:rPr>
          <w:lang w:val="fr-CA"/>
        </w:rPr>
        <w:noBreakHyphen/>
        <w:t>141b cont</w:t>
      </w:r>
      <w:r>
        <w:rPr>
          <w:lang w:val="fr-CA"/>
        </w:rPr>
        <w:t>enu dans les p</w:t>
      </w:r>
      <w:r w:rsidRPr="0042639D">
        <w:rPr>
          <w:lang w:val="fr-CA"/>
        </w:rPr>
        <w:t>olyols</w:t>
      </w:r>
      <w:r>
        <w:rPr>
          <w:lang w:val="fr-CA"/>
        </w:rPr>
        <w:t xml:space="preserve"> prémélangés </w:t>
      </w:r>
      <w:r w:rsidRPr="0042639D">
        <w:rPr>
          <w:lang w:val="fr-CA"/>
        </w:rPr>
        <w:t>(177</w:t>
      </w:r>
      <w:r>
        <w:rPr>
          <w:lang w:val="fr-CA"/>
        </w:rPr>
        <w:t> </w:t>
      </w:r>
      <w:r w:rsidRPr="0042639D">
        <w:rPr>
          <w:lang w:val="fr-CA"/>
        </w:rPr>
        <w:t>000</w:t>
      </w:r>
      <w:r>
        <w:rPr>
          <w:lang w:val="fr-CA"/>
        </w:rPr>
        <w:t> $US</w:t>
      </w:r>
      <w:r w:rsidRPr="0042639D">
        <w:rPr>
          <w:lang w:val="fr-CA"/>
        </w:rPr>
        <w:t xml:space="preserve">), </w:t>
      </w:r>
      <w:r>
        <w:rPr>
          <w:lang w:val="fr-CA"/>
        </w:rPr>
        <w:t xml:space="preserve">et si l’AT était appliquée selon les plans </w:t>
      </w:r>
      <w:r w:rsidRPr="0042639D">
        <w:rPr>
          <w:lang w:val="fr-CA"/>
        </w:rPr>
        <w:t>(36</w:t>
      </w:r>
      <w:r>
        <w:rPr>
          <w:lang w:val="fr-CA"/>
        </w:rPr>
        <w:t> </w:t>
      </w:r>
      <w:r w:rsidRPr="0042639D">
        <w:rPr>
          <w:lang w:val="fr-CA"/>
        </w:rPr>
        <w:t>000</w:t>
      </w:r>
      <w:r>
        <w:rPr>
          <w:lang w:val="fr-CA"/>
        </w:rPr>
        <w:t> $US</w:t>
      </w:r>
      <w:r w:rsidRPr="0042639D">
        <w:rPr>
          <w:lang w:val="fr-CA"/>
        </w:rPr>
        <w:t xml:space="preserve">), </w:t>
      </w:r>
      <w:r>
        <w:rPr>
          <w:lang w:val="fr-CA"/>
        </w:rPr>
        <w:t xml:space="preserve">dans ce cas, le </w:t>
      </w:r>
      <w:r w:rsidRPr="0042639D">
        <w:rPr>
          <w:lang w:val="fr-CA"/>
        </w:rPr>
        <w:t xml:space="preserve">Gouvernement, </w:t>
      </w:r>
      <w:r>
        <w:rPr>
          <w:lang w:val="fr-CA"/>
        </w:rPr>
        <w:t xml:space="preserve">par l’intermédiaire de la </w:t>
      </w:r>
      <w:r w:rsidRPr="0042639D">
        <w:rPr>
          <w:lang w:val="fr-CA"/>
        </w:rPr>
        <w:t xml:space="preserve">Banque Mondiale, </w:t>
      </w:r>
      <w:r>
        <w:rPr>
          <w:lang w:val="fr-CA"/>
        </w:rPr>
        <w:t xml:space="preserve">remettrait </w:t>
      </w:r>
      <w:r w:rsidRPr="0042639D">
        <w:rPr>
          <w:lang w:val="fr-CA"/>
        </w:rPr>
        <w:t>352</w:t>
      </w:r>
      <w:r>
        <w:rPr>
          <w:lang w:val="fr-CA"/>
        </w:rPr>
        <w:t> </w:t>
      </w:r>
      <w:r w:rsidRPr="0042639D">
        <w:rPr>
          <w:lang w:val="fr-CA"/>
        </w:rPr>
        <w:t>000</w:t>
      </w:r>
      <w:r>
        <w:rPr>
          <w:lang w:val="fr-CA"/>
        </w:rPr>
        <w:t> $US</w:t>
      </w:r>
      <w:r w:rsidRPr="0042639D">
        <w:rPr>
          <w:lang w:val="fr-CA"/>
        </w:rPr>
        <w:t xml:space="preserve">, plus </w:t>
      </w:r>
      <w:r>
        <w:rPr>
          <w:lang w:val="fr-CA"/>
        </w:rPr>
        <w:t>les coûts d’appui d’agence</w:t>
      </w:r>
      <w:r w:rsidRPr="0042639D">
        <w:rPr>
          <w:lang w:val="fr-CA"/>
        </w:rPr>
        <w:t xml:space="preserve">, </w:t>
      </w:r>
      <w:r>
        <w:rPr>
          <w:lang w:val="fr-CA"/>
        </w:rPr>
        <w:t>à la</w:t>
      </w:r>
      <w:r w:rsidRPr="0042639D">
        <w:rPr>
          <w:lang w:val="fr-CA"/>
        </w:rPr>
        <w:t xml:space="preserve"> 91</w:t>
      </w:r>
      <w:r w:rsidRPr="0042639D">
        <w:rPr>
          <w:vertAlign w:val="superscript"/>
          <w:lang w:val="fr-CA"/>
        </w:rPr>
        <w:t>st</w:t>
      </w:r>
      <w:r w:rsidRPr="0042639D">
        <w:rPr>
          <w:lang w:val="fr-CA"/>
        </w:rPr>
        <w:t xml:space="preserve"> réunion; </w:t>
      </w:r>
    </w:p>
    <w:p w14:paraId="7312533C" w14:textId="77777777" w:rsidR="006345CD" w:rsidRPr="0042639D" w:rsidRDefault="006345CD" w:rsidP="006345CD">
      <w:pPr>
        <w:pStyle w:val="Heading2"/>
        <w:numPr>
          <w:ilvl w:val="1"/>
          <w:numId w:val="30"/>
        </w:numPr>
        <w:rPr>
          <w:lang w:val="fr-CA"/>
        </w:rPr>
      </w:pPr>
      <w:r>
        <w:rPr>
          <w:lang w:val="fr-CA"/>
        </w:rPr>
        <w:t xml:space="preserve">La date d’achèvement du projet serait reportée au </w:t>
      </w:r>
      <w:r w:rsidRPr="0042639D">
        <w:rPr>
          <w:lang w:val="fr-CA"/>
        </w:rPr>
        <w:t>31 </w:t>
      </w:r>
      <w:r>
        <w:rPr>
          <w:lang w:val="fr-CA"/>
        </w:rPr>
        <w:t>dé</w:t>
      </w:r>
      <w:r w:rsidRPr="0042639D">
        <w:rPr>
          <w:lang w:val="fr-CA"/>
        </w:rPr>
        <w:t>cemb</w:t>
      </w:r>
      <w:r>
        <w:rPr>
          <w:lang w:val="fr-CA"/>
        </w:rPr>
        <w:t>r</w:t>
      </w:r>
      <w:r w:rsidRPr="0042639D">
        <w:rPr>
          <w:lang w:val="fr-CA"/>
        </w:rPr>
        <w:t>e 2023</w:t>
      </w:r>
      <w:r>
        <w:rPr>
          <w:lang w:val="fr-CA"/>
        </w:rPr>
        <w:t xml:space="preserve">, comme l’avait proposé la </w:t>
      </w:r>
      <w:r w:rsidRPr="0042639D">
        <w:rPr>
          <w:lang w:val="fr-CA"/>
        </w:rPr>
        <w:t>Banque Mondiale.</w:t>
      </w:r>
    </w:p>
    <w:p w14:paraId="211006CE" w14:textId="77777777" w:rsidR="006345CD" w:rsidRPr="0042639D" w:rsidRDefault="006345CD" w:rsidP="006345CD">
      <w:pPr>
        <w:keepNext/>
        <w:rPr>
          <w:i/>
          <w:iCs/>
          <w:lang w:val="fr-CA"/>
        </w:rPr>
      </w:pPr>
      <w:r>
        <w:rPr>
          <w:i/>
          <w:iCs/>
          <w:lang w:val="fr-CA"/>
        </w:rPr>
        <w:t>Secteur de la fabrication en r</w:t>
      </w:r>
      <w:r w:rsidRPr="0042639D">
        <w:rPr>
          <w:i/>
          <w:iCs/>
          <w:lang w:val="fr-CA"/>
        </w:rPr>
        <w:t>éfrigération</w:t>
      </w:r>
    </w:p>
    <w:p w14:paraId="7EE1D6C9" w14:textId="77777777" w:rsidR="006345CD" w:rsidRPr="0042639D" w:rsidRDefault="006345CD" w:rsidP="006345CD">
      <w:pPr>
        <w:keepNext/>
        <w:rPr>
          <w:lang w:val="fr-CA"/>
        </w:rPr>
      </w:pPr>
    </w:p>
    <w:p w14:paraId="38F9E7F0" w14:textId="77777777" w:rsidR="006345CD" w:rsidRPr="000B50DC" w:rsidRDefault="006345CD" w:rsidP="006345CD">
      <w:pPr>
        <w:pStyle w:val="Heading1"/>
        <w:keepNext/>
        <w:numPr>
          <w:ilvl w:val="0"/>
          <w:numId w:val="30"/>
        </w:numPr>
        <w:rPr>
          <w:lang w:val="fr-CA"/>
        </w:rPr>
      </w:pPr>
      <w:r>
        <w:rPr>
          <w:lang w:val="fr-CA"/>
        </w:rPr>
        <w:t>Tout en notant avec satisfaction la proposition d’adopter une démarche similaire à celle suivie dans le secteur des mousses pour obtenir la participation des P</w:t>
      </w:r>
      <w:r w:rsidRPr="0042639D">
        <w:rPr>
          <w:lang w:val="fr-CA"/>
        </w:rPr>
        <w:t xml:space="preserve">ME </w:t>
      </w:r>
      <w:r>
        <w:rPr>
          <w:lang w:val="fr-CA"/>
        </w:rPr>
        <w:t>dans le secteur</w:t>
      </w:r>
      <w:r w:rsidRPr="0042639D">
        <w:rPr>
          <w:lang w:val="fr-CA"/>
        </w:rPr>
        <w:t xml:space="preserve">, </w:t>
      </w:r>
      <w:r>
        <w:rPr>
          <w:lang w:val="fr-CA"/>
        </w:rPr>
        <w:t>le Secrétariat a estimé qu’il y avait un risque grave que les activités proposées ne seraient pas exécutées avec succès et que l’élimination convenue ne pourrait pas être réalisée pour la date d’achèvement révisée du projet</w:t>
      </w:r>
      <w:r w:rsidRPr="000B50DC">
        <w:rPr>
          <w:lang w:val="fr-CA"/>
        </w:rPr>
        <w:t xml:space="preserve">. </w:t>
      </w:r>
      <w:r>
        <w:rPr>
          <w:lang w:val="fr-CA"/>
        </w:rPr>
        <w:t>Si l’idée de recourir à un intermédiaire dans la chaîne d’approvisionnement pour coordonner le projet de groupe était innovatrice, été compte tenu du nombre d’intermédiaires divers avec lesquels les PME dans le secteur de la production en réfrigération pouvaient choisir de collaborer, le rôle d’un tel intermédiaire dans les pratiques commerciales des PME dans le secteur de la fabrication en réfrigération est moins clair que dans le cas des maisons de mélange et de transformation dans le secteur de la fabrication de mousses</w:t>
      </w:r>
      <w:r w:rsidRPr="000B50DC">
        <w:rPr>
          <w:lang w:val="fr-CA"/>
        </w:rPr>
        <w:t xml:space="preserve">. </w:t>
      </w:r>
      <w:r>
        <w:rPr>
          <w:lang w:val="fr-CA"/>
        </w:rPr>
        <w:t xml:space="preserve">D’autre part, les </w:t>
      </w:r>
      <w:r w:rsidRPr="000B50DC">
        <w:rPr>
          <w:lang w:val="fr-CA"/>
        </w:rPr>
        <w:t xml:space="preserve">entreprises </w:t>
      </w:r>
      <w:r>
        <w:rPr>
          <w:lang w:val="fr-CA"/>
        </w:rPr>
        <w:t xml:space="preserve">qui constituent ce </w:t>
      </w:r>
      <w:r w:rsidRPr="000B50DC">
        <w:rPr>
          <w:lang w:val="fr-CA"/>
        </w:rPr>
        <w:t xml:space="preserve">secteur </w:t>
      </w:r>
      <w:r>
        <w:rPr>
          <w:lang w:val="fr-CA"/>
        </w:rPr>
        <w:t xml:space="preserve">se sont montrer hésitantes à participer, en raison notamment de leur réticence à renoncer à l’utilisation de </w:t>
      </w:r>
      <w:r w:rsidRPr="000B50DC">
        <w:rPr>
          <w:lang w:val="fr-CA"/>
        </w:rPr>
        <w:t xml:space="preserve">HFC </w:t>
      </w:r>
      <w:r>
        <w:rPr>
          <w:lang w:val="fr-CA"/>
        </w:rPr>
        <w:t xml:space="preserve">et de mélanges de </w:t>
      </w:r>
      <w:r w:rsidRPr="000B50DC">
        <w:rPr>
          <w:lang w:val="fr-CA"/>
        </w:rPr>
        <w:t xml:space="preserve">HFC; </w:t>
      </w:r>
      <w:r>
        <w:rPr>
          <w:lang w:val="fr-CA"/>
        </w:rPr>
        <w:t xml:space="preserve">les </w:t>
      </w:r>
      <w:r w:rsidRPr="000B50DC">
        <w:rPr>
          <w:lang w:val="fr-CA"/>
        </w:rPr>
        <w:t xml:space="preserve">entreprises </w:t>
      </w:r>
      <w:r>
        <w:rPr>
          <w:lang w:val="fr-CA"/>
        </w:rPr>
        <w:t>sont en mesure de fabriquer une gamme de produits dépendamment de l’application et de la demande des utilisateurs ultimes et elles considéraient la restriction de leur choix de technologie comme un renoncement à leur souplesse et leur compétitivité</w:t>
      </w:r>
      <w:r w:rsidRPr="000B50DC">
        <w:rPr>
          <w:lang w:val="fr-CA"/>
        </w:rPr>
        <w:t xml:space="preserve">; </w:t>
      </w:r>
      <w:r>
        <w:rPr>
          <w:lang w:val="fr-CA"/>
        </w:rPr>
        <w:t xml:space="preserve">et la capacité administrative et financière limitée des PME à répondre aux exigences des </w:t>
      </w:r>
      <w:r w:rsidRPr="000B50DC">
        <w:rPr>
          <w:lang w:val="fr-CA"/>
        </w:rPr>
        <w:t xml:space="preserve">SAS. </w:t>
      </w:r>
      <w:r>
        <w:rPr>
          <w:lang w:val="fr-CA"/>
        </w:rPr>
        <w:t xml:space="preserve">Compte tenu de l’expérience acquise dans la mise en œuvre de </w:t>
      </w:r>
      <w:r w:rsidRPr="000B50DC">
        <w:rPr>
          <w:lang w:val="fr-CA"/>
        </w:rPr>
        <w:t xml:space="preserve">projets </w:t>
      </w:r>
      <w:r>
        <w:rPr>
          <w:lang w:val="fr-CA"/>
        </w:rPr>
        <w:t>dans ce sous-secteur dans d’autres pays</w:t>
      </w:r>
      <w:r w:rsidRPr="000B50DC">
        <w:rPr>
          <w:lang w:val="fr-CA"/>
        </w:rPr>
        <w:t xml:space="preserve">, le </w:t>
      </w:r>
      <w:proofErr w:type="gramStart"/>
      <w:r w:rsidRPr="000B50DC">
        <w:rPr>
          <w:lang w:val="fr-CA"/>
        </w:rPr>
        <w:t xml:space="preserve">Secrétariat  </w:t>
      </w:r>
      <w:r>
        <w:rPr>
          <w:lang w:val="fr-CA"/>
        </w:rPr>
        <w:t>a</w:t>
      </w:r>
      <w:proofErr w:type="gramEnd"/>
      <w:r>
        <w:rPr>
          <w:lang w:val="fr-CA"/>
        </w:rPr>
        <w:t xml:space="preserve"> jugé improbable de terminer ces re</w:t>
      </w:r>
      <w:r w:rsidRPr="000B50DC">
        <w:rPr>
          <w:lang w:val="fr-CA"/>
        </w:rPr>
        <w:t xml:space="preserve">conversions </w:t>
      </w:r>
      <w:r>
        <w:rPr>
          <w:lang w:val="fr-CA"/>
        </w:rPr>
        <w:t xml:space="preserve">pour la date d’achèvement révisée du </w:t>
      </w:r>
      <w:r w:rsidRPr="000B50DC">
        <w:rPr>
          <w:lang w:val="fr-CA"/>
        </w:rPr>
        <w:t>31 </w:t>
      </w:r>
      <w:r>
        <w:rPr>
          <w:lang w:val="fr-CA"/>
        </w:rPr>
        <w:t>d</w:t>
      </w:r>
      <w:r w:rsidRPr="000B50DC">
        <w:rPr>
          <w:lang w:val="fr-CA"/>
        </w:rPr>
        <w:t>écembre 2023.</w:t>
      </w:r>
    </w:p>
    <w:p w14:paraId="6643B308" w14:textId="77777777" w:rsidR="006345CD" w:rsidRPr="0042639D" w:rsidRDefault="006345CD" w:rsidP="006345CD">
      <w:pPr>
        <w:pStyle w:val="Heading1"/>
        <w:numPr>
          <w:ilvl w:val="0"/>
          <w:numId w:val="30"/>
        </w:numPr>
        <w:rPr>
          <w:lang w:val="fr-CA"/>
        </w:rPr>
      </w:pPr>
      <w:r>
        <w:rPr>
          <w:lang w:val="fr-CA"/>
        </w:rPr>
        <w:t xml:space="preserve">En conséquence, le Secrétariat a proposé de retirer le projet de groupe et de n’inclure que des fonds de </w:t>
      </w:r>
      <w:r w:rsidRPr="0042639D">
        <w:rPr>
          <w:lang w:val="fr-CA"/>
        </w:rPr>
        <w:t>771</w:t>
      </w:r>
      <w:r>
        <w:rPr>
          <w:lang w:val="fr-CA"/>
        </w:rPr>
        <w:t> </w:t>
      </w:r>
      <w:r w:rsidRPr="0042639D">
        <w:rPr>
          <w:lang w:val="fr-CA"/>
        </w:rPr>
        <w:t>366</w:t>
      </w:r>
      <w:r>
        <w:rPr>
          <w:lang w:val="fr-CA"/>
        </w:rPr>
        <w:t> $</w:t>
      </w:r>
      <w:proofErr w:type="gramStart"/>
      <w:r>
        <w:rPr>
          <w:lang w:val="fr-CA"/>
        </w:rPr>
        <w:t xml:space="preserve">US </w:t>
      </w:r>
      <w:r w:rsidRPr="0042639D">
        <w:rPr>
          <w:lang w:val="fr-CA"/>
        </w:rPr>
        <w:t xml:space="preserve"> </w:t>
      </w:r>
      <w:r>
        <w:rPr>
          <w:lang w:val="fr-CA"/>
        </w:rPr>
        <w:t>basés</w:t>
      </w:r>
      <w:proofErr w:type="gramEnd"/>
      <w:r>
        <w:rPr>
          <w:lang w:val="fr-CA"/>
        </w:rPr>
        <w:t xml:space="preserve"> sur la re</w:t>
      </w:r>
      <w:r w:rsidRPr="0042639D">
        <w:rPr>
          <w:lang w:val="fr-CA"/>
        </w:rPr>
        <w:t xml:space="preserve">conversion </w:t>
      </w:r>
      <w:r>
        <w:rPr>
          <w:lang w:val="fr-CA"/>
        </w:rPr>
        <w:t xml:space="preserve">de </w:t>
      </w:r>
      <w:proofErr w:type="spellStart"/>
      <w:r w:rsidRPr="0042639D">
        <w:rPr>
          <w:lang w:val="fr-CA"/>
        </w:rPr>
        <w:t>Phuong</w:t>
      </w:r>
      <w:proofErr w:type="spellEnd"/>
      <w:r w:rsidRPr="0042639D">
        <w:rPr>
          <w:lang w:val="fr-CA"/>
        </w:rPr>
        <w:t xml:space="preserve"> Nam, </w:t>
      </w:r>
      <w:proofErr w:type="spellStart"/>
      <w:r w:rsidRPr="0042639D">
        <w:rPr>
          <w:lang w:val="fr-CA"/>
        </w:rPr>
        <w:t>Saree</w:t>
      </w:r>
      <w:proofErr w:type="spellEnd"/>
      <w:r w:rsidRPr="0042639D">
        <w:rPr>
          <w:lang w:val="fr-CA"/>
        </w:rPr>
        <w:t xml:space="preserve"> </w:t>
      </w:r>
      <w:r>
        <w:rPr>
          <w:lang w:val="fr-CA"/>
        </w:rPr>
        <w:t>et</w:t>
      </w:r>
      <w:r w:rsidRPr="0042639D">
        <w:rPr>
          <w:lang w:val="fr-CA"/>
        </w:rPr>
        <w:t xml:space="preserve"> Hung Tri, </w:t>
      </w:r>
      <w:r>
        <w:rPr>
          <w:lang w:val="fr-CA"/>
        </w:rPr>
        <w:t xml:space="preserve">comme l’a proposé la </w:t>
      </w:r>
      <w:r w:rsidRPr="0042639D">
        <w:rPr>
          <w:lang w:val="fr-CA"/>
        </w:rPr>
        <w:t xml:space="preserve">Banque Mondiale, </w:t>
      </w:r>
      <w:r>
        <w:rPr>
          <w:lang w:val="fr-CA"/>
        </w:rPr>
        <w:t>en notant que toute économie résultant de ces re</w:t>
      </w:r>
      <w:r w:rsidRPr="0042639D">
        <w:rPr>
          <w:lang w:val="fr-CA"/>
        </w:rPr>
        <w:t xml:space="preserve">conversions </w:t>
      </w:r>
      <w:r>
        <w:rPr>
          <w:lang w:val="fr-CA"/>
        </w:rPr>
        <w:t>serait rendue au Fonds multilatéral</w:t>
      </w:r>
      <w:r w:rsidRPr="0042639D">
        <w:rPr>
          <w:lang w:val="fr-CA"/>
        </w:rPr>
        <w:t xml:space="preserve">. </w:t>
      </w:r>
    </w:p>
    <w:p w14:paraId="4E3839BC" w14:textId="77777777" w:rsidR="006345CD" w:rsidRPr="0042639D" w:rsidRDefault="006345CD" w:rsidP="006345CD">
      <w:pPr>
        <w:rPr>
          <w:i/>
          <w:iCs/>
          <w:lang w:val="fr-CA"/>
        </w:rPr>
      </w:pPr>
      <w:r>
        <w:rPr>
          <w:i/>
          <w:iCs/>
          <w:lang w:val="fr-CA"/>
        </w:rPr>
        <w:t>Secteur de l’entretien en r</w:t>
      </w:r>
      <w:r w:rsidRPr="0042639D">
        <w:rPr>
          <w:i/>
          <w:iCs/>
          <w:lang w:val="fr-CA"/>
        </w:rPr>
        <w:t xml:space="preserve">éfrigération </w:t>
      </w:r>
    </w:p>
    <w:p w14:paraId="5E0BB67D" w14:textId="77777777" w:rsidR="006345CD" w:rsidRPr="0042639D" w:rsidRDefault="006345CD" w:rsidP="006345CD">
      <w:pPr>
        <w:rPr>
          <w:lang w:val="fr-CA"/>
        </w:rPr>
      </w:pPr>
    </w:p>
    <w:p w14:paraId="0264C769" w14:textId="77777777" w:rsidR="006345CD" w:rsidRPr="0042639D" w:rsidRDefault="006345CD" w:rsidP="006345CD">
      <w:pPr>
        <w:pStyle w:val="Heading1"/>
        <w:numPr>
          <w:ilvl w:val="0"/>
          <w:numId w:val="30"/>
        </w:numPr>
        <w:rPr>
          <w:lang w:val="fr-CA"/>
        </w:rPr>
      </w:pPr>
      <w:r>
        <w:rPr>
          <w:lang w:val="fr-CA"/>
        </w:rPr>
        <w:t xml:space="preserve">Se fondant sur le calendrier disponible pour achever les </w:t>
      </w:r>
      <w:r w:rsidRPr="0042639D">
        <w:rPr>
          <w:lang w:val="fr-CA"/>
        </w:rPr>
        <w:t xml:space="preserve">activités, </w:t>
      </w:r>
      <w:r>
        <w:rPr>
          <w:lang w:val="fr-CA"/>
        </w:rPr>
        <w:t xml:space="preserve">le Secrétariat a proposé d’attribuer </w:t>
      </w:r>
      <w:r w:rsidRPr="0042639D">
        <w:rPr>
          <w:lang w:val="fr-CA"/>
        </w:rPr>
        <w:t>700</w:t>
      </w:r>
      <w:r>
        <w:rPr>
          <w:lang w:val="fr-CA"/>
        </w:rPr>
        <w:t> </w:t>
      </w:r>
      <w:r w:rsidRPr="0042639D">
        <w:rPr>
          <w:lang w:val="fr-CA"/>
        </w:rPr>
        <w:t>000</w:t>
      </w:r>
      <w:r>
        <w:rPr>
          <w:lang w:val="fr-CA"/>
        </w:rPr>
        <w:t> $US</w:t>
      </w:r>
      <w:r w:rsidRPr="0042639D">
        <w:rPr>
          <w:lang w:val="fr-CA"/>
        </w:rPr>
        <w:t xml:space="preserve"> (</w:t>
      </w:r>
      <w:r>
        <w:rPr>
          <w:lang w:val="fr-CA"/>
        </w:rPr>
        <w:t xml:space="preserve">plutôt que le montant de </w:t>
      </w:r>
      <w:r w:rsidRPr="0042639D">
        <w:rPr>
          <w:lang w:val="fr-CA"/>
        </w:rPr>
        <w:t>1</w:t>
      </w:r>
      <w:r>
        <w:rPr>
          <w:lang w:val="fr-CA"/>
        </w:rPr>
        <w:t> </w:t>
      </w:r>
      <w:r w:rsidRPr="0042639D">
        <w:rPr>
          <w:lang w:val="fr-CA"/>
        </w:rPr>
        <w:t>330</w:t>
      </w:r>
      <w:r>
        <w:rPr>
          <w:lang w:val="fr-CA"/>
        </w:rPr>
        <w:t> </w:t>
      </w:r>
      <w:r w:rsidRPr="0042639D">
        <w:rPr>
          <w:lang w:val="fr-CA"/>
        </w:rPr>
        <w:t>000</w:t>
      </w:r>
      <w:r>
        <w:rPr>
          <w:lang w:val="fr-CA"/>
        </w:rPr>
        <w:t> $US proposé par la</w:t>
      </w:r>
      <w:r w:rsidRPr="0042639D">
        <w:rPr>
          <w:lang w:val="fr-CA"/>
        </w:rPr>
        <w:t xml:space="preserve"> Banque Mondiale) </w:t>
      </w:r>
      <w:r>
        <w:rPr>
          <w:lang w:val="fr-CA"/>
        </w:rPr>
        <w:t xml:space="preserve">aux </w:t>
      </w:r>
      <w:r w:rsidRPr="0042639D">
        <w:rPr>
          <w:lang w:val="fr-CA"/>
        </w:rPr>
        <w:t xml:space="preserve">activités </w:t>
      </w:r>
      <w:r>
        <w:rPr>
          <w:lang w:val="fr-CA"/>
        </w:rPr>
        <w:t xml:space="preserve">supplémentaires dans le secteur de l’entretien en </w:t>
      </w:r>
      <w:r w:rsidRPr="0042639D">
        <w:rPr>
          <w:lang w:val="fr-CA"/>
        </w:rPr>
        <w:t xml:space="preserve">réfrigération </w:t>
      </w:r>
      <w:r>
        <w:rPr>
          <w:lang w:val="fr-CA"/>
        </w:rPr>
        <w:t xml:space="preserve">et a demandé à la </w:t>
      </w:r>
      <w:r w:rsidRPr="0042639D">
        <w:rPr>
          <w:lang w:val="fr-CA"/>
        </w:rPr>
        <w:t xml:space="preserve">Banque Mondiale </w:t>
      </w:r>
      <w:r>
        <w:rPr>
          <w:lang w:val="fr-CA"/>
        </w:rPr>
        <w:t xml:space="preserve">de soumettre un </w:t>
      </w:r>
      <w:r w:rsidRPr="0042639D">
        <w:rPr>
          <w:lang w:val="fr-CA"/>
        </w:rPr>
        <w:t xml:space="preserve">plan </w:t>
      </w:r>
      <w:r>
        <w:rPr>
          <w:lang w:val="fr-CA"/>
        </w:rPr>
        <w:t>d’</w:t>
      </w:r>
      <w:r w:rsidRPr="0042639D">
        <w:rPr>
          <w:lang w:val="fr-CA"/>
        </w:rPr>
        <w:t xml:space="preserve">action </w:t>
      </w:r>
      <w:r>
        <w:rPr>
          <w:lang w:val="fr-CA"/>
        </w:rPr>
        <w:t>sur la base de ce financement supplémentaire</w:t>
      </w:r>
      <w:r w:rsidRPr="0042639D">
        <w:rPr>
          <w:lang w:val="fr-CA"/>
        </w:rPr>
        <w:t xml:space="preserve">. </w:t>
      </w:r>
      <w:r>
        <w:rPr>
          <w:lang w:val="fr-CA"/>
        </w:rPr>
        <w:t xml:space="preserve">Le </w:t>
      </w:r>
      <w:proofErr w:type="gramStart"/>
      <w:r>
        <w:rPr>
          <w:lang w:val="fr-CA"/>
        </w:rPr>
        <w:t xml:space="preserve">Secrétariat </w:t>
      </w:r>
      <w:r w:rsidRPr="0042639D">
        <w:rPr>
          <w:lang w:val="fr-CA"/>
        </w:rPr>
        <w:t xml:space="preserve"> </w:t>
      </w:r>
      <w:r>
        <w:rPr>
          <w:lang w:val="fr-CA"/>
        </w:rPr>
        <w:t>a</w:t>
      </w:r>
      <w:proofErr w:type="gramEnd"/>
      <w:r>
        <w:rPr>
          <w:lang w:val="fr-CA"/>
        </w:rPr>
        <w:t xml:space="preserve"> proposé que les fonds supplémentaires entraineraient une nouvelle </w:t>
      </w:r>
      <w:r w:rsidRPr="0042639D">
        <w:rPr>
          <w:lang w:val="fr-CA"/>
        </w:rPr>
        <w:t xml:space="preserve">réduction </w:t>
      </w:r>
      <w:r>
        <w:rPr>
          <w:lang w:val="fr-CA"/>
        </w:rPr>
        <w:t xml:space="preserve">de </w:t>
      </w:r>
      <w:r w:rsidRPr="0042639D">
        <w:rPr>
          <w:lang w:val="fr-CA"/>
        </w:rPr>
        <w:t>8</w:t>
      </w:r>
      <w:r>
        <w:rPr>
          <w:lang w:val="fr-CA"/>
        </w:rPr>
        <w:t>,</w:t>
      </w:r>
      <w:r w:rsidRPr="0042639D">
        <w:rPr>
          <w:lang w:val="fr-CA"/>
        </w:rPr>
        <w:t xml:space="preserve">02 tonnes </w:t>
      </w:r>
      <w:r>
        <w:rPr>
          <w:lang w:val="fr-CA"/>
        </w:rPr>
        <w:t xml:space="preserve">PAO de </w:t>
      </w:r>
      <w:r w:rsidRPr="0042639D">
        <w:rPr>
          <w:lang w:val="fr-CA"/>
        </w:rPr>
        <w:t xml:space="preserve">HCFC-22 </w:t>
      </w:r>
      <w:r>
        <w:rPr>
          <w:lang w:val="fr-CA"/>
        </w:rPr>
        <w:t>de la consommation restante de</w:t>
      </w:r>
      <w:r w:rsidRPr="0042639D">
        <w:rPr>
          <w:lang w:val="fr-CA"/>
        </w:rPr>
        <w:t xml:space="preserve"> HCFC </w:t>
      </w:r>
      <w:r>
        <w:rPr>
          <w:lang w:val="fr-CA"/>
        </w:rPr>
        <w:t>admissible au financement</w:t>
      </w:r>
      <w:r w:rsidRPr="0042639D">
        <w:rPr>
          <w:lang w:val="fr-CA"/>
        </w:rPr>
        <w:t xml:space="preserve">. </w:t>
      </w:r>
    </w:p>
    <w:p w14:paraId="6F42AD21" w14:textId="77777777" w:rsidR="006345CD" w:rsidRPr="0042639D" w:rsidRDefault="006345CD" w:rsidP="006345CD">
      <w:pPr>
        <w:rPr>
          <w:i/>
          <w:iCs/>
          <w:lang w:val="fr-CA"/>
        </w:rPr>
      </w:pPr>
      <w:r w:rsidRPr="0042639D">
        <w:rPr>
          <w:i/>
          <w:iCs/>
          <w:lang w:val="fr-CA"/>
        </w:rPr>
        <w:t xml:space="preserve">Assistance </w:t>
      </w:r>
      <w:r>
        <w:rPr>
          <w:i/>
          <w:iCs/>
          <w:lang w:val="fr-CA"/>
        </w:rPr>
        <w:t>technique et UMS</w:t>
      </w:r>
    </w:p>
    <w:p w14:paraId="6BF8CEB6" w14:textId="77777777" w:rsidR="006345CD" w:rsidRPr="0042639D" w:rsidRDefault="006345CD" w:rsidP="006345CD">
      <w:pPr>
        <w:rPr>
          <w:lang w:val="fr-CA"/>
        </w:rPr>
      </w:pPr>
    </w:p>
    <w:p w14:paraId="431F1979" w14:textId="15CB5496" w:rsidR="006345CD" w:rsidRPr="0042639D" w:rsidRDefault="006345CD" w:rsidP="006345CD">
      <w:pPr>
        <w:pStyle w:val="Heading1"/>
        <w:numPr>
          <w:ilvl w:val="0"/>
          <w:numId w:val="30"/>
        </w:numPr>
        <w:rPr>
          <w:lang w:val="fr-CA"/>
        </w:rPr>
      </w:pPr>
      <w:r>
        <w:rPr>
          <w:lang w:val="fr-CA"/>
        </w:rPr>
        <w:t>L</w:t>
      </w:r>
      <w:r w:rsidRPr="0042639D">
        <w:rPr>
          <w:lang w:val="fr-CA"/>
        </w:rPr>
        <w:t xml:space="preserve">e </w:t>
      </w:r>
      <w:proofErr w:type="gramStart"/>
      <w:r>
        <w:rPr>
          <w:lang w:val="fr-CA"/>
        </w:rPr>
        <w:t xml:space="preserve">Secrétariat </w:t>
      </w:r>
      <w:r w:rsidRPr="0042639D">
        <w:rPr>
          <w:lang w:val="fr-CA"/>
        </w:rPr>
        <w:t xml:space="preserve"> </w:t>
      </w:r>
      <w:r>
        <w:rPr>
          <w:lang w:val="fr-CA"/>
        </w:rPr>
        <w:t>a</w:t>
      </w:r>
      <w:proofErr w:type="gramEnd"/>
      <w:r>
        <w:rPr>
          <w:lang w:val="fr-CA"/>
        </w:rPr>
        <w:t xml:space="preserve"> rappelé qu’à sa </w:t>
      </w:r>
      <w:r w:rsidRPr="0042639D">
        <w:rPr>
          <w:lang w:val="fr-CA"/>
        </w:rPr>
        <w:t>76</w:t>
      </w:r>
      <w:r>
        <w:rPr>
          <w:vertAlign w:val="superscript"/>
          <w:lang w:val="fr-CA"/>
        </w:rPr>
        <w:t>e</w:t>
      </w:r>
      <w:r w:rsidRPr="0042639D">
        <w:rPr>
          <w:lang w:val="fr-CA"/>
        </w:rPr>
        <w:t xml:space="preserve"> réunion, </w:t>
      </w:r>
      <w:r>
        <w:rPr>
          <w:lang w:val="fr-CA"/>
        </w:rPr>
        <w:t>le Comité</w:t>
      </w:r>
      <w:r w:rsidRPr="0042639D">
        <w:rPr>
          <w:lang w:val="fr-CA"/>
        </w:rPr>
        <w:t xml:space="preserve"> exécutif </w:t>
      </w:r>
      <w:r>
        <w:rPr>
          <w:lang w:val="fr-CA"/>
        </w:rPr>
        <w:t>était convenu de financer l’AT et l’UMS</w:t>
      </w:r>
      <w:r w:rsidRPr="0042639D">
        <w:rPr>
          <w:lang w:val="fr-CA"/>
        </w:rPr>
        <w:t xml:space="preserve"> </w:t>
      </w:r>
      <w:r>
        <w:rPr>
          <w:lang w:val="fr-CA"/>
        </w:rPr>
        <w:t xml:space="preserve">à un niveau de </w:t>
      </w:r>
      <w:r w:rsidRPr="0042639D">
        <w:rPr>
          <w:lang w:val="fr-CA"/>
        </w:rPr>
        <w:t>8</w:t>
      </w:r>
      <w:r>
        <w:rPr>
          <w:lang w:val="fr-CA"/>
        </w:rPr>
        <w:t xml:space="preserve"> % du financement approuvé pour la </w:t>
      </w:r>
      <w:r w:rsidRPr="0042639D">
        <w:rPr>
          <w:lang w:val="fr-CA"/>
        </w:rPr>
        <w:t xml:space="preserve">phase II; </w:t>
      </w:r>
      <w:r>
        <w:rPr>
          <w:lang w:val="fr-CA"/>
        </w:rPr>
        <w:t>aucune ré</w:t>
      </w:r>
      <w:r w:rsidRPr="0042639D">
        <w:rPr>
          <w:lang w:val="fr-CA"/>
        </w:rPr>
        <w:t xml:space="preserve">duction </w:t>
      </w:r>
      <w:r>
        <w:rPr>
          <w:lang w:val="fr-CA"/>
        </w:rPr>
        <w:t xml:space="preserve">de la consommation restante de </w:t>
      </w:r>
      <w:r w:rsidRPr="0042639D">
        <w:rPr>
          <w:lang w:val="fr-CA"/>
        </w:rPr>
        <w:t xml:space="preserve">HCFC </w:t>
      </w:r>
      <w:r>
        <w:rPr>
          <w:lang w:val="fr-CA"/>
        </w:rPr>
        <w:t>admissible au financement n’était liée à un tel financement</w:t>
      </w:r>
      <w:r w:rsidRPr="0042639D">
        <w:rPr>
          <w:lang w:val="fr-CA"/>
        </w:rPr>
        <w:t xml:space="preserve">. </w:t>
      </w:r>
      <w:r>
        <w:rPr>
          <w:lang w:val="fr-CA"/>
        </w:rPr>
        <w:t xml:space="preserve">Le </w:t>
      </w:r>
      <w:proofErr w:type="gramStart"/>
      <w:r>
        <w:rPr>
          <w:lang w:val="fr-CA"/>
        </w:rPr>
        <w:t xml:space="preserve">Secrétariat </w:t>
      </w:r>
      <w:r w:rsidRPr="0042639D">
        <w:rPr>
          <w:lang w:val="fr-CA"/>
        </w:rPr>
        <w:t xml:space="preserve"> </w:t>
      </w:r>
      <w:r>
        <w:rPr>
          <w:lang w:val="fr-CA"/>
        </w:rPr>
        <w:t>a</w:t>
      </w:r>
      <w:proofErr w:type="gramEnd"/>
      <w:r>
        <w:rPr>
          <w:lang w:val="fr-CA"/>
        </w:rPr>
        <w:t xml:space="preserve"> noté que la proposition soumise par la </w:t>
      </w:r>
      <w:r w:rsidRPr="0042639D">
        <w:rPr>
          <w:lang w:val="fr-CA"/>
        </w:rPr>
        <w:t>Banque Mondiale inclu</w:t>
      </w:r>
      <w:r>
        <w:rPr>
          <w:lang w:val="fr-CA"/>
        </w:rPr>
        <w:t>ait un financement pour l’AT et l’UMS</w:t>
      </w:r>
      <w:r w:rsidRPr="0042639D">
        <w:rPr>
          <w:lang w:val="fr-CA"/>
        </w:rPr>
        <w:t xml:space="preserve"> </w:t>
      </w:r>
      <w:r>
        <w:rPr>
          <w:lang w:val="fr-CA"/>
        </w:rPr>
        <w:t xml:space="preserve">qui n’était pas lié à une réduction de la consommation restante de </w:t>
      </w:r>
      <w:r w:rsidRPr="0042639D">
        <w:rPr>
          <w:lang w:val="fr-CA"/>
        </w:rPr>
        <w:t xml:space="preserve">HCFC </w:t>
      </w:r>
      <w:r>
        <w:rPr>
          <w:lang w:val="fr-CA"/>
        </w:rPr>
        <w:t xml:space="preserve">admissible au financement équivalente à </w:t>
      </w:r>
      <w:r w:rsidRPr="0042639D">
        <w:rPr>
          <w:lang w:val="fr-CA"/>
        </w:rPr>
        <w:t>16</w:t>
      </w:r>
      <w:r>
        <w:rPr>
          <w:lang w:val="fr-CA"/>
        </w:rPr>
        <w:t>,</w:t>
      </w:r>
      <w:r w:rsidRPr="0042639D">
        <w:rPr>
          <w:lang w:val="fr-CA"/>
        </w:rPr>
        <w:t>9</w:t>
      </w:r>
      <w:r>
        <w:rPr>
          <w:lang w:val="fr-CA"/>
        </w:rPr>
        <w:t xml:space="preserve"> % du financement du </w:t>
      </w:r>
      <w:r w:rsidRPr="0042639D">
        <w:rPr>
          <w:lang w:val="fr-CA"/>
        </w:rPr>
        <w:t xml:space="preserve">projet </w:t>
      </w:r>
      <w:r>
        <w:rPr>
          <w:lang w:val="fr-CA"/>
        </w:rPr>
        <w:t>révisé</w:t>
      </w:r>
      <w:r w:rsidRPr="0042639D">
        <w:rPr>
          <w:lang w:val="fr-CA"/>
        </w:rPr>
        <w:t xml:space="preserve">. </w:t>
      </w:r>
      <w:r>
        <w:rPr>
          <w:lang w:val="fr-CA"/>
        </w:rPr>
        <w:t xml:space="preserve">Sachant que les principales modifications apportées à la </w:t>
      </w:r>
      <w:r w:rsidRPr="0042639D">
        <w:rPr>
          <w:lang w:val="fr-CA"/>
        </w:rPr>
        <w:t xml:space="preserve">phase II </w:t>
      </w:r>
      <w:r>
        <w:rPr>
          <w:lang w:val="fr-CA"/>
        </w:rPr>
        <w:t>du</w:t>
      </w:r>
      <w:r w:rsidRPr="0042639D">
        <w:rPr>
          <w:lang w:val="fr-CA"/>
        </w:rPr>
        <w:t xml:space="preserve"> PGEH </w:t>
      </w:r>
      <w:r>
        <w:rPr>
          <w:lang w:val="fr-CA"/>
        </w:rPr>
        <w:t xml:space="preserve">incluaient le retrait du secteur de la fabrication de mousse </w:t>
      </w:r>
      <w:r w:rsidR="0026119A">
        <w:rPr>
          <w:lang w:val="fr-CA"/>
        </w:rPr>
        <w:t>de polystyrène extrudé</w:t>
      </w:r>
      <w:r w:rsidRPr="0042639D">
        <w:rPr>
          <w:lang w:val="fr-CA"/>
        </w:rPr>
        <w:t xml:space="preserve"> </w:t>
      </w:r>
      <w:r>
        <w:rPr>
          <w:lang w:val="fr-CA"/>
        </w:rPr>
        <w:t>et le retrait des entreprise</w:t>
      </w:r>
      <w:r w:rsidRPr="0042639D">
        <w:rPr>
          <w:lang w:val="fr-CA"/>
        </w:rPr>
        <w:t xml:space="preserve">s </w:t>
      </w:r>
      <w:r>
        <w:rPr>
          <w:lang w:val="fr-CA"/>
        </w:rPr>
        <w:t>de mousse</w:t>
      </w:r>
      <w:r w:rsidRPr="0042639D">
        <w:rPr>
          <w:lang w:val="fr-CA"/>
        </w:rPr>
        <w:t xml:space="preserve"> PU, </w:t>
      </w:r>
      <w:r>
        <w:rPr>
          <w:lang w:val="fr-CA"/>
        </w:rPr>
        <w:t xml:space="preserve">des secteurs de la fabrication d’appareils </w:t>
      </w:r>
      <w:r w:rsidRPr="0042639D">
        <w:rPr>
          <w:lang w:val="fr-CA"/>
        </w:rPr>
        <w:t>AC</w:t>
      </w:r>
      <w:r>
        <w:rPr>
          <w:lang w:val="fr-CA"/>
        </w:rPr>
        <w:t xml:space="preserve"> et de </w:t>
      </w:r>
      <w:r w:rsidRPr="0042639D">
        <w:rPr>
          <w:lang w:val="fr-CA"/>
        </w:rPr>
        <w:t>réfrigération, a</w:t>
      </w:r>
      <w:r>
        <w:rPr>
          <w:lang w:val="fr-CA"/>
        </w:rPr>
        <w:t>in</w:t>
      </w:r>
      <w:r w:rsidRPr="0042639D">
        <w:rPr>
          <w:lang w:val="fr-CA"/>
        </w:rPr>
        <w:t>s</w:t>
      </w:r>
      <w:r>
        <w:rPr>
          <w:lang w:val="fr-CA"/>
        </w:rPr>
        <w:t>i</w:t>
      </w:r>
      <w:r w:rsidRPr="0042639D">
        <w:rPr>
          <w:lang w:val="fr-CA"/>
        </w:rPr>
        <w:t xml:space="preserve"> </w:t>
      </w:r>
      <w:r>
        <w:rPr>
          <w:lang w:val="fr-CA"/>
        </w:rPr>
        <w:t xml:space="preserve">que la </w:t>
      </w:r>
      <w:r w:rsidRPr="0042639D">
        <w:rPr>
          <w:lang w:val="fr-CA"/>
        </w:rPr>
        <w:t xml:space="preserve">simplification </w:t>
      </w:r>
      <w:r>
        <w:rPr>
          <w:lang w:val="fr-CA"/>
        </w:rPr>
        <w:t xml:space="preserve">de la mise en œuvre du secteur de mousse </w:t>
      </w:r>
      <w:r w:rsidRPr="0042639D">
        <w:rPr>
          <w:lang w:val="fr-CA"/>
        </w:rPr>
        <w:t xml:space="preserve">PU </w:t>
      </w:r>
      <w:r>
        <w:rPr>
          <w:lang w:val="fr-CA"/>
        </w:rPr>
        <w:t>par l’intermédiaire des maisons de mélange plutôt que de travailler directement avec un grand nombre de PME</w:t>
      </w:r>
      <w:r w:rsidRPr="0042639D">
        <w:rPr>
          <w:lang w:val="fr-CA"/>
        </w:rPr>
        <w:t xml:space="preserve">, </w:t>
      </w:r>
      <w:r>
        <w:rPr>
          <w:lang w:val="fr-CA"/>
        </w:rPr>
        <w:t>il était prévu que les besoins d’AT et des UMS</w:t>
      </w:r>
      <w:r w:rsidRPr="0042639D">
        <w:rPr>
          <w:lang w:val="fr-CA"/>
        </w:rPr>
        <w:t xml:space="preserve"> </w:t>
      </w:r>
      <w:r>
        <w:rPr>
          <w:lang w:val="fr-CA"/>
        </w:rPr>
        <w:t>ont également changé</w:t>
      </w:r>
      <w:r w:rsidRPr="0042639D">
        <w:rPr>
          <w:lang w:val="fr-CA"/>
        </w:rPr>
        <w:t xml:space="preserve">. </w:t>
      </w:r>
      <w:r>
        <w:rPr>
          <w:lang w:val="fr-CA"/>
        </w:rPr>
        <w:t xml:space="preserve">Afin d’appuyer les activités restantes en attendant l’achèvement de la </w:t>
      </w:r>
      <w:r w:rsidRPr="0042639D">
        <w:rPr>
          <w:lang w:val="fr-CA"/>
        </w:rPr>
        <w:t xml:space="preserve">phase II </w:t>
      </w:r>
      <w:r>
        <w:rPr>
          <w:lang w:val="fr-CA"/>
        </w:rPr>
        <w:t>à la lumière de la baisse du financement demandé, le Secrétariat a proposé d’augmenter de 8.0 % à 9.5 % la part de financement de l’AT et de l’UMS</w:t>
      </w:r>
      <w:r w:rsidRPr="0042639D">
        <w:rPr>
          <w:lang w:val="fr-CA"/>
        </w:rPr>
        <w:t xml:space="preserve"> </w:t>
      </w:r>
      <w:r>
        <w:rPr>
          <w:lang w:val="fr-CA"/>
        </w:rPr>
        <w:t xml:space="preserve">pour laquelle aucune </w:t>
      </w:r>
      <w:r w:rsidRPr="0042639D">
        <w:rPr>
          <w:lang w:val="fr-CA"/>
        </w:rPr>
        <w:t>réduction</w:t>
      </w:r>
      <w:r>
        <w:rPr>
          <w:lang w:val="fr-CA"/>
        </w:rPr>
        <w:t xml:space="preserve"> de la consommation restante de HCFC admissible au financement ne serait considérée, avec pour résultat un financement de </w:t>
      </w:r>
      <w:r w:rsidRPr="0042639D">
        <w:rPr>
          <w:lang w:val="fr-CA"/>
        </w:rPr>
        <w:t>591</w:t>
      </w:r>
      <w:r>
        <w:rPr>
          <w:lang w:val="fr-CA"/>
        </w:rPr>
        <w:t> </w:t>
      </w:r>
      <w:r w:rsidRPr="0042639D">
        <w:rPr>
          <w:lang w:val="fr-CA"/>
        </w:rPr>
        <w:t>144</w:t>
      </w:r>
      <w:r>
        <w:rPr>
          <w:lang w:val="fr-CA"/>
        </w:rPr>
        <w:t xml:space="preserve"> $US, comme l’indique le </w:t>
      </w:r>
      <w:r w:rsidRPr="0042639D">
        <w:rPr>
          <w:lang w:val="fr-CA"/>
        </w:rPr>
        <w:t>Tableau 14.</w:t>
      </w:r>
    </w:p>
    <w:p w14:paraId="1B210C74" w14:textId="77777777" w:rsidR="006345CD" w:rsidRDefault="006345CD" w:rsidP="006345CD">
      <w:pPr>
        <w:rPr>
          <w:b/>
          <w:lang w:val="fr-CA"/>
        </w:rPr>
      </w:pPr>
    </w:p>
    <w:p w14:paraId="5DE77B48" w14:textId="77777777" w:rsidR="006345CD" w:rsidRDefault="006345CD" w:rsidP="006345CD">
      <w:pPr>
        <w:rPr>
          <w:b/>
          <w:lang w:val="fr-CA"/>
        </w:rPr>
      </w:pPr>
    </w:p>
    <w:p w14:paraId="14715B64" w14:textId="77777777" w:rsidR="006345CD" w:rsidRDefault="006345CD" w:rsidP="006345CD">
      <w:pPr>
        <w:rPr>
          <w:b/>
          <w:lang w:val="fr-CA"/>
        </w:rPr>
      </w:pPr>
    </w:p>
    <w:p w14:paraId="5BCBC3D3" w14:textId="77777777" w:rsidR="006345CD" w:rsidRDefault="006345CD" w:rsidP="006345CD">
      <w:pPr>
        <w:rPr>
          <w:b/>
          <w:lang w:val="fr-CA"/>
        </w:rPr>
      </w:pPr>
    </w:p>
    <w:p w14:paraId="33244DD8" w14:textId="77777777" w:rsidR="006345CD" w:rsidRPr="0042639D" w:rsidRDefault="006345CD" w:rsidP="006345CD">
      <w:pPr>
        <w:rPr>
          <w:b/>
          <w:lang w:val="fr-CA"/>
        </w:rPr>
      </w:pPr>
      <w:r w:rsidRPr="0042639D">
        <w:rPr>
          <w:b/>
          <w:lang w:val="fr-CA"/>
        </w:rPr>
        <w:t xml:space="preserve">Tableau 14. </w:t>
      </w:r>
      <w:r>
        <w:rPr>
          <w:b/>
          <w:lang w:val="fr-CA"/>
        </w:rPr>
        <w:t xml:space="preserve">Financement proposé pour la </w:t>
      </w:r>
      <w:r w:rsidRPr="0042639D">
        <w:rPr>
          <w:b/>
          <w:lang w:val="fr-CA"/>
        </w:rPr>
        <w:t xml:space="preserve">phase II </w:t>
      </w:r>
      <w:r>
        <w:rPr>
          <w:b/>
          <w:lang w:val="fr-CA"/>
        </w:rPr>
        <w:t xml:space="preserve">révisée du </w:t>
      </w:r>
      <w:r w:rsidRPr="0042639D">
        <w:rPr>
          <w:b/>
          <w:lang w:val="fr-CA"/>
        </w:rPr>
        <w:t xml:space="preserve">PGEH </w:t>
      </w:r>
      <w:r>
        <w:rPr>
          <w:b/>
          <w:lang w:val="fr-CA"/>
        </w:rPr>
        <w:t>pour le</w:t>
      </w:r>
      <w:r w:rsidRPr="0042639D">
        <w:rPr>
          <w:b/>
          <w:lang w:val="fr-CA"/>
        </w:rPr>
        <w:t xml:space="preserve"> Viet Nam (</w:t>
      </w:r>
      <w:r>
        <w:rPr>
          <w:b/>
          <w:lang w:val="fr-CA"/>
        </w:rPr>
        <w:t>$US</w:t>
      </w:r>
      <w:r w:rsidRPr="0042639D">
        <w:rPr>
          <w:b/>
          <w:lang w:val="fr-CA"/>
        </w:rPr>
        <w:t>)</w:t>
      </w:r>
    </w:p>
    <w:tbl>
      <w:tblPr>
        <w:tblW w:w="5000" w:type="pct"/>
        <w:tblLook w:val="04A0" w:firstRow="1" w:lastRow="0" w:firstColumn="1" w:lastColumn="0" w:noHBand="0" w:noVBand="1"/>
      </w:tblPr>
      <w:tblGrid>
        <w:gridCol w:w="3848"/>
        <w:gridCol w:w="1779"/>
        <w:gridCol w:w="1880"/>
        <w:gridCol w:w="1843"/>
      </w:tblGrid>
      <w:tr w:rsidR="006345CD" w:rsidRPr="0042639D" w14:paraId="2D3454B6" w14:textId="77777777" w:rsidTr="006023A6">
        <w:trPr>
          <w:trHeight w:val="187"/>
          <w:tblHeader/>
        </w:trPr>
        <w:tc>
          <w:tcPr>
            <w:tcW w:w="1975" w:type="pct"/>
            <w:tcBorders>
              <w:top w:val="single" w:sz="4" w:space="0" w:color="auto"/>
              <w:left w:val="single" w:sz="4" w:space="0" w:color="auto"/>
              <w:bottom w:val="single" w:sz="4" w:space="0" w:color="auto"/>
              <w:right w:val="single" w:sz="4" w:space="0" w:color="auto"/>
            </w:tcBorders>
            <w:noWrap/>
            <w:vAlign w:val="center"/>
            <w:hideMark/>
          </w:tcPr>
          <w:p w14:paraId="12CB294B" w14:textId="77777777" w:rsidR="006345CD" w:rsidRPr="0042639D" w:rsidRDefault="006345CD" w:rsidP="006023A6">
            <w:pPr>
              <w:jc w:val="center"/>
              <w:rPr>
                <w:b/>
                <w:bCs/>
                <w:color w:val="000000"/>
                <w:sz w:val="20"/>
                <w:szCs w:val="20"/>
                <w:lang w:val="fr-CA" w:eastAsia="en-CA"/>
              </w:rPr>
            </w:pPr>
            <w:r>
              <w:rPr>
                <w:b/>
                <w:bCs/>
                <w:color w:val="000000"/>
                <w:sz w:val="20"/>
                <w:szCs w:val="20"/>
                <w:lang w:val="fr-CA" w:eastAsia="en-CA"/>
              </w:rPr>
              <w:t>Secteur</w:t>
            </w:r>
          </w:p>
        </w:tc>
        <w:tc>
          <w:tcPr>
            <w:tcW w:w="979" w:type="pct"/>
            <w:tcBorders>
              <w:top w:val="single" w:sz="4" w:space="0" w:color="auto"/>
              <w:left w:val="nil"/>
              <w:bottom w:val="single" w:sz="4" w:space="0" w:color="auto"/>
              <w:right w:val="single" w:sz="4" w:space="0" w:color="auto"/>
            </w:tcBorders>
            <w:vAlign w:val="center"/>
            <w:hideMark/>
          </w:tcPr>
          <w:p w14:paraId="16FBE336" w14:textId="77777777" w:rsidR="006345CD" w:rsidRPr="0042639D" w:rsidRDefault="006345CD" w:rsidP="006023A6">
            <w:pPr>
              <w:jc w:val="center"/>
              <w:rPr>
                <w:b/>
                <w:bCs/>
                <w:color w:val="000000"/>
                <w:sz w:val="20"/>
                <w:szCs w:val="20"/>
                <w:lang w:val="fr-CA" w:eastAsia="en-CA"/>
              </w:rPr>
            </w:pPr>
            <w:r>
              <w:rPr>
                <w:b/>
                <w:bCs/>
                <w:color w:val="000000"/>
                <w:sz w:val="20"/>
                <w:szCs w:val="20"/>
                <w:lang w:val="fr-CA" w:eastAsia="en-CA"/>
              </w:rPr>
              <w:t>Financement approuvé</w:t>
            </w:r>
          </w:p>
        </w:tc>
        <w:tc>
          <w:tcPr>
            <w:tcW w:w="1033" w:type="pct"/>
            <w:tcBorders>
              <w:top w:val="single" w:sz="4" w:space="0" w:color="auto"/>
              <w:left w:val="nil"/>
              <w:bottom w:val="single" w:sz="4" w:space="0" w:color="auto"/>
              <w:right w:val="single" w:sz="4" w:space="0" w:color="auto"/>
            </w:tcBorders>
            <w:noWrap/>
            <w:vAlign w:val="center"/>
            <w:hideMark/>
          </w:tcPr>
          <w:p w14:paraId="58485499" w14:textId="77777777" w:rsidR="006345CD" w:rsidRPr="0042639D" w:rsidRDefault="006345CD" w:rsidP="006023A6">
            <w:pPr>
              <w:jc w:val="center"/>
              <w:rPr>
                <w:b/>
                <w:bCs/>
                <w:color w:val="000000"/>
                <w:sz w:val="20"/>
                <w:szCs w:val="20"/>
                <w:lang w:val="fr-CA" w:eastAsia="en-CA"/>
              </w:rPr>
            </w:pPr>
            <w:r w:rsidRPr="0042639D">
              <w:rPr>
                <w:b/>
                <w:bCs/>
                <w:color w:val="000000"/>
                <w:sz w:val="20"/>
                <w:szCs w:val="20"/>
                <w:lang w:val="fr-CA" w:eastAsia="en-CA"/>
              </w:rPr>
              <w:t>Banque Mondiale</w:t>
            </w:r>
          </w:p>
        </w:tc>
        <w:tc>
          <w:tcPr>
            <w:tcW w:w="1013" w:type="pct"/>
            <w:tcBorders>
              <w:top w:val="single" w:sz="4" w:space="0" w:color="auto"/>
              <w:left w:val="nil"/>
              <w:bottom w:val="single" w:sz="4" w:space="0" w:color="auto"/>
              <w:right w:val="single" w:sz="4" w:space="0" w:color="auto"/>
            </w:tcBorders>
            <w:noWrap/>
            <w:vAlign w:val="center"/>
            <w:hideMark/>
          </w:tcPr>
          <w:p w14:paraId="69E26472" w14:textId="77777777" w:rsidR="006345CD" w:rsidRPr="0042639D" w:rsidRDefault="006345CD" w:rsidP="006023A6">
            <w:pPr>
              <w:jc w:val="center"/>
              <w:rPr>
                <w:b/>
                <w:bCs/>
                <w:color w:val="000000"/>
                <w:sz w:val="20"/>
                <w:szCs w:val="20"/>
                <w:lang w:val="fr-CA" w:eastAsia="en-CA"/>
              </w:rPr>
            </w:pPr>
            <w:r>
              <w:rPr>
                <w:b/>
                <w:bCs/>
                <w:color w:val="000000"/>
                <w:sz w:val="20"/>
                <w:szCs w:val="20"/>
                <w:lang w:val="fr-CA" w:eastAsia="en-CA"/>
              </w:rPr>
              <w:t xml:space="preserve">Secrétariat </w:t>
            </w:r>
          </w:p>
        </w:tc>
      </w:tr>
      <w:tr w:rsidR="006345CD" w:rsidRPr="0042639D" w14:paraId="3462D962"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4BA2A827"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 xml:space="preserve">Fabrication d’appareils </w:t>
            </w:r>
            <w:r w:rsidRPr="0042639D">
              <w:rPr>
                <w:bCs/>
                <w:color w:val="000000"/>
                <w:sz w:val="20"/>
                <w:szCs w:val="20"/>
                <w:lang w:val="fr-CA" w:eastAsia="en-CA"/>
              </w:rPr>
              <w:t>AC</w:t>
            </w:r>
          </w:p>
        </w:tc>
        <w:tc>
          <w:tcPr>
            <w:tcW w:w="979" w:type="pct"/>
            <w:tcBorders>
              <w:top w:val="nil"/>
              <w:left w:val="nil"/>
              <w:bottom w:val="single" w:sz="4" w:space="0" w:color="auto"/>
              <w:right w:val="single" w:sz="4" w:space="0" w:color="auto"/>
            </w:tcBorders>
            <w:noWrap/>
            <w:vAlign w:val="center"/>
            <w:hideMark/>
          </w:tcPr>
          <w:p w14:paraId="3A19B86F"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184</w:t>
            </w:r>
            <w:r>
              <w:rPr>
                <w:color w:val="000000"/>
                <w:sz w:val="20"/>
                <w:szCs w:val="20"/>
                <w:lang w:val="fr-CA" w:eastAsia="en-CA"/>
              </w:rPr>
              <w:t> </w:t>
            </w:r>
            <w:r w:rsidRPr="0042639D">
              <w:rPr>
                <w:color w:val="000000"/>
                <w:sz w:val="20"/>
                <w:szCs w:val="20"/>
                <w:lang w:val="fr-CA" w:eastAsia="en-CA"/>
              </w:rPr>
              <w:t>867</w:t>
            </w:r>
          </w:p>
        </w:tc>
        <w:tc>
          <w:tcPr>
            <w:tcW w:w="1033" w:type="pct"/>
            <w:tcBorders>
              <w:top w:val="nil"/>
              <w:left w:val="nil"/>
              <w:bottom w:val="single" w:sz="4" w:space="0" w:color="auto"/>
              <w:right w:val="single" w:sz="4" w:space="0" w:color="auto"/>
            </w:tcBorders>
            <w:noWrap/>
            <w:vAlign w:val="center"/>
            <w:hideMark/>
          </w:tcPr>
          <w:p w14:paraId="07C5531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618</w:t>
            </w:r>
            <w:r>
              <w:rPr>
                <w:color w:val="000000"/>
                <w:sz w:val="20"/>
                <w:szCs w:val="20"/>
                <w:lang w:val="fr-CA" w:eastAsia="en-CA"/>
              </w:rPr>
              <w:t> </w:t>
            </w:r>
            <w:r w:rsidRPr="0042639D">
              <w:rPr>
                <w:color w:val="000000"/>
                <w:sz w:val="20"/>
                <w:szCs w:val="20"/>
                <w:lang w:val="fr-CA" w:eastAsia="en-CA"/>
              </w:rPr>
              <w:t>412</w:t>
            </w:r>
          </w:p>
        </w:tc>
        <w:tc>
          <w:tcPr>
            <w:tcW w:w="1013" w:type="pct"/>
            <w:tcBorders>
              <w:top w:val="nil"/>
              <w:left w:val="nil"/>
              <w:bottom w:val="single" w:sz="4" w:space="0" w:color="auto"/>
              <w:right w:val="single" w:sz="4" w:space="0" w:color="auto"/>
            </w:tcBorders>
            <w:vAlign w:val="center"/>
            <w:hideMark/>
          </w:tcPr>
          <w:p w14:paraId="381262B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554</w:t>
            </w:r>
            <w:r>
              <w:rPr>
                <w:color w:val="000000"/>
                <w:sz w:val="20"/>
                <w:szCs w:val="20"/>
                <w:lang w:val="fr-CA" w:eastAsia="en-CA"/>
              </w:rPr>
              <w:t> </w:t>
            </w:r>
            <w:r w:rsidRPr="0042639D">
              <w:rPr>
                <w:color w:val="000000"/>
                <w:sz w:val="20"/>
                <w:szCs w:val="20"/>
                <w:lang w:val="fr-CA" w:eastAsia="en-CA"/>
              </w:rPr>
              <w:t>612</w:t>
            </w:r>
          </w:p>
        </w:tc>
      </w:tr>
      <w:tr w:rsidR="006345CD" w:rsidRPr="0042639D" w14:paraId="163D95EE"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4F3A4D95" w14:textId="703AA078" w:rsidR="006345CD" w:rsidRPr="0042639D" w:rsidRDefault="006345CD" w:rsidP="0026119A">
            <w:pPr>
              <w:jc w:val="left"/>
              <w:rPr>
                <w:color w:val="000000"/>
                <w:sz w:val="20"/>
                <w:szCs w:val="20"/>
                <w:lang w:val="fr-CA" w:eastAsia="en-CA"/>
              </w:rPr>
            </w:pPr>
            <w:r>
              <w:rPr>
                <w:color w:val="000000"/>
                <w:sz w:val="20"/>
                <w:szCs w:val="20"/>
                <w:lang w:val="fr-CA" w:eastAsia="en-CA"/>
              </w:rPr>
              <w:t xml:space="preserve">Fabrication de mousse </w:t>
            </w:r>
            <w:r w:rsidR="0026119A">
              <w:rPr>
                <w:color w:val="000000"/>
                <w:sz w:val="20"/>
                <w:szCs w:val="20"/>
                <w:lang w:val="fr-CA" w:eastAsia="en-CA"/>
              </w:rPr>
              <w:t>de polystyrène extrudé</w:t>
            </w:r>
          </w:p>
        </w:tc>
        <w:tc>
          <w:tcPr>
            <w:tcW w:w="979" w:type="pct"/>
            <w:tcBorders>
              <w:top w:val="nil"/>
              <w:left w:val="nil"/>
              <w:bottom w:val="single" w:sz="4" w:space="0" w:color="auto"/>
              <w:right w:val="single" w:sz="4" w:space="0" w:color="auto"/>
            </w:tcBorders>
            <w:noWrap/>
            <w:vAlign w:val="center"/>
            <w:hideMark/>
          </w:tcPr>
          <w:p w14:paraId="0ABF23D3"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613</w:t>
            </w:r>
            <w:r>
              <w:rPr>
                <w:color w:val="000000"/>
                <w:sz w:val="20"/>
                <w:szCs w:val="20"/>
                <w:lang w:val="fr-CA" w:eastAsia="en-CA"/>
              </w:rPr>
              <w:t> </w:t>
            </w:r>
            <w:r w:rsidRPr="0042639D">
              <w:rPr>
                <w:color w:val="000000"/>
                <w:sz w:val="20"/>
                <w:szCs w:val="20"/>
                <w:lang w:val="fr-CA" w:eastAsia="en-CA"/>
              </w:rPr>
              <w:t>568</w:t>
            </w:r>
          </w:p>
        </w:tc>
        <w:tc>
          <w:tcPr>
            <w:tcW w:w="1033" w:type="pct"/>
            <w:tcBorders>
              <w:top w:val="nil"/>
              <w:left w:val="nil"/>
              <w:bottom w:val="single" w:sz="4" w:space="0" w:color="auto"/>
              <w:right w:val="single" w:sz="4" w:space="0" w:color="auto"/>
            </w:tcBorders>
            <w:noWrap/>
            <w:vAlign w:val="center"/>
            <w:hideMark/>
          </w:tcPr>
          <w:p w14:paraId="61CE0F32"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0</w:t>
            </w:r>
          </w:p>
        </w:tc>
        <w:tc>
          <w:tcPr>
            <w:tcW w:w="1013" w:type="pct"/>
            <w:tcBorders>
              <w:top w:val="nil"/>
              <w:left w:val="nil"/>
              <w:bottom w:val="single" w:sz="4" w:space="0" w:color="auto"/>
              <w:right w:val="single" w:sz="4" w:space="0" w:color="auto"/>
            </w:tcBorders>
            <w:vAlign w:val="center"/>
            <w:hideMark/>
          </w:tcPr>
          <w:p w14:paraId="3929DE2F"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0</w:t>
            </w:r>
          </w:p>
        </w:tc>
      </w:tr>
      <w:tr w:rsidR="006345CD" w:rsidRPr="0042639D" w14:paraId="0E1DD2E3"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53AD91AB" w14:textId="77777777" w:rsidR="006345CD" w:rsidRPr="0042639D" w:rsidRDefault="006345CD" w:rsidP="006023A6">
            <w:pPr>
              <w:jc w:val="left"/>
              <w:rPr>
                <w:color w:val="000000"/>
                <w:sz w:val="20"/>
                <w:szCs w:val="20"/>
                <w:lang w:val="fr-CA" w:eastAsia="en-CA"/>
              </w:rPr>
            </w:pPr>
            <w:r>
              <w:rPr>
                <w:color w:val="000000"/>
                <w:sz w:val="20"/>
                <w:szCs w:val="20"/>
                <w:lang w:val="fr-CA" w:eastAsia="en-CA"/>
              </w:rPr>
              <w:t xml:space="preserve">Fabrication de mousse </w:t>
            </w:r>
            <w:r w:rsidRPr="0042639D">
              <w:rPr>
                <w:bCs/>
                <w:color w:val="000000"/>
                <w:sz w:val="20"/>
                <w:szCs w:val="20"/>
                <w:lang w:val="fr-CA" w:eastAsia="en-CA"/>
              </w:rPr>
              <w:t xml:space="preserve">PU </w:t>
            </w:r>
          </w:p>
        </w:tc>
        <w:tc>
          <w:tcPr>
            <w:tcW w:w="979" w:type="pct"/>
            <w:tcBorders>
              <w:top w:val="nil"/>
              <w:left w:val="nil"/>
              <w:bottom w:val="single" w:sz="4" w:space="0" w:color="auto"/>
              <w:right w:val="single" w:sz="4" w:space="0" w:color="auto"/>
            </w:tcBorders>
            <w:noWrap/>
            <w:vAlign w:val="center"/>
            <w:hideMark/>
          </w:tcPr>
          <w:p w14:paraId="44BA2E87"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5</w:t>
            </w:r>
            <w:r>
              <w:rPr>
                <w:color w:val="000000"/>
                <w:sz w:val="20"/>
                <w:szCs w:val="20"/>
                <w:lang w:val="fr-CA" w:eastAsia="en-CA"/>
              </w:rPr>
              <w:t> </w:t>
            </w:r>
            <w:r w:rsidRPr="0042639D">
              <w:rPr>
                <w:color w:val="000000"/>
                <w:sz w:val="20"/>
                <w:szCs w:val="20"/>
                <w:lang w:val="fr-CA" w:eastAsia="en-CA"/>
              </w:rPr>
              <w:t>522</w:t>
            </w:r>
            <w:r>
              <w:rPr>
                <w:color w:val="000000"/>
                <w:sz w:val="20"/>
                <w:szCs w:val="20"/>
                <w:lang w:val="fr-CA" w:eastAsia="en-CA"/>
              </w:rPr>
              <w:t> </w:t>
            </w:r>
            <w:r w:rsidRPr="0042639D">
              <w:rPr>
                <w:color w:val="000000"/>
                <w:sz w:val="20"/>
                <w:szCs w:val="20"/>
                <w:lang w:val="fr-CA" w:eastAsia="en-CA"/>
              </w:rPr>
              <w:t>397</w:t>
            </w:r>
          </w:p>
        </w:tc>
        <w:tc>
          <w:tcPr>
            <w:tcW w:w="1033" w:type="pct"/>
            <w:tcBorders>
              <w:top w:val="nil"/>
              <w:left w:val="nil"/>
              <w:bottom w:val="single" w:sz="4" w:space="0" w:color="auto"/>
              <w:right w:val="single" w:sz="4" w:space="0" w:color="auto"/>
            </w:tcBorders>
            <w:noWrap/>
            <w:vAlign w:val="center"/>
            <w:hideMark/>
          </w:tcPr>
          <w:p w14:paraId="3597CFFA"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529</w:t>
            </w:r>
            <w:r>
              <w:rPr>
                <w:color w:val="000000"/>
                <w:sz w:val="20"/>
                <w:szCs w:val="20"/>
                <w:lang w:val="fr-CA" w:eastAsia="en-CA"/>
              </w:rPr>
              <w:t> </w:t>
            </w:r>
            <w:r w:rsidRPr="0042639D">
              <w:rPr>
                <w:color w:val="000000"/>
                <w:sz w:val="20"/>
                <w:szCs w:val="20"/>
                <w:lang w:val="fr-CA" w:eastAsia="en-CA"/>
              </w:rPr>
              <w:t>589</w:t>
            </w:r>
          </w:p>
        </w:tc>
        <w:tc>
          <w:tcPr>
            <w:tcW w:w="1013" w:type="pct"/>
            <w:tcBorders>
              <w:top w:val="nil"/>
              <w:left w:val="nil"/>
              <w:bottom w:val="single" w:sz="4" w:space="0" w:color="auto"/>
              <w:right w:val="single" w:sz="4" w:space="0" w:color="auto"/>
            </w:tcBorders>
            <w:vAlign w:val="center"/>
            <w:hideMark/>
          </w:tcPr>
          <w:p w14:paraId="1C1288FB"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529</w:t>
            </w:r>
            <w:r>
              <w:rPr>
                <w:color w:val="000000"/>
                <w:sz w:val="20"/>
                <w:szCs w:val="20"/>
                <w:lang w:val="fr-CA" w:eastAsia="en-CA"/>
              </w:rPr>
              <w:t> </w:t>
            </w:r>
            <w:r w:rsidRPr="0042639D">
              <w:rPr>
                <w:color w:val="000000"/>
                <w:sz w:val="20"/>
                <w:szCs w:val="20"/>
                <w:lang w:val="fr-CA" w:eastAsia="en-CA"/>
              </w:rPr>
              <w:t>589</w:t>
            </w:r>
          </w:p>
        </w:tc>
      </w:tr>
      <w:tr w:rsidR="006345CD" w:rsidRPr="0042639D" w14:paraId="2A297ECB" w14:textId="77777777" w:rsidTr="006023A6">
        <w:trPr>
          <w:trHeight w:val="187"/>
        </w:trPr>
        <w:tc>
          <w:tcPr>
            <w:tcW w:w="1975" w:type="pct"/>
            <w:tcBorders>
              <w:top w:val="nil"/>
              <w:left w:val="single" w:sz="4" w:space="0" w:color="auto"/>
              <w:bottom w:val="single" w:sz="4" w:space="0" w:color="auto"/>
              <w:right w:val="single" w:sz="4" w:space="0" w:color="auto"/>
            </w:tcBorders>
            <w:noWrap/>
            <w:vAlign w:val="center"/>
            <w:hideMark/>
          </w:tcPr>
          <w:p w14:paraId="29300FCE" w14:textId="77777777" w:rsidR="006345CD" w:rsidRPr="0042639D" w:rsidRDefault="006345CD" w:rsidP="006023A6">
            <w:pPr>
              <w:jc w:val="left"/>
              <w:rPr>
                <w:color w:val="000000"/>
                <w:sz w:val="20"/>
                <w:szCs w:val="20"/>
                <w:lang w:val="fr-CA" w:eastAsia="en-CA"/>
              </w:rPr>
            </w:pPr>
            <w:r>
              <w:rPr>
                <w:color w:val="000000"/>
                <w:sz w:val="20"/>
                <w:szCs w:val="20"/>
                <w:lang w:val="fr-CA" w:eastAsia="en-CA"/>
              </w:rPr>
              <w:t>Fabrication d’appareils de ré</w:t>
            </w:r>
            <w:r w:rsidRPr="0042639D">
              <w:rPr>
                <w:bCs/>
                <w:color w:val="000000"/>
                <w:sz w:val="20"/>
                <w:szCs w:val="20"/>
                <w:lang w:val="fr-CA" w:eastAsia="en-CA"/>
              </w:rPr>
              <w:t>frig</w:t>
            </w:r>
            <w:r>
              <w:rPr>
                <w:bCs/>
                <w:color w:val="000000"/>
                <w:sz w:val="20"/>
                <w:szCs w:val="20"/>
                <w:lang w:val="fr-CA" w:eastAsia="en-CA"/>
              </w:rPr>
              <w:t>é</w:t>
            </w:r>
            <w:r w:rsidRPr="0042639D">
              <w:rPr>
                <w:bCs/>
                <w:color w:val="000000"/>
                <w:sz w:val="20"/>
                <w:szCs w:val="20"/>
                <w:lang w:val="fr-CA" w:eastAsia="en-CA"/>
              </w:rPr>
              <w:t>ration</w:t>
            </w:r>
          </w:p>
        </w:tc>
        <w:tc>
          <w:tcPr>
            <w:tcW w:w="979" w:type="pct"/>
            <w:tcBorders>
              <w:top w:val="nil"/>
              <w:left w:val="nil"/>
              <w:bottom w:val="single" w:sz="4" w:space="0" w:color="auto"/>
              <w:right w:val="single" w:sz="4" w:space="0" w:color="auto"/>
            </w:tcBorders>
            <w:noWrap/>
            <w:vAlign w:val="center"/>
            <w:hideMark/>
          </w:tcPr>
          <w:p w14:paraId="33DB144C"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3</w:t>
            </w:r>
            <w:r>
              <w:rPr>
                <w:color w:val="000000"/>
                <w:sz w:val="20"/>
                <w:szCs w:val="20"/>
                <w:lang w:val="fr-CA" w:eastAsia="en-CA"/>
              </w:rPr>
              <w:t> </w:t>
            </w:r>
            <w:r w:rsidRPr="0042639D">
              <w:rPr>
                <w:color w:val="000000"/>
                <w:sz w:val="20"/>
                <w:szCs w:val="20"/>
                <w:lang w:val="fr-CA" w:eastAsia="en-CA"/>
              </w:rPr>
              <w:t>636</w:t>
            </w:r>
            <w:r>
              <w:rPr>
                <w:color w:val="000000"/>
                <w:sz w:val="20"/>
                <w:szCs w:val="20"/>
                <w:lang w:val="fr-CA" w:eastAsia="en-CA"/>
              </w:rPr>
              <w:t> </w:t>
            </w:r>
            <w:r w:rsidRPr="0042639D">
              <w:rPr>
                <w:color w:val="000000"/>
                <w:sz w:val="20"/>
                <w:szCs w:val="20"/>
                <w:lang w:val="fr-CA" w:eastAsia="en-CA"/>
              </w:rPr>
              <w:t>000</w:t>
            </w:r>
          </w:p>
        </w:tc>
        <w:tc>
          <w:tcPr>
            <w:tcW w:w="1033" w:type="pct"/>
            <w:tcBorders>
              <w:top w:val="nil"/>
              <w:left w:val="nil"/>
              <w:bottom w:val="single" w:sz="4" w:space="0" w:color="auto"/>
              <w:right w:val="single" w:sz="4" w:space="0" w:color="auto"/>
            </w:tcBorders>
            <w:noWrap/>
            <w:vAlign w:val="center"/>
            <w:hideMark/>
          </w:tcPr>
          <w:p w14:paraId="76A685D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405</w:t>
            </w:r>
            <w:r>
              <w:rPr>
                <w:color w:val="000000"/>
                <w:sz w:val="20"/>
                <w:szCs w:val="20"/>
                <w:lang w:val="fr-CA" w:eastAsia="en-CA"/>
              </w:rPr>
              <w:t> </w:t>
            </w:r>
            <w:r w:rsidRPr="0042639D">
              <w:rPr>
                <w:color w:val="000000"/>
                <w:sz w:val="20"/>
                <w:szCs w:val="20"/>
                <w:lang w:val="fr-CA" w:eastAsia="en-CA"/>
              </w:rPr>
              <w:t>292</w:t>
            </w:r>
          </w:p>
        </w:tc>
        <w:tc>
          <w:tcPr>
            <w:tcW w:w="1013" w:type="pct"/>
            <w:tcBorders>
              <w:top w:val="nil"/>
              <w:left w:val="nil"/>
              <w:bottom w:val="single" w:sz="4" w:space="0" w:color="auto"/>
              <w:right w:val="single" w:sz="4" w:space="0" w:color="auto"/>
            </w:tcBorders>
            <w:vAlign w:val="center"/>
            <w:hideMark/>
          </w:tcPr>
          <w:p w14:paraId="6D6A82D1"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771</w:t>
            </w:r>
            <w:r>
              <w:rPr>
                <w:color w:val="000000"/>
                <w:sz w:val="20"/>
                <w:szCs w:val="20"/>
                <w:lang w:val="fr-CA" w:eastAsia="en-CA"/>
              </w:rPr>
              <w:t> </w:t>
            </w:r>
            <w:r w:rsidRPr="0042639D">
              <w:rPr>
                <w:color w:val="000000"/>
                <w:sz w:val="20"/>
                <w:szCs w:val="20"/>
                <w:lang w:val="fr-CA" w:eastAsia="en-CA"/>
              </w:rPr>
              <w:t>366</w:t>
            </w:r>
          </w:p>
        </w:tc>
      </w:tr>
      <w:tr w:rsidR="006345CD" w:rsidRPr="0042639D" w14:paraId="37AF3D94" w14:textId="77777777" w:rsidTr="006023A6">
        <w:trPr>
          <w:trHeight w:val="187"/>
        </w:trPr>
        <w:tc>
          <w:tcPr>
            <w:tcW w:w="1975" w:type="pct"/>
            <w:tcBorders>
              <w:top w:val="nil"/>
              <w:left w:val="single" w:sz="4" w:space="0" w:color="auto"/>
              <w:bottom w:val="single" w:sz="4" w:space="0" w:color="auto"/>
              <w:right w:val="single" w:sz="4" w:space="0" w:color="auto"/>
            </w:tcBorders>
            <w:noWrap/>
            <w:vAlign w:val="center"/>
            <w:hideMark/>
          </w:tcPr>
          <w:p w14:paraId="14F1F6C2"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Entretien en r</w:t>
            </w:r>
            <w:r w:rsidRPr="0042639D">
              <w:rPr>
                <w:bCs/>
                <w:color w:val="000000"/>
                <w:sz w:val="20"/>
                <w:szCs w:val="20"/>
                <w:lang w:val="fr-CA" w:eastAsia="en-CA"/>
              </w:rPr>
              <w:t>éfrigération (Japon)</w:t>
            </w:r>
          </w:p>
        </w:tc>
        <w:tc>
          <w:tcPr>
            <w:tcW w:w="979" w:type="pct"/>
            <w:tcBorders>
              <w:top w:val="nil"/>
              <w:left w:val="nil"/>
              <w:bottom w:val="single" w:sz="4" w:space="0" w:color="auto"/>
              <w:right w:val="single" w:sz="4" w:space="0" w:color="auto"/>
            </w:tcBorders>
            <w:noWrap/>
            <w:vAlign w:val="center"/>
            <w:hideMark/>
          </w:tcPr>
          <w:p w14:paraId="21942F1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233</w:t>
            </w:r>
            <w:r>
              <w:rPr>
                <w:color w:val="000000"/>
                <w:sz w:val="20"/>
                <w:szCs w:val="20"/>
                <w:lang w:val="fr-CA" w:eastAsia="en-CA"/>
              </w:rPr>
              <w:t> </w:t>
            </w:r>
            <w:r w:rsidRPr="0042639D">
              <w:rPr>
                <w:color w:val="000000"/>
                <w:sz w:val="20"/>
                <w:szCs w:val="20"/>
                <w:lang w:val="fr-CA" w:eastAsia="en-CA"/>
              </w:rPr>
              <w:t>630</w:t>
            </w:r>
          </w:p>
        </w:tc>
        <w:tc>
          <w:tcPr>
            <w:tcW w:w="1033" w:type="pct"/>
            <w:tcBorders>
              <w:top w:val="nil"/>
              <w:left w:val="nil"/>
              <w:bottom w:val="single" w:sz="4" w:space="0" w:color="auto"/>
              <w:right w:val="single" w:sz="4" w:space="0" w:color="auto"/>
            </w:tcBorders>
            <w:noWrap/>
            <w:vAlign w:val="center"/>
            <w:hideMark/>
          </w:tcPr>
          <w:p w14:paraId="4CE0660B"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233</w:t>
            </w:r>
            <w:r>
              <w:rPr>
                <w:color w:val="000000"/>
                <w:sz w:val="20"/>
                <w:szCs w:val="20"/>
                <w:lang w:val="fr-CA" w:eastAsia="en-CA"/>
              </w:rPr>
              <w:t> </w:t>
            </w:r>
            <w:r w:rsidRPr="0042639D">
              <w:rPr>
                <w:color w:val="000000"/>
                <w:sz w:val="20"/>
                <w:szCs w:val="20"/>
                <w:lang w:val="fr-CA" w:eastAsia="en-CA"/>
              </w:rPr>
              <w:t>630</w:t>
            </w:r>
          </w:p>
        </w:tc>
        <w:tc>
          <w:tcPr>
            <w:tcW w:w="1013" w:type="pct"/>
            <w:tcBorders>
              <w:top w:val="nil"/>
              <w:left w:val="nil"/>
              <w:bottom w:val="single" w:sz="4" w:space="0" w:color="auto"/>
              <w:right w:val="single" w:sz="4" w:space="0" w:color="auto"/>
            </w:tcBorders>
            <w:vAlign w:val="center"/>
            <w:hideMark/>
          </w:tcPr>
          <w:p w14:paraId="57B78D29"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233</w:t>
            </w:r>
            <w:r>
              <w:rPr>
                <w:color w:val="000000"/>
                <w:sz w:val="20"/>
                <w:szCs w:val="20"/>
                <w:lang w:val="fr-CA" w:eastAsia="en-CA"/>
              </w:rPr>
              <w:t> </w:t>
            </w:r>
            <w:r w:rsidRPr="0042639D">
              <w:rPr>
                <w:color w:val="000000"/>
                <w:sz w:val="20"/>
                <w:szCs w:val="20"/>
                <w:lang w:val="fr-CA" w:eastAsia="en-CA"/>
              </w:rPr>
              <w:t>630</w:t>
            </w:r>
          </w:p>
        </w:tc>
      </w:tr>
      <w:tr w:rsidR="006345CD" w:rsidRPr="0042639D" w14:paraId="447100C1" w14:textId="77777777" w:rsidTr="006023A6">
        <w:trPr>
          <w:trHeight w:val="187"/>
        </w:trPr>
        <w:tc>
          <w:tcPr>
            <w:tcW w:w="1975" w:type="pct"/>
            <w:tcBorders>
              <w:top w:val="nil"/>
              <w:left w:val="single" w:sz="4" w:space="0" w:color="auto"/>
              <w:bottom w:val="single" w:sz="4" w:space="0" w:color="auto"/>
              <w:right w:val="single" w:sz="4" w:space="0" w:color="auto"/>
            </w:tcBorders>
            <w:noWrap/>
            <w:vAlign w:val="center"/>
            <w:hideMark/>
          </w:tcPr>
          <w:p w14:paraId="58DA2EE1"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Entretien en r</w:t>
            </w:r>
            <w:r w:rsidRPr="0042639D">
              <w:rPr>
                <w:bCs/>
                <w:color w:val="000000"/>
                <w:sz w:val="20"/>
                <w:szCs w:val="20"/>
                <w:lang w:val="fr-CA" w:eastAsia="en-CA"/>
              </w:rPr>
              <w:t>éfrigération (Banque Mondiale)</w:t>
            </w:r>
          </w:p>
        </w:tc>
        <w:tc>
          <w:tcPr>
            <w:tcW w:w="979" w:type="pct"/>
            <w:tcBorders>
              <w:top w:val="nil"/>
              <w:left w:val="nil"/>
              <w:bottom w:val="single" w:sz="4" w:space="0" w:color="auto"/>
              <w:right w:val="single" w:sz="4" w:space="0" w:color="auto"/>
            </w:tcBorders>
            <w:noWrap/>
            <w:vAlign w:val="center"/>
            <w:hideMark/>
          </w:tcPr>
          <w:p w14:paraId="45455EF4"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1</w:t>
            </w:r>
            <w:r>
              <w:rPr>
                <w:color w:val="000000"/>
                <w:sz w:val="20"/>
                <w:szCs w:val="20"/>
                <w:lang w:val="fr-CA" w:eastAsia="en-CA"/>
              </w:rPr>
              <w:t> </w:t>
            </w:r>
            <w:r w:rsidRPr="0042639D">
              <w:rPr>
                <w:color w:val="000000"/>
                <w:sz w:val="20"/>
                <w:szCs w:val="20"/>
                <w:lang w:val="fr-CA" w:eastAsia="en-CA"/>
              </w:rPr>
              <w:t>369</w:t>
            </w:r>
            <w:r>
              <w:rPr>
                <w:color w:val="000000"/>
                <w:sz w:val="20"/>
                <w:szCs w:val="20"/>
                <w:lang w:val="fr-CA" w:eastAsia="en-CA"/>
              </w:rPr>
              <w:t> </w:t>
            </w:r>
            <w:r w:rsidRPr="0042639D">
              <w:rPr>
                <w:color w:val="000000"/>
                <w:sz w:val="20"/>
                <w:szCs w:val="20"/>
                <w:lang w:val="fr-CA" w:eastAsia="en-CA"/>
              </w:rPr>
              <w:t>570</w:t>
            </w:r>
          </w:p>
        </w:tc>
        <w:tc>
          <w:tcPr>
            <w:tcW w:w="1033" w:type="pct"/>
            <w:tcBorders>
              <w:top w:val="nil"/>
              <w:left w:val="nil"/>
              <w:bottom w:val="single" w:sz="4" w:space="0" w:color="auto"/>
              <w:right w:val="single" w:sz="4" w:space="0" w:color="auto"/>
            </w:tcBorders>
            <w:noWrap/>
            <w:vAlign w:val="center"/>
            <w:hideMark/>
          </w:tcPr>
          <w:p w14:paraId="1158A217"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699</w:t>
            </w:r>
            <w:r>
              <w:rPr>
                <w:color w:val="000000"/>
                <w:sz w:val="20"/>
                <w:szCs w:val="20"/>
                <w:lang w:val="fr-CA" w:eastAsia="en-CA"/>
              </w:rPr>
              <w:t> </w:t>
            </w:r>
            <w:r w:rsidRPr="0042639D">
              <w:rPr>
                <w:color w:val="000000"/>
                <w:sz w:val="20"/>
                <w:szCs w:val="20"/>
                <w:lang w:val="fr-CA" w:eastAsia="en-CA"/>
              </w:rPr>
              <w:t>570</w:t>
            </w:r>
          </w:p>
        </w:tc>
        <w:tc>
          <w:tcPr>
            <w:tcW w:w="1013" w:type="pct"/>
            <w:tcBorders>
              <w:top w:val="nil"/>
              <w:left w:val="nil"/>
              <w:bottom w:val="single" w:sz="4" w:space="0" w:color="auto"/>
              <w:right w:val="single" w:sz="4" w:space="0" w:color="auto"/>
            </w:tcBorders>
            <w:vAlign w:val="center"/>
            <w:hideMark/>
          </w:tcPr>
          <w:p w14:paraId="104F11F8"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2</w:t>
            </w:r>
            <w:r>
              <w:rPr>
                <w:color w:val="000000"/>
                <w:sz w:val="20"/>
                <w:szCs w:val="20"/>
                <w:lang w:val="fr-CA" w:eastAsia="en-CA"/>
              </w:rPr>
              <w:t> </w:t>
            </w:r>
            <w:r w:rsidRPr="0042639D">
              <w:rPr>
                <w:color w:val="000000"/>
                <w:sz w:val="20"/>
                <w:szCs w:val="20"/>
                <w:lang w:val="fr-CA" w:eastAsia="en-CA"/>
              </w:rPr>
              <w:t>069</w:t>
            </w:r>
            <w:r>
              <w:rPr>
                <w:color w:val="000000"/>
                <w:sz w:val="20"/>
                <w:szCs w:val="20"/>
                <w:lang w:val="fr-CA" w:eastAsia="en-CA"/>
              </w:rPr>
              <w:t> </w:t>
            </w:r>
            <w:r w:rsidRPr="0042639D">
              <w:rPr>
                <w:color w:val="000000"/>
                <w:sz w:val="20"/>
                <w:szCs w:val="20"/>
                <w:lang w:val="fr-CA" w:eastAsia="en-CA"/>
              </w:rPr>
              <w:t>570</w:t>
            </w:r>
          </w:p>
        </w:tc>
      </w:tr>
      <w:tr w:rsidR="006345CD" w:rsidRPr="0042639D" w14:paraId="72ADB96C"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3E36C5A7"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A</w:t>
            </w:r>
            <w:r w:rsidRPr="0042639D">
              <w:rPr>
                <w:bCs/>
                <w:color w:val="000000"/>
                <w:sz w:val="20"/>
                <w:szCs w:val="20"/>
                <w:lang w:val="fr-CA" w:eastAsia="en-CA"/>
              </w:rPr>
              <w:t>T</w:t>
            </w:r>
          </w:p>
        </w:tc>
        <w:tc>
          <w:tcPr>
            <w:tcW w:w="979" w:type="pct"/>
            <w:tcBorders>
              <w:top w:val="nil"/>
              <w:left w:val="nil"/>
              <w:bottom w:val="single" w:sz="4" w:space="0" w:color="auto"/>
              <w:right w:val="single" w:sz="4" w:space="0" w:color="auto"/>
            </w:tcBorders>
            <w:noWrap/>
            <w:vAlign w:val="center"/>
            <w:hideMark/>
          </w:tcPr>
          <w:p w14:paraId="564973D4"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406</w:t>
            </w:r>
            <w:r>
              <w:rPr>
                <w:color w:val="000000"/>
                <w:sz w:val="20"/>
                <w:szCs w:val="20"/>
                <w:lang w:val="fr-CA" w:eastAsia="en-CA"/>
              </w:rPr>
              <w:t> </w:t>
            </w:r>
            <w:r w:rsidRPr="0042639D">
              <w:rPr>
                <w:color w:val="000000"/>
                <w:sz w:val="20"/>
                <w:szCs w:val="20"/>
                <w:lang w:val="fr-CA" w:eastAsia="en-CA"/>
              </w:rPr>
              <w:t>801</w:t>
            </w:r>
          </w:p>
        </w:tc>
        <w:tc>
          <w:tcPr>
            <w:tcW w:w="1033" w:type="pct"/>
            <w:tcBorders>
              <w:top w:val="nil"/>
              <w:left w:val="nil"/>
              <w:bottom w:val="single" w:sz="4" w:space="0" w:color="auto"/>
              <w:right w:val="single" w:sz="4" w:space="0" w:color="auto"/>
            </w:tcBorders>
            <w:noWrap/>
            <w:vAlign w:val="center"/>
            <w:hideMark/>
          </w:tcPr>
          <w:p w14:paraId="5AED75E3"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496</w:t>
            </w:r>
            <w:r>
              <w:rPr>
                <w:color w:val="000000"/>
                <w:sz w:val="20"/>
                <w:szCs w:val="20"/>
                <w:lang w:val="fr-CA" w:eastAsia="en-CA"/>
              </w:rPr>
              <w:t> </w:t>
            </w:r>
            <w:r w:rsidRPr="0042639D">
              <w:rPr>
                <w:color w:val="000000"/>
                <w:sz w:val="20"/>
                <w:szCs w:val="20"/>
                <w:lang w:val="fr-CA" w:eastAsia="en-CA"/>
              </w:rPr>
              <w:t>801</w:t>
            </w:r>
          </w:p>
        </w:tc>
        <w:tc>
          <w:tcPr>
            <w:tcW w:w="1013" w:type="pct"/>
            <w:vMerge w:val="restart"/>
            <w:tcBorders>
              <w:top w:val="nil"/>
              <w:left w:val="nil"/>
              <w:bottom w:val="single" w:sz="4" w:space="0" w:color="auto"/>
              <w:right w:val="single" w:sz="4" w:space="0" w:color="auto"/>
            </w:tcBorders>
            <w:vAlign w:val="center"/>
            <w:hideMark/>
          </w:tcPr>
          <w:p w14:paraId="62D0788E"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591</w:t>
            </w:r>
            <w:r>
              <w:rPr>
                <w:color w:val="000000"/>
                <w:sz w:val="20"/>
                <w:szCs w:val="20"/>
                <w:lang w:val="fr-CA" w:eastAsia="en-CA"/>
              </w:rPr>
              <w:t> </w:t>
            </w:r>
            <w:r w:rsidRPr="0042639D">
              <w:rPr>
                <w:color w:val="000000"/>
                <w:sz w:val="20"/>
                <w:szCs w:val="20"/>
                <w:lang w:val="fr-CA" w:eastAsia="en-CA"/>
              </w:rPr>
              <w:t>144</w:t>
            </w:r>
          </w:p>
        </w:tc>
      </w:tr>
      <w:tr w:rsidR="006345CD" w:rsidRPr="0042639D" w14:paraId="580B4B52"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0DAF5C46" w14:textId="77777777" w:rsidR="006345CD" w:rsidRPr="0042639D" w:rsidRDefault="006345CD" w:rsidP="006023A6">
            <w:pPr>
              <w:jc w:val="left"/>
              <w:rPr>
                <w:color w:val="000000"/>
                <w:sz w:val="20"/>
                <w:szCs w:val="20"/>
                <w:lang w:val="fr-CA" w:eastAsia="en-CA"/>
              </w:rPr>
            </w:pPr>
            <w:r>
              <w:rPr>
                <w:bCs/>
                <w:color w:val="000000"/>
                <w:sz w:val="20"/>
                <w:szCs w:val="20"/>
                <w:lang w:val="fr-CA" w:eastAsia="en-CA"/>
              </w:rPr>
              <w:t>UMS</w:t>
            </w:r>
          </w:p>
        </w:tc>
        <w:tc>
          <w:tcPr>
            <w:tcW w:w="979" w:type="pct"/>
            <w:tcBorders>
              <w:top w:val="nil"/>
              <w:left w:val="nil"/>
              <w:bottom w:val="single" w:sz="4" w:space="0" w:color="auto"/>
              <w:right w:val="single" w:sz="4" w:space="0" w:color="auto"/>
            </w:tcBorders>
            <w:vAlign w:val="center"/>
            <w:hideMark/>
          </w:tcPr>
          <w:p w14:paraId="1B739C9C"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678</w:t>
            </w:r>
            <w:r>
              <w:rPr>
                <w:color w:val="000000"/>
                <w:sz w:val="20"/>
                <w:szCs w:val="20"/>
                <w:lang w:val="fr-CA" w:eastAsia="en-CA"/>
              </w:rPr>
              <w:t> </w:t>
            </w:r>
            <w:r w:rsidRPr="0042639D">
              <w:rPr>
                <w:color w:val="000000"/>
                <w:sz w:val="20"/>
                <w:szCs w:val="20"/>
                <w:lang w:val="fr-CA" w:eastAsia="en-CA"/>
              </w:rPr>
              <w:t>002</w:t>
            </w:r>
          </w:p>
        </w:tc>
        <w:tc>
          <w:tcPr>
            <w:tcW w:w="1033" w:type="pct"/>
            <w:tcBorders>
              <w:top w:val="nil"/>
              <w:left w:val="nil"/>
              <w:bottom w:val="single" w:sz="4" w:space="0" w:color="auto"/>
              <w:right w:val="single" w:sz="4" w:space="0" w:color="auto"/>
            </w:tcBorders>
            <w:vAlign w:val="center"/>
            <w:hideMark/>
          </w:tcPr>
          <w:p w14:paraId="3D4BC279" w14:textId="77777777" w:rsidR="006345CD" w:rsidRPr="0042639D" w:rsidRDefault="006345CD" w:rsidP="006023A6">
            <w:pPr>
              <w:jc w:val="right"/>
              <w:rPr>
                <w:color w:val="000000"/>
                <w:sz w:val="20"/>
                <w:szCs w:val="20"/>
                <w:lang w:val="fr-CA" w:eastAsia="en-CA"/>
              </w:rPr>
            </w:pPr>
            <w:r w:rsidRPr="0042639D">
              <w:rPr>
                <w:color w:val="000000"/>
                <w:sz w:val="20"/>
                <w:szCs w:val="20"/>
                <w:lang w:val="fr-CA" w:eastAsia="en-CA"/>
              </w:rPr>
              <w:t>768</w:t>
            </w:r>
            <w:r>
              <w:rPr>
                <w:color w:val="000000"/>
                <w:sz w:val="20"/>
                <w:szCs w:val="20"/>
                <w:lang w:val="fr-CA" w:eastAsia="en-CA"/>
              </w:rPr>
              <w:t> </w:t>
            </w:r>
            <w:r w:rsidRPr="0042639D">
              <w:rPr>
                <w:color w:val="000000"/>
                <w:sz w:val="20"/>
                <w:szCs w:val="20"/>
                <w:lang w:val="fr-CA" w:eastAsia="en-CA"/>
              </w:rPr>
              <w:t>541</w:t>
            </w:r>
          </w:p>
        </w:tc>
        <w:tc>
          <w:tcPr>
            <w:tcW w:w="0" w:type="auto"/>
            <w:vMerge/>
            <w:tcBorders>
              <w:top w:val="nil"/>
              <w:left w:val="nil"/>
              <w:bottom w:val="single" w:sz="4" w:space="0" w:color="auto"/>
              <w:right w:val="single" w:sz="4" w:space="0" w:color="auto"/>
            </w:tcBorders>
            <w:vAlign w:val="center"/>
            <w:hideMark/>
          </w:tcPr>
          <w:p w14:paraId="1E705F78" w14:textId="77777777" w:rsidR="006345CD" w:rsidRPr="0042639D" w:rsidRDefault="006345CD" w:rsidP="006023A6">
            <w:pPr>
              <w:jc w:val="left"/>
              <w:rPr>
                <w:color w:val="000000"/>
                <w:sz w:val="20"/>
                <w:szCs w:val="20"/>
                <w:lang w:val="fr-CA" w:eastAsia="en-CA"/>
              </w:rPr>
            </w:pPr>
          </w:p>
        </w:tc>
      </w:tr>
      <w:tr w:rsidR="006345CD" w:rsidRPr="0042639D" w14:paraId="01589B25"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445562A1" w14:textId="77777777" w:rsidR="006345CD" w:rsidRPr="0042639D" w:rsidRDefault="006345CD" w:rsidP="006023A6">
            <w:pPr>
              <w:jc w:val="right"/>
              <w:rPr>
                <w:bCs/>
                <w:i/>
                <w:iCs/>
                <w:color w:val="000000"/>
                <w:sz w:val="20"/>
                <w:szCs w:val="20"/>
                <w:lang w:val="fr-CA" w:eastAsia="en-CA"/>
              </w:rPr>
            </w:pPr>
            <w:r w:rsidRPr="0042639D">
              <w:rPr>
                <w:bCs/>
                <w:i/>
                <w:iCs/>
                <w:color w:val="000000"/>
                <w:sz w:val="20"/>
                <w:szCs w:val="20"/>
                <w:lang w:val="fr-CA" w:eastAsia="en-CA"/>
              </w:rPr>
              <w:t>P</w:t>
            </w:r>
            <w:r>
              <w:rPr>
                <w:bCs/>
                <w:i/>
                <w:iCs/>
                <w:color w:val="000000"/>
                <w:sz w:val="20"/>
                <w:szCs w:val="20"/>
                <w:lang w:val="fr-CA" w:eastAsia="en-CA"/>
              </w:rPr>
              <w:t>ou</w:t>
            </w:r>
            <w:r w:rsidRPr="0042639D">
              <w:rPr>
                <w:bCs/>
                <w:i/>
                <w:iCs/>
                <w:color w:val="000000"/>
                <w:sz w:val="20"/>
                <w:szCs w:val="20"/>
                <w:lang w:val="fr-CA" w:eastAsia="en-CA"/>
              </w:rPr>
              <w:t>rcentage A</w:t>
            </w:r>
            <w:r>
              <w:rPr>
                <w:bCs/>
                <w:i/>
                <w:iCs/>
                <w:color w:val="000000"/>
                <w:sz w:val="20"/>
                <w:szCs w:val="20"/>
                <w:lang w:val="fr-CA" w:eastAsia="en-CA"/>
              </w:rPr>
              <w:t>T</w:t>
            </w:r>
            <w:r w:rsidRPr="0042639D">
              <w:rPr>
                <w:bCs/>
                <w:i/>
                <w:iCs/>
                <w:color w:val="000000"/>
                <w:sz w:val="20"/>
                <w:szCs w:val="20"/>
                <w:lang w:val="fr-CA" w:eastAsia="en-CA"/>
              </w:rPr>
              <w:t xml:space="preserve"> + </w:t>
            </w:r>
            <w:r>
              <w:rPr>
                <w:bCs/>
                <w:i/>
                <w:iCs/>
                <w:color w:val="000000"/>
                <w:sz w:val="20"/>
                <w:szCs w:val="20"/>
                <w:lang w:val="fr-CA" w:eastAsia="en-CA"/>
              </w:rPr>
              <w:t>UMS</w:t>
            </w:r>
            <w:r w:rsidRPr="0042639D">
              <w:rPr>
                <w:bCs/>
                <w:i/>
                <w:iCs/>
                <w:color w:val="000000"/>
                <w:sz w:val="20"/>
                <w:szCs w:val="20"/>
                <w:lang w:val="fr-CA" w:eastAsia="en-CA"/>
              </w:rPr>
              <w:t xml:space="preserve"> (%)</w:t>
            </w:r>
          </w:p>
        </w:tc>
        <w:tc>
          <w:tcPr>
            <w:tcW w:w="979" w:type="pct"/>
            <w:tcBorders>
              <w:top w:val="nil"/>
              <w:left w:val="nil"/>
              <w:bottom w:val="single" w:sz="4" w:space="0" w:color="auto"/>
              <w:right w:val="single" w:sz="4" w:space="0" w:color="auto"/>
            </w:tcBorders>
            <w:vAlign w:val="center"/>
            <w:hideMark/>
          </w:tcPr>
          <w:p w14:paraId="1AB58C2A" w14:textId="77777777" w:rsidR="006345CD" w:rsidRPr="0042639D" w:rsidRDefault="006345CD" w:rsidP="006023A6">
            <w:pPr>
              <w:jc w:val="right"/>
              <w:rPr>
                <w:i/>
                <w:iCs/>
                <w:color w:val="000000"/>
                <w:sz w:val="20"/>
                <w:szCs w:val="20"/>
                <w:lang w:val="fr-CA" w:eastAsia="en-CA"/>
              </w:rPr>
            </w:pPr>
            <w:r w:rsidRPr="0042639D">
              <w:rPr>
                <w:i/>
                <w:iCs/>
                <w:color w:val="000000"/>
                <w:sz w:val="20"/>
                <w:szCs w:val="20"/>
                <w:lang w:val="fr-CA" w:eastAsia="en-CA"/>
              </w:rPr>
              <w:t>8</w:t>
            </w:r>
            <w:r>
              <w:rPr>
                <w:i/>
                <w:iCs/>
                <w:color w:val="000000"/>
                <w:sz w:val="20"/>
                <w:szCs w:val="20"/>
                <w:lang w:val="fr-CA" w:eastAsia="en-CA"/>
              </w:rPr>
              <w:t>,</w:t>
            </w:r>
            <w:r w:rsidRPr="0042639D">
              <w:rPr>
                <w:i/>
                <w:iCs/>
                <w:color w:val="000000"/>
                <w:sz w:val="20"/>
                <w:szCs w:val="20"/>
                <w:lang w:val="fr-CA" w:eastAsia="en-CA"/>
              </w:rPr>
              <w:t>0</w:t>
            </w:r>
          </w:p>
        </w:tc>
        <w:tc>
          <w:tcPr>
            <w:tcW w:w="1033" w:type="pct"/>
            <w:tcBorders>
              <w:top w:val="nil"/>
              <w:left w:val="nil"/>
              <w:bottom w:val="single" w:sz="4" w:space="0" w:color="auto"/>
              <w:right w:val="single" w:sz="4" w:space="0" w:color="auto"/>
            </w:tcBorders>
            <w:vAlign w:val="center"/>
            <w:hideMark/>
          </w:tcPr>
          <w:p w14:paraId="41CEDA49" w14:textId="77777777" w:rsidR="006345CD" w:rsidRPr="0042639D" w:rsidRDefault="006345CD" w:rsidP="006023A6">
            <w:pPr>
              <w:jc w:val="right"/>
              <w:rPr>
                <w:i/>
                <w:iCs/>
                <w:color w:val="000000"/>
                <w:sz w:val="20"/>
                <w:szCs w:val="20"/>
                <w:lang w:val="fr-CA" w:eastAsia="en-CA"/>
              </w:rPr>
            </w:pPr>
            <w:r w:rsidRPr="0042639D">
              <w:rPr>
                <w:i/>
                <w:iCs/>
                <w:color w:val="000000"/>
                <w:sz w:val="20"/>
                <w:szCs w:val="20"/>
                <w:lang w:val="fr-CA" w:eastAsia="en-CA"/>
              </w:rPr>
              <w:t>16</w:t>
            </w:r>
            <w:r>
              <w:rPr>
                <w:i/>
                <w:iCs/>
                <w:color w:val="000000"/>
                <w:sz w:val="20"/>
                <w:szCs w:val="20"/>
                <w:lang w:val="fr-CA" w:eastAsia="en-CA"/>
              </w:rPr>
              <w:t>,</w:t>
            </w:r>
            <w:r w:rsidRPr="0042639D">
              <w:rPr>
                <w:i/>
                <w:iCs/>
                <w:color w:val="000000"/>
                <w:sz w:val="20"/>
                <w:szCs w:val="20"/>
                <w:lang w:val="fr-CA" w:eastAsia="en-CA"/>
              </w:rPr>
              <w:t>9</w:t>
            </w:r>
          </w:p>
        </w:tc>
        <w:tc>
          <w:tcPr>
            <w:tcW w:w="1013" w:type="pct"/>
            <w:tcBorders>
              <w:top w:val="nil"/>
              <w:left w:val="nil"/>
              <w:bottom w:val="single" w:sz="4" w:space="0" w:color="auto"/>
              <w:right w:val="single" w:sz="4" w:space="0" w:color="auto"/>
            </w:tcBorders>
            <w:vAlign w:val="center"/>
            <w:hideMark/>
          </w:tcPr>
          <w:p w14:paraId="3798F0BF" w14:textId="77777777" w:rsidR="006345CD" w:rsidRPr="0042639D" w:rsidRDefault="006345CD" w:rsidP="006023A6">
            <w:pPr>
              <w:jc w:val="right"/>
              <w:rPr>
                <w:i/>
                <w:iCs/>
                <w:color w:val="000000"/>
                <w:sz w:val="20"/>
                <w:szCs w:val="20"/>
                <w:lang w:val="fr-CA" w:eastAsia="en-CA"/>
              </w:rPr>
            </w:pPr>
            <w:r w:rsidRPr="0042639D">
              <w:rPr>
                <w:i/>
                <w:iCs/>
                <w:color w:val="000000"/>
                <w:sz w:val="20"/>
                <w:szCs w:val="20"/>
                <w:lang w:val="fr-CA" w:eastAsia="en-CA"/>
              </w:rPr>
              <w:t>9</w:t>
            </w:r>
            <w:r>
              <w:rPr>
                <w:i/>
                <w:iCs/>
                <w:color w:val="000000"/>
                <w:sz w:val="20"/>
                <w:szCs w:val="20"/>
                <w:lang w:val="fr-CA" w:eastAsia="en-CA"/>
              </w:rPr>
              <w:t>,</w:t>
            </w:r>
            <w:r w:rsidRPr="0042639D">
              <w:rPr>
                <w:i/>
                <w:iCs/>
                <w:color w:val="000000"/>
                <w:sz w:val="20"/>
                <w:szCs w:val="20"/>
                <w:lang w:val="fr-CA" w:eastAsia="en-CA"/>
              </w:rPr>
              <w:t>5</w:t>
            </w:r>
          </w:p>
        </w:tc>
      </w:tr>
      <w:tr w:rsidR="006345CD" w:rsidRPr="0042639D" w14:paraId="351F5E90" w14:textId="77777777" w:rsidTr="006023A6">
        <w:trPr>
          <w:trHeight w:val="187"/>
        </w:trPr>
        <w:tc>
          <w:tcPr>
            <w:tcW w:w="1975" w:type="pct"/>
            <w:tcBorders>
              <w:top w:val="nil"/>
              <w:left w:val="single" w:sz="4" w:space="0" w:color="auto"/>
              <w:bottom w:val="single" w:sz="4" w:space="0" w:color="auto"/>
              <w:right w:val="single" w:sz="4" w:space="0" w:color="auto"/>
            </w:tcBorders>
            <w:vAlign w:val="center"/>
            <w:hideMark/>
          </w:tcPr>
          <w:p w14:paraId="3F44800E" w14:textId="77777777" w:rsidR="006345CD" w:rsidRPr="0042639D" w:rsidRDefault="006345CD" w:rsidP="006023A6">
            <w:pPr>
              <w:jc w:val="left"/>
              <w:rPr>
                <w:b/>
                <w:bCs/>
                <w:color w:val="000000"/>
                <w:sz w:val="20"/>
                <w:szCs w:val="20"/>
                <w:lang w:val="fr-CA" w:eastAsia="en-CA"/>
              </w:rPr>
            </w:pPr>
            <w:r w:rsidRPr="0042639D">
              <w:rPr>
                <w:b/>
                <w:bCs/>
                <w:color w:val="000000"/>
                <w:sz w:val="20"/>
                <w:szCs w:val="20"/>
                <w:lang w:val="fr-CA" w:eastAsia="en-CA"/>
              </w:rPr>
              <w:t>Total</w:t>
            </w:r>
          </w:p>
        </w:tc>
        <w:tc>
          <w:tcPr>
            <w:tcW w:w="979" w:type="pct"/>
            <w:tcBorders>
              <w:top w:val="nil"/>
              <w:left w:val="nil"/>
              <w:bottom w:val="single" w:sz="4" w:space="0" w:color="auto"/>
              <w:right w:val="single" w:sz="4" w:space="0" w:color="auto"/>
            </w:tcBorders>
            <w:vAlign w:val="center"/>
            <w:hideMark/>
          </w:tcPr>
          <w:p w14:paraId="41F179F8" w14:textId="77777777" w:rsidR="006345CD" w:rsidRPr="0042639D" w:rsidRDefault="006345CD" w:rsidP="006023A6">
            <w:pPr>
              <w:jc w:val="right"/>
              <w:rPr>
                <w:b/>
                <w:bCs/>
                <w:color w:val="000000"/>
                <w:sz w:val="20"/>
                <w:szCs w:val="20"/>
                <w:lang w:val="fr-CA" w:eastAsia="en-CA"/>
              </w:rPr>
            </w:pPr>
            <w:r w:rsidRPr="0042639D">
              <w:rPr>
                <w:b/>
                <w:bCs/>
                <w:color w:val="000000"/>
                <w:sz w:val="20"/>
                <w:szCs w:val="20"/>
                <w:lang w:val="fr-CA" w:eastAsia="en-CA"/>
              </w:rPr>
              <w:t>14</w:t>
            </w:r>
            <w:r>
              <w:rPr>
                <w:b/>
                <w:bCs/>
                <w:color w:val="000000"/>
                <w:sz w:val="20"/>
                <w:szCs w:val="20"/>
                <w:lang w:val="fr-CA" w:eastAsia="en-CA"/>
              </w:rPr>
              <w:t> </w:t>
            </w:r>
            <w:r w:rsidRPr="0042639D">
              <w:rPr>
                <w:b/>
                <w:bCs/>
                <w:color w:val="000000"/>
                <w:sz w:val="20"/>
                <w:szCs w:val="20"/>
                <w:lang w:val="fr-CA" w:eastAsia="en-CA"/>
              </w:rPr>
              <w:t>644</w:t>
            </w:r>
            <w:r>
              <w:rPr>
                <w:b/>
                <w:bCs/>
                <w:color w:val="000000"/>
                <w:sz w:val="20"/>
                <w:szCs w:val="20"/>
                <w:lang w:val="fr-CA" w:eastAsia="en-CA"/>
              </w:rPr>
              <w:t> </w:t>
            </w:r>
            <w:r w:rsidRPr="0042639D">
              <w:rPr>
                <w:b/>
                <w:bCs/>
                <w:color w:val="000000"/>
                <w:sz w:val="20"/>
                <w:szCs w:val="20"/>
                <w:lang w:val="fr-CA" w:eastAsia="en-CA"/>
              </w:rPr>
              <w:t>834</w:t>
            </w:r>
          </w:p>
        </w:tc>
        <w:tc>
          <w:tcPr>
            <w:tcW w:w="1033" w:type="pct"/>
            <w:tcBorders>
              <w:top w:val="nil"/>
              <w:left w:val="nil"/>
              <w:bottom w:val="single" w:sz="4" w:space="0" w:color="auto"/>
              <w:right w:val="single" w:sz="4" w:space="0" w:color="auto"/>
            </w:tcBorders>
            <w:vAlign w:val="center"/>
            <w:hideMark/>
          </w:tcPr>
          <w:p w14:paraId="67E0FF13" w14:textId="77777777" w:rsidR="006345CD" w:rsidRPr="0042639D" w:rsidRDefault="006345CD" w:rsidP="006023A6">
            <w:pPr>
              <w:jc w:val="right"/>
              <w:rPr>
                <w:b/>
                <w:bCs/>
                <w:color w:val="000000"/>
                <w:sz w:val="20"/>
                <w:szCs w:val="20"/>
                <w:lang w:val="fr-CA" w:eastAsia="en-CA"/>
              </w:rPr>
            </w:pPr>
            <w:r w:rsidRPr="0042639D">
              <w:rPr>
                <w:b/>
                <w:bCs/>
                <w:color w:val="000000"/>
                <w:sz w:val="20"/>
                <w:szCs w:val="20"/>
                <w:lang w:val="fr-CA" w:eastAsia="en-CA"/>
              </w:rPr>
              <w:t>8</w:t>
            </w:r>
            <w:r>
              <w:rPr>
                <w:b/>
                <w:bCs/>
                <w:color w:val="000000"/>
                <w:sz w:val="20"/>
                <w:szCs w:val="20"/>
                <w:lang w:val="fr-CA" w:eastAsia="en-CA"/>
              </w:rPr>
              <w:t> </w:t>
            </w:r>
            <w:r w:rsidRPr="0042639D">
              <w:rPr>
                <w:b/>
                <w:bCs/>
                <w:color w:val="000000"/>
                <w:sz w:val="20"/>
                <w:szCs w:val="20"/>
                <w:lang w:val="fr-CA" w:eastAsia="en-CA"/>
              </w:rPr>
              <w:t>751</w:t>
            </w:r>
            <w:r>
              <w:rPr>
                <w:b/>
                <w:bCs/>
                <w:color w:val="000000"/>
                <w:sz w:val="20"/>
                <w:szCs w:val="20"/>
                <w:lang w:val="fr-CA" w:eastAsia="en-CA"/>
              </w:rPr>
              <w:t> </w:t>
            </w:r>
            <w:r w:rsidRPr="0042639D">
              <w:rPr>
                <w:b/>
                <w:bCs/>
                <w:color w:val="000000"/>
                <w:sz w:val="20"/>
                <w:szCs w:val="20"/>
                <w:lang w:val="fr-CA" w:eastAsia="en-CA"/>
              </w:rPr>
              <w:t>834</w:t>
            </w:r>
          </w:p>
        </w:tc>
        <w:tc>
          <w:tcPr>
            <w:tcW w:w="1013" w:type="pct"/>
            <w:tcBorders>
              <w:top w:val="nil"/>
              <w:left w:val="nil"/>
              <w:bottom w:val="single" w:sz="4" w:space="0" w:color="auto"/>
              <w:right w:val="single" w:sz="4" w:space="0" w:color="auto"/>
            </w:tcBorders>
            <w:vAlign w:val="center"/>
            <w:hideMark/>
          </w:tcPr>
          <w:p w14:paraId="3DA66FE4" w14:textId="77777777" w:rsidR="006345CD" w:rsidRPr="0042639D" w:rsidRDefault="006345CD" w:rsidP="006023A6">
            <w:pPr>
              <w:jc w:val="right"/>
              <w:rPr>
                <w:b/>
                <w:bCs/>
                <w:color w:val="000000"/>
                <w:sz w:val="20"/>
                <w:szCs w:val="20"/>
                <w:lang w:val="fr-CA" w:eastAsia="en-CA"/>
              </w:rPr>
            </w:pPr>
            <w:r w:rsidRPr="0042639D">
              <w:rPr>
                <w:b/>
                <w:bCs/>
                <w:color w:val="000000"/>
                <w:sz w:val="20"/>
                <w:szCs w:val="20"/>
                <w:lang w:val="fr-CA" w:eastAsia="en-CA"/>
              </w:rPr>
              <w:t>6</w:t>
            </w:r>
            <w:r>
              <w:rPr>
                <w:b/>
                <w:bCs/>
                <w:color w:val="000000"/>
                <w:sz w:val="20"/>
                <w:szCs w:val="20"/>
                <w:lang w:val="fr-CA" w:eastAsia="en-CA"/>
              </w:rPr>
              <w:t> </w:t>
            </w:r>
            <w:r w:rsidRPr="0042639D">
              <w:rPr>
                <w:b/>
                <w:bCs/>
                <w:color w:val="000000"/>
                <w:sz w:val="20"/>
                <w:szCs w:val="20"/>
                <w:lang w:val="fr-CA" w:eastAsia="en-CA"/>
              </w:rPr>
              <w:t>749</w:t>
            </w:r>
            <w:r>
              <w:rPr>
                <w:b/>
                <w:bCs/>
                <w:color w:val="000000"/>
                <w:sz w:val="20"/>
                <w:szCs w:val="20"/>
                <w:lang w:val="fr-CA" w:eastAsia="en-CA"/>
              </w:rPr>
              <w:t> </w:t>
            </w:r>
            <w:r w:rsidRPr="0042639D">
              <w:rPr>
                <w:b/>
                <w:bCs/>
                <w:color w:val="000000"/>
                <w:sz w:val="20"/>
                <w:szCs w:val="20"/>
                <w:lang w:val="fr-CA" w:eastAsia="en-CA"/>
              </w:rPr>
              <w:t>911</w:t>
            </w:r>
          </w:p>
        </w:tc>
      </w:tr>
    </w:tbl>
    <w:p w14:paraId="0F7B80E6" w14:textId="77777777" w:rsidR="006345CD" w:rsidRPr="0042639D" w:rsidRDefault="006345CD" w:rsidP="006345CD">
      <w:pPr>
        <w:rPr>
          <w:lang w:val="fr-CA"/>
        </w:rPr>
      </w:pPr>
    </w:p>
    <w:p w14:paraId="100CAF14" w14:textId="77777777" w:rsidR="006345CD" w:rsidRPr="0042639D" w:rsidRDefault="006345CD" w:rsidP="006345CD">
      <w:pPr>
        <w:rPr>
          <w:i/>
          <w:iCs/>
          <w:lang w:val="fr-CA"/>
        </w:rPr>
      </w:pPr>
      <w:r>
        <w:rPr>
          <w:i/>
          <w:iCs/>
          <w:lang w:val="fr-CA"/>
        </w:rPr>
        <w:t xml:space="preserve">Projet d’accord révisé </w:t>
      </w:r>
    </w:p>
    <w:p w14:paraId="51A55C98" w14:textId="77777777" w:rsidR="006345CD" w:rsidRPr="0042639D" w:rsidRDefault="006345CD" w:rsidP="006345CD">
      <w:pPr>
        <w:rPr>
          <w:lang w:val="fr-CA"/>
        </w:rPr>
      </w:pPr>
    </w:p>
    <w:p w14:paraId="4FDE1440" w14:textId="2464F771" w:rsidR="006345CD" w:rsidRPr="0042639D" w:rsidRDefault="006345CD" w:rsidP="006345CD">
      <w:pPr>
        <w:pStyle w:val="Heading1"/>
        <w:numPr>
          <w:ilvl w:val="0"/>
          <w:numId w:val="30"/>
        </w:numPr>
        <w:rPr>
          <w:lang w:val="fr-CA"/>
        </w:rPr>
      </w:pPr>
      <w:r>
        <w:rPr>
          <w:lang w:val="fr-CA"/>
        </w:rPr>
        <w:t>L</w:t>
      </w:r>
      <w:r w:rsidRPr="0042639D">
        <w:rPr>
          <w:lang w:val="fr-CA"/>
        </w:rPr>
        <w:t xml:space="preserve">e </w:t>
      </w:r>
      <w:r>
        <w:rPr>
          <w:lang w:val="fr-CA"/>
        </w:rPr>
        <w:t xml:space="preserve">Secrétariat a proposé que </w:t>
      </w:r>
      <w:proofErr w:type="gramStart"/>
      <w:r>
        <w:rPr>
          <w:lang w:val="fr-CA"/>
        </w:rPr>
        <w:t xml:space="preserve">la </w:t>
      </w:r>
      <w:r w:rsidRPr="0042639D">
        <w:rPr>
          <w:lang w:val="fr-CA"/>
        </w:rPr>
        <w:t xml:space="preserve"> Banque</w:t>
      </w:r>
      <w:proofErr w:type="gramEnd"/>
      <w:r w:rsidRPr="0042639D">
        <w:rPr>
          <w:lang w:val="fr-CA"/>
        </w:rPr>
        <w:t xml:space="preserve"> Mondiale </w:t>
      </w:r>
      <w:r>
        <w:rPr>
          <w:lang w:val="fr-CA"/>
        </w:rPr>
        <w:t>inclut dans sa soumission</w:t>
      </w:r>
      <w:r w:rsidRPr="0042639D">
        <w:rPr>
          <w:lang w:val="fr-CA"/>
        </w:rPr>
        <w:t xml:space="preserve"> </w:t>
      </w:r>
      <w:r>
        <w:rPr>
          <w:lang w:val="fr-CA"/>
        </w:rPr>
        <w:t xml:space="preserve">à la </w:t>
      </w:r>
      <w:r w:rsidRPr="0042639D">
        <w:rPr>
          <w:lang w:val="fr-CA"/>
        </w:rPr>
        <w:t>91</w:t>
      </w:r>
      <w:r>
        <w:rPr>
          <w:vertAlign w:val="superscript"/>
          <w:lang w:val="fr-CA"/>
        </w:rPr>
        <w:t>e</w:t>
      </w:r>
      <w:r w:rsidRPr="0042639D">
        <w:rPr>
          <w:lang w:val="fr-CA"/>
        </w:rPr>
        <w:t xml:space="preserve"> réunion </w:t>
      </w:r>
      <w:r>
        <w:rPr>
          <w:lang w:val="fr-CA"/>
        </w:rPr>
        <w:t>un projet d’accord révisé incorporant les modifications proposées, notamment les changements fondés sur les progrès dans la détermination finale des coûts des SAS avec les entreprise</w:t>
      </w:r>
      <w:r w:rsidRPr="0042639D">
        <w:rPr>
          <w:lang w:val="fr-CA"/>
        </w:rPr>
        <w:t>s</w:t>
      </w:r>
      <w:r>
        <w:rPr>
          <w:lang w:val="fr-CA"/>
        </w:rPr>
        <w:t xml:space="preserve"> bénéficiaires</w:t>
      </w:r>
      <w:r w:rsidRPr="0042639D">
        <w:rPr>
          <w:lang w:val="fr-CA"/>
        </w:rPr>
        <w:t xml:space="preserve">. </w:t>
      </w:r>
    </w:p>
    <w:p w14:paraId="15BBBDB5" w14:textId="77777777" w:rsidR="006345CD" w:rsidRPr="0042639D" w:rsidRDefault="006345CD" w:rsidP="006345CD">
      <w:pPr>
        <w:rPr>
          <w:i/>
          <w:iCs/>
          <w:lang w:val="fr-CA"/>
        </w:rPr>
      </w:pPr>
      <w:r>
        <w:rPr>
          <w:i/>
          <w:iCs/>
          <w:lang w:val="fr-CA"/>
        </w:rPr>
        <w:t>Application de la politique d’égalité des sexes</w:t>
      </w:r>
      <w:r w:rsidRPr="0042639D">
        <w:rPr>
          <w:i/>
          <w:vertAlign w:val="superscript"/>
          <w:lang w:val="fr-CA"/>
        </w:rPr>
        <w:footnoteReference w:id="49"/>
      </w:r>
    </w:p>
    <w:p w14:paraId="5E699627" w14:textId="77777777" w:rsidR="006345CD" w:rsidRPr="0042639D" w:rsidRDefault="006345CD" w:rsidP="006345CD">
      <w:pPr>
        <w:rPr>
          <w:lang w:val="fr-CA"/>
        </w:rPr>
      </w:pPr>
    </w:p>
    <w:p w14:paraId="71681BF9" w14:textId="13B2485D" w:rsidR="006A1EE7" w:rsidRPr="006345CD" w:rsidRDefault="006345CD" w:rsidP="006345CD">
      <w:pPr>
        <w:pStyle w:val="Heading1"/>
        <w:rPr>
          <w:lang w:val="fr-CA"/>
        </w:rPr>
      </w:pPr>
      <w:r>
        <w:rPr>
          <w:lang w:val="fr-CA"/>
        </w:rPr>
        <w:t>À la</w:t>
      </w:r>
      <w:r w:rsidRPr="0042639D">
        <w:rPr>
          <w:lang w:val="fr-CA"/>
        </w:rPr>
        <w:t xml:space="preserve"> 87</w:t>
      </w:r>
      <w:r>
        <w:rPr>
          <w:vertAlign w:val="superscript"/>
          <w:lang w:val="fr-CA"/>
        </w:rPr>
        <w:t>e</w:t>
      </w:r>
      <w:r w:rsidRPr="0042639D">
        <w:rPr>
          <w:lang w:val="fr-CA"/>
        </w:rPr>
        <w:t xml:space="preserve"> réunion, </w:t>
      </w:r>
      <w:r>
        <w:rPr>
          <w:lang w:val="fr-CA"/>
        </w:rPr>
        <w:t>la</w:t>
      </w:r>
      <w:r w:rsidRPr="0042639D">
        <w:rPr>
          <w:lang w:val="fr-CA"/>
        </w:rPr>
        <w:t xml:space="preserve"> Banque Mondiale</w:t>
      </w:r>
      <w:r>
        <w:rPr>
          <w:lang w:val="fr-CA"/>
        </w:rPr>
        <w:t xml:space="preserve"> a précisé que la </w:t>
      </w:r>
      <w:r w:rsidRPr="0042639D">
        <w:rPr>
          <w:lang w:val="fr-CA"/>
        </w:rPr>
        <w:t xml:space="preserve">phase II </w:t>
      </w:r>
      <w:r>
        <w:rPr>
          <w:lang w:val="fr-CA"/>
        </w:rPr>
        <w:t>du</w:t>
      </w:r>
      <w:r w:rsidRPr="0042639D">
        <w:rPr>
          <w:lang w:val="fr-CA"/>
        </w:rPr>
        <w:t xml:space="preserve"> PGEH </w:t>
      </w:r>
      <w:r>
        <w:rPr>
          <w:lang w:val="fr-CA"/>
        </w:rPr>
        <w:t xml:space="preserve">n’incluait pas un cadre formel de résultats sur l’égalité des sexes puisque le </w:t>
      </w:r>
      <w:r w:rsidRPr="0042639D">
        <w:rPr>
          <w:lang w:val="fr-CA"/>
        </w:rPr>
        <w:t xml:space="preserve">projet </w:t>
      </w:r>
      <w:r>
        <w:rPr>
          <w:lang w:val="fr-CA"/>
        </w:rPr>
        <w:t>avait été conçu et approuvé avant la décision</w:t>
      </w:r>
      <w:r w:rsidRPr="0042639D">
        <w:rPr>
          <w:lang w:val="fr-CA"/>
        </w:rPr>
        <w:t> 84/92.</w:t>
      </w:r>
      <w:r w:rsidRPr="0042639D">
        <w:rPr>
          <w:rStyle w:val="FootnoteReference"/>
          <w:lang w:val="fr-CA"/>
        </w:rPr>
        <w:footnoteReference w:id="50"/>
      </w:r>
      <w:r w:rsidRPr="0042639D">
        <w:rPr>
          <w:lang w:val="fr-CA"/>
        </w:rPr>
        <w:t xml:space="preserve"> </w:t>
      </w:r>
      <w:r>
        <w:rPr>
          <w:lang w:val="fr-CA"/>
        </w:rPr>
        <w:t>La</w:t>
      </w:r>
      <w:r w:rsidRPr="0042639D">
        <w:rPr>
          <w:lang w:val="fr-CA"/>
        </w:rPr>
        <w:t xml:space="preserve"> Banque Mondiale </w:t>
      </w:r>
      <w:r>
        <w:rPr>
          <w:lang w:val="fr-CA"/>
        </w:rPr>
        <w:t xml:space="preserve">a confirmé que depuis la </w:t>
      </w:r>
      <w:r w:rsidRPr="0042639D">
        <w:rPr>
          <w:lang w:val="fr-CA"/>
        </w:rPr>
        <w:t>87</w:t>
      </w:r>
      <w:r>
        <w:rPr>
          <w:vertAlign w:val="superscript"/>
          <w:lang w:val="fr-CA"/>
        </w:rPr>
        <w:t>e</w:t>
      </w:r>
      <w:r w:rsidRPr="0042639D">
        <w:rPr>
          <w:lang w:val="fr-CA"/>
        </w:rPr>
        <w:t xml:space="preserve"> réunion, </w:t>
      </w:r>
      <w:r>
        <w:rPr>
          <w:lang w:val="fr-CA"/>
        </w:rPr>
        <w:t>la collecte de données sur les genres et l’inclusion de certaines des mesures de surveillance de base sur l’équilibre hommes-femmes ont été incorporées dans le manuel de mise en œuvre du projet</w:t>
      </w:r>
      <w:r w:rsidR="006A1EE7" w:rsidRPr="006345CD">
        <w:rPr>
          <w:lang w:val="fr-CA"/>
        </w:rPr>
        <w:t xml:space="preserve">. </w:t>
      </w:r>
    </w:p>
    <w:p w14:paraId="42062428" w14:textId="5937923F" w:rsidR="006A1EE7" w:rsidRPr="00A51E02" w:rsidRDefault="00A51E02" w:rsidP="006A1EE7">
      <w:pPr>
        <w:rPr>
          <w:b/>
          <w:bCs/>
          <w:lang w:val="fr-CA"/>
        </w:rPr>
      </w:pPr>
      <w:r w:rsidRPr="00110D28">
        <w:rPr>
          <w:b/>
          <w:bCs/>
          <w:lang w:val="fr-CA"/>
        </w:rPr>
        <w:t xml:space="preserve">Suite des échanges sur la phase II révisée du PGEH </w:t>
      </w:r>
    </w:p>
    <w:p w14:paraId="00A5E063" w14:textId="77777777" w:rsidR="006A1EE7" w:rsidRPr="00A51E02" w:rsidRDefault="006A1EE7" w:rsidP="006A1EE7">
      <w:pPr>
        <w:rPr>
          <w:lang w:val="fr-CA"/>
        </w:rPr>
      </w:pPr>
    </w:p>
    <w:p w14:paraId="7FA0769E" w14:textId="77777777" w:rsidR="00A51E02" w:rsidRPr="00776F27" w:rsidRDefault="00A51E02" w:rsidP="00A51E02">
      <w:pPr>
        <w:pStyle w:val="Heading1"/>
        <w:rPr>
          <w:lang w:val="fr-FR"/>
        </w:rPr>
      </w:pPr>
      <w:r>
        <w:rPr>
          <w:lang w:val="fr"/>
        </w:rPr>
        <w:t>En réponse à la proposition du Secrétariat, la Banque mondiale a :</w:t>
      </w:r>
    </w:p>
    <w:p w14:paraId="49F37712" w14:textId="77777777" w:rsidR="00A51E02" w:rsidRPr="00776F27" w:rsidRDefault="00A51E02" w:rsidP="00A51E02">
      <w:pPr>
        <w:pStyle w:val="Heading2"/>
        <w:rPr>
          <w:lang w:val="fr-FR"/>
        </w:rPr>
      </w:pPr>
      <w:r>
        <w:rPr>
          <w:lang w:val="fr"/>
        </w:rPr>
        <w:t xml:space="preserve">Confirmé que les entreprises du secteur de la fabrication d’équipement de climatisation se sont engagées à ne plus importer de climatiseurs utilisant du R-410A d’ici l’achèvement du projet, tout en notant qu’un tel engagement est contraint dans le temps et conforme aux réglementations en vigueur dans le pays. L’industrie pourrait choisir de modifier sa stratégie économique à moyen ou long terme ; </w:t>
      </w:r>
    </w:p>
    <w:p w14:paraId="1C2BC821" w14:textId="77777777" w:rsidR="00A51E02" w:rsidRPr="00776F27" w:rsidRDefault="00A51E02" w:rsidP="00A51E02">
      <w:pPr>
        <w:pStyle w:val="Heading2"/>
        <w:widowControl/>
        <w:rPr>
          <w:lang w:val="fr-FR"/>
        </w:rPr>
      </w:pPr>
      <w:r>
        <w:rPr>
          <w:lang w:val="fr"/>
        </w:rPr>
        <w:t>Accepté les conditions proposées par le Secrétariat pour le secteur des mousses à une exception près. La proposition soumise par la Banque mondiale comprenait un coût estimé de 500 000 $ US pour convertir Darling and Tan A dans le secteur de la fabrication de mousse. À la suite de la soumission de cette proposition, et compte tenu du travail additionnel mené par la PMU, l’estimation du coût de cette conversion s’est avérée plus proche de 600 000 $ US. Par conséquent, la Banque mondiale a proposé que le Viet Nam ait la flexibilité de fournir au besoin moins de financement aux entreprises de formulation afin de ne pas dépasser le financement convenu de 2 529 589 $ US pour le secteur ;</w:t>
      </w:r>
    </w:p>
    <w:p w14:paraId="56A9649E" w14:textId="2C330FEA" w:rsidR="00A51E02" w:rsidRPr="00776F27" w:rsidRDefault="00A51E02" w:rsidP="00A51E02">
      <w:pPr>
        <w:pStyle w:val="Heading2"/>
        <w:rPr>
          <w:lang w:val="fr-FR"/>
        </w:rPr>
      </w:pPr>
      <w:r>
        <w:rPr>
          <w:lang w:val="fr"/>
        </w:rPr>
        <w:t xml:space="preserve">Noté que, dans le secteur de la fabrication d’équipement de réfrigération, le coût estimé de 624 000 $ US pour les </w:t>
      </w:r>
      <w:r w:rsidR="00307928">
        <w:rPr>
          <w:lang w:val="fr"/>
        </w:rPr>
        <w:t>deux entreprises identifiées pré</w:t>
      </w:r>
      <w:r>
        <w:rPr>
          <w:lang w:val="fr"/>
        </w:rPr>
        <w:t>senté dans la proposition soumise par la Banque mondiale avait peut-être été sous-estimé ; de plus, la Banque mondiale s’est opposée à la suppression du projet de groupe destiné à s’attaquer à la consommation de HCFC-22 restante dans la fabrication et a proposé, à la place, de maintenir le projet de groupe et, en cas de progrès limité, de restituer tout financement non engagé dans ce projet de groupe lors de la 91</w:t>
      </w:r>
      <w:r>
        <w:rPr>
          <w:vertAlign w:val="superscript"/>
          <w:lang w:val="fr"/>
        </w:rPr>
        <w:t>e</w:t>
      </w:r>
      <w:r>
        <w:rPr>
          <w:lang w:val="fr"/>
        </w:rPr>
        <w:t> réunion ;</w:t>
      </w:r>
    </w:p>
    <w:p w14:paraId="3B85D7F1" w14:textId="77777777" w:rsidR="00A51E02" w:rsidRPr="00776F27" w:rsidRDefault="00A51E02" w:rsidP="00A51E02">
      <w:pPr>
        <w:pStyle w:val="Heading2"/>
        <w:widowControl/>
        <w:rPr>
          <w:lang w:val="fr-FR"/>
        </w:rPr>
      </w:pPr>
      <w:r>
        <w:rPr>
          <w:lang w:val="fr"/>
        </w:rPr>
        <w:t>Réitéré la nécessité des activités proposées dans le secteur de l’entretien, notamment la nécessité d’atteindre l’objectif de formation de 3000 techniciens aussi vite que possible sachant qu’il ne reste qu’un an et demi pour mettre en œuvre le projet, à noter que la formation a été retardée par la pandémie de COVID-19 ; et la nécessité de veiller à ce que suffisamment de techniciens aient été correctement formés pour gérer, installer et entretenir les équipements utilisant du HFC-32 compte tenu de l’essor rapide des unités de climatisation utilisant du HFC-32 dans le pays ;</w:t>
      </w:r>
    </w:p>
    <w:p w14:paraId="18BA0A86" w14:textId="77777777" w:rsidR="00A51E02" w:rsidRPr="00776F27" w:rsidRDefault="00A51E02" w:rsidP="00A51E02">
      <w:pPr>
        <w:pStyle w:val="Heading2"/>
        <w:rPr>
          <w:lang w:val="fr-FR"/>
        </w:rPr>
      </w:pPr>
      <w:r>
        <w:rPr>
          <w:lang w:val="fr"/>
        </w:rPr>
        <w:t>Réitéré que la nécessité d’augmenter le financement de l’assistance technique (TA) et de l’unité de mise en œuvre et de supervision du projet (PMU) provenait de la diminution du financement des secteurs de la fabrication en dépit de l’existence de PME qui continuent à utiliser ou risquent de recommencer à utiliser des HCFC. Des démarches de sensibilisation et d’information par le biais de l’assistance technique et de la PMU seraient cruciales pour aborder ces PME. Par conséquent, le financement du PGEH a été redirigé du soutien d’investissement direct à la diffusion des connaissances sur les produits de remplacement vers les normes et le matériel pédagogique, ainsi qu’en facilitant le réseautage et l’échange de retours d’expérience sur l’élimination des HCFC. De plus, le changement de modalités entre les sous projets d’investissement et les sous projets utilisant des intermédiaires (c’est-à-dire les entreprises de formulation et un projet de groupe) a augmenté le besoin d’assistance technique et de la PMU. Par conséquent, la Banque mondiale n’a pas considéré que la proposition de financement à hauteur de 9,5 % pour l’assistance technique et la PMU était réaliste.</w:t>
      </w:r>
    </w:p>
    <w:p w14:paraId="34328595" w14:textId="77777777" w:rsidR="00A51E02" w:rsidRPr="00776F27" w:rsidRDefault="00A51E02" w:rsidP="00A51E02">
      <w:pPr>
        <w:pStyle w:val="Heading1"/>
        <w:rPr>
          <w:lang w:val="fr-FR"/>
        </w:rPr>
      </w:pPr>
      <w:r>
        <w:rPr>
          <w:lang w:val="fr"/>
        </w:rPr>
        <w:t>Compte tenu de la réponse fournie par la Banque mondiale et des discussions supplémentaires qui en ont découlé, le Secrétariat a proposé les modifications suivantes à sa proposition :</w:t>
      </w:r>
    </w:p>
    <w:p w14:paraId="113B62DF" w14:textId="77777777" w:rsidR="00A51E02" w:rsidRPr="00776F27" w:rsidRDefault="00A51E02" w:rsidP="00A51E02">
      <w:pPr>
        <w:pStyle w:val="Heading2"/>
        <w:rPr>
          <w:lang w:val="fr-FR"/>
        </w:rPr>
      </w:pPr>
      <w:r>
        <w:rPr>
          <w:lang w:val="fr"/>
        </w:rPr>
        <w:t>D’inclure 30 000 $ US pour développer une norme nationale portant sur la production et l’installation en sécurité d’équipements de climatisation utilisant des frigorigènes inflammables dans le secteur de la fabrication d’équipements de climatisation, à noter qu’un tel ajout serait dans les paramètres de rentabilité convenus par le Comité exécutif lors de sa 76</w:t>
      </w:r>
      <w:r>
        <w:rPr>
          <w:vertAlign w:val="superscript"/>
          <w:lang w:val="fr"/>
        </w:rPr>
        <w:t>e</w:t>
      </w:r>
      <w:r>
        <w:rPr>
          <w:lang w:val="fr"/>
        </w:rPr>
        <w:t> réunion. Sur cette base, le financement convenu pour le secteur de la fabrication d’équipements de climatisation était de 584 612 $ US ;</w:t>
      </w:r>
    </w:p>
    <w:p w14:paraId="2E4CD244" w14:textId="77777777" w:rsidR="00A51E02" w:rsidRPr="00776F27" w:rsidRDefault="00A51E02" w:rsidP="00A51E02">
      <w:pPr>
        <w:pStyle w:val="Heading2"/>
        <w:rPr>
          <w:lang w:val="fr-FR"/>
        </w:rPr>
      </w:pPr>
      <w:r>
        <w:rPr>
          <w:lang w:val="fr"/>
        </w:rPr>
        <w:t>Que le Viet Nam pourrait avoir la flexibilité, dans le secteur de la mousse polyuréthane, de fournir un financement moins important aux entreprises de formulation que le montant proposé par le Secrétariat tant que la rentabilité de Darling et de Tan A reste dans le rapport coût-efficacité spécifié dans la décision 74/50 ;</w:t>
      </w:r>
    </w:p>
    <w:p w14:paraId="542B3898" w14:textId="77777777" w:rsidR="00A51E02" w:rsidRPr="00776F27" w:rsidRDefault="00A51E02" w:rsidP="00A51E02">
      <w:pPr>
        <w:pStyle w:val="Heading2"/>
        <w:rPr>
          <w:lang w:val="fr-FR"/>
        </w:rPr>
      </w:pPr>
      <w:r>
        <w:rPr>
          <w:lang w:val="fr"/>
        </w:rPr>
        <w:t>Pour le secteur de la fabrication des équipements de réfrigération, le Secrétariat a proposé un financement de 1 405 292 $ US comme suggéré par la Banque mondiale étant entendu que :</w:t>
      </w:r>
    </w:p>
    <w:p w14:paraId="1926FA69" w14:textId="77777777" w:rsidR="00A51E02" w:rsidRPr="00776F27" w:rsidRDefault="00A51E02" w:rsidP="00A51E02">
      <w:pPr>
        <w:pStyle w:val="Heading3"/>
        <w:numPr>
          <w:ilvl w:val="2"/>
          <w:numId w:val="1"/>
        </w:numPr>
        <w:rPr>
          <w:lang w:val="fr-FR"/>
        </w:rPr>
      </w:pPr>
      <w:r>
        <w:rPr>
          <w:lang w:val="fr"/>
        </w:rPr>
        <w:t xml:space="preserve">Le niveau de financement maximum pour le secteur de la fabrication d’équipements de réfrigération s’élève à 1 405 292 $ US en se basant sur l’élimination de 117,11 tm de HCFC-22 par les entreprises de fabrication d’équipements de réfrigération éligibles ; </w:t>
      </w:r>
    </w:p>
    <w:p w14:paraId="076143CC" w14:textId="77777777" w:rsidR="00A51E02" w:rsidRPr="00776F27" w:rsidRDefault="00A51E02" w:rsidP="00A51E02">
      <w:pPr>
        <w:pStyle w:val="Heading3"/>
        <w:numPr>
          <w:ilvl w:val="2"/>
          <w:numId w:val="1"/>
        </w:numPr>
        <w:rPr>
          <w:lang w:val="fr-FR"/>
        </w:rPr>
      </w:pPr>
      <w:r>
        <w:rPr>
          <w:lang w:val="fr"/>
        </w:rPr>
        <w:t xml:space="preserve">Le Gouvernement aurait la flexibilité d’utiliser le financement approuvé pour le secteur pour mettre en œuvre des activités d’assistance technique afin d’aider aux conversions dans le secteur tant que la rentabilité globale du secteur reste compatible avec les 12,00 $ US/kg approuvés par le Comité exécutif ; </w:t>
      </w:r>
    </w:p>
    <w:p w14:paraId="39729EAF" w14:textId="77777777" w:rsidR="00A51E02" w:rsidRPr="00776F27" w:rsidRDefault="00A51E02" w:rsidP="00A51E02">
      <w:pPr>
        <w:pStyle w:val="Heading3"/>
        <w:widowControl/>
        <w:numPr>
          <w:ilvl w:val="2"/>
          <w:numId w:val="1"/>
        </w:numPr>
        <w:rPr>
          <w:lang w:val="fr-FR"/>
        </w:rPr>
      </w:pPr>
      <w:r>
        <w:rPr>
          <w:lang w:val="fr"/>
        </w:rPr>
        <w:t xml:space="preserve"> Le Gouvernement devrait soumettre, par le biais de la Banque mondiale, un rapport périodique 16 semaines avant la 91e réunion détaillant l’avancement de la mise en œuvre, notamment le nombre d’entreprises ayant signé des accords de subvention partielle (SGA) pour participer au projet, leur élimination et le coût de ces SGA ; </w:t>
      </w:r>
    </w:p>
    <w:p w14:paraId="7D3E748A" w14:textId="361729A2" w:rsidR="00A51E02" w:rsidRPr="00776F27" w:rsidRDefault="00A51E02" w:rsidP="00A51E02">
      <w:pPr>
        <w:pStyle w:val="Heading3"/>
        <w:numPr>
          <w:ilvl w:val="2"/>
          <w:numId w:val="1"/>
        </w:numPr>
        <w:rPr>
          <w:lang w:val="fr-FR"/>
        </w:rPr>
      </w:pPr>
      <w:r>
        <w:rPr>
          <w:lang w:val="fr"/>
        </w:rPr>
        <w:t>Seules les entreprises éligibles avec une consommation confirmée de HCFC-22 dans le secteur de la fabrication d’équipements de réfrigération (et non de l’assemblage) profiteraient de l’assistance et la Banque mondiale fournirait la liste de ces entreprises dans le rapport d’achèvement de projet ;</w:t>
      </w:r>
    </w:p>
    <w:p w14:paraId="6009D196" w14:textId="77777777" w:rsidR="00A51E02" w:rsidRPr="00776F27" w:rsidRDefault="00A51E02" w:rsidP="00A51E02">
      <w:pPr>
        <w:pStyle w:val="Heading3"/>
        <w:numPr>
          <w:ilvl w:val="2"/>
          <w:numId w:val="1"/>
        </w:numPr>
        <w:rPr>
          <w:lang w:val="fr-FR"/>
        </w:rPr>
      </w:pPr>
      <w:r>
        <w:rPr>
          <w:lang w:val="fr"/>
        </w:rPr>
        <w:t>Les entreprises aidées dans le cadre de ce projet se sont engagées à fabriquer des équipements de réfrigération utilisant des substances à faible PRG et à ne pas fabriquer ou importer des équipements de réfrigération utilisation des substances à fort PRG ; et</w:t>
      </w:r>
    </w:p>
    <w:p w14:paraId="73BA4048" w14:textId="77777777" w:rsidR="00A51E02" w:rsidRPr="00776F27" w:rsidRDefault="00A51E02" w:rsidP="00A51E02">
      <w:pPr>
        <w:pStyle w:val="Heading3"/>
        <w:keepNext/>
        <w:widowControl/>
        <w:numPr>
          <w:ilvl w:val="2"/>
          <w:numId w:val="1"/>
        </w:numPr>
        <w:rPr>
          <w:lang w:val="fr-FR"/>
        </w:rPr>
      </w:pPr>
      <w:r>
        <w:rPr>
          <w:lang w:val="fr"/>
        </w:rPr>
        <w:t>Compte tenu des informations disponibles sur les coûts éligibles à soumettre lors de la 91</w:t>
      </w:r>
      <w:r>
        <w:rPr>
          <w:vertAlign w:val="superscript"/>
          <w:lang w:val="fr"/>
        </w:rPr>
        <w:t>e</w:t>
      </w:r>
      <w:r>
        <w:rPr>
          <w:lang w:val="fr"/>
        </w:rPr>
        <w:t> réunion conformément aux sous-paragraphes (i), (ii) et (iii) ci-dessus, le gouvernement du Viet Nam, par le biais de la Banque mondiale, restituerait lors de la 91</w:t>
      </w:r>
      <w:r>
        <w:rPr>
          <w:vertAlign w:val="superscript"/>
          <w:lang w:val="fr"/>
        </w:rPr>
        <w:t>e</w:t>
      </w:r>
      <w:r>
        <w:rPr>
          <w:lang w:val="fr"/>
        </w:rPr>
        <w:t> réunion la différence entre le niveau de financement maximum convenu (1 405 292 $ US) et les coûts éligibles plus les 9,5 % associés à la PMU et à la possible assistance technique. Par exemple, si d’ici la 91e réunion, l’élimination totale de la part des entreprises ayant signé des SGA était de 100 </w:t>
      </w:r>
      <w:proofErr w:type="spellStart"/>
      <w:r>
        <w:rPr>
          <w:lang w:val="fr"/>
        </w:rPr>
        <w:t>tm</w:t>
      </w:r>
      <w:proofErr w:type="spellEnd"/>
      <w:r>
        <w:rPr>
          <w:lang w:val="fr"/>
        </w:rPr>
        <w:t xml:space="preserve"> de HCFC-22 au lieu des 117,11 tm attendues, le Gouvernement, par le biais de la Banque mondiale, restituerait 224 795 $ US, plus les coûts d’appui d’agence, lors de la 91</w:t>
      </w:r>
      <w:r>
        <w:rPr>
          <w:vertAlign w:val="superscript"/>
          <w:lang w:val="fr"/>
        </w:rPr>
        <w:t>e</w:t>
      </w:r>
      <w:r>
        <w:rPr>
          <w:lang w:val="fr"/>
        </w:rPr>
        <w:t> réunion ;</w:t>
      </w:r>
    </w:p>
    <w:p w14:paraId="4B40ED5C" w14:textId="77777777" w:rsidR="00A51E02" w:rsidRPr="00776F27" w:rsidRDefault="00A51E02" w:rsidP="00A51E02">
      <w:pPr>
        <w:pStyle w:val="Heading2"/>
        <w:keepNext/>
        <w:keepLines/>
        <w:rPr>
          <w:lang w:val="fr-FR"/>
        </w:rPr>
      </w:pPr>
      <w:r>
        <w:rPr>
          <w:lang w:val="fr"/>
        </w:rPr>
        <w:t>Pour le secteur de l’entretien des équipements de réfrigération qui doit être mis en œuvre par la Banque mondiale, le Secrétariat a proposé un financement de 2 699 570 $ US comme suggéré par la Banque mondiale étant entendu que :</w:t>
      </w:r>
    </w:p>
    <w:p w14:paraId="14DECF25" w14:textId="77777777" w:rsidR="00A51E02" w:rsidRPr="00776F27" w:rsidRDefault="00A51E02" w:rsidP="00A51E02">
      <w:pPr>
        <w:pStyle w:val="Heading3"/>
        <w:keepNext/>
        <w:keepLines/>
        <w:numPr>
          <w:ilvl w:val="2"/>
          <w:numId w:val="1"/>
        </w:numPr>
        <w:rPr>
          <w:lang w:val="fr-FR"/>
        </w:rPr>
      </w:pPr>
      <w:r>
        <w:rPr>
          <w:lang w:val="fr"/>
        </w:rPr>
        <w:t>Le Gouvernement, par le biais de la Banque mondiale, soumettrait un plan de mise en œuvre détaillé pour le secteur de l’entretien conforme au financement révisé au sein de la soumission à fournir 16 semaines avant la 91</w:t>
      </w:r>
      <w:r>
        <w:rPr>
          <w:vertAlign w:val="superscript"/>
          <w:lang w:val="fr"/>
        </w:rPr>
        <w:t>e</w:t>
      </w:r>
      <w:r>
        <w:rPr>
          <w:lang w:val="fr"/>
        </w:rPr>
        <w:t xml:space="preserve"> réunion ; </w:t>
      </w:r>
    </w:p>
    <w:p w14:paraId="42BD876C" w14:textId="77777777" w:rsidR="00A51E02" w:rsidRPr="00776F27" w:rsidRDefault="00A51E02" w:rsidP="00A51E02">
      <w:pPr>
        <w:pStyle w:val="Heading3"/>
        <w:numPr>
          <w:ilvl w:val="2"/>
          <w:numId w:val="1"/>
        </w:numPr>
        <w:rPr>
          <w:lang w:val="fr-FR"/>
        </w:rPr>
      </w:pPr>
      <w:r>
        <w:rPr>
          <w:lang w:val="fr"/>
        </w:rPr>
        <w:t>Le financement supplémentaire de 1 330 000 $ US résulterait en une réduction supplémentaire de la consommation restante du pays éligible au financement à hauteur de 277,07 tm. Cependant, le Secrétariat n’a pas proposé de déduire cette valeur en intégralité. Entre 2014 et 2021, la consommation du secteur de la fabrication d’équipement de réfrigération a diminué de 341,71 tm. Comme l’a noté la Banque mondiale, l’un des défis rencontrés dans le secteur de la fabrication d’équipements de réfrigération est que certaines entreprises ne sont plus des fabricants, mais appartiennent désormais au secteur de l’entretien (c’est-à-dire de l’assemblage). Par conséquent, une partie de la réduction de 341,71 tm de la consommation de HCFC-22 dans le secteur de la fabrication d’équipement de réfrigération n’est pas de l’élimination, mais a été en réalité « convertie » vers le sous-secteur de l’assemblage. En l’absence de données sur la quantité de réduction imputable à cette « conversion » et sur la quantité éliminée en en raison de l’essor du R-404A, du HFC-134a et d’autres produits de remplacement et d’autres raisons, le Secrétariat a proposé de considérer que la moitié de cette réduction était imputable à la « conversion » vers le sous-secteur de l’assemblage, et que l’autre moitié était une élimination imputable à l’essor des HFC ou à d’autres raisons. À partir de ces informations, les réductions supplémentaires de consommation restante de HCFC-22 éligible au financement s’élèvent à 106,23 tm (5,84 tonnes PAO) ; et</w:t>
      </w:r>
    </w:p>
    <w:p w14:paraId="7C0110EC" w14:textId="77777777" w:rsidR="00A51E02" w:rsidRPr="00776F27" w:rsidRDefault="00A51E02" w:rsidP="00A51E02">
      <w:pPr>
        <w:pStyle w:val="Heading2"/>
        <w:rPr>
          <w:lang w:val="fr-FR"/>
        </w:rPr>
      </w:pPr>
      <w:r>
        <w:rPr>
          <w:lang w:val="fr"/>
        </w:rPr>
        <w:t>Pour l’assistance technique et la PMU, le Secrétariat propose un financement de 708 006 $ US, qui équivaut à 9,5 % des coûts de la proposition révisée du Secrétariat, à noter que le financement de l’assistance technique et de la PMU pourrait encore diminuer conformément au sous-paragraphe (c)(vi) ci-dessus et étant entendu que le Gouvernement, par le biais de la Banque mondiale, inclurait dans la soumission à fournir 16 semaines avant la 91</w:t>
      </w:r>
      <w:r>
        <w:rPr>
          <w:vertAlign w:val="superscript"/>
          <w:lang w:val="fr"/>
        </w:rPr>
        <w:t>e</w:t>
      </w:r>
      <w:r>
        <w:rPr>
          <w:lang w:val="fr"/>
        </w:rPr>
        <w:t> réunion les détails de l’utilisation du financement de l’assistance technique et de la PMU.</w:t>
      </w:r>
    </w:p>
    <w:p w14:paraId="4FF33401" w14:textId="77777777" w:rsidR="00A51E02" w:rsidRPr="00776F27" w:rsidRDefault="00A51E02" w:rsidP="00A51E02">
      <w:pPr>
        <w:pStyle w:val="Heading1"/>
        <w:rPr>
          <w:lang w:val="fr-FR"/>
        </w:rPr>
      </w:pPr>
      <w:r>
        <w:rPr>
          <w:lang w:val="fr"/>
        </w:rPr>
        <w:t>Bien que la Banque mondiale ait accepté la majorité de la proposition révisée du Secrétariat, elle s’est opposée à la date limite de 16 semaines pour la soumission des informations supplémentaires pour la 91</w:t>
      </w:r>
      <w:r>
        <w:rPr>
          <w:vertAlign w:val="superscript"/>
          <w:lang w:val="fr"/>
        </w:rPr>
        <w:t>e</w:t>
      </w:r>
      <w:r>
        <w:rPr>
          <w:lang w:val="fr"/>
        </w:rPr>
        <w:t xml:space="preserve"> réunion. À la place, il a été convenu que les informations seraient soumises au plus tard 10 semaines avant la réunion pour maximiser le temps disponible afin que le pays mette en œuvre le projet et sécurise les SGA signés nécessaires. De plus, la Banque mondiale et le Gouvernement ont entrepris une révision exhaustive des activités proposées dans le cadre des composantes de l’assistance technique et de la PMU et ont proposé un financement de 734 463 $ US pour ces composantes, ce qui représenterait 9,9 % du financement proposé pour la phase II du PGEH. Compte tenu des défis de mise en œuvre rencontrés jusqu’ici, et des efforts importants de rationalisation des coûts consentis par le Gouvernement et la Banque mondiale, le Secrétariat a considéré que le niveau révisé de financement proposé par la Banque mondiale pour l’assistance technique et la PMU était approprié tant que les activités proposées dans le secteur de la fabrication d’équipements de réfrigération seront intégralement mises en œuvre. </w:t>
      </w:r>
    </w:p>
    <w:p w14:paraId="401EF762" w14:textId="77777777" w:rsidR="00A51E02" w:rsidRPr="00776F27" w:rsidRDefault="00A51E02" w:rsidP="00A51E02">
      <w:pPr>
        <w:pStyle w:val="Heading1"/>
        <w:rPr>
          <w:lang w:val="fr-FR"/>
        </w:rPr>
      </w:pPr>
      <w:r>
        <w:rPr>
          <w:lang w:val="fr"/>
        </w:rPr>
        <w:t>Cependant, bien que la Banque mondiale ait accepté de restituer le financement non engagé par des SGA signés pour le secteur de la fabrication d’équipements de réfrigération lors de la 91</w:t>
      </w:r>
      <w:r>
        <w:rPr>
          <w:vertAlign w:val="superscript"/>
          <w:lang w:val="fr"/>
        </w:rPr>
        <w:t>e</w:t>
      </w:r>
      <w:r>
        <w:rPr>
          <w:lang w:val="fr"/>
        </w:rPr>
        <w:t> réunion, elle n’a pas accepté de restituer les 9,5 % supplémentaires associés à l’assistance technique et à la PMU. La Banque mondiale a noté qu’une telle approche limiterait significativement la possibilité pour le pays de relever les défis continus de mise en œuvre d’une manière agile et efficace et demande que le pays mette de côté le financement de l’assistance technique et de la PMU au cas où les activités planifiées du secteur n’utilisent pas totalement le montant du financement révisé. La planification budgétaire n’a pas été réalisée de cette façon ; en effet, la planification est basée sur ce qui sera nécessaire pour la mise en œuvre de l’intégralité du projet et pour atteindre les objectifs globaux et les objectifs intermédiaires. En outre, 42 % du budget original de l’assistance technique et de la PMU a déjà été décaissé, et des ressources supplémentaires substantielles ont déjà été engagées pour remplir les fonctions nécessaires tout au long du projet. La Banque mondiale a insisté sur le fait que s’il y avait une restitution du financement de projet lors de la 91</w:t>
      </w:r>
      <w:r>
        <w:rPr>
          <w:vertAlign w:val="superscript"/>
          <w:lang w:val="fr"/>
        </w:rPr>
        <w:t>e</w:t>
      </w:r>
      <w:r>
        <w:rPr>
          <w:lang w:val="fr"/>
        </w:rPr>
        <w:t> réunion, elle étudierait soigneusement les composantes de l’assistance technique et de la PMU afin de déterminer si une restitution additionnelle était possible.</w:t>
      </w:r>
    </w:p>
    <w:p w14:paraId="7F054F74" w14:textId="77777777" w:rsidR="00A51E02" w:rsidRPr="00E93A6F" w:rsidRDefault="00A51E02" w:rsidP="00A51E02">
      <w:pPr>
        <w:rPr>
          <w:b/>
          <w:bCs/>
        </w:rPr>
      </w:pPr>
      <w:r>
        <w:rPr>
          <w:b/>
          <w:bCs/>
          <w:lang w:val="fr"/>
        </w:rPr>
        <w:t xml:space="preserve">État d’avancement des discussions </w:t>
      </w:r>
    </w:p>
    <w:p w14:paraId="09C601B7" w14:textId="77777777" w:rsidR="00A51E02" w:rsidRPr="00E93A6F" w:rsidRDefault="00A51E02" w:rsidP="00A51E02"/>
    <w:p w14:paraId="0C3C849A" w14:textId="7CDA5E5C" w:rsidR="00A51E02" w:rsidRPr="00776F27" w:rsidRDefault="00A51E02" w:rsidP="00A51E02">
      <w:pPr>
        <w:pStyle w:val="Heading1"/>
        <w:rPr>
          <w:lang w:val="fr-FR"/>
        </w:rPr>
      </w:pPr>
      <w:r>
        <w:rPr>
          <w:lang w:val="fr"/>
        </w:rPr>
        <w:t>Nonobstant des discussions constructives, des efforts considérables et une flexibilité de la part du gouvernement du Viet Nam, aucun accord concernant les modifications de la phase II du PGEH n’a pu être atteint dans le temps limite imparti. En particulier,</w:t>
      </w:r>
      <w:r w:rsidR="00110D28">
        <w:rPr>
          <w:lang w:val="fr"/>
        </w:rPr>
        <w:t xml:space="preserve"> </w:t>
      </w:r>
      <w:r>
        <w:rPr>
          <w:lang w:val="fr"/>
        </w:rPr>
        <w:t>le Secrétariat continue à s’inquiéter de l’existence de risques substantiels à la mise en œuvre réussie des conversions du secteur de la fabrication d’équipements de réfrigération d’ici la date prorogée d’achèvement du projet et juge approprié de partager ces risques à travers la restitution additionnelle de l’assistance technique et de la PMU. De plus, le Secrétariat juge important que le financement alloué à l’assistance technique et à la PMU qui n’inclut pas de réduction de la consommation de HCFC d’un pays éligible au financement soit équitable à travers tous les pays visés à l’Article 5. À partir de ces informations, d’autres solutions que celle proposée par le Secrétariat pourraient être envisageables. Par exemple, il pourrait être envisageable d’approuver seulement une partie du financement pour le projet de groupe dans le secteur de la fabrication d’équipements de réfrigération et, compte tenu des progrès réalisés d’ici la 91</w:t>
      </w:r>
      <w:r>
        <w:rPr>
          <w:vertAlign w:val="superscript"/>
          <w:lang w:val="fr"/>
        </w:rPr>
        <w:t>e</w:t>
      </w:r>
      <w:r>
        <w:rPr>
          <w:lang w:val="fr"/>
        </w:rPr>
        <w:t xml:space="preserve"> réunion, d’envisager à ce moment-là un financement supplémentaire pour le projet de groupe ainsi que pour l’assistant technique et pour la PMU, et de proroger de nouveau la date d’achèvement du projet. </w:t>
      </w:r>
    </w:p>
    <w:p w14:paraId="08B7C77D" w14:textId="77777777" w:rsidR="00A51E02" w:rsidRPr="00776F27" w:rsidRDefault="00A51E02" w:rsidP="00A51E02">
      <w:pPr>
        <w:pStyle w:val="Heading1"/>
        <w:rPr>
          <w:lang w:val="fr-FR"/>
        </w:rPr>
      </w:pPr>
      <w:r>
        <w:rPr>
          <w:lang w:val="fr"/>
        </w:rPr>
        <w:t xml:space="preserve">À noter que la Banque mondiale et le Secrétariat se sont mis d’accord sur les modifications de la phase II du PGEH sauf en ce qui concerne le niveau de financement révisé du secteur de la fabrication d’équipements de réfrigération, de l’assistance technique et de la PMU, ainsi que des conditions relatives à ces niveaux de financement révisé. Le Secrétariat va poursuivre ses discussions avec la Banque mondiale dans le but de convenir d’une marche à suivre sur ces points en souffrance qui convienne au gouvernement du Viet Nam et soit conforme aux décisions et directives du Comité exécutif. </w:t>
      </w:r>
    </w:p>
    <w:p w14:paraId="0D6CBB17" w14:textId="77777777" w:rsidR="00A51E02" w:rsidRPr="00E93A6F" w:rsidRDefault="00A51E02" w:rsidP="00A51E02">
      <w:pPr>
        <w:keepNext/>
        <w:keepLines/>
        <w:spacing w:after="240"/>
        <w:rPr>
          <w:b/>
        </w:rPr>
      </w:pPr>
      <w:bookmarkStart w:id="13" w:name="_Hlk104459628"/>
      <w:r>
        <w:rPr>
          <w:b/>
          <w:bCs/>
          <w:lang w:val="fr"/>
        </w:rPr>
        <w:t>Recommandation</w:t>
      </w:r>
    </w:p>
    <w:p w14:paraId="1F520912" w14:textId="77777777" w:rsidR="00A51E02" w:rsidRPr="00776F27" w:rsidRDefault="00A51E02" w:rsidP="00A51E02">
      <w:pPr>
        <w:pStyle w:val="Heading1"/>
        <w:rPr>
          <w:lang w:val="fr-FR"/>
        </w:rPr>
      </w:pPr>
      <w:r>
        <w:rPr>
          <w:lang w:val="fr"/>
        </w:rPr>
        <w:t>Le Comité exécutif pourrait souhaiter :</w:t>
      </w:r>
    </w:p>
    <w:p w14:paraId="2932B55B" w14:textId="77777777" w:rsidR="00A51E02" w:rsidRPr="00776F27" w:rsidRDefault="00A51E02" w:rsidP="00A51E02">
      <w:pPr>
        <w:pStyle w:val="Heading2"/>
        <w:rPr>
          <w:lang w:val="fr-FR"/>
        </w:rPr>
      </w:pPr>
      <w:r>
        <w:rPr>
          <w:lang w:val="fr"/>
        </w:rPr>
        <w:t xml:space="preserve">Prendre note du rapport périodique sur la mise en œuvre de la phase II du plan de gestion de l’élimination des HCFC (PGEH) pour le Viet Nam, soumis par la Banque mondiale et présenté dans le document UNEP/OzL.Pro/ExCom/90/9 ; </w:t>
      </w:r>
    </w:p>
    <w:p w14:paraId="19643848" w14:textId="77777777" w:rsidR="00A51E02" w:rsidRPr="00776F27" w:rsidRDefault="00A51E02" w:rsidP="00A51E02">
      <w:pPr>
        <w:pStyle w:val="Heading2"/>
        <w:rPr>
          <w:lang w:val="fr-FR"/>
        </w:rPr>
      </w:pPr>
      <w:r>
        <w:rPr>
          <w:lang w:val="fr"/>
        </w:rPr>
        <w:t>Approuver les modifications suivantes à la phase II du PGEH pour le Viet Nam :</w:t>
      </w:r>
    </w:p>
    <w:p w14:paraId="34CFDBED" w14:textId="77777777" w:rsidR="00A51E02" w:rsidRPr="00776F27" w:rsidRDefault="00A51E02" w:rsidP="00A51E02">
      <w:pPr>
        <w:pStyle w:val="Heading3"/>
        <w:numPr>
          <w:ilvl w:val="2"/>
          <w:numId w:val="1"/>
        </w:numPr>
        <w:rPr>
          <w:lang w:val="fr-FR"/>
        </w:rPr>
      </w:pPr>
      <w:r>
        <w:rPr>
          <w:lang w:val="fr"/>
        </w:rPr>
        <w:t>Le financement révisé pour le secteur de la fabrication d’équipements de climatisation pour un montant de 584 612 $ US, étant entendu que les entreprises participantes s’engagent à ne plus importer d’unités de climatisation utilisant du R-410A d’ici l’achèvement du projet ;</w:t>
      </w:r>
    </w:p>
    <w:p w14:paraId="2534EEA9" w14:textId="77777777" w:rsidR="00A51E02" w:rsidRPr="00776F27" w:rsidRDefault="00A51E02" w:rsidP="00A51E02">
      <w:pPr>
        <w:pStyle w:val="Heading3"/>
        <w:numPr>
          <w:ilvl w:val="2"/>
          <w:numId w:val="1"/>
        </w:numPr>
        <w:rPr>
          <w:lang w:val="fr-FR"/>
        </w:rPr>
      </w:pPr>
      <w:r>
        <w:rPr>
          <w:lang w:val="fr"/>
        </w:rPr>
        <w:t>Le financement révisé pour le secteur de la fabrication de mousse polyuréthane pour un montant de 2 529 589 $ US, étant entendu que :</w:t>
      </w:r>
    </w:p>
    <w:p w14:paraId="7AB4A1E2" w14:textId="77777777" w:rsidR="00A51E02" w:rsidRPr="00776F27" w:rsidRDefault="00A51E02" w:rsidP="00A51E02">
      <w:pPr>
        <w:pStyle w:val="Heading4"/>
        <w:numPr>
          <w:ilvl w:val="3"/>
          <w:numId w:val="1"/>
        </w:numPr>
        <w:rPr>
          <w:lang w:val="fr-FR"/>
        </w:rPr>
      </w:pPr>
      <w:r>
        <w:rPr>
          <w:lang w:val="fr"/>
        </w:rPr>
        <w:t>Le niveau maximal de financement pour la conversion de Darling et Tan A serait de 600 000 $ US ;</w:t>
      </w:r>
    </w:p>
    <w:p w14:paraId="7EB348CB" w14:textId="77777777" w:rsidR="00A51E02" w:rsidRPr="00776F27" w:rsidRDefault="00A51E02" w:rsidP="00A51E02">
      <w:pPr>
        <w:pStyle w:val="Heading4"/>
        <w:numPr>
          <w:ilvl w:val="3"/>
          <w:numId w:val="1"/>
        </w:numPr>
        <w:rPr>
          <w:lang w:val="fr-FR"/>
        </w:rPr>
      </w:pPr>
      <w:r>
        <w:rPr>
          <w:lang w:val="fr"/>
        </w:rPr>
        <w:t xml:space="preserve">Le niveau maximum de financement pour soutenir jusqu’à quatre entreprises de formulation serait de 1 180 000 $ US, calculé comme suit : 312 500 $ US par entreprise de formulation pour utiliser du cyclopentane, jusqu’à 36 000 $ US pour l’assistance technique aux entreprises de formulation, et jusqu’à 206 500 $ US pour les entreprises de formulation désireuses de fabriquer des systèmes au HFO </w:t>
      </w:r>
      <w:proofErr w:type="spellStart"/>
      <w:r>
        <w:rPr>
          <w:lang w:val="fr"/>
        </w:rPr>
        <w:t>prémélangé</w:t>
      </w:r>
      <w:proofErr w:type="spellEnd"/>
      <w:r>
        <w:rPr>
          <w:lang w:val="fr"/>
        </w:rPr>
        <w:t xml:space="preserve"> (réduit), calculé en fonction de l’élimination prévue découlant de la conversion de 80 petites et moyennes entreprises (PME) pour un total de 35 tm, à noter qu’un tel financement pourrait être décaissé uniquement conformément à la décision 77/35, et que la Banque mondiale devrait inclure dans sa soumission évoquée au sous-paragraphe (c)(ii) ci-dessous le nombre de PME ayant signé une lettre d’engagement de participation à ce projet de conversion aux HFO </w:t>
      </w:r>
      <w:proofErr w:type="spellStart"/>
      <w:r>
        <w:rPr>
          <w:lang w:val="fr"/>
        </w:rPr>
        <w:t>prémélangés</w:t>
      </w:r>
      <w:proofErr w:type="spellEnd"/>
      <w:r>
        <w:rPr>
          <w:lang w:val="fr"/>
        </w:rPr>
        <w:t>, et que le niveau de financement éligible serait déterminé par la consommation des entreprises éligibles ayant signé ces lettres et à des surcoûts d’exploitation convenus à hauteur de 5,90 $ US/kg ;</w:t>
      </w:r>
    </w:p>
    <w:p w14:paraId="3EFC90F4" w14:textId="1B37B56A" w:rsidR="00A51E02" w:rsidRPr="00776F27" w:rsidRDefault="00A51E02" w:rsidP="00A51E02">
      <w:pPr>
        <w:pStyle w:val="Heading4"/>
        <w:keepNext w:val="0"/>
        <w:widowControl w:val="0"/>
        <w:numPr>
          <w:ilvl w:val="3"/>
          <w:numId w:val="1"/>
        </w:numPr>
        <w:ind w:left="2779" w:hanging="709"/>
        <w:rPr>
          <w:lang w:val="fr-FR"/>
        </w:rPr>
      </w:pPr>
      <w:r>
        <w:rPr>
          <w:lang w:val="fr"/>
        </w:rPr>
        <w:t>Seules les entreprises éligibles avec une consommation confirmée de HCFC-22 dans le secteur de la fabrication d’équipements de réfrigération (et non de l’assemblage) profiteraient de l’assistance et la Banque mondiale fournirait la liste de ces entreprises dans le</w:t>
      </w:r>
      <w:r w:rsidR="009B56C1">
        <w:rPr>
          <w:lang w:val="fr"/>
        </w:rPr>
        <w:t xml:space="preserve"> rapport d’achèvement de projet</w:t>
      </w:r>
      <w:r>
        <w:rPr>
          <w:lang w:val="fr"/>
        </w:rPr>
        <w:t> ;</w:t>
      </w:r>
    </w:p>
    <w:p w14:paraId="7A51A832" w14:textId="77777777" w:rsidR="00A51E02" w:rsidRPr="00776F27" w:rsidRDefault="00A51E02" w:rsidP="00A51E02">
      <w:pPr>
        <w:pStyle w:val="Heading4"/>
        <w:keepNext w:val="0"/>
        <w:widowControl w:val="0"/>
        <w:numPr>
          <w:ilvl w:val="3"/>
          <w:numId w:val="1"/>
        </w:numPr>
        <w:ind w:left="2779" w:hanging="709"/>
        <w:rPr>
          <w:lang w:val="fr-FR"/>
        </w:rPr>
      </w:pPr>
      <w:r>
        <w:rPr>
          <w:lang w:val="fr"/>
        </w:rPr>
        <w:t>La capacité convertie vers des produits de remplacement à faible PRG dans les entreprises soutenues dans le cadre de ce projet ne serait pas éligible à un financement de la part du Fonds multilatéral ;</w:t>
      </w:r>
    </w:p>
    <w:p w14:paraId="29AE71EA" w14:textId="77777777" w:rsidR="00A51E02" w:rsidRPr="00776F27" w:rsidRDefault="00A51E02" w:rsidP="00A51E02">
      <w:pPr>
        <w:pStyle w:val="Heading4"/>
        <w:keepNext w:val="0"/>
        <w:widowControl w:val="0"/>
        <w:numPr>
          <w:ilvl w:val="3"/>
          <w:numId w:val="1"/>
        </w:numPr>
        <w:spacing w:after="220"/>
        <w:ind w:left="2779" w:hanging="709"/>
        <w:rPr>
          <w:lang w:val="fr-FR"/>
        </w:rPr>
      </w:pPr>
      <w:r>
        <w:rPr>
          <w:lang w:val="fr"/>
        </w:rPr>
        <w:t>Compte tenu des informations disponibles sur les coûts éligibles à soumettre lors de la 91</w:t>
      </w:r>
      <w:r>
        <w:rPr>
          <w:vertAlign w:val="superscript"/>
          <w:lang w:val="fr"/>
        </w:rPr>
        <w:t>e</w:t>
      </w:r>
      <w:r>
        <w:rPr>
          <w:lang w:val="fr"/>
        </w:rPr>
        <w:t> réunion, le gouvernement du Viet Nam, par le biais de la Banque mondiale, restituerait lors de la 91</w:t>
      </w:r>
      <w:r>
        <w:rPr>
          <w:vertAlign w:val="superscript"/>
          <w:lang w:val="fr"/>
        </w:rPr>
        <w:t>e</w:t>
      </w:r>
      <w:r>
        <w:rPr>
          <w:lang w:val="fr"/>
        </w:rPr>
        <w:t xml:space="preserve"> réunion la différence entre le niveau de financement maximum convenu (2 529 589 $ US) et les coûts éligibles ; </w:t>
      </w:r>
    </w:p>
    <w:p w14:paraId="2454D947" w14:textId="77777777" w:rsidR="00A51E02" w:rsidRPr="00776F27" w:rsidRDefault="00A51E02" w:rsidP="00A51E02">
      <w:pPr>
        <w:pStyle w:val="Heading3"/>
        <w:numPr>
          <w:ilvl w:val="2"/>
          <w:numId w:val="1"/>
        </w:numPr>
        <w:spacing w:after="220"/>
        <w:rPr>
          <w:lang w:val="fr-FR"/>
        </w:rPr>
      </w:pPr>
      <w:r>
        <w:rPr>
          <w:lang w:val="fr"/>
        </w:rPr>
        <w:t>Le financement révisé pour le secteur de l’entretien de l’équipement de réfrigération d’un montant de 2 699 570 $ US résulterait en une réduction supplémentaire de la consommation restante du pays éligible au financement à hauteur de 5,84 tonnes PAO ;</w:t>
      </w:r>
    </w:p>
    <w:p w14:paraId="66204644" w14:textId="4BFE2F1C" w:rsidR="00A51E02" w:rsidRPr="00776F27" w:rsidRDefault="00A51E02" w:rsidP="00A51E02">
      <w:pPr>
        <w:pStyle w:val="Heading3"/>
        <w:numPr>
          <w:ilvl w:val="2"/>
          <w:numId w:val="1"/>
        </w:numPr>
        <w:rPr>
          <w:lang w:val="fr-FR"/>
        </w:rPr>
      </w:pPr>
      <w:r>
        <w:rPr>
          <w:lang w:val="fr"/>
        </w:rPr>
        <w:t>La date révisée d’achèvement du projet au 31 </w:t>
      </w:r>
      <w:r w:rsidR="00110D28">
        <w:rPr>
          <w:lang w:val="fr"/>
        </w:rPr>
        <w:t>décembre</w:t>
      </w:r>
      <w:r>
        <w:rPr>
          <w:lang w:val="fr"/>
        </w:rPr>
        <w:t> 2023 ;</w:t>
      </w:r>
    </w:p>
    <w:p w14:paraId="7F3497DC" w14:textId="77777777" w:rsidR="00A51E02" w:rsidRPr="00E93A6F" w:rsidRDefault="00A51E02" w:rsidP="00A51E02">
      <w:pPr>
        <w:pStyle w:val="Heading2"/>
      </w:pPr>
      <w:r>
        <w:rPr>
          <w:lang w:val="fr"/>
        </w:rPr>
        <w:t>Prendre note en outre :</w:t>
      </w:r>
    </w:p>
    <w:p w14:paraId="1FB2C81D" w14:textId="77777777" w:rsidR="00A51E02" w:rsidRPr="00776F27" w:rsidRDefault="00A51E02" w:rsidP="00A51E02">
      <w:pPr>
        <w:pStyle w:val="Heading3"/>
        <w:numPr>
          <w:ilvl w:val="2"/>
          <w:numId w:val="1"/>
        </w:numPr>
        <w:rPr>
          <w:lang w:val="fr-FR"/>
        </w:rPr>
      </w:pPr>
      <w:r>
        <w:rPr>
          <w:lang w:val="fr"/>
        </w:rPr>
        <w:t>Que le gouvernement va prononcer l’interdiction d’importer du HCFC-141b sous forme de polyols prémélangés et d’utiliser le HCFC-141b sous forme de polyols prémélangés d’ici le 1</w:t>
      </w:r>
      <w:r>
        <w:rPr>
          <w:vertAlign w:val="superscript"/>
          <w:lang w:val="fr"/>
        </w:rPr>
        <w:t>er</w:t>
      </w:r>
      <w:r>
        <w:rPr>
          <w:lang w:val="fr"/>
        </w:rPr>
        <w:t> janvier 2023 ;</w:t>
      </w:r>
    </w:p>
    <w:p w14:paraId="28B3B74F" w14:textId="77777777" w:rsidR="00A51E02" w:rsidRPr="00776F27" w:rsidRDefault="00A51E02" w:rsidP="00A51E02">
      <w:pPr>
        <w:pStyle w:val="Heading3"/>
        <w:numPr>
          <w:ilvl w:val="2"/>
          <w:numId w:val="1"/>
        </w:numPr>
        <w:rPr>
          <w:lang w:val="fr-FR"/>
        </w:rPr>
      </w:pPr>
      <w:r>
        <w:rPr>
          <w:lang w:val="fr"/>
        </w:rPr>
        <w:t>Que le gouvernement devra soumettre, par le biais de la Banque mondiale, un rapport périodique 10 semaines avant la 91</w:t>
      </w:r>
      <w:r>
        <w:rPr>
          <w:vertAlign w:val="superscript"/>
          <w:lang w:val="fr"/>
        </w:rPr>
        <w:t>e</w:t>
      </w:r>
      <w:r>
        <w:rPr>
          <w:lang w:val="fr"/>
        </w:rPr>
        <w:t> réunion détaillant entre autres les sujets suivants : l’état d’avancement de la mise en œuvre de l’interdiction de HCFC-141b sous forme de polyols prémélangés, le nombre d’entreprises de formulation ayant signé des accords de subvention partielle (SGA) et le coût de ces SGA ; la confirmation que Darling et Tan A ont signé des SGA et le coût de ces SGA, le nombre de PME ayant signé des SGA pour participer au projet, leur élimination et le coût de ces SGA ; et un plan détaillé de mise en œuvre pour le secteur de l’entretien conforme au niveau de financement révisé spécifié dans le sous-paragraphe (b)(iii) ci-dessus ;</w:t>
      </w:r>
    </w:p>
    <w:p w14:paraId="118C2313" w14:textId="77777777" w:rsidR="00A51E02" w:rsidRPr="00776F27" w:rsidRDefault="00A51E02" w:rsidP="00A51E02">
      <w:pPr>
        <w:pStyle w:val="Heading3"/>
        <w:numPr>
          <w:ilvl w:val="2"/>
          <w:numId w:val="1"/>
        </w:numPr>
        <w:rPr>
          <w:lang w:val="fr-FR"/>
        </w:rPr>
      </w:pPr>
      <w:r>
        <w:rPr>
          <w:lang w:val="fr"/>
        </w:rPr>
        <w:t>Que le Gouvernement soumettra, par le biais de la Banque mondiale, un projet d’Accord révisé reflétant entre autres le niveau révisé de financement, les réductions supplémentaires de consommation de HCFC-22 éligible au financement, et une date révisée d’achèvement du projet, 10 semaines avant la 91e réunion ; et</w:t>
      </w:r>
    </w:p>
    <w:p w14:paraId="482A4D6B" w14:textId="77777777" w:rsidR="00A51E02" w:rsidRPr="00776F27" w:rsidRDefault="00A51E02" w:rsidP="00A51E02">
      <w:pPr>
        <w:pStyle w:val="Heading2"/>
        <w:rPr>
          <w:lang w:val="fr-FR"/>
        </w:rPr>
      </w:pPr>
      <w:r>
        <w:rPr>
          <w:lang w:val="fr"/>
        </w:rPr>
        <w:t>De demander au Secrétariat de fournir un état des lieux du résultat de la poursuite de ses discussions avec la Banque mondiale concernant la révision du niveau de financement pour le secteur de la fabrication des équipements de réfrigération, l’assistance technique et l’unité de mise en œuvre et de gestion du projet, ainsi que toutes les conditions relatives au financement révisé, lors de la 90</w:t>
      </w:r>
      <w:r>
        <w:rPr>
          <w:vertAlign w:val="superscript"/>
          <w:lang w:val="fr"/>
        </w:rPr>
        <w:t>e</w:t>
      </w:r>
      <w:r>
        <w:rPr>
          <w:lang w:val="fr"/>
        </w:rPr>
        <w:t> réunion.</w:t>
      </w:r>
      <w:bookmarkEnd w:id="13"/>
    </w:p>
    <w:p w14:paraId="19E8E095" w14:textId="77777777" w:rsidR="00A51E02" w:rsidRPr="00776F27" w:rsidRDefault="00A51E02" w:rsidP="00A51E02">
      <w:pPr>
        <w:rPr>
          <w:b/>
          <w:u w:val="single"/>
          <w:lang w:val="fr-FR"/>
        </w:rPr>
      </w:pPr>
      <w:r>
        <w:rPr>
          <w:b/>
          <w:bCs/>
          <w:u w:val="single"/>
          <w:lang w:val="fr"/>
        </w:rPr>
        <w:t>Situation de la mise en œuvre des activités dans les 16 pays visés à l’Article 5 pour lesquels une prorogation des dates d’achèvement des phases I et II de leur plan de gestion de l’élimination des HCFC a été demandée au-delà du 31 décembre 2022 (décision 88/29)</w:t>
      </w:r>
    </w:p>
    <w:p w14:paraId="15FC7E63" w14:textId="77777777" w:rsidR="00A51E02" w:rsidRPr="00776F27" w:rsidRDefault="00A51E02" w:rsidP="00A51E02">
      <w:pPr>
        <w:rPr>
          <w:b/>
          <w:bCs/>
          <w:lang w:val="fr-FR"/>
        </w:rPr>
      </w:pPr>
    </w:p>
    <w:p w14:paraId="12894FAB" w14:textId="77777777" w:rsidR="00A51E02" w:rsidRPr="0012611F" w:rsidRDefault="00A51E02" w:rsidP="00A51E02">
      <w:pPr>
        <w:rPr>
          <w:b/>
          <w:bCs/>
        </w:rPr>
      </w:pPr>
      <w:r>
        <w:rPr>
          <w:b/>
          <w:bCs/>
          <w:lang w:val="fr"/>
        </w:rPr>
        <w:t>Contexte</w:t>
      </w:r>
    </w:p>
    <w:p w14:paraId="38C21356" w14:textId="77777777" w:rsidR="00A51E02" w:rsidRPr="0012611F" w:rsidRDefault="00A51E02" w:rsidP="00A51E02">
      <w:pPr>
        <w:rPr>
          <w:b/>
          <w:bCs/>
        </w:rPr>
      </w:pPr>
    </w:p>
    <w:p w14:paraId="086C9746" w14:textId="77777777" w:rsidR="00A51E02" w:rsidRPr="00776F27" w:rsidRDefault="00A51E02" w:rsidP="00A51E02">
      <w:pPr>
        <w:pStyle w:val="Heading1"/>
        <w:rPr>
          <w:lang w:val="fr-FR"/>
        </w:rPr>
      </w:pPr>
      <w:r>
        <w:rPr>
          <w:lang w:val="fr"/>
        </w:rPr>
        <w:t>Lors de la 88</w:t>
      </w:r>
      <w:r>
        <w:rPr>
          <w:vertAlign w:val="superscript"/>
          <w:lang w:val="fr"/>
        </w:rPr>
        <w:t>e</w:t>
      </w:r>
      <w:r>
        <w:rPr>
          <w:lang w:val="fr"/>
        </w:rPr>
        <w:t xml:space="preserve"> réunion, le Comité exécutif a décidé d’autoriser de façon exceptionnelle : </w:t>
      </w:r>
    </w:p>
    <w:p w14:paraId="48F4016A" w14:textId="77777777" w:rsidR="00A51E02" w:rsidRPr="00776F27" w:rsidRDefault="00A51E02" w:rsidP="00A51E02">
      <w:pPr>
        <w:pStyle w:val="Heading3"/>
        <w:numPr>
          <w:ilvl w:val="2"/>
          <w:numId w:val="1"/>
        </w:numPr>
        <w:rPr>
          <w:lang w:val="fr-FR"/>
        </w:rPr>
      </w:pPr>
      <w:r>
        <w:rPr>
          <w:lang w:val="fr"/>
        </w:rPr>
        <w:t xml:space="preserve">La poursuite de la mise en œuvre des </w:t>
      </w:r>
      <w:bookmarkStart w:id="14" w:name="_Hlk103939311"/>
      <w:r>
        <w:rPr>
          <w:lang w:val="fr"/>
        </w:rPr>
        <w:t xml:space="preserve">activités en souffrance relatives à la phase I du </w:t>
      </w:r>
      <w:bookmarkEnd w:id="14"/>
      <w:r>
        <w:rPr>
          <w:lang w:val="fr"/>
        </w:rPr>
        <w:t>plan de gestion de l’élimination des HCFC (PGEH) pour la Barbade (PNUE), le Botswana (PNUE et ONUDI), le Congo (PNUE), la Côte d’Ivoire (PNUE et ONUDI), la Dominique (PNUE), la Grenade (PNUE), la Jamaïque (PNUE), le Mozambique (PNUE et ONUDI), Saint-Kitts-et-Nevis (PNUE), l’Afrique du Sud (ONUDI), le Suriname (PNUE et ONUDI) et la Zambie (PNUE et ONUDI) et de demander aux agences d’exécution concernées de soumettre, lors de la 90</w:t>
      </w:r>
      <w:r>
        <w:rPr>
          <w:vertAlign w:val="superscript"/>
          <w:lang w:val="fr"/>
        </w:rPr>
        <w:t>e</w:t>
      </w:r>
      <w:r>
        <w:rPr>
          <w:lang w:val="fr"/>
        </w:rPr>
        <w:t xml:space="preserve"> réunion, un plan de mise en œuvre révisé, comprenant, si applicable, des demandes pour les tranches restantes de la phase I ; </w:t>
      </w:r>
    </w:p>
    <w:p w14:paraId="53E7270F" w14:textId="77777777" w:rsidR="00A51E02" w:rsidRPr="00776F27" w:rsidRDefault="00A51E02" w:rsidP="00A51E02">
      <w:pPr>
        <w:pStyle w:val="Heading3"/>
        <w:numPr>
          <w:ilvl w:val="2"/>
          <w:numId w:val="1"/>
        </w:numPr>
        <w:rPr>
          <w:lang w:val="fr-FR"/>
        </w:rPr>
      </w:pPr>
      <w:r>
        <w:rPr>
          <w:lang w:val="fr"/>
        </w:rPr>
        <w:t>La poursuite, par le PNUE, de la mise en œuvre des activités en souffrance relatives à la phase I du PGEH pour Haïti, le Mali et le Soudan du Sud et la soumission d’un rapport sur l’état d’avancement de ces mises en œuvre lors de la 90</w:t>
      </w:r>
      <w:r>
        <w:rPr>
          <w:vertAlign w:val="superscript"/>
          <w:lang w:val="fr"/>
        </w:rPr>
        <w:t>e</w:t>
      </w:r>
      <w:r>
        <w:rPr>
          <w:lang w:val="fr"/>
        </w:rPr>
        <w:t xml:space="preserve"> réunion, ainsi qu’un rapport inclus dans le rapport d’avancement lors de la 91</w:t>
      </w:r>
      <w:r>
        <w:rPr>
          <w:vertAlign w:val="superscript"/>
          <w:lang w:val="fr"/>
        </w:rPr>
        <w:t>e</w:t>
      </w:r>
      <w:r>
        <w:rPr>
          <w:lang w:val="fr"/>
        </w:rPr>
        <w:t> réunion, étant entendu qu’aucune demande de financement additionnel pour la mise en œuvre du PGEH et des activités liées à des projets de HFC ne serait soumise avant l’achèvement opérationnel de la phase I du PGEH ;</w:t>
      </w:r>
    </w:p>
    <w:p w14:paraId="65D24556" w14:textId="77777777" w:rsidR="00A51E02" w:rsidRPr="00776F27" w:rsidRDefault="00A51E02" w:rsidP="00A51E02">
      <w:pPr>
        <w:pStyle w:val="Heading3"/>
        <w:numPr>
          <w:ilvl w:val="2"/>
          <w:numId w:val="1"/>
        </w:numPr>
        <w:rPr>
          <w:lang w:val="fr-FR"/>
        </w:rPr>
      </w:pPr>
      <w:r>
        <w:rPr>
          <w:lang w:val="fr"/>
        </w:rPr>
        <w:t>La poursuite, par l’ONUDI, de la mise en œuvre des activités en souffrance relatives à la phase II du PGEH pour la République bolivarienne du Venezuela ainsi que la soumission d’un plan d’action exhaustif lors de la 90</w:t>
      </w:r>
      <w:r>
        <w:rPr>
          <w:vertAlign w:val="superscript"/>
          <w:lang w:val="fr"/>
        </w:rPr>
        <w:t>e</w:t>
      </w:r>
      <w:r>
        <w:rPr>
          <w:lang w:val="fr"/>
        </w:rPr>
        <w:t> réunion (décision 88/29(b)).</w:t>
      </w:r>
    </w:p>
    <w:p w14:paraId="59A70CF2" w14:textId="77777777" w:rsidR="00110D28" w:rsidRDefault="00110D28" w:rsidP="00A51E02">
      <w:pPr>
        <w:rPr>
          <w:b/>
          <w:bCs/>
          <w:lang w:val="fr"/>
        </w:rPr>
      </w:pPr>
    </w:p>
    <w:p w14:paraId="4EBADABE" w14:textId="746D3A99" w:rsidR="00A51E02" w:rsidRPr="00776F27" w:rsidRDefault="00A51E02" w:rsidP="00A51E02">
      <w:pPr>
        <w:rPr>
          <w:b/>
          <w:bCs/>
          <w:lang w:val="fr-FR"/>
        </w:rPr>
      </w:pPr>
      <w:r>
        <w:rPr>
          <w:b/>
          <w:bCs/>
          <w:lang w:val="fr"/>
        </w:rPr>
        <w:t>Situation de la mise en œuvre des activi</w:t>
      </w:r>
      <w:r w:rsidR="00110D28">
        <w:rPr>
          <w:b/>
          <w:bCs/>
          <w:lang w:val="fr"/>
        </w:rPr>
        <w:t>tés dans les 16 pays visés à l’a</w:t>
      </w:r>
      <w:r>
        <w:rPr>
          <w:b/>
          <w:bCs/>
          <w:lang w:val="fr"/>
        </w:rPr>
        <w:t>rticle 5</w:t>
      </w:r>
    </w:p>
    <w:p w14:paraId="71669771" w14:textId="77777777" w:rsidR="00A51E02" w:rsidRPr="00776F27" w:rsidRDefault="00A51E02" w:rsidP="00A51E02">
      <w:pPr>
        <w:rPr>
          <w:rFonts w:asciiTheme="minorHAnsi" w:hAnsiTheme="minorHAnsi" w:cstheme="minorBidi"/>
          <w:b/>
          <w:bCs/>
          <w:lang w:val="fr-FR"/>
        </w:rPr>
      </w:pPr>
    </w:p>
    <w:p w14:paraId="07CCC3E3" w14:textId="77777777" w:rsidR="00A51E02" w:rsidRPr="00776F27" w:rsidRDefault="00A51E02" w:rsidP="00A51E02">
      <w:pPr>
        <w:rPr>
          <w:u w:val="single"/>
          <w:lang w:val="fr-FR"/>
        </w:rPr>
      </w:pPr>
      <w:r>
        <w:rPr>
          <w:u w:val="single"/>
          <w:lang w:val="fr"/>
        </w:rPr>
        <w:t>Demandes de tranches soumises lors de la 90</w:t>
      </w:r>
      <w:r>
        <w:rPr>
          <w:u w:val="single"/>
          <w:vertAlign w:val="superscript"/>
          <w:lang w:val="fr"/>
        </w:rPr>
        <w:t>e</w:t>
      </w:r>
      <w:r>
        <w:rPr>
          <w:u w:val="single"/>
          <w:lang w:val="fr"/>
        </w:rPr>
        <w:t> réunion</w:t>
      </w:r>
    </w:p>
    <w:p w14:paraId="55839C6D" w14:textId="77777777" w:rsidR="00A51E02" w:rsidRPr="00776F27" w:rsidRDefault="00A51E02" w:rsidP="00A51E02">
      <w:pPr>
        <w:rPr>
          <w:u w:val="single"/>
          <w:lang w:val="fr-FR"/>
        </w:rPr>
      </w:pPr>
    </w:p>
    <w:p w14:paraId="3514EDF2" w14:textId="77777777" w:rsidR="00A51E02" w:rsidRPr="00776F27" w:rsidRDefault="00A51E02" w:rsidP="00A51E02">
      <w:pPr>
        <w:pStyle w:val="Heading1"/>
        <w:rPr>
          <w:lang w:val="fr-FR"/>
        </w:rPr>
      </w:pPr>
      <w:r>
        <w:rPr>
          <w:lang w:val="fr"/>
        </w:rPr>
        <w:t>Les demandes de tranches comprenant les détails de la mise en œuvre de la phase I du PGEH pour la Côte d’Ivoire,</w:t>
      </w:r>
      <w:r>
        <w:rPr>
          <w:rStyle w:val="FootnoteReference"/>
          <w:lang w:val="fr"/>
        </w:rPr>
        <w:footnoteReference w:id="51"/>
      </w:r>
      <w:r>
        <w:rPr>
          <w:lang w:val="fr"/>
        </w:rPr>
        <w:t xml:space="preserve"> la Grenade,</w:t>
      </w:r>
      <w:r>
        <w:rPr>
          <w:rStyle w:val="FootnoteReference"/>
          <w:lang w:val="fr"/>
        </w:rPr>
        <w:footnoteReference w:id="52"/>
      </w:r>
      <w:r>
        <w:rPr>
          <w:lang w:val="fr"/>
        </w:rPr>
        <w:t xml:space="preserve"> et le Mozambique</w:t>
      </w:r>
      <w:r>
        <w:rPr>
          <w:rStyle w:val="FootnoteReference"/>
          <w:lang w:val="fr"/>
        </w:rPr>
        <w:footnoteReference w:id="53"/>
      </w:r>
      <w:r>
        <w:rPr>
          <w:lang w:val="fr"/>
        </w:rPr>
        <w:t xml:space="preserve"> ont été soumises lors de la 90</w:t>
      </w:r>
      <w:r>
        <w:rPr>
          <w:vertAlign w:val="superscript"/>
          <w:lang w:val="fr"/>
        </w:rPr>
        <w:t>e</w:t>
      </w:r>
      <w:r>
        <w:rPr>
          <w:lang w:val="fr"/>
        </w:rPr>
        <w:t xml:space="preserve"> réunion. </w:t>
      </w:r>
    </w:p>
    <w:p w14:paraId="7EF9296A" w14:textId="77777777" w:rsidR="00A51E02" w:rsidRPr="00776F27" w:rsidRDefault="00A51E02" w:rsidP="00A51E02">
      <w:pPr>
        <w:pStyle w:val="Heading1"/>
        <w:rPr>
          <w:lang w:val="fr-FR"/>
        </w:rPr>
      </w:pPr>
      <w:r>
        <w:rPr>
          <w:lang w:val="fr"/>
        </w:rPr>
        <w:t>La deuxième tranche de la phase II du PGEH de la République bolivarienne du Venezuela a aussi été soumise lors de cette réunion, mais a ensuite été rétractée, car du temps supplémentaire était nécessaire pour aborder certains problèmes identifiés durant le processus de revue du projet, la tranche sera soumise de nouveau lors de la 91</w:t>
      </w:r>
      <w:r>
        <w:rPr>
          <w:vertAlign w:val="superscript"/>
          <w:lang w:val="fr"/>
        </w:rPr>
        <w:t>e</w:t>
      </w:r>
      <w:r>
        <w:rPr>
          <w:lang w:val="fr"/>
        </w:rPr>
        <w:t xml:space="preserve"> réunion. </w:t>
      </w:r>
    </w:p>
    <w:p w14:paraId="37B6B2CE" w14:textId="77777777" w:rsidR="00A51E02" w:rsidRPr="00776F27" w:rsidRDefault="00A51E02" w:rsidP="00A51E02">
      <w:pPr>
        <w:keepNext/>
        <w:rPr>
          <w:u w:val="single"/>
          <w:lang w:val="fr-FR"/>
        </w:rPr>
      </w:pPr>
      <w:r>
        <w:rPr>
          <w:u w:val="single"/>
          <w:lang w:val="fr"/>
        </w:rPr>
        <w:t>Retards dans la mise en œuvre des tranches finales</w:t>
      </w:r>
    </w:p>
    <w:p w14:paraId="76F666DE" w14:textId="77777777" w:rsidR="00A51E02" w:rsidRPr="00776F27" w:rsidRDefault="00A51E02" w:rsidP="00A51E02">
      <w:pPr>
        <w:keepNext/>
        <w:rPr>
          <w:u w:val="single"/>
          <w:lang w:val="fr-FR"/>
        </w:rPr>
      </w:pPr>
    </w:p>
    <w:p w14:paraId="65D55146" w14:textId="77777777" w:rsidR="00A51E02" w:rsidRPr="00776F27" w:rsidRDefault="00A51E02" w:rsidP="00A51E02">
      <w:pPr>
        <w:pStyle w:val="Heading1"/>
        <w:keepNext/>
        <w:rPr>
          <w:lang w:val="fr-FR"/>
        </w:rPr>
      </w:pPr>
      <w:r>
        <w:rPr>
          <w:lang w:val="fr"/>
        </w:rPr>
        <w:t>Concernant les activités en souffrance relatives à la mise en œuvre de la tranche finale de la phase I du PGEH, le PNUE et l’ONUDI ont communiqué les informations suivantes :</w:t>
      </w:r>
    </w:p>
    <w:p w14:paraId="439BE9BC" w14:textId="77777777" w:rsidR="00A51E02" w:rsidRPr="00776F27" w:rsidRDefault="00A51E02" w:rsidP="00A51E02">
      <w:pPr>
        <w:pStyle w:val="Heading2"/>
        <w:rPr>
          <w:lang w:val="fr-FR"/>
        </w:rPr>
      </w:pPr>
      <w:r>
        <w:rPr>
          <w:lang w:val="fr"/>
        </w:rPr>
        <w:t xml:space="preserve">Botswana (le) : Les activités restantes relatives à la formation des agents des douanes et des techniciens d’entretien des systèmes de réfrigération et de climatisation devraient être achevées d’ici le 31 décembre 2022 ; le PNUE a demandé une prorogation de la date d’achèvement de la phase I au 31 décembre 2022 ; </w:t>
      </w:r>
    </w:p>
    <w:p w14:paraId="4F629C13" w14:textId="77777777" w:rsidR="00A51E02" w:rsidRPr="00776F27" w:rsidRDefault="00A51E02" w:rsidP="00A51E02">
      <w:pPr>
        <w:pStyle w:val="Heading2"/>
        <w:rPr>
          <w:lang w:val="fr-FR"/>
        </w:rPr>
      </w:pPr>
      <w:r>
        <w:rPr>
          <w:lang w:val="fr"/>
        </w:rPr>
        <w:t>Jamaïque (la) : La mise en œuvre des activités relatives à la formation des douanes devrait être achevée d’ici le 30 juin 2022 ;</w:t>
      </w:r>
    </w:p>
    <w:p w14:paraId="150A6962" w14:textId="77777777" w:rsidR="00A51E02" w:rsidRPr="00776F27" w:rsidRDefault="00A51E02" w:rsidP="00A51E02">
      <w:pPr>
        <w:pStyle w:val="Heading2"/>
        <w:rPr>
          <w:lang w:val="fr-FR"/>
        </w:rPr>
      </w:pPr>
      <w:r>
        <w:rPr>
          <w:lang w:val="fr"/>
        </w:rPr>
        <w:t xml:space="preserve">Zambie (la) : Toutes les activités encadrées par le PNUE sont achevées. Cependant, l’achèvement des activités encadrées par l’ONUDI, relatives à la </w:t>
      </w:r>
      <w:bookmarkStart w:id="15" w:name="_Hlk103863773"/>
      <w:r>
        <w:rPr>
          <w:lang w:val="fr"/>
        </w:rPr>
        <w:t>livraison, à l’installation et à la mise en service des équipements ainsi qu’à la réception d’un certificat d’acceptation signé par les bénéficiaires, est retardé en raison des problèmes globaux de la chaîne d’approvisionnement, et nonobstant ces incertitudes, la livraison de ces équipements est planifiée pour le troisième ou quatrième trimestre 2022 ; le PNUE a demandé une prorogation de la date d’achèvement de la phase I au 30 juin 2023.</w:t>
      </w:r>
    </w:p>
    <w:p w14:paraId="4B799E55" w14:textId="77777777" w:rsidR="00A51E02" w:rsidRPr="00085F79" w:rsidRDefault="00A51E02" w:rsidP="00A51E02">
      <w:pPr>
        <w:rPr>
          <w:u w:val="single"/>
        </w:rPr>
      </w:pPr>
      <w:r>
        <w:rPr>
          <w:u w:val="single"/>
          <w:lang w:val="fr"/>
        </w:rPr>
        <w:t xml:space="preserve">Dernières tranches à soumettre </w:t>
      </w:r>
    </w:p>
    <w:p w14:paraId="13BBF288" w14:textId="77777777" w:rsidR="00A51E02" w:rsidRPr="00085F79" w:rsidRDefault="00A51E02" w:rsidP="00A51E02">
      <w:pPr>
        <w:rPr>
          <w:b/>
          <w:bCs/>
        </w:rPr>
      </w:pPr>
    </w:p>
    <w:bookmarkEnd w:id="15"/>
    <w:p w14:paraId="2C54021B" w14:textId="77777777" w:rsidR="00A51E02" w:rsidRPr="00776F27" w:rsidRDefault="00A51E02" w:rsidP="00A51E02">
      <w:pPr>
        <w:pStyle w:val="Heading1"/>
        <w:rPr>
          <w:lang w:val="fr-FR"/>
        </w:rPr>
      </w:pPr>
      <w:r>
        <w:rPr>
          <w:lang w:val="fr"/>
        </w:rPr>
        <w:t>Pour les pays restants n’ayant pas soumis de demande pour la tranche finale de leur phase I lors de cette réunion, le tableau 15 présente un résumé de l’état d’avancement de la mise en œuvre, des raisons des retards ainsi que de la date prévisionnelle de soumission de leur dernière tranche :</w:t>
      </w:r>
    </w:p>
    <w:p w14:paraId="2DE19037" w14:textId="77777777" w:rsidR="00A51E02" w:rsidRPr="00085F79" w:rsidRDefault="00A51E02" w:rsidP="00A51E02">
      <w:r>
        <w:rPr>
          <w:b/>
          <w:bCs/>
          <w:lang w:val="fr"/>
        </w:rPr>
        <w:t>Tableau 15.</w:t>
      </w:r>
    </w:p>
    <w:tbl>
      <w:tblPr>
        <w:tblStyle w:val="TableGrid"/>
        <w:tblW w:w="5000" w:type="pct"/>
        <w:tblLook w:val="04A0" w:firstRow="1" w:lastRow="0" w:firstColumn="1" w:lastColumn="0" w:noHBand="0" w:noVBand="1"/>
      </w:tblPr>
      <w:tblGrid>
        <w:gridCol w:w="1470"/>
        <w:gridCol w:w="4396"/>
        <w:gridCol w:w="1601"/>
        <w:gridCol w:w="1883"/>
      </w:tblGrid>
      <w:tr w:rsidR="00A51E02" w:rsidRPr="003E673B" w14:paraId="271DDFA4" w14:textId="77777777" w:rsidTr="00A51E02">
        <w:trPr>
          <w:tblHeader/>
        </w:trPr>
        <w:tc>
          <w:tcPr>
            <w:tcW w:w="786" w:type="pct"/>
          </w:tcPr>
          <w:p w14:paraId="41664F9E" w14:textId="77777777" w:rsidR="00A51E02" w:rsidRPr="00085F79" w:rsidRDefault="00A51E02" w:rsidP="00A51E02">
            <w:pPr>
              <w:rPr>
                <w:b/>
                <w:sz w:val="20"/>
                <w:szCs w:val="20"/>
              </w:rPr>
            </w:pPr>
            <w:r>
              <w:rPr>
                <w:b/>
                <w:bCs/>
                <w:sz w:val="20"/>
                <w:szCs w:val="20"/>
                <w:lang w:val="fr"/>
              </w:rPr>
              <w:t>Pays</w:t>
            </w:r>
          </w:p>
        </w:tc>
        <w:tc>
          <w:tcPr>
            <w:tcW w:w="2351" w:type="pct"/>
          </w:tcPr>
          <w:p w14:paraId="0D093EBD" w14:textId="77777777" w:rsidR="00A51E02" w:rsidRPr="00776F27" w:rsidRDefault="00A51E02" w:rsidP="00A51E02">
            <w:pPr>
              <w:jc w:val="center"/>
              <w:rPr>
                <w:b/>
                <w:sz w:val="20"/>
                <w:szCs w:val="20"/>
                <w:lang w:val="fr-FR"/>
              </w:rPr>
            </w:pPr>
            <w:r>
              <w:rPr>
                <w:b/>
                <w:bCs/>
                <w:sz w:val="20"/>
                <w:szCs w:val="20"/>
                <w:lang w:val="fr"/>
              </w:rPr>
              <w:t>Situation de la mise en œuvre/</w:t>
            </w:r>
          </w:p>
          <w:p w14:paraId="36B88013" w14:textId="77777777" w:rsidR="00A51E02" w:rsidRPr="00776F27" w:rsidRDefault="00A51E02" w:rsidP="00A51E02">
            <w:pPr>
              <w:jc w:val="center"/>
              <w:rPr>
                <w:b/>
                <w:sz w:val="20"/>
                <w:szCs w:val="20"/>
                <w:lang w:val="fr-FR"/>
              </w:rPr>
            </w:pPr>
            <w:proofErr w:type="gramStart"/>
            <w:r>
              <w:rPr>
                <w:b/>
                <w:bCs/>
                <w:sz w:val="20"/>
                <w:szCs w:val="20"/>
                <w:lang w:val="fr"/>
              </w:rPr>
              <w:t>raisons</w:t>
            </w:r>
            <w:proofErr w:type="gramEnd"/>
            <w:r>
              <w:rPr>
                <w:b/>
                <w:bCs/>
                <w:sz w:val="20"/>
                <w:szCs w:val="20"/>
                <w:lang w:val="fr"/>
              </w:rPr>
              <w:t xml:space="preserve"> des retards de soumission de la dernière tranche</w:t>
            </w:r>
          </w:p>
        </w:tc>
        <w:tc>
          <w:tcPr>
            <w:tcW w:w="856" w:type="pct"/>
          </w:tcPr>
          <w:p w14:paraId="5F162135" w14:textId="77777777" w:rsidR="00A51E02" w:rsidRPr="00085F79" w:rsidRDefault="00A51E02" w:rsidP="00A51E02">
            <w:pPr>
              <w:jc w:val="center"/>
              <w:rPr>
                <w:b/>
                <w:sz w:val="20"/>
                <w:szCs w:val="20"/>
              </w:rPr>
            </w:pPr>
            <w:r>
              <w:rPr>
                <w:b/>
                <w:bCs/>
                <w:sz w:val="20"/>
                <w:szCs w:val="20"/>
                <w:lang w:val="fr"/>
              </w:rPr>
              <w:t>Estimation du décaissement (%)</w:t>
            </w:r>
          </w:p>
        </w:tc>
        <w:tc>
          <w:tcPr>
            <w:tcW w:w="1007" w:type="pct"/>
          </w:tcPr>
          <w:p w14:paraId="6F04D2F4" w14:textId="77777777" w:rsidR="00A51E02" w:rsidRPr="00776F27" w:rsidRDefault="00A51E02" w:rsidP="00A51E02">
            <w:pPr>
              <w:jc w:val="center"/>
              <w:rPr>
                <w:b/>
                <w:sz w:val="20"/>
                <w:szCs w:val="20"/>
                <w:lang w:val="fr-FR"/>
              </w:rPr>
            </w:pPr>
            <w:r>
              <w:rPr>
                <w:b/>
                <w:bCs/>
                <w:sz w:val="20"/>
                <w:szCs w:val="20"/>
                <w:lang w:val="fr"/>
              </w:rPr>
              <w:t>Date prévue de soumission de la tranche finale</w:t>
            </w:r>
          </w:p>
        </w:tc>
      </w:tr>
      <w:tr w:rsidR="00A51E02" w:rsidRPr="00085F79" w14:paraId="1F5B3422" w14:textId="77777777" w:rsidTr="00A51E02">
        <w:tc>
          <w:tcPr>
            <w:tcW w:w="786" w:type="pct"/>
          </w:tcPr>
          <w:p w14:paraId="401959F0" w14:textId="77777777" w:rsidR="00A51E02" w:rsidRPr="00085F79" w:rsidRDefault="00A51E02" w:rsidP="00A51E02">
            <w:pPr>
              <w:jc w:val="left"/>
              <w:rPr>
                <w:sz w:val="20"/>
                <w:szCs w:val="20"/>
              </w:rPr>
            </w:pPr>
            <w:r>
              <w:rPr>
                <w:sz w:val="20"/>
                <w:szCs w:val="20"/>
                <w:lang w:val="fr"/>
              </w:rPr>
              <w:t>Barbade (la)</w:t>
            </w:r>
          </w:p>
          <w:p w14:paraId="279C3158" w14:textId="77777777" w:rsidR="00A51E02" w:rsidRPr="00085F79" w:rsidRDefault="00A51E02" w:rsidP="00A51E02">
            <w:pPr>
              <w:jc w:val="left"/>
              <w:rPr>
                <w:sz w:val="20"/>
                <w:szCs w:val="20"/>
              </w:rPr>
            </w:pPr>
          </w:p>
        </w:tc>
        <w:tc>
          <w:tcPr>
            <w:tcW w:w="2351" w:type="pct"/>
          </w:tcPr>
          <w:p w14:paraId="2E1DB8B0" w14:textId="77777777" w:rsidR="00A51E02" w:rsidRPr="00776F27" w:rsidRDefault="00A51E02" w:rsidP="00A51E02">
            <w:pPr>
              <w:jc w:val="left"/>
              <w:rPr>
                <w:sz w:val="20"/>
                <w:szCs w:val="20"/>
                <w:lang w:val="fr-FR"/>
              </w:rPr>
            </w:pPr>
            <w:r>
              <w:rPr>
                <w:sz w:val="20"/>
                <w:szCs w:val="20"/>
                <w:lang w:val="fr"/>
              </w:rPr>
              <w:t>Les restrictions liées au COVID-19 ont entraîné des retards de réalisation des activités relatives à la formation des importateurs et à la finalisation des mesures législatives relatives aux normes et aux mesures incitatives.</w:t>
            </w:r>
          </w:p>
        </w:tc>
        <w:tc>
          <w:tcPr>
            <w:tcW w:w="856" w:type="pct"/>
          </w:tcPr>
          <w:p w14:paraId="454308DC" w14:textId="77777777" w:rsidR="00A51E02" w:rsidRPr="00085F79" w:rsidRDefault="00A51E02" w:rsidP="00A51E02">
            <w:pPr>
              <w:jc w:val="center"/>
              <w:rPr>
                <w:sz w:val="20"/>
                <w:szCs w:val="20"/>
              </w:rPr>
            </w:pPr>
            <w:r>
              <w:rPr>
                <w:sz w:val="20"/>
                <w:szCs w:val="20"/>
                <w:lang w:val="fr"/>
              </w:rPr>
              <w:t>75</w:t>
            </w:r>
          </w:p>
        </w:tc>
        <w:tc>
          <w:tcPr>
            <w:tcW w:w="1007" w:type="pct"/>
          </w:tcPr>
          <w:p w14:paraId="37B7C05B" w14:textId="77777777" w:rsidR="00A51E02" w:rsidRPr="00085F79" w:rsidRDefault="00A51E02" w:rsidP="00A51E02">
            <w:pPr>
              <w:jc w:val="center"/>
              <w:rPr>
                <w:sz w:val="20"/>
                <w:szCs w:val="20"/>
              </w:rPr>
            </w:pPr>
            <w:r>
              <w:rPr>
                <w:sz w:val="20"/>
                <w:szCs w:val="20"/>
                <w:lang w:val="fr"/>
              </w:rPr>
              <w:t>91</w:t>
            </w:r>
            <w:r>
              <w:rPr>
                <w:sz w:val="20"/>
                <w:szCs w:val="20"/>
                <w:vertAlign w:val="superscript"/>
                <w:lang w:val="fr"/>
              </w:rPr>
              <w:t>e</w:t>
            </w:r>
            <w:r>
              <w:rPr>
                <w:sz w:val="20"/>
                <w:szCs w:val="20"/>
                <w:lang w:val="fr"/>
              </w:rPr>
              <w:t> réunion</w:t>
            </w:r>
          </w:p>
        </w:tc>
      </w:tr>
      <w:tr w:rsidR="00A51E02" w:rsidRPr="00085F79" w14:paraId="083908A4" w14:textId="77777777" w:rsidTr="00A51E02">
        <w:tc>
          <w:tcPr>
            <w:tcW w:w="786" w:type="pct"/>
          </w:tcPr>
          <w:p w14:paraId="08EBC45D" w14:textId="77777777" w:rsidR="00A51E02" w:rsidRPr="00085F79" w:rsidRDefault="00A51E02" w:rsidP="00A51E02">
            <w:pPr>
              <w:jc w:val="left"/>
              <w:rPr>
                <w:sz w:val="20"/>
                <w:szCs w:val="20"/>
              </w:rPr>
            </w:pPr>
            <w:r>
              <w:rPr>
                <w:sz w:val="20"/>
                <w:szCs w:val="20"/>
                <w:lang w:val="fr"/>
              </w:rPr>
              <w:t>Congo (le)</w:t>
            </w:r>
          </w:p>
          <w:p w14:paraId="57D8C640" w14:textId="77777777" w:rsidR="00A51E02" w:rsidRPr="00085F79" w:rsidRDefault="00A51E02" w:rsidP="00A51E02">
            <w:pPr>
              <w:jc w:val="left"/>
              <w:rPr>
                <w:sz w:val="20"/>
                <w:szCs w:val="20"/>
              </w:rPr>
            </w:pPr>
          </w:p>
        </w:tc>
        <w:tc>
          <w:tcPr>
            <w:tcW w:w="2351" w:type="pct"/>
          </w:tcPr>
          <w:p w14:paraId="323A745F" w14:textId="77777777" w:rsidR="00A51E02" w:rsidRPr="00776F27" w:rsidRDefault="00A51E02" w:rsidP="00A51E02">
            <w:pPr>
              <w:jc w:val="left"/>
              <w:rPr>
                <w:sz w:val="20"/>
                <w:szCs w:val="20"/>
                <w:lang w:val="fr-FR"/>
              </w:rPr>
            </w:pPr>
            <w:r>
              <w:rPr>
                <w:sz w:val="20"/>
                <w:szCs w:val="20"/>
                <w:lang w:val="fr"/>
              </w:rPr>
              <w:t>Toutes les activités relatives à la quatrième tranche ont été achevées en décembre 2021 ; en raison d’un changement de responsable national de l’ozone (NOO), la soumission du rapport périodique et du rapport financier a été retardée.</w:t>
            </w:r>
          </w:p>
        </w:tc>
        <w:tc>
          <w:tcPr>
            <w:tcW w:w="856" w:type="pct"/>
          </w:tcPr>
          <w:p w14:paraId="078F224D" w14:textId="77777777" w:rsidR="00A51E02" w:rsidRPr="00085F79" w:rsidRDefault="00A51E02" w:rsidP="00A51E02">
            <w:pPr>
              <w:jc w:val="center"/>
              <w:rPr>
                <w:sz w:val="20"/>
                <w:szCs w:val="20"/>
              </w:rPr>
            </w:pPr>
            <w:r>
              <w:rPr>
                <w:sz w:val="20"/>
                <w:szCs w:val="20"/>
                <w:lang w:val="fr"/>
              </w:rPr>
              <w:t>72</w:t>
            </w:r>
          </w:p>
        </w:tc>
        <w:tc>
          <w:tcPr>
            <w:tcW w:w="1007" w:type="pct"/>
          </w:tcPr>
          <w:p w14:paraId="1923A9E2" w14:textId="77777777" w:rsidR="00A51E02" w:rsidRPr="00085F79" w:rsidRDefault="00A51E02" w:rsidP="00A51E02">
            <w:pPr>
              <w:jc w:val="center"/>
              <w:rPr>
                <w:sz w:val="20"/>
                <w:szCs w:val="20"/>
              </w:rPr>
            </w:pPr>
            <w:r>
              <w:rPr>
                <w:sz w:val="20"/>
                <w:szCs w:val="20"/>
                <w:lang w:val="fr"/>
              </w:rPr>
              <w:t>91</w:t>
            </w:r>
            <w:r>
              <w:rPr>
                <w:sz w:val="20"/>
                <w:szCs w:val="20"/>
                <w:vertAlign w:val="superscript"/>
                <w:lang w:val="fr"/>
              </w:rPr>
              <w:t>e</w:t>
            </w:r>
            <w:r>
              <w:rPr>
                <w:sz w:val="20"/>
                <w:szCs w:val="20"/>
                <w:lang w:val="fr"/>
              </w:rPr>
              <w:t> réunion</w:t>
            </w:r>
          </w:p>
        </w:tc>
      </w:tr>
      <w:tr w:rsidR="00A51E02" w:rsidRPr="00085F79" w14:paraId="2B284200" w14:textId="77777777" w:rsidTr="00A51E02">
        <w:tc>
          <w:tcPr>
            <w:tcW w:w="786" w:type="pct"/>
          </w:tcPr>
          <w:p w14:paraId="0F0D1E46" w14:textId="77777777" w:rsidR="00A51E02" w:rsidRPr="00085F79" w:rsidRDefault="00A51E02" w:rsidP="00A51E02">
            <w:pPr>
              <w:jc w:val="left"/>
              <w:rPr>
                <w:sz w:val="20"/>
                <w:szCs w:val="20"/>
              </w:rPr>
            </w:pPr>
            <w:r>
              <w:rPr>
                <w:sz w:val="20"/>
                <w:szCs w:val="20"/>
                <w:lang w:val="fr"/>
              </w:rPr>
              <w:t>Dominique (la)</w:t>
            </w:r>
          </w:p>
          <w:p w14:paraId="054F1ABB" w14:textId="77777777" w:rsidR="00A51E02" w:rsidRPr="00085F79" w:rsidRDefault="00A51E02" w:rsidP="00A51E02">
            <w:pPr>
              <w:jc w:val="left"/>
              <w:rPr>
                <w:sz w:val="20"/>
                <w:szCs w:val="20"/>
              </w:rPr>
            </w:pPr>
          </w:p>
        </w:tc>
        <w:tc>
          <w:tcPr>
            <w:tcW w:w="2351" w:type="pct"/>
          </w:tcPr>
          <w:p w14:paraId="46C12D5B" w14:textId="392A0E0F" w:rsidR="00A51E02" w:rsidRPr="00776F27" w:rsidRDefault="00A51E02" w:rsidP="00110D28">
            <w:pPr>
              <w:jc w:val="left"/>
              <w:rPr>
                <w:sz w:val="20"/>
                <w:szCs w:val="20"/>
                <w:lang w:val="fr-FR"/>
              </w:rPr>
            </w:pPr>
            <w:r>
              <w:rPr>
                <w:sz w:val="20"/>
                <w:szCs w:val="20"/>
                <w:lang w:val="fr"/>
              </w:rPr>
              <w:t xml:space="preserve">Les activités de projet ont été retardées en raison de catastrophes naturelles, de perturbations liées à la pandémie de COVID-19 et de changements dans la structure </w:t>
            </w:r>
            <w:proofErr w:type="gramStart"/>
            <w:r>
              <w:rPr>
                <w:sz w:val="20"/>
                <w:szCs w:val="20"/>
                <w:lang w:val="fr"/>
              </w:rPr>
              <w:t xml:space="preserve">de </w:t>
            </w:r>
            <w:r w:rsidR="00110D28">
              <w:rPr>
                <w:sz w:val="20"/>
                <w:szCs w:val="20"/>
                <w:lang w:val="fr"/>
              </w:rPr>
              <w:t>le</w:t>
            </w:r>
            <w:proofErr w:type="gramEnd"/>
            <w:r w:rsidR="00110D28">
              <w:rPr>
                <w:sz w:val="20"/>
                <w:szCs w:val="20"/>
                <w:lang w:val="fr"/>
              </w:rPr>
              <w:t xml:space="preserve"> Bureau national de l’ozone</w:t>
            </w:r>
            <w:r>
              <w:rPr>
                <w:sz w:val="20"/>
                <w:szCs w:val="20"/>
                <w:lang w:val="fr"/>
              </w:rPr>
              <w:t> ; l’équipe du programme d’aide à la conformité du PNUE travaille en étroite collaboration avec le nouveau NOO pour accélérer la mise en œuvre.</w:t>
            </w:r>
          </w:p>
        </w:tc>
        <w:tc>
          <w:tcPr>
            <w:tcW w:w="856" w:type="pct"/>
          </w:tcPr>
          <w:p w14:paraId="7BF5E973" w14:textId="77777777" w:rsidR="00A51E02" w:rsidRPr="00085F79" w:rsidRDefault="00A51E02" w:rsidP="00A51E02">
            <w:pPr>
              <w:jc w:val="center"/>
              <w:rPr>
                <w:sz w:val="20"/>
                <w:szCs w:val="20"/>
              </w:rPr>
            </w:pPr>
            <w:r>
              <w:rPr>
                <w:sz w:val="20"/>
                <w:szCs w:val="20"/>
                <w:lang w:val="fr"/>
              </w:rPr>
              <w:t>7</w:t>
            </w:r>
          </w:p>
        </w:tc>
        <w:tc>
          <w:tcPr>
            <w:tcW w:w="1007" w:type="pct"/>
          </w:tcPr>
          <w:p w14:paraId="2409E879" w14:textId="77777777" w:rsidR="00A51E02" w:rsidRPr="00085F79" w:rsidRDefault="00A51E02" w:rsidP="00A51E02">
            <w:pPr>
              <w:jc w:val="center"/>
              <w:rPr>
                <w:sz w:val="20"/>
                <w:szCs w:val="20"/>
              </w:rPr>
            </w:pPr>
            <w:r>
              <w:rPr>
                <w:sz w:val="20"/>
                <w:szCs w:val="20"/>
                <w:lang w:val="fr"/>
              </w:rPr>
              <w:t>92</w:t>
            </w:r>
            <w:r>
              <w:rPr>
                <w:sz w:val="20"/>
                <w:szCs w:val="20"/>
                <w:vertAlign w:val="superscript"/>
                <w:lang w:val="fr"/>
              </w:rPr>
              <w:t>e</w:t>
            </w:r>
            <w:r>
              <w:rPr>
                <w:sz w:val="20"/>
                <w:szCs w:val="20"/>
                <w:lang w:val="fr"/>
              </w:rPr>
              <w:t xml:space="preserve"> ou 93</w:t>
            </w:r>
            <w:r>
              <w:rPr>
                <w:sz w:val="20"/>
                <w:szCs w:val="20"/>
                <w:vertAlign w:val="superscript"/>
                <w:lang w:val="fr"/>
              </w:rPr>
              <w:t>e </w:t>
            </w:r>
            <w:r>
              <w:rPr>
                <w:sz w:val="20"/>
                <w:szCs w:val="20"/>
                <w:lang w:val="fr"/>
              </w:rPr>
              <w:t>réunion</w:t>
            </w:r>
          </w:p>
        </w:tc>
      </w:tr>
      <w:tr w:rsidR="00A51E02" w:rsidRPr="00085F79" w14:paraId="58E1639C" w14:textId="77777777" w:rsidTr="00A51E02">
        <w:tc>
          <w:tcPr>
            <w:tcW w:w="786" w:type="pct"/>
          </w:tcPr>
          <w:p w14:paraId="4278BDE3" w14:textId="77777777" w:rsidR="00A51E02" w:rsidRPr="00085F79" w:rsidRDefault="00A51E02" w:rsidP="00A51E02">
            <w:pPr>
              <w:jc w:val="left"/>
              <w:rPr>
                <w:sz w:val="20"/>
                <w:szCs w:val="20"/>
              </w:rPr>
            </w:pPr>
            <w:r>
              <w:rPr>
                <w:sz w:val="20"/>
                <w:szCs w:val="20"/>
                <w:lang w:val="fr"/>
              </w:rPr>
              <w:t>Saint-Kitts-et-Nevis</w:t>
            </w:r>
          </w:p>
          <w:p w14:paraId="2D1976AC" w14:textId="77777777" w:rsidR="00A51E02" w:rsidRPr="00085F79" w:rsidRDefault="00A51E02" w:rsidP="00A51E02">
            <w:pPr>
              <w:jc w:val="left"/>
              <w:rPr>
                <w:sz w:val="20"/>
                <w:szCs w:val="20"/>
              </w:rPr>
            </w:pPr>
          </w:p>
        </w:tc>
        <w:tc>
          <w:tcPr>
            <w:tcW w:w="2351" w:type="pct"/>
          </w:tcPr>
          <w:p w14:paraId="44EA69B8" w14:textId="24ED4340" w:rsidR="00A51E02" w:rsidRPr="00776F27" w:rsidRDefault="00A51E02" w:rsidP="00110D28">
            <w:pPr>
              <w:jc w:val="left"/>
              <w:rPr>
                <w:sz w:val="20"/>
                <w:szCs w:val="20"/>
                <w:lang w:val="fr-FR"/>
              </w:rPr>
            </w:pPr>
            <w:r>
              <w:rPr>
                <w:sz w:val="20"/>
                <w:szCs w:val="20"/>
                <w:lang w:val="fr"/>
              </w:rPr>
              <w:t xml:space="preserve">Les activités de projet ont été retardées en raison de changements structurels dans </w:t>
            </w:r>
            <w:r w:rsidR="00110D28">
              <w:rPr>
                <w:sz w:val="20"/>
                <w:szCs w:val="20"/>
                <w:lang w:val="fr"/>
              </w:rPr>
              <w:t>le Bureau national de l’ozone</w:t>
            </w:r>
            <w:r>
              <w:rPr>
                <w:sz w:val="20"/>
                <w:szCs w:val="20"/>
                <w:lang w:val="fr"/>
              </w:rPr>
              <w:t xml:space="preserve"> et de restrictions liées à la pandémie de COVID-19.</w:t>
            </w:r>
          </w:p>
        </w:tc>
        <w:tc>
          <w:tcPr>
            <w:tcW w:w="856" w:type="pct"/>
          </w:tcPr>
          <w:p w14:paraId="6FE68B63" w14:textId="77777777" w:rsidR="00A51E02" w:rsidRPr="00085F79" w:rsidRDefault="00A51E02" w:rsidP="00A51E02">
            <w:pPr>
              <w:jc w:val="center"/>
              <w:rPr>
                <w:sz w:val="20"/>
                <w:szCs w:val="20"/>
              </w:rPr>
            </w:pPr>
            <w:r>
              <w:rPr>
                <w:sz w:val="20"/>
                <w:szCs w:val="20"/>
                <w:lang w:val="fr"/>
              </w:rPr>
              <w:t>55</w:t>
            </w:r>
          </w:p>
        </w:tc>
        <w:tc>
          <w:tcPr>
            <w:tcW w:w="1007" w:type="pct"/>
          </w:tcPr>
          <w:p w14:paraId="7A7E431B" w14:textId="77777777" w:rsidR="00A51E02" w:rsidRPr="00085F79" w:rsidRDefault="00A51E02" w:rsidP="00A51E02">
            <w:pPr>
              <w:jc w:val="center"/>
              <w:rPr>
                <w:sz w:val="20"/>
                <w:szCs w:val="20"/>
              </w:rPr>
            </w:pPr>
            <w:r>
              <w:rPr>
                <w:sz w:val="20"/>
                <w:szCs w:val="20"/>
                <w:lang w:val="fr"/>
              </w:rPr>
              <w:t>92</w:t>
            </w:r>
            <w:r>
              <w:rPr>
                <w:sz w:val="20"/>
                <w:szCs w:val="20"/>
                <w:vertAlign w:val="superscript"/>
                <w:lang w:val="fr"/>
              </w:rPr>
              <w:t>e</w:t>
            </w:r>
            <w:r>
              <w:rPr>
                <w:sz w:val="20"/>
                <w:szCs w:val="20"/>
                <w:lang w:val="fr"/>
              </w:rPr>
              <w:t xml:space="preserve"> ou 93</w:t>
            </w:r>
            <w:r>
              <w:rPr>
                <w:sz w:val="20"/>
                <w:szCs w:val="20"/>
                <w:vertAlign w:val="superscript"/>
                <w:lang w:val="fr"/>
              </w:rPr>
              <w:t>e </w:t>
            </w:r>
            <w:r>
              <w:rPr>
                <w:sz w:val="20"/>
                <w:szCs w:val="20"/>
                <w:lang w:val="fr"/>
              </w:rPr>
              <w:t>réunion</w:t>
            </w:r>
          </w:p>
        </w:tc>
      </w:tr>
      <w:tr w:rsidR="00A51E02" w:rsidRPr="00085F79" w14:paraId="6FE367AE" w14:textId="77777777" w:rsidTr="00A51E02">
        <w:tc>
          <w:tcPr>
            <w:tcW w:w="786" w:type="pct"/>
          </w:tcPr>
          <w:p w14:paraId="59B73ACD" w14:textId="77777777" w:rsidR="00A51E02" w:rsidRPr="00085F79" w:rsidRDefault="00A51E02" w:rsidP="00A51E02">
            <w:pPr>
              <w:jc w:val="left"/>
              <w:rPr>
                <w:sz w:val="20"/>
                <w:szCs w:val="20"/>
              </w:rPr>
            </w:pPr>
            <w:r>
              <w:rPr>
                <w:sz w:val="20"/>
                <w:szCs w:val="20"/>
                <w:lang w:val="fr"/>
              </w:rPr>
              <w:t>Afrique du Sud</w:t>
            </w:r>
          </w:p>
          <w:p w14:paraId="6557B039" w14:textId="77777777" w:rsidR="00A51E02" w:rsidRPr="00085F79" w:rsidRDefault="00A51E02" w:rsidP="00A51E02">
            <w:pPr>
              <w:jc w:val="left"/>
              <w:rPr>
                <w:sz w:val="20"/>
                <w:szCs w:val="20"/>
              </w:rPr>
            </w:pPr>
          </w:p>
        </w:tc>
        <w:tc>
          <w:tcPr>
            <w:tcW w:w="2351" w:type="pct"/>
          </w:tcPr>
          <w:p w14:paraId="70106E2B" w14:textId="77777777" w:rsidR="00A51E02" w:rsidRPr="00776F27" w:rsidRDefault="00A51E02" w:rsidP="00A51E02">
            <w:pPr>
              <w:jc w:val="left"/>
              <w:rPr>
                <w:sz w:val="20"/>
                <w:szCs w:val="20"/>
                <w:lang w:val="fr-FR"/>
              </w:rPr>
            </w:pPr>
            <w:r>
              <w:rPr>
                <w:sz w:val="20"/>
                <w:szCs w:val="20"/>
                <w:lang w:val="fr"/>
              </w:rPr>
              <w:t>Les restrictions liées à la pandémie de COVID-19 ont entraîné des retards de coordination et de mise en œuvre des activités du PGEH et des délais allongés de réponse sur les sujets liés au rapport de vérification.</w:t>
            </w:r>
          </w:p>
        </w:tc>
        <w:tc>
          <w:tcPr>
            <w:tcW w:w="856" w:type="pct"/>
          </w:tcPr>
          <w:p w14:paraId="415F644D" w14:textId="77777777" w:rsidR="00A51E02" w:rsidRPr="00085F79" w:rsidRDefault="00A51E02" w:rsidP="00A51E02">
            <w:pPr>
              <w:jc w:val="center"/>
              <w:rPr>
                <w:sz w:val="20"/>
                <w:szCs w:val="20"/>
              </w:rPr>
            </w:pPr>
            <w:r>
              <w:rPr>
                <w:sz w:val="20"/>
                <w:szCs w:val="20"/>
                <w:lang w:val="fr"/>
              </w:rPr>
              <w:t>90</w:t>
            </w:r>
          </w:p>
        </w:tc>
        <w:tc>
          <w:tcPr>
            <w:tcW w:w="1007" w:type="pct"/>
          </w:tcPr>
          <w:p w14:paraId="0397C168" w14:textId="77777777" w:rsidR="00A51E02" w:rsidRPr="00085F79" w:rsidRDefault="00A51E02" w:rsidP="00A51E02">
            <w:pPr>
              <w:jc w:val="center"/>
              <w:rPr>
                <w:sz w:val="20"/>
                <w:szCs w:val="20"/>
              </w:rPr>
            </w:pPr>
            <w:r>
              <w:rPr>
                <w:sz w:val="20"/>
                <w:szCs w:val="20"/>
                <w:lang w:val="fr"/>
              </w:rPr>
              <w:t>91</w:t>
            </w:r>
            <w:r>
              <w:rPr>
                <w:sz w:val="20"/>
                <w:szCs w:val="20"/>
                <w:vertAlign w:val="superscript"/>
                <w:lang w:val="fr"/>
              </w:rPr>
              <w:t>e</w:t>
            </w:r>
            <w:r>
              <w:rPr>
                <w:sz w:val="20"/>
                <w:szCs w:val="20"/>
                <w:lang w:val="fr"/>
              </w:rPr>
              <w:t> réunion</w:t>
            </w:r>
          </w:p>
        </w:tc>
      </w:tr>
      <w:tr w:rsidR="00A51E02" w:rsidRPr="00085F79" w14:paraId="7C03BB80" w14:textId="77777777" w:rsidTr="00A51E02">
        <w:tc>
          <w:tcPr>
            <w:tcW w:w="786" w:type="pct"/>
          </w:tcPr>
          <w:p w14:paraId="020D6132" w14:textId="77777777" w:rsidR="00A51E02" w:rsidRPr="00085F79" w:rsidRDefault="00A51E02" w:rsidP="00A51E02">
            <w:pPr>
              <w:jc w:val="left"/>
              <w:rPr>
                <w:sz w:val="20"/>
                <w:szCs w:val="20"/>
              </w:rPr>
            </w:pPr>
            <w:r>
              <w:rPr>
                <w:sz w:val="20"/>
                <w:szCs w:val="20"/>
                <w:lang w:val="fr"/>
              </w:rPr>
              <w:t>Suriname</w:t>
            </w:r>
          </w:p>
          <w:p w14:paraId="56566CB1" w14:textId="77777777" w:rsidR="00A51E02" w:rsidRPr="00085F79" w:rsidRDefault="00A51E02" w:rsidP="00A51E02">
            <w:pPr>
              <w:jc w:val="left"/>
              <w:rPr>
                <w:sz w:val="20"/>
                <w:szCs w:val="20"/>
              </w:rPr>
            </w:pPr>
          </w:p>
        </w:tc>
        <w:tc>
          <w:tcPr>
            <w:tcW w:w="2351" w:type="pct"/>
          </w:tcPr>
          <w:p w14:paraId="4C949E9D" w14:textId="77777777" w:rsidR="00A51E02" w:rsidRPr="00776F27" w:rsidRDefault="00A51E02" w:rsidP="00A51E02">
            <w:pPr>
              <w:jc w:val="left"/>
              <w:rPr>
                <w:sz w:val="20"/>
                <w:szCs w:val="20"/>
                <w:lang w:val="fr-FR"/>
              </w:rPr>
            </w:pPr>
            <w:r>
              <w:rPr>
                <w:sz w:val="20"/>
                <w:szCs w:val="20"/>
                <w:lang w:val="fr"/>
              </w:rPr>
              <w:t>Des restrictions nationales liées à la pandémie de COVID-19 ont retardé la mise en œuvre des activités liées aux douanes, aux forces de l’ordre ainsi qu’au secteur de l’entretien.</w:t>
            </w:r>
          </w:p>
        </w:tc>
        <w:tc>
          <w:tcPr>
            <w:tcW w:w="856" w:type="pct"/>
          </w:tcPr>
          <w:p w14:paraId="7C95D57B" w14:textId="77777777" w:rsidR="00A51E02" w:rsidRPr="00085F79" w:rsidRDefault="00A51E02" w:rsidP="00A51E02">
            <w:pPr>
              <w:jc w:val="center"/>
              <w:rPr>
                <w:sz w:val="20"/>
                <w:szCs w:val="20"/>
              </w:rPr>
            </w:pPr>
            <w:r>
              <w:rPr>
                <w:sz w:val="20"/>
                <w:szCs w:val="20"/>
                <w:lang w:val="fr"/>
              </w:rPr>
              <w:t>62</w:t>
            </w:r>
          </w:p>
        </w:tc>
        <w:tc>
          <w:tcPr>
            <w:tcW w:w="1007" w:type="pct"/>
          </w:tcPr>
          <w:p w14:paraId="1B2BD7D5" w14:textId="77777777" w:rsidR="00A51E02" w:rsidRPr="00085F79" w:rsidRDefault="00A51E02" w:rsidP="00A51E02">
            <w:pPr>
              <w:jc w:val="center"/>
              <w:rPr>
                <w:sz w:val="20"/>
                <w:szCs w:val="20"/>
              </w:rPr>
            </w:pPr>
            <w:r>
              <w:rPr>
                <w:sz w:val="20"/>
                <w:szCs w:val="20"/>
                <w:lang w:val="fr"/>
              </w:rPr>
              <w:t>91</w:t>
            </w:r>
            <w:r>
              <w:rPr>
                <w:sz w:val="20"/>
                <w:szCs w:val="20"/>
                <w:vertAlign w:val="superscript"/>
                <w:lang w:val="fr"/>
              </w:rPr>
              <w:t>e</w:t>
            </w:r>
            <w:r>
              <w:rPr>
                <w:sz w:val="20"/>
                <w:szCs w:val="20"/>
                <w:lang w:val="fr"/>
              </w:rPr>
              <w:t> réunion</w:t>
            </w:r>
          </w:p>
        </w:tc>
      </w:tr>
    </w:tbl>
    <w:p w14:paraId="363D1563" w14:textId="77777777" w:rsidR="00A51E02" w:rsidRPr="00085F79" w:rsidRDefault="00A51E02" w:rsidP="00A51E02">
      <w:pPr>
        <w:rPr>
          <w:strike/>
        </w:rPr>
      </w:pPr>
    </w:p>
    <w:p w14:paraId="606A426A" w14:textId="77777777" w:rsidR="00A51E02" w:rsidRPr="00776F27" w:rsidRDefault="00A51E02" w:rsidP="00A51E02">
      <w:pPr>
        <w:pStyle w:val="Heading1"/>
        <w:numPr>
          <w:ilvl w:val="0"/>
          <w:numId w:val="0"/>
        </w:numPr>
        <w:rPr>
          <w:u w:val="single"/>
          <w:lang w:val="fr-FR"/>
        </w:rPr>
      </w:pPr>
      <w:r>
        <w:rPr>
          <w:u w:val="single"/>
          <w:lang w:val="fr"/>
        </w:rPr>
        <w:t xml:space="preserve">Retards de projets dans les pays où le contexte est particulier </w:t>
      </w:r>
    </w:p>
    <w:p w14:paraId="6782D956" w14:textId="77777777" w:rsidR="00A51E02" w:rsidRPr="00776F27" w:rsidRDefault="00A51E02" w:rsidP="00A51E02">
      <w:pPr>
        <w:pStyle w:val="Heading1"/>
        <w:rPr>
          <w:lang w:val="fr-FR"/>
        </w:rPr>
      </w:pPr>
      <w:r>
        <w:rPr>
          <w:lang w:val="fr"/>
        </w:rPr>
        <w:t>Concernant l’état de la mise en œuvre des activités à Haïti, au Mali et au Soudan du Sud, le PNUE a indiqué les informations suivantes :</w:t>
      </w:r>
    </w:p>
    <w:p w14:paraId="21D8A99C" w14:textId="0CF1EE1B" w:rsidR="00A51E02" w:rsidRPr="00776F27" w:rsidRDefault="00A51E02" w:rsidP="00A51E02">
      <w:pPr>
        <w:pStyle w:val="Heading2"/>
        <w:rPr>
          <w:lang w:val="fr-FR"/>
        </w:rPr>
      </w:pPr>
      <w:r>
        <w:rPr>
          <w:lang w:val="fr"/>
        </w:rPr>
        <w:t xml:space="preserve">Haïti : La première tranche de la phase I du PGEH est achevée opérationnellement et financièrement. La mise en œuvre de la deuxième tranche est lourdement retardée en raison d’un climat politique et social difficile, de changements au sein du gouvernement et </w:t>
      </w:r>
      <w:r w:rsidR="00110D28">
        <w:rPr>
          <w:lang w:val="fr"/>
        </w:rPr>
        <w:t>du Bureau national de l’ozone</w:t>
      </w:r>
      <w:r>
        <w:rPr>
          <w:lang w:val="fr"/>
        </w:rPr>
        <w:t xml:space="preserve"> ainsi que des restrictions liées à la pandémie de COVID-19. L’Accord de financement à petite échelle (SSFA) signé en avril 2019 est arrivé à terme ; le PNUE a signé un amendement au SSFA le 26 novembre 2020, que le pays n’a pas encore été en mesure de signer. Quelques activités (à savoir la formation en réfrigération et en climatisation ainsi que la sensibilisation) ont été mises en œuvre et le PNUE est en attente de réception des rapports périodique et financier de la part du Gouvernement pour avancer le prochain versement. </w:t>
      </w:r>
    </w:p>
    <w:p w14:paraId="0FEF98B2" w14:textId="77777777" w:rsidR="00A51E02" w:rsidRPr="00776F27" w:rsidRDefault="00A51E02" w:rsidP="00A51E02">
      <w:pPr>
        <w:pStyle w:val="Heading2"/>
        <w:rPr>
          <w:lang w:val="fr-FR"/>
        </w:rPr>
      </w:pPr>
      <w:r>
        <w:rPr>
          <w:lang w:val="fr"/>
        </w:rPr>
        <w:t xml:space="preserve">Mali : </w:t>
      </w:r>
      <w:bookmarkStart w:id="16" w:name="_Hlk103934134"/>
      <w:r>
        <w:rPr>
          <w:lang w:val="fr"/>
        </w:rPr>
        <w:t>Depuis 2012, le pays est touché par des troubles, le projet continue à rencontrer des retards en raison de la situation sécuritaire et politique dans le pays, et plus récemment, en raison des restrictions relatives à la pandémie de COVID-19</w:t>
      </w:r>
      <w:bookmarkEnd w:id="16"/>
      <w:r>
        <w:rPr>
          <w:lang w:val="fr"/>
        </w:rPr>
        <w:t xml:space="preserve">. Depuis février 2022, la Communauté économique des États de l’Afrique de l’Ouest (CEDEAO) fait peser les sanctions sur les dirigeants militaires du pays. Le Gouvernement a récemment entrepris des discussions avec la CEDEAO pour amorcer les activités du projet. </w:t>
      </w:r>
    </w:p>
    <w:p w14:paraId="75C1A207" w14:textId="77777777" w:rsidR="00A51E02" w:rsidRPr="00776F27" w:rsidRDefault="00A51E02" w:rsidP="00A51E02">
      <w:pPr>
        <w:pStyle w:val="Heading2"/>
        <w:rPr>
          <w:lang w:val="fr-FR"/>
        </w:rPr>
      </w:pPr>
      <w:r>
        <w:rPr>
          <w:lang w:val="fr"/>
        </w:rPr>
        <w:t>Soudan du Sud : Le projet a accusé des retards en raison de l’instabilité politique prolongée et des défis posés par la pandémie de COVID-19. Le SSFA a été signé en janvier 2022 et le premier versement dans le cadre du SSFA d’un montant de 15 000 $ US a été versé au pays par le biais de l’Institut de conformité environnementale en janvier 2022 ; un programme de formation de formateurs à destination des techniciens frigoristes et des agents des douanes est programmé pour avoir lieu en mai 2022. Les activités dans le cadre de la première tranche devraient être achevées d’ici décembre 2022 et la soumission des deuxièmes et troisièmes tranches est prévue lors de la 91</w:t>
      </w:r>
      <w:r>
        <w:rPr>
          <w:vertAlign w:val="superscript"/>
          <w:lang w:val="fr"/>
        </w:rPr>
        <w:t>e</w:t>
      </w:r>
      <w:r>
        <w:rPr>
          <w:lang w:val="fr"/>
        </w:rPr>
        <w:t xml:space="preserve"> réunion. </w:t>
      </w:r>
    </w:p>
    <w:p w14:paraId="2071DDAE" w14:textId="77777777" w:rsidR="00A51E02" w:rsidRPr="00085F79" w:rsidRDefault="00A51E02" w:rsidP="00A51E02">
      <w:pPr>
        <w:rPr>
          <w:b/>
          <w:bCs/>
        </w:rPr>
      </w:pPr>
      <w:r>
        <w:rPr>
          <w:b/>
          <w:bCs/>
          <w:lang w:val="fr"/>
        </w:rPr>
        <w:t>Observations du Secrétariat</w:t>
      </w:r>
    </w:p>
    <w:p w14:paraId="4B522EDB" w14:textId="77777777" w:rsidR="00A51E02" w:rsidRPr="00085F79" w:rsidRDefault="00A51E02" w:rsidP="00A51E02"/>
    <w:p w14:paraId="2ADC6ED0" w14:textId="77777777" w:rsidR="00A51E02" w:rsidRPr="00776F27" w:rsidRDefault="00A51E02" w:rsidP="00A51E02">
      <w:pPr>
        <w:pStyle w:val="Heading1"/>
        <w:rPr>
          <w:lang w:val="fr-FR"/>
        </w:rPr>
      </w:pPr>
      <w:r>
        <w:rPr>
          <w:lang w:val="fr"/>
        </w:rPr>
        <w:t>Le Secrétariat a pris note que la prorogation des dates d’achèvement de la phase I du PGEH pour le Botswana au 31 décembre 2022 et pour la Zambie au 30 juin 2023, comme expliqué au paragraphe 212, permettrait aux pays d’achever les activités restantes de leur PGEH, étant entendu qu’aucune prorogation supplémentaire ne sera demandée.</w:t>
      </w:r>
    </w:p>
    <w:p w14:paraId="6593E093" w14:textId="77777777" w:rsidR="00A51E02" w:rsidRPr="00776F27" w:rsidRDefault="00A51E02" w:rsidP="00A51E02">
      <w:pPr>
        <w:pStyle w:val="Heading1"/>
        <w:rPr>
          <w:lang w:val="fr-FR"/>
        </w:rPr>
      </w:pPr>
      <w:r>
        <w:rPr>
          <w:lang w:val="fr"/>
        </w:rPr>
        <w:t>Le Secrétariat a mené des discussions détaillées avec le PNUE et l’ONUDI relatives au retard de soumission des tranches restantes pour la Barbade, le Congo, la Dominique, Saint-Kitts-et-Nevis, l’Afrique du Sud et le Suriname, évoqué au paragraphe 213, soulignant que le Comité exécutif a permis la poursuite de la mise en œuvre des projets de façon exceptionnelle et attendait qu’un plan de mise en œuvre révisé détaillé soit soumis lors de la 90</w:t>
      </w:r>
      <w:r>
        <w:rPr>
          <w:vertAlign w:val="superscript"/>
          <w:lang w:val="fr"/>
        </w:rPr>
        <w:t>e</w:t>
      </w:r>
      <w:r>
        <w:rPr>
          <w:lang w:val="fr"/>
        </w:rPr>
        <w:t> réunion. Compte tenu de ces discussions, il a été convenu l’approche suivante :</w:t>
      </w:r>
    </w:p>
    <w:p w14:paraId="751B5E63" w14:textId="77777777" w:rsidR="00A51E02" w:rsidRPr="00776F27" w:rsidRDefault="00A51E02" w:rsidP="00A51E02">
      <w:pPr>
        <w:pStyle w:val="Heading2"/>
        <w:rPr>
          <w:lang w:val="fr-FR"/>
        </w:rPr>
      </w:pPr>
      <w:r>
        <w:rPr>
          <w:lang w:val="fr"/>
        </w:rPr>
        <w:t>Les dernières tranches de la phase I du PGEH pour la Barbade, le Congo, l’Afrique du Sud et le Suriname seront soumises lors de la 91</w:t>
      </w:r>
      <w:r>
        <w:rPr>
          <w:vertAlign w:val="superscript"/>
          <w:lang w:val="fr"/>
        </w:rPr>
        <w:t>e</w:t>
      </w:r>
      <w:r>
        <w:rPr>
          <w:lang w:val="fr"/>
        </w:rPr>
        <w:t> réunion, et la prorogation des dates d’achèvement sera envisagée par le Comité exécutif en fonction du plan de mise en œuvre détaillé de la tranche ; et</w:t>
      </w:r>
    </w:p>
    <w:p w14:paraId="3600E6E3" w14:textId="77777777" w:rsidR="00A51E02" w:rsidRPr="00776F27" w:rsidRDefault="00A51E02" w:rsidP="00A51E02">
      <w:pPr>
        <w:pStyle w:val="Heading2"/>
        <w:rPr>
          <w:lang w:val="fr-FR"/>
        </w:rPr>
      </w:pPr>
      <w:r>
        <w:rPr>
          <w:lang w:val="fr"/>
        </w:rPr>
        <w:t>Compte tenu des défis de coordination administrative et institutionnelle rencontrés en Dominique et à Saint-Kitts-et-Nevis, le PNUE travaillera en étroite collaboration avec les gouvernements respectifs pour veiller à ce que la soumission de la tranche finale de la phase I de leur PGEH n’ait pas lieu plus tard que lors de la dernière réunion de 2023, étant entendu qu’aucune demande de financement additionnel pour de nouvelles phases du PGEH et des activités de projet liés aux HFC ne sera soumise jusqu’à l’achèvement opérationnel de la phase I de leurs PGEH.</w:t>
      </w:r>
    </w:p>
    <w:p w14:paraId="5BA67418" w14:textId="77777777" w:rsidR="00A51E02" w:rsidRPr="00776F27" w:rsidRDefault="00A51E02" w:rsidP="00A51E02">
      <w:pPr>
        <w:pStyle w:val="Heading1"/>
        <w:rPr>
          <w:lang w:val="fr-FR"/>
        </w:rPr>
      </w:pPr>
      <w:r>
        <w:rPr>
          <w:lang w:val="fr"/>
        </w:rPr>
        <w:t>Le Secrétariat a aussi discuté les incertitudes liées aux problèmes administratifs et à la situation sécuritaire et politique à Haïti, au Mali et au Soudan du Sud, évoquées au paragraphe 214, prenant note de certains avancements dans la mise en œuvre du projet au Soudan du Sud ; compte tenu de ces discussions, il a été convenu que le PNUE continuerait à superviser de près la mise en œuvre des activités en souffrance dans le cadre de la phase I du PGEH pour ces pays et soumettrait un rapport d’avancement de leur mise en œuvre conformément à la décision 88/29(b)(ii).</w:t>
      </w:r>
    </w:p>
    <w:p w14:paraId="1BC0B08F" w14:textId="77777777" w:rsidR="00A51E02" w:rsidRPr="00085F79" w:rsidRDefault="00A51E02" w:rsidP="00A51E02">
      <w:pPr>
        <w:keepNext/>
        <w:rPr>
          <w:b/>
          <w:bCs/>
        </w:rPr>
      </w:pPr>
      <w:r>
        <w:rPr>
          <w:b/>
          <w:bCs/>
          <w:lang w:val="fr"/>
        </w:rPr>
        <w:t>Recommandation</w:t>
      </w:r>
    </w:p>
    <w:p w14:paraId="4A4230BF" w14:textId="77777777" w:rsidR="00A51E02" w:rsidRPr="00085F79" w:rsidRDefault="00A51E02" w:rsidP="00A51E02">
      <w:pPr>
        <w:keepNext/>
      </w:pPr>
    </w:p>
    <w:p w14:paraId="6854DE36" w14:textId="77777777" w:rsidR="00A51E02" w:rsidRPr="00776F27" w:rsidRDefault="00A51E02" w:rsidP="00A51E02">
      <w:pPr>
        <w:pStyle w:val="Heading1"/>
        <w:keepNext/>
        <w:rPr>
          <w:lang w:val="fr-FR"/>
        </w:rPr>
      </w:pPr>
      <w:r>
        <w:rPr>
          <w:lang w:val="fr"/>
        </w:rPr>
        <w:t>Le Comité exécutif pourrait souhaiter :</w:t>
      </w:r>
    </w:p>
    <w:p w14:paraId="1ADD9AC1" w14:textId="77777777" w:rsidR="00A51E02" w:rsidRPr="00776F27" w:rsidRDefault="00A51E02" w:rsidP="00A51E02">
      <w:pPr>
        <w:pStyle w:val="Heading2"/>
        <w:rPr>
          <w:lang w:val="fr-FR"/>
        </w:rPr>
      </w:pPr>
      <w:r>
        <w:rPr>
          <w:lang w:val="fr"/>
        </w:rPr>
        <w:t>Prendre note de la situation de la mise en œuvre des activités des 16 pays visés à l’Article 5 pour lesquels une prorogation des dates d’achèvement de leur plan de gestion de l’élimination des HCFC (PGEH) a été demandée au-delà du 31 décembre 2022 conformément à la décision 88/29 et présentée dans le document UNEP/OzL.Pro/ExCom/90/9 ;</w:t>
      </w:r>
    </w:p>
    <w:p w14:paraId="4286AF7C" w14:textId="77777777" w:rsidR="00A51E02" w:rsidRPr="00776F27" w:rsidRDefault="00A51E02" w:rsidP="00A51E02">
      <w:pPr>
        <w:pStyle w:val="Heading2"/>
        <w:rPr>
          <w:lang w:val="fr-FR"/>
        </w:rPr>
      </w:pPr>
      <w:r>
        <w:rPr>
          <w:lang w:val="fr"/>
        </w:rPr>
        <w:t>Prendre note, en outre, que la phase I du PGEH de la Jamaïque devrait être achevée d’ici le 30 juin 2022 ;</w:t>
      </w:r>
    </w:p>
    <w:p w14:paraId="44070BED" w14:textId="77777777" w:rsidR="00A51E02" w:rsidRPr="00776F27" w:rsidRDefault="00A51E02" w:rsidP="003E673B">
      <w:pPr>
        <w:pStyle w:val="Heading2"/>
        <w:keepNext/>
        <w:keepLines/>
        <w:rPr>
          <w:lang w:val="fr-FR"/>
        </w:rPr>
      </w:pPr>
      <w:r>
        <w:rPr>
          <w:lang w:val="fr"/>
        </w:rPr>
        <w:t>De permettre, de manière exceptionnelle, la poursuite de la mise en œuvre des activités en souffrance liées au PGEH pour les pays suivants, et de demander aux agences d’exécution concernées de soumettre un plan de mise en œuvre détaillé avec la demande des tranches restantes :</w:t>
      </w:r>
    </w:p>
    <w:p w14:paraId="5D6161CE" w14:textId="77777777" w:rsidR="00A51E02" w:rsidRPr="00776F27" w:rsidRDefault="00A51E02" w:rsidP="00A51E02">
      <w:pPr>
        <w:pStyle w:val="Heading3"/>
        <w:numPr>
          <w:ilvl w:val="2"/>
          <w:numId w:val="1"/>
        </w:numPr>
        <w:rPr>
          <w:lang w:val="fr-FR"/>
        </w:rPr>
      </w:pPr>
      <w:r>
        <w:rPr>
          <w:lang w:val="fr"/>
        </w:rPr>
        <w:t>Lors de la 91</w:t>
      </w:r>
      <w:r>
        <w:rPr>
          <w:vertAlign w:val="superscript"/>
          <w:lang w:val="fr"/>
        </w:rPr>
        <w:t>e</w:t>
      </w:r>
      <w:r>
        <w:rPr>
          <w:lang w:val="fr"/>
        </w:rPr>
        <w:t> réunion, pour la phase I de la Barbade (PNUE), du Congo (PNUE), de l’Afrique du Sud (ONUDI), et du Suriname (PNUE et ONUDI), et pour la phase II de la République bolivarienne du Venezuela (ONUDI) ; et</w:t>
      </w:r>
    </w:p>
    <w:p w14:paraId="7BF20C73" w14:textId="77777777" w:rsidR="00A51E02" w:rsidRPr="00776F27" w:rsidRDefault="00A51E02" w:rsidP="00A51E02">
      <w:pPr>
        <w:pStyle w:val="Heading3"/>
        <w:numPr>
          <w:ilvl w:val="2"/>
          <w:numId w:val="1"/>
        </w:numPr>
        <w:rPr>
          <w:lang w:val="fr-FR"/>
        </w:rPr>
      </w:pPr>
      <w:r>
        <w:rPr>
          <w:lang w:val="fr"/>
        </w:rPr>
        <w:t>Pas plus tard que lors de la dernière réunion de 2023, pour la phase I de la Dominique (PNUE) et de Saint-Kitts-et-Nevis (PNUE), étant entendu qu’aucune demande de financement additionnel pour de nouvelles phases du PGEH et des activités de projet liés aux HFC ne sera soumise jusqu’à l’achèvement opérationnel de la phase I de leurs PGEH ;</w:t>
      </w:r>
    </w:p>
    <w:p w14:paraId="0FD49835" w14:textId="77777777" w:rsidR="00A51E02" w:rsidRPr="00776F27" w:rsidRDefault="00A51E02" w:rsidP="00A51E02">
      <w:pPr>
        <w:pStyle w:val="Heading2"/>
        <w:rPr>
          <w:lang w:val="fr-FR"/>
        </w:rPr>
      </w:pPr>
      <w:r>
        <w:rPr>
          <w:lang w:val="fr"/>
        </w:rPr>
        <w:t xml:space="preserve">D’approuver de façon exceptionnelle la prorogation de la date d’achèvement de la phase I du PGEH pour les pays suivants, étant entendu qu’aucun autre report ne sera demandé : </w:t>
      </w:r>
    </w:p>
    <w:p w14:paraId="69DFE99D" w14:textId="77777777" w:rsidR="00A51E02" w:rsidRPr="00776F27" w:rsidRDefault="00A51E02" w:rsidP="00A51E02">
      <w:pPr>
        <w:pStyle w:val="Heading3"/>
        <w:numPr>
          <w:ilvl w:val="2"/>
          <w:numId w:val="1"/>
        </w:numPr>
        <w:rPr>
          <w:lang w:val="fr-FR"/>
        </w:rPr>
      </w:pPr>
      <w:r>
        <w:rPr>
          <w:lang w:val="fr"/>
        </w:rPr>
        <w:t xml:space="preserve">Le Botswana (PNUE et ONUDI), au 31 décembre 2022 pour permettre l’achèvement des activités restantes relatives à la formation des agents des douanes et des techniciens d’entretien des systèmes de réfrigération et de climatisation ; et </w:t>
      </w:r>
    </w:p>
    <w:p w14:paraId="4E122D5C" w14:textId="77777777" w:rsidR="00A51E02" w:rsidRPr="00776F27" w:rsidRDefault="00A51E02" w:rsidP="00A51E02">
      <w:pPr>
        <w:pStyle w:val="Heading3"/>
        <w:numPr>
          <w:ilvl w:val="2"/>
          <w:numId w:val="1"/>
        </w:numPr>
        <w:rPr>
          <w:lang w:val="fr-FR"/>
        </w:rPr>
      </w:pPr>
      <w:r>
        <w:rPr>
          <w:lang w:val="fr"/>
        </w:rPr>
        <w:t>La Zambie (PNUE et ONUDI), au 30 juin 2023 pour permettre l’achèvement des activités restantes relatives à la fourniture et à la livraison des équipements ; et</w:t>
      </w:r>
    </w:p>
    <w:p w14:paraId="2A630FE5" w14:textId="77777777" w:rsidR="00A51E02" w:rsidRPr="00776F27" w:rsidRDefault="00A51E02" w:rsidP="00A51E02">
      <w:pPr>
        <w:pStyle w:val="Heading2"/>
        <w:rPr>
          <w:lang w:val="fr-FR"/>
        </w:rPr>
      </w:pPr>
      <w:r>
        <w:rPr>
          <w:lang w:val="fr"/>
        </w:rPr>
        <w:t>De permettre, de façon exceptionnelle, au PNUE de poursuivre la mise en œuvre des activités en souffrance relatives à la phase I du PGEH pour Haïti, le Mali et le Soudan du Sud et de soumettre un rapport sur la situation de ces mises en œuvre au sein du rapport d’avancement lors de la 91</w:t>
      </w:r>
      <w:r>
        <w:rPr>
          <w:vertAlign w:val="superscript"/>
          <w:lang w:val="fr"/>
        </w:rPr>
        <w:t>e</w:t>
      </w:r>
      <w:r>
        <w:rPr>
          <w:lang w:val="fr"/>
        </w:rPr>
        <w:t> réunion conformément à la décision 88/29(b)(ii).</w:t>
      </w:r>
    </w:p>
    <w:p w14:paraId="35658621" w14:textId="77777777" w:rsidR="00A51E02" w:rsidRPr="00776F27" w:rsidRDefault="00A51E02" w:rsidP="00A51E02">
      <w:pPr>
        <w:keepNext/>
        <w:keepLines/>
        <w:rPr>
          <w:lang w:val="fr-FR"/>
        </w:rPr>
      </w:pPr>
    </w:p>
    <w:p w14:paraId="12D773D6" w14:textId="77777777" w:rsidR="00A51E02" w:rsidRPr="00776F27" w:rsidRDefault="00A51E02" w:rsidP="00A51E02">
      <w:pPr>
        <w:pStyle w:val="ListParagraph"/>
        <w:keepNext/>
        <w:keepLines/>
        <w:numPr>
          <w:ilvl w:val="0"/>
          <w:numId w:val="35"/>
        </w:numPr>
        <w:rPr>
          <w:b/>
          <w:sz w:val="24"/>
          <w:szCs w:val="24"/>
        </w:rPr>
      </w:pPr>
      <w:r>
        <w:rPr>
          <w:b/>
          <w:bCs/>
          <w:sz w:val="24"/>
          <w:szCs w:val="24"/>
          <w:lang w:val="fr"/>
        </w:rPr>
        <w:t>Rapports relatifs aux projets concernant les HFC</w:t>
      </w:r>
    </w:p>
    <w:p w14:paraId="6E839608" w14:textId="77777777" w:rsidR="00A51E02" w:rsidRPr="00776F27" w:rsidRDefault="00A51E02" w:rsidP="00A51E02">
      <w:pPr>
        <w:keepNext/>
        <w:keepLines/>
        <w:rPr>
          <w:lang w:val="fr-FR"/>
        </w:rPr>
      </w:pPr>
    </w:p>
    <w:p w14:paraId="491FA113" w14:textId="77777777" w:rsidR="00A51E02" w:rsidRPr="00776F27" w:rsidRDefault="00A51E02" w:rsidP="00A51E02">
      <w:pPr>
        <w:pStyle w:val="StyleHeader4Para4Left0Firstline0"/>
        <w:keepNext/>
        <w:keepLines/>
        <w:numPr>
          <w:ilvl w:val="0"/>
          <w:numId w:val="0"/>
        </w:numPr>
        <w:rPr>
          <w:b/>
          <w:sz w:val="22"/>
          <w:lang w:val="fr-FR"/>
        </w:rPr>
      </w:pPr>
      <w:r>
        <w:rPr>
          <w:b/>
          <w:bCs/>
          <w:sz w:val="22"/>
          <w:u w:val="single"/>
          <w:lang w:val="fr"/>
        </w:rPr>
        <w:t>Jordanie : Rapport sur</w:t>
      </w:r>
      <w:bookmarkStart w:id="17" w:name="_Hlk104390137"/>
      <w:r>
        <w:rPr>
          <w:b/>
          <w:bCs/>
          <w:sz w:val="22"/>
          <w:u w:val="single"/>
          <w:lang w:val="fr"/>
        </w:rPr>
        <w:t xml:space="preserve"> le projet de conversion des HFC au propane à l’usine fabriquant des climatiseurs de toit monoblocs allant jusqu’à 400 kW de Petra Engineering Industries Co</w:t>
      </w:r>
      <w:bookmarkEnd w:id="17"/>
      <w:r>
        <w:rPr>
          <w:b/>
          <w:bCs/>
          <w:sz w:val="22"/>
          <w:lang w:val="fr"/>
        </w:rPr>
        <w:t xml:space="preserve"> (ONUDI)</w:t>
      </w:r>
    </w:p>
    <w:p w14:paraId="5D732C98" w14:textId="77777777" w:rsidR="00A51E02" w:rsidRPr="00F70E30" w:rsidRDefault="00A51E02" w:rsidP="00A51E02">
      <w:pPr>
        <w:keepNext/>
        <w:keepLines/>
        <w:rPr>
          <w:b/>
        </w:rPr>
      </w:pPr>
      <w:r>
        <w:rPr>
          <w:b/>
          <w:bCs/>
          <w:lang w:val="fr"/>
        </w:rPr>
        <w:t>Contexte</w:t>
      </w:r>
    </w:p>
    <w:p w14:paraId="2682A321" w14:textId="77777777" w:rsidR="00A51E02" w:rsidRPr="00F70E30" w:rsidRDefault="00A51E02" w:rsidP="00A51E02">
      <w:pPr>
        <w:keepNext/>
        <w:keepLines/>
      </w:pPr>
    </w:p>
    <w:p w14:paraId="7CB8EFA4" w14:textId="77777777" w:rsidR="00A51E02" w:rsidRPr="00BA14FE" w:rsidRDefault="00A51E02" w:rsidP="00A51E02">
      <w:pPr>
        <w:pStyle w:val="Heading1"/>
        <w:keepNext/>
        <w:keepLines/>
        <w:rPr>
          <w:lang w:val="fr-FR"/>
        </w:rPr>
      </w:pPr>
      <w:r>
        <w:rPr>
          <w:lang w:val="fr"/>
        </w:rPr>
        <w:t>Lors de sa 81</w:t>
      </w:r>
      <w:r>
        <w:rPr>
          <w:vertAlign w:val="superscript"/>
          <w:lang w:val="fr"/>
        </w:rPr>
        <w:t>e</w:t>
      </w:r>
      <w:r>
        <w:rPr>
          <w:lang w:val="fr"/>
        </w:rPr>
        <w:t> réunion, le Comité exécutif a approuvé un projet de conversion de HFC (HFC-134a, R-407C, R-410A) vers le propane (R-290) à l’usine fabriquant des climatiseurs de toit monoblocs allant jusqu’à 400 kW de Petra Engineering Industries Co. (Petra) en Jordanie, pour un montant de 1 637 610 $ US, plus coûts d’appui d’agence pour l’ONUDI (décision 81/62).</w:t>
      </w:r>
    </w:p>
    <w:p w14:paraId="5DCE71CB" w14:textId="77777777" w:rsidR="00A51E02" w:rsidRPr="00776F27" w:rsidRDefault="00A51E02" w:rsidP="00A51E02">
      <w:pPr>
        <w:pStyle w:val="Heading1"/>
        <w:rPr>
          <w:lang w:val="fr-FR"/>
        </w:rPr>
      </w:pPr>
      <w:r>
        <w:rPr>
          <w:lang w:val="fr"/>
        </w:rPr>
        <w:t xml:space="preserve">Petra est le principal fabricant de climatiseurs et le seul fabricant de climatiseurs de toit monoblocs du pays. Ce projet a été conçu pour simuler, concevoir, tester et convertir la production de climatiseurs de toit monoblocs à l’utilisation du R-290 pour remplacer les climatiseurs utilisant des HFC pouvant aller jusqu’à 400 kW (114 t de frigorigènes (TR)) utilisés dans des applications commerciales et industrielles et ainsi atteindre </w:t>
      </w:r>
      <w:bookmarkStart w:id="18" w:name="_Hlk104449556"/>
      <w:r>
        <w:rPr>
          <w:lang w:val="fr"/>
        </w:rPr>
        <w:t>un taux de rendement énergétique</w:t>
      </w:r>
      <w:bookmarkEnd w:id="18"/>
      <w:r>
        <w:rPr>
          <w:lang w:val="fr"/>
        </w:rPr>
        <w:t xml:space="preserve"> 10 à 15 % plus élevé que le taux de rendement énergétique minimum indiqué dans la norme 90.1 de la Société américaine des ingénieurs en chauffage, réfrigération et climatisation (ASHRAE). Sur ses huit lignes d’assemblage et huit zones de chargement, 2 devaient être converties au R-290. Les deux prototypes devaient avoir une capacité respective de 80 kW et 185 kW, couvrant toute la gamme de climatiseurs monoblocs fabriqués à Petra, et comprenant deux conceptions différentes prenant en compte toutes les mesures de sécurité pertinente.</w:t>
      </w:r>
    </w:p>
    <w:p w14:paraId="53F06577" w14:textId="77777777" w:rsidR="00A51E02" w:rsidRPr="00776F27" w:rsidRDefault="00A51E02" w:rsidP="00A51E02">
      <w:pPr>
        <w:pStyle w:val="Heading1"/>
        <w:rPr>
          <w:lang w:val="fr-FR"/>
        </w:rPr>
      </w:pPr>
      <w:r>
        <w:rPr>
          <w:lang w:val="fr"/>
        </w:rPr>
        <w:t xml:space="preserve">Le projet devait être achevé d’ici juillet 2020 et un rapport d’achèvement exhaustif devait être soumis dans les six mois suivant l’achèvement du projet. L’ONUDI a présenté, au nom du gouvernement de Jordanie, un rapport périodique sur la mise en œuvre du projet. </w:t>
      </w:r>
    </w:p>
    <w:p w14:paraId="48717593" w14:textId="77777777" w:rsidR="00A51E02" w:rsidRPr="00085F79" w:rsidRDefault="00A51E02" w:rsidP="00A51E02">
      <w:pPr>
        <w:rPr>
          <w:b/>
          <w:bCs/>
        </w:rPr>
      </w:pPr>
      <w:r>
        <w:rPr>
          <w:b/>
          <w:bCs/>
          <w:lang w:val="fr"/>
        </w:rPr>
        <w:t xml:space="preserve">Rapport périodique </w:t>
      </w:r>
    </w:p>
    <w:p w14:paraId="43B85F18" w14:textId="77777777" w:rsidR="00A51E02" w:rsidRPr="00085F79" w:rsidRDefault="00A51E02" w:rsidP="00A51E02">
      <w:pPr>
        <w:rPr>
          <w:b/>
          <w:bCs/>
        </w:rPr>
      </w:pPr>
    </w:p>
    <w:p w14:paraId="1324FBA1" w14:textId="77777777" w:rsidR="00A51E02" w:rsidRPr="00776F27" w:rsidRDefault="00A51E02" w:rsidP="00A51E02">
      <w:pPr>
        <w:pStyle w:val="Heading1"/>
        <w:rPr>
          <w:lang w:val="fr-FR"/>
        </w:rPr>
      </w:pPr>
      <w:r>
        <w:rPr>
          <w:lang w:val="fr"/>
        </w:rPr>
        <w:t>Le rapport périodique comprend une liste des activités de projet mises en œuvre ; une mise à jour de l’avancement des activités de formation et de sensibilisation, notamment les supports de formation ; un résumé des résultats des tests des prototypes ; et un rapport concernant les coûts différentiels d’investissement (CDI) et les surcoûts d’exploitation.</w:t>
      </w:r>
    </w:p>
    <w:p w14:paraId="0CD61626" w14:textId="77777777" w:rsidR="00A51E02" w:rsidRPr="00776F27" w:rsidRDefault="00A51E02" w:rsidP="00A51E02">
      <w:pPr>
        <w:pStyle w:val="Heading1"/>
        <w:rPr>
          <w:lang w:val="fr-FR"/>
        </w:rPr>
      </w:pPr>
      <w:r>
        <w:rPr>
          <w:lang w:val="fr"/>
        </w:rPr>
        <w:t>Avec le soutien du projet, deux prototypes utilisant du R-290 d’une capacité respective de 80 kW et 185 kW ont été conçus, fabriqués et testés ; en outre, l’entreprise a cofinancé la conception, la fabrication et le test d’un troisième prototype utilisant du HFC-32.</w:t>
      </w:r>
      <w:r>
        <w:rPr>
          <w:rStyle w:val="FootnoteReference"/>
          <w:lang w:val="fr"/>
        </w:rPr>
        <w:footnoteReference w:id="54"/>
      </w:r>
      <w:r>
        <w:rPr>
          <w:lang w:val="fr"/>
        </w:rPr>
        <w:t>Les prototypes au R-290 ont une capacité de refroidissement entre 2 et 6 pour cent supérieure et un taux de rendement énergétique entre 4 et 11 pour cent supérieur aux valeurs de référence des climatiseurs utilisant du R-407C. À 95 °F, les prototypes utilisant du R-290 ont démontré une capacité de refroidissement deux pour cent supérieure et un taux de rendement énergétique 6 pour cent supérieur ; à 115 °F, les prototypes utilisant du R-290 ont présenté une pression et une température de refoulement du compresseur largement inférieures aux climatiseurs de référence et ont présenté de meilleures performances qui s’élèvent à 3 pour cent pour la capacité de refroidissement et à 8 pour cent pour le taux de rendement énergétique. De même, le prototype utilisant du HFC-32 présente une capacité de refroidissement entre 6 et 10 pour cent supérieure à celle des climatiseurs de référence utilisant du R-410A et un taux de rendement énergétique entre 1 et 4 pour cent supérieur aux valeurs de référence dans toutes les conditions testées. À 95 °F, le prototype utilisant du HFC-32 dépasse la capacité de refroidissement et le taux de rendement énergétique de 8 pour cent et 2 pour cent respectivement, à 115 °F, de 9 pour cent et 4 pour cent respectivement.</w:t>
      </w:r>
    </w:p>
    <w:p w14:paraId="0C1C6E4C" w14:textId="77777777" w:rsidR="00A51E02" w:rsidRPr="00776F27" w:rsidRDefault="00A51E02" w:rsidP="00A51E02">
      <w:pPr>
        <w:pStyle w:val="Heading1"/>
        <w:rPr>
          <w:lang w:val="fr-FR"/>
        </w:rPr>
      </w:pPr>
      <w:r>
        <w:rPr>
          <w:lang w:val="fr"/>
        </w:rPr>
        <w:t xml:space="preserve">Le coût approuvé total s’élève à 1 637 610 $ US, comprenant 899 800 $ US de CDI et 747 810 $ US de surcoûts d’exploitation. L’ONUDI a indiqué un montant de 1 521 120 $ US de CDI et zéro de surcoûts d’exploitation, autres que ceux des prototypes, aucun climatiseur de toit monobloc utilisant du R-290 n’a été fabriqué. Bien que les surcoûts d’exploitation n’aient pas pu être fournis, l’ONUDI a indiqué des informations sur les coûts associés à la fabrication des prototypes qui suggèrent que les surcoûts d’exploitation se situent entre 105 $ US/kg et 109 $ US/kg en fonction du modèle. </w:t>
      </w:r>
    </w:p>
    <w:p w14:paraId="39C01FD1" w14:textId="77777777" w:rsidR="00A51E02" w:rsidRPr="00085F79" w:rsidRDefault="00A51E02" w:rsidP="00A51E02">
      <w:pPr>
        <w:keepNext/>
        <w:rPr>
          <w:b/>
          <w:bCs/>
        </w:rPr>
      </w:pPr>
      <w:r>
        <w:rPr>
          <w:b/>
          <w:bCs/>
          <w:lang w:val="fr"/>
        </w:rPr>
        <w:t>Observations du Secrétariat</w:t>
      </w:r>
    </w:p>
    <w:p w14:paraId="1A917656" w14:textId="77777777" w:rsidR="00A51E02" w:rsidRPr="00085F79" w:rsidRDefault="00A51E02" w:rsidP="00A51E02">
      <w:pPr>
        <w:keepNext/>
      </w:pPr>
    </w:p>
    <w:p w14:paraId="597579D0" w14:textId="77777777" w:rsidR="00A51E02" w:rsidRPr="00BA14FE" w:rsidRDefault="00A51E02" w:rsidP="00A51E02">
      <w:pPr>
        <w:pStyle w:val="Heading1"/>
        <w:rPr>
          <w:lang w:val="fr-FR"/>
        </w:rPr>
      </w:pPr>
      <w:r>
        <w:rPr>
          <w:lang w:val="fr"/>
        </w:rPr>
        <w:t>Lors de la 81</w:t>
      </w:r>
      <w:r>
        <w:rPr>
          <w:vertAlign w:val="superscript"/>
          <w:lang w:val="fr"/>
        </w:rPr>
        <w:t>e</w:t>
      </w:r>
      <w:r>
        <w:rPr>
          <w:lang w:val="fr"/>
        </w:rPr>
        <w:t> réunion, l’ONUDI a insisté sur le fait que le projet ne convertirait que deux lignes de production (sur huit) et qu’une conversion complète vers l’utilisation de R-290 n’était pas réaliste ni prévue aujourd’hui.</w:t>
      </w:r>
      <w:r>
        <w:rPr>
          <w:rStyle w:val="FootnoteReference"/>
          <w:lang w:val="fr"/>
        </w:rPr>
        <w:footnoteReference w:id="55"/>
      </w:r>
      <w:r>
        <w:rPr>
          <w:lang w:val="fr"/>
        </w:rPr>
        <w:t xml:space="preserve"> Cependant, le Secrétariat a noté que l’entreprise n’avait pas fabriqué de climatiseur de toit monobloc de grande taille à usage commercial utilisant la nouvelle technologie (c’est-à-dire le R-290), et a rappelé que le projet était le seul projet approuvé dans le cadre de la décision 78/3(g) qui comprenait une clause de prorogation de l’achèvement financier du projet de façon exceptionnelle pour une durée d’un an si nécessaire dans le seul but de permettre le décaissement des surcoûts d’exploitation associés à la vente réelle de climatiseurs utilisant du R-290, conformément à la décision 77/35.</w:t>
      </w:r>
      <w:r>
        <w:rPr>
          <w:rStyle w:val="FootnoteReference"/>
          <w:lang w:val="fr"/>
        </w:rPr>
        <w:footnoteReference w:id="56"/>
      </w:r>
      <w:r>
        <w:rPr>
          <w:lang w:val="fr"/>
        </w:rPr>
        <w:t xml:space="preserve">Par conséquent et conformément à la décision 81/62(b)(iv), le Secrétariat n’a pas considéré le projet comme achevé. </w:t>
      </w:r>
    </w:p>
    <w:p w14:paraId="0ACEFFBA" w14:textId="77777777" w:rsidR="00A51E02" w:rsidRPr="00776F27" w:rsidRDefault="00A51E02" w:rsidP="00A51E02">
      <w:pPr>
        <w:pStyle w:val="Heading1"/>
        <w:rPr>
          <w:lang w:val="fr-FR"/>
        </w:rPr>
      </w:pPr>
      <w:r>
        <w:rPr>
          <w:lang w:val="fr"/>
        </w:rPr>
        <w:t>À partie de ces informations, le Secrétariat a cherché à mieux comprendre les raisons ayant poussé l’entreprise à ne pas fabriquer de climatiseurs utilisant du R-290, si l’entreprise restait engagée à fabriquer des climatiseurs de toit monobloc de grande taille à usage commercial utilisant du R-290 sur les lignes converties, et, si c’était le cas, si l’ONUDI voulait demander une prorogation du projet.</w:t>
      </w:r>
    </w:p>
    <w:p w14:paraId="423529E8" w14:textId="77777777" w:rsidR="00A51E02" w:rsidRPr="00776F27" w:rsidRDefault="00A51E02" w:rsidP="00A51E02">
      <w:pPr>
        <w:pStyle w:val="Heading1"/>
        <w:rPr>
          <w:lang w:val="fr-FR"/>
        </w:rPr>
      </w:pPr>
      <w:r>
        <w:rPr>
          <w:lang w:val="fr"/>
        </w:rPr>
        <w:t>L’ONUDI a indiqué que Petra évoluait dans un environnement économique difficile : la fabrication d’unités utilisant des HFC a diminué de 42 % sur ces trois dernières années et les prévisions de ventes de climatiseurs utilisant du HFC étaient 75 % inférieures à celles-ci en 2021 ; les prévisions de ventes de climatiseurs utilisant du HFC en 2022 étaient 85 % inférieures aux moyennes des ventes de 2017-2019 (c’est-à-dire représentatives des ventes antérieures à la pandémie). Les ventes d’équipement utilisant des HFC ne devraient pas repartir à la hausse avant 2024. L’entreprise a attribué les réductions substantielles de ventes à la pandémie de COVID-19 ; à la situation économique dans la région, qui pourrait être affectée par la situation politique de certains pays ; et à des changements dans la demande du marché, notamment une augmentation de la demande de systèmes de climatisation à eau glacée. En raison de ces conditions économiques difficiles, l’entreprise s’est trouvée dans l’incapacité d’introduire une nouvelle technologie sur le marché et a considéré qu’il faudrait plus de temps avant que ce soit envisageable.</w:t>
      </w:r>
    </w:p>
    <w:p w14:paraId="0C9590FC" w14:textId="77777777" w:rsidR="00A51E02" w:rsidRPr="00776F27" w:rsidRDefault="00A51E02" w:rsidP="00A51E02">
      <w:pPr>
        <w:pStyle w:val="Heading1"/>
        <w:rPr>
          <w:lang w:val="fr-FR"/>
        </w:rPr>
      </w:pPr>
      <w:r>
        <w:rPr>
          <w:lang w:val="fr"/>
        </w:rPr>
        <w:t>L’ONUDI a confirmé que l’entreprise restait engagée à fabriquer des climatiseurs de toit monobloc de grande taille à usage commercial utilisant du R-290 et a proposé une prorogation du projet. Le but de cette prorogation était d’accorder plus de temps afin que les lois et changements réglementaires puissent être mis en vigueur et afin de renforcer la confiance dans la technologie. Les changements prévus dans la réglementation de l’Union européenne (UE) concernant les gaz fluorés devraient faciliter l’essor des climatiseurs de toit monoblocs de grande taille à usage commercial dans l’UE.</w:t>
      </w:r>
      <w:r>
        <w:rPr>
          <w:rStyle w:val="FootnoteReference"/>
          <w:lang w:val="fr"/>
        </w:rPr>
        <w:footnoteReference w:id="57"/>
      </w:r>
      <w:r>
        <w:rPr>
          <w:lang w:val="fr"/>
        </w:rPr>
        <w:t>Des changements réglementaires dans l’état de Californie aux États-Unis d’Amérique devraient, de la même manière, encourager l’essor de cette technologie sur le marché.</w:t>
      </w:r>
      <w:r>
        <w:rPr>
          <w:rStyle w:val="FootnoteReference"/>
          <w:lang w:val="fr"/>
        </w:rPr>
        <w:footnoteReference w:id="58"/>
      </w:r>
      <w:r>
        <w:rPr>
          <w:lang w:val="fr"/>
        </w:rPr>
        <w:t xml:space="preserve">Un tel essor sur le marché de pays non visés à l’Article 5 devrait aussi renforcer la confiance dans cette technologie dans les pays visés à l’Article 5. En outre, l’ONUDI a pris note que la pandémie de COVID-19 avait entraîné des retards inattendus dans la révision des codes de la construction dans les pays visés à l’Article 5 dans cette région, ce qui permettrait l’installation et l’utilisation de climatiseurs de toit monoblocs de grande taille à usage commercial utilisant du R-290 ; la Jordanie, l’Arabie Saoudite et les Émirats arabes unis devaient réviser leurs codes de la construction dans les deux années suivantes. </w:t>
      </w:r>
    </w:p>
    <w:p w14:paraId="60E7D602" w14:textId="77777777" w:rsidR="00A51E02" w:rsidRPr="00776F27" w:rsidRDefault="00A51E02" w:rsidP="00A51E02">
      <w:pPr>
        <w:pStyle w:val="Heading1"/>
        <w:rPr>
          <w:lang w:val="fr-FR"/>
        </w:rPr>
      </w:pPr>
      <w:r>
        <w:rPr>
          <w:lang w:val="fr"/>
        </w:rPr>
        <w:t>À partir de ces informations, le Secrétariat a mené des discussions détaillées avec l’ONUDI concernant l’utilisation du solde restant, la durée d’une potentielle prorogation ainsi que la communication de données supplémentaires à fournir, résultant en une entente mutuelle sur les sujets suivants :</w:t>
      </w:r>
    </w:p>
    <w:p w14:paraId="3909E8FD" w14:textId="77777777" w:rsidR="00A51E02" w:rsidRPr="00776F27" w:rsidRDefault="00A51E02" w:rsidP="00A51E02">
      <w:pPr>
        <w:pStyle w:val="Heading2"/>
        <w:rPr>
          <w:lang w:val="fr-FR"/>
        </w:rPr>
      </w:pPr>
      <w:r>
        <w:rPr>
          <w:lang w:val="fr"/>
        </w:rPr>
        <w:t xml:space="preserve">Le solde restant d’un montant de 113 089 $ US sera décaissé exclusivement pour la fabrication de climatiseurs de toit </w:t>
      </w:r>
      <w:bookmarkStart w:id="19" w:name="_Hlk104457879"/>
      <w:r>
        <w:rPr>
          <w:lang w:val="fr"/>
        </w:rPr>
        <w:t>monoblocs de grande taille à usage commercial utilisant du R-290</w:t>
      </w:r>
      <w:bookmarkEnd w:id="19"/>
      <w:r>
        <w:rPr>
          <w:lang w:val="fr"/>
        </w:rPr>
        <w:t xml:space="preserve">, conformément aux décisions 81/62(b)(iv) et 77/35 ; </w:t>
      </w:r>
    </w:p>
    <w:p w14:paraId="4C3BF8B8" w14:textId="77777777" w:rsidR="00A51E02" w:rsidRPr="00776F27" w:rsidRDefault="00A51E02" w:rsidP="00A51E02">
      <w:pPr>
        <w:pStyle w:val="Heading2"/>
        <w:rPr>
          <w:lang w:val="fr-FR"/>
        </w:rPr>
      </w:pPr>
      <w:r>
        <w:rPr>
          <w:lang w:val="fr"/>
        </w:rPr>
        <w:t>Chaque année jusqu’à l’achèvement du projet, l’entreprise devra communiquer, par le biais de l’ONUDI, les ventes annuelles de climatiseurs de toit monoblocs de grande taille à usage commercial utilisant du R-290 dans les pays visés à l’Article 5 et (séparément) dans les pays non visés à l’Article 5 ;</w:t>
      </w:r>
    </w:p>
    <w:p w14:paraId="33C17746" w14:textId="77777777" w:rsidR="00A51E02" w:rsidRPr="00776F27" w:rsidRDefault="00A51E02" w:rsidP="00A51E02">
      <w:pPr>
        <w:pStyle w:val="Heading2"/>
        <w:rPr>
          <w:lang w:val="fr-FR"/>
        </w:rPr>
      </w:pPr>
      <w:r>
        <w:rPr>
          <w:lang w:val="fr"/>
        </w:rPr>
        <w:t xml:space="preserve">Les surcoûts d’exploitation devront être communiqués en fonction des ventes de climatiseurs de toit monoblocs grande taille à usage commercial utilisant du R-290 dans les pays visés à l’Article 5 ; </w:t>
      </w:r>
    </w:p>
    <w:p w14:paraId="20097666" w14:textId="77777777" w:rsidR="00A51E02" w:rsidRPr="00776F27" w:rsidRDefault="00A51E02" w:rsidP="00A51E02">
      <w:pPr>
        <w:pStyle w:val="Heading2"/>
        <w:rPr>
          <w:lang w:val="fr-FR"/>
        </w:rPr>
      </w:pPr>
      <w:r>
        <w:rPr>
          <w:lang w:val="fr"/>
        </w:rPr>
        <w:t>De demander une prorogation du projet pour une durée de trois ans, entraînant une date révisée d’achèvement en juillet 2025 ; et</w:t>
      </w:r>
    </w:p>
    <w:p w14:paraId="260FE2D9" w14:textId="77777777" w:rsidR="00A51E02" w:rsidRPr="00776F27" w:rsidRDefault="00A51E02" w:rsidP="00A51E02">
      <w:pPr>
        <w:pStyle w:val="Heading2"/>
        <w:rPr>
          <w:lang w:val="fr-FR"/>
        </w:rPr>
      </w:pPr>
      <w:r>
        <w:rPr>
          <w:lang w:val="fr"/>
        </w:rPr>
        <w:t>Que l’ONUDI devra soumettre, au nom du gouvernement de Jordanie un rapport final sur le projet comprenant des données mises à jour sur les surcoûts d’exploitation engagés durant la fabrication de climatiseurs de toit monoblocs de grande taille à usage commercial utilisant du R-290, durant les six mois suivant l’achèvement du projet.</w:t>
      </w:r>
    </w:p>
    <w:p w14:paraId="4A7E76B9" w14:textId="77777777" w:rsidR="00A51E02" w:rsidRPr="00776F27" w:rsidRDefault="00A51E02" w:rsidP="00A51E02">
      <w:pPr>
        <w:pStyle w:val="Heading1"/>
        <w:rPr>
          <w:lang w:val="fr-FR"/>
        </w:rPr>
      </w:pPr>
      <w:r>
        <w:rPr>
          <w:lang w:val="fr"/>
        </w:rPr>
        <w:t xml:space="preserve">La capacité de l’ONUDI à décaisser totalement les soldes restants d’ici la date d’achèvement dépendra de l’essor des climatiseurs de toit monoblocs de grande taille à usage commercial </w:t>
      </w:r>
      <w:proofErr w:type="spellStart"/>
      <w:r>
        <w:rPr>
          <w:lang w:val="fr"/>
        </w:rPr>
        <w:t>utilinsat</w:t>
      </w:r>
      <w:proofErr w:type="spellEnd"/>
      <w:r>
        <w:rPr>
          <w:lang w:val="fr"/>
        </w:rPr>
        <w:t xml:space="preserve"> du R-290 dans les marchés des pays visés à l’Article 5 ; le taux d’essor dépend d’un certain nombre de facteurs, la majorité desquels échappent au contrôle tant de l’entreprise que du gouvernement de Jordanie. </w:t>
      </w:r>
    </w:p>
    <w:p w14:paraId="709D7384" w14:textId="77777777" w:rsidR="00A51E02" w:rsidRPr="00776F27" w:rsidRDefault="00A51E02" w:rsidP="00A51E02">
      <w:pPr>
        <w:rPr>
          <w:u w:val="single"/>
          <w:lang w:val="fr-FR"/>
        </w:rPr>
      </w:pPr>
      <w:r>
        <w:rPr>
          <w:u w:val="single"/>
          <w:lang w:val="fr"/>
        </w:rPr>
        <w:t>Rapport sur les coûts différentiels d’investissement et les surcoûts d’exploitation</w:t>
      </w:r>
    </w:p>
    <w:p w14:paraId="636586C3" w14:textId="77777777" w:rsidR="00A51E02" w:rsidRPr="00776F27" w:rsidRDefault="00A51E02" w:rsidP="00A51E02">
      <w:pPr>
        <w:rPr>
          <w:lang w:val="fr-FR"/>
        </w:rPr>
      </w:pPr>
    </w:p>
    <w:p w14:paraId="48EFD1C3" w14:textId="77777777" w:rsidR="00A51E02" w:rsidRPr="00776F27" w:rsidRDefault="00A51E02" w:rsidP="00A51E02">
      <w:pPr>
        <w:pStyle w:val="Heading1"/>
        <w:rPr>
          <w:lang w:val="fr-FR"/>
        </w:rPr>
      </w:pPr>
      <w:bookmarkStart w:id="20" w:name="_Hlk104461660"/>
      <w:r>
        <w:rPr>
          <w:lang w:val="fr"/>
        </w:rPr>
        <w:t>Il semblerait que l’ONUDI ait alloué virtuellement tous les surcoûts d’exploitation convenus en coût d’investissement supplémentaire en dépit des décisions 81/62(b)(iv) et 77/35. Le Comité exécutif pourrait envisager d’expliciter si c’était son intention lors de l’approbation du projet. En particulier, l’objectif des projets d’investissement autonomes sur les HFC approuvés dans le cadre de la décision 78/3(g) consistait à mieux comprendre les CDI et les surcoûts d’exploitation qui pourraient être associés à l’élimination des HFC dans les pays visés à l’Article 5. Dans sa revue de projets lors de la 81</w:t>
      </w:r>
      <w:r>
        <w:rPr>
          <w:vertAlign w:val="superscript"/>
          <w:lang w:val="fr"/>
        </w:rPr>
        <w:t>e</w:t>
      </w:r>
      <w:r>
        <w:rPr>
          <w:lang w:val="fr"/>
        </w:rPr>
        <w:t> réunion, le Secrétariat a explicitement noté que les CDI et les surcoûts d’exploitation convenus constituaient leur meilleure estimation des surcoûts différentiels globaux de conversion en fonction des informations disponibles au moment de la revue ; ces estimations, cependant, pourraient changer au fur et à mesure que de nouvelles informations deviennent disponibles et conformément aux caractéristiques spécifiques des entreprises.</w:t>
      </w:r>
      <w:r>
        <w:rPr>
          <w:rStyle w:val="FootnoteReference"/>
          <w:lang w:val="fr"/>
        </w:rPr>
        <w:footnoteReference w:id="59"/>
      </w:r>
      <w:r>
        <w:rPr>
          <w:lang w:val="fr"/>
        </w:rPr>
        <w:t>Compte tenu de l’expérience limitée du Comité exécutif en matière de CDI et de surcoûts d’exploitation, une flexibilité supplémentaire dans l’utilisation du financement convenu pourrait être pertinente. À l’inverse, une telle flexibilité résulterait dans des informations limitées sur les surcoûts d’exploitation. De plus, bien que le Comité exécutif ait pris plusieurs décisions</w:t>
      </w:r>
      <w:r>
        <w:rPr>
          <w:rStyle w:val="FootnoteReference"/>
          <w:lang w:val="fr"/>
        </w:rPr>
        <w:footnoteReference w:id="60"/>
      </w:r>
      <w:r>
        <w:rPr>
          <w:lang w:val="fr"/>
        </w:rPr>
        <w:t xml:space="preserve"> qui ont permis aux pays visés à l’Article 5 la flexibilité d’allouer le financement convenu pour les surcoûts d’exploitation à des CDI dans certaines conditions, aucune de ces décisions ne s’appliquait aux projets d’investissement autonomes sur les HFC approuvés dans le cadre de la décision 78/3(g). </w:t>
      </w:r>
    </w:p>
    <w:bookmarkEnd w:id="20"/>
    <w:p w14:paraId="334F0766" w14:textId="77777777" w:rsidR="00A51E02" w:rsidRPr="00776F27" w:rsidRDefault="00A51E02" w:rsidP="00A51E02">
      <w:pPr>
        <w:pStyle w:val="Heading1"/>
        <w:rPr>
          <w:lang w:val="fr-FR"/>
        </w:rPr>
      </w:pPr>
      <w:r>
        <w:rPr>
          <w:lang w:val="fr"/>
        </w:rPr>
        <w:t>Le Secrétariat a pris note qu’à une exception près,</w:t>
      </w:r>
      <w:r>
        <w:rPr>
          <w:rStyle w:val="FootnoteReference"/>
          <w:lang w:val="fr"/>
        </w:rPr>
        <w:footnoteReference w:id="61"/>
      </w:r>
      <w:r>
        <w:rPr>
          <w:lang w:val="fr"/>
        </w:rPr>
        <w:t xml:space="preserve"> le coût des équipements fournis au niveau international par l’ONUDI (qui correspond à approximativement un tiers des CDI convenus) rentre dans les 17 % des coûts convenus. En revanche, les coûts associés aux équipements et aux activités fournies localement ou par l’entreprise, qui correspondent à la majorité du CDI convenu, sont deux fois plus élevés que les coûts prévus. En dépit des informations supplémentaires fournies par l’ONUDI, au moment de la finalisation du présent document, le Secrétariat n’était pas certain de la raison de cette différence ni si les coûts communiqués étaient éligibles. Le Secrétariat va entreprendre une revue plus poussée des CDI communiqués lorsque le rapport final de projet sera soumis. </w:t>
      </w:r>
    </w:p>
    <w:p w14:paraId="79DB9A8F" w14:textId="77777777" w:rsidR="00A51E02" w:rsidRPr="00776F27" w:rsidRDefault="00A51E02" w:rsidP="00A51E02">
      <w:pPr>
        <w:pStyle w:val="Heading1"/>
        <w:rPr>
          <w:lang w:val="fr-FR"/>
        </w:rPr>
      </w:pPr>
      <w:r>
        <w:rPr>
          <w:lang w:val="fr"/>
        </w:rPr>
        <w:t xml:space="preserve">En ce qui concerne les informations préliminaires sur les coûts associés à la fabrication des prototypes qui rentreraient dans les surcoûts d’exploitation, le Secrétariat a pris note que certains de ces coûts sont susceptibles de changer dans le futur. Par exemple, il n’y a pas de raison théorique pour que le détendeur pour le R-290 soit plus cher que celui pour le R-407C ; cette différence semble plutôt provenir d’une économie d’échelle, ce qui pourrait changer avec l’essor des technologies utilisant du R-290. Les informations concernant les surcoûts d’exploitation engagés devraient être disponibles une fois que la fabrication commerciale des climatiseurs de toit monoblocs de grande taille à usage commercial utilisant du R-290 sera mise en œuvre. </w:t>
      </w:r>
    </w:p>
    <w:p w14:paraId="78C55D3A" w14:textId="77777777" w:rsidR="00A51E02" w:rsidRPr="00776F27" w:rsidRDefault="00A51E02" w:rsidP="00A51E02">
      <w:pPr>
        <w:pStyle w:val="Heading1"/>
        <w:rPr>
          <w:lang w:val="fr-FR"/>
        </w:rPr>
      </w:pPr>
      <w:r>
        <w:rPr>
          <w:lang w:val="fr"/>
        </w:rPr>
        <w:t>Durant la revue de projet de la 81</w:t>
      </w:r>
      <w:r>
        <w:rPr>
          <w:vertAlign w:val="superscript"/>
          <w:lang w:val="fr"/>
        </w:rPr>
        <w:t>e</w:t>
      </w:r>
      <w:r>
        <w:rPr>
          <w:lang w:val="fr"/>
        </w:rPr>
        <w:t> réunion, il a été noté qu’une réduction d’approximativement 45 pour cent en charge de frigorigènes entraînerait des économies de matériaux ; cependant de telles économies n’ont pas pu être évaluées jusqu’ici. Il a donc été convenu que dans le rapport final sur les CDI et les surcoûts d’exploitation, une évaluation détaillée des économies potentielles en matériaux serait fournie, étant entendu que toute économie de surcoûts d’exploitation qui s’ensuivrait serait restituée au Fonds. L’ONUDI a confirmé qu’une telle information serait incluse dans le rapport final.</w:t>
      </w:r>
    </w:p>
    <w:p w14:paraId="46966EE2" w14:textId="77777777" w:rsidR="00A51E02" w:rsidRPr="00085F79" w:rsidRDefault="00A51E02" w:rsidP="00A51E02">
      <w:pPr>
        <w:rPr>
          <w:u w:val="single"/>
        </w:rPr>
      </w:pPr>
      <w:r>
        <w:rPr>
          <w:u w:val="single"/>
          <w:lang w:val="fr"/>
        </w:rPr>
        <w:t>Destruction d’équipement de référence</w:t>
      </w:r>
    </w:p>
    <w:p w14:paraId="1428B4D6" w14:textId="77777777" w:rsidR="00A51E02" w:rsidRPr="00085F79" w:rsidRDefault="00A51E02" w:rsidP="00A51E02"/>
    <w:p w14:paraId="78AE3C52" w14:textId="77777777" w:rsidR="00A51E02" w:rsidRPr="00776F27" w:rsidRDefault="00A51E02" w:rsidP="00A51E02">
      <w:pPr>
        <w:pStyle w:val="Heading1"/>
        <w:rPr>
          <w:lang w:val="fr-FR"/>
        </w:rPr>
      </w:pPr>
      <w:r>
        <w:rPr>
          <w:lang w:val="fr"/>
        </w:rPr>
        <w:t xml:space="preserve">Le Secrétariat a noté que l’ONUDI n’a pas détruit ou rendu inutilisable les machines de chargement de référence des deux lignes converties. L’ONUDI n’a pas considéré que de tels équipements nécessitaient d’être détruits ou rendus inutilisables, car le projet a converti uniquement deux lignes de fabrication sur huit et que l’entreprise continuera à consommer des HFC après l’achèvement du projet ; la fabrication était réalisée sur des plates-formes d’assemblage plutôt que sur des lignes de fabrication clairement distinctes ; et la destruction ou l’endommagement des équipements de référence n’affectera pas la mise en œuvre du projet y compris les CDI et les surcoûts d’exploitation associés. Cependant, le Secrétariat n’était pas certain de la façon avec laquelle l’ONUDI s’assurait que les machines de chargement de référence ne seraient pas utilisées pour augmenter la fabrication de R-407C sur les lignes non converties. Le Comité exécutif pourrait envisager de communiquer des directives sur ce sujet. </w:t>
      </w:r>
    </w:p>
    <w:p w14:paraId="4F4D1A09" w14:textId="77777777" w:rsidR="00A51E02" w:rsidRPr="00776F27" w:rsidRDefault="00A51E02" w:rsidP="00A51E02">
      <w:pPr>
        <w:pStyle w:val="Heading1"/>
        <w:rPr>
          <w:lang w:val="fr-FR"/>
        </w:rPr>
      </w:pPr>
      <w:r>
        <w:rPr>
          <w:lang w:val="fr"/>
        </w:rPr>
        <w:t>Le Secrétariat a noté avec satisfaction les informations préliminaires relatives à la mise en œuvre de ce projet qui, une fois totalement mis en œuvre, sera utile aussi bien pour informer le Comité exécutif des surcoûts différentiels associés à l’élimination des HFC, mais soutiendra aussi l’essor d’équipement bon pour le climat et à bon rendement énergétique dans la région. L’ONUDI a été capable d’achever l’installation des équipements requis pour la conversion et de mettre en œuvre les activités d’assistance technique pertinentes en dépit des défis posés par la pandémie de COVID-19. En outre, les informations relatives au rendement énergétique et à la capacité de refroidissement des prototypes utilisant du R-290 par rapport aux équipements de référence utilisant du R-407C, et de ceux du prototype utilisant du HFC-32 par rapport à l’équipement de référence utilisant du R-410A, pourront s’avérer utile pour informer de futurs choix technologiques des entreprises de la région et au-delà.</w:t>
      </w:r>
    </w:p>
    <w:p w14:paraId="5BECBC09" w14:textId="77777777" w:rsidR="00A51E02" w:rsidRPr="00085F79" w:rsidRDefault="00A51E02" w:rsidP="00A51E02">
      <w:pPr>
        <w:keepNext/>
      </w:pPr>
      <w:r>
        <w:rPr>
          <w:b/>
          <w:bCs/>
          <w:lang w:val="fr"/>
        </w:rPr>
        <w:t>Recommandation</w:t>
      </w:r>
    </w:p>
    <w:p w14:paraId="23F68D46" w14:textId="77777777" w:rsidR="00A51E02" w:rsidRPr="00085F79" w:rsidRDefault="00A51E02" w:rsidP="00A51E02">
      <w:pPr>
        <w:keepNext/>
      </w:pPr>
    </w:p>
    <w:p w14:paraId="44966E67" w14:textId="77777777" w:rsidR="00A51E02" w:rsidRPr="00776F27" w:rsidRDefault="00A51E02" w:rsidP="00A51E02">
      <w:pPr>
        <w:pStyle w:val="Heading1"/>
        <w:keepNext/>
        <w:rPr>
          <w:lang w:val="fr-FR"/>
        </w:rPr>
      </w:pPr>
      <w:r>
        <w:rPr>
          <w:lang w:val="fr"/>
        </w:rPr>
        <w:t>Le Comité exécutif pourrait souhaiter :</w:t>
      </w:r>
    </w:p>
    <w:p w14:paraId="5A163331" w14:textId="77777777" w:rsidR="00A51E02" w:rsidRPr="00776F27" w:rsidRDefault="00A51E02" w:rsidP="00A51E02">
      <w:pPr>
        <w:pStyle w:val="Heading2"/>
        <w:keepNext/>
        <w:rPr>
          <w:lang w:val="fr-FR"/>
        </w:rPr>
      </w:pPr>
      <w:r>
        <w:rPr>
          <w:lang w:val="fr"/>
        </w:rPr>
        <w:t>Prendre note du rapport périodique sur la mise en œuvre du projet de conversion de HFC vers le propane (R-290) de l’installation fabriquant des climatiseurs de toit monoblocs de grande taille à usage commercial allant jusqu’à 400 kW à Petra Engineering Industries Co., soumis par l’ONUDI et présenté dans le document UNEP/OzL.Pro/ExCom/90/9 ;</w:t>
      </w:r>
    </w:p>
    <w:p w14:paraId="20B6CD79" w14:textId="77777777" w:rsidR="00A51E02" w:rsidRPr="00776F27" w:rsidRDefault="00A51E02" w:rsidP="00A51E02">
      <w:pPr>
        <w:pStyle w:val="Heading2"/>
        <w:widowControl/>
        <w:rPr>
          <w:lang w:val="fr-FR"/>
        </w:rPr>
      </w:pPr>
      <w:r>
        <w:rPr>
          <w:lang w:val="fr"/>
        </w:rPr>
        <w:t xml:space="preserve">Proroger la date d’achèvement du projet évoqué au sous-paragraphe (a) ci-dessus au 31 juillet 2025 ; </w:t>
      </w:r>
    </w:p>
    <w:p w14:paraId="1FF5594D" w14:textId="77777777" w:rsidR="00A51E02" w:rsidRPr="00085F79" w:rsidRDefault="00A51E02" w:rsidP="00A51E02">
      <w:pPr>
        <w:pStyle w:val="Heading2"/>
      </w:pPr>
      <w:r>
        <w:rPr>
          <w:lang w:val="fr"/>
        </w:rPr>
        <w:t xml:space="preserve">Prendre note en outre : </w:t>
      </w:r>
    </w:p>
    <w:p w14:paraId="226F973F" w14:textId="77777777" w:rsidR="00A51E02" w:rsidRPr="00776F27" w:rsidRDefault="00A51E02" w:rsidP="00A51E02">
      <w:pPr>
        <w:pStyle w:val="Heading3"/>
        <w:numPr>
          <w:ilvl w:val="2"/>
          <w:numId w:val="1"/>
        </w:numPr>
        <w:rPr>
          <w:lang w:val="fr-FR"/>
        </w:rPr>
      </w:pPr>
      <w:r>
        <w:rPr>
          <w:lang w:val="fr"/>
        </w:rPr>
        <w:t xml:space="preserve">Que le solde restant d’un montant de 113 089 $ US sera décaissé exclusivement pour la fabrication de climatiseurs de toit monoblocs de grande taille à usage commercial utilisant du R-290 conformément aux décisions 81/62(b)(iv) et 77/35 ; </w:t>
      </w:r>
    </w:p>
    <w:p w14:paraId="2E0A0F2C" w14:textId="77777777" w:rsidR="00A51E02" w:rsidRPr="00776F27" w:rsidRDefault="00A51E02" w:rsidP="00A51E02">
      <w:pPr>
        <w:pStyle w:val="Heading3"/>
        <w:numPr>
          <w:ilvl w:val="2"/>
          <w:numId w:val="1"/>
        </w:numPr>
        <w:rPr>
          <w:lang w:val="fr-FR"/>
        </w:rPr>
      </w:pPr>
      <w:r>
        <w:rPr>
          <w:lang w:val="fr"/>
        </w:rPr>
        <w:t>Que l’entreprise communiquerait, par le biais de l’ONUDI, les ventes annuelles de climatiseurs de toit monoblocs de grande taille à usage commercial utilisant du R-290 dans les pays visés à l’Article 5 et (séparément) dans les pays non visés à l’Article 5 chaque année jusqu’à l’achèvement du projet ;</w:t>
      </w:r>
    </w:p>
    <w:p w14:paraId="52F4E92B" w14:textId="77777777" w:rsidR="00A51E02" w:rsidRPr="00776F27" w:rsidRDefault="00A51E02" w:rsidP="00A51E02">
      <w:pPr>
        <w:pStyle w:val="Heading3"/>
        <w:numPr>
          <w:ilvl w:val="2"/>
          <w:numId w:val="1"/>
        </w:numPr>
        <w:rPr>
          <w:lang w:val="fr-FR"/>
        </w:rPr>
      </w:pPr>
      <w:r>
        <w:rPr>
          <w:lang w:val="fr"/>
        </w:rPr>
        <w:t xml:space="preserve">Que les surcoûts d’exploitation devront être communiqués en fonction des ventes de climatiseurs de toit monoblocs de grande taille à usage commercial utilisant du R-290 dans les pays visés à l’Article 5 ; </w:t>
      </w:r>
    </w:p>
    <w:p w14:paraId="18A1FCD3" w14:textId="77777777" w:rsidR="00A51E02" w:rsidRPr="00776F27" w:rsidRDefault="00A51E02" w:rsidP="00A51E02">
      <w:pPr>
        <w:pStyle w:val="Heading3"/>
        <w:numPr>
          <w:ilvl w:val="2"/>
          <w:numId w:val="1"/>
        </w:numPr>
        <w:rPr>
          <w:lang w:val="fr-FR"/>
        </w:rPr>
      </w:pPr>
      <w:r>
        <w:rPr>
          <w:lang w:val="fr"/>
        </w:rPr>
        <w:t>Que l’ONUDI devra soumettre, au nom du gouvernement de Jordanie, un rapport final sur le projet comprenant des données mises à jour sur les surcoûts d’exploitation engagés durant la fabrication de climatiseurs de toit monoblocs de grande taille à usage commercial utilisant du R-290, durant les six mois suivant l’achèvement du projet ; et</w:t>
      </w:r>
    </w:p>
    <w:p w14:paraId="196CFB34" w14:textId="77777777" w:rsidR="00A51E02" w:rsidRPr="00776F27" w:rsidRDefault="00A51E02" w:rsidP="00A51E02">
      <w:pPr>
        <w:pStyle w:val="Heading2"/>
        <w:rPr>
          <w:lang w:val="fr-FR"/>
        </w:rPr>
      </w:pPr>
      <w:r>
        <w:rPr>
          <w:lang w:val="fr"/>
        </w:rPr>
        <w:t>D’expliquer si c’était leur intention de permettre la flexibilité d’allouer le financement approuvé pour les surcoûts d’exploitation aux coûts différentiels d’investissement durant la mise en œuvre du projet, et si l’équipement de référence du projet à Petra Engineering Industries Co. devait être détruit.</w:t>
      </w:r>
    </w:p>
    <w:p w14:paraId="04EDB77C" w14:textId="77777777" w:rsidR="00A51E02" w:rsidRPr="00776F27" w:rsidRDefault="00A51E02" w:rsidP="00A51E02">
      <w:pPr>
        <w:pStyle w:val="ListParagraph"/>
        <w:numPr>
          <w:ilvl w:val="0"/>
          <w:numId w:val="35"/>
        </w:numPr>
        <w:rPr>
          <w:b/>
          <w:sz w:val="24"/>
          <w:szCs w:val="24"/>
        </w:rPr>
      </w:pPr>
      <w:bookmarkStart w:id="21" w:name="_Hlk104561940"/>
      <w:r>
        <w:rPr>
          <w:b/>
          <w:bCs/>
          <w:sz w:val="24"/>
          <w:szCs w:val="24"/>
          <w:lang w:val="fr"/>
        </w:rPr>
        <w:t>Demandes de prorogation de la date d’achèvement des activités de facilitation de l’élimination des HFC</w:t>
      </w:r>
    </w:p>
    <w:bookmarkEnd w:id="21"/>
    <w:p w14:paraId="2EA4CF5D" w14:textId="77777777" w:rsidR="00A51E02" w:rsidRPr="00776F27" w:rsidRDefault="00A51E02" w:rsidP="00A51E02">
      <w:pPr>
        <w:rPr>
          <w:b/>
          <w:bCs/>
          <w:lang w:val="fr-FR"/>
        </w:rPr>
      </w:pPr>
    </w:p>
    <w:p w14:paraId="03B3E8EC" w14:textId="77777777" w:rsidR="00A51E02" w:rsidRPr="00085F79" w:rsidRDefault="00A51E02" w:rsidP="00A51E02">
      <w:pPr>
        <w:rPr>
          <w:b/>
          <w:bCs/>
        </w:rPr>
      </w:pPr>
      <w:r>
        <w:rPr>
          <w:b/>
          <w:bCs/>
          <w:lang w:val="fr"/>
        </w:rPr>
        <w:t>Contexte</w:t>
      </w:r>
    </w:p>
    <w:p w14:paraId="27FB59D0" w14:textId="77777777" w:rsidR="00A51E02" w:rsidRPr="00085F79" w:rsidRDefault="00A51E02" w:rsidP="00A51E02"/>
    <w:p w14:paraId="70B13D40" w14:textId="77777777" w:rsidR="00A51E02" w:rsidRPr="00776F27" w:rsidRDefault="00A51E02" w:rsidP="00A51E02">
      <w:pPr>
        <w:pStyle w:val="Heading1"/>
        <w:rPr>
          <w:lang w:val="fr-FR"/>
        </w:rPr>
      </w:pPr>
      <w:r>
        <w:rPr>
          <w:lang w:val="fr"/>
        </w:rPr>
        <w:t xml:space="preserve">Le PNUE, au nom des pays visés à l’Article 5, a soumis des </w:t>
      </w:r>
      <w:bookmarkStart w:id="22" w:name="_Hlk104561819"/>
      <w:r>
        <w:rPr>
          <w:lang w:val="fr"/>
        </w:rPr>
        <w:t>demandes de prorogation de la date d’achèvement des activités de facilitation de l’élimination des HFC</w:t>
      </w:r>
      <w:bookmarkEnd w:id="22"/>
      <w:r>
        <w:rPr>
          <w:lang w:val="fr"/>
        </w:rPr>
        <w:t>. Le tableau 16 indique les informations fournies sur les différents projets, comprenant le niveau de décaissement des fonds, la date originale d’achèvement et la nouvelle date proposée d’achèvement.</w:t>
      </w:r>
    </w:p>
    <w:p w14:paraId="5A87C565" w14:textId="77777777" w:rsidR="00A51E02" w:rsidRPr="00776F27" w:rsidRDefault="00A51E02" w:rsidP="00A51E02">
      <w:pPr>
        <w:rPr>
          <w:b/>
          <w:bCs/>
          <w:lang w:val="fr-FR"/>
        </w:rPr>
      </w:pPr>
      <w:r>
        <w:rPr>
          <w:b/>
          <w:bCs/>
          <w:lang w:val="fr"/>
        </w:rPr>
        <w:t>Tableau 16. Pays ayant demandé une prorogation de la date d’achèvement des activités de facilitation</w:t>
      </w:r>
    </w:p>
    <w:tbl>
      <w:tblPr>
        <w:tblW w:w="505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02"/>
        <w:gridCol w:w="1978"/>
        <w:gridCol w:w="1351"/>
        <w:gridCol w:w="1373"/>
        <w:gridCol w:w="1373"/>
        <w:gridCol w:w="1468"/>
      </w:tblGrid>
      <w:tr w:rsidR="00A51E02" w:rsidRPr="00085F79" w14:paraId="539BA463" w14:textId="77777777" w:rsidTr="00A51E02">
        <w:trPr>
          <w:trHeight w:val="476"/>
          <w:tblHeader/>
          <w:jc w:val="center"/>
        </w:trPr>
        <w:tc>
          <w:tcPr>
            <w:tcW w:w="1007" w:type="pct"/>
            <w:shd w:val="clear" w:color="auto" w:fill="auto"/>
            <w:tcMar>
              <w:left w:w="58" w:type="dxa"/>
              <w:right w:w="58" w:type="dxa"/>
            </w:tcMar>
            <w:vAlign w:val="center"/>
            <w:hideMark/>
          </w:tcPr>
          <w:p w14:paraId="25ACAB5B" w14:textId="77777777" w:rsidR="00A51E02" w:rsidRPr="00085F79" w:rsidRDefault="00A51E02" w:rsidP="00A51E02">
            <w:pPr>
              <w:rPr>
                <w:b/>
                <w:bCs/>
                <w:sz w:val="19"/>
                <w:szCs w:val="19"/>
              </w:rPr>
            </w:pPr>
            <w:r>
              <w:rPr>
                <w:b/>
                <w:bCs/>
                <w:sz w:val="19"/>
                <w:szCs w:val="19"/>
                <w:lang w:val="fr"/>
              </w:rPr>
              <w:t>Pays</w:t>
            </w:r>
          </w:p>
        </w:tc>
        <w:tc>
          <w:tcPr>
            <w:tcW w:w="1047" w:type="pct"/>
            <w:shd w:val="clear" w:color="auto" w:fill="auto"/>
            <w:tcMar>
              <w:left w:w="58" w:type="dxa"/>
              <w:right w:w="58" w:type="dxa"/>
            </w:tcMar>
            <w:vAlign w:val="center"/>
            <w:hideMark/>
          </w:tcPr>
          <w:p w14:paraId="6C36789B" w14:textId="77777777" w:rsidR="00A51E02" w:rsidRPr="00085F79" w:rsidRDefault="00A51E02" w:rsidP="00A51E02">
            <w:pPr>
              <w:jc w:val="center"/>
              <w:rPr>
                <w:b/>
                <w:bCs/>
                <w:sz w:val="19"/>
                <w:szCs w:val="19"/>
              </w:rPr>
            </w:pPr>
            <w:r>
              <w:rPr>
                <w:b/>
                <w:bCs/>
                <w:sz w:val="19"/>
                <w:szCs w:val="19"/>
                <w:lang w:val="fr"/>
              </w:rPr>
              <w:t>Code</w:t>
            </w:r>
          </w:p>
        </w:tc>
        <w:tc>
          <w:tcPr>
            <w:tcW w:w="715" w:type="pct"/>
            <w:vAlign w:val="center"/>
          </w:tcPr>
          <w:p w14:paraId="00BDB525" w14:textId="77777777" w:rsidR="00A51E02" w:rsidRPr="00085F79" w:rsidRDefault="00A51E02" w:rsidP="00A51E02">
            <w:pPr>
              <w:jc w:val="center"/>
              <w:rPr>
                <w:b/>
                <w:bCs/>
                <w:sz w:val="19"/>
                <w:szCs w:val="19"/>
              </w:rPr>
            </w:pPr>
            <w:r>
              <w:rPr>
                <w:b/>
                <w:bCs/>
                <w:sz w:val="19"/>
                <w:szCs w:val="19"/>
                <w:lang w:val="fr"/>
              </w:rPr>
              <w:t>Taux de décaissement (%)</w:t>
            </w:r>
          </w:p>
        </w:tc>
        <w:tc>
          <w:tcPr>
            <w:tcW w:w="727" w:type="pct"/>
            <w:shd w:val="clear" w:color="auto" w:fill="auto"/>
            <w:tcMar>
              <w:left w:w="58" w:type="dxa"/>
              <w:right w:w="58" w:type="dxa"/>
            </w:tcMar>
            <w:vAlign w:val="center"/>
            <w:hideMark/>
          </w:tcPr>
          <w:p w14:paraId="08DAF009" w14:textId="77777777" w:rsidR="00A51E02" w:rsidRPr="00085F79" w:rsidRDefault="00A51E02" w:rsidP="00A51E02">
            <w:pPr>
              <w:jc w:val="center"/>
              <w:rPr>
                <w:b/>
                <w:bCs/>
                <w:sz w:val="19"/>
                <w:szCs w:val="19"/>
              </w:rPr>
            </w:pPr>
            <w:r>
              <w:rPr>
                <w:b/>
                <w:bCs/>
                <w:sz w:val="19"/>
                <w:szCs w:val="19"/>
                <w:lang w:val="fr"/>
              </w:rPr>
              <w:t>Date approuvée</w:t>
            </w:r>
          </w:p>
        </w:tc>
        <w:tc>
          <w:tcPr>
            <w:tcW w:w="727" w:type="pct"/>
            <w:shd w:val="clear" w:color="auto" w:fill="auto"/>
            <w:tcMar>
              <w:left w:w="58" w:type="dxa"/>
              <w:right w:w="58" w:type="dxa"/>
            </w:tcMar>
            <w:vAlign w:val="center"/>
            <w:hideMark/>
          </w:tcPr>
          <w:p w14:paraId="52374776" w14:textId="77777777" w:rsidR="00A51E02" w:rsidRPr="00085F79" w:rsidRDefault="00A51E02" w:rsidP="00A51E02">
            <w:pPr>
              <w:jc w:val="center"/>
              <w:rPr>
                <w:b/>
                <w:bCs/>
                <w:sz w:val="19"/>
                <w:szCs w:val="19"/>
              </w:rPr>
            </w:pPr>
            <w:r>
              <w:rPr>
                <w:b/>
                <w:bCs/>
                <w:sz w:val="19"/>
                <w:szCs w:val="19"/>
                <w:lang w:val="fr"/>
              </w:rPr>
              <w:t>Date d’achèvement révisée</w:t>
            </w:r>
          </w:p>
        </w:tc>
        <w:tc>
          <w:tcPr>
            <w:tcW w:w="777" w:type="pct"/>
            <w:shd w:val="clear" w:color="auto" w:fill="auto"/>
            <w:tcMar>
              <w:left w:w="58" w:type="dxa"/>
              <w:right w:w="58" w:type="dxa"/>
            </w:tcMar>
            <w:vAlign w:val="center"/>
            <w:hideMark/>
          </w:tcPr>
          <w:p w14:paraId="2DBD5611" w14:textId="77777777" w:rsidR="00A51E02" w:rsidRPr="00085F79" w:rsidRDefault="00A51E02" w:rsidP="00A51E02">
            <w:pPr>
              <w:jc w:val="center"/>
              <w:rPr>
                <w:b/>
                <w:bCs/>
                <w:sz w:val="19"/>
                <w:szCs w:val="19"/>
              </w:rPr>
            </w:pPr>
            <w:r>
              <w:rPr>
                <w:b/>
                <w:bCs/>
                <w:sz w:val="19"/>
                <w:szCs w:val="19"/>
                <w:lang w:val="fr"/>
              </w:rPr>
              <w:t>Date d’achèvement demandée</w:t>
            </w:r>
          </w:p>
        </w:tc>
      </w:tr>
      <w:tr w:rsidR="00A51E02" w:rsidRPr="00085F79" w14:paraId="77491864" w14:textId="77777777" w:rsidTr="00A51E02">
        <w:trPr>
          <w:trHeight w:val="269"/>
          <w:jc w:val="center"/>
        </w:trPr>
        <w:tc>
          <w:tcPr>
            <w:tcW w:w="1007" w:type="pct"/>
            <w:shd w:val="clear" w:color="auto" w:fill="auto"/>
            <w:noWrap/>
            <w:tcMar>
              <w:left w:w="58" w:type="dxa"/>
              <w:right w:w="58" w:type="dxa"/>
            </w:tcMar>
          </w:tcPr>
          <w:p w14:paraId="14FE5E7B" w14:textId="77777777" w:rsidR="00A51E02" w:rsidRPr="00085F79" w:rsidRDefault="00A51E02" w:rsidP="00A51E02">
            <w:pPr>
              <w:jc w:val="left"/>
              <w:rPr>
                <w:bCs/>
                <w:sz w:val="19"/>
                <w:szCs w:val="19"/>
              </w:rPr>
            </w:pPr>
            <w:r>
              <w:rPr>
                <w:sz w:val="19"/>
                <w:szCs w:val="19"/>
                <w:lang w:val="fr"/>
              </w:rPr>
              <w:t>Bénin</w:t>
            </w:r>
          </w:p>
        </w:tc>
        <w:tc>
          <w:tcPr>
            <w:tcW w:w="1047" w:type="pct"/>
            <w:shd w:val="clear" w:color="auto" w:fill="auto"/>
            <w:noWrap/>
            <w:tcMar>
              <w:left w:w="58" w:type="dxa"/>
              <w:right w:w="58" w:type="dxa"/>
            </w:tcMar>
          </w:tcPr>
          <w:p w14:paraId="7D7B5977" w14:textId="77777777" w:rsidR="00A51E02" w:rsidRPr="00085F79" w:rsidRDefault="00A51E02" w:rsidP="00A51E02">
            <w:pPr>
              <w:jc w:val="left"/>
              <w:rPr>
                <w:sz w:val="19"/>
                <w:szCs w:val="19"/>
              </w:rPr>
            </w:pPr>
            <w:r>
              <w:rPr>
                <w:sz w:val="19"/>
                <w:szCs w:val="19"/>
                <w:lang w:val="fr"/>
              </w:rPr>
              <w:t>BEN/SEV/81/TAS/01+</w:t>
            </w:r>
          </w:p>
        </w:tc>
        <w:tc>
          <w:tcPr>
            <w:tcW w:w="715" w:type="pct"/>
          </w:tcPr>
          <w:p w14:paraId="002420B2" w14:textId="77777777" w:rsidR="00A51E02" w:rsidRPr="00085F79" w:rsidRDefault="00A51E02" w:rsidP="00A51E02">
            <w:pPr>
              <w:jc w:val="center"/>
              <w:rPr>
                <w:sz w:val="19"/>
                <w:szCs w:val="19"/>
              </w:rPr>
            </w:pPr>
            <w:r>
              <w:rPr>
                <w:sz w:val="19"/>
                <w:szCs w:val="19"/>
                <w:lang w:val="fr"/>
              </w:rPr>
              <w:t>76</w:t>
            </w:r>
          </w:p>
        </w:tc>
        <w:tc>
          <w:tcPr>
            <w:tcW w:w="727" w:type="pct"/>
            <w:vMerge w:val="restart"/>
            <w:shd w:val="clear" w:color="auto" w:fill="auto"/>
            <w:noWrap/>
            <w:tcMar>
              <w:left w:w="58" w:type="dxa"/>
              <w:right w:w="58" w:type="dxa"/>
            </w:tcMar>
            <w:vAlign w:val="center"/>
          </w:tcPr>
          <w:p w14:paraId="050706E3" w14:textId="77777777" w:rsidR="00A51E02" w:rsidRPr="00085F79" w:rsidRDefault="00A51E02" w:rsidP="00A51E02">
            <w:pPr>
              <w:jc w:val="center"/>
              <w:rPr>
                <w:sz w:val="19"/>
                <w:szCs w:val="19"/>
              </w:rPr>
            </w:pPr>
            <w:r>
              <w:rPr>
                <w:sz w:val="19"/>
                <w:szCs w:val="19"/>
                <w:lang w:val="fr"/>
              </w:rPr>
              <w:t>Juin 2018</w:t>
            </w:r>
          </w:p>
        </w:tc>
        <w:tc>
          <w:tcPr>
            <w:tcW w:w="727" w:type="pct"/>
            <w:vMerge w:val="restart"/>
            <w:shd w:val="clear" w:color="auto" w:fill="auto"/>
            <w:noWrap/>
            <w:tcMar>
              <w:left w:w="58" w:type="dxa"/>
              <w:right w:w="58" w:type="dxa"/>
            </w:tcMar>
            <w:vAlign w:val="center"/>
          </w:tcPr>
          <w:p w14:paraId="799FEB1C" w14:textId="77777777" w:rsidR="00A51E02" w:rsidRPr="00085F79" w:rsidRDefault="00A51E02" w:rsidP="00A51E02">
            <w:pPr>
              <w:jc w:val="center"/>
              <w:rPr>
                <w:sz w:val="19"/>
                <w:szCs w:val="19"/>
              </w:rPr>
            </w:pPr>
            <w:r>
              <w:rPr>
                <w:sz w:val="19"/>
                <w:szCs w:val="19"/>
                <w:lang w:val="fr"/>
              </w:rPr>
              <w:t>Juin 2022</w:t>
            </w:r>
          </w:p>
          <w:p w14:paraId="070B85AD" w14:textId="77777777" w:rsidR="00A51E02" w:rsidRPr="00085F79" w:rsidRDefault="00A51E02" w:rsidP="00A51E02">
            <w:pPr>
              <w:jc w:val="center"/>
              <w:rPr>
                <w:sz w:val="19"/>
                <w:szCs w:val="19"/>
              </w:rPr>
            </w:pPr>
          </w:p>
        </w:tc>
        <w:tc>
          <w:tcPr>
            <w:tcW w:w="777" w:type="pct"/>
            <w:vMerge w:val="restart"/>
            <w:shd w:val="clear" w:color="auto" w:fill="auto"/>
            <w:noWrap/>
            <w:tcMar>
              <w:left w:w="58" w:type="dxa"/>
              <w:right w:w="58" w:type="dxa"/>
            </w:tcMar>
            <w:vAlign w:val="center"/>
          </w:tcPr>
          <w:p w14:paraId="6013EBC7" w14:textId="77777777" w:rsidR="00A51E02" w:rsidRPr="00085F79" w:rsidRDefault="00A51E02" w:rsidP="00A51E02">
            <w:pPr>
              <w:jc w:val="center"/>
              <w:rPr>
                <w:sz w:val="19"/>
                <w:szCs w:val="19"/>
              </w:rPr>
            </w:pPr>
            <w:r>
              <w:rPr>
                <w:sz w:val="19"/>
                <w:szCs w:val="19"/>
                <w:lang w:val="fr"/>
              </w:rPr>
              <w:t>Décembre 2022</w:t>
            </w:r>
          </w:p>
        </w:tc>
      </w:tr>
      <w:tr w:rsidR="00A51E02" w:rsidRPr="00085F79" w14:paraId="5E9A677D" w14:textId="77777777" w:rsidTr="00A51E02">
        <w:trPr>
          <w:trHeight w:val="260"/>
          <w:jc w:val="center"/>
        </w:trPr>
        <w:tc>
          <w:tcPr>
            <w:tcW w:w="1007" w:type="pct"/>
            <w:shd w:val="clear" w:color="auto" w:fill="auto"/>
            <w:noWrap/>
            <w:tcMar>
              <w:left w:w="58" w:type="dxa"/>
              <w:right w:w="58" w:type="dxa"/>
            </w:tcMar>
            <w:hideMark/>
          </w:tcPr>
          <w:p w14:paraId="4A39B222" w14:textId="77777777" w:rsidR="00A51E02" w:rsidRPr="00085F79" w:rsidRDefault="00A51E02" w:rsidP="00A51E02">
            <w:pPr>
              <w:jc w:val="left"/>
              <w:rPr>
                <w:bCs/>
                <w:sz w:val="19"/>
                <w:szCs w:val="19"/>
              </w:rPr>
            </w:pPr>
            <w:r>
              <w:rPr>
                <w:sz w:val="19"/>
                <w:szCs w:val="19"/>
                <w:lang w:val="fr"/>
              </w:rPr>
              <w:t>Tchad (le)</w:t>
            </w:r>
          </w:p>
        </w:tc>
        <w:tc>
          <w:tcPr>
            <w:tcW w:w="1047" w:type="pct"/>
            <w:shd w:val="clear" w:color="auto" w:fill="auto"/>
            <w:noWrap/>
            <w:tcMar>
              <w:left w:w="58" w:type="dxa"/>
              <w:right w:w="58" w:type="dxa"/>
            </w:tcMar>
            <w:hideMark/>
          </w:tcPr>
          <w:p w14:paraId="22739B4B" w14:textId="77777777" w:rsidR="00A51E02" w:rsidRPr="00085F79" w:rsidRDefault="00A51E02" w:rsidP="00A51E02">
            <w:pPr>
              <w:jc w:val="left"/>
              <w:rPr>
                <w:sz w:val="19"/>
                <w:szCs w:val="19"/>
              </w:rPr>
            </w:pPr>
            <w:r>
              <w:rPr>
                <w:sz w:val="19"/>
                <w:szCs w:val="19"/>
                <w:lang w:val="fr"/>
              </w:rPr>
              <w:t>CHD/SEV/81/TAS/01+</w:t>
            </w:r>
          </w:p>
        </w:tc>
        <w:tc>
          <w:tcPr>
            <w:tcW w:w="715" w:type="pct"/>
          </w:tcPr>
          <w:p w14:paraId="48195706" w14:textId="77777777" w:rsidR="00A51E02" w:rsidRPr="00085F79" w:rsidRDefault="00A51E02" w:rsidP="00A51E02">
            <w:pPr>
              <w:jc w:val="center"/>
              <w:rPr>
                <w:sz w:val="19"/>
                <w:szCs w:val="19"/>
              </w:rPr>
            </w:pPr>
            <w:r>
              <w:rPr>
                <w:sz w:val="19"/>
                <w:szCs w:val="19"/>
                <w:lang w:val="fr"/>
              </w:rPr>
              <w:t>73</w:t>
            </w:r>
          </w:p>
        </w:tc>
        <w:tc>
          <w:tcPr>
            <w:tcW w:w="727" w:type="pct"/>
            <w:vMerge/>
            <w:shd w:val="clear" w:color="auto" w:fill="auto"/>
            <w:noWrap/>
            <w:tcMar>
              <w:left w:w="58" w:type="dxa"/>
              <w:right w:w="58" w:type="dxa"/>
            </w:tcMar>
            <w:vAlign w:val="center"/>
            <w:hideMark/>
          </w:tcPr>
          <w:p w14:paraId="0F2C65A9"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vAlign w:val="center"/>
            <w:hideMark/>
          </w:tcPr>
          <w:p w14:paraId="3544CE20"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vAlign w:val="center"/>
            <w:hideMark/>
          </w:tcPr>
          <w:p w14:paraId="2BA47146" w14:textId="77777777" w:rsidR="00A51E02" w:rsidRPr="00085F79" w:rsidRDefault="00A51E02" w:rsidP="00A51E02">
            <w:pPr>
              <w:jc w:val="center"/>
              <w:rPr>
                <w:sz w:val="19"/>
                <w:szCs w:val="19"/>
              </w:rPr>
            </w:pPr>
          </w:p>
        </w:tc>
      </w:tr>
      <w:tr w:rsidR="00A51E02" w:rsidRPr="00085F79" w14:paraId="0CADBDC3" w14:textId="77777777" w:rsidTr="00A51E02">
        <w:trPr>
          <w:trHeight w:val="260"/>
          <w:jc w:val="center"/>
        </w:trPr>
        <w:tc>
          <w:tcPr>
            <w:tcW w:w="1007" w:type="pct"/>
            <w:shd w:val="clear" w:color="auto" w:fill="auto"/>
            <w:noWrap/>
            <w:tcMar>
              <w:left w:w="58" w:type="dxa"/>
              <w:right w:w="58" w:type="dxa"/>
            </w:tcMar>
            <w:hideMark/>
          </w:tcPr>
          <w:p w14:paraId="6481172D" w14:textId="77777777" w:rsidR="00A51E02" w:rsidRPr="00085F79" w:rsidRDefault="00A51E02" w:rsidP="00A51E02">
            <w:pPr>
              <w:jc w:val="left"/>
              <w:rPr>
                <w:bCs/>
                <w:sz w:val="19"/>
                <w:szCs w:val="19"/>
              </w:rPr>
            </w:pPr>
            <w:r>
              <w:rPr>
                <w:sz w:val="19"/>
                <w:szCs w:val="19"/>
                <w:lang w:val="fr"/>
              </w:rPr>
              <w:t>Comores (les)</w:t>
            </w:r>
          </w:p>
        </w:tc>
        <w:tc>
          <w:tcPr>
            <w:tcW w:w="1047" w:type="pct"/>
            <w:shd w:val="clear" w:color="auto" w:fill="auto"/>
            <w:noWrap/>
            <w:tcMar>
              <w:left w:w="58" w:type="dxa"/>
              <w:right w:w="58" w:type="dxa"/>
            </w:tcMar>
            <w:hideMark/>
          </w:tcPr>
          <w:p w14:paraId="47630159" w14:textId="77777777" w:rsidR="00A51E02" w:rsidRPr="00085F79" w:rsidRDefault="00A51E02" w:rsidP="00A51E02">
            <w:pPr>
              <w:jc w:val="left"/>
              <w:rPr>
                <w:sz w:val="19"/>
                <w:szCs w:val="19"/>
              </w:rPr>
            </w:pPr>
            <w:r>
              <w:rPr>
                <w:sz w:val="19"/>
                <w:szCs w:val="19"/>
                <w:lang w:val="fr"/>
              </w:rPr>
              <w:t>COI/SEV/81/TAS/01+</w:t>
            </w:r>
          </w:p>
        </w:tc>
        <w:tc>
          <w:tcPr>
            <w:tcW w:w="715" w:type="pct"/>
          </w:tcPr>
          <w:p w14:paraId="3C3791AB" w14:textId="77777777" w:rsidR="00A51E02" w:rsidRPr="00085F79" w:rsidRDefault="00A51E02" w:rsidP="00A51E02">
            <w:pPr>
              <w:jc w:val="center"/>
              <w:rPr>
                <w:sz w:val="19"/>
                <w:szCs w:val="19"/>
              </w:rPr>
            </w:pPr>
            <w:r>
              <w:rPr>
                <w:sz w:val="19"/>
                <w:szCs w:val="19"/>
                <w:lang w:val="fr"/>
              </w:rPr>
              <w:t>90</w:t>
            </w:r>
          </w:p>
        </w:tc>
        <w:tc>
          <w:tcPr>
            <w:tcW w:w="727" w:type="pct"/>
            <w:vMerge/>
            <w:shd w:val="clear" w:color="auto" w:fill="auto"/>
            <w:noWrap/>
            <w:tcMar>
              <w:left w:w="58" w:type="dxa"/>
              <w:right w:w="58" w:type="dxa"/>
            </w:tcMar>
            <w:hideMark/>
          </w:tcPr>
          <w:p w14:paraId="3ADC1AE6"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2900B1DD"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1AB429A1" w14:textId="77777777" w:rsidR="00A51E02" w:rsidRPr="00085F79" w:rsidRDefault="00A51E02" w:rsidP="00A51E02">
            <w:pPr>
              <w:jc w:val="center"/>
              <w:rPr>
                <w:sz w:val="19"/>
                <w:szCs w:val="19"/>
              </w:rPr>
            </w:pPr>
          </w:p>
        </w:tc>
      </w:tr>
      <w:tr w:rsidR="00A51E02" w:rsidRPr="00085F79" w14:paraId="47EBF4AD" w14:textId="77777777" w:rsidTr="00A51E02">
        <w:trPr>
          <w:trHeight w:val="260"/>
          <w:jc w:val="center"/>
        </w:trPr>
        <w:tc>
          <w:tcPr>
            <w:tcW w:w="1007" w:type="pct"/>
            <w:shd w:val="clear" w:color="auto" w:fill="auto"/>
            <w:noWrap/>
            <w:tcMar>
              <w:left w:w="58" w:type="dxa"/>
              <w:right w:w="58" w:type="dxa"/>
            </w:tcMar>
            <w:hideMark/>
          </w:tcPr>
          <w:p w14:paraId="0055A521" w14:textId="77777777" w:rsidR="00A51E02" w:rsidRPr="00085F79" w:rsidRDefault="00A51E02" w:rsidP="00A51E02">
            <w:pPr>
              <w:jc w:val="left"/>
              <w:rPr>
                <w:bCs/>
                <w:sz w:val="19"/>
                <w:szCs w:val="19"/>
              </w:rPr>
            </w:pPr>
            <w:r>
              <w:rPr>
                <w:sz w:val="19"/>
                <w:szCs w:val="19"/>
                <w:lang w:val="fr"/>
              </w:rPr>
              <w:t>Côte d’Ivoire (la)</w:t>
            </w:r>
          </w:p>
        </w:tc>
        <w:tc>
          <w:tcPr>
            <w:tcW w:w="1047" w:type="pct"/>
            <w:shd w:val="clear" w:color="auto" w:fill="auto"/>
            <w:noWrap/>
            <w:tcMar>
              <w:left w:w="58" w:type="dxa"/>
              <w:right w:w="58" w:type="dxa"/>
            </w:tcMar>
            <w:hideMark/>
          </w:tcPr>
          <w:p w14:paraId="70AC9ACF" w14:textId="77777777" w:rsidR="00A51E02" w:rsidRPr="00085F79" w:rsidRDefault="00A51E02" w:rsidP="00A51E02">
            <w:pPr>
              <w:jc w:val="left"/>
              <w:rPr>
                <w:sz w:val="19"/>
                <w:szCs w:val="19"/>
              </w:rPr>
            </w:pPr>
            <w:r>
              <w:rPr>
                <w:sz w:val="19"/>
                <w:szCs w:val="19"/>
                <w:lang w:val="fr"/>
              </w:rPr>
              <w:t>IVC/SEV/81/TAS/01+</w:t>
            </w:r>
          </w:p>
        </w:tc>
        <w:tc>
          <w:tcPr>
            <w:tcW w:w="715" w:type="pct"/>
          </w:tcPr>
          <w:p w14:paraId="28BBDD68" w14:textId="77777777" w:rsidR="00A51E02" w:rsidRPr="00085F79" w:rsidRDefault="00A51E02" w:rsidP="00A51E02">
            <w:pPr>
              <w:jc w:val="center"/>
              <w:rPr>
                <w:sz w:val="19"/>
                <w:szCs w:val="19"/>
              </w:rPr>
            </w:pPr>
            <w:r>
              <w:rPr>
                <w:sz w:val="19"/>
                <w:szCs w:val="19"/>
                <w:lang w:val="fr"/>
              </w:rPr>
              <w:t>80</w:t>
            </w:r>
          </w:p>
        </w:tc>
        <w:tc>
          <w:tcPr>
            <w:tcW w:w="727" w:type="pct"/>
            <w:vMerge/>
            <w:shd w:val="clear" w:color="auto" w:fill="auto"/>
            <w:noWrap/>
            <w:tcMar>
              <w:left w:w="58" w:type="dxa"/>
              <w:right w:w="58" w:type="dxa"/>
            </w:tcMar>
            <w:hideMark/>
          </w:tcPr>
          <w:p w14:paraId="4A29975A"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38A036DB"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75653D42" w14:textId="77777777" w:rsidR="00A51E02" w:rsidRPr="00085F79" w:rsidRDefault="00A51E02" w:rsidP="00A51E02">
            <w:pPr>
              <w:jc w:val="center"/>
              <w:rPr>
                <w:sz w:val="19"/>
                <w:szCs w:val="19"/>
              </w:rPr>
            </w:pPr>
          </w:p>
        </w:tc>
      </w:tr>
      <w:tr w:rsidR="00A51E02" w:rsidRPr="00085F79" w14:paraId="1DEB4C6C" w14:textId="77777777" w:rsidTr="00A51E02">
        <w:trPr>
          <w:trHeight w:val="440"/>
          <w:jc w:val="center"/>
        </w:trPr>
        <w:tc>
          <w:tcPr>
            <w:tcW w:w="1007" w:type="pct"/>
            <w:shd w:val="clear" w:color="auto" w:fill="auto"/>
            <w:noWrap/>
            <w:tcMar>
              <w:left w:w="58" w:type="dxa"/>
              <w:right w:w="58" w:type="dxa"/>
            </w:tcMar>
            <w:hideMark/>
          </w:tcPr>
          <w:p w14:paraId="421679AC" w14:textId="77777777" w:rsidR="00A51E02" w:rsidRPr="00776F27" w:rsidRDefault="00A51E02" w:rsidP="00A51E02">
            <w:pPr>
              <w:jc w:val="left"/>
              <w:rPr>
                <w:bCs/>
                <w:sz w:val="19"/>
                <w:szCs w:val="19"/>
                <w:lang w:val="fr-FR"/>
              </w:rPr>
            </w:pPr>
            <w:r>
              <w:rPr>
                <w:sz w:val="19"/>
                <w:szCs w:val="19"/>
                <w:lang w:val="fr"/>
              </w:rPr>
              <w:t>République démocratique du Congo (la)</w:t>
            </w:r>
          </w:p>
        </w:tc>
        <w:tc>
          <w:tcPr>
            <w:tcW w:w="1047" w:type="pct"/>
            <w:shd w:val="clear" w:color="auto" w:fill="auto"/>
            <w:noWrap/>
            <w:tcMar>
              <w:left w:w="58" w:type="dxa"/>
              <w:right w:w="58" w:type="dxa"/>
            </w:tcMar>
            <w:hideMark/>
          </w:tcPr>
          <w:p w14:paraId="734699BE" w14:textId="77777777" w:rsidR="00A51E02" w:rsidRPr="00085F79" w:rsidRDefault="00A51E02" w:rsidP="00A51E02">
            <w:pPr>
              <w:jc w:val="left"/>
              <w:rPr>
                <w:sz w:val="19"/>
                <w:szCs w:val="19"/>
              </w:rPr>
            </w:pPr>
            <w:r>
              <w:rPr>
                <w:sz w:val="19"/>
                <w:szCs w:val="19"/>
                <w:lang w:val="fr"/>
              </w:rPr>
              <w:t>DRC/SEV/81/TAS/01+</w:t>
            </w:r>
          </w:p>
        </w:tc>
        <w:tc>
          <w:tcPr>
            <w:tcW w:w="715" w:type="pct"/>
          </w:tcPr>
          <w:p w14:paraId="7684FB31" w14:textId="77777777" w:rsidR="00A51E02" w:rsidRPr="00085F79" w:rsidRDefault="00A51E02" w:rsidP="00A51E02">
            <w:pPr>
              <w:jc w:val="center"/>
              <w:rPr>
                <w:sz w:val="19"/>
                <w:szCs w:val="19"/>
              </w:rPr>
            </w:pPr>
            <w:r>
              <w:rPr>
                <w:sz w:val="19"/>
                <w:szCs w:val="19"/>
                <w:lang w:val="fr"/>
              </w:rPr>
              <w:t>78</w:t>
            </w:r>
          </w:p>
        </w:tc>
        <w:tc>
          <w:tcPr>
            <w:tcW w:w="727" w:type="pct"/>
            <w:vMerge/>
            <w:shd w:val="clear" w:color="auto" w:fill="auto"/>
            <w:noWrap/>
            <w:tcMar>
              <w:left w:w="58" w:type="dxa"/>
              <w:right w:w="58" w:type="dxa"/>
            </w:tcMar>
            <w:hideMark/>
          </w:tcPr>
          <w:p w14:paraId="66A579AA"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75395A21"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344388FE" w14:textId="77777777" w:rsidR="00A51E02" w:rsidRPr="00085F79" w:rsidRDefault="00A51E02" w:rsidP="00A51E02">
            <w:pPr>
              <w:jc w:val="center"/>
              <w:rPr>
                <w:sz w:val="19"/>
                <w:szCs w:val="19"/>
              </w:rPr>
            </w:pPr>
          </w:p>
        </w:tc>
      </w:tr>
      <w:tr w:rsidR="00A51E02" w:rsidRPr="00085F79" w14:paraId="576D86A1" w14:textId="77777777" w:rsidTr="00A51E02">
        <w:trPr>
          <w:trHeight w:val="251"/>
          <w:jc w:val="center"/>
        </w:trPr>
        <w:tc>
          <w:tcPr>
            <w:tcW w:w="1007" w:type="pct"/>
            <w:shd w:val="clear" w:color="auto" w:fill="auto"/>
            <w:noWrap/>
            <w:tcMar>
              <w:left w:w="58" w:type="dxa"/>
              <w:right w:w="58" w:type="dxa"/>
            </w:tcMar>
            <w:hideMark/>
          </w:tcPr>
          <w:p w14:paraId="66DF7E09" w14:textId="77777777" w:rsidR="00A51E02" w:rsidRPr="00085F79" w:rsidRDefault="00A51E02" w:rsidP="00A51E02">
            <w:pPr>
              <w:jc w:val="left"/>
              <w:rPr>
                <w:bCs/>
                <w:sz w:val="19"/>
                <w:szCs w:val="19"/>
              </w:rPr>
            </w:pPr>
            <w:r>
              <w:rPr>
                <w:sz w:val="19"/>
                <w:szCs w:val="19"/>
                <w:lang w:val="fr"/>
              </w:rPr>
              <w:t>Djibouti</w:t>
            </w:r>
          </w:p>
        </w:tc>
        <w:tc>
          <w:tcPr>
            <w:tcW w:w="1047" w:type="pct"/>
            <w:shd w:val="clear" w:color="auto" w:fill="auto"/>
            <w:noWrap/>
            <w:tcMar>
              <w:left w:w="58" w:type="dxa"/>
              <w:right w:w="58" w:type="dxa"/>
            </w:tcMar>
            <w:hideMark/>
          </w:tcPr>
          <w:p w14:paraId="26F2FEF4" w14:textId="77777777" w:rsidR="00A51E02" w:rsidRPr="00085F79" w:rsidRDefault="00A51E02" w:rsidP="00A51E02">
            <w:pPr>
              <w:jc w:val="left"/>
              <w:rPr>
                <w:sz w:val="19"/>
                <w:szCs w:val="19"/>
              </w:rPr>
            </w:pPr>
            <w:r>
              <w:rPr>
                <w:sz w:val="19"/>
                <w:szCs w:val="19"/>
                <w:lang w:val="fr"/>
              </w:rPr>
              <w:t>DJI/SEV/81/TAS/01+</w:t>
            </w:r>
          </w:p>
        </w:tc>
        <w:tc>
          <w:tcPr>
            <w:tcW w:w="715" w:type="pct"/>
          </w:tcPr>
          <w:p w14:paraId="532BAEC1" w14:textId="77777777" w:rsidR="00A51E02" w:rsidRPr="00085F79" w:rsidRDefault="00A51E02" w:rsidP="00A51E02">
            <w:pPr>
              <w:jc w:val="center"/>
              <w:rPr>
                <w:sz w:val="19"/>
                <w:szCs w:val="19"/>
              </w:rPr>
            </w:pPr>
            <w:r>
              <w:rPr>
                <w:sz w:val="19"/>
                <w:szCs w:val="19"/>
                <w:lang w:val="fr"/>
              </w:rPr>
              <w:t>5</w:t>
            </w:r>
          </w:p>
        </w:tc>
        <w:tc>
          <w:tcPr>
            <w:tcW w:w="727" w:type="pct"/>
            <w:vMerge/>
            <w:shd w:val="clear" w:color="auto" w:fill="auto"/>
            <w:noWrap/>
            <w:tcMar>
              <w:left w:w="58" w:type="dxa"/>
              <w:right w:w="58" w:type="dxa"/>
            </w:tcMar>
            <w:hideMark/>
          </w:tcPr>
          <w:p w14:paraId="4DDC1354"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0EDE68F7"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056D9158" w14:textId="77777777" w:rsidR="00A51E02" w:rsidRPr="00085F79" w:rsidRDefault="00A51E02" w:rsidP="00A51E02">
            <w:pPr>
              <w:jc w:val="center"/>
              <w:rPr>
                <w:sz w:val="19"/>
                <w:szCs w:val="19"/>
              </w:rPr>
            </w:pPr>
          </w:p>
        </w:tc>
      </w:tr>
      <w:tr w:rsidR="00A51E02" w:rsidRPr="00085F79" w14:paraId="6AC70808" w14:textId="77777777" w:rsidTr="00A51E02">
        <w:trPr>
          <w:trHeight w:val="260"/>
          <w:jc w:val="center"/>
        </w:trPr>
        <w:tc>
          <w:tcPr>
            <w:tcW w:w="1007" w:type="pct"/>
            <w:shd w:val="clear" w:color="auto" w:fill="auto"/>
            <w:noWrap/>
            <w:tcMar>
              <w:left w:w="58" w:type="dxa"/>
              <w:right w:w="58" w:type="dxa"/>
            </w:tcMar>
            <w:hideMark/>
          </w:tcPr>
          <w:p w14:paraId="1FD2A808" w14:textId="77777777" w:rsidR="00A51E02" w:rsidRPr="00085F79" w:rsidRDefault="00A51E02" w:rsidP="00A51E02">
            <w:pPr>
              <w:jc w:val="left"/>
              <w:rPr>
                <w:bCs/>
                <w:sz w:val="19"/>
                <w:szCs w:val="19"/>
              </w:rPr>
            </w:pPr>
            <w:r>
              <w:rPr>
                <w:sz w:val="19"/>
                <w:szCs w:val="19"/>
                <w:lang w:val="fr"/>
              </w:rPr>
              <w:t>Guinée équatoriale (la)</w:t>
            </w:r>
          </w:p>
        </w:tc>
        <w:tc>
          <w:tcPr>
            <w:tcW w:w="1047" w:type="pct"/>
            <w:shd w:val="clear" w:color="auto" w:fill="auto"/>
            <w:noWrap/>
            <w:tcMar>
              <w:left w:w="58" w:type="dxa"/>
              <w:right w:w="58" w:type="dxa"/>
            </w:tcMar>
            <w:hideMark/>
          </w:tcPr>
          <w:p w14:paraId="6F84F0B4" w14:textId="77777777" w:rsidR="00A51E02" w:rsidRPr="00085F79" w:rsidRDefault="00A51E02" w:rsidP="00A51E02">
            <w:pPr>
              <w:jc w:val="left"/>
              <w:rPr>
                <w:sz w:val="19"/>
                <w:szCs w:val="19"/>
              </w:rPr>
            </w:pPr>
            <w:r>
              <w:rPr>
                <w:sz w:val="19"/>
                <w:szCs w:val="19"/>
                <w:lang w:val="fr"/>
              </w:rPr>
              <w:t>EQG/SEV/81/TAS/01+</w:t>
            </w:r>
          </w:p>
        </w:tc>
        <w:tc>
          <w:tcPr>
            <w:tcW w:w="715" w:type="pct"/>
          </w:tcPr>
          <w:p w14:paraId="5A131343" w14:textId="77777777" w:rsidR="00A51E02" w:rsidRPr="00085F79" w:rsidRDefault="00A51E02" w:rsidP="00A51E02">
            <w:pPr>
              <w:jc w:val="center"/>
              <w:rPr>
                <w:sz w:val="19"/>
                <w:szCs w:val="19"/>
              </w:rPr>
            </w:pPr>
            <w:r>
              <w:rPr>
                <w:sz w:val="19"/>
                <w:szCs w:val="19"/>
                <w:lang w:val="fr"/>
              </w:rPr>
              <w:t>75</w:t>
            </w:r>
          </w:p>
        </w:tc>
        <w:tc>
          <w:tcPr>
            <w:tcW w:w="727" w:type="pct"/>
            <w:vMerge/>
            <w:shd w:val="clear" w:color="auto" w:fill="auto"/>
            <w:noWrap/>
            <w:tcMar>
              <w:left w:w="58" w:type="dxa"/>
              <w:right w:w="58" w:type="dxa"/>
            </w:tcMar>
            <w:hideMark/>
          </w:tcPr>
          <w:p w14:paraId="28D6E482"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570909AB"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10C4D90A" w14:textId="77777777" w:rsidR="00A51E02" w:rsidRPr="00085F79" w:rsidRDefault="00A51E02" w:rsidP="00A51E02">
            <w:pPr>
              <w:jc w:val="center"/>
              <w:rPr>
                <w:sz w:val="19"/>
                <w:szCs w:val="19"/>
              </w:rPr>
            </w:pPr>
          </w:p>
        </w:tc>
      </w:tr>
      <w:tr w:rsidR="00A51E02" w:rsidRPr="00085F79" w14:paraId="15BEC8EE" w14:textId="77777777" w:rsidTr="00A51E02">
        <w:trPr>
          <w:trHeight w:val="260"/>
          <w:jc w:val="center"/>
        </w:trPr>
        <w:tc>
          <w:tcPr>
            <w:tcW w:w="1007" w:type="pct"/>
            <w:shd w:val="clear" w:color="auto" w:fill="auto"/>
            <w:noWrap/>
            <w:tcMar>
              <w:left w:w="58" w:type="dxa"/>
              <w:right w:w="58" w:type="dxa"/>
            </w:tcMar>
            <w:hideMark/>
          </w:tcPr>
          <w:p w14:paraId="708C0BF8" w14:textId="77777777" w:rsidR="00A51E02" w:rsidRPr="00085F79" w:rsidRDefault="00A51E02" w:rsidP="00A51E02">
            <w:pPr>
              <w:jc w:val="left"/>
              <w:rPr>
                <w:bCs/>
                <w:sz w:val="19"/>
                <w:szCs w:val="19"/>
              </w:rPr>
            </w:pPr>
            <w:r>
              <w:rPr>
                <w:sz w:val="19"/>
                <w:szCs w:val="19"/>
                <w:lang w:val="fr"/>
              </w:rPr>
              <w:t>Guinée-Bissau (la)</w:t>
            </w:r>
          </w:p>
        </w:tc>
        <w:tc>
          <w:tcPr>
            <w:tcW w:w="1047" w:type="pct"/>
            <w:shd w:val="clear" w:color="auto" w:fill="auto"/>
            <w:noWrap/>
            <w:tcMar>
              <w:left w:w="58" w:type="dxa"/>
              <w:right w:w="58" w:type="dxa"/>
            </w:tcMar>
            <w:hideMark/>
          </w:tcPr>
          <w:p w14:paraId="47B42D0B" w14:textId="77777777" w:rsidR="00A51E02" w:rsidRPr="00085F79" w:rsidRDefault="00A51E02" w:rsidP="00A51E02">
            <w:pPr>
              <w:jc w:val="left"/>
              <w:rPr>
                <w:sz w:val="19"/>
                <w:szCs w:val="19"/>
              </w:rPr>
            </w:pPr>
            <w:r>
              <w:rPr>
                <w:sz w:val="19"/>
                <w:szCs w:val="19"/>
                <w:lang w:val="fr"/>
              </w:rPr>
              <w:t>GBS/SEV/81/TAS/01+</w:t>
            </w:r>
          </w:p>
        </w:tc>
        <w:tc>
          <w:tcPr>
            <w:tcW w:w="715" w:type="pct"/>
          </w:tcPr>
          <w:p w14:paraId="6630D3E3" w14:textId="77777777" w:rsidR="00A51E02" w:rsidRPr="00085F79" w:rsidRDefault="00A51E02" w:rsidP="00A51E02">
            <w:pPr>
              <w:jc w:val="center"/>
              <w:rPr>
                <w:sz w:val="19"/>
                <w:szCs w:val="19"/>
              </w:rPr>
            </w:pPr>
            <w:r>
              <w:rPr>
                <w:sz w:val="19"/>
                <w:szCs w:val="19"/>
                <w:lang w:val="fr"/>
              </w:rPr>
              <w:t>75</w:t>
            </w:r>
          </w:p>
        </w:tc>
        <w:tc>
          <w:tcPr>
            <w:tcW w:w="727" w:type="pct"/>
            <w:vMerge/>
            <w:shd w:val="clear" w:color="auto" w:fill="auto"/>
            <w:noWrap/>
            <w:tcMar>
              <w:left w:w="58" w:type="dxa"/>
              <w:right w:w="58" w:type="dxa"/>
            </w:tcMar>
            <w:hideMark/>
          </w:tcPr>
          <w:p w14:paraId="7A3DA3F2"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29C77E1D"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653DFA78" w14:textId="77777777" w:rsidR="00A51E02" w:rsidRPr="00085F79" w:rsidRDefault="00A51E02" w:rsidP="00A51E02">
            <w:pPr>
              <w:jc w:val="center"/>
              <w:rPr>
                <w:sz w:val="19"/>
                <w:szCs w:val="19"/>
              </w:rPr>
            </w:pPr>
          </w:p>
        </w:tc>
      </w:tr>
      <w:tr w:rsidR="00A51E02" w:rsidRPr="00085F79" w14:paraId="071E1B24" w14:textId="77777777" w:rsidTr="00A51E02">
        <w:trPr>
          <w:trHeight w:val="260"/>
          <w:jc w:val="center"/>
        </w:trPr>
        <w:tc>
          <w:tcPr>
            <w:tcW w:w="1007" w:type="pct"/>
            <w:shd w:val="clear" w:color="auto" w:fill="auto"/>
            <w:noWrap/>
            <w:tcMar>
              <w:left w:w="58" w:type="dxa"/>
              <w:right w:w="58" w:type="dxa"/>
            </w:tcMar>
            <w:hideMark/>
          </w:tcPr>
          <w:p w14:paraId="532F0530" w14:textId="77777777" w:rsidR="00A51E02" w:rsidRPr="00085F79" w:rsidRDefault="00A51E02" w:rsidP="00A51E02">
            <w:pPr>
              <w:jc w:val="left"/>
              <w:rPr>
                <w:bCs/>
                <w:sz w:val="19"/>
                <w:szCs w:val="19"/>
              </w:rPr>
            </w:pPr>
            <w:r>
              <w:rPr>
                <w:sz w:val="19"/>
                <w:szCs w:val="19"/>
                <w:lang w:val="fr"/>
              </w:rPr>
              <w:t>Madagascar</w:t>
            </w:r>
          </w:p>
        </w:tc>
        <w:tc>
          <w:tcPr>
            <w:tcW w:w="1047" w:type="pct"/>
            <w:shd w:val="clear" w:color="auto" w:fill="auto"/>
            <w:noWrap/>
            <w:tcMar>
              <w:left w:w="58" w:type="dxa"/>
              <w:right w:w="58" w:type="dxa"/>
            </w:tcMar>
            <w:hideMark/>
          </w:tcPr>
          <w:p w14:paraId="4DE6DB27" w14:textId="77777777" w:rsidR="00A51E02" w:rsidRPr="00085F79" w:rsidRDefault="00A51E02" w:rsidP="00A51E02">
            <w:pPr>
              <w:jc w:val="left"/>
              <w:rPr>
                <w:sz w:val="19"/>
                <w:szCs w:val="19"/>
              </w:rPr>
            </w:pPr>
            <w:r>
              <w:rPr>
                <w:sz w:val="19"/>
                <w:szCs w:val="19"/>
                <w:lang w:val="fr"/>
              </w:rPr>
              <w:t>MAG/SEV/81/TAS/01+</w:t>
            </w:r>
          </w:p>
        </w:tc>
        <w:tc>
          <w:tcPr>
            <w:tcW w:w="715" w:type="pct"/>
          </w:tcPr>
          <w:p w14:paraId="2C724368" w14:textId="77777777" w:rsidR="00A51E02" w:rsidRPr="00085F79" w:rsidRDefault="00A51E02" w:rsidP="00A51E02">
            <w:pPr>
              <w:jc w:val="center"/>
              <w:rPr>
                <w:sz w:val="19"/>
                <w:szCs w:val="19"/>
              </w:rPr>
            </w:pPr>
            <w:r>
              <w:rPr>
                <w:sz w:val="19"/>
                <w:szCs w:val="19"/>
                <w:lang w:val="fr"/>
              </w:rPr>
              <w:t>77</w:t>
            </w:r>
          </w:p>
        </w:tc>
        <w:tc>
          <w:tcPr>
            <w:tcW w:w="727" w:type="pct"/>
            <w:vMerge/>
            <w:shd w:val="clear" w:color="auto" w:fill="auto"/>
            <w:noWrap/>
            <w:tcMar>
              <w:left w:w="58" w:type="dxa"/>
              <w:right w:w="58" w:type="dxa"/>
            </w:tcMar>
            <w:hideMark/>
          </w:tcPr>
          <w:p w14:paraId="3690B743"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68D34DF1"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0D621722" w14:textId="77777777" w:rsidR="00A51E02" w:rsidRPr="00085F79" w:rsidRDefault="00A51E02" w:rsidP="00A51E02">
            <w:pPr>
              <w:jc w:val="center"/>
              <w:rPr>
                <w:sz w:val="19"/>
                <w:szCs w:val="19"/>
              </w:rPr>
            </w:pPr>
          </w:p>
        </w:tc>
      </w:tr>
      <w:tr w:rsidR="00A51E02" w:rsidRPr="00085F79" w14:paraId="4C1DD2AF" w14:textId="77777777" w:rsidTr="00A51E02">
        <w:trPr>
          <w:trHeight w:val="260"/>
          <w:jc w:val="center"/>
        </w:trPr>
        <w:tc>
          <w:tcPr>
            <w:tcW w:w="1007" w:type="pct"/>
            <w:shd w:val="clear" w:color="auto" w:fill="auto"/>
            <w:noWrap/>
            <w:tcMar>
              <w:left w:w="58" w:type="dxa"/>
              <w:right w:w="58" w:type="dxa"/>
            </w:tcMar>
            <w:hideMark/>
          </w:tcPr>
          <w:p w14:paraId="2903F8DD" w14:textId="77777777" w:rsidR="00A51E02" w:rsidRPr="00085F79" w:rsidRDefault="00A51E02" w:rsidP="00A51E02">
            <w:pPr>
              <w:jc w:val="left"/>
              <w:rPr>
                <w:bCs/>
                <w:sz w:val="19"/>
                <w:szCs w:val="19"/>
              </w:rPr>
            </w:pPr>
            <w:r>
              <w:rPr>
                <w:sz w:val="19"/>
                <w:szCs w:val="19"/>
                <w:lang w:val="fr"/>
              </w:rPr>
              <w:t>Mali (le)</w:t>
            </w:r>
          </w:p>
        </w:tc>
        <w:tc>
          <w:tcPr>
            <w:tcW w:w="1047" w:type="pct"/>
            <w:shd w:val="clear" w:color="auto" w:fill="auto"/>
            <w:noWrap/>
            <w:tcMar>
              <w:left w:w="58" w:type="dxa"/>
              <w:right w:w="58" w:type="dxa"/>
            </w:tcMar>
            <w:hideMark/>
          </w:tcPr>
          <w:p w14:paraId="186F0663" w14:textId="77777777" w:rsidR="00A51E02" w:rsidRPr="00085F79" w:rsidRDefault="00A51E02" w:rsidP="00A51E02">
            <w:pPr>
              <w:jc w:val="left"/>
              <w:rPr>
                <w:sz w:val="19"/>
                <w:szCs w:val="19"/>
              </w:rPr>
            </w:pPr>
            <w:r>
              <w:rPr>
                <w:sz w:val="19"/>
                <w:szCs w:val="19"/>
                <w:lang w:val="fr"/>
              </w:rPr>
              <w:t>MLI/SEV/81/TAS/01+</w:t>
            </w:r>
          </w:p>
        </w:tc>
        <w:tc>
          <w:tcPr>
            <w:tcW w:w="715" w:type="pct"/>
          </w:tcPr>
          <w:p w14:paraId="7654BE1B" w14:textId="77777777" w:rsidR="00A51E02" w:rsidRPr="00085F79" w:rsidRDefault="00A51E02" w:rsidP="00A51E02">
            <w:pPr>
              <w:jc w:val="center"/>
              <w:rPr>
                <w:sz w:val="19"/>
                <w:szCs w:val="19"/>
              </w:rPr>
            </w:pPr>
            <w:r>
              <w:rPr>
                <w:sz w:val="19"/>
                <w:szCs w:val="19"/>
                <w:lang w:val="fr"/>
              </w:rPr>
              <w:t>100</w:t>
            </w:r>
          </w:p>
        </w:tc>
        <w:tc>
          <w:tcPr>
            <w:tcW w:w="727" w:type="pct"/>
            <w:vMerge/>
            <w:shd w:val="clear" w:color="auto" w:fill="auto"/>
            <w:noWrap/>
            <w:tcMar>
              <w:left w:w="58" w:type="dxa"/>
              <w:right w:w="58" w:type="dxa"/>
            </w:tcMar>
            <w:hideMark/>
          </w:tcPr>
          <w:p w14:paraId="2C0E1037"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3290D1F1"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78D2DAB9" w14:textId="77777777" w:rsidR="00A51E02" w:rsidRPr="00085F79" w:rsidRDefault="00A51E02" w:rsidP="00A51E02">
            <w:pPr>
              <w:jc w:val="center"/>
              <w:rPr>
                <w:sz w:val="19"/>
                <w:szCs w:val="19"/>
              </w:rPr>
            </w:pPr>
          </w:p>
        </w:tc>
      </w:tr>
      <w:tr w:rsidR="00A51E02" w:rsidRPr="00085F79" w14:paraId="1269BB8D" w14:textId="77777777" w:rsidTr="00A51E02">
        <w:trPr>
          <w:trHeight w:val="260"/>
          <w:jc w:val="center"/>
        </w:trPr>
        <w:tc>
          <w:tcPr>
            <w:tcW w:w="1007" w:type="pct"/>
            <w:shd w:val="clear" w:color="auto" w:fill="auto"/>
            <w:noWrap/>
            <w:tcMar>
              <w:left w:w="58" w:type="dxa"/>
              <w:right w:w="58" w:type="dxa"/>
            </w:tcMar>
            <w:hideMark/>
          </w:tcPr>
          <w:p w14:paraId="2F285792" w14:textId="77777777" w:rsidR="00A51E02" w:rsidRPr="00085F79" w:rsidRDefault="00A51E02" w:rsidP="00A51E02">
            <w:pPr>
              <w:jc w:val="left"/>
              <w:rPr>
                <w:bCs/>
                <w:sz w:val="19"/>
                <w:szCs w:val="19"/>
              </w:rPr>
            </w:pPr>
            <w:r>
              <w:rPr>
                <w:sz w:val="19"/>
                <w:szCs w:val="19"/>
                <w:lang w:val="fr"/>
              </w:rPr>
              <w:t>Mauritanie (la)</w:t>
            </w:r>
          </w:p>
        </w:tc>
        <w:tc>
          <w:tcPr>
            <w:tcW w:w="1047" w:type="pct"/>
            <w:shd w:val="clear" w:color="auto" w:fill="auto"/>
            <w:noWrap/>
            <w:tcMar>
              <w:left w:w="58" w:type="dxa"/>
              <w:right w:w="58" w:type="dxa"/>
            </w:tcMar>
            <w:hideMark/>
          </w:tcPr>
          <w:p w14:paraId="39B44745" w14:textId="77777777" w:rsidR="00A51E02" w:rsidRPr="00085F79" w:rsidRDefault="00A51E02" w:rsidP="00A51E02">
            <w:pPr>
              <w:jc w:val="left"/>
              <w:rPr>
                <w:sz w:val="19"/>
                <w:szCs w:val="19"/>
              </w:rPr>
            </w:pPr>
            <w:r>
              <w:rPr>
                <w:sz w:val="19"/>
                <w:szCs w:val="19"/>
                <w:lang w:val="fr"/>
              </w:rPr>
              <w:t>MAU/SEV/81/TAS/01+</w:t>
            </w:r>
          </w:p>
        </w:tc>
        <w:tc>
          <w:tcPr>
            <w:tcW w:w="715" w:type="pct"/>
          </w:tcPr>
          <w:p w14:paraId="541EE3A1" w14:textId="77777777" w:rsidR="00A51E02" w:rsidRPr="00085F79" w:rsidRDefault="00A51E02" w:rsidP="00A51E02">
            <w:pPr>
              <w:jc w:val="center"/>
              <w:rPr>
                <w:sz w:val="19"/>
                <w:szCs w:val="19"/>
              </w:rPr>
            </w:pPr>
            <w:r>
              <w:rPr>
                <w:sz w:val="19"/>
                <w:szCs w:val="19"/>
                <w:lang w:val="fr"/>
              </w:rPr>
              <w:t>68</w:t>
            </w:r>
          </w:p>
        </w:tc>
        <w:tc>
          <w:tcPr>
            <w:tcW w:w="727" w:type="pct"/>
            <w:vMerge/>
            <w:shd w:val="clear" w:color="auto" w:fill="auto"/>
            <w:noWrap/>
            <w:tcMar>
              <w:left w:w="58" w:type="dxa"/>
              <w:right w:w="58" w:type="dxa"/>
            </w:tcMar>
            <w:hideMark/>
          </w:tcPr>
          <w:p w14:paraId="400F6EDB"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2B1C9975"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0337E570" w14:textId="77777777" w:rsidR="00A51E02" w:rsidRPr="00085F79" w:rsidRDefault="00A51E02" w:rsidP="00A51E02">
            <w:pPr>
              <w:jc w:val="center"/>
              <w:rPr>
                <w:sz w:val="19"/>
                <w:szCs w:val="19"/>
              </w:rPr>
            </w:pPr>
          </w:p>
        </w:tc>
      </w:tr>
      <w:tr w:rsidR="00A51E02" w:rsidRPr="00085F79" w14:paraId="42FC1925" w14:textId="77777777" w:rsidTr="00A51E02">
        <w:trPr>
          <w:trHeight w:val="296"/>
          <w:jc w:val="center"/>
        </w:trPr>
        <w:tc>
          <w:tcPr>
            <w:tcW w:w="1007" w:type="pct"/>
            <w:shd w:val="clear" w:color="auto" w:fill="auto"/>
            <w:noWrap/>
            <w:tcMar>
              <w:left w:w="58" w:type="dxa"/>
              <w:right w:w="58" w:type="dxa"/>
            </w:tcMar>
            <w:hideMark/>
          </w:tcPr>
          <w:p w14:paraId="7D4CDD19" w14:textId="77777777" w:rsidR="00A51E02" w:rsidRPr="00085F79" w:rsidRDefault="00A51E02" w:rsidP="00A51E02">
            <w:pPr>
              <w:jc w:val="left"/>
              <w:rPr>
                <w:bCs/>
                <w:sz w:val="19"/>
                <w:szCs w:val="19"/>
              </w:rPr>
            </w:pPr>
            <w:r>
              <w:rPr>
                <w:sz w:val="19"/>
                <w:szCs w:val="19"/>
                <w:lang w:val="fr"/>
              </w:rPr>
              <w:t>Sao Tomé-et-Principe</w:t>
            </w:r>
          </w:p>
        </w:tc>
        <w:tc>
          <w:tcPr>
            <w:tcW w:w="1047" w:type="pct"/>
            <w:shd w:val="clear" w:color="auto" w:fill="auto"/>
            <w:noWrap/>
            <w:tcMar>
              <w:left w:w="58" w:type="dxa"/>
              <w:right w:w="58" w:type="dxa"/>
            </w:tcMar>
            <w:hideMark/>
          </w:tcPr>
          <w:p w14:paraId="08CB06DD" w14:textId="77777777" w:rsidR="00A51E02" w:rsidRPr="00085F79" w:rsidRDefault="00A51E02" w:rsidP="00A51E02">
            <w:pPr>
              <w:jc w:val="left"/>
              <w:rPr>
                <w:sz w:val="19"/>
                <w:szCs w:val="19"/>
              </w:rPr>
            </w:pPr>
            <w:r>
              <w:rPr>
                <w:sz w:val="19"/>
                <w:szCs w:val="19"/>
                <w:lang w:val="fr"/>
              </w:rPr>
              <w:t>STP/SEV/81/TAS/01+</w:t>
            </w:r>
          </w:p>
        </w:tc>
        <w:tc>
          <w:tcPr>
            <w:tcW w:w="715" w:type="pct"/>
          </w:tcPr>
          <w:p w14:paraId="6FD30CA5" w14:textId="77777777" w:rsidR="00A51E02" w:rsidRPr="00085F79" w:rsidRDefault="00A51E02" w:rsidP="00A51E02">
            <w:pPr>
              <w:jc w:val="center"/>
              <w:rPr>
                <w:sz w:val="19"/>
                <w:szCs w:val="19"/>
              </w:rPr>
            </w:pPr>
            <w:r>
              <w:rPr>
                <w:sz w:val="19"/>
                <w:szCs w:val="19"/>
                <w:lang w:val="fr"/>
              </w:rPr>
              <w:t>88</w:t>
            </w:r>
          </w:p>
        </w:tc>
        <w:tc>
          <w:tcPr>
            <w:tcW w:w="727" w:type="pct"/>
            <w:vMerge/>
            <w:shd w:val="clear" w:color="auto" w:fill="auto"/>
            <w:noWrap/>
            <w:tcMar>
              <w:left w:w="58" w:type="dxa"/>
              <w:right w:w="58" w:type="dxa"/>
            </w:tcMar>
            <w:hideMark/>
          </w:tcPr>
          <w:p w14:paraId="0E991745" w14:textId="77777777" w:rsidR="00A51E02" w:rsidRPr="00085F79" w:rsidRDefault="00A51E02" w:rsidP="00A51E02">
            <w:pPr>
              <w:jc w:val="center"/>
              <w:rPr>
                <w:sz w:val="19"/>
                <w:szCs w:val="19"/>
              </w:rPr>
            </w:pPr>
          </w:p>
        </w:tc>
        <w:tc>
          <w:tcPr>
            <w:tcW w:w="727" w:type="pct"/>
            <w:vMerge/>
            <w:shd w:val="clear" w:color="auto" w:fill="auto"/>
            <w:noWrap/>
            <w:tcMar>
              <w:left w:w="58" w:type="dxa"/>
              <w:right w:w="58" w:type="dxa"/>
            </w:tcMar>
            <w:hideMark/>
          </w:tcPr>
          <w:p w14:paraId="221E7953"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06213508" w14:textId="77777777" w:rsidR="00A51E02" w:rsidRPr="00085F79" w:rsidRDefault="00A51E02" w:rsidP="00A51E02">
            <w:pPr>
              <w:jc w:val="center"/>
              <w:rPr>
                <w:sz w:val="19"/>
                <w:szCs w:val="19"/>
              </w:rPr>
            </w:pPr>
          </w:p>
        </w:tc>
      </w:tr>
      <w:tr w:rsidR="00A51E02" w:rsidRPr="00085F79" w14:paraId="56244F21" w14:textId="77777777" w:rsidTr="00A51E02">
        <w:trPr>
          <w:trHeight w:val="260"/>
          <w:jc w:val="center"/>
        </w:trPr>
        <w:tc>
          <w:tcPr>
            <w:tcW w:w="1007" w:type="pct"/>
            <w:shd w:val="clear" w:color="auto" w:fill="auto"/>
            <w:noWrap/>
            <w:tcMar>
              <w:left w:w="58" w:type="dxa"/>
              <w:right w:w="58" w:type="dxa"/>
            </w:tcMar>
            <w:hideMark/>
          </w:tcPr>
          <w:p w14:paraId="5C5D84D8" w14:textId="77777777" w:rsidR="00A51E02" w:rsidRPr="00085F79" w:rsidRDefault="00A51E02" w:rsidP="00A51E02">
            <w:pPr>
              <w:jc w:val="left"/>
              <w:rPr>
                <w:bCs/>
                <w:sz w:val="19"/>
                <w:szCs w:val="19"/>
              </w:rPr>
            </w:pPr>
            <w:r>
              <w:rPr>
                <w:sz w:val="19"/>
                <w:szCs w:val="19"/>
                <w:lang w:val="fr"/>
              </w:rPr>
              <w:t>Burundi (le)</w:t>
            </w:r>
          </w:p>
        </w:tc>
        <w:tc>
          <w:tcPr>
            <w:tcW w:w="1047" w:type="pct"/>
            <w:shd w:val="clear" w:color="auto" w:fill="auto"/>
            <w:noWrap/>
            <w:tcMar>
              <w:left w:w="58" w:type="dxa"/>
              <w:right w:w="58" w:type="dxa"/>
            </w:tcMar>
            <w:hideMark/>
          </w:tcPr>
          <w:p w14:paraId="0ABE3B99" w14:textId="77777777" w:rsidR="00A51E02" w:rsidRPr="00085F79" w:rsidRDefault="00A51E02" w:rsidP="00A51E02">
            <w:pPr>
              <w:jc w:val="left"/>
              <w:rPr>
                <w:sz w:val="19"/>
                <w:szCs w:val="19"/>
              </w:rPr>
            </w:pPr>
            <w:r>
              <w:rPr>
                <w:sz w:val="19"/>
                <w:szCs w:val="19"/>
                <w:lang w:val="fr"/>
              </w:rPr>
              <w:t>BDI/SEV/85/TAS/39</w:t>
            </w:r>
          </w:p>
        </w:tc>
        <w:tc>
          <w:tcPr>
            <w:tcW w:w="715" w:type="pct"/>
          </w:tcPr>
          <w:p w14:paraId="3F0109FD" w14:textId="77777777" w:rsidR="00A51E02" w:rsidRPr="00085F79" w:rsidRDefault="00A51E02" w:rsidP="00A51E02">
            <w:pPr>
              <w:jc w:val="center"/>
              <w:rPr>
                <w:sz w:val="19"/>
                <w:szCs w:val="19"/>
              </w:rPr>
            </w:pPr>
            <w:r>
              <w:rPr>
                <w:sz w:val="19"/>
                <w:szCs w:val="19"/>
                <w:lang w:val="fr"/>
              </w:rPr>
              <w:t>67</w:t>
            </w:r>
          </w:p>
        </w:tc>
        <w:tc>
          <w:tcPr>
            <w:tcW w:w="727" w:type="pct"/>
            <w:shd w:val="clear" w:color="auto" w:fill="auto"/>
            <w:noWrap/>
            <w:tcMar>
              <w:left w:w="58" w:type="dxa"/>
              <w:right w:w="58" w:type="dxa"/>
            </w:tcMar>
            <w:hideMark/>
          </w:tcPr>
          <w:p w14:paraId="25E90B99" w14:textId="77777777" w:rsidR="00A51E02" w:rsidRPr="00085F79" w:rsidRDefault="00A51E02" w:rsidP="00A51E02">
            <w:pPr>
              <w:jc w:val="center"/>
              <w:rPr>
                <w:sz w:val="19"/>
                <w:szCs w:val="19"/>
              </w:rPr>
            </w:pPr>
            <w:r>
              <w:rPr>
                <w:sz w:val="19"/>
                <w:szCs w:val="19"/>
                <w:lang w:val="fr"/>
              </w:rPr>
              <w:t>Juin 2020</w:t>
            </w:r>
          </w:p>
        </w:tc>
        <w:tc>
          <w:tcPr>
            <w:tcW w:w="727" w:type="pct"/>
            <w:vMerge/>
            <w:shd w:val="clear" w:color="auto" w:fill="auto"/>
            <w:noWrap/>
            <w:tcMar>
              <w:left w:w="58" w:type="dxa"/>
              <w:right w:w="58" w:type="dxa"/>
            </w:tcMar>
            <w:hideMark/>
          </w:tcPr>
          <w:p w14:paraId="786EBA81" w14:textId="77777777" w:rsidR="00A51E02" w:rsidRPr="00085F79" w:rsidRDefault="00A51E02" w:rsidP="00A51E02">
            <w:pPr>
              <w:jc w:val="center"/>
              <w:rPr>
                <w:rFonts w:ascii="Calibri" w:hAnsi="Calibri" w:cs="Calibri"/>
                <w:b/>
                <w:bCs/>
                <w:sz w:val="19"/>
                <w:szCs w:val="19"/>
              </w:rPr>
            </w:pPr>
          </w:p>
        </w:tc>
        <w:tc>
          <w:tcPr>
            <w:tcW w:w="777" w:type="pct"/>
            <w:vMerge/>
            <w:shd w:val="clear" w:color="auto" w:fill="auto"/>
            <w:noWrap/>
            <w:tcMar>
              <w:left w:w="58" w:type="dxa"/>
              <w:right w:w="58" w:type="dxa"/>
            </w:tcMar>
            <w:hideMark/>
          </w:tcPr>
          <w:p w14:paraId="4AF5E378" w14:textId="77777777" w:rsidR="00A51E02" w:rsidRPr="00085F79" w:rsidRDefault="00A51E02" w:rsidP="00A51E02">
            <w:pPr>
              <w:jc w:val="center"/>
              <w:rPr>
                <w:sz w:val="19"/>
                <w:szCs w:val="19"/>
              </w:rPr>
            </w:pPr>
          </w:p>
        </w:tc>
      </w:tr>
      <w:tr w:rsidR="00A51E02" w:rsidRPr="00085F79" w14:paraId="2B3504BF" w14:textId="77777777" w:rsidTr="00A51E02">
        <w:trPr>
          <w:trHeight w:val="260"/>
          <w:jc w:val="center"/>
        </w:trPr>
        <w:tc>
          <w:tcPr>
            <w:tcW w:w="1007" w:type="pct"/>
            <w:shd w:val="clear" w:color="auto" w:fill="auto"/>
            <w:noWrap/>
            <w:tcMar>
              <w:left w:w="58" w:type="dxa"/>
              <w:right w:w="58" w:type="dxa"/>
            </w:tcMar>
            <w:hideMark/>
          </w:tcPr>
          <w:p w14:paraId="49FC8B57" w14:textId="77777777" w:rsidR="00A51E02" w:rsidRPr="00085F79" w:rsidRDefault="00A51E02" w:rsidP="00A51E02">
            <w:pPr>
              <w:jc w:val="left"/>
              <w:rPr>
                <w:bCs/>
                <w:sz w:val="19"/>
                <w:szCs w:val="19"/>
              </w:rPr>
            </w:pPr>
            <w:r>
              <w:rPr>
                <w:sz w:val="19"/>
                <w:szCs w:val="19"/>
                <w:lang w:val="fr"/>
              </w:rPr>
              <w:t>Gabon (le)</w:t>
            </w:r>
          </w:p>
        </w:tc>
        <w:tc>
          <w:tcPr>
            <w:tcW w:w="1047" w:type="pct"/>
            <w:shd w:val="clear" w:color="auto" w:fill="auto"/>
            <w:noWrap/>
            <w:tcMar>
              <w:left w:w="58" w:type="dxa"/>
              <w:right w:w="58" w:type="dxa"/>
            </w:tcMar>
            <w:hideMark/>
          </w:tcPr>
          <w:p w14:paraId="787A6716" w14:textId="77777777" w:rsidR="00A51E02" w:rsidRPr="00085F79" w:rsidRDefault="00A51E02" w:rsidP="00A51E02">
            <w:pPr>
              <w:jc w:val="left"/>
              <w:rPr>
                <w:sz w:val="19"/>
                <w:szCs w:val="19"/>
              </w:rPr>
            </w:pPr>
            <w:r>
              <w:rPr>
                <w:sz w:val="19"/>
                <w:szCs w:val="19"/>
                <w:lang w:val="fr"/>
              </w:rPr>
              <w:t>GAB/SEV/80/TAS/01+</w:t>
            </w:r>
          </w:p>
        </w:tc>
        <w:tc>
          <w:tcPr>
            <w:tcW w:w="715" w:type="pct"/>
          </w:tcPr>
          <w:p w14:paraId="0AD1B912" w14:textId="77777777" w:rsidR="00A51E02" w:rsidRPr="00085F79" w:rsidDel="006E21EF" w:rsidRDefault="00A51E02" w:rsidP="00A51E02">
            <w:pPr>
              <w:jc w:val="center"/>
              <w:rPr>
                <w:sz w:val="19"/>
                <w:szCs w:val="19"/>
              </w:rPr>
            </w:pPr>
            <w:r>
              <w:rPr>
                <w:sz w:val="19"/>
                <w:szCs w:val="19"/>
                <w:lang w:val="fr"/>
              </w:rPr>
              <w:t>100</w:t>
            </w:r>
          </w:p>
        </w:tc>
        <w:tc>
          <w:tcPr>
            <w:tcW w:w="727" w:type="pct"/>
            <w:shd w:val="clear" w:color="auto" w:fill="auto"/>
            <w:noWrap/>
            <w:tcMar>
              <w:left w:w="58" w:type="dxa"/>
              <w:right w:w="58" w:type="dxa"/>
            </w:tcMar>
            <w:hideMark/>
          </w:tcPr>
          <w:p w14:paraId="2AB5A79B" w14:textId="77777777" w:rsidR="00A51E02" w:rsidRPr="00085F79" w:rsidRDefault="00A51E02" w:rsidP="00A51E02">
            <w:pPr>
              <w:jc w:val="center"/>
              <w:rPr>
                <w:sz w:val="19"/>
                <w:szCs w:val="19"/>
              </w:rPr>
            </w:pPr>
            <w:r>
              <w:rPr>
                <w:sz w:val="19"/>
                <w:szCs w:val="19"/>
                <w:lang w:val="fr"/>
              </w:rPr>
              <w:t>Novembre 2017</w:t>
            </w:r>
          </w:p>
        </w:tc>
        <w:tc>
          <w:tcPr>
            <w:tcW w:w="727" w:type="pct"/>
            <w:shd w:val="clear" w:color="auto" w:fill="auto"/>
            <w:noWrap/>
            <w:tcMar>
              <w:left w:w="58" w:type="dxa"/>
              <w:right w:w="58" w:type="dxa"/>
            </w:tcMar>
            <w:hideMark/>
          </w:tcPr>
          <w:p w14:paraId="15EBA467" w14:textId="77777777" w:rsidR="00A51E02" w:rsidRPr="00085F79" w:rsidRDefault="00A51E02" w:rsidP="00A51E02">
            <w:pPr>
              <w:jc w:val="center"/>
              <w:rPr>
                <w:sz w:val="19"/>
                <w:szCs w:val="19"/>
              </w:rPr>
            </w:pPr>
            <w:r>
              <w:rPr>
                <w:sz w:val="19"/>
                <w:szCs w:val="19"/>
                <w:lang w:val="fr"/>
              </w:rPr>
              <w:t>Décembre 2021</w:t>
            </w:r>
          </w:p>
        </w:tc>
        <w:tc>
          <w:tcPr>
            <w:tcW w:w="777" w:type="pct"/>
            <w:vMerge/>
            <w:shd w:val="clear" w:color="auto" w:fill="auto"/>
            <w:noWrap/>
            <w:tcMar>
              <w:left w:w="58" w:type="dxa"/>
              <w:right w:w="58" w:type="dxa"/>
            </w:tcMar>
            <w:hideMark/>
          </w:tcPr>
          <w:p w14:paraId="0C0EB4A6" w14:textId="77777777" w:rsidR="00A51E02" w:rsidRPr="00085F79" w:rsidRDefault="00A51E02" w:rsidP="00A51E02">
            <w:pPr>
              <w:jc w:val="center"/>
              <w:rPr>
                <w:sz w:val="19"/>
                <w:szCs w:val="19"/>
              </w:rPr>
            </w:pPr>
          </w:p>
        </w:tc>
      </w:tr>
      <w:tr w:rsidR="00A51E02" w:rsidRPr="00085F79" w14:paraId="63571482" w14:textId="77777777" w:rsidTr="00A51E02">
        <w:trPr>
          <w:trHeight w:val="242"/>
          <w:jc w:val="center"/>
        </w:trPr>
        <w:tc>
          <w:tcPr>
            <w:tcW w:w="1007" w:type="pct"/>
            <w:shd w:val="clear" w:color="auto" w:fill="auto"/>
            <w:noWrap/>
            <w:tcMar>
              <w:left w:w="58" w:type="dxa"/>
              <w:right w:w="58" w:type="dxa"/>
            </w:tcMar>
            <w:hideMark/>
          </w:tcPr>
          <w:p w14:paraId="2C03CEF5" w14:textId="77777777" w:rsidR="00A51E02" w:rsidRPr="00085F79" w:rsidRDefault="00A51E02" w:rsidP="00A51E02">
            <w:pPr>
              <w:jc w:val="left"/>
              <w:rPr>
                <w:bCs/>
                <w:sz w:val="19"/>
                <w:szCs w:val="19"/>
              </w:rPr>
            </w:pPr>
            <w:r>
              <w:rPr>
                <w:sz w:val="19"/>
                <w:szCs w:val="19"/>
                <w:lang w:val="fr"/>
              </w:rPr>
              <w:t>Brunéi Darussalam (le)</w:t>
            </w:r>
          </w:p>
        </w:tc>
        <w:tc>
          <w:tcPr>
            <w:tcW w:w="1047" w:type="pct"/>
            <w:shd w:val="clear" w:color="auto" w:fill="auto"/>
            <w:noWrap/>
            <w:tcMar>
              <w:left w:w="58" w:type="dxa"/>
              <w:right w:w="58" w:type="dxa"/>
            </w:tcMar>
            <w:hideMark/>
          </w:tcPr>
          <w:p w14:paraId="29274FFE" w14:textId="77777777" w:rsidR="00A51E02" w:rsidRPr="00085F79" w:rsidRDefault="00A51E02" w:rsidP="00A51E02">
            <w:pPr>
              <w:jc w:val="left"/>
              <w:rPr>
                <w:sz w:val="19"/>
                <w:szCs w:val="19"/>
              </w:rPr>
            </w:pPr>
            <w:r>
              <w:rPr>
                <w:sz w:val="19"/>
                <w:szCs w:val="19"/>
                <w:lang w:val="fr"/>
              </w:rPr>
              <w:t>BRU/SEV/82/TAS/01+</w:t>
            </w:r>
          </w:p>
        </w:tc>
        <w:tc>
          <w:tcPr>
            <w:tcW w:w="715" w:type="pct"/>
          </w:tcPr>
          <w:p w14:paraId="64348595" w14:textId="77777777" w:rsidR="00A51E02" w:rsidRPr="00085F79" w:rsidRDefault="00A51E02" w:rsidP="00A51E02">
            <w:pPr>
              <w:jc w:val="center"/>
              <w:rPr>
                <w:sz w:val="19"/>
                <w:szCs w:val="19"/>
              </w:rPr>
            </w:pPr>
            <w:r>
              <w:rPr>
                <w:sz w:val="19"/>
                <w:szCs w:val="19"/>
                <w:lang w:val="fr"/>
              </w:rPr>
              <w:t>34</w:t>
            </w:r>
          </w:p>
        </w:tc>
        <w:tc>
          <w:tcPr>
            <w:tcW w:w="727" w:type="pct"/>
            <w:shd w:val="clear" w:color="auto" w:fill="auto"/>
            <w:noWrap/>
            <w:tcMar>
              <w:left w:w="58" w:type="dxa"/>
              <w:right w:w="58" w:type="dxa"/>
            </w:tcMar>
            <w:hideMark/>
          </w:tcPr>
          <w:p w14:paraId="4DF59BD1" w14:textId="77777777" w:rsidR="00A51E02" w:rsidRPr="00085F79" w:rsidRDefault="00A51E02" w:rsidP="00A51E02">
            <w:pPr>
              <w:jc w:val="center"/>
              <w:rPr>
                <w:sz w:val="19"/>
                <w:szCs w:val="19"/>
              </w:rPr>
            </w:pPr>
            <w:r>
              <w:rPr>
                <w:sz w:val="19"/>
                <w:szCs w:val="19"/>
                <w:lang w:val="fr"/>
              </w:rPr>
              <w:t>Décembre 2018</w:t>
            </w:r>
          </w:p>
        </w:tc>
        <w:tc>
          <w:tcPr>
            <w:tcW w:w="727" w:type="pct"/>
            <w:vMerge w:val="restart"/>
            <w:shd w:val="clear" w:color="auto" w:fill="auto"/>
            <w:noWrap/>
            <w:tcMar>
              <w:left w:w="58" w:type="dxa"/>
              <w:right w:w="58" w:type="dxa"/>
            </w:tcMar>
            <w:vAlign w:val="center"/>
            <w:hideMark/>
          </w:tcPr>
          <w:p w14:paraId="62676FF9" w14:textId="77777777" w:rsidR="00A51E02" w:rsidRPr="00085F79" w:rsidRDefault="00A51E02" w:rsidP="00A51E02">
            <w:pPr>
              <w:jc w:val="center"/>
              <w:rPr>
                <w:rFonts w:ascii="Calibri" w:hAnsi="Calibri" w:cs="Calibri"/>
                <w:sz w:val="19"/>
                <w:szCs w:val="19"/>
              </w:rPr>
            </w:pPr>
            <w:r>
              <w:rPr>
                <w:sz w:val="19"/>
                <w:szCs w:val="19"/>
                <w:lang w:val="fr"/>
              </w:rPr>
              <w:t>Juin 2022</w:t>
            </w:r>
          </w:p>
        </w:tc>
        <w:tc>
          <w:tcPr>
            <w:tcW w:w="777" w:type="pct"/>
            <w:vMerge w:val="restart"/>
            <w:shd w:val="clear" w:color="auto" w:fill="auto"/>
            <w:noWrap/>
            <w:tcMar>
              <w:left w:w="58" w:type="dxa"/>
              <w:right w:w="58" w:type="dxa"/>
            </w:tcMar>
            <w:vAlign w:val="center"/>
            <w:hideMark/>
          </w:tcPr>
          <w:p w14:paraId="353F9580" w14:textId="77777777" w:rsidR="00A51E02" w:rsidRPr="00085F79" w:rsidRDefault="00A51E02" w:rsidP="00A51E02">
            <w:pPr>
              <w:jc w:val="center"/>
              <w:rPr>
                <w:sz w:val="19"/>
                <w:szCs w:val="19"/>
              </w:rPr>
            </w:pPr>
            <w:r>
              <w:rPr>
                <w:sz w:val="19"/>
                <w:szCs w:val="19"/>
                <w:lang w:val="fr"/>
              </w:rPr>
              <w:t>Juin 2023</w:t>
            </w:r>
          </w:p>
        </w:tc>
      </w:tr>
      <w:tr w:rsidR="00A51E02" w:rsidRPr="00085F79" w14:paraId="7231AC37" w14:textId="77777777" w:rsidTr="00A51E02">
        <w:trPr>
          <w:trHeight w:val="242"/>
          <w:jc w:val="center"/>
        </w:trPr>
        <w:tc>
          <w:tcPr>
            <w:tcW w:w="1007" w:type="pct"/>
            <w:shd w:val="clear" w:color="auto" w:fill="auto"/>
            <w:noWrap/>
            <w:tcMar>
              <w:left w:w="58" w:type="dxa"/>
              <w:right w:w="58" w:type="dxa"/>
            </w:tcMar>
            <w:hideMark/>
          </w:tcPr>
          <w:p w14:paraId="1EBAA43B" w14:textId="77777777" w:rsidR="00A51E02" w:rsidRPr="00085F79" w:rsidRDefault="00A51E02" w:rsidP="00A51E02">
            <w:pPr>
              <w:jc w:val="left"/>
              <w:rPr>
                <w:bCs/>
                <w:sz w:val="19"/>
                <w:szCs w:val="19"/>
              </w:rPr>
            </w:pPr>
            <w:r>
              <w:rPr>
                <w:sz w:val="19"/>
                <w:szCs w:val="19"/>
                <w:lang w:val="fr"/>
              </w:rPr>
              <w:t>Pakistan (le)</w:t>
            </w:r>
          </w:p>
        </w:tc>
        <w:tc>
          <w:tcPr>
            <w:tcW w:w="1047" w:type="pct"/>
            <w:shd w:val="clear" w:color="auto" w:fill="auto"/>
            <w:noWrap/>
            <w:tcMar>
              <w:left w:w="58" w:type="dxa"/>
              <w:right w:w="58" w:type="dxa"/>
            </w:tcMar>
            <w:hideMark/>
          </w:tcPr>
          <w:p w14:paraId="793B3F93" w14:textId="77777777" w:rsidR="00A51E02" w:rsidRPr="00085F79" w:rsidRDefault="00A51E02" w:rsidP="00A51E02">
            <w:pPr>
              <w:jc w:val="left"/>
              <w:rPr>
                <w:sz w:val="19"/>
                <w:szCs w:val="19"/>
              </w:rPr>
            </w:pPr>
            <w:r>
              <w:rPr>
                <w:sz w:val="19"/>
                <w:szCs w:val="19"/>
                <w:lang w:val="fr"/>
              </w:rPr>
              <w:t>PAK/SEV/81/TAS/97</w:t>
            </w:r>
          </w:p>
        </w:tc>
        <w:tc>
          <w:tcPr>
            <w:tcW w:w="715" w:type="pct"/>
          </w:tcPr>
          <w:p w14:paraId="7102E9ED" w14:textId="77777777" w:rsidR="00A51E02" w:rsidRPr="00085F79" w:rsidRDefault="00A51E02" w:rsidP="00A51E02">
            <w:pPr>
              <w:jc w:val="center"/>
              <w:rPr>
                <w:sz w:val="19"/>
                <w:szCs w:val="19"/>
              </w:rPr>
            </w:pPr>
            <w:r>
              <w:rPr>
                <w:sz w:val="19"/>
                <w:szCs w:val="19"/>
                <w:lang w:val="fr"/>
              </w:rPr>
              <w:t>23</w:t>
            </w:r>
          </w:p>
        </w:tc>
        <w:tc>
          <w:tcPr>
            <w:tcW w:w="727" w:type="pct"/>
            <w:shd w:val="clear" w:color="auto" w:fill="auto"/>
            <w:noWrap/>
            <w:tcMar>
              <w:left w:w="58" w:type="dxa"/>
              <w:right w:w="58" w:type="dxa"/>
            </w:tcMar>
            <w:hideMark/>
          </w:tcPr>
          <w:p w14:paraId="17D52F4C" w14:textId="77777777" w:rsidR="00A51E02" w:rsidRPr="00085F79" w:rsidRDefault="00A51E02" w:rsidP="00A51E02">
            <w:pPr>
              <w:jc w:val="center"/>
              <w:rPr>
                <w:sz w:val="19"/>
                <w:szCs w:val="19"/>
              </w:rPr>
            </w:pPr>
            <w:r>
              <w:rPr>
                <w:sz w:val="19"/>
                <w:szCs w:val="19"/>
                <w:lang w:val="fr"/>
              </w:rPr>
              <w:t>Juin 2018</w:t>
            </w:r>
          </w:p>
        </w:tc>
        <w:tc>
          <w:tcPr>
            <w:tcW w:w="727" w:type="pct"/>
            <w:vMerge/>
            <w:shd w:val="clear" w:color="auto" w:fill="auto"/>
            <w:noWrap/>
            <w:tcMar>
              <w:left w:w="58" w:type="dxa"/>
              <w:right w:w="58" w:type="dxa"/>
            </w:tcMar>
            <w:hideMark/>
          </w:tcPr>
          <w:p w14:paraId="6884365F" w14:textId="77777777" w:rsidR="00A51E02" w:rsidRPr="00085F79" w:rsidRDefault="00A51E02" w:rsidP="00A51E02">
            <w:pPr>
              <w:jc w:val="center"/>
              <w:rPr>
                <w:rFonts w:ascii="Calibri" w:hAnsi="Calibri" w:cs="Calibri"/>
                <w:sz w:val="19"/>
                <w:szCs w:val="19"/>
              </w:rPr>
            </w:pPr>
          </w:p>
        </w:tc>
        <w:tc>
          <w:tcPr>
            <w:tcW w:w="777" w:type="pct"/>
            <w:vMerge/>
            <w:shd w:val="clear" w:color="auto" w:fill="auto"/>
            <w:noWrap/>
            <w:tcMar>
              <w:left w:w="58" w:type="dxa"/>
              <w:right w:w="58" w:type="dxa"/>
            </w:tcMar>
            <w:hideMark/>
          </w:tcPr>
          <w:p w14:paraId="3326CA75" w14:textId="77777777" w:rsidR="00A51E02" w:rsidRPr="00085F79" w:rsidRDefault="00A51E02" w:rsidP="00A51E02">
            <w:pPr>
              <w:jc w:val="center"/>
              <w:rPr>
                <w:sz w:val="19"/>
                <w:szCs w:val="19"/>
              </w:rPr>
            </w:pPr>
          </w:p>
        </w:tc>
      </w:tr>
    </w:tbl>
    <w:p w14:paraId="76A89F48" w14:textId="77777777" w:rsidR="00A51E02" w:rsidRPr="00085F79" w:rsidRDefault="00A51E02" w:rsidP="00A51E02"/>
    <w:p w14:paraId="3DF37D2D" w14:textId="77777777" w:rsidR="00A51E02" w:rsidRPr="00776F27" w:rsidRDefault="00A51E02" w:rsidP="00A51E02">
      <w:pPr>
        <w:pStyle w:val="Heading1"/>
        <w:rPr>
          <w:lang w:val="fr-FR"/>
        </w:rPr>
      </w:pPr>
      <w:r>
        <w:rPr>
          <w:lang w:val="fr"/>
        </w:rPr>
        <w:t>Le PNUE a indiqué que les activités restantes à entreprendre durant la période de prorogation sont les suivantes :</w:t>
      </w:r>
    </w:p>
    <w:p w14:paraId="4115F01A" w14:textId="77777777" w:rsidR="00A51E02" w:rsidRPr="00776F27" w:rsidRDefault="00A51E02" w:rsidP="00A51E02">
      <w:pPr>
        <w:pStyle w:val="Heading2"/>
        <w:rPr>
          <w:lang w:val="fr-FR"/>
        </w:rPr>
      </w:pPr>
      <w:r>
        <w:rPr>
          <w:u w:val="single"/>
          <w:lang w:val="fr"/>
        </w:rPr>
        <w:t>Brunéi Darussalam :</w:t>
      </w:r>
      <w:r>
        <w:rPr>
          <w:lang w:val="fr"/>
        </w:rPr>
        <w:t xml:space="preserve"> Organisation de consultations avec les parties prenantes, de tables rondes et d’ateliers de renforcement de capacités supplémentaires dans le secteur de l’entretien des systèmes de réfrigération et de climatisation, amendement des réglementations en vigueur concernant la gestion du commerce des HFC, activités de sensibilisation ;</w:t>
      </w:r>
    </w:p>
    <w:p w14:paraId="01A8FD9A" w14:textId="77777777" w:rsidR="00A51E02" w:rsidRPr="00776F27" w:rsidRDefault="00A51E02" w:rsidP="00A51E02">
      <w:pPr>
        <w:pStyle w:val="Heading2"/>
        <w:rPr>
          <w:lang w:val="fr-FR"/>
        </w:rPr>
      </w:pPr>
      <w:r>
        <w:rPr>
          <w:u w:val="single"/>
          <w:lang w:val="fr"/>
        </w:rPr>
        <w:t>Pakistan</w:t>
      </w:r>
      <w:r>
        <w:rPr>
          <w:lang w:val="fr"/>
        </w:rPr>
        <w:t> : Organisation de consultations avec les parties prenantes et d’ateliers de renforcement de capacités supplémentaires dans le secteur de l’entretien des systèmes de réfrigération et de climatisation, soutien à l’approbation des projets d’amendement aux réglementations, soutien à l’approbation de la proposition d’un code de système harmonisé (HS), activités de sensibilisation ;</w:t>
      </w:r>
    </w:p>
    <w:p w14:paraId="4B159C7D" w14:textId="39A9ACF9" w:rsidR="00A51E02" w:rsidRPr="00776F27" w:rsidRDefault="00A51E02" w:rsidP="00A51E02">
      <w:pPr>
        <w:pStyle w:val="Heading2"/>
        <w:rPr>
          <w:lang w:val="fr-FR"/>
        </w:rPr>
      </w:pPr>
      <w:r>
        <w:rPr>
          <w:u w:val="single"/>
          <w:lang w:val="fr"/>
        </w:rPr>
        <w:t>Les 14 pays restants</w:t>
      </w:r>
      <w:r>
        <w:rPr>
          <w:lang w:val="fr"/>
        </w:rPr>
        <w:t xml:space="preserve"> : Soutien aux douanes et à d’autres départements pertinents pour adopter/développer des codes HS spécifiques par pays afin de faciliter et de veiller à une supervision et un enregistrement corrects des importations/exportations des HFC/produits de remplacement individuels ; et diffusion d’informations aux autres parties prenantes pertinentes (c’est-à-dire les importateurs/exportateurs de HFC) que </w:t>
      </w:r>
      <w:r w:rsidR="00F41505">
        <w:rPr>
          <w:lang w:val="fr"/>
        </w:rPr>
        <w:t xml:space="preserve">le Bureau national de l’ozone </w:t>
      </w:r>
      <w:r>
        <w:rPr>
          <w:lang w:val="fr"/>
        </w:rPr>
        <w:t>n’a pas été en mesure de contacter durant les périodes de confinement en raison de la pandémie de COVID-19 concernant la collecte des données, la supervision et la communication des données sur les HFC ainsi que sur d’autres réglementations pertinentes.</w:t>
      </w:r>
    </w:p>
    <w:p w14:paraId="17215350" w14:textId="4BB90F2E" w:rsidR="00A51E02" w:rsidRPr="00776F27" w:rsidRDefault="00A51E02" w:rsidP="00A51E02">
      <w:pPr>
        <w:pStyle w:val="Heading1"/>
        <w:rPr>
          <w:lang w:val="fr-FR"/>
        </w:rPr>
      </w:pPr>
      <w:r>
        <w:rPr>
          <w:lang w:val="fr"/>
        </w:rPr>
        <w:t>Le PNUE a aussi mentionné que durant la deuxième moitié de 2022, il propose de réaliser deux ateliers régionaux pour les pays de la région africaine afin, entre autres, de réviser les procédures nationales en vigueur dans ces pays utilisées pour communiquer sur les SAO afin qu’elles incluent la communication des données de consommation de HFC ; de fournir des suggestions aux pays afin d’améliorer leur système d’octroi de licences d’importation/expor</w:t>
      </w:r>
      <w:r w:rsidR="00F41505">
        <w:rPr>
          <w:lang w:val="fr"/>
        </w:rPr>
        <w:t>tation pour y inclure les HFC (a</w:t>
      </w:r>
      <w:r>
        <w:rPr>
          <w:lang w:val="fr"/>
        </w:rPr>
        <w:t>rticle 4B) et d’autres produits de remplacement ; et de fournir des suggestions et des plans pour unifier et modifier les codes tarifaires afin d’améliorer le système d’octroi de licences d’importation de HFC, en utilisant le financement disponible pour les activités de facilitation.</w:t>
      </w:r>
    </w:p>
    <w:p w14:paraId="7485D237" w14:textId="77777777" w:rsidR="00A51E02" w:rsidRPr="00085F79" w:rsidRDefault="00A51E02" w:rsidP="00A51E02">
      <w:pPr>
        <w:pStyle w:val="Heading1"/>
        <w:numPr>
          <w:ilvl w:val="0"/>
          <w:numId w:val="0"/>
        </w:numPr>
        <w:rPr>
          <w:b/>
          <w:bCs/>
        </w:rPr>
      </w:pPr>
      <w:r>
        <w:rPr>
          <w:b/>
          <w:bCs/>
          <w:lang w:val="fr"/>
        </w:rPr>
        <w:t>Observations du Secrétariat</w:t>
      </w:r>
    </w:p>
    <w:p w14:paraId="4CDE83FD" w14:textId="77777777" w:rsidR="00A51E02" w:rsidRPr="00776F27" w:rsidRDefault="00A51E02" w:rsidP="00A51E02">
      <w:pPr>
        <w:pStyle w:val="Heading1"/>
        <w:rPr>
          <w:lang w:val="fr-FR"/>
        </w:rPr>
      </w:pPr>
      <w:r>
        <w:rPr>
          <w:lang w:val="fr"/>
        </w:rPr>
        <w:t xml:space="preserve">Le Secrétariat a demandé des informations complémentaires sur les activités qui seraient mises en œuvre jusqu’à décembre 2022 dans la région africaine. Le PNUE a expliqué qu’il propose d’organiser deux ateliers de projets régionaux (un pour les pays de la Communauté économique et monétaire de l’Afrique centrale (CEMAC) et un pour les pays de la Communauté économique des États de l’Afrique de l’Ouest (ECOWAS)) afin de permettre à ces pays d’aborder une gamme de problèmes communs relatifs au contrôle des HFC, à la collecte des données et à leur supervision qui n’ont pas été abordés au vu des difficultés à organiser des ateliers/réunions nationaux durant les périodes de confinement dues à la pandémie de COVID-19. Les ateliers devraient aussi couvrir le développement et l’adoption des codes HS pour les HFC afin de faciliter une supervision et un enregistrement corrects des importations des HFC et des produits de remplacement individuels ainsi qu’un partage d’expérience de chaque pays sur le développement de mécanismes nationaux pour obtenir des enregistrements précis de la consommation de HFC et des produits de remplacement et d’établir et de mettre en œuvre de façon efficace un système national d’octroi de licences pour les HFC. Les contributions de ces ateliers seraient utiles pour les activités de renforcement des capacités au niveau des pays à destination des douanes et des services répressifs concernés et pour les consultations avec les parties prenantes sur la supervision des importations/exportations de HFC et sur la communication de ces données.  </w:t>
      </w:r>
    </w:p>
    <w:p w14:paraId="0F7A4C11" w14:textId="77777777" w:rsidR="00A51E02" w:rsidRPr="00085F79" w:rsidRDefault="00A51E02" w:rsidP="00A51E02">
      <w:pPr>
        <w:pStyle w:val="Heading1"/>
      </w:pPr>
      <w:r>
        <w:rPr>
          <w:lang w:val="fr"/>
        </w:rPr>
        <w:t>Le Secrétariat a demandé des clarifications supplémentaires concernant le besoin de prorogation des activités de facilitation pour le Brunéi Darussalam et le Pakistan jusqu’au 30 juin 2023 en notant que ces projets avaient déjà été prorogés lors de la 87</w:t>
      </w:r>
      <w:r>
        <w:rPr>
          <w:vertAlign w:val="superscript"/>
          <w:lang w:val="fr"/>
        </w:rPr>
        <w:t>e</w:t>
      </w:r>
      <w:r>
        <w:rPr>
          <w:lang w:val="fr"/>
        </w:rPr>
        <w:t> réunion prévoyant leur achèvement d’ici juin 2022. Le PNUE a communiqué les clarifications suivantes :</w:t>
      </w:r>
    </w:p>
    <w:p w14:paraId="61C4E2C5" w14:textId="77777777" w:rsidR="00A51E02" w:rsidRPr="00776F27" w:rsidRDefault="00A51E02" w:rsidP="00A51E02">
      <w:pPr>
        <w:pStyle w:val="Heading2"/>
        <w:rPr>
          <w:lang w:val="fr-FR"/>
        </w:rPr>
      </w:pPr>
      <w:r>
        <w:rPr>
          <w:lang w:val="fr"/>
        </w:rPr>
        <w:t>Dans le cas du Brunéi Darussalam, les activités de projet ont été retardées en raison des défis posés par la pandémie de COVID-19 et de procédures administratives longues pour la signature de l’accord sur la mise en œuvre des activités de facilitation ; le Gouvernement a aussi confirmé dans sa lettre datant du 21 mai 2022 qu’il veillerait à l’achèvement réussi des activités relatives aux consultations avec les parties prenantes, au développement des réglementations afin de gérer efficacement le commerce et l’utilisation des HFC ainsi qu’à la diffusion des informations et de la sensibilisation sur l’élimination des HFC et de la promotion de l’utilisation d’équipements de réfrigération et de climatisation à bon rendement énergétique d’ici juin 2023, et qu’il ne demanderait pas de prorogation supplémentaire de la date d’achèvement au-delà du 30 juin 2023.</w:t>
      </w:r>
    </w:p>
    <w:p w14:paraId="593C7B0D" w14:textId="77777777" w:rsidR="00A51E02" w:rsidRPr="00776F27" w:rsidRDefault="00A51E02" w:rsidP="00A51E02">
      <w:pPr>
        <w:pStyle w:val="Heading2"/>
        <w:rPr>
          <w:lang w:val="fr-FR"/>
        </w:rPr>
      </w:pPr>
      <w:r>
        <w:rPr>
          <w:lang w:val="fr"/>
        </w:rPr>
        <w:t>Dans le cas du Pakistan, les activités de projet ont été retardées en raison de procédures administratives longues et des défis posés par la pandémie de COVID-19 ; le Gouvernement a indiqué dans sa lettre datée du 23 mai 2022 qu’il veillerait à l’achèvement réussi des activités relatives aux consultations de finalisation du rapport d’évaluation du pays et du projet avancé d’ordonnances réglementaires statuaires (amendement législatif), aux ateliers de renforcement de la capacité pour les représentants des industries y compris les utilisateurs finals et le secteur de l’entretien concernant l’élimination des HFC et les produits de remplacement à faible potentiel de réchauffement global et aux activités de sensibilisation et de diffusion relatives à l’élimination des HFC au titre de l’Amendement de Kigali afin d’obtenir le soutien des différentes parties prenantes. Le Gouvernement a aussi confirmé dans sa lettre qu’il ne demanderait pas de prorogation supplémentaire de la date d’achèvement au-delà du 30 juin 2023.</w:t>
      </w:r>
    </w:p>
    <w:p w14:paraId="3540AC3C" w14:textId="77777777" w:rsidR="003E673B" w:rsidRDefault="003E673B" w:rsidP="00A51E02">
      <w:pPr>
        <w:rPr>
          <w:b/>
          <w:bCs/>
          <w:lang w:val="fr"/>
        </w:rPr>
      </w:pPr>
    </w:p>
    <w:p w14:paraId="0049999D" w14:textId="56D49ABA" w:rsidR="00A51E02" w:rsidRPr="00085F79" w:rsidRDefault="00A51E02" w:rsidP="00A51E02">
      <w:pPr>
        <w:rPr>
          <w:b/>
          <w:bCs/>
        </w:rPr>
      </w:pPr>
      <w:r>
        <w:rPr>
          <w:b/>
          <w:bCs/>
          <w:lang w:val="fr"/>
        </w:rPr>
        <w:t>Recommandation</w:t>
      </w:r>
    </w:p>
    <w:p w14:paraId="2296C120" w14:textId="77777777" w:rsidR="00A51E02" w:rsidRPr="00085F79" w:rsidRDefault="00A51E02" w:rsidP="00A51E02">
      <w:pPr>
        <w:rPr>
          <w:b/>
          <w:bCs/>
        </w:rPr>
      </w:pPr>
    </w:p>
    <w:p w14:paraId="0C7BBF19" w14:textId="77777777" w:rsidR="00A51E02" w:rsidRPr="00776F27" w:rsidRDefault="00A51E02" w:rsidP="00A51E02">
      <w:pPr>
        <w:pStyle w:val="Heading1"/>
        <w:rPr>
          <w:lang w:val="fr-FR"/>
        </w:rPr>
      </w:pPr>
      <w:r>
        <w:rPr>
          <w:lang w:val="fr"/>
        </w:rPr>
        <w:t>Le Comité exécutif pourrait souhaiter :</w:t>
      </w:r>
    </w:p>
    <w:p w14:paraId="025ED51D" w14:textId="2424086F" w:rsidR="00A51E02" w:rsidRPr="00776F27" w:rsidRDefault="00A51E02" w:rsidP="00A51E02">
      <w:pPr>
        <w:pStyle w:val="Heading2"/>
        <w:rPr>
          <w:lang w:val="fr-FR"/>
        </w:rPr>
      </w:pPr>
      <w:r>
        <w:rPr>
          <w:lang w:val="fr"/>
        </w:rPr>
        <w:t>Prendre note des informations mises à jour fournies par le PNUE dans le document UNEP/OzL.Pro/ExCom/90/9 concernant la situation de la mise en œuvre des activités de facilitation de l’élimination d</w:t>
      </w:r>
      <w:r w:rsidR="00F41505">
        <w:rPr>
          <w:lang w:val="fr"/>
        </w:rPr>
        <w:t>es HFC dans les pays visés à l’a</w:t>
      </w:r>
      <w:r>
        <w:rPr>
          <w:lang w:val="fr"/>
        </w:rPr>
        <w:t>rticle 5 et de leurs demandes de prorogation des dates d’achèvement de leurs activités de facilitation ;</w:t>
      </w:r>
    </w:p>
    <w:p w14:paraId="0B226167" w14:textId="77777777" w:rsidR="00A51E02" w:rsidRPr="00776F27" w:rsidRDefault="00A51E02" w:rsidP="00A51E02">
      <w:pPr>
        <w:pStyle w:val="Heading2"/>
        <w:rPr>
          <w:lang w:val="fr-FR"/>
        </w:rPr>
      </w:pPr>
      <w:r>
        <w:rPr>
          <w:lang w:val="fr"/>
        </w:rPr>
        <w:t xml:space="preserve">D’approuver de façon exceptionnelle la prorogation des dates d’achèvement des activités de facilitation de l’élimination des HFC pour les pays suivants, étant entendu qu’aucun autre report ne sera demandé : </w:t>
      </w:r>
    </w:p>
    <w:p w14:paraId="40FF51CF" w14:textId="7B1CF774" w:rsidR="00A51E02" w:rsidRPr="00776F27" w:rsidRDefault="00A51E02" w:rsidP="00A51E02">
      <w:pPr>
        <w:pStyle w:val="Heading3"/>
        <w:numPr>
          <w:ilvl w:val="2"/>
          <w:numId w:val="1"/>
        </w:numPr>
        <w:rPr>
          <w:lang w:val="fr-FR"/>
        </w:rPr>
      </w:pPr>
      <w:r>
        <w:rPr>
          <w:lang w:val="fr"/>
        </w:rPr>
        <w:t>Pour le Bénin, le Burundi, le Tchad, les Comores, la Côte d’Ivoire, la République démocratique du Congo, Djibouti, la Guinée équatoriale, le Gabon, la Guinée-Bissau, Madagascar, le Mali, la Mauritanie et Sao Tomé-et-Principe, au 31 </w:t>
      </w:r>
      <w:r w:rsidR="00F41505">
        <w:rPr>
          <w:lang w:val="fr"/>
        </w:rPr>
        <w:t>décembre</w:t>
      </w:r>
      <w:r>
        <w:rPr>
          <w:lang w:val="fr"/>
        </w:rPr>
        <w:t xml:space="preserve"> 2022, afin de permettre l’achèvement des actions restantes relatives aux consultations avec les parties prenantes, aux lois et réglementations relatives à l’élimination des HFC et à la diffusion des informations aux parties prenantes nationales sur l’élimination des HFC ; </w:t>
      </w:r>
    </w:p>
    <w:p w14:paraId="1DF2552C" w14:textId="77777777" w:rsidR="00A51E02" w:rsidRPr="00776F27" w:rsidRDefault="00A51E02" w:rsidP="00A51E02">
      <w:pPr>
        <w:pStyle w:val="Heading3"/>
        <w:numPr>
          <w:ilvl w:val="2"/>
          <w:numId w:val="1"/>
        </w:numPr>
        <w:rPr>
          <w:lang w:val="fr-FR"/>
        </w:rPr>
      </w:pPr>
      <w:r>
        <w:rPr>
          <w:lang w:val="fr"/>
        </w:rPr>
        <w:t>Pour le Brunéi Darussalam, au 30 juin 2023, afin de permettre l’achèvement des consultations avec les parties prenantes, le développement des réglementations pour gérer efficacement le commerce et l’utilisation des HFC, la diffusion d’information et la sensibilisation à l’élimination des HFC et la promotion de l’utilisation d’équipements de réfrigération et de climatisation à bon rendement énergétique ; et</w:t>
      </w:r>
    </w:p>
    <w:p w14:paraId="74505DAA" w14:textId="74BA4183" w:rsidR="006A1EE7" w:rsidRPr="00A51E02" w:rsidRDefault="00A51E02" w:rsidP="00A51E02">
      <w:pPr>
        <w:pStyle w:val="Heading3"/>
        <w:numPr>
          <w:ilvl w:val="2"/>
          <w:numId w:val="1"/>
        </w:numPr>
        <w:rPr>
          <w:lang w:val="fr-CA"/>
        </w:rPr>
      </w:pPr>
      <w:r>
        <w:rPr>
          <w:lang w:val="fr"/>
        </w:rPr>
        <w:t>Pour le Pakistan, au 30 juin 2023, pour permettre l’achèvement des consultations pour finaliser le rapport d’évaluation du pays et le projet avancé d’ordonnances réglementaires statuaires (amendement législatif), des ateliers de renforcement de la capacité pour les représentants des industries y compris les utilisateurs finals et le secteur de l’entretien concernant l’élimination des HFC et les produits de remplacement à faible potentiel de réchauffement global et les activités de sensibilisation et de diffusion relatives à l’élimination des HFC au titre de l’Amendement de Kigali afin d’obtenir le soutien des différentes parties prenantes</w:t>
      </w:r>
      <w:r w:rsidR="006A1EE7" w:rsidRPr="00A51E02">
        <w:rPr>
          <w:lang w:val="fr-CA"/>
        </w:rPr>
        <w:t>.</w:t>
      </w:r>
    </w:p>
    <w:p w14:paraId="4A262FDA" w14:textId="77777777" w:rsidR="006A1EE7" w:rsidRPr="00A51E02" w:rsidRDefault="006A1EE7" w:rsidP="006A1EE7">
      <w:pPr>
        <w:rPr>
          <w:lang w:val="fr-CA"/>
        </w:rPr>
      </w:pPr>
    </w:p>
    <w:p w14:paraId="3606AA05" w14:textId="77777777" w:rsidR="006A1EE7" w:rsidRPr="00A51E02" w:rsidRDefault="006A1EE7" w:rsidP="006A1EE7">
      <w:pPr>
        <w:rPr>
          <w:lang w:val="fr-CA"/>
        </w:rPr>
      </w:pPr>
    </w:p>
    <w:p w14:paraId="38B543E7" w14:textId="77777777" w:rsidR="006A1EE7" w:rsidRPr="00A51E02" w:rsidRDefault="006A1EE7" w:rsidP="006A1EE7">
      <w:pPr>
        <w:rPr>
          <w:lang w:val="fr-CA"/>
        </w:rPr>
      </w:pPr>
    </w:p>
    <w:p w14:paraId="1CFAD6B4" w14:textId="77777777" w:rsidR="006A1EE7" w:rsidRPr="00A51E02" w:rsidRDefault="006A1EE7" w:rsidP="006A1EE7">
      <w:pPr>
        <w:rPr>
          <w:lang w:val="fr-CA"/>
        </w:rPr>
      </w:pPr>
    </w:p>
    <w:p w14:paraId="5E0B6C70" w14:textId="77777777" w:rsidR="006A1EE7" w:rsidRPr="00A51E02" w:rsidRDefault="006A1EE7" w:rsidP="006A1EE7">
      <w:pPr>
        <w:rPr>
          <w:lang w:val="fr-CA"/>
        </w:rPr>
      </w:pPr>
    </w:p>
    <w:p w14:paraId="406F11C8" w14:textId="77777777" w:rsidR="00441083" w:rsidRPr="00A51E02" w:rsidRDefault="00441083">
      <w:pPr>
        <w:rPr>
          <w:lang w:val="fr-CA"/>
        </w:rPr>
        <w:sectPr w:rsidR="00441083" w:rsidRPr="00A51E02">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14:paraId="54114F2E" w14:textId="77777777" w:rsidR="006345CD" w:rsidRPr="006345CD" w:rsidRDefault="006345CD" w:rsidP="006345CD">
      <w:pPr>
        <w:jc w:val="center"/>
        <w:rPr>
          <w:b/>
          <w:lang w:val="fr-CA"/>
        </w:rPr>
      </w:pPr>
      <w:r w:rsidRPr="006345CD">
        <w:rPr>
          <w:b/>
          <w:lang w:val="fr-CA"/>
        </w:rPr>
        <w:t>Annexe I</w:t>
      </w:r>
    </w:p>
    <w:p w14:paraId="371776F2" w14:textId="77777777" w:rsidR="006345CD" w:rsidRPr="006345CD" w:rsidRDefault="006345CD" w:rsidP="006345CD">
      <w:pPr>
        <w:jc w:val="center"/>
        <w:rPr>
          <w:b/>
          <w:lang w:val="fr-CA"/>
        </w:rPr>
      </w:pPr>
    </w:p>
    <w:p w14:paraId="1A3AF696" w14:textId="77777777" w:rsidR="006345CD" w:rsidRPr="006345CD" w:rsidRDefault="006345CD" w:rsidP="006345CD">
      <w:pPr>
        <w:pStyle w:val="StyleHeader4Para4Left0Firstline0"/>
        <w:numPr>
          <w:ilvl w:val="0"/>
          <w:numId w:val="0"/>
        </w:numPr>
        <w:jc w:val="center"/>
        <w:rPr>
          <w:b/>
          <w:caps/>
          <w:sz w:val="22"/>
          <w:lang w:val="fr-CA"/>
        </w:rPr>
      </w:pPr>
      <w:r w:rsidRPr="006345CD">
        <w:rPr>
          <w:b/>
          <w:caps/>
          <w:sz w:val="22"/>
          <w:lang w:val="fr-CA"/>
        </w:rPr>
        <w:t>PROJETS DANS LESQUELS « CERTAINS PROGRÈS » ONT ÉTÉ ACCOMPLIS et pour lesquels le maintien du suivi est recommandé</w:t>
      </w:r>
    </w:p>
    <w:tbl>
      <w:tblPr>
        <w:tblW w:w="9630" w:type="dxa"/>
        <w:tblInd w:w="-185" w:type="dxa"/>
        <w:tblLayout w:type="fixed"/>
        <w:tblLook w:val="04A0" w:firstRow="1" w:lastRow="0" w:firstColumn="1" w:lastColumn="0" w:noHBand="0" w:noVBand="1"/>
      </w:tblPr>
      <w:tblGrid>
        <w:gridCol w:w="1792"/>
        <w:gridCol w:w="2039"/>
        <w:gridCol w:w="4809"/>
        <w:gridCol w:w="990"/>
      </w:tblGrid>
      <w:tr w:rsidR="006345CD" w:rsidRPr="00036BE5" w14:paraId="1176BA24" w14:textId="77777777" w:rsidTr="006023A6">
        <w:trPr>
          <w:trHeight w:val="264"/>
          <w:tblHeader/>
        </w:trPr>
        <w:tc>
          <w:tcPr>
            <w:tcW w:w="1792"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631295B5"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Pays</w:t>
            </w:r>
          </w:p>
        </w:tc>
        <w:tc>
          <w:tcPr>
            <w:tcW w:w="203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5B0629F4"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Code</w:t>
            </w:r>
          </w:p>
        </w:tc>
        <w:tc>
          <w:tcPr>
            <w:tcW w:w="4809"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845062"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 xml:space="preserve">Titre du </w:t>
            </w:r>
            <w:proofErr w:type="spellStart"/>
            <w:r w:rsidRPr="00036BE5">
              <w:rPr>
                <w:rFonts w:asciiTheme="majorBidi" w:hAnsiTheme="majorBidi"/>
                <w:b/>
                <w:bCs/>
                <w:sz w:val="20"/>
                <w:szCs w:val="20"/>
              </w:rPr>
              <w:t>projet</w:t>
            </w:r>
            <w:proofErr w:type="spellEnd"/>
          </w:p>
        </w:tc>
        <w:tc>
          <w:tcPr>
            <w:tcW w:w="99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6D0C71CD" w14:textId="77777777" w:rsidR="006345CD" w:rsidRPr="00036BE5" w:rsidRDefault="006345CD" w:rsidP="006023A6">
            <w:pPr>
              <w:jc w:val="center"/>
              <w:rPr>
                <w:rFonts w:asciiTheme="majorBidi" w:hAnsiTheme="majorBidi" w:cstheme="majorBidi"/>
                <w:b/>
                <w:bCs/>
                <w:sz w:val="20"/>
                <w:szCs w:val="20"/>
              </w:rPr>
            </w:pPr>
            <w:proofErr w:type="spellStart"/>
            <w:r w:rsidRPr="00036BE5">
              <w:rPr>
                <w:rFonts w:asciiTheme="majorBidi" w:hAnsiTheme="majorBidi"/>
                <w:b/>
                <w:bCs/>
                <w:sz w:val="20"/>
                <w:szCs w:val="20"/>
              </w:rPr>
              <w:t>Agence</w:t>
            </w:r>
            <w:proofErr w:type="spellEnd"/>
          </w:p>
        </w:tc>
      </w:tr>
      <w:tr w:rsidR="006345CD" w:rsidRPr="00036BE5" w14:paraId="032E9A19" w14:textId="77777777" w:rsidTr="006023A6">
        <w:trPr>
          <w:trHeight w:val="11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2CFA384"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Albanie</w:t>
            </w:r>
            <w:proofErr w:type="spellEnd"/>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2C0A76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ALB/PHA/85/INV/41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73E36AA4"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67F0D5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328C30F1" w14:textId="77777777" w:rsidTr="006023A6">
        <w:trPr>
          <w:trHeight w:val="26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DDA511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Bangladesh</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2B65354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BGD/PHA/81/INV/51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4B89F94"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(secteur de la climatisation)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9CEEDF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PNUD</w:t>
            </w:r>
          </w:p>
        </w:tc>
      </w:tr>
      <w:tr w:rsidR="006345CD" w:rsidRPr="00036BE5" w14:paraId="6A6C0A49" w14:textId="77777777" w:rsidTr="006023A6">
        <w:trPr>
          <w:trHeight w:val="225"/>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73E4BF7"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Bangladesh</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3BF5285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BGD/PHA/81/TAS/49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47192A68"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(Unité de gestion de projet)</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B7CB65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PNUD</w:t>
            </w:r>
          </w:p>
        </w:tc>
      </w:tr>
      <w:tr w:rsidR="006345CD" w:rsidRPr="00036BE5" w14:paraId="0107DA82" w14:textId="77777777" w:rsidTr="006023A6">
        <w:trPr>
          <w:trHeight w:val="7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DD374D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Botswana</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435A87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BOT/PHA/75/INV/18</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98D4AC0"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C79A05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12E6ED58" w14:textId="77777777" w:rsidTr="006023A6">
        <w:trPr>
          <w:trHeight w:val="51"/>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5565E9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Dominique</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D782EA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DMI/PHA/62/TAS/19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06A3D4C5"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62635B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03F03F22" w14:textId="77777777" w:rsidTr="006023A6">
        <w:trPr>
          <w:trHeight w:val="9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02C103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Guatemala</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57750F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GUA/PHA/75/TAS/50</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7D691F83"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troisième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44EAEF6F"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700828E8" w14:textId="77777777" w:rsidTr="006023A6">
        <w:trPr>
          <w:trHeight w:val="412"/>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2B2AB9B" w14:textId="77777777" w:rsidR="006345CD" w:rsidRPr="00036BE5" w:rsidRDefault="006345CD" w:rsidP="006023A6">
            <w:pPr>
              <w:ind w:right="-103"/>
              <w:jc w:val="left"/>
              <w:rPr>
                <w:rFonts w:asciiTheme="majorBidi" w:hAnsiTheme="majorBidi" w:cstheme="majorBidi"/>
                <w:sz w:val="20"/>
                <w:szCs w:val="20"/>
              </w:rPr>
            </w:pPr>
            <w:r w:rsidRPr="00036BE5">
              <w:rPr>
                <w:rFonts w:asciiTheme="majorBidi" w:hAnsiTheme="majorBidi"/>
                <w:sz w:val="20"/>
                <w:szCs w:val="20"/>
              </w:rPr>
              <w:t>Iran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islamique</w:t>
            </w:r>
            <w:proofErr w:type="spellEnd"/>
            <w:r w:rsidRPr="00036BE5">
              <w:rPr>
                <w:rFonts w:asciiTheme="majorBidi" w:hAnsiTheme="majorBidi"/>
                <w:sz w:val="20"/>
                <w:szCs w:val="20"/>
              </w:rPr>
              <w:t xml:space="preserve"> d’)</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0B6E324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IRA/PHA/77/INV/224</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1D8A8C08"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(secteur des mousses)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672ACD0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Italie</w:t>
            </w:r>
          </w:p>
        </w:tc>
      </w:tr>
      <w:tr w:rsidR="006345CD" w:rsidRPr="00036BE5" w14:paraId="5AA889F3" w14:textId="77777777" w:rsidTr="006023A6">
        <w:trPr>
          <w:trHeight w:val="377"/>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416424C" w14:textId="77777777" w:rsidR="006345CD" w:rsidRPr="00036BE5" w:rsidRDefault="006345CD" w:rsidP="006023A6">
            <w:pPr>
              <w:ind w:right="-103"/>
              <w:jc w:val="left"/>
              <w:rPr>
                <w:rFonts w:asciiTheme="majorBidi" w:hAnsiTheme="majorBidi" w:cstheme="majorBidi"/>
                <w:sz w:val="20"/>
                <w:szCs w:val="20"/>
              </w:rPr>
            </w:pPr>
            <w:r w:rsidRPr="00036BE5">
              <w:rPr>
                <w:rFonts w:asciiTheme="majorBidi" w:hAnsiTheme="majorBidi"/>
                <w:sz w:val="20"/>
                <w:szCs w:val="20"/>
              </w:rPr>
              <w:t>Iran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islamique</w:t>
            </w:r>
            <w:proofErr w:type="spellEnd"/>
            <w:r w:rsidRPr="00036BE5">
              <w:rPr>
                <w:rFonts w:asciiTheme="majorBidi" w:hAnsiTheme="majorBidi"/>
                <w:sz w:val="20"/>
                <w:szCs w:val="20"/>
              </w:rPr>
              <w:t xml:space="preserve"> d’)</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64FA146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IRA/PHA/77/INV/228</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8ECC4F9"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(secteur des mousses)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E4D6856"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3857925E" w14:textId="77777777" w:rsidTr="006023A6">
        <w:trPr>
          <w:trHeight w:val="32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C11FE6" w14:textId="77777777" w:rsidR="006345CD" w:rsidRPr="00036BE5" w:rsidRDefault="006345CD" w:rsidP="006023A6">
            <w:pPr>
              <w:ind w:right="-103"/>
              <w:jc w:val="left"/>
              <w:rPr>
                <w:rFonts w:asciiTheme="majorBidi" w:hAnsiTheme="majorBidi" w:cstheme="majorBidi"/>
                <w:sz w:val="20"/>
                <w:szCs w:val="20"/>
              </w:rPr>
            </w:pPr>
            <w:r w:rsidRPr="00036BE5">
              <w:rPr>
                <w:rFonts w:asciiTheme="majorBidi" w:hAnsiTheme="majorBidi"/>
                <w:sz w:val="20"/>
                <w:szCs w:val="20"/>
              </w:rPr>
              <w:t>Iran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islamique</w:t>
            </w:r>
            <w:proofErr w:type="spellEnd"/>
            <w:r w:rsidRPr="00036BE5">
              <w:rPr>
                <w:rFonts w:asciiTheme="majorBidi" w:hAnsiTheme="majorBidi"/>
                <w:sz w:val="20"/>
                <w:szCs w:val="20"/>
              </w:rPr>
              <w:t xml:space="preserve"> d’)</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21F16E4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IRA/PHA/84/INV/237</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461F9A3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deuxième tranche) (secteur des mousses)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456B16D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Italie</w:t>
            </w:r>
          </w:p>
        </w:tc>
      </w:tr>
      <w:tr w:rsidR="006345CD" w:rsidRPr="00036BE5" w14:paraId="7D9668D8" w14:textId="77777777" w:rsidTr="006023A6">
        <w:trPr>
          <w:trHeight w:val="432"/>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296E157" w14:textId="77777777" w:rsidR="006345CD" w:rsidRPr="00036BE5" w:rsidRDefault="006345CD" w:rsidP="006023A6">
            <w:pPr>
              <w:ind w:right="-103"/>
              <w:jc w:val="left"/>
              <w:rPr>
                <w:rFonts w:asciiTheme="majorBidi" w:hAnsiTheme="majorBidi" w:cstheme="majorBidi"/>
                <w:sz w:val="20"/>
                <w:szCs w:val="20"/>
              </w:rPr>
            </w:pPr>
            <w:r w:rsidRPr="00036BE5">
              <w:rPr>
                <w:rFonts w:asciiTheme="majorBidi" w:hAnsiTheme="majorBidi"/>
                <w:sz w:val="20"/>
                <w:szCs w:val="20"/>
              </w:rPr>
              <w:t>Iran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islamique</w:t>
            </w:r>
            <w:proofErr w:type="spellEnd"/>
            <w:r w:rsidRPr="00036BE5">
              <w:rPr>
                <w:rFonts w:asciiTheme="majorBidi" w:hAnsiTheme="majorBidi"/>
                <w:sz w:val="20"/>
                <w:szCs w:val="20"/>
              </w:rPr>
              <w:t xml:space="preserve"> d’)</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414F7B2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IRA/PHA/84/INV/239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133877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deuxième tranche) (secteur des mousses)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0E1B2D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64B62500" w14:textId="77777777" w:rsidTr="006023A6">
        <w:trPr>
          <w:trHeight w:val="24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0E413403" w14:textId="77777777" w:rsidR="006345CD" w:rsidRPr="00036BE5" w:rsidRDefault="006345CD" w:rsidP="006023A6">
            <w:pPr>
              <w:ind w:right="-103"/>
              <w:jc w:val="left"/>
              <w:rPr>
                <w:rFonts w:asciiTheme="majorBidi" w:hAnsiTheme="majorBidi" w:cstheme="majorBidi"/>
                <w:sz w:val="20"/>
                <w:szCs w:val="20"/>
              </w:rPr>
            </w:pPr>
            <w:r w:rsidRPr="00036BE5">
              <w:rPr>
                <w:rFonts w:asciiTheme="majorBidi" w:hAnsiTheme="majorBidi"/>
                <w:sz w:val="20"/>
                <w:szCs w:val="20"/>
              </w:rPr>
              <w:t>Iran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islamique</w:t>
            </w:r>
            <w:proofErr w:type="spellEnd"/>
            <w:r w:rsidRPr="00036BE5">
              <w:rPr>
                <w:rFonts w:asciiTheme="majorBidi" w:hAnsiTheme="majorBidi"/>
                <w:sz w:val="20"/>
                <w:szCs w:val="20"/>
              </w:rPr>
              <w:t xml:space="preserve"> d’)</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6750F3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IRA/PHA/84/TAS/240</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03D56655"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deuxième tranche) (secteur de l’entretien des appareils de réfrigération)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CC38AF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50796915" w14:textId="77777777" w:rsidTr="006023A6">
        <w:trPr>
          <w:trHeight w:val="5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AB66EF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 xml:space="preserve">Iraq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03CB6D7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IRQ/PHA/58/INV/09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E3269FC"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national d’élimination (première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F18AB8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50EA448B" w14:textId="77777777" w:rsidTr="006023A6">
        <w:trPr>
          <w:trHeight w:val="37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CC11AF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 xml:space="preserve">Iraq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733D1B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IRQ/PHA/74/INV/23</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1A003EF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 (secteur de l’entretien des appareils de réfrigération)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67CE85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755B7333" w14:textId="77777777" w:rsidTr="006023A6">
        <w:trPr>
          <w:trHeight w:val="753"/>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547AC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 xml:space="preserve">Iraq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31F664C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IRQ/REF/57/INV/07</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548418C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 xml:space="preserve">Remplacement du frigorigène CFC-12 par de l’isobutane et de l’agent de gonflage des mousses CFC-11 par du cyclopentane dans la fabrication des réfrigérateurs et des congélateurs coffres à usage domestique chez Light Industries </w:t>
            </w:r>
            <w:proofErr w:type="spellStart"/>
            <w:r w:rsidRPr="006345CD">
              <w:rPr>
                <w:rFonts w:asciiTheme="majorBidi" w:hAnsiTheme="majorBidi"/>
                <w:sz w:val="20"/>
                <w:szCs w:val="20"/>
                <w:lang w:val="fr-CA"/>
              </w:rPr>
              <w:t>Company</w:t>
            </w:r>
            <w:proofErr w:type="spellEnd"/>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6AB6796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69D38B64" w14:textId="77777777" w:rsidTr="006023A6">
        <w:trPr>
          <w:trHeight w:val="25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05F5A1F"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Jordanie</w:t>
            </w:r>
            <w:proofErr w:type="spellEnd"/>
            <w:r w:rsidRPr="00036BE5">
              <w:rPr>
                <w:rFonts w:asciiTheme="majorBidi" w:hAnsiTheme="majorBidi"/>
                <w:sz w:val="20"/>
                <w:szCs w:val="20"/>
              </w:rPr>
              <w:t xml:space="preserve">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51134F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JOR/PHA/77/INV/101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302AFD65"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(secteur de l’entretien des appareils de réfrigération)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C47CEC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1A294618" w14:textId="77777777" w:rsidTr="006023A6">
        <w:trPr>
          <w:trHeight w:val="34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3976E0A"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Mexique</w:t>
            </w:r>
            <w:proofErr w:type="spellEnd"/>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1365795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MEX/PHA/73/INV/171</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36ED7E7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(récupération des HCFC frigorigènes)</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501A408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Italie</w:t>
            </w:r>
          </w:p>
        </w:tc>
      </w:tr>
      <w:tr w:rsidR="006345CD" w:rsidRPr="00036BE5" w14:paraId="2CD9FA5B" w14:textId="77777777" w:rsidTr="006023A6">
        <w:trPr>
          <w:trHeight w:val="312"/>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C72C728"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Mexique</w:t>
            </w:r>
            <w:proofErr w:type="spellEnd"/>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1A4F2B77"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MEX/PHA/74/INV/172</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A433737"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(démonstration sur les HC et formation)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FAA21A8"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Allemagne</w:t>
            </w:r>
            <w:proofErr w:type="spellEnd"/>
          </w:p>
        </w:tc>
      </w:tr>
      <w:tr w:rsidR="006345CD" w:rsidRPr="00036BE5" w14:paraId="53E01D56" w14:textId="77777777" w:rsidTr="006023A6">
        <w:trPr>
          <w:trHeight w:val="40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166441C"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Mexique</w:t>
            </w:r>
            <w:proofErr w:type="spellEnd"/>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0B4FB1D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MEX/PHA/77/INV/179</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0B66BD35"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deuxième tranche) (démonstration sur les HC et formation)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F7558E4"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Allemagne</w:t>
            </w:r>
            <w:proofErr w:type="spellEnd"/>
          </w:p>
        </w:tc>
      </w:tr>
      <w:tr w:rsidR="006345CD" w:rsidRPr="00036BE5" w14:paraId="7D4B3DE3" w14:textId="77777777" w:rsidTr="006023A6">
        <w:trPr>
          <w:trHeight w:val="35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D2457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 xml:space="preserve">Nauru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38C06656"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NAU/PHA/74/TAS/10</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4822C53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pour les PIP à travers une approche régionale (phase I, deuxième tranche, Nauru)</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8F5806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141CC8C7" w14:textId="77777777" w:rsidTr="006023A6">
        <w:trPr>
          <w:trHeight w:val="354"/>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tcPr>
          <w:p w14:paraId="4A922B4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Saint-Kitts-et-Nevis</w:t>
            </w:r>
          </w:p>
        </w:tc>
        <w:tc>
          <w:tcPr>
            <w:tcW w:w="2039" w:type="dxa"/>
            <w:tcBorders>
              <w:top w:val="nil"/>
              <w:left w:val="nil"/>
              <w:bottom w:val="single" w:sz="4" w:space="0" w:color="auto"/>
              <w:right w:val="single" w:sz="4" w:space="0" w:color="auto"/>
            </w:tcBorders>
            <w:shd w:val="clear" w:color="auto" w:fill="auto"/>
            <w:tcMar>
              <w:left w:w="58" w:type="dxa"/>
              <w:right w:w="58" w:type="dxa"/>
            </w:tcMar>
          </w:tcPr>
          <w:p w14:paraId="6492CF0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STK/PHA/82/TAS/22</w:t>
            </w:r>
          </w:p>
        </w:tc>
        <w:tc>
          <w:tcPr>
            <w:tcW w:w="4809" w:type="dxa"/>
            <w:tcBorders>
              <w:top w:val="nil"/>
              <w:left w:val="nil"/>
              <w:bottom w:val="single" w:sz="4" w:space="0" w:color="auto"/>
              <w:right w:val="single" w:sz="4" w:space="0" w:color="auto"/>
            </w:tcBorders>
            <w:shd w:val="clear" w:color="auto" w:fill="auto"/>
            <w:tcMar>
              <w:left w:w="58" w:type="dxa"/>
              <w:right w:w="58" w:type="dxa"/>
            </w:tcMar>
          </w:tcPr>
          <w:p w14:paraId="6F1C4A8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Rapport de vérification sur la mise en œuvre du plan de gestion de l’élimination des HCFC</w:t>
            </w:r>
          </w:p>
        </w:tc>
        <w:tc>
          <w:tcPr>
            <w:tcW w:w="990" w:type="dxa"/>
            <w:tcBorders>
              <w:top w:val="nil"/>
              <w:left w:val="nil"/>
              <w:bottom w:val="single" w:sz="4" w:space="0" w:color="auto"/>
              <w:right w:val="single" w:sz="4" w:space="0" w:color="auto"/>
            </w:tcBorders>
            <w:shd w:val="clear" w:color="auto" w:fill="auto"/>
            <w:tcMar>
              <w:left w:w="58" w:type="dxa"/>
              <w:right w:w="58" w:type="dxa"/>
            </w:tcMar>
          </w:tcPr>
          <w:p w14:paraId="2B631B5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117EC2AB" w14:textId="77777777" w:rsidTr="006023A6">
        <w:trPr>
          <w:trHeight w:val="177"/>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F4F2A8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Soudan du Sud</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0B2015C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SSD/PHA/77/TAS/04</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8F12440"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06088FB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6D404D6C" w14:textId="77777777" w:rsidTr="006023A6">
        <w:trPr>
          <w:trHeight w:val="80"/>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6FEC368"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Turkménistan</w:t>
            </w:r>
            <w:proofErr w:type="spellEnd"/>
            <w:r w:rsidRPr="00036BE5">
              <w:rPr>
                <w:rFonts w:asciiTheme="majorBidi" w:hAnsiTheme="majorBidi"/>
                <w:sz w:val="20"/>
                <w:szCs w:val="20"/>
              </w:rPr>
              <w:t xml:space="preserve">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369B49D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TKM/PHA/86/INV/17</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7E6CADD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2A572C0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35C84FE0" w14:textId="77777777" w:rsidTr="006023A6">
        <w:trPr>
          <w:trHeight w:val="53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6E71C5F"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Venezuela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bolivarienne</w:t>
            </w:r>
            <w:proofErr w:type="spellEnd"/>
            <w:r w:rsidRPr="00036BE5">
              <w:rPr>
                <w:rFonts w:asciiTheme="majorBidi" w:hAnsiTheme="majorBidi"/>
                <w:sz w:val="20"/>
                <w:szCs w:val="20"/>
              </w:rPr>
              <w:t xml:space="preserve"> du)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7B38575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VEN/PHA/76/INV/134</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3B7B2428"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(assistance technique dans le secteur de la fabrication d’appareils de réfrigération et de climatisation)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7E26E91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04BBD557" w14:textId="77777777" w:rsidTr="006023A6">
        <w:trPr>
          <w:trHeight w:val="406"/>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0AD136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Venezuela (</w:t>
            </w: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w:t>
            </w:r>
            <w:proofErr w:type="spellStart"/>
            <w:r w:rsidRPr="00036BE5">
              <w:rPr>
                <w:rFonts w:asciiTheme="majorBidi" w:hAnsiTheme="majorBidi"/>
                <w:sz w:val="20"/>
                <w:szCs w:val="20"/>
              </w:rPr>
              <w:t>bolivarienne</w:t>
            </w:r>
            <w:proofErr w:type="spellEnd"/>
            <w:r w:rsidRPr="00036BE5">
              <w:rPr>
                <w:rFonts w:asciiTheme="majorBidi" w:hAnsiTheme="majorBidi"/>
                <w:sz w:val="20"/>
                <w:szCs w:val="20"/>
              </w:rPr>
              <w:t xml:space="preserve"> du) </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6ACF0846"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VEN/PHA/76/TAS/132</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237D50C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 (secteur de l’entretien des appareils de réfrigération)</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1991AD8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30A5793A" w14:textId="77777777" w:rsidTr="006023A6">
        <w:trPr>
          <w:trHeight w:val="528"/>
        </w:trPr>
        <w:tc>
          <w:tcPr>
            <w:tcW w:w="1792"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F4194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Zimbabwe</w:t>
            </w:r>
          </w:p>
        </w:tc>
        <w:tc>
          <w:tcPr>
            <w:tcW w:w="2039" w:type="dxa"/>
            <w:tcBorders>
              <w:top w:val="nil"/>
              <w:left w:val="nil"/>
              <w:bottom w:val="single" w:sz="4" w:space="0" w:color="auto"/>
              <w:right w:val="single" w:sz="4" w:space="0" w:color="auto"/>
            </w:tcBorders>
            <w:shd w:val="clear" w:color="auto" w:fill="auto"/>
            <w:tcMar>
              <w:left w:w="58" w:type="dxa"/>
              <w:right w:w="58" w:type="dxa"/>
            </w:tcMar>
            <w:hideMark/>
          </w:tcPr>
          <w:p w14:paraId="137AE59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ZIM/REF/82/INV/56</w:t>
            </w:r>
          </w:p>
        </w:tc>
        <w:tc>
          <w:tcPr>
            <w:tcW w:w="4809" w:type="dxa"/>
            <w:tcBorders>
              <w:top w:val="nil"/>
              <w:left w:val="nil"/>
              <w:bottom w:val="single" w:sz="4" w:space="0" w:color="auto"/>
              <w:right w:val="single" w:sz="4" w:space="0" w:color="auto"/>
            </w:tcBorders>
            <w:shd w:val="clear" w:color="auto" w:fill="auto"/>
            <w:tcMar>
              <w:left w:w="58" w:type="dxa"/>
              <w:right w:w="58" w:type="dxa"/>
            </w:tcMar>
            <w:hideMark/>
          </w:tcPr>
          <w:p w14:paraId="6CC6335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Conversion du HFC-134a à l’isobutane dans la fabrication des réfrigérateurs domestiques chez Capri (SME Harare)</w:t>
            </w:r>
          </w:p>
        </w:tc>
        <w:tc>
          <w:tcPr>
            <w:tcW w:w="990" w:type="dxa"/>
            <w:tcBorders>
              <w:top w:val="nil"/>
              <w:left w:val="nil"/>
              <w:bottom w:val="single" w:sz="4" w:space="0" w:color="auto"/>
              <w:right w:val="single" w:sz="4" w:space="0" w:color="auto"/>
            </w:tcBorders>
            <w:shd w:val="clear" w:color="auto" w:fill="auto"/>
            <w:tcMar>
              <w:left w:w="58" w:type="dxa"/>
              <w:right w:w="58" w:type="dxa"/>
            </w:tcMar>
            <w:hideMark/>
          </w:tcPr>
          <w:p w14:paraId="0AAD2D0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France</w:t>
            </w:r>
          </w:p>
        </w:tc>
      </w:tr>
    </w:tbl>
    <w:p w14:paraId="5728806F" w14:textId="77777777" w:rsidR="006345CD" w:rsidRPr="00036BE5" w:rsidRDefault="006345CD" w:rsidP="006345CD">
      <w:pPr>
        <w:pStyle w:val="StyleHeader4Para4Left0Firstline0"/>
        <w:numPr>
          <w:ilvl w:val="0"/>
          <w:numId w:val="0"/>
        </w:numPr>
        <w:jc w:val="center"/>
        <w:rPr>
          <w:b/>
          <w:caps/>
          <w:sz w:val="22"/>
        </w:rPr>
      </w:pPr>
    </w:p>
    <w:p w14:paraId="47D3FE69" w14:textId="77777777" w:rsidR="006345CD" w:rsidRPr="00036BE5" w:rsidRDefault="006345CD" w:rsidP="006345CD">
      <w:pPr>
        <w:jc w:val="left"/>
        <w:rPr>
          <w:b/>
          <w:bCs/>
        </w:rPr>
        <w:sectPr w:rsidR="006345CD" w:rsidRPr="00036BE5" w:rsidSect="006023A6">
          <w:headerReference w:type="even" r:id="rId15"/>
          <w:headerReference w:type="default" r:id="rId16"/>
          <w:footerReference w:type="even" r:id="rId17"/>
          <w:footerReference w:type="default" r:id="rId18"/>
          <w:headerReference w:type="first" r:id="rId19"/>
          <w:footerReference w:type="first" r:id="rId20"/>
          <w:pgSz w:w="12240" w:h="15840" w:code="1"/>
          <w:pgMar w:top="720" w:right="1440" w:bottom="864" w:left="1440" w:header="720" w:footer="475" w:gutter="0"/>
          <w:pgNumType w:start="1"/>
          <w:cols w:space="720"/>
          <w:titlePg/>
        </w:sectPr>
      </w:pPr>
    </w:p>
    <w:p w14:paraId="2AD3E50D" w14:textId="77777777" w:rsidR="006345CD" w:rsidRPr="00036BE5" w:rsidRDefault="006345CD" w:rsidP="006345CD">
      <w:pPr>
        <w:jc w:val="center"/>
        <w:rPr>
          <w:b/>
        </w:rPr>
      </w:pPr>
      <w:r w:rsidRPr="00036BE5">
        <w:rPr>
          <w:b/>
        </w:rPr>
        <w:t>Annexe II</w:t>
      </w:r>
    </w:p>
    <w:p w14:paraId="1E06F493" w14:textId="77777777" w:rsidR="006345CD" w:rsidRPr="00036BE5" w:rsidRDefault="006345CD" w:rsidP="006345CD">
      <w:pPr>
        <w:jc w:val="center"/>
        <w:rPr>
          <w:b/>
        </w:rPr>
      </w:pPr>
    </w:p>
    <w:p w14:paraId="0BE15E82" w14:textId="77777777" w:rsidR="006345CD" w:rsidRPr="006345CD" w:rsidRDefault="006345CD" w:rsidP="006345CD">
      <w:pPr>
        <w:pStyle w:val="StyleHeader4Para4Left0Firstline0"/>
        <w:numPr>
          <w:ilvl w:val="0"/>
          <w:numId w:val="0"/>
        </w:numPr>
        <w:jc w:val="center"/>
        <w:rPr>
          <w:b/>
          <w:caps/>
          <w:sz w:val="22"/>
          <w:lang w:val="fr-CA"/>
        </w:rPr>
      </w:pPr>
      <w:r w:rsidRPr="006345CD">
        <w:rPr>
          <w:b/>
          <w:caps/>
          <w:sz w:val="22"/>
          <w:lang w:val="fr-CA"/>
        </w:rPr>
        <w:t>PROJETS DANS LESQUELS « AUCUN PROGRÈS » N’A ÉTÉ ACCOMPLI et pour lesquels le maintien du suivi est recommandé</w:t>
      </w:r>
    </w:p>
    <w:tbl>
      <w:tblPr>
        <w:tblW w:w="9540" w:type="dxa"/>
        <w:tblInd w:w="-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99"/>
        <w:gridCol w:w="2083"/>
        <w:gridCol w:w="4380"/>
        <w:gridCol w:w="1078"/>
      </w:tblGrid>
      <w:tr w:rsidR="006345CD" w:rsidRPr="00036BE5" w14:paraId="129CB8C7" w14:textId="77777777" w:rsidTr="006023A6">
        <w:trPr>
          <w:trHeight w:val="264"/>
        </w:trPr>
        <w:tc>
          <w:tcPr>
            <w:tcW w:w="1999" w:type="dxa"/>
            <w:shd w:val="clear" w:color="auto" w:fill="auto"/>
            <w:hideMark/>
          </w:tcPr>
          <w:p w14:paraId="5FF3500E"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Pays</w:t>
            </w:r>
          </w:p>
        </w:tc>
        <w:tc>
          <w:tcPr>
            <w:tcW w:w="2083" w:type="dxa"/>
            <w:shd w:val="clear" w:color="auto" w:fill="auto"/>
            <w:hideMark/>
          </w:tcPr>
          <w:p w14:paraId="14531715"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Code</w:t>
            </w:r>
          </w:p>
        </w:tc>
        <w:tc>
          <w:tcPr>
            <w:tcW w:w="4380" w:type="dxa"/>
            <w:shd w:val="clear" w:color="auto" w:fill="auto"/>
            <w:hideMark/>
          </w:tcPr>
          <w:p w14:paraId="52A94CFB"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 xml:space="preserve">Titre du </w:t>
            </w:r>
            <w:proofErr w:type="spellStart"/>
            <w:r w:rsidRPr="00036BE5">
              <w:rPr>
                <w:rFonts w:asciiTheme="majorBidi" w:hAnsiTheme="majorBidi"/>
                <w:b/>
                <w:bCs/>
                <w:sz w:val="20"/>
                <w:szCs w:val="20"/>
              </w:rPr>
              <w:t>projet</w:t>
            </w:r>
            <w:proofErr w:type="spellEnd"/>
          </w:p>
        </w:tc>
        <w:tc>
          <w:tcPr>
            <w:tcW w:w="1078" w:type="dxa"/>
            <w:shd w:val="clear" w:color="auto" w:fill="auto"/>
            <w:hideMark/>
          </w:tcPr>
          <w:p w14:paraId="43FB168B" w14:textId="77777777" w:rsidR="006345CD" w:rsidRPr="00036BE5" w:rsidRDefault="006345CD" w:rsidP="006023A6">
            <w:pPr>
              <w:jc w:val="center"/>
              <w:rPr>
                <w:rFonts w:asciiTheme="majorBidi" w:hAnsiTheme="majorBidi" w:cstheme="majorBidi"/>
                <w:b/>
                <w:bCs/>
                <w:sz w:val="20"/>
                <w:szCs w:val="20"/>
              </w:rPr>
            </w:pPr>
            <w:proofErr w:type="spellStart"/>
            <w:r w:rsidRPr="00036BE5">
              <w:rPr>
                <w:rFonts w:asciiTheme="majorBidi" w:hAnsiTheme="majorBidi"/>
                <w:b/>
                <w:bCs/>
                <w:sz w:val="20"/>
                <w:szCs w:val="20"/>
              </w:rPr>
              <w:t>Agence</w:t>
            </w:r>
            <w:proofErr w:type="spellEnd"/>
          </w:p>
        </w:tc>
      </w:tr>
      <w:tr w:rsidR="006345CD" w:rsidRPr="00036BE5" w14:paraId="11BA0B18" w14:textId="77777777" w:rsidTr="006023A6">
        <w:trPr>
          <w:trHeight w:val="264"/>
        </w:trPr>
        <w:tc>
          <w:tcPr>
            <w:tcW w:w="1999" w:type="dxa"/>
            <w:shd w:val="clear" w:color="auto" w:fill="auto"/>
            <w:hideMark/>
          </w:tcPr>
          <w:p w14:paraId="21695B7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Afghanistan</w:t>
            </w:r>
          </w:p>
        </w:tc>
        <w:tc>
          <w:tcPr>
            <w:tcW w:w="2083" w:type="dxa"/>
            <w:shd w:val="clear" w:color="auto" w:fill="auto"/>
            <w:hideMark/>
          </w:tcPr>
          <w:p w14:paraId="61E6043F"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AFG/PHA/77/INV/20</w:t>
            </w:r>
          </w:p>
        </w:tc>
        <w:tc>
          <w:tcPr>
            <w:tcW w:w="4380" w:type="dxa"/>
            <w:shd w:val="clear" w:color="auto" w:fill="auto"/>
            <w:hideMark/>
          </w:tcPr>
          <w:p w14:paraId="503DCAF0"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1078" w:type="dxa"/>
            <w:shd w:val="clear" w:color="auto" w:fill="auto"/>
            <w:hideMark/>
          </w:tcPr>
          <w:p w14:paraId="6D9F422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6ED75321" w14:textId="77777777" w:rsidTr="006023A6">
        <w:trPr>
          <w:trHeight w:val="264"/>
        </w:trPr>
        <w:tc>
          <w:tcPr>
            <w:tcW w:w="1999" w:type="dxa"/>
            <w:shd w:val="clear" w:color="auto" w:fill="auto"/>
            <w:hideMark/>
          </w:tcPr>
          <w:p w14:paraId="2948564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Afghanistan</w:t>
            </w:r>
          </w:p>
        </w:tc>
        <w:tc>
          <w:tcPr>
            <w:tcW w:w="2083" w:type="dxa"/>
            <w:shd w:val="clear" w:color="auto" w:fill="auto"/>
            <w:hideMark/>
          </w:tcPr>
          <w:p w14:paraId="5722FBB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AFG/PHA/79/INV/22</w:t>
            </w:r>
          </w:p>
        </w:tc>
        <w:tc>
          <w:tcPr>
            <w:tcW w:w="4380" w:type="dxa"/>
            <w:shd w:val="clear" w:color="auto" w:fill="auto"/>
            <w:hideMark/>
          </w:tcPr>
          <w:p w14:paraId="741EB8F2"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troisième tranche)</w:t>
            </w:r>
          </w:p>
        </w:tc>
        <w:tc>
          <w:tcPr>
            <w:tcW w:w="1078" w:type="dxa"/>
            <w:shd w:val="clear" w:color="auto" w:fill="auto"/>
            <w:hideMark/>
          </w:tcPr>
          <w:p w14:paraId="59AA2196"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4761A9DA" w14:textId="77777777" w:rsidTr="006023A6">
        <w:trPr>
          <w:trHeight w:val="264"/>
        </w:trPr>
        <w:tc>
          <w:tcPr>
            <w:tcW w:w="1999" w:type="dxa"/>
            <w:shd w:val="clear" w:color="auto" w:fill="auto"/>
            <w:hideMark/>
          </w:tcPr>
          <w:p w14:paraId="559CF87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Afghanistan</w:t>
            </w:r>
          </w:p>
        </w:tc>
        <w:tc>
          <w:tcPr>
            <w:tcW w:w="2083" w:type="dxa"/>
            <w:shd w:val="clear" w:color="auto" w:fill="auto"/>
            <w:hideMark/>
          </w:tcPr>
          <w:p w14:paraId="01F4172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AFG/PHA/85/INV/30</w:t>
            </w:r>
          </w:p>
        </w:tc>
        <w:tc>
          <w:tcPr>
            <w:tcW w:w="4380" w:type="dxa"/>
            <w:shd w:val="clear" w:color="auto" w:fill="auto"/>
            <w:hideMark/>
          </w:tcPr>
          <w:p w14:paraId="0C287ED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w:t>
            </w:r>
          </w:p>
        </w:tc>
        <w:tc>
          <w:tcPr>
            <w:tcW w:w="1078" w:type="dxa"/>
            <w:shd w:val="clear" w:color="auto" w:fill="auto"/>
            <w:hideMark/>
          </w:tcPr>
          <w:p w14:paraId="0897ECB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1A2B5741" w14:textId="77777777" w:rsidTr="006023A6">
        <w:trPr>
          <w:trHeight w:val="546"/>
        </w:trPr>
        <w:tc>
          <w:tcPr>
            <w:tcW w:w="1999" w:type="dxa"/>
            <w:shd w:val="clear" w:color="auto" w:fill="auto"/>
            <w:hideMark/>
          </w:tcPr>
          <w:p w14:paraId="08BDD84F"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Algérie</w:t>
            </w:r>
            <w:proofErr w:type="spellEnd"/>
          </w:p>
        </w:tc>
        <w:tc>
          <w:tcPr>
            <w:tcW w:w="2083" w:type="dxa"/>
            <w:shd w:val="clear" w:color="auto" w:fill="auto"/>
            <w:hideMark/>
          </w:tcPr>
          <w:p w14:paraId="761FFF8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ALG/PHA/66/INV/76</w:t>
            </w:r>
          </w:p>
        </w:tc>
        <w:tc>
          <w:tcPr>
            <w:tcW w:w="4380" w:type="dxa"/>
            <w:shd w:val="clear" w:color="auto" w:fill="auto"/>
            <w:hideMark/>
          </w:tcPr>
          <w:p w14:paraId="449BAE8C"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 (conversion du HCFC-22 dans la fabrication de climatiseurs résidentiels chez Condor)</w:t>
            </w:r>
          </w:p>
        </w:tc>
        <w:tc>
          <w:tcPr>
            <w:tcW w:w="1078" w:type="dxa"/>
            <w:shd w:val="clear" w:color="auto" w:fill="auto"/>
            <w:hideMark/>
          </w:tcPr>
          <w:p w14:paraId="2384011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15086FF5" w14:textId="77777777" w:rsidTr="006023A6">
        <w:trPr>
          <w:trHeight w:val="792"/>
        </w:trPr>
        <w:tc>
          <w:tcPr>
            <w:tcW w:w="1999" w:type="dxa"/>
            <w:shd w:val="clear" w:color="auto" w:fill="auto"/>
            <w:hideMark/>
          </w:tcPr>
          <w:p w14:paraId="0BBF286A"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Algérie</w:t>
            </w:r>
            <w:proofErr w:type="spellEnd"/>
          </w:p>
        </w:tc>
        <w:tc>
          <w:tcPr>
            <w:tcW w:w="2083" w:type="dxa"/>
            <w:shd w:val="clear" w:color="auto" w:fill="auto"/>
            <w:hideMark/>
          </w:tcPr>
          <w:p w14:paraId="3F7E2F2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ALG/PHA/66/INV/77</w:t>
            </w:r>
          </w:p>
        </w:tc>
        <w:tc>
          <w:tcPr>
            <w:tcW w:w="4380" w:type="dxa"/>
            <w:shd w:val="clear" w:color="auto" w:fill="auto"/>
            <w:hideMark/>
          </w:tcPr>
          <w:p w14:paraId="66E3609A"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 (activités dans le secteur de l’entretien des équipements de réfrigération, y compris l’élimination du HCFC-141b utilisé pour le rinçage, et suivi de projet)</w:t>
            </w:r>
          </w:p>
        </w:tc>
        <w:tc>
          <w:tcPr>
            <w:tcW w:w="1078" w:type="dxa"/>
            <w:shd w:val="clear" w:color="auto" w:fill="auto"/>
            <w:hideMark/>
          </w:tcPr>
          <w:p w14:paraId="3BFDDCB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r>
      <w:tr w:rsidR="006345CD" w:rsidRPr="00036BE5" w14:paraId="6FA43980" w14:textId="77777777" w:rsidTr="006023A6">
        <w:trPr>
          <w:trHeight w:val="264"/>
        </w:trPr>
        <w:tc>
          <w:tcPr>
            <w:tcW w:w="1999" w:type="dxa"/>
            <w:shd w:val="clear" w:color="auto" w:fill="auto"/>
            <w:hideMark/>
          </w:tcPr>
          <w:p w14:paraId="7FBBD4EE"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Haïti</w:t>
            </w:r>
            <w:proofErr w:type="spellEnd"/>
          </w:p>
        </w:tc>
        <w:tc>
          <w:tcPr>
            <w:tcW w:w="2083" w:type="dxa"/>
            <w:shd w:val="clear" w:color="auto" w:fill="auto"/>
            <w:hideMark/>
          </w:tcPr>
          <w:p w14:paraId="63E4A0E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HAI/PHA/76/TAS/21</w:t>
            </w:r>
          </w:p>
        </w:tc>
        <w:tc>
          <w:tcPr>
            <w:tcW w:w="4380" w:type="dxa"/>
            <w:shd w:val="clear" w:color="auto" w:fill="auto"/>
            <w:hideMark/>
          </w:tcPr>
          <w:p w14:paraId="54FC994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1078" w:type="dxa"/>
            <w:shd w:val="clear" w:color="auto" w:fill="auto"/>
            <w:hideMark/>
          </w:tcPr>
          <w:p w14:paraId="7991F656"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558DB708" w14:textId="77777777" w:rsidTr="006023A6">
        <w:trPr>
          <w:trHeight w:val="264"/>
        </w:trPr>
        <w:tc>
          <w:tcPr>
            <w:tcW w:w="1999" w:type="dxa"/>
            <w:shd w:val="clear" w:color="auto" w:fill="auto"/>
            <w:hideMark/>
          </w:tcPr>
          <w:p w14:paraId="0A3ED1DF"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Mauritanie</w:t>
            </w:r>
            <w:proofErr w:type="spellEnd"/>
          </w:p>
        </w:tc>
        <w:tc>
          <w:tcPr>
            <w:tcW w:w="2083" w:type="dxa"/>
            <w:shd w:val="clear" w:color="auto" w:fill="auto"/>
            <w:hideMark/>
          </w:tcPr>
          <w:p w14:paraId="270620E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MAU/PHA/80/INV/25</w:t>
            </w:r>
          </w:p>
        </w:tc>
        <w:tc>
          <w:tcPr>
            <w:tcW w:w="4380" w:type="dxa"/>
            <w:shd w:val="clear" w:color="auto" w:fill="auto"/>
            <w:hideMark/>
          </w:tcPr>
          <w:p w14:paraId="3129A719"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w:t>
            </w:r>
          </w:p>
        </w:tc>
        <w:tc>
          <w:tcPr>
            <w:tcW w:w="1078" w:type="dxa"/>
            <w:shd w:val="clear" w:color="auto" w:fill="auto"/>
            <w:hideMark/>
          </w:tcPr>
          <w:p w14:paraId="25FC27C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PNUD</w:t>
            </w:r>
          </w:p>
        </w:tc>
      </w:tr>
      <w:tr w:rsidR="006345CD" w:rsidRPr="00036BE5" w14:paraId="6BC7305D" w14:textId="77777777" w:rsidTr="006023A6">
        <w:trPr>
          <w:trHeight w:val="264"/>
        </w:trPr>
        <w:tc>
          <w:tcPr>
            <w:tcW w:w="1999" w:type="dxa"/>
            <w:shd w:val="clear" w:color="auto" w:fill="auto"/>
            <w:hideMark/>
          </w:tcPr>
          <w:p w14:paraId="38B3964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Mali</w:t>
            </w:r>
          </w:p>
        </w:tc>
        <w:tc>
          <w:tcPr>
            <w:tcW w:w="2083" w:type="dxa"/>
            <w:shd w:val="clear" w:color="auto" w:fill="auto"/>
            <w:hideMark/>
          </w:tcPr>
          <w:p w14:paraId="5C9922F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MLI/PHA/83/TAS/40</w:t>
            </w:r>
          </w:p>
        </w:tc>
        <w:tc>
          <w:tcPr>
            <w:tcW w:w="4380" w:type="dxa"/>
            <w:shd w:val="clear" w:color="auto" w:fill="auto"/>
            <w:hideMark/>
          </w:tcPr>
          <w:p w14:paraId="79DF63A0"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quatrième tranche)</w:t>
            </w:r>
          </w:p>
        </w:tc>
        <w:tc>
          <w:tcPr>
            <w:tcW w:w="1078" w:type="dxa"/>
            <w:shd w:val="clear" w:color="auto" w:fill="auto"/>
            <w:hideMark/>
          </w:tcPr>
          <w:p w14:paraId="09FDE1A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65D1DF20" w14:textId="77777777" w:rsidTr="006023A6">
        <w:trPr>
          <w:trHeight w:val="264"/>
        </w:trPr>
        <w:tc>
          <w:tcPr>
            <w:tcW w:w="1999" w:type="dxa"/>
            <w:shd w:val="clear" w:color="auto" w:fill="auto"/>
            <w:hideMark/>
          </w:tcPr>
          <w:p w14:paraId="5397586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 xml:space="preserve">Myanmar </w:t>
            </w:r>
          </w:p>
        </w:tc>
        <w:tc>
          <w:tcPr>
            <w:tcW w:w="2083" w:type="dxa"/>
            <w:shd w:val="clear" w:color="auto" w:fill="auto"/>
            <w:hideMark/>
          </w:tcPr>
          <w:p w14:paraId="7027EBC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MYA/PHA/68/TAS/14</w:t>
            </w:r>
          </w:p>
        </w:tc>
        <w:tc>
          <w:tcPr>
            <w:tcW w:w="4380" w:type="dxa"/>
            <w:shd w:val="clear" w:color="auto" w:fill="auto"/>
            <w:hideMark/>
          </w:tcPr>
          <w:p w14:paraId="468DAC4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première tranche)</w:t>
            </w:r>
          </w:p>
        </w:tc>
        <w:tc>
          <w:tcPr>
            <w:tcW w:w="1078" w:type="dxa"/>
            <w:shd w:val="clear" w:color="auto" w:fill="auto"/>
            <w:hideMark/>
          </w:tcPr>
          <w:p w14:paraId="4417F2F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53D10B19" w14:textId="77777777" w:rsidTr="006023A6">
        <w:trPr>
          <w:trHeight w:val="264"/>
        </w:trPr>
        <w:tc>
          <w:tcPr>
            <w:tcW w:w="1999" w:type="dxa"/>
            <w:shd w:val="clear" w:color="auto" w:fill="auto"/>
            <w:hideMark/>
          </w:tcPr>
          <w:p w14:paraId="3F69BB3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83" w:type="dxa"/>
            <w:shd w:val="clear" w:color="auto" w:fill="auto"/>
            <w:hideMark/>
          </w:tcPr>
          <w:p w14:paraId="563F4E9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MYA/PHA/80/TAS/18</w:t>
            </w:r>
          </w:p>
        </w:tc>
        <w:tc>
          <w:tcPr>
            <w:tcW w:w="4380" w:type="dxa"/>
            <w:shd w:val="clear" w:color="auto" w:fill="auto"/>
            <w:hideMark/>
          </w:tcPr>
          <w:p w14:paraId="55B615F9"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1078" w:type="dxa"/>
            <w:shd w:val="clear" w:color="auto" w:fill="auto"/>
            <w:hideMark/>
          </w:tcPr>
          <w:p w14:paraId="4575D09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7ABEEDA1" w14:textId="77777777" w:rsidTr="006023A6">
        <w:trPr>
          <w:trHeight w:val="264"/>
        </w:trPr>
        <w:tc>
          <w:tcPr>
            <w:tcW w:w="1999" w:type="dxa"/>
            <w:shd w:val="clear" w:color="auto" w:fill="auto"/>
            <w:hideMark/>
          </w:tcPr>
          <w:p w14:paraId="15A3A5C9"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Népal</w:t>
            </w:r>
            <w:proofErr w:type="spellEnd"/>
            <w:r w:rsidRPr="00036BE5">
              <w:rPr>
                <w:rFonts w:asciiTheme="majorBidi" w:hAnsiTheme="majorBidi"/>
                <w:sz w:val="20"/>
                <w:szCs w:val="20"/>
              </w:rPr>
              <w:t xml:space="preserve"> </w:t>
            </w:r>
          </w:p>
        </w:tc>
        <w:tc>
          <w:tcPr>
            <w:tcW w:w="2083" w:type="dxa"/>
            <w:shd w:val="clear" w:color="auto" w:fill="auto"/>
            <w:hideMark/>
          </w:tcPr>
          <w:p w14:paraId="421BD27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NEP/PHA/75/TAS/34</w:t>
            </w:r>
          </w:p>
        </w:tc>
        <w:tc>
          <w:tcPr>
            <w:tcW w:w="4380" w:type="dxa"/>
            <w:shd w:val="clear" w:color="auto" w:fill="auto"/>
            <w:hideMark/>
          </w:tcPr>
          <w:p w14:paraId="406696F2"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1078" w:type="dxa"/>
            <w:shd w:val="clear" w:color="auto" w:fill="auto"/>
            <w:hideMark/>
          </w:tcPr>
          <w:p w14:paraId="3AB988B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527AB710" w14:textId="77777777" w:rsidTr="006023A6">
        <w:trPr>
          <w:trHeight w:val="304"/>
        </w:trPr>
        <w:tc>
          <w:tcPr>
            <w:tcW w:w="1999" w:type="dxa"/>
            <w:shd w:val="clear" w:color="auto" w:fill="auto"/>
            <w:hideMark/>
          </w:tcPr>
          <w:p w14:paraId="09AF442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Saint-Vincent-et-les-Grenadines</w:t>
            </w:r>
          </w:p>
        </w:tc>
        <w:tc>
          <w:tcPr>
            <w:tcW w:w="2083" w:type="dxa"/>
            <w:shd w:val="clear" w:color="auto" w:fill="auto"/>
            <w:hideMark/>
          </w:tcPr>
          <w:p w14:paraId="23D77AF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STV/PHA/75/TAS/23</w:t>
            </w:r>
          </w:p>
        </w:tc>
        <w:tc>
          <w:tcPr>
            <w:tcW w:w="4380" w:type="dxa"/>
            <w:shd w:val="clear" w:color="auto" w:fill="auto"/>
            <w:hideMark/>
          </w:tcPr>
          <w:p w14:paraId="1C944E6A"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1078" w:type="dxa"/>
            <w:shd w:val="clear" w:color="auto" w:fill="auto"/>
            <w:hideMark/>
          </w:tcPr>
          <w:p w14:paraId="0090EA57"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r w:rsidR="006345CD" w:rsidRPr="00036BE5" w14:paraId="48763F8E" w14:textId="77777777" w:rsidTr="006023A6">
        <w:trPr>
          <w:trHeight w:val="264"/>
        </w:trPr>
        <w:tc>
          <w:tcPr>
            <w:tcW w:w="1999" w:type="dxa"/>
            <w:shd w:val="clear" w:color="auto" w:fill="auto"/>
            <w:hideMark/>
          </w:tcPr>
          <w:p w14:paraId="48CDC82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Suriname</w:t>
            </w:r>
          </w:p>
        </w:tc>
        <w:tc>
          <w:tcPr>
            <w:tcW w:w="2083" w:type="dxa"/>
            <w:shd w:val="clear" w:color="auto" w:fill="auto"/>
            <w:hideMark/>
          </w:tcPr>
          <w:p w14:paraId="1983DE87"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SUR/PHA/81/TAS/26</w:t>
            </w:r>
          </w:p>
        </w:tc>
        <w:tc>
          <w:tcPr>
            <w:tcW w:w="4380" w:type="dxa"/>
            <w:shd w:val="clear" w:color="auto" w:fill="auto"/>
            <w:hideMark/>
          </w:tcPr>
          <w:p w14:paraId="72FCA586"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troisième tranche)</w:t>
            </w:r>
          </w:p>
        </w:tc>
        <w:tc>
          <w:tcPr>
            <w:tcW w:w="1078" w:type="dxa"/>
            <w:shd w:val="clear" w:color="auto" w:fill="auto"/>
            <w:hideMark/>
          </w:tcPr>
          <w:p w14:paraId="616706A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r>
    </w:tbl>
    <w:p w14:paraId="7B710818" w14:textId="77777777" w:rsidR="006345CD" w:rsidRPr="00036BE5" w:rsidRDefault="006345CD" w:rsidP="006345CD">
      <w:pPr>
        <w:pStyle w:val="StyleHeader4Para4Left0Firstline0"/>
        <w:numPr>
          <w:ilvl w:val="0"/>
          <w:numId w:val="0"/>
        </w:numPr>
        <w:jc w:val="center"/>
        <w:rPr>
          <w:b/>
          <w:caps/>
          <w:sz w:val="22"/>
        </w:rPr>
      </w:pPr>
    </w:p>
    <w:p w14:paraId="3A5074EF" w14:textId="77777777" w:rsidR="006345CD" w:rsidRPr="00036BE5" w:rsidRDefault="006345CD" w:rsidP="006345CD">
      <w:pPr>
        <w:pStyle w:val="StyleHeader4Para4Left0Firstline0"/>
        <w:numPr>
          <w:ilvl w:val="0"/>
          <w:numId w:val="0"/>
        </w:numPr>
        <w:jc w:val="center"/>
        <w:rPr>
          <w:b/>
          <w:caps/>
          <w:sz w:val="22"/>
        </w:rPr>
      </w:pPr>
    </w:p>
    <w:p w14:paraId="3BA2C42D" w14:textId="77777777" w:rsidR="006345CD" w:rsidRPr="00036BE5" w:rsidRDefault="006345CD" w:rsidP="006345CD">
      <w:pPr>
        <w:jc w:val="left"/>
        <w:rPr>
          <w:b/>
          <w:bCs/>
        </w:rPr>
      </w:pPr>
    </w:p>
    <w:p w14:paraId="6E4CB388" w14:textId="77777777" w:rsidR="006345CD" w:rsidRPr="00036BE5" w:rsidRDefault="006345CD" w:rsidP="006345CD">
      <w:pPr>
        <w:jc w:val="left"/>
        <w:rPr>
          <w:b/>
          <w:bCs/>
        </w:rPr>
      </w:pPr>
    </w:p>
    <w:p w14:paraId="0F9069A9" w14:textId="77777777" w:rsidR="006345CD" w:rsidRPr="00036BE5" w:rsidRDefault="006345CD" w:rsidP="006345CD">
      <w:pPr>
        <w:jc w:val="left"/>
        <w:rPr>
          <w:b/>
          <w:bCs/>
        </w:rPr>
      </w:pPr>
    </w:p>
    <w:p w14:paraId="3232389C" w14:textId="77777777" w:rsidR="006345CD" w:rsidRPr="00036BE5" w:rsidRDefault="006345CD" w:rsidP="006345CD">
      <w:pPr>
        <w:jc w:val="left"/>
        <w:rPr>
          <w:b/>
          <w:bCs/>
        </w:rPr>
        <w:sectPr w:rsidR="006345CD" w:rsidRPr="00036BE5" w:rsidSect="006023A6">
          <w:headerReference w:type="even" r:id="rId21"/>
          <w:headerReference w:type="default" r:id="rId22"/>
          <w:headerReference w:type="first" r:id="rId23"/>
          <w:pgSz w:w="12240" w:h="15840" w:code="1"/>
          <w:pgMar w:top="720" w:right="1440" w:bottom="864" w:left="1440" w:header="720" w:footer="475" w:gutter="0"/>
          <w:pgNumType w:start="1"/>
          <w:cols w:space="720"/>
          <w:titlePg/>
        </w:sectPr>
      </w:pPr>
    </w:p>
    <w:p w14:paraId="4BB285B3" w14:textId="77777777" w:rsidR="006345CD" w:rsidRPr="00036BE5" w:rsidRDefault="006345CD" w:rsidP="006345CD">
      <w:pPr>
        <w:autoSpaceDE w:val="0"/>
        <w:autoSpaceDN w:val="0"/>
        <w:adjustRightInd w:val="0"/>
        <w:jc w:val="center"/>
        <w:rPr>
          <w:b/>
          <w:bCs/>
        </w:rPr>
      </w:pPr>
      <w:r w:rsidRPr="00036BE5">
        <w:rPr>
          <w:b/>
          <w:bCs/>
        </w:rPr>
        <w:t>Annexe III</w:t>
      </w:r>
    </w:p>
    <w:p w14:paraId="1ABFF361" w14:textId="77777777" w:rsidR="006345CD" w:rsidRPr="00036BE5" w:rsidRDefault="006345CD" w:rsidP="006345CD">
      <w:pPr>
        <w:autoSpaceDE w:val="0"/>
        <w:autoSpaceDN w:val="0"/>
        <w:adjustRightInd w:val="0"/>
        <w:jc w:val="center"/>
        <w:rPr>
          <w:b/>
          <w:bCs/>
        </w:rPr>
      </w:pPr>
    </w:p>
    <w:p w14:paraId="50E8916D" w14:textId="77777777" w:rsidR="006345CD" w:rsidRPr="006345CD" w:rsidRDefault="006345CD" w:rsidP="006345CD">
      <w:pPr>
        <w:pStyle w:val="StyleHeader4Para4Left0Firstline0"/>
        <w:numPr>
          <w:ilvl w:val="0"/>
          <w:numId w:val="0"/>
        </w:numPr>
        <w:jc w:val="center"/>
        <w:rPr>
          <w:b/>
          <w:caps/>
          <w:sz w:val="22"/>
          <w:lang w:val="fr-CA"/>
        </w:rPr>
      </w:pPr>
      <w:r w:rsidRPr="006345CD">
        <w:rPr>
          <w:b/>
          <w:caps/>
          <w:sz w:val="22"/>
          <w:lang w:val="fr-CA"/>
        </w:rPr>
        <w:t>PROJETS DANS LESQUELS « AUCUN PROGRÈS » N’A ÉTÉ ACCOMPLI et pour lesquels une lettre de possible annulation est recommandée</w:t>
      </w:r>
    </w:p>
    <w:tbl>
      <w:tblPr>
        <w:tblW w:w="9445" w:type="dxa"/>
        <w:tblLook w:val="04A0" w:firstRow="1" w:lastRow="0" w:firstColumn="1" w:lastColumn="0" w:noHBand="0" w:noVBand="1"/>
      </w:tblPr>
      <w:tblGrid>
        <w:gridCol w:w="1736"/>
        <w:gridCol w:w="2039"/>
        <w:gridCol w:w="4860"/>
        <w:gridCol w:w="838"/>
      </w:tblGrid>
      <w:tr w:rsidR="006345CD" w:rsidRPr="00036BE5" w14:paraId="43D41D4D" w14:textId="77777777" w:rsidTr="006023A6">
        <w:trPr>
          <w:trHeight w:val="252"/>
        </w:trPr>
        <w:tc>
          <w:tcPr>
            <w:tcW w:w="1736" w:type="dxa"/>
            <w:tcBorders>
              <w:top w:val="single" w:sz="4" w:space="0" w:color="auto"/>
              <w:left w:val="single" w:sz="4" w:space="0" w:color="auto"/>
              <w:bottom w:val="single" w:sz="4" w:space="0" w:color="auto"/>
              <w:right w:val="single" w:sz="4" w:space="0" w:color="auto"/>
            </w:tcBorders>
            <w:shd w:val="clear" w:color="auto" w:fill="auto"/>
            <w:hideMark/>
          </w:tcPr>
          <w:p w14:paraId="051FDD7D" w14:textId="77777777" w:rsidR="006345CD" w:rsidRPr="00036BE5" w:rsidRDefault="006345CD" w:rsidP="006023A6">
            <w:pPr>
              <w:jc w:val="center"/>
              <w:rPr>
                <w:b/>
                <w:bCs/>
                <w:sz w:val="20"/>
                <w:szCs w:val="20"/>
              </w:rPr>
            </w:pPr>
            <w:r w:rsidRPr="006345CD">
              <w:rPr>
                <w:lang w:val="fr-CA"/>
              </w:rPr>
              <w:br w:type="page"/>
            </w:r>
            <w:r w:rsidRPr="00036BE5">
              <w:rPr>
                <w:b/>
                <w:bCs/>
                <w:sz w:val="20"/>
                <w:szCs w:val="20"/>
              </w:rPr>
              <w:t>Pays</w:t>
            </w:r>
          </w:p>
        </w:tc>
        <w:tc>
          <w:tcPr>
            <w:tcW w:w="2039" w:type="dxa"/>
            <w:tcBorders>
              <w:top w:val="single" w:sz="4" w:space="0" w:color="auto"/>
              <w:left w:val="nil"/>
              <w:bottom w:val="single" w:sz="4" w:space="0" w:color="auto"/>
              <w:right w:val="single" w:sz="4" w:space="0" w:color="auto"/>
            </w:tcBorders>
            <w:shd w:val="clear" w:color="auto" w:fill="auto"/>
            <w:hideMark/>
          </w:tcPr>
          <w:p w14:paraId="3280C48D" w14:textId="77777777" w:rsidR="006345CD" w:rsidRPr="00036BE5" w:rsidRDefault="006345CD" w:rsidP="006023A6">
            <w:pPr>
              <w:jc w:val="center"/>
              <w:rPr>
                <w:b/>
                <w:bCs/>
                <w:sz w:val="20"/>
                <w:szCs w:val="20"/>
              </w:rPr>
            </w:pPr>
            <w:r w:rsidRPr="00036BE5">
              <w:rPr>
                <w:b/>
                <w:bCs/>
                <w:sz w:val="20"/>
                <w:szCs w:val="20"/>
              </w:rPr>
              <w:t>Code</w:t>
            </w:r>
          </w:p>
        </w:tc>
        <w:tc>
          <w:tcPr>
            <w:tcW w:w="4860" w:type="dxa"/>
            <w:tcBorders>
              <w:top w:val="single" w:sz="4" w:space="0" w:color="auto"/>
              <w:left w:val="nil"/>
              <w:bottom w:val="single" w:sz="4" w:space="0" w:color="auto"/>
              <w:right w:val="single" w:sz="4" w:space="0" w:color="auto"/>
            </w:tcBorders>
            <w:shd w:val="clear" w:color="auto" w:fill="auto"/>
            <w:hideMark/>
          </w:tcPr>
          <w:p w14:paraId="11011B49" w14:textId="77777777" w:rsidR="006345CD" w:rsidRPr="00036BE5" w:rsidRDefault="006345CD" w:rsidP="006023A6">
            <w:pPr>
              <w:jc w:val="center"/>
              <w:rPr>
                <w:b/>
                <w:bCs/>
                <w:sz w:val="20"/>
                <w:szCs w:val="20"/>
              </w:rPr>
            </w:pPr>
            <w:r w:rsidRPr="00036BE5">
              <w:rPr>
                <w:b/>
                <w:bCs/>
                <w:sz w:val="20"/>
                <w:szCs w:val="20"/>
              </w:rPr>
              <w:t xml:space="preserve">Titre du </w:t>
            </w:r>
            <w:proofErr w:type="spellStart"/>
            <w:r w:rsidRPr="00036BE5">
              <w:rPr>
                <w:b/>
                <w:bCs/>
                <w:sz w:val="20"/>
                <w:szCs w:val="20"/>
              </w:rPr>
              <w:t>projet</w:t>
            </w:r>
            <w:proofErr w:type="spellEnd"/>
          </w:p>
        </w:tc>
        <w:tc>
          <w:tcPr>
            <w:tcW w:w="810" w:type="dxa"/>
            <w:tcBorders>
              <w:top w:val="single" w:sz="4" w:space="0" w:color="auto"/>
              <w:left w:val="nil"/>
              <w:bottom w:val="single" w:sz="4" w:space="0" w:color="auto"/>
              <w:right w:val="single" w:sz="4" w:space="0" w:color="auto"/>
            </w:tcBorders>
            <w:shd w:val="clear" w:color="auto" w:fill="auto"/>
            <w:hideMark/>
          </w:tcPr>
          <w:p w14:paraId="72806CA0" w14:textId="77777777" w:rsidR="006345CD" w:rsidRPr="00036BE5" w:rsidRDefault="006345CD" w:rsidP="006023A6">
            <w:pPr>
              <w:jc w:val="center"/>
              <w:rPr>
                <w:b/>
                <w:bCs/>
                <w:sz w:val="20"/>
                <w:szCs w:val="20"/>
              </w:rPr>
            </w:pPr>
            <w:proofErr w:type="spellStart"/>
            <w:r w:rsidRPr="00036BE5">
              <w:rPr>
                <w:b/>
                <w:bCs/>
                <w:sz w:val="20"/>
                <w:szCs w:val="20"/>
              </w:rPr>
              <w:t>Agence</w:t>
            </w:r>
            <w:proofErr w:type="spellEnd"/>
          </w:p>
        </w:tc>
      </w:tr>
      <w:tr w:rsidR="006345CD" w:rsidRPr="00036BE5" w14:paraId="53057D63" w14:textId="77777777" w:rsidTr="006023A6">
        <w:trPr>
          <w:trHeight w:val="128"/>
        </w:trPr>
        <w:tc>
          <w:tcPr>
            <w:tcW w:w="1736" w:type="dxa"/>
            <w:tcBorders>
              <w:top w:val="nil"/>
              <w:left w:val="single" w:sz="4" w:space="0" w:color="auto"/>
              <w:bottom w:val="single" w:sz="4" w:space="0" w:color="auto"/>
              <w:right w:val="single" w:sz="4" w:space="0" w:color="auto"/>
            </w:tcBorders>
            <w:shd w:val="clear" w:color="auto" w:fill="auto"/>
            <w:noWrap/>
            <w:hideMark/>
          </w:tcPr>
          <w:p w14:paraId="3B74F175" w14:textId="77777777" w:rsidR="006345CD" w:rsidRPr="00036BE5" w:rsidRDefault="006345CD" w:rsidP="006023A6">
            <w:pPr>
              <w:jc w:val="left"/>
              <w:rPr>
                <w:sz w:val="20"/>
                <w:szCs w:val="20"/>
              </w:rPr>
            </w:pPr>
            <w:r w:rsidRPr="00036BE5">
              <w:rPr>
                <w:sz w:val="20"/>
                <w:szCs w:val="20"/>
              </w:rPr>
              <w:t>Congo (le)</w:t>
            </w:r>
          </w:p>
        </w:tc>
        <w:tc>
          <w:tcPr>
            <w:tcW w:w="2039" w:type="dxa"/>
            <w:tcBorders>
              <w:top w:val="nil"/>
              <w:left w:val="nil"/>
              <w:bottom w:val="single" w:sz="4" w:space="0" w:color="auto"/>
              <w:right w:val="single" w:sz="4" w:space="0" w:color="auto"/>
            </w:tcBorders>
            <w:shd w:val="clear" w:color="auto" w:fill="auto"/>
            <w:noWrap/>
            <w:hideMark/>
          </w:tcPr>
          <w:p w14:paraId="105FF138" w14:textId="77777777" w:rsidR="006345CD" w:rsidRPr="00036BE5" w:rsidRDefault="006345CD" w:rsidP="006023A6">
            <w:pPr>
              <w:jc w:val="left"/>
              <w:rPr>
                <w:sz w:val="20"/>
                <w:szCs w:val="20"/>
              </w:rPr>
            </w:pPr>
            <w:r w:rsidRPr="00036BE5">
              <w:rPr>
                <w:sz w:val="20"/>
                <w:szCs w:val="20"/>
              </w:rPr>
              <w:t>PRC/PHA/76/TAS/30</w:t>
            </w:r>
          </w:p>
        </w:tc>
        <w:tc>
          <w:tcPr>
            <w:tcW w:w="4860" w:type="dxa"/>
            <w:tcBorders>
              <w:top w:val="nil"/>
              <w:left w:val="nil"/>
              <w:bottom w:val="single" w:sz="4" w:space="0" w:color="auto"/>
              <w:right w:val="single" w:sz="4" w:space="0" w:color="auto"/>
            </w:tcBorders>
            <w:shd w:val="clear" w:color="auto" w:fill="auto"/>
            <w:noWrap/>
            <w:hideMark/>
          </w:tcPr>
          <w:p w14:paraId="4BB5B168" w14:textId="77777777" w:rsidR="006345CD" w:rsidRPr="006345CD" w:rsidRDefault="006345CD" w:rsidP="006023A6">
            <w:pPr>
              <w:jc w:val="left"/>
              <w:rPr>
                <w:sz w:val="20"/>
                <w:szCs w:val="20"/>
                <w:lang w:val="fr-CA"/>
              </w:rPr>
            </w:pPr>
            <w:r w:rsidRPr="006345CD">
              <w:rPr>
                <w:sz w:val="20"/>
                <w:szCs w:val="20"/>
                <w:lang w:val="fr-CA"/>
              </w:rPr>
              <w:t>Plan de gestion de l’élimination des HCFC (phase I, troisième tranche)</w:t>
            </w:r>
          </w:p>
        </w:tc>
        <w:tc>
          <w:tcPr>
            <w:tcW w:w="810" w:type="dxa"/>
            <w:tcBorders>
              <w:top w:val="nil"/>
              <w:left w:val="nil"/>
              <w:bottom w:val="single" w:sz="4" w:space="0" w:color="auto"/>
              <w:right w:val="single" w:sz="4" w:space="0" w:color="auto"/>
            </w:tcBorders>
            <w:shd w:val="clear" w:color="auto" w:fill="auto"/>
            <w:noWrap/>
            <w:hideMark/>
          </w:tcPr>
          <w:p w14:paraId="1463C83D" w14:textId="77777777" w:rsidR="006345CD" w:rsidRPr="00036BE5" w:rsidRDefault="006345CD" w:rsidP="006023A6">
            <w:pPr>
              <w:jc w:val="left"/>
              <w:rPr>
                <w:sz w:val="20"/>
                <w:szCs w:val="20"/>
              </w:rPr>
            </w:pPr>
            <w:r w:rsidRPr="00036BE5">
              <w:rPr>
                <w:sz w:val="20"/>
                <w:szCs w:val="20"/>
              </w:rPr>
              <w:t>PNUE</w:t>
            </w:r>
          </w:p>
        </w:tc>
      </w:tr>
      <w:tr w:rsidR="006345CD" w:rsidRPr="00036BE5" w14:paraId="6AFCFBB6" w14:textId="77777777" w:rsidTr="006023A6">
        <w:trPr>
          <w:trHeight w:val="264"/>
        </w:trPr>
        <w:tc>
          <w:tcPr>
            <w:tcW w:w="1736" w:type="dxa"/>
            <w:tcBorders>
              <w:top w:val="nil"/>
              <w:left w:val="single" w:sz="4" w:space="0" w:color="auto"/>
              <w:bottom w:val="single" w:sz="4" w:space="0" w:color="auto"/>
              <w:right w:val="single" w:sz="4" w:space="0" w:color="auto"/>
            </w:tcBorders>
            <w:shd w:val="clear" w:color="auto" w:fill="auto"/>
            <w:noWrap/>
            <w:hideMark/>
          </w:tcPr>
          <w:p w14:paraId="14A825C5" w14:textId="77777777" w:rsidR="006345CD" w:rsidRPr="00036BE5" w:rsidRDefault="006345CD" w:rsidP="006023A6">
            <w:pPr>
              <w:jc w:val="left"/>
              <w:rPr>
                <w:sz w:val="20"/>
                <w:szCs w:val="20"/>
              </w:rPr>
            </w:pPr>
            <w:r w:rsidRPr="00036BE5">
              <w:rPr>
                <w:sz w:val="20"/>
                <w:szCs w:val="20"/>
              </w:rPr>
              <w:t>Saint-Kitts-et-Nevis</w:t>
            </w:r>
          </w:p>
        </w:tc>
        <w:tc>
          <w:tcPr>
            <w:tcW w:w="2039" w:type="dxa"/>
            <w:tcBorders>
              <w:top w:val="nil"/>
              <w:left w:val="nil"/>
              <w:bottom w:val="single" w:sz="4" w:space="0" w:color="auto"/>
              <w:right w:val="single" w:sz="4" w:space="0" w:color="auto"/>
            </w:tcBorders>
            <w:shd w:val="clear" w:color="auto" w:fill="auto"/>
            <w:noWrap/>
            <w:hideMark/>
          </w:tcPr>
          <w:p w14:paraId="11BDB223" w14:textId="77777777" w:rsidR="006345CD" w:rsidRPr="00036BE5" w:rsidRDefault="006345CD" w:rsidP="006023A6">
            <w:pPr>
              <w:jc w:val="left"/>
              <w:rPr>
                <w:sz w:val="20"/>
                <w:szCs w:val="20"/>
              </w:rPr>
            </w:pPr>
            <w:r w:rsidRPr="00036BE5">
              <w:rPr>
                <w:sz w:val="20"/>
                <w:szCs w:val="20"/>
              </w:rPr>
              <w:t>STK/PHA/74/TAS/20</w:t>
            </w:r>
          </w:p>
        </w:tc>
        <w:tc>
          <w:tcPr>
            <w:tcW w:w="4860" w:type="dxa"/>
            <w:tcBorders>
              <w:top w:val="nil"/>
              <w:left w:val="nil"/>
              <w:bottom w:val="single" w:sz="4" w:space="0" w:color="auto"/>
              <w:right w:val="single" w:sz="4" w:space="0" w:color="auto"/>
            </w:tcBorders>
            <w:shd w:val="clear" w:color="auto" w:fill="auto"/>
            <w:noWrap/>
            <w:hideMark/>
          </w:tcPr>
          <w:p w14:paraId="3567ABB4" w14:textId="77777777" w:rsidR="006345CD" w:rsidRPr="006345CD" w:rsidRDefault="006345CD" w:rsidP="006023A6">
            <w:pPr>
              <w:jc w:val="left"/>
              <w:rPr>
                <w:sz w:val="20"/>
                <w:szCs w:val="20"/>
                <w:lang w:val="fr-CA"/>
              </w:rPr>
            </w:pPr>
            <w:r w:rsidRPr="006345CD">
              <w:rPr>
                <w:sz w:val="20"/>
                <w:szCs w:val="20"/>
                <w:lang w:val="fr-CA"/>
              </w:rPr>
              <w:t>Plan de gestion de l’élimination des HCFC (phase I, deuxième tranche)</w:t>
            </w:r>
          </w:p>
        </w:tc>
        <w:tc>
          <w:tcPr>
            <w:tcW w:w="810" w:type="dxa"/>
            <w:tcBorders>
              <w:top w:val="nil"/>
              <w:left w:val="nil"/>
              <w:bottom w:val="single" w:sz="4" w:space="0" w:color="auto"/>
              <w:right w:val="single" w:sz="4" w:space="0" w:color="auto"/>
            </w:tcBorders>
            <w:shd w:val="clear" w:color="auto" w:fill="auto"/>
            <w:noWrap/>
            <w:hideMark/>
          </w:tcPr>
          <w:p w14:paraId="6532DAB3" w14:textId="77777777" w:rsidR="006345CD" w:rsidRPr="00036BE5" w:rsidRDefault="006345CD" w:rsidP="006023A6">
            <w:pPr>
              <w:jc w:val="left"/>
              <w:rPr>
                <w:sz w:val="20"/>
                <w:szCs w:val="20"/>
              </w:rPr>
            </w:pPr>
            <w:r w:rsidRPr="00036BE5">
              <w:rPr>
                <w:sz w:val="20"/>
                <w:szCs w:val="20"/>
              </w:rPr>
              <w:t>PNUE</w:t>
            </w:r>
          </w:p>
        </w:tc>
      </w:tr>
    </w:tbl>
    <w:p w14:paraId="06516A89" w14:textId="77777777" w:rsidR="006345CD" w:rsidRPr="00036BE5" w:rsidRDefault="006345CD" w:rsidP="006345CD">
      <w:pPr>
        <w:jc w:val="left"/>
        <w:rPr>
          <w:b/>
          <w:bCs/>
        </w:rPr>
      </w:pPr>
    </w:p>
    <w:p w14:paraId="7C70AF28" w14:textId="77777777" w:rsidR="006345CD" w:rsidRPr="00036BE5" w:rsidRDefault="006345CD" w:rsidP="006345CD">
      <w:pPr>
        <w:jc w:val="left"/>
        <w:rPr>
          <w:b/>
          <w:bCs/>
        </w:rPr>
      </w:pPr>
    </w:p>
    <w:p w14:paraId="09FC83E0" w14:textId="77777777" w:rsidR="006345CD" w:rsidRPr="00036BE5" w:rsidRDefault="006345CD" w:rsidP="006345CD">
      <w:pPr>
        <w:autoSpaceDE w:val="0"/>
        <w:autoSpaceDN w:val="0"/>
        <w:adjustRightInd w:val="0"/>
        <w:jc w:val="center"/>
        <w:rPr>
          <w:b/>
          <w:bCs/>
        </w:rPr>
      </w:pPr>
    </w:p>
    <w:p w14:paraId="375BE30B" w14:textId="77777777" w:rsidR="006345CD" w:rsidRPr="00036BE5" w:rsidRDefault="006345CD" w:rsidP="006345CD">
      <w:pPr>
        <w:jc w:val="left"/>
        <w:rPr>
          <w:b/>
          <w:bCs/>
        </w:rPr>
        <w:sectPr w:rsidR="006345CD" w:rsidRPr="00036BE5" w:rsidSect="006023A6">
          <w:headerReference w:type="even" r:id="rId24"/>
          <w:headerReference w:type="default" r:id="rId25"/>
          <w:footerReference w:type="even" r:id="rId26"/>
          <w:footerReference w:type="default" r:id="rId27"/>
          <w:headerReference w:type="first" r:id="rId28"/>
          <w:footerReference w:type="first" r:id="rId29"/>
          <w:pgSz w:w="12240" w:h="15840" w:code="1"/>
          <w:pgMar w:top="720" w:right="1440" w:bottom="864" w:left="1440" w:header="720" w:footer="475" w:gutter="0"/>
          <w:pgNumType w:start="1"/>
          <w:cols w:space="720"/>
          <w:titlePg/>
        </w:sectPr>
      </w:pPr>
    </w:p>
    <w:p w14:paraId="5B21FF73" w14:textId="77777777" w:rsidR="006345CD" w:rsidRPr="00036BE5" w:rsidRDefault="006345CD" w:rsidP="006345CD">
      <w:pPr>
        <w:autoSpaceDE w:val="0"/>
        <w:autoSpaceDN w:val="0"/>
        <w:adjustRightInd w:val="0"/>
        <w:jc w:val="center"/>
        <w:rPr>
          <w:b/>
          <w:bCs/>
        </w:rPr>
      </w:pPr>
      <w:r w:rsidRPr="00036BE5">
        <w:rPr>
          <w:b/>
          <w:bCs/>
        </w:rPr>
        <w:t>Annexe IV</w:t>
      </w:r>
    </w:p>
    <w:p w14:paraId="4251D28B" w14:textId="77777777" w:rsidR="006345CD" w:rsidRPr="00036BE5" w:rsidRDefault="006345CD" w:rsidP="006345CD">
      <w:pPr>
        <w:autoSpaceDE w:val="0"/>
        <w:autoSpaceDN w:val="0"/>
        <w:adjustRightInd w:val="0"/>
        <w:rPr>
          <w:b/>
          <w:bCs/>
        </w:rPr>
      </w:pPr>
    </w:p>
    <w:p w14:paraId="5806EA53" w14:textId="77777777" w:rsidR="006345CD" w:rsidRPr="006345CD" w:rsidRDefault="006345CD" w:rsidP="006345CD">
      <w:pPr>
        <w:keepNext/>
        <w:spacing w:after="240"/>
        <w:jc w:val="center"/>
        <w:rPr>
          <w:b/>
          <w:bCs/>
          <w:lang w:val="fr-CA"/>
        </w:rPr>
      </w:pPr>
      <w:r w:rsidRPr="006345CD">
        <w:rPr>
          <w:b/>
          <w:bCs/>
          <w:lang w:val="fr-CA"/>
        </w:rPr>
        <w:t>PROJETS POUR LESQUELS DES RAPPORTS DE SITUATION SUPPLÉMENTAIRES ONT ÉTÉ DEMANDÉS</w:t>
      </w:r>
    </w:p>
    <w:tbl>
      <w:tblPr>
        <w:tblW w:w="9810" w:type="dxa"/>
        <w:tblInd w:w="-95" w:type="dxa"/>
        <w:tblLayout w:type="fixed"/>
        <w:tblLook w:val="04A0" w:firstRow="1" w:lastRow="0" w:firstColumn="1" w:lastColumn="0" w:noHBand="0" w:noVBand="1"/>
      </w:tblPr>
      <w:tblGrid>
        <w:gridCol w:w="1170"/>
        <w:gridCol w:w="2070"/>
        <w:gridCol w:w="2700"/>
        <w:gridCol w:w="810"/>
        <w:gridCol w:w="3060"/>
      </w:tblGrid>
      <w:tr w:rsidR="006345CD" w:rsidRPr="00036BE5" w14:paraId="148497FA" w14:textId="77777777" w:rsidTr="006023A6">
        <w:trPr>
          <w:trHeight w:val="264"/>
          <w:tblHeader/>
        </w:trPr>
        <w:tc>
          <w:tcPr>
            <w:tcW w:w="1170" w:type="dxa"/>
            <w:tcBorders>
              <w:top w:val="single" w:sz="4" w:space="0" w:color="auto"/>
              <w:left w:val="single" w:sz="4" w:space="0" w:color="auto"/>
              <w:bottom w:val="single" w:sz="4" w:space="0" w:color="auto"/>
              <w:right w:val="single" w:sz="4" w:space="0" w:color="auto"/>
            </w:tcBorders>
            <w:shd w:val="clear" w:color="auto" w:fill="auto"/>
            <w:tcMar>
              <w:left w:w="58" w:type="dxa"/>
              <w:right w:w="58" w:type="dxa"/>
            </w:tcMar>
            <w:hideMark/>
          </w:tcPr>
          <w:p w14:paraId="1C58451A"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Pays</w:t>
            </w:r>
          </w:p>
        </w:tc>
        <w:tc>
          <w:tcPr>
            <w:tcW w:w="207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015FACD9"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Code</w:t>
            </w:r>
          </w:p>
        </w:tc>
        <w:tc>
          <w:tcPr>
            <w:tcW w:w="270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4E76AF5D" w14:textId="77777777" w:rsidR="006345CD" w:rsidRPr="00036BE5" w:rsidRDefault="006345CD" w:rsidP="006023A6">
            <w:pPr>
              <w:jc w:val="center"/>
              <w:rPr>
                <w:rFonts w:asciiTheme="majorBidi" w:hAnsiTheme="majorBidi" w:cstheme="majorBidi"/>
                <w:b/>
                <w:bCs/>
                <w:sz w:val="20"/>
                <w:szCs w:val="20"/>
              </w:rPr>
            </w:pPr>
            <w:r w:rsidRPr="00036BE5">
              <w:rPr>
                <w:rFonts w:asciiTheme="majorBidi" w:hAnsiTheme="majorBidi"/>
                <w:b/>
                <w:bCs/>
                <w:sz w:val="20"/>
                <w:szCs w:val="20"/>
              </w:rPr>
              <w:t xml:space="preserve">Titre du </w:t>
            </w:r>
            <w:proofErr w:type="spellStart"/>
            <w:r w:rsidRPr="00036BE5">
              <w:rPr>
                <w:rFonts w:asciiTheme="majorBidi" w:hAnsiTheme="majorBidi"/>
                <w:b/>
                <w:bCs/>
                <w:sz w:val="20"/>
                <w:szCs w:val="20"/>
              </w:rPr>
              <w:t>projet</w:t>
            </w:r>
            <w:proofErr w:type="spellEnd"/>
          </w:p>
        </w:tc>
        <w:tc>
          <w:tcPr>
            <w:tcW w:w="81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A3254E9" w14:textId="77777777" w:rsidR="006345CD" w:rsidRPr="00036BE5" w:rsidRDefault="006345CD" w:rsidP="006023A6">
            <w:pPr>
              <w:jc w:val="center"/>
              <w:rPr>
                <w:rFonts w:asciiTheme="majorBidi" w:hAnsiTheme="majorBidi" w:cstheme="majorBidi"/>
                <w:b/>
                <w:bCs/>
                <w:sz w:val="20"/>
                <w:szCs w:val="20"/>
              </w:rPr>
            </w:pPr>
            <w:proofErr w:type="spellStart"/>
            <w:r w:rsidRPr="00036BE5">
              <w:rPr>
                <w:rFonts w:asciiTheme="majorBidi" w:hAnsiTheme="majorBidi"/>
                <w:b/>
                <w:bCs/>
                <w:sz w:val="20"/>
                <w:szCs w:val="20"/>
              </w:rPr>
              <w:t>Agence</w:t>
            </w:r>
            <w:proofErr w:type="spellEnd"/>
          </w:p>
        </w:tc>
        <w:tc>
          <w:tcPr>
            <w:tcW w:w="3060" w:type="dxa"/>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37F03095" w14:textId="77777777" w:rsidR="006345CD" w:rsidRPr="00036BE5" w:rsidRDefault="006345CD" w:rsidP="006023A6">
            <w:pPr>
              <w:jc w:val="center"/>
              <w:rPr>
                <w:rFonts w:asciiTheme="majorBidi" w:hAnsiTheme="majorBidi" w:cstheme="majorBidi"/>
                <w:b/>
                <w:bCs/>
                <w:sz w:val="20"/>
                <w:szCs w:val="20"/>
              </w:rPr>
            </w:pPr>
            <w:proofErr w:type="spellStart"/>
            <w:r w:rsidRPr="00036BE5">
              <w:rPr>
                <w:rFonts w:asciiTheme="majorBidi" w:hAnsiTheme="majorBidi"/>
                <w:b/>
                <w:bCs/>
                <w:sz w:val="20"/>
                <w:szCs w:val="20"/>
              </w:rPr>
              <w:t>Recommandation</w:t>
            </w:r>
            <w:proofErr w:type="spellEnd"/>
          </w:p>
        </w:tc>
      </w:tr>
      <w:tr w:rsidR="006345CD" w:rsidRPr="003E673B" w14:paraId="287BE91C"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DC70F1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Afghanistan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89B955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AFG/PHA/85/TAS/27</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3BD013A"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quatrième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4E4C0A6"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6BF6B15" w14:textId="109F53FF" w:rsidR="006345CD" w:rsidRPr="006345CD" w:rsidRDefault="006345CD" w:rsidP="00612ADC">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00612ADC">
              <w:rPr>
                <w:rFonts w:asciiTheme="majorBidi" w:hAnsiTheme="majorBidi"/>
                <w:sz w:val="20"/>
                <w:szCs w:val="20"/>
                <w:lang w:val="fr-CA"/>
              </w:rPr>
              <w:t xml:space="preserve"> réunion sur les opérations du Bureau national de l’ozone </w:t>
            </w:r>
            <w:r w:rsidRPr="006345CD">
              <w:rPr>
                <w:rFonts w:asciiTheme="majorBidi" w:hAnsiTheme="majorBidi"/>
                <w:sz w:val="20"/>
                <w:szCs w:val="20"/>
                <w:lang w:val="fr-CA"/>
              </w:rPr>
              <w:t>et les progrès de la mise en œuvre</w:t>
            </w:r>
          </w:p>
        </w:tc>
      </w:tr>
      <w:tr w:rsidR="006345CD" w:rsidRPr="003E673B" w14:paraId="06EE1AE2"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4AAA0F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Afghanistan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0EE6D7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AFG/PHA/85/TAS/29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5E93AA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première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F7AFD4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C52FE2F" w14:textId="25B54A35" w:rsidR="006345CD" w:rsidRPr="006345CD" w:rsidRDefault="006345CD" w:rsidP="00612ADC">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xml:space="preserve"> réunion sur les opérations </w:t>
            </w:r>
            <w:r w:rsidR="00612ADC">
              <w:rPr>
                <w:rFonts w:asciiTheme="majorBidi" w:hAnsiTheme="majorBidi"/>
                <w:sz w:val="20"/>
                <w:szCs w:val="20"/>
                <w:lang w:val="fr-CA"/>
              </w:rPr>
              <w:t>du Bureau national de l’ozone</w:t>
            </w:r>
            <w:r w:rsidRPr="006345CD">
              <w:rPr>
                <w:rFonts w:asciiTheme="majorBidi" w:hAnsiTheme="majorBidi"/>
                <w:sz w:val="20"/>
                <w:szCs w:val="20"/>
                <w:lang w:val="fr-CA"/>
              </w:rPr>
              <w:t xml:space="preserve"> et les progrès de la mise en œuvre</w:t>
            </w:r>
          </w:p>
        </w:tc>
      </w:tr>
      <w:tr w:rsidR="006345CD" w:rsidRPr="003E673B" w14:paraId="3F79083F"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78A005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Afghanistan</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043C7C0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AFG/PHA/85/INV/28</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F6DD6D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quatrième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3D854A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D34038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à l’ONUDI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64047793" w14:textId="77777777" w:rsidTr="006023A6">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3E326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Argentine</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A215BC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ARG/PHA/84/TAS/191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CCA0B5A"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deuxième tranche) (suivi et rapports sur la production de HCFC-22)</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E22486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54413113"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à l’ONUDI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l’achèvement du rapport de vérification sur la production de HCFC-22 et le taux de décaissement</w:t>
            </w:r>
          </w:p>
        </w:tc>
      </w:tr>
      <w:tr w:rsidR="006345CD" w:rsidRPr="003E673B" w14:paraId="75EE1109"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A6C1BCB"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Barbade</w:t>
            </w:r>
            <w:proofErr w:type="spellEnd"/>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07308F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BAR/PHA/84/TAS/29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82C0436"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troisième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BAA579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00EF431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3730898A" w14:textId="77777777" w:rsidTr="006023A6">
        <w:trPr>
          <w:trHeight w:val="51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910893F" w14:textId="5E1B5579"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République</w:t>
            </w:r>
            <w:proofErr w:type="spellEnd"/>
            <w:r w:rsidRPr="00036BE5">
              <w:rPr>
                <w:rFonts w:asciiTheme="majorBidi" w:hAnsiTheme="majorBidi"/>
                <w:sz w:val="20"/>
                <w:szCs w:val="20"/>
              </w:rPr>
              <w:t xml:space="preserve"> centra</w:t>
            </w:r>
            <w:r w:rsidR="00612ADC">
              <w:rPr>
                <w:rFonts w:asciiTheme="majorBidi" w:hAnsiTheme="majorBidi"/>
                <w:sz w:val="20"/>
                <w:szCs w:val="20"/>
              </w:rPr>
              <w:t>-</w:t>
            </w:r>
            <w:proofErr w:type="spellStart"/>
            <w:r w:rsidRPr="00036BE5">
              <w:rPr>
                <w:rFonts w:asciiTheme="majorBidi" w:hAnsiTheme="majorBidi"/>
                <w:sz w:val="20"/>
                <w:szCs w:val="20"/>
              </w:rPr>
              <w:t>fricaine</w:t>
            </w:r>
            <w:proofErr w:type="spellEnd"/>
            <w:r w:rsidRPr="00036BE5">
              <w:rPr>
                <w:rFonts w:asciiTheme="majorBidi" w:hAnsiTheme="majorBidi"/>
                <w:sz w:val="20"/>
                <w:szCs w:val="20"/>
              </w:rPr>
              <w:t xml:space="preserve"> (la)</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A6E086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CAF/SEV/68/INS/23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A4470E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Prorogation du projet de renforcement institutionnel (phase VI : janvier 2013 – décembre 2014)</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EACAEA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1B4265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6DA999B3"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C193F1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Dominique</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F96F60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DMI/PHA/84/TAS/25</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D6A4B9A"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21E34EF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858B1CC"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la signature de l’accord de financement à petite échelle et le taux de décaissement</w:t>
            </w:r>
          </w:p>
        </w:tc>
      </w:tr>
      <w:tr w:rsidR="006345CD" w:rsidRPr="003E673B" w14:paraId="0BBE5F17" w14:textId="77777777" w:rsidTr="006023A6">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E7A69E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Dominique</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93CAE5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DMI/PHA/86/TAS/26</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07F8EBA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Rapport de vérification sur la mise en œuvre de la phase I du plan de gestion de l’élimination des HCFC</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375AB1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0431F63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69D1EB2C" w14:textId="77777777" w:rsidTr="006023A6">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2152AC0E"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Haïti</w:t>
            </w:r>
            <w:proofErr w:type="spellEnd"/>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B9F5F7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HAI/SEV/75/INS/20</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C1F266A"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Prorogation du projet de renforcement institutionnel (phase IV : novembre 2015 – octobre 2017)</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211687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0E20476"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et le taux de décaissement</w:t>
            </w:r>
          </w:p>
        </w:tc>
      </w:tr>
      <w:tr w:rsidR="006345CD" w:rsidRPr="003E673B" w14:paraId="23B921C8"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537DBB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Honduras</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AF3CD9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HON/PHA/86/TAS/51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62243B0"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cinquième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B8B951F"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14E4AC78"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 taux de décaissement</w:t>
            </w:r>
          </w:p>
        </w:tc>
      </w:tr>
      <w:tr w:rsidR="006345CD" w:rsidRPr="003E673B" w14:paraId="3636A9B9"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1051B340"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Jamaïque</w:t>
            </w:r>
            <w:proofErr w:type="spellEnd"/>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9565D9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JAM/PHA/85/TAS/42</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15049C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quatrième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02C64A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21DA459"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281563E9" w14:textId="77777777" w:rsidTr="006023A6">
        <w:trPr>
          <w:trHeight w:val="1056"/>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A19EB4E"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Jordanie</w:t>
            </w:r>
            <w:proofErr w:type="spellEnd"/>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F650C03"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JOR/PHA/84/TAS/107</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28AD8E2"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II, deuxième tranche) (secteur de l’entretien des appareils de réfrigération, gestion de projet et coordination)</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3AF3171"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3087FA2"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à l’ONUDI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et le taux de décaissement</w:t>
            </w:r>
          </w:p>
        </w:tc>
      </w:tr>
      <w:tr w:rsidR="006345CD" w:rsidRPr="003E673B" w14:paraId="4DE7249A"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7A6B77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Mali</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1D81CB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MLI/PHA/84/PRP/41</w:t>
            </w:r>
          </w:p>
          <w:p w14:paraId="4AD1F723" w14:textId="77777777" w:rsidR="006345CD" w:rsidRPr="00036BE5" w:rsidRDefault="006345CD" w:rsidP="006023A6">
            <w:pPr>
              <w:rPr>
                <w:rFonts w:asciiTheme="majorBidi" w:hAnsiTheme="majorBidi" w:cstheme="majorBidi"/>
                <w:sz w:val="20"/>
                <w:szCs w:val="20"/>
                <w:lang w:eastAsia="en-CA"/>
              </w:rPr>
            </w:pPr>
          </w:p>
          <w:p w14:paraId="7402DA12" w14:textId="77777777" w:rsidR="006345CD" w:rsidRPr="00036BE5" w:rsidRDefault="006345CD" w:rsidP="006023A6">
            <w:pPr>
              <w:rPr>
                <w:rFonts w:asciiTheme="majorBidi" w:hAnsiTheme="majorBidi" w:cstheme="majorBidi"/>
                <w:sz w:val="20"/>
                <w:szCs w:val="20"/>
                <w:lang w:eastAsia="en-CA"/>
              </w:rPr>
            </w:pPr>
          </w:p>
          <w:p w14:paraId="2C74D502" w14:textId="77777777" w:rsidR="006345CD" w:rsidRPr="00036BE5" w:rsidRDefault="006345CD" w:rsidP="006023A6">
            <w:pPr>
              <w:jc w:val="center"/>
              <w:rPr>
                <w:rFonts w:asciiTheme="majorBidi" w:hAnsiTheme="majorBidi" w:cstheme="majorBidi"/>
                <w:sz w:val="20"/>
                <w:szCs w:val="20"/>
                <w:lang w:eastAsia="en-CA"/>
              </w:rPr>
            </w:pP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91C79E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Préparation d’un plan de gestion de l’élimination des HCFC (phase II)</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747E6EE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PNUD</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170C29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PNUD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la finalisation de la phase II du PGEH et le taux de décaissement</w:t>
            </w:r>
          </w:p>
        </w:tc>
      </w:tr>
      <w:tr w:rsidR="006345CD" w:rsidRPr="003E673B" w14:paraId="2757001C"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377415C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7B74CB2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MYA/PHA/83/PRP/20</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AA2C97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Préparation d’un plan de gestion de l’élimination des HCFC (phase II)</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218F2A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222425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à l’ONUDI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la finalisation de la phase II du PGEH</w:t>
            </w:r>
          </w:p>
        </w:tc>
      </w:tr>
      <w:tr w:rsidR="006345CD" w:rsidRPr="003E673B" w14:paraId="568902C2"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ABEE30"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1DD943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MYA/PHA/83/PRP/21</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7C8C91B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Préparation d’un plan de gestion de l’élimination des HCFC (phase II)</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7C01EF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60707D6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et la finalisation de la phase II du PGEH</w:t>
            </w:r>
          </w:p>
        </w:tc>
      </w:tr>
      <w:tr w:rsidR="006345CD" w:rsidRPr="003E673B" w14:paraId="493A065C"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13BBAD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4B7BDFA9"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MYA/PHA/80/INV/19</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6A404583"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deuxième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3EB79AB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ONUDI</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24B830E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à l’ONUDI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avec une mise à jour sur la reprise des activités</w:t>
            </w:r>
          </w:p>
        </w:tc>
      </w:tr>
      <w:tr w:rsidR="006345CD" w:rsidRPr="003E673B" w14:paraId="0F8458FE"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212C07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346EE5FB"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MYA/PHA/86/TAS/23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D79A9F9"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(phase I, troisième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5F7A7C7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906A8B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162A39DB" w14:textId="77777777" w:rsidTr="006023A6">
        <w:trPr>
          <w:trHeight w:val="560"/>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356C557"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2DD75DF"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MYA/PHA/86/TAS/24</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54FFA8A1"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Rapport de vérification sur la mise en œuvre du plan de gestion de l’élimination des HCFC</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EF5004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81985A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57E0EF11"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CFA51A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Myanmar</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5A1AB43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MYA/SEV/84/INS/22</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4D800E93"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Prorogation du projet de renforcement institutionnel (phase V : août 2020 – juin 2022)</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44BBF585"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79C6BA2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w:t>
            </w:r>
          </w:p>
        </w:tc>
      </w:tr>
      <w:tr w:rsidR="006345CD" w:rsidRPr="003E673B" w14:paraId="1E78135D" w14:textId="77777777" w:rsidTr="006023A6">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6B404B4C"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Nauru</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1C958092"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NAU/PHA/85/TAS/13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2E72327D"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Plan de gestion de l’élimination des HCFC pour les PIP à travers une approche régionale (phase I, troisième tranche)</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E07A9E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70D90C8"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et le taux de décaissement</w:t>
            </w:r>
          </w:p>
        </w:tc>
      </w:tr>
      <w:tr w:rsidR="006345CD" w:rsidRPr="003E673B" w14:paraId="467D47A6" w14:textId="77777777" w:rsidTr="006023A6">
        <w:trPr>
          <w:trHeight w:val="477"/>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7F8B8DEE"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Soudan du Sud</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7D0D7A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SSD/PHA/84/TAS/05</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11EED733"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Rapport de vérification sur la mise en œuvre du plan de gestion de l’élimination des HCFC</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12C280B8"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AD0C75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la préparation d’un rapport de vérification</w:t>
            </w:r>
          </w:p>
        </w:tc>
      </w:tr>
      <w:tr w:rsidR="006345CD" w:rsidRPr="003E673B" w14:paraId="501F350E" w14:textId="77777777" w:rsidTr="006023A6">
        <w:trPr>
          <w:trHeight w:val="528"/>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4F3297B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Soudan du Sud</w:t>
            </w:r>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62F38E0A"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SSD/SEV/76/INS/03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49CFCCF"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Projet de renforcement institutionnel (phase I : mai 2016 – avril 2018)</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059B6F9D"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3715886B"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les progrès de la mise en œuvre et le taux de décaissement</w:t>
            </w:r>
          </w:p>
        </w:tc>
      </w:tr>
      <w:tr w:rsidR="006345CD" w:rsidRPr="003E673B" w14:paraId="51B64761" w14:textId="77777777" w:rsidTr="006023A6">
        <w:trPr>
          <w:trHeight w:val="792"/>
        </w:trPr>
        <w:tc>
          <w:tcPr>
            <w:tcW w:w="1170" w:type="dxa"/>
            <w:tcBorders>
              <w:top w:val="nil"/>
              <w:left w:val="single" w:sz="4" w:space="0" w:color="auto"/>
              <w:bottom w:val="single" w:sz="4" w:space="0" w:color="auto"/>
              <w:right w:val="single" w:sz="4" w:space="0" w:color="auto"/>
            </w:tcBorders>
            <w:shd w:val="clear" w:color="auto" w:fill="auto"/>
            <w:tcMar>
              <w:left w:w="58" w:type="dxa"/>
              <w:right w:w="58" w:type="dxa"/>
            </w:tcMar>
            <w:hideMark/>
          </w:tcPr>
          <w:p w14:paraId="58433F2A" w14:textId="77777777" w:rsidR="006345CD" w:rsidRPr="00036BE5" w:rsidRDefault="006345CD" w:rsidP="006023A6">
            <w:pPr>
              <w:jc w:val="left"/>
              <w:rPr>
                <w:rFonts w:asciiTheme="majorBidi" w:hAnsiTheme="majorBidi" w:cstheme="majorBidi"/>
                <w:sz w:val="20"/>
                <w:szCs w:val="20"/>
              </w:rPr>
            </w:pPr>
            <w:proofErr w:type="spellStart"/>
            <w:r w:rsidRPr="00036BE5">
              <w:rPr>
                <w:rFonts w:asciiTheme="majorBidi" w:hAnsiTheme="majorBidi"/>
                <w:sz w:val="20"/>
                <w:szCs w:val="20"/>
              </w:rPr>
              <w:t>Yémen</w:t>
            </w:r>
            <w:proofErr w:type="spellEnd"/>
          </w:p>
        </w:tc>
        <w:tc>
          <w:tcPr>
            <w:tcW w:w="2070" w:type="dxa"/>
            <w:tcBorders>
              <w:top w:val="nil"/>
              <w:left w:val="nil"/>
              <w:bottom w:val="single" w:sz="4" w:space="0" w:color="auto"/>
              <w:right w:val="single" w:sz="4" w:space="0" w:color="auto"/>
            </w:tcBorders>
            <w:shd w:val="clear" w:color="auto" w:fill="auto"/>
            <w:tcMar>
              <w:left w:w="58" w:type="dxa"/>
              <w:right w:w="58" w:type="dxa"/>
            </w:tcMar>
            <w:hideMark/>
          </w:tcPr>
          <w:p w14:paraId="26DB095F"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YEM/SEV/73/INS/43</w:t>
            </w:r>
          </w:p>
        </w:tc>
        <w:tc>
          <w:tcPr>
            <w:tcW w:w="2700" w:type="dxa"/>
            <w:tcBorders>
              <w:top w:val="nil"/>
              <w:left w:val="nil"/>
              <w:bottom w:val="single" w:sz="4" w:space="0" w:color="auto"/>
              <w:right w:val="single" w:sz="4" w:space="0" w:color="auto"/>
            </w:tcBorders>
            <w:shd w:val="clear" w:color="auto" w:fill="auto"/>
            <w:tcMar>
              <w:left w:w="58" w:type="dxa"/>
              <w:right w:w="58" w:type="dxa"/>
            </w:tcMar>
            <w:hideMark/>
          </w:tcPr>
          <w:p w14:paraId="3C03568E"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Prorogation du projet de renforcement institutionnel (phase VIII : janvier 2015 – décembre 2016)</w:t>
            </w:r>
          </w:p>
        </w:tc>
        <w:tc>
          <w:tcPr>
            <w:tcW w:w="810" w:type="dxa"/>
            <w:tcBorders>
              <w:top w:val="nil"/>
              <w:left w:val="nil"/>
              <w:bottom w:val="single" w:sz="4" w:space="0" w:color="auto"/>
              <w:right w:val="single" w:sz="4" w:space="0" w:color="auto"/>
            </w:tcBorders>
            <w:shd w:val="clear" w:color="auto" w:fill="auto"/>
            <w:tcMar>
              <w:left w:w="58" w:type="dxa"/>
              <w:right w:w="58" w:type="dxa"/>
            </w:tcMar>
            <w:hideMark/>
          </w:tcPr>
          <w:p w14:paraId="671C65A4" w14:textId="77777777" w:rsidR="006345CD" w:rsidRPr="00036BE5" w:rsidRDefault="006345CD" w:rsidP="006023A6">
            <w:pPr>
              <w:jc w:val="left"/>
              <w:rPr>
                <w:rFonts w:asciiTheme="majorBidi" w:hAnsiTheme="majorBidi" w:cstheme="majorBidi"/>
                <w:sz w:val="20"/>
                <w:szCs w:val="20"/>
              </w:rPr>
            </w:pPr>
            <w:r w:rsidRPr="00036BE5">
              <w:rPr>
                <w:rFonts w:asciiTheme="majorBidi" w:hAnsiTheme="majorBidi"/>
                <w:sz w:val="20"/>
                <w:szCs w:val="20"/>
              </w:rPr>
              <w:t>PNUE</w:t>
            </w:r>
          </w:p>
        </w:tc>
        <w:tc>
          <w:tcPr>
            <w:tcW w:w="3060" w:type="dxa"/>
            <w:tcBorders>
              <w:top w:val="nil"/>
              <w:left w:val="nil"/>
              <w:bottom w:val="single" w:sz="4" w:space="0" w:color="auto"/>
              <w:right w:val="single" w:sz="4" w:space="0" w:color="auto"/>
            </w:tcBorders>
            <w:shd w:val="clear" w:color="auto" w:fill="auto"/>
            <w:tcMar>
              <w:left w:w="58" w:type="dxa"/>
              <w:right w:w="58" w:type="dxa"/>
            </w:tcMar>
            <w:hideMark/>
          </w:tcPr>
          <w:p w14:paraId="47743F89" w14:textId="77777777" w:rsidR="006345CD" w:rsidRPr="006345CD" w:rsidRDefault="006345CD" w:rsidP="006023A6">
            <w:pPr>
              <w:jc w:val="left"/>
              <w:rPr>
                <w:rFonts w:asciiTheme="majorBidi" w:hAnsiTheme="majorBidi" w:cstheme="majorBidi"/>
                <w:sz w:val="20"/>
                <w:szCs w:val="20"/>
                <w:lang w:val="fr-CA"/>
              </w:rPr>
            </w:pPr>
            <w:r w:rsidRPr="006345CD">
              <w:rPr>
                <w:rFonts w:asciiTheme="majorBidi" w:hAnsiTheme="majorBidi"/>
                <w:sz w:val="20"/>
                <w:szCs w:val="20"/>
                <w:lang w:val="fr-CA"/>
              </w:rPr>
              <w:t>Demander au PNUE de fournir un rapport de situation à la 91</w:t>
            </w:r>
            <w:r w:rsidRPr="006345CD">
              <w:rPr>
                <w:rFonts w:asciiTheme="majorBidi" w:hAnsiTheme="majorBidi"/>
                <w:sz w:val="20"/>
                <w:szCs w:val="20"/>
                <w:vertAlign w:val="superscript"/>
                <w:lang w:val="fr-CA"/>
              </w:rPr>
              <w:t>e</w:t>
            </w:r>
            <w:r w:rsidRPr="006345CD">
              <w:rPr>
                <w:rFonts w:asciiTheme="majorBidi" w:hAnsiTheme="majorBidi"/>
                <w:sz w:val="20"/>
                <w:szCs w:val="20"/>
                <w:lang w:val="fr-CA"/>
              </w:rPr>
              <w:t> réunion sur la signature de l’accord de mise en œuvre et le taux de décaissement</w:t>
            </w:r>
          </w:p>
        </w:tc>
      </w:tr>
    </w:tbl>
    <w:p w14:paraId="58DD418F" w14:textId="77777777" w:rsidR="006345CD" w:rsidRPr="006345CD" w:rsidRDefault="006345CD" w:rsidP="006345CD">
      <w:pPr>
        <w:keepNext/>
        <w:spacing w:after="240"/>
        <w:jc w:val="center"/>
        <w:rPr>
          <w:b/>
          <w:bCs/>
          <w:lang w:val="fr-CA"/>
        </w:rPr>
      </w:pPr>
    </w:p>
    <w:p w14:paraId="213A2D6E" w14:textId="77777777" w:rsidR="006A1EE7" w:rsidRPr="006345CD" w:rsidRDefault="006A1EE7" w:rsidP="006A1EE7">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A1EE7" w:rsidRPr="003E673B" w14:paraId="6BB28E96" w14:textId="77777777" w:rsidTr="006A2E9B">
        <w:tc>
          <w:tcPr>
            <w:tcW w:w="1915" w:type="dxa"/>
          </w:tcPr>
          <w:p w14:paraId="4FEDA92E" w14:textId="77777777" w:rsidR="006A1EE7" w:rsidRPr="006345CD" w:rsidRDefault="006A1EE7" w:rsidP="006A2E9B">
            <w:pPr>
              <w:rPr>
                <w:lang w:val="fr-CA"/>
              </w:rPr>
            </w:pPr>
          </w:p>
        </w:tc>
        <w:tc>
          <w:tcPr>
            <w:tcW w:w="1915" w:type="dxa"/>
          </w:tcPr>
          <w:p w14:paraId="6B8029D7" w14:textId="77777777" w:rsidR="006A1EE7" w:rsidRPr="006345CD" w:rsidRDefault="006A1EE7" w:rsidP="006A2E9B">
            <w:pPr>
              <w:rPr>
                <w:lang w:val="fr-CA"/>
              </w:rPr>
            </w:pPr>
          </w:p>
        </w:tc>
        <w:tc>
          <w:tcPr>
            <w:tcW w:w="1915" w:type="dxa"/>
            <w:tcBorders>
              <w:bottom w:val="single" w:sz="4" w:space="0" w:color="auto"/>
            </w:tcBorders>
          </w:tcPr>
          <w:p w14:paraId="2ED21F08" w14:textId="77777777" w:rsidR="006A1EE7" w:rsidRPr="006345CD" w:rsidRDefault="006A1EE7" w:rsidP="006A2E9B">
            <w:pPr>
              <w:rPr>
                <w:lang w:val="fr-CA"/>
              </w:rPr>
            </w:pPr>
          </w:p>
        </w:tc>
        <w:tc>
          <w:tcPr>
            <w:tcW w:w="1915" w:type="dxa"/>
          </w:tcPr>
          <w:p w14:paraId="4DFD4E8C" w14:textId="77777777" w:rsidR="006A1EE7" w:rsidRPr="006345CD" w:rsidRDefault="006A1EE7" w:rsidP="006A2E9B">
            <w:pPr>
              <w:rPr>
                <w:lang w:val="fr-CA"/>
              </w:rPr>
            </w:pPr>
          </w:p>
        </w:tc>
        <w:tc>
          <w:tcPr>
            <w:tcW w:w="1916" w:type="dxa"/>
          </w:tcPr>
          <w:p w14:paraId="09BB2622" w14:textId="77777777" w:rsidR="006A1EE7" w:rsidRPr="006345CD" w:rsidRDefault="006A1EE7" w:rsidP="006A2E9B">
            <w:pPr>
              <w:rPr>
                <w:lang w:val="fr-CA"/>
              </w:rPr>
            </w:pPr>
          </w:p>
        </w:tc>
      </w:tr>
    </w:tbl>
    <w:p w14:paraId="3C14FF16" w14:textId="77777777" w:rsidR="006A1EE7" w:rsidRPr="006345CD" w:rsidRDefault="006A1EE7" w:rsidP="006A1EE7">
      <w:pPr>
        <w:rPr>
          <w:lang w:val="fr-CA"/>
        </w:rPr>
      </w:pPr>
    </w:p>
    <w:sectPr w:rsidR="006A1EE7" w:rsidRPr="006345CD" w:rsidSect="006A2E9B">
      <w:headerReference w:type="even" r:id="rId30"/>
      <w:headerReference w:type="first" r:id="rId31"/>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B51A015" w14:textId="77777777" w:rsidR="001D5443" w:rsidRDefault="001D5443">
      <w:r>
        <w:separator/>
      </w:r>
    </w:p>
  </w:endnote>
  <w:endnote w:type="continuationSeparator" w:id="0">
    <w:p w14:paraId="2ABC19B1" w14:textId="77777777" w:rsidR="001D5443" w:rsidRDefault="001D54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onsolas">
    <w:panose1 w:val="020B0609020204030204"/>
    <w:charset w:val="00"/>
    <w:family w:val="modern"/>
    <w:pitch w:val="fixed"/>
    <w:sig w:usb0="E00006FF" w:usb1="0000FCFF" w:usb2="00000001" w:usb3="00000000" w:csb0="0000019F" w:csb1="00000000"/>
  </w:font>
  <w:font w:name="Univers">
    <w:altName w:val="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C1CB98" w14:textId="77777777" w:rsidR="00A51E02" w:rsidRDefault="00A51E02">
    <w:pPr>
      <w:jc w:val="center"/>
    </w:pPr>
    <w:r>
      <w:fldChar w:fldCharType="begin"/>
    </w:r>
    <w:r>
      <w:instrText xml:space="preserve"> PAGE </w:instrText>
    </w:r>
    <w:r>
      <w:fldChar w:fldCharType="separate"/>
    </w:r>
    <w:r w:rsidR="009B56C1">
      <w:rPr>
        <w:noProof/>
      </w:rPr>
      <w:t>70</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24BA2C" w14:textId="77777777" w:rsidR="00A51E02" w:rsidRDefault="00A51E02">
    <w:pPr>
      <w:jc w:val="center"/>
    </w:pPr>
    <w:r>
      <w:fldChar w:fldCharType="begin"/>
    </w:r>
    <w:r>
      <w:instrText xml:space="preserve"> PAGE </w:instrText>
    </w:r>
    <w:r>
      <w:fldChar w:fldCharType="separate"/>
    </w:r>
    <w:r w:rsidR="009B56C1">
      <w:rPr>
        <w:noProof/>
      </w:rPr>
      <w:t>71</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B79B71" w14:textId="77777777" w:rsidR="00A51E02" w:rsidRDefault="00A51E0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7FD30EE5" w14:textId="77777777" w:rsidR="00A51E02" w:rsidRDefault="00A51E02">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5EEF6704" w14:textId="77777777" w:rsidR="00A51E02" w:rsidRDefault="00A51E02">
    <w:pPr>
      <w:pStyle w:val="Footer"/>
      <w:rPr>
        <w:lang w:val="fr-FR"/>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D9764D" w14:textId="77777777" w:rsidR="00A51E02" w:rsidRPr="0033525D" w:rsidRDefault="00A51E02">
    <w:pPr>
      <w:jc w:val="center"/>
    </w:pPr>
    <w:r>
      <w:fldChar w:fldCharType="begin"/>
    </w:r>
    <w:r>
      <w:instrText xml:space="preserve"> PAGE </w:instrText>
    </w:r>
    <w:r>
      <w:fldChar w:fldCharType="separate"/>
    </w:r>
    <w:r w:rsidR="00307928">
      <w:rPr>
        <w:noProof/>
      </w:rPr>
      <w:t>2</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9DB751" w14:textId="77777777" w:rsidR="00A51E02" w:rsidRPr="0033525D" w:rsidRDefault="00A51E02">
    <w:pPr>
      <w:jc w:val="center"/>
    </w:pPr>
    <w:r>
      <w:fldChar w:fldCharType="begin"/>
    </w:r>
    <w:r>
      <w:instrText xml:space="preserve"> PAGE </w:instrText>
    </w:r>
    <w:r>
      <w:fldChar w:fldCharType="separate"/>
    </w:r>
    <w:r>
      <w:t>3</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0090709"/>
      <w:docPartObj>
        <w:docPartGallery w:val="Page Numbers (Bottom of Page)"/>
        <w:docPartUnique/>
      </w:docPartObj>
    </w:sdtPr>
    <w:sdtEndPr>
      <w:rPr>
        <w:noProof/>
      </w:rPr>
    </w:sdtEndPr>
    <w:sdtContent>
      <w:p w14:paraId="319924B5" w14:textId="77777777" w:rsidR="00A51E02" w:rsidRDefault="00A51E02" w:rsidP="006023A6">
        <w:pPr>
          <w:pStyle w:val="Footer"/>
          <w:jc w:val="center"/>
        </w:pPr>
        <w:r>
          <w:fldChar w:fldCharType="begin"/>
        </w:r>
        <w:r>
          <w:instrText xml:space="preserve"> PAGE   \* MERGEFORMAT </w:instrText>
        </w:r>
        <w:r>
          <w:fldChar w:fldCharType="separate"/>
        </w:r>
        <w:r w:rsidR="00307928">
          <w:rPr>
            <w:noProof/>
          </w:rPr>
          <w:t>1</w:t>
        </w:r>
        <w:r>
          <w:fldChar w:fldCharType="end"/>
        </w:r>
      </w:p>
    </w:sdtContent>
  </w:sdt>
  <w:p w14:paraId="5B2205A6" w14:textId="77777777" w:rsidR="00A51E02" w:rsidRPr="00C627AC" w:rsidRDefault="00A51E02" w:rsidP="006023A6">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E40D20" w14:textId="77777777" w:rsidR="00A51E02" w:rsidRPr="0033525D" w:rsidRDefault="00A51E02">
    <w:pPr>
      <w:jc w:val="center"/>
    </w:pPr>
    <w:r>
      <w:fldChar w:fldCharType="begin"/>
    </w:r>
    <w:r>
      <w:instrText xml:space="preserve"> PAGE </w:instrText>
    </w:r>
    <w:r>
      <w:fldChar w:fldCharType="separate"/>
    </w:r>
    <w:r w:rsidR="00307928">
      <w:rPr>
        <w:noProof/>
      </w:rPr>
      <w:t>2</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CBE8F2" w14:textId="77777777" w:rsidR="00A51E02" w:rsidRPr="0033525D" w:rsidRDefault="00A51E02">
    <w:pPr>
      <w:jc w:val="center"/>
    </w:pPr>
    <w:r>
      <w:fldChar w:fldCharType="begin"/>
    </w:r>
    <w:r>
      <w:instrText xml:space="preserve"> PAGE </w:instrText>
    </w:r>
    <w:r>
      <w:fldChar w:fldCharType="separate"/>
    </w:r>
    <w:r>
      <w:t>3</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43353978"/>
      <w:docPartObj>
        <w:docPartGallery w:val="Page Numbers (Bottom of Page)"/>
        <w:docPartUnique/>
      </w:docPartObj>
    </w:sdtPr>
    <w:sdtEndPr>
      <w:rPr>
        <w:noProof/>
      </w:rPr>
    </w:sdtEndPr>
    <w:sdtContent>
      <w:p w14:paraId="71FD4628" w14:textId="77777777" w:rsidR="00A51E02" w:rsidRDefault="00A51E02" w:rsidP="006023A6">
        <w:pPr>
          <w:pStyle w:val="Footer"/>
          <w:jc w:val="center"/>
        </w:pPr>
        <w:r>
          <w:fldChar w:fldCharType="begin"/>
        </w:r>
        <w:r>
          <w:instrText xml:space="preserve"> PAGE   \* MERGEFORMAT </w:instrText>
        </w:r>
        <w:r>
          <w:fldChar w:fldCharType="separate"/>
        </w:r>
        <w:r w:rsidR="00307928">
          <w:rPr>
            <w:noProof/>
          </w:rPr>
          <w:t>1</w:t>
        </w:r>
        <w:r>
          <w:fldChar w:fldCharType="end"/>
        </w:r>
      </w:p>
    </w:sdtContent>
  </w:sdt>
  <w:p w14:paraId="1C79640B" w14:textId="77777777" w:rsidR="00A51E02" w:rsidRPr="002A0259" w:rsidRDefault="00A51E02" w:rsidP="006023A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4EE997" w14:textId="77777777" w:rsidR="001D5443" w:rsidRDefault="001D5443">
      <w:r>
        <w:separator/>
      </w:r>
    </w:p>
  </w:footnote>
  <w:footnote w:type="continuationSeparator" w:id="0">
    <w:p w14:paraId="0496C78C" w14:textId="77777777" w:rsidR="001D5443" w:rsidRDefault="001D5443">
      <w:r>
        <w:continuationSeparator/>
      </w:r>
    </w:p>
  </w:footnote>
  <w:footnote w:id="1">
    <w:p w14:paraId="6C5995F0"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UNEP/OzL.Pro/ExCom/90/1.</w:t>
      </w:r>
    </w:p>
    <w:p w14:paraId="43DA0C1A" w14:textId="77777777" w:rsidR="00A51E02" w:rsidRPr="00E7495D" w:rsidRDefault="00A51E02" w:rsidP="006A1EE7">
      <w:pPr>
        <w:pStyle w:val="FootnoteText"/>
        <w:rPr>
          <w:lang w:val="fr-FR"/>
        </w:rPr>
      </w:pPr>
    </w:p>
  </w:footnote>
  <w:footnote w:id="2">
    <w:p w14:paraId="1F0F1B49"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Dix-huit des 53 projets pour lesquels des rapports de situation supplémentaires ont été recommandés ont également été catégorisés comme des projets connaissant des retards d’exécution. L’examen de ces projets est compris dans la partie sur les retards dans la mise en œuvre.</w:t>
      </w:r>
    </w:p>
  </w:footnote>
  <w:footnote w:id="3">
    <w:p w14:paraId="21969132" w14:textId="77777777" w:rsidR="00A51E02" w:rsidRPr="006C2F59" w:rsidRDefault="00A51E02" w:rsidP="006A1EE7">
      <w:pPr>
        <w:pStyle w:val="FootnoteText"/>
        <w:rPr>
          <w:lang w:val="en-CA"/>
        </w:rPr>
      </w:pPr>
      <w:r w:rsidRPr="00E7495D">
        <w:rPr>
          <w:rStyle w:val="FootnoteReference"/>
          <w:lang w:val="fr-FR"/>
        </w:rPr>
        <w:footnoteRef/>
      </w:r>
      <w:r w:rsidRPr="006C2F59">
        <w:rPr>
          <w:lang w:val="en-CA"/>
        </w:rPr>
        <w:t xml:space="preserve"> UNEP/OzL.Pro/ExCom/88/2/Add.1.</w:t>
      </w:r>
    </w:p>
  </w:footnote>
  <w:footnote w:id="4">
    <w:p w14:paraId="284CDE31"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UNEP/OzL.Pro/ExCom/90/2, paragraphes 13 et 14.</w:t>
      </w:r>
    </w:p>
  </w:footnote>
  <w:footnote w:id="5">
    <w:p w14:paraId="27F4CC07"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UNEP/OzL.Pro/ExCom/84/39.</w:t>
      </w:r>
    </w:p>
  </w:footnote>
  <w:footnote w:id="6">
    <w:p w14:paraId="7543F44B"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Le Comité exécutif a pris note des rapports périodiques pertinents remis entre la 85</w:t>
      </w:r>
      <w:r w:rsidRPr="00E7495D">
        <w:rPr>
          <w:vertAlign w:val="superscript"/>
          <w:lang w:val="fr-FR"/>
        </w:rPr>
        <w:t>e</w:t>
      </w:r>
      <w:r w:rsidRPr="00E7495D">
        <w:rPr>
          <w:lang w:val="fr-FR"/>
        </w:rPr>
        <w:t xml:space="preserve"> et la 88</w:t>
      </w:r>
      <w:r w:rsidRPr="00E7495D">
        <w:rPr>
          <w:vertAlign w:val="superscript"/>
          <w:lang w:val="fr-FR"/>
        </w:rPr>
        <w:t>e</w:t>
      </w:r>
      <w:r w:rsidRPr="00E7495D">
        <w:rPr>
          <w:lang w:val="fr-FR"/>
        </w:rPr>
        <w:t> réunion dans les décisions 85/4, 86/22, 87/7 et 88/17.</w:t>
      </w:r>
    </w:p>
  </w:footnote>
  <w:footnote w:id="7">
    <w:p w14:paraId="4AFFD396"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La somme de 348 767 $ US approuvée pour deux entreprises du secteur de la mousse de polystyrène extrudé est inférieure au surcoût évalué à 439 200 $ US ; il a été convenu que le gouvernement de l’Argentine pourrait attribuer les sommes aux deux entreprises à sa discrétion, étant entendu que les deux entreprises se reconvertiront à la technologie choisie dans les délais fixés (paragraphe 76 du document UNEP/OzL.Pro/ExCom/79/27).</w:t>
      </w:r>
    </w:p>
  </w:footnote>
  <w:footnote w:id="8">
    <w:p w14:paraId="53650286" w14:textId="356DC9FE"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UNEP/OzL.Pro/ExCom/68/22 </w:t>
      </w:r>
      <w:proofErr w:type="gramStart"/>
      <w:r w:rsidRPr="00E7495D">
        <w:rPr>
          <w:lang w:val="fr-FR"/>
        </w:rPr>
        <w:t xml:space="preserve">et </w:t>
      </w:r>
      <w:r>
        <w:rPr>
          <w:lang w:val="fr-FR"/>
        </w:rPr>
        <w:t xml:space="preserve"> a</w:t>
      </w:r>
      <w:r w:rsidRPr="00E7495D">
        <w:rPr>
          <w:lang w:val="fr-FR"/>
        </w:rPr>
        <w:t>nnexe</w:t>
      </w:r>
      <w:proofErr w:type="gramEnd"/>
      <w:r w:rsidRPr="00E7495D">
        <w:rPr>
          <w:lang w:val="fr-FR"/>
        </w:rPr>
        <w:t xml:space="preserve"> XIX </w:t>
      </w:r>
      <w:r>
        <w:rPr>
          <w:lang w:val="fr-FR"/>
        </w:rPr>
        <w:t>au document</w:t>
      </w:r>
      <w:r w:rsidRPr="00E7495D">
        <w:rPr>
          <w:lang w:val="fr-FR"/>
        </w:rPr>
        <w:t xml:space="preserve"> UNEP/OzL.Pro/ExCom/68/53.</w:t>
      </w:r>
    </w:p>
  </w:footnote>
  <w:footnote w:id="9">
    <w:p w14:paraId="651EB122" w14:textId="41012D27" w:rsidR="00A51E02" w:rsidRPr="00E7495D" w:rsidRDefault="00A51E02" w:rsidP="006A1EE7">
      <w:pPr>
        <w:pStyle w:val="FootnoteText"/>
        <w:rPr>
          <w:lang w:val="fr-FR"/>
        </w:rPr>
      </w:pPr>
      <w:r w:rsidRPr="00E7495D">
        <w:rPr>
          <w:rStyle w:val="FootnoteReference"/>
          <w:lang w:val="fr-FR"/>
        </w:rPr>
        <w:footnoteRef/>
      </w:r>
      <w:r>
        <w:rPr>
          <w:lang w:val="fr-FR"/>
        </w:rPr>
        <w:t xml:space="preserve"> UNEP/OzL.Pro/ExCom/80/12 et a</w:t>
      </w:r>
      <w:r w:rsidRPr="00E7495D">
        <w:rPr>
          <w:lang w:val="fr-FR"/>
        </w:rPr>
        <w:t xml:space="preserve">nnexe V </w:t>
      </w:r>
      <w:r>
        <w:rPr>
          <w:lang w:val="fr-FR"/>
        </w:rPr>
        <w:t>au document</w:t>
      </w:r>
      <w:r w:rsidRPr="00E7495D">
        <w:rPr>
          <w:lang w:val="fr-FR"/>
        </w:rPr>
        <w:t xml:space="preserve"> UNEP/OzL.Pro/ExCom/80/59.</w:t>
      </w:r>
    </w:p>
  </w:footnote>
  <w:footnote w:id="10">
    <w:p w14:paraId="657E591D" w14:textId="1E85AC9E" w:rsidR="00A51E02" w:rsidRPr="00E7495D" w:rsidRDefault="00A51E02" w:rsidP="006A1EE7">
      <w:pPr>
        <w:pStyle w:val="FootnoteText"/>
        <w:rPr>
          <w:lang w:val="fr-FR"/>
        </w:rPr>
      </w:pPr>
      <w:r w:rsidRPr="00E7495D">
        <w:rPr>
          <w:rStyle w:val="FootnoteReference"/>
          <w:lang w:val="fr-FR"/>
        </w:rPr>
        <w:footnoteRef/>
      </w:r>
      <w:r>
        <w:rPr>
          <w:lang w:val="fr-FR"/>
        </w:rPr>
        <w:t xml:space="preserve"> UNEP/OzL.Pro/ExCom/84/40 et a</w:t>
      </w:r>
      <w:r w:rsidRPr="00E7495D">
        <w:rPr>
          <w:lang w:val="fr-FR"/>
        </w:rPr>
        <w:t xml:space="preserve">nnexe XXI </w:t>
      </w:r>
      <w:r>
        <w:rPr>
          <w:lang w:val="fr-FR"/>
        </w:rPr>
        <w:t>au document</w:t>
      </w:r>
      <w:r w:rsidRPr="00E7495D">
        <w:rPr>
          <w:lang w:val="fr-FR"/>
        </w:rPr>
        <w:t xml:space="preserve"> UNEP/OzL.Pro/ExCom/84/75.</w:t>
      </w:r>
    </w:p>
  </w:footnote>
  <w:footnote w:id="11">
    <w:p w14:paraId="3B2D9FBA" w14:textId="4990F22F"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UNEP/OzL.Pro/ExCom/88/38 et </w:t>
      </w:r>
      <w:r>
        <w:rPr>
          <w:lang w:val="fr-FR"/>
        </w:rPr>
        <w:t>a</w:t>
      </w:r>
      <w:r w:rsidRPr="00E7495D">
        <w:rPr>
          <w:lang w:val="fr-FR"/>
        </w:rPr>
        <w:t xml:space="preserve">nnexe XVII </w:t>
      </w:r>
      <w:r>
        <w:rPr>
          <w:lang w:val="fr-FR"/>
        </w:rPr>
        <w:t>au document</w:t>
      </w:r>
      <w:r w:rsidRPr="00E7495D">
        <w:rPr>
          <w:lang w:val="fr-FR"/>
        </w:rPr>
        <w:t xml:space="preserve"> l’UNEP/OzL.Pro/ExCom/88/79.</w:t>
      </w:r>
    </w:p>
  </w:footnote>
  <w:footnote w:id="12">
    <w:p w14:paraId="60557584"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Le total de la phase I a été ajusté après déduction de 25 000 $ US associés à l’annulation de la quatrième tranche.</w:t>
      </w:r>
    </w:p>
  </w:footnote>
  <w:footnote w:id="13">
    <w:p w14:paraId="498A25B7" w14:textId="5872ABD8"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Il a été demandé au gouvernement du Chili, par le biais du PNUD, en tant qu’agence d’exécution principale, de remettre chaque année un rapport périodique sur la mise en œuvre du programme de travail de la dernière tranche jusqu’à l’achèvement du projet, des rapports de vérification jusqu’à l’approbation de la phase III et le rapport d’achèvement de projet à la première réunion de 2023 (</w:t>
      </w:r>
      <w:r w:rsidR="00436916">
        <w:rPr>
          <w:lang w:val="fr-FR"/>
        </w:rPr>
        <w:t>annexe</w:t>
      </w:r>
      <w:r w:rsidRPr="00E7495D">
        <w:rPr>
          <w:lang w:val="fr-FR"/>
        </w:rPr>
        <w:t> IV du document UNEP/OzL.Pro/ExCom/85/67).</w:t>
      </w:r>
    </w:p>
  </w:footnote>
  <w:footnote w:id="14">
    <w:p w14:paraId="53D5B260" w14:textId="77777777" w:rsidR="00A51E02" w:rsidRPr="00E7495D" w:rsidRDefault="00A51E02" w:rsidP="006A1EE7">
      <w:pPr>
        <w:pStyle w:val="Heading1"/>
        <w:numPr>
          <w:ilvl w:val="0"/>
          <w:numId w:val="0"/>
        </w:numPr>
        <w:rPr>
          <w:sz w:val="20"/>
          <w:szCs w:val="20"/>
          <w:lang w:val="fr-FR"/>
        </w:rPr>
      </w:pPr>
      <w:r w:rsidRPr="00E7495D">
        <w:rPr>
          <w:rStyle w:val="FootnoteReference"/>
          <w:sz w:val="20"/>
          <w:szCs w:val="20"/>
          <w:lang w:val="fr-FR"/>
        </w:rPr>
        <w:footnoteRef/>
      </w:r>
      <w:r w:rsidRPr="00E7495D">
        <w:rPr>
          <w:sz w:val="20"/>
          <w:lang w:val="fr-FR"/>
        </w:rPr>
        <w:t xml:space="preserve"> Le registre en ligne contient des informations sur les produits et les équipements, dont la marque, le modèle, le type de HCFC, la quantité de HCFC, et le type d’utilisation (frigorigène, isolant, etc.). Le registre contient les informations fournies par les producteurs, les importateurs et les exportateurs nationaux de produits et d’équipements contenant ou utilisant des HCFC.</w:t>
      </w:r>
    </w:p>
    <w:p w14:paraId="4828DEFF" w14:textId="77777777" w:rsidR="00A51E02" w:rsidRPr="00E7495D" w:rsidRDefault="00A51E02" w:rsidP="006A1EE7">
      <w:pPr>
        <w:pStyle w:val="FootnoteText"/>
        <w:rPr>
          <w:lang w:val="fr-FR"/>
        </w:rPr>
      </w:pPr>
    </w:p>
  </w:footnote>
  <w:footnote w:id="15">
    <w:p w14:paraId="62FFB979" w14:textId="77777777" w:rsidR="00A51E02" w:rsidRPr="00E7495D" w:rsidRDefault="00A51E02" w:rsidP="006A1EE7">
      <w:pPr>
        <w:pStyle w:val="Heading1"/>
        <w:numPr>
          <w:ilvl w:val="0"/>
          <w:numId w:val="0"/>
        </w:numPr>
        <w:tabs>
          <w:tab w:val="left" w:pos="720"/>
        </w:tabs>
        <w:spacing w:after="0"/>
        <w:rPr>
          <w:sz w:val="20"/>
          <w:szCs w:val="20"/>
          <w:lang w:val="fr-FR"/>
        </w:rPr>
      </w:pPr>
      <w:r w:rsidRPr="00E7495D">
        <w:rPr>
          <w:rStyle w:val="FootnoteReference"/>
          <w:sz w:val="20"/>
          <w:szCs w:val="20"/>
          <w:lang w:val="fr-FR"/>
        </w:rPr>
        <w:footnoteRef/>
      </w:r>
      <w:r w:rsidRPr="00E7495D">
        <w:rPr>
          <w:sz w:val="20"/>
          <w:lang w:val="fr-FR"/>
        </w:rPr>
        <w:t xml:space="preserve"> Deux des huit PME devant participer au projet de groupe ont mis leur projet en œuvre à titre individuel et reconverti leurs activités sans aide ; deux n’ont pas participé ; et trois entreprises ayant été intégrées au projet de groupe satisfaisaient aux conditions d’admissibilité, mais n’avaient pas été recensées lors de l’étude de marché menée au cours de la préparation du projet.</w:t>
      </w:r>
    </w:p>
  </w:footnote>
  <w:footnote w:id="16">
    <w:p w14:paraId="077B32D3"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Les certifications concernaient les personnes suivantes : installateurs de systèmes de climatisation : 17 personnes (3 femmes et 14 hommes) ; installateurs et techniciens d’entretien des équipements de réfrigération et climatisation : 187 personnes (2 femmes et 185 hommes) ; et installateurs de systèmes de réfrigération : 23 personnes (3 femmes et 20 hommes).</w:t>
      </w:r>
    </w:p>
  </w:footnote>
  <w:footnote w:id="17">
    <w:p w14:paraId="1C59704B" w14:textId="77777777" w:rsidR="00A51E02" w:rsidRPr="00E7495D" w:rsidRDefault="00A51E02" w:rsidP="006A1EE7">
      <w:pPr>
        <w:pStyle w:val="FootnoteText"/>
        <w:rPr>
          <w:lang w:val="fr-FR"/>
        </w:rPr>
      </w:pPr>
      <w:r w:rsidRPr="00E7495D">
        <w:rPr>
          <w:rStyle w:val="FootnoteReference"/>
          <w:lang w:val="fr-FR"/>
        </w:rPr>
        <w:footnoteRef/>
      </w:r>
      <w:r w:rsidRPr="00E7495D">
        <w:rPr>
          <w:lang w:val="fr-FR"/>
        </w:rPr>
        <w:t xml:space="preserve"> </w:t>
      </w:r>
      <w:r w:rsidRPr="00E7495D">
        <w:rPr>
          <w:shd w:val="clear" w:color="auto" w:fill="FFFFFF"/>
          <w:lang w:val="fr-FR"/>
        </w:rPr>
        <w:t>Les Accords de production propre sont des accords fondés sur l’adhésion volontaire adoptés par le secteur privé, qui établissent des actions et des objectifs pour atteindre une production propre sur une période donnée. </w:t>
      </w:r>
    </w:p>
  </w:footnote>
  <w:footnote w:id="18">
    <w:p w14:paraId="45A2ADEB" w14:textId="77777777" w:rsidR="00A51E02" w:rsidRPr="00594BB3" w:rsidRDefault="00A51E02" w:rsidP="00963F10">
      <w:pPr>
        <w:pStyle w:val="FootnoteText"/>
        <w:rPr>
          <w:lang w:val="fr-FR"/>
        </w:rPr>
      </w:pPr>
      <w:r>
        <w:rPr>
          <w:rStyle w:val="FootnoteReference"/>
          <w:lang w:val="fr"/>
        </w:rPr>
        <w:footnoteRef/>
      </w:r>
      <w:r>
        <w:rPr>
          <w:lang w:val="fr"/>
        </w:rPr>
        <w:t xml:space="preserve"> Document UNEP/OzL.Pro/ExCom/77/41.</w:t>
      </w:r>
    </w:p>
  </w:footnote>
  <w:footnote w:id="19">
    <w:p w14:paraId="0CF6D9BB" w14:textId="621FCC38" w:rsidR="00A51E02" w:rsidRPr="00594BB3" w:rsidRDefault="00A51E02" w:rsidP="00963F10">
      <w:pPr>
        <w:pStyle w:val="FootnoteText"/>
        <w:rPr>
          <w:lang w:val="fr-FR"/>
        </w:rPr>
      </w:pPr>
      <w:r>
        <w:rPr>
          <w:rStyle w:val="FootnoteReference"/>
          <w:lang w:val="fr"/>
        </w:rPr>
        <w:footnoteRef/>
      </w:r>
      <w:r>
        <w:rPr>
          <w:lang w:val="fr"/>
        </w:rPr>
        <w:t xml:space="preserve"> </w:t>
      </w:r>
      <w:proofErr w:type="gramStart"/>
      <w:r w:rsidR="00436916">
        <w:rPr>
          <w:lang w:val="fr"/>
        </w:rPr>
        <w:t>annexe</w:t>
      </w:r>
      <w:proofErr w:type="gramEnd"/>
      <w:r>
        <w:rPr>
          <w:lang w:val="fr"/>
        </w:rPr>
        <w:t> XV au document UNEP/OzL.Pro/ExCom/86/100.</w:t>
      </w:r>
    </w:p>
  </w:footnote>
  <w:footnote w:id="20">
    <w:p w14:paraId="750B87BD" w14:textId="77777777" w:rsidR="00A51E02" w:rsidRPr="00594BB3" w:rsidRDefault="00A51E02" w:rsidP="00963F10">
      <w:pPr>
        <w:pStyle w:val="FootnoteText"/>
        <w:rPr>
          <w:lang w:val="fr-FR"/>
        </w:rPr>
      </w:pPr>
      <w:r>
        <w:rPr>
          <w:rStyle w:val="FootnoteReference"/>
          <w:lang w:val="fr"/>
        </w:rPr>
        <w:footnoteRef/>
      </w:r>
      <w:r>
        <w:rPr>
          <w:lang w:val="fr"/>
        </w:rPr>
        <w:t xml:space="preserve"> Le projet incitatif de conversion a été annulé, car l’entreprise a concentré ses efforts et ses ressources à gérer les défis de la pandémie.</w:t>
      </w:r>
    </w:p>
  </w:footnote>
  <w:footnote w:id="21">
    <w:p w14:paraId="56634F53" w14:textId="7AE026DE" w:rsidR="00A51E02" w:rsidRPr="00594BB3" w:rsidRDefault="00A51E02" w:rsidP="00963F10">
      <w:pPr>
        <w:pStyle w:val="FootnoteText"/>
        <w:rPr>
          <w:lang w:val="fr-FR"/>
        </w:rPr>
      </w:pPr>
      <w:r>
        <w:rPr>
          <w:rStyle w:val="FootnoteReference"/>
          <w:lang w:val="fr"/>
        </w:rPr>
        <w:footnoteRef/>
      </w:r>
      <w:r>
        <w:rPr>
          <w:lang w:val="fr"/>
        </w:rPr>
        <w:t xml:space="preserve"> En réponse à la décision 86/53(a) et à la clause présente dans l’annexe XV au document UNEP/OzL.Pro/ExCom/86/100.</w:t>
      </w:r>
    </w:p>
  </w:footnote>
  <w:footnote w:id="22">
    <w:p w14:paraId="3AE7121F" w14:textId="54EB7544" w:rsidR="00A51E02" w:rsidRPr="00594BB3" w:rsidRDefault="00A51E02" w:rsidP="00963F10">
      <w:pPr>
        <w:pStyle w:val="FootnoteText"/>
        <w:rPr>
          <w:lang w:val="fr-FR"/>
        </w:rPr>
      </w:pPr>
      <w:r>
        <w:rPr>
          <w:rStyle w:val="FootnoteReference"/>
          <w:lang w:val="fr"/>
        </w:rPr>
        <w:footnoteRef/>
      </w:r>
      <w:r>
        <w:rPr>
          <w:lang w:val="fr"/>
        </w:rPr>
        <w:t xml:space="preserve"> </w:t>
      </w:r>
      <w:r w:rsidR="00436916">
        <w:rPr>
          <w:lang w:val="fr"/>
        </w:rPr>
        <w:t>Annexe</w:t>
      </w:r>
      <w:r>
        <w:rPr>
          <w:lang w:val="fr"/>
        </w:rPr>
        <w:t> XII au document UNEP/OzL.Pro/ExCom/74/56.</w:t>
      </w:r>
    </w:p>
  </w:footnote>
  <w:footnote w:id="23">
    <w:p w14:paraId="4DAF097A" w14:textId="77777777" w:rsidR="00A51E02" w:rsidRPr="00594BB3" w:rsidRDefault="00A51E02" w:rsidP="00963F10">
      <w:pPr>
        <w:pStyle w:val="FootnoteText"/>
        <w:rPr>
          <w:lang w:val="fr-FR"/>
        </w:rPr>
      </w:pPr>
      <w:r>
        <w:rPr>
          <w:rStyle w:val="FootnoteReference"/>
          <w:lang w:val="fr"/>
        </w:rPr>
        <w:footnoteRef/>
      </w:r>
      <w:r>
        <w:rPr>
          <w:lang w:val="fr"/>
        </w:rPr>
        <w:t xml:space="preserve"> Annexe V au document UNEP/OzL.Pro/ExCom/85/67.</w:t>
      </w:r>
    </w:p>
  </w:footnote>
  <w:footnote w:id="24">
    <w:p w14:paraId="4F0B5B78" w14:textId="77777777" w:rsidR="00A51E02" w:rsidRPr="00594BB3" w:rsidRDefault="00A51E02" w:rsidP="00963F10">
      <w:pPr>
        <w:pStyle w:val="FootnoteText"/>
        <w:rPr>
          <w:lang w:val="fr-FR"/>
        </w:rPr>
      </w:pPr>
      <w:r>
        <w:rPr>
          <w:rStyle w:val="FootnoteReference"/>
          <w:lang w:val="fr"/>
        </w:rPr>
        <w:footnoteRef/>
      </w:r>
      <w:r>
        <w:rPr>
          <w:lang w:val="fr"/>
        </w:rPr>
        <w:t xml:space="preserve"> Annexe IV au document UNEP/OzL.Pro/ExCom/85/67</w:t>
      </w:r>
    </w:p>
  </w:footnote>
  <w:footnote w:id="25">
    <w:p w14:paraId="01C0F5BF" w14:textId="77777777" w:rsidR="00A51E02" w:rsidRPr="00594BB3" w:rsidRDefault="00A51E02" w:rsidP="00963F10">
      <w:pPr>
        <w:pStyle w:val="FootnoteText"/>
        <w:rPr>
          <w:lang w:val="fr-FR"/>
        </w:rPr>
      </w:pPr>
      <w:r>
        <w:rPr>
          <w:rStyle w:val="FootnoteReference"/>
          <w:lang w:val="fr"/>
        </w:rPr>
        <w:footnoteRef/>
      </w:r>
      <w:r>
        <w:rPr>
          <w:lang w:val="fr"/>
        </w:rPr>
        <w:t xml:space="preserve"> http://www.barantech.com.tr/products/free-cooling/</w:t>
      </w:r>
    </w:p>
  </w:footnote>
  <w:footnote w:id="26">
    <w:p w14:paraId="62A04A1F" w14:textId="77777777" w:rsidR="00A51E02" w:rsidRPr="00594BB3" w:rsidRDefault="00A51E02" w:rsidP="00963F10">
      <w:pPr>
        <w:pStyle w:val="FootnoteText"/>
        <w:rPr>
          <w:lang w:val="fr-FR"/>
        </w:rPr>
      </w:pPr>
      <w:r>
        <w:rPr>
          <w:rStyle w:val="FootnoteReference"/>
          <w:lang w:val="fr"/>
        </w:rPr>
        <w:footnoteRef/>
      </w:r>
      <w:r>
        <w:rPr>
          <w:lang w:val="fr"/>
        </w:rPr>
        <w:t xml:space="preserve"> Paragraphe 16(d) du document UNEP/OzL.Pro/ExCom/85/32.</w:t>
      </w:r>
    </w:p>
  </w:footnote>
  <w:footnote w:id="27">
    <w:p w14:paraId="3A4867C6" w14:textId="0CF5B8C9" w:rsidR="00A51E02" w:rsidRPr="00594BB3" w:rsidRDefault="00A51E02" w:rsidP="00963F10">
      <w:pPr>
        <w:pStyle w:val="FootnoteText"/>
        <w:rPr>
          <w:lang w:val="fr-FR"/>
        </w:rPr>
      </w:pPr>
      <w:r>
        <w:rPr>
          <w:rStyle w:val="FootnoteReference"/>
          <w:lang w:val="fr"/>
        </w:rPr>
        <w:footnoteRef/>
      </w:r>
      <w:r>
        <w:rPr>
          <w:lang w:val="fr"/>
        </w:rPr>
        <w:t xml:space="preserve"> Annexe XXII au document UNEP/OzL.Pro/ExCom/75/85.</w:t>
      </w:r>
    </w:p>
  </w:footnote>
  <w:footnote w:id="28">
    <w:p w14:paraId="06C1DF9D" w14:textId="34ADA425" w:rsidR="00A51E02" w:rsidRPr="00594BB3" w:rsidRDefault="00A51E02" w:rsidP="00963F10">
      <w:pPr>
        <w:pStyle w:val="FootnoteText"/>
        <w:rPr>
          <w:lang w:val="fr-FR"/>
        </w:rPr>
      </w:pPr>
      <w:r>
        <w:rPr>
          <w:rStyle w:val="FootnoteReference"/>
          <w:lang w:val="fr"/>
        </w:rPr>
        <w:footnoteRef/>
      </w:r>
      <w:r>
        <w:rPr>
          <w:lang w:val="fr"/>
        </w:rPr>
        <w:t xml:space="preserve"> Annexe XV au document UNEP/OzL.Pro/ExCom/86/100.</w:t>
      </w:r>
    </w:p>
  </w:footnote>
  <w:footnote w:id="29">
    <w:p w14:paraId="56AC44DA" w14:textId="77777777" w:rsidR="00A51E02" w:rsidRPr="00594BB3" w:rsidRDefault="00A51E02" w:rsidP="00963F10">
      <w:pPr>
        <w:pStyle w:val="FootnoteText"/>
        <w:rPr>
          <w:lang w:val="fr-FR"/>
        </w:rPr>
      </w:pPr>
      <w:r>
        <w:rPr>
          <w:rStyle w:val="FootnoteReference"/>
          <w:lang w:val="fr"/>
        </w:rPr>
        <w:footnoteRef/>
      </w:r>
      <w:r>
        <w:rPr>
          <w:lang w:val="fr"/>
        </w:rPr>
        <w:t xml:space="preserve"> Les frigorigènes récupérés comprennent du R-134a (7,21 tm), du R-407a (0,10 tm), du R-410a (0,63 tm), et du R</w:t>
      </w:r>
      <w:r>
        <w:rPr>
          <w:lang w:val="fr"/>
        </w:rPr>
        <w:noBreakHyphen/>
        <w:t>22 (2,23 tm) ; les frigorigènes recyclés incluent du R</w:t>
      </w:r>
      <w:r>
        <w:rPr>
          <w:lang w:val="fr"/>
        </w:rPr>
        <w:noBreakHyphen/>
        <w:t>134a (6,50 tm), du R-407a (0,10 tm), du R-410a (0,57 tm), et du R</w:t>
      </w:r>
      <w:r>
        <w:rPr>
          <w:lang w:val="fr"/>
        </w:rPr>
        <w:noBreakHyphen/>
        <w:t>22 (2,03 tm).</w:t>
      </w:r>
    </w:p>
  </w:footnote>
  <w:footnote w:id="30">
    <w:p w14:paraId="29DA4F97" w14:textId="715F06C0" w:rsidR="00A51E02" w:rsidRPr="00594BB3" w:rsidRDefault="00A51E02" w:rsidP="00963F10">
      <w:pPr>
        <w:pStyle w:val="FootnoteText"/>
        <w:rPr>
          <w:lang w:val="fr-FR"/>
        </w:rPr>
      </w:pPr>
      <w:r>
        <w:rPr>
          <w:rStyle w:val="FootnoteReference"/>
          <w:lang w:val="fr"/>
        </w:rPr>
        <w:footnoteRef/>
      </w:r>
      <w:r>
        <w:rPr>
          <w:lang w:val="fr"/>
        </w:rPr>
        <w:t xml:space="preserve"> Lors de la 86</w:t>
      </w:r>
      <w:r>
        <w:rPr>
          <w:vertAlign w:val="superscript"/>
          <w:lang w:val="fr"/>
        </w:rPr>
        <w:t>e</w:t>
      </w:r>
      <w:r>
        <w:rPr>
          <w:lang w:val="fr"/>
        </w:rPr>
        <w:t> réunion, il a aussi été noté que l’ONUDI inclurait les informations sur la mise en œuvre de l’interdiction des bonbonnes jetables, cependant lors de la 88</w:t>
      </w:r>
      <w:r>
        <w:rPr>
          <w:vertAlign w:val="superscript"/>
          <w:lang w:val="fr"/>
        </w:rPr>
        <w:t>e</w:t>
      </w:r>
      <w:r>
        <w:rPr>
          <w:lang w:val="fr"/>
        </w:rPr>
        <w:t> réunion, il a été convenu que cette interdiction serait mise en œuvre dans le cadre de la phase III du PGEH, prévu pour une mise en place d’ici 2026-2027, et s’appliquerait à tous les gaz contrôlés qui pourraient être importés dans des bonbonnes jetables.</w:t>
      </w:r>
    </w:p>
  </w:footnote>
  <w:footnote w:id="31">
    <w:p w14:paraId="6FEE85FD" w14:textId="77777777" w:rsidR="00A51E02" w:rsidRPr="004D1035" w:rsidRDefault="00A51E02" w:rsidP="00963F10">
      <w:pPr>
        <w:pStyle w:val="FootnoteText"/>
        <w:rPr>
          <w:lang w:val="fr-CA"/>
        </w:rPr>
      </w:pPr>
      <w:r>
        <w:rPr>
          <w:rStyle w:val="FootnoteReference"/>
        </w:rPr>
        <w:footnoteRef/>
      </w:r>
      <w:r w:rsidRPr="004D1035">
        <w:rPr>
          <w:lang w:val="fr-CA"/>
        </w:rPr>
        <w:t xml:space="preserve"> Annexe XI du document UNEP/OzL.Pro/ExCom/87/58.</w:t>
      </w:r>
    </w:p>
  </w:footnote>
  <w:footnote w:id="32">
    <w:p w14:paraId="2C97211D" w14:textId="0C262447" w:rsidR="00A51E02" w:rsidRPr="006D16EB" w:rsidRDefault="00A51E02" w:rsidP="00963F10">
      <w:pPr>
        <w:pStyle w:val="FootnoteText"/>
        <w:rPr>
          <w:lang w:val="fr-CA"/>
        </w:rPr>
      </w:pPr>
      <w:r>
        <w:rPr>
          <w:rStyle w:val="FootnoteReference"/>
        </w:rPr>
        <w:footnoteRef/>
      </w:r>
      <w:r w:rsidRPr="006D16EB">
        <w:rPr>
          <w:lang w:val="fr-CA"/>
        </w:rPr>
        <w:t xml:space="preserve"> UNEP/OzL.</w:t>
      </w:r>
      <w:r>
        <w:rPr>
          <w:lang w:val="fr-CA"/>
        </w:rPr>
        <w:t>Pro/ExCom/77/67 et annexe XXIV a</w:t>
      </w:r>
      <w:r w:rsidRPr="006D16EB">
        <w:rPr>
          <w:lang w:val="fr-CA"/>
        </w:rPr>
        <w:t>u document</w:t>
      </w:r>
      <w:r>
        <w:rPr>
          <w:lang w:val="fr-CA"/>
        </w:rPr>
        <w:t> </w:t>
      </w:r>
      <w:r w:rsidRPr="006D16EB">
        <w:rPr>
          <w:lang w:val="fr-CA"/>
        </w:rPr>
        <w:t>UNEP/OzL.Pro/ExCom/77/76.</w:t>
      </w:r>
    </w:p>
  </w:footnote>
  <w:footnote w:id="33">
    <w:p w14:paraId="3CDE2615" w14:textId="77777777" w:rsidR="00A51E02" w:rsidRPr="00963F10" w:rsidRDefault="00A51E02" w:rsidP="00963F10">
      <w:pPr>
        <w:pStyle w:val="FootnoteText"/>
        <w:rPr>
          <w:lang w:val="fr-CA"/>
        </w:rPr>
      </w:pPr>
      <w:r>
        <w:rPr>
          <w:rStyle w:val="FootnoteReference"/>
        </w:rPr>
        <w:footnoteRef/>
      </w:r>
      <w:r w:rsidRPr="00963F10">
        <w:rPr>
          <w:lang w:val="fr-CA"/>
        </w:rPr>
        <w:t xml:space="preserve"> UNEP/OzL.Pro/ExCom/82/61.</w:t>
      </w:r>
    </w:p>
  </w:footnote>
  <w:footnote w:id="34">
    <w:p w14:paraId="3167D796" w14:textId="76AED6FF" w:rsidR="00A51E02" w:rsidRPr="006D16EB" w:rsidRDefault="00A51E02" w:rsidP="00963F10">
      <w:pPr>
        <w:pStyle w:val="FootnoteText"/>
        <w:jc w:val="left"/>
        <w:rPr>
          <w:lang w:val="fr-CA"/>
        </w:rPr>
      </w:pPr>
      <w:r>
        <w:rPr>
          <w:rStyle w:val="FootnoteReference"/>
        </w:rPr>
        <w:footnoteRef/>
      </w:r>
      <w:r w:rsidRPr="006D16EB">
        <w:rPr>
          <w:lang w:val="fr-CA"/>
        </w:rPr>
        <w:t xml:space="preserve"> Décision 84/37 b) et annexe IV </w:t>
      </w:r>
      <w:r>
        <w:rPr>
          <w:lang w:val="fr-CA"/>
        </w:rPr>
        <w:t>au</w:t>
      </w:r>
      <w:r w:rsidRPr="006D16EB">
        <w:rPr>
          <w:lang w:val="fr-CA"/>
        </w:rPr>
        <w:t xml:space="preserve"> document</w:t>
      </w:r>
      <w:r>
        <w:rPr>
          <w:lang w:val="fr-CA"/>
        </w:rPr>
        <w:t> </w:t>
      </w:r>
      <w:r w:rsidRPr="006D16EB">
        <w:rPr>
          <w:lang w:val="fr-CA"/>
        </w:rPr>
        <w:t>UNEP/OzL.Pro/ExCom/85/67.</w:t>
      </w:r>
    </w:p>
  </w:footnote>
  <w:footnote w:id="35">
    <w:p w14:paraId="77C654CE" w14:textId="77777777" w:rsidR="00A51E02" w:rsidRPr="002A67DD" w:rsidRDefault="00A51E02" w:rsidP="00963F10">
      <w:pPr>
        <w:pStyle w:val="FootnoteText"/>
        <w:rPr>
          <w:lang w:val="fr-CA"/>
        </w:rPr>
      </w:pPr>
      <w:r>
        <w:rPr>
          <w:rStyle w:val="FootnoteReference"/>
        </w:rPr>
        <w:footnoteRef/>
      </w:r>
      <w:r w:rsidRPr="002A67DD">
        <w:rPr>
          <w:lang w:val="fr-CA"/>
        </w:rPr>
        <w:t xml:space="preserve"> Paragraphe 199 du document UNEP/OzL.Pro/ExCom/87/58.</w:t>
      </w:r>
    </w:p>
  </w:footnote>
  <w:footnote w:id="36">
    <w:p w14:paraId="0EB04F56" w14:textId="633776A4" w:rsidR="00A51E02" w:rsidRPr="00963F10" w:rsidRDefault="00A51E02" w:rsidP="00963F10">
      <w:pPr>
        <w:pStyle w:val="FootnoteText"/>
        <w:rPr>
          <w:lang w:val="fr-CA"/>
        </w:rPr>
      </w:pPr>
      <w:r>
        <w:rPr>
          <w:rStyle w:val="FootnoteReference"/>
        </w:rPr>
        <w:footnoteRef/>
      </w:r>
      <w:r w:rsidRPr="00963F10">
        <w:rPr>
          <w:lang w:val="fr-CA"/>
        </w:rPr>
        <w:t xml:space="preserve"> Paragraphe 5 </w:t>
      </w:r>
      <w:r>
        <w:rPr>
          <w:lang w:val="fr-CA"/>
        </w:rPr>
        <w:t>du</w:t>
      </w:r>
      <w:r w:rsidRPr="00963F10">
        <w:rPr>
          <w:lang w:val="fr-CA"/>
        </w:rPr>
        <w:t xml:space="preserve"> document UNEP/OzL.Pro/ExCom/88/77. </w:t>
      </w:r>
    </w:p>
  </w:footnote>
  <w:footnote w:id="37">
    <w:p w14:paraId="1CE04A52" w14:textId="77777777" w:rsidR="00A51E02" w:rsidRPr="00557E1C" w:rsidRDefault="00A51E02" w:rsidP="00963F10">
      <w:pPr>
        <w:pStyle w:val="FootnoteText"/>
        <w:rPr>
          <w:lang w:val="fr-CA"/>
        </w:rPr>
      </w:pPr>
      <w:r>
        <w:rPr>
          <w:rStyle w:val="FootnoteReference"/>
        </w:rPr>
        <w:footnoteRef/>
      </w:r>
      <w:r w:rsidRPr="00557E1C">
        <w:rPr>
          <w:lang w:val="fr-CA"/>
        </w:rPr>
        <w:t xml:space="preserve"> Paragraphe 8 du document UNEP/OzL.Pro/ExCom/88/77.</w:t>
      </w:r>
    </w:p>
  </w:footnote>
  <w:footnote w:id="38">
    <w:p w14:paraId="638FE87B" w14:textId="77777777" w:rsidR="00A51E02" w:rsidRPr="00812C74" w:rsidRDefault="00A51E02" w:rsidP="00963F10">
      <w:pPr>
        <w:rPr>
          <w:sz w:val="20"/>
          <w:szCs w:val="20"/>
          <w:lang w:val="fr-CA"/>
        </w:rPr>
      </w:pPr>
      <w:r>
        <w:rPr>
          <w:rStyle w:val="FootnoteReference"/>
        </w:rPr>
        <w:footnoteRef/>
      </w:r>
      <w:r w:rsidRPr="00812C74">
        <w:rPr>
          <w:lang w:val="fr-CA"/>
        </w:rPr>
        <w:t xml:space="preserve"> </w:t>
      </w:r>
      <w:r w:rsidRPr="00812C74">
        <w:rPr>
          <w:sz w:val="20"/>
          <w:szCs w:val="20"/>
          <w:lang w:val="fr-CA"/>
        </w:rPr>
        <w:t xml:space="preserve">À titre de référence, si la production de HCFC-22 </w:t>
      </w:r>
      <w:r>
        <w:rPr>
          <w:sz w:val="20"/>
          <w:szCs w:val="20"/>
          <w:lang w:val="fr-CA"/>
        </w:rPr>
        <w:t>à la</w:t>
      </w:r>
      <w:r w:rsidRPr="00812C74">
        <w:rPr>
          <w:sz w:val="20"/>
          <w:szCs w:val="20"/>
          <w:lang w:val="fr-CA"/>
        </w:rPr>
        <w:t xml:space="preserve"> FIASA en 2022 augmentait de 40</w:t>
      </w:r>
      <w:r>
        <w:rPr>
          <w:sz w:val="20"/>
          <w:szCs w:val="20"/>
          <w:lang w:val="fr-CA"/>
        </w:rPr>
        <w:t> </w:t>
      </w:r>
      <w:r w:rsidRPr="00812C74">
        <w:rPr>
          <w:sz w:val="20"/>
          <w:szCs w:val="20"/>
          <w:lang w:val="fr-CA"/>
        </w:rPr>
        <w:t>% par rapport à sa production de 2021, la capacité du réservoir cryogénique serait encore suffisante pour stocker le sous-produit</w:t>
      </w:r>
      <w:r>
        <w:rPr>
          <w:sz w:val="20"/>
          <w:szCs w:val="20"/>
          <w:lang w:val="fr-CA"/>
        </w:rPr>
        <w:t> </w:t>
      </w:r>
      <w:r w:rsidRPr="00812C74">
        <w:rPr>
          <w:sz w:val="20"/>
          <w:szCs w:val="20"/>
          <w:lang w:val="fr-CA"/>
        </w:rPr>
        <w:t xml:space="preserve">HFC-23 généré pour le reste de l'année 2022, étant donné le taux historique de génération de sous-produit de </w:t>
      </w:r>
      <w:r>
        <w:rPr>
          <w:sz w:val="20"/>
          <w:szCs w:val="20"/>
          <w:lang w:val="fr-CA"/>
        </w:rPr>
        <w:t>la FIASA de 3,24 </w:t>
      </w:r>
      <w:r w:rsidRPr="00812C74">
        <w:rPr>
          <w:sz w:val="20"/>
          <w:szCs w:val="20"/>
          <w:lang w:val="fr-CA"/>
        </w:rPr>
        <w:t>% et la quantité de HCFC-22 déjà produite en 2022.</w:t>
      </w:r>
      <w:r w:rsidRPr="00812C74">
        <w:rPr>
          <w:lang w:val="fr-CA"/>
        </w:rPr>
        <w:t xml:space="preserve"> </w:t>
      </w:r>
    </w:p>
  </w:footnote>
  <w:footnote w:id="39">
    <w:p w14:paraId="22D69578" w14:textId="77777777" w:rsidR="00A51E02" w:rsidRPr="00DC2DE1" w:rsidRDefault="00A51E02" w:rsidP="00963F10">
      <w:pPr>
        <w:rPr>
          <w:sz w:val="20"/>
          <w:szCs w:val="20"/>
          <w:lang w:val="fr-CA"/>
        </w:rPr>
      </w:pPr>
      <w:r>
        <w:rPr>
          <w:rStyle w:val="FootnoteReference"/>
        </w:rPr>
        <w:footnoteRef/>
      </w:r>
      <w:r w:rsidRPr="00DC2DE1">
        <w:rPr>
          <w:lang w:val="fr-CA"/>
        </w:rPr>
        <w:t xml:space="preserve"> </w:t>
      </w:r>
      <w:r>
        <w:rPr>
          <w:sz w:val="20"/>
          <w:szCs w:val="20"/>
          <w:lang w:val="fr-CA"/>
        </w:rPr>
        <w:t>Lors de la 83</w:t>
      </w:r>
      <w:r w:rsidRPr="007F0ED0">
        <w:rPr>
          <w:sz w:val="20"/>
          <w:szCs w:val="20"/>
          <w:vertAlign w:val="superscript"/>
          <w:lang w:val="fr-CA"/>
        </w:rPr>
        <w:t>e</w:t>
      </w:r>
      <w:r>
        <w:rPr>
          <w:sz w:val="20"/>
          <w:szCs w:val="20"/>
          <w:lang w:val="fr-CA"/>
        </w:rPr>
        <w:t> </w:t>
      </w:r>
      <w:r w:rsidRPr="00DC2DE1">
        <w:rPr>
          <w:sz w:val="20"/>
          <w:szCs w:val="20"/>
          <w:lang w:val="fr-CA"/>
        </w:rPr>
        <w:t xml:space="preserve">réunion, il a été signalé que, sur la base des essais effectués par l'entreprise, ainsi que des résultats du projet de démonstration </w:t>
      </w:r>
      <w:r>
        <w:rPr>
          <w:sz w:val="20"/>
          <w:szCs w:val="20"/>
          <w:lang w:val="fr-CA"/>
        </w:rPr>
        <w:t>visant à promouvoir</w:t>
      </w:r>
      <w:r w:rsidRPr="00DC2DE1">
        <w:rPr>
          <w:sz w:val="20"/>
          <w:szCs w:val="20"/>
          <w:lang w:val="fr-CA"/>
        </w:rPr>
        <w:t xml:space="preserve"> des solutions de remplacement des frigorigènes </w:t>
      </w:r>
      <w:r>
        <w:rPr>
          <w:sz w:val="20"/>
          <w:szCs w:val="20"/>
          <w:lang w:val="fr-CA"/>
        </w:rPr>
        <w:t>dans</w:t>
      </w:r>
      <w:r w:rsidRPr="00DC2DE1">
        <w:rPr>
          <w:sz w:val="20"/>
          <w:szCs w:val="20"/>
          <w:lang w:val="fr-CA"/>
        </w:rPr>
        <w:t xml:space="preserve"> les pays à température ambiante élevée (PRAHA-II), </w:t>
      </w:r>
      <w:r>
        <w:rPr>
          <w:sz w:val="20"/>
          <w:szCs w:val="20"/>
          <w:lang w:val="fr-CA"/>
        </w:rPr>
        <w:t>celle-ci</w:t>
      </w:r>
      <w:r w:rsidRPr="00DC2DE1">
        <w:rPr>
          <w:sz w:val="20"/>
          <w:szCs w:val="20"/>
          <w:lang w:val="fr-CA"/>
        </w:rPr>
        <w:t xml:space="preserve"> a décidé de concentrer sa production sur </w:t>
      </w:r>
      <w:r>
        <w:rPr>
          <w:sz w:val="20"/>
          <w:szCs w:val="20"/>
          <w:lang w:val="fr-CA"/>
        </w:rPr>
        <w:t>l’</w:t>
      </w:r>
      <w:r w:rsidRPr="00DC2DE1">
        <w:rPr>
          <w:sz w:val="20"/>
          <w:szCs w:val="20"/>
          <w:lang w:val="fr-CA"/>
        </w:rPr>
        <w:t>équipement à base de R-290, bien que l'utilisation future de HFO et de mélanges de HFO ne soit pas exclue.</w:t>
      </w:r>
    </w:p>
  </w:footnote>
  <w:footnote w:id="40">
    <w:p w14:paraId="1D30EDD2" w14:textId="77777777" w:rsidR="00A51E02" w:rsidRPr="00DC2DE1" w:rsidRDefault="00A51E02" w:rsidP="00963F10">
      <w:pPr>
        <w:rPr>
          <w:sz w:val="20"/>
          <w:szCs w:val="20"/>
          <w:lang w:val="fr-CA"/>
        </w:rPr>
      </w:pPr>
      <w:r>
        <w:rPr>
          <w:rStyle w:val="FootnoteReference"/>
        </w:rPr>
        <w:footnoteRef/>
      </w:r>
      <w:r w:rsidRPr="00DC2DE1">
        <w:rPr>
          <w:lang w:val="fr-CA"/>
        </w:rPr>
        <w:t xml:space="preserve"> </w:t>
      </w:r>
      <w:r w:rsidRPr="00DC2DE1">
        <w:rPr>
          <w:sz w:val="20"/>
          <w:szCs w:val="20"/>
          <w:lang w:val="fr-CA"/>
        </w:rPr>
        <w:t xml:space="preserve">Conformément aux règlements du Conseil de coopération du Golfe (CCG) </w:t>
      </w:r>
      <w:r>
        <w:rPr>
          <w:sz w:val="20"/>
          <w:szCs w:val="20"/>
          <w:lang w:val="fr-CA"/>
        </w:rPr>
        <w:t>sur</w:t>
      </w:r>
      <w:r w:rsidRPr="00DC2DE1">
        <w:rPr>
          <w:sz w:val="20"/>
          <w:szCs w:val="20"/>
          <w:lang w:val="fr-CA"/>
        </w:rPr>
        <w:t xml:space="preserve"> la mise sur le marché des climatiseurs, </w:t>
      </w:r>
      <w:r>
        <w:rPr>
          <w:sz w:val="20"/>
          <w:szCs w:val="20"/>
          <w:lang w:val="fr-CA"/>
        </w:rPr>
        <w:t xml:space="preserve">il faut obtenir </w:t>
      </w:r>
      <w:r w:rsidRPr="00DC2DE1">
        <w:rPr>
          <w:sz w:val="20"/>
          <w:szCs w:val="20"/>
          <w:lang w:val="fr-CA"/>
        </w:rPr>
        <w:t>une certification (appelée certification G-mark).</w:t>
      </w:r>
    </w:p>
    <w:p w14:paraId="792040DE" w14:textId="77777777" w:rsidR="00A51E02" w:rsidRPr="00DC2DE1" w:rsidRDefault="00A51E02" w:rsidP="00963F10">
      <w:pPr>
        <w:pStyle w:val="FootnoteText"/>
        <w:rPr>
          <w:lang w:val="fr-CA"/>
        </w:rPr>
      </w:pPr>
      <w:r w:rsidRPr="00DC2DE1">
        <w:rPr>
          <w:lang w:val="fr-CA"/>
        </w:rPr>
        <w:t xml:space="preserve"> </w:t>
      </w:r>
    </w:p>
  </w:footnote>
  <w:footnote w:id="41">
    <w:p w14:paraId="398EC45E" w14:textId="77777777" w:rsidR="00A51E02" w:rsidRPr="00F04743" w:rsidRDefault="00A51E02" w:rsidP="006345CD">
      <w:pPr>
        <w:pStyle w:val="FootnoteText"/>
        <w:rPr>
          <w:lang w:val="fr-CA"/>
        </w:rPr>
      </w:pPr>
      <w:r>
        <w:rPr>
          <w:rStyle w:val="FootnoteReference"/>
        </w:rPr>
        <w:footnoteRef/>
      </w:r>
      <w:r w:rsidRPr="00FC1FCC">
        <w:rPr>
          <w:lang w:val="fr-CA"/>
        </w:rPr>
        <w:t xml:space="preserve"> </w:t>
      </w:r>
      <w:r w:rsidRPr="00F04743">
        <w:rPr>
          <w:lang w:val="fr-CA"/>
        </w:rPr>
        <w:t>Le Comité du CSNU, établi conformément à la Résolution 1718</w:t>
      </w:r>
      <w:r>
        <w:rPr>
          <w:lang w:val="fr-CA"/>
        </w:rPr>
        <w:t xml:space="preserve">, avait été consulté préalablement à la soumission de la </w:t>
      </w:r>
      <w:r w:rsidRPr="00F04743">
        <w:rPr>
          <w:lang w:val="fr-CA"/>
        </w:rPr>
        <w:t xml:space="preserve">phase I </w:t>
      </w:r>
      <w:r>
        <w:rPr>
          <w:lang w:val="fr-CA"/>
        </w:rPr>
        <w:t>du</w:t>
      </w:r>
      <w:r w:rsidRPr="00F04743">
        <w:rPr>
          <w:lang w:val="fr-CA"/>
        </w:rPr>
        <w:t xml:space="preserve"> PGEH </w:t>
      </w:r>
      <w:r>
        <w:rPr>
          <w:lang w:val="fr-CA"/>
        </w:rPr>
        <w:t xml:space="preserve">afin de déterminer si les équipements ou tous autres services prévus dans le </w:t>
      </w:r>
      <w:r w:rsidRPr="00F04743">
        <w:rPr>
          <w:lang w:val="fr-CA"/>
        </w:rPr>
        <w:t xml:space="preserve">PGEH </w:t>
      </w:r>
      <w:r>
        <w:rPr>
          <w:lang w:val="fr-CA"/>
        </w:rPr>
        <w:t>pouvaient être fournis au pays</w:t>
      </w:r>
      <w:r w:rsidRPr="00F04743">
        <w:rPr>
          <w:lang w:val="fr-CA"/>
        </w:rPr>
        <w:t>.</w:t>
      </w:r>
    </w:p>
  </w:footnote>
  <w:footnote w:id="42">
    <w:p w14:paraId="351026E9" w14:textId="77777777" w:rsidR="00A51E02" w:rsidRPr="00A7643B" w:rsidRDefault="00A51E02" w:rsidP="006345CD">
      <w:pPr>
        <w:pStyle w:val="FootnoteText"/>
        <w:rPr>
          <w:lang w:val="fr-CA"/>
        </w:rPr>
      </w:pPr>
      <w:r w:rsidRPr="00A7643B">
        <w:rPr>
          <w:rStyle w:val="FootnoteReference"/>
          <w:lang w:val="fr-CA"/>
        </w:rPr>
        <w:footnoteRef/>
      </w:r>
      <w:r w:rsidRPr="00A7643B">
        <w:rPr>
          <w:lang w:val="fr-CA"/>
        </w:rPr>
        <w:t xml:space="preserve"> 23 au 27 novembre 2020.</w:t>
      </w:r>
    </w:p>
  </w:footnote>
  <w:footnote w:id="43">
    <w:p w14:paraId="47B18D8A" w14:textId="5C6FE4CD" w:rsidR="00A51E02" w:rsidRPr="00A7643B" w:rsidRDefault="00A51E02" w:rsidP="006345CD">
      <w:pPr>
        <w:pStyle w:val="FootnoteText"/>
        <w:rPr>
          <w:lang w:val="fr-CA"/>
        </w:rPr>
      </w:pPr>
      <w:r w:rsidRPr="00A7643B">
        <w:rPr>
          <w:rStyle w:val="FootnoteReference"/>
          <w:lang w:val="fr-CA"/>
        </w:rPr>
        <w:footnoteRef/>
      </w:r>
      <w:r w:rsidRPr="00A7643B">
        <w:rPr>
          <w:lang w:val="fr-CA"/>
        </w:rPr>
        <w:t xml:space="preserve"> </w:t>
      </w:r>
      <w:r>
        <w:rPr>
          <w:lang w:val="fr-CA"/>
        </w:rPr>
        <w:t xml:space="preserve">Les niveaux de consommation et de production de </w:t>
      </w:r>
      <w:r w:rsidRPr="00A7643B">
        <w:rPr>
          <w:lang w:val="fr-CA"/>
        </w:rPr>
        <w:t xml:space="preserve">HCFC </w:t>
      </w:r>
      <w:r>
        <w:rPr>
          <w:lang w:val="fr-CA"/>
        </w:rPr>
        <w:t xml:space="preserve">communiqués par le </w:t>
      </w:r>
      <w:r w:rsidRPr="00A7643B">
        <w:rPr>
          <w:lang w:val="fr-CA"/>
        </w:rPr>
        <w:t>Gouvernement of the République populaire démocratique de Corée</w:t>
      </w:r>
      <w:r>
        <w:rPr>
          <w:lang w:val="fr-CA"/>
        </w:rPr>
        <w:t xml:space="preserve"> au titre de l’</w:t>
      </w:r>
      <w:r w:rsidR="00436916">
        <w:rPr>
          <w:lang w:val="fr-CA"/>
        </w:rPr>
        <w:t>article</w:t>
      </w:r>
      <w:r w:rsidRPr="00A7643B">
        <w:rPr>
          <w:lang w:val="fr-CA"/>
        </w:rPr>
        <w:t> 7</w:t>
      </w:r>
      <w:r>
        <w:rPr>
          <w:lang w:val="fr-CA"/>
        </w:rPr>
        <w:t xml:space="preserve"> pour l’année </w:t>
      </w:r>
      <w:r w:rsidRPr="00A7643B">
        <w:rPr>
          <w:lang w:val="fr-CA"/>
        </w:rPr>
        <w:t>2020</w:t>
      </w:r>
      <w:r>
        <w:rPr>
          <w:lang w:val="fr-CA"/>
        </w:rPr>
        <w:t xml:space="preserve">, sont conformes aux niveaux indiqués dans le </w:t>
      </w:r>
      <w:r w:rsidRPr="00A7643B">
        <w:rPr>
          <w:lang w:val="fr-CA"/>
        </w:rPr>
        <w:t xml:space="preserve">plan of action </w:t>
      </w:r>
      <w:r>
        <w:rPr>
          <w:lang w:val="fr-CA"/>
        </w:rPr>
        <w:t>pour revenir à la conformité mentionnée dans la décision</w:t>
      </w:r>
      <w:r w:rsidRPr="00A7643B">
        <w:rPr>
          <w:lang w:val="fr-CA"/>
        </w:rPr>
        <w:t xml:space="preserve"> XXXII/6, </w:t>
      </w:r>
      <w:r>
        <w:rPr>
          <w:lang w:val="fr-CA"/>
        </w:rPr>
        <w:t xml:space="preserve">alors que les niveaux indiqués pour </w:t>
      </w:r>
      <w:r w:rsidRPr="00A7643B">
        <w:rPr>
          <w:lang w:val="fr-CA"/>
        </w:rPr>
        <w:t xml:space="preserve">2021 </w:t>
      </w:r>
      <w:r>
        <w:rPr>
          <w:lang w:val="fr-CA"/>
        </w:rPr>
        <w:t>dépassent légèrement les limites</w:t>
      </w:r>
      <w:r w:rsidRPr="00A7643B">
        <w:rPr>
          <w:lang w:val="fr-CA"/>
        </w:rPr>
        <w:t xml:space="preserve"> (cons</w:t>
      </w:r>
      <w:r>
        <w:rPr>
          <w:lang w:val="fr-CA"/>
        </w:rPr>
        <w:t xml:space="preserve">ommation de </w:t>
      </w:r>
      <w:r w:rsidRPr="00A7643B">
        <w:rPr>
          <w:lang w:val="fr-CA"/>
        </w:rPr>
        <w:t>58</w:t>
      </w:r>
      <w:r>
        <w:rPr>
          <w:lang w:val="fr-CA"/>
        </w:rPr>
        <w:t>,</w:t>
      </w:r>
      <w:r w:rsidRPr="00A7643B">
        <w:rPr>
          <w:lang w:val="fr-CA"/>
        </w:rPr>
        <w:t xml:space="preserve">03 tonnes </w:t>
      </w:r>
      <w:r>
        <w:rPr>
          <w:lang w:val="fr-CA"/>
        </w:rPr>
        <w:t xml:space="preserve">PAO comparée à la cible de </w:t>
      </w:r>
      <w:r w:rsidRPr="00A7643B">
        <w:rPr>
          <w:lang w:val="fr-CA"/>
        </w:rPr>
        <w:t>58</w:t>
      </w:r>
      <w:r>
        <w:rPr>
          <w:lang w:val="fr-CA"/>
        </w:rPr>
        <w:t>,</w:t>
      </w:r>
      <w:r w:rsidRPr="00A7643B">
        <w:rPr>
          <w:lang w:val="fr-CA"/>
        </w:rPr>
        <w:t>00 tonnes</w:t>
      </w:r>
      <w:r>
        <w:rPr>
          <w:lang w:val="fr-CA"/>
        </w:rPr>
        <w:t xml:space="preserve"> PAO</w:t>
      </w:r>
      <w:r w:rsidRPr="00A7643B">
        <w:rPr>
          <w:lang w:val="fr-CA"/>
        </w:rPr>
        <w:t xml:space="preserve">, </w:t>
      </w:r>
      <w:r>
        <w:rPr>
          <w:lang w:val="fr-CA"/>
        </w:rPr>
        <w:t>et</w:t>
      </w:r>
      <w:r w:rsidRPr="00A7643B">
        <w:rPr>
          <w:lang w:val="fr-CA"/>
        </w:rPr>
        <w:t xml:space="preserve"> production </w:t>
      </w:r>
      <w:r>
        <w:rPr>
          <w:lang w:val="fr-CA"/>
        </w:rPr>
        <w:t>de</w:t>
      </w:r>
      <w:r w:rsidRPr="00A7643B">
        <w:rPr>
          <w:lang w:val="fr-CA"/>
        </w:rPr>
        <w:t xml:space="preserve"> 24</w:t>
      </w:r>
      <w:r>
        <w:rPr>
          <w:lang w:val="fr-CA"/>
        </w:rPr>
        <w:t>,</w:t>
      </w:r>
      <w:r w:rsidRPr="00A7643B">
        <w:rPr>
          <w:lang w:val="fr-CA"/>
        </w:rPr>
        <w:t>81</w:t>
      </w:r>
      <w:r>
        <w:rPr>
          <w:lang w:val="fr-CA"/>
        </w:rPr>
        <w:t xml:space="preserve"> </w:t>
      </w:r>
      <w:r w:rsidRPr="00A7643B">
        <w:rPr>
          <w:lang w:val="fr-CA"/>
        </w:rPr>
        <w:t>tonnes</w:t>
      </w:r>
      <w:r>
        <w:rPr>
          <w:lang w:val="fr-CA"/>
        </w:rPr>
        <w:t xml:space="preserve"> PAO</w:t>
      </w:r>
      <w:r w:rsidRPr="00A7643B">
        <w:rPr>
          <w:lang w:val="fr-CA"/>
        </w:rPr>
        <w:t xml:space="preserve"> </w:t>
      </w:r>
      <w:r>
        <w:rPr>
          <w:lang w:val="fr-CA"/>
        </w:rPr>
        <w:t xml:space="preserve">contre la cible de </w:t>
      </w:r>
      <w:r w:rsidRPr="00A7643B">
        <w:rPr>
          <w:lang w:val="fr-CA"/>
        </w:rPr>
        <w:t>24</w:t>
      </w:r>
      <w:r>
        <w:rPr>
          <w:lang w:val="fr-CA"/>
        </w:rPr>
        <w:t>,</w:t>
      </w:r>
      <w:r w:rsidRPr="00A7643B">
        <w:rPr>
          <w:lang w:val="fr-CA"/>
        </w:rPr>
        <w:t>80 tonnes</w:t>
      </w:r>
      <w:r>
        <w:rPr>
          <w:lang w:val="fr-CA"/>
        </w:rPr>
        <w:t xml:space="preserve"> PAO</w:t>
      </w:r>
      <w:r w:rsidRPr="00A7643B">
        <w:rPr>
          <w:lang w:val="fr-CA"/>
        </w:rPr>
        <w:t xml:space="preserve">). </w:t>
      </w:r>
      <w:r>
        <w:rPr>
          <w:lang w:val="fr-CA"/>
        </w:rPr>
        <w:t>La</w:t>
      </w:r>
      <w:r w:rsidRPr="00A7643B">
        <w:rPr>
          <w:lang w:val="fr-CA"/>
        </w:rPr>
        <w:t xml:space="preserve"> 68</w:t>
      </w:r>
      <w:r>
        <w:rPr>
          <w:vertAlign w:val="superscript"/>
          <w:lang w:val="fr-CA"/>
        </w:rPr>
        <w:t>e</w:t>
      </w:r>
      <w:r w:rsidRPr="00A7643B">
        <w:rPr>
          <w:lang w:val="fr-CA"/>
        </w:rPr>
        <w:t xml:space="preserve"> réunion </w:t>
      </w:r>
      <w:r>
        <w:rPr>
          <w:lang w:val="fr-CA"/>
        </w:rPr>
        <w:t xml:space="preserve">du Comité d’exécution </w:t>
      </w:r>
      <w:r w:rsidRPr="00A7643B">
        <w:rPr>
          <w:lang w:val="fr-CA"/>
        </w:rPr>
        <w:t xml:space="preserve">(9 </w:t>
      </w:r>
      <w:r>
        <w:rPr>
          <w:lang w:val="fr-CA"/>
        </w:rPr>
        <w:t>juillet</w:t>
      </w:r>
      <w:r w:rsidRPr="00A7643B">
        <w:rPr>
          <w:lang w:val="fr-CA"/>
        </w:rPr>
        <w:t xml:space="preserve"> 2022) </w:t>
      </w:r>
      <w:r>
        <w:rPr>
          <w:lang w:val="fr-CA"/>
        </w:rPr>
        <w:t xml:space="preserve">se penchera sur l’état de conformité du pays pour </w:t>
      </w:r>
      <w:r w:rsidRPr="00A7643B">
        <w:rPr>
          <w:lang w:val="fr-CA"/>
        </w:rPr>
        <w:t xml:space="preserve">2021 </w:t>
      </w:r>
      <w:r>
        <w:rPr>
          <w:lang w:val="fr-CA"/>
        </w:rPr>
        <w:t>à la lumière des données communiquées</w:t>
      </w:r>
      <w:r w:rsidRPr="00A7643B">
        <w:rPr>
          <w:lang w:val="fr-CA"/>
        </w:rPr>
        <w:t>.</w:t>
      </w:r>
    </w:p>
  </w:footnote>
  <w:footnote w:id="44">
    <w:p w14:paraId="018FB942" w14:textId="405BD37B" w:rsidR="00A51E02" w:rsidRPr="00F413AA" w:rsidRDefault="00A51E02" w:rsidP="006345CD">
      <w:pPr>
        <w:pStyle w:val="FootnoteText"/>
        <w:rPr>
          <w:lang w:val="fr-CA"/>
        </w:rPr>
      </w:pPr>
      <w:r w:rsidRPr="00F413AA">
        <w:rPr>
          <w:rStyle w:val="FootnoteReference"/>
          <w:lang w:val="fr-CA"/>
        </w:rPr>
        <w:footnoteRef/>
      </w:r>
      <w:r w:rsidRPr="00F413AA">
        <w:rPr>
          <w:lang w:val="fr-CA"/>
        </w:rPr>
        <w:t xml:space="preserve"> Le niveau de financement indiqué </w:t>
      </w:r>
      <w:r>
        <w:rPr>
          <w:lang w:val="fr-CA"/>
        </w:rPr>
        <w:t xml:space="preserve">est conforme à l’Accord actualisé de la </w:t>
      </w:r>
      <w:r w:rsidRPr="00F413AA">
        <w:rPr>
          <w:lang w:val="fr-CA"/>
        </w:rPr>
        <w:t>84</w:t>
      </w:r>
      <w:r>
        <w:rPr>
          <w:vertAlign w:val="superscript"/>
          <w:lang w:val="fr-CA"/>
        </w:rPr>
        <w:t>e</w:t>
      </w:r>
      <w:r w:rsidRPr="00F413AA">
        <w:rPr>
          <w:lang w:val="fr-CA"/>
        </w:rPr>
        <w:t xml:space="preserve"> réunion (</w:t>
      </w:r>
      <w:r w:rsidR="00436916">
        <w:rPr>
          <w:lang w:val="fr-CA"/>
        </w:rPr>
        <w:t>annexe</w:t>
      </w:r>
      <w:r w:rsidRPr="00F413AA">
        <w:rPr>
          <w:lang w:val="fr-CA"/>
        </w:rPr>
        <w:t xml:space="preserve"> XXVIII </w:t>
      </w:r>
      <w:r>
        <w:rPr>
          <w:lang w:val="fr-CA"/>
        </w:rPr>
        <w:t>du</w:t>
      </w:r>
      <w:r w:rsidRPr="00F413AA">
        <w:rPr>
          <w:lang w:val="fr-CA"/>
        </w:rPr>
        <w:t xml:space="preserve"> document UNEP/OzL.Pro/ExCom/84/75); </w:t>
      </w:r>
      <w:r>
        <w:rPr>
          <w:lang w:val="fr-CA"/>
        </w:rPr>
        <w:t xml:space="preserve">à savoir le remboursement de </w:t>
      </w:r>
      <w:r w:rsidRPr="00F413AA">
        <w:rPr>
          <w:lang w:val="fr-CA"/>
        </w:rPr>
        <w:t>93</w:t>
      </w:r>
      <w:r>
        <w:rPr>
          <w:lang w:val="fr-CA"/>
        </w:rPr>
        <w:t> </w:t>
      </w:r>
      <w:r w:rsidRPr="00F413AA">
        <w:rPr>
          <w:lang w:val="fr-CA"/>
        </w:rPr>
        <w:t>358</w:t>
      </w:r>
      <w:r>
        <w:rPr>
          <w:lang w:val="fr-CA"/>
        </w:rPr>
        <w:t xml:space="preserve"> $US provenant du changement de la technologie à </w:t>
      </w:r>
      <w:proofErr w:type="spellStart"/>
      <w:r w:rsidRPr="00F413AA">
        <w:rPr>
          <w:lang w:val="fr-CA"/>
        </w:rPr>
        <w:t>Midea</w:t>
      </w:r>
      <w:proofErr w:type="spellEnd"/>
      <w:r w:rsidRPr="00F413AA">
        <w:rPr>
          <w:lang w:val="fr-CA"/>
        </w:rPr>
        <w:t xml:space="preserve"> Viet Nam </w:t>
      </w:r>
      <w:r>
        <w:rPr>
          <w:lang w:val="fr-CA"/>
        </w:rPr>
        <w:t xml:space="preserve">pour passer du </w:t>
      </w:r>
      <w:r w:rsidRPr="00F413AA">
        <w:rPr>
          <w:lang w:val="fr-CA"/>
        </w:rPr>
        <w:t xml:space="preserve">R-290 </w:t>
      </w:r>
      <w:r>
        <w:rPr>
          <w:lang w:val="fr-CA"/>
        </w:rPr>
        <w:t>au</w:t>
      </w:r>
      <w:r w:rsidRPr="00F413AA">
        <w:rPr>
          <w:lang w:val="fr-CA"/>
        </w:rPr>
        <w:t xml:space="preserve"> HFC-32</w:t>
      </w:r>
      <w:r>
        <w:rPr>
          <w:lang w:val="fr-CA"/>
        </w:rPr>
        <w:t xml:space="preserve">, mais non pas le remboursement de </w:t>
      </w:r>
      <w:r w:rsidRPr="00F413AA">
        <w:rPr>
          <w:kern w:val="36"/>
          <w:lang w:val="fr-CA"/>
        </w:rPr>
        <w:t>613</w:t>
      </w:r>
      <w:r>
        <w:rPr>
          <w:kern w:val="36"/>
          <w:lang w:val="fr-CA"/>
        </w:rPr>
        <w:t> </w:t>
      </w:r>
      <w:r w:rsidRPr="00F413AA">
        <w:rPr>
          <w:kern w:val="36"/>
          <w:lang w:val="fr-CA"/>
        </w:rPr>
        <w:t>568</w:t>
      </w:r>
      <w:r>
        <w:rPr>
          <w:kern w:val="36"/>
          <w:lang w:val="fr-CA"/>
        </w:rPr>
        <w:t xml:space="preserve"> $US provenant du retrait de l’entreprise de fabrication de mousse </w:t>
      </w:r>
      <w:r w:rsidR="00436916">
        <w:rPr>
          <w:lang w:val="fr-CA"/>
        </w:rPr>
        <w:t>de polystyrène extrudé</w:t>
      </w:r>
      <w:r w:rsidRPr="00F413AA">
        <w:rPr>
          <w:lang w:val="fr-CA"/>
        </w:rPr>
        <w:t xml:space="preserve"> Phu </w:t>
      </w:r>
      <w:proofErr w:type="spellStart"/>
      <w:r w:rsidRPr="00F413AA">
        <w:rPr>
          <w:lang w:val="fr-CA"/>
        </w:rPr>
        <w:t>Vuong</w:t>
      </w:r>
      <w:proofErr w:type="spellEnd"/>
      <w:r w:rsidRPr="00F413AA">
        <w:rPr>
          <w:lang w:val="fr-CA"/>
        </w:rPr>
        <w:t xml:space="preserve"> Corporation </w:t>
      </w:r>
      <w:proofErr w:type="spellStart"/>
      <w:r w:rsidRPr="00F413AA">
        <w:rPr>
          <w:lang w:val="fr-CA"/>
        </w:rPr>
        <w:t>Industry</w:t>
      </w:r>
      <w:proofErr w:type="spellEnd"/>
      <w:r w:rsidRPr="00F413AA">
        <w:rPr>
          <w:lang w:val="fr-CA"/>
        </w:rPr>
        <w:t xml:space="preserve"> </w:t>
      </w:r>
      <w:r>
        <w:rPr>
          <w:lang w:val="fr-CA"/>
        </w:rPr>
        <w:t xml:space="preserve">du </w:t>
      </w:r>
      <w:r w:rsidRPr="00F413AA">
        <w:rPr>
          <w:lang w:val="fr-CA"/>
        </w:rPr>
        <w:t>PGEH.</w:t>
      </w:r>
    </w:p>
  </w:footnote>
  <w:footnote w:id="45">
    <w:p w14:paraId="01C2CF74" w14:textId="77777777" w:rsidR="00A51E02" w:rsidRPr="003038F1" w:rsidRDefault="00A51E02" w:rsidP="006345CD">
      <w:pPr>
        <w:pStyle w:val="FootnoteText"/>
        <w:rPr>
          <w:lang w:val="fr-CA"/>
        </w:rPr>
      </w:pPr>
      <w:r>
        <w:rPr>
          <w:rStyle w:val="FootnoteReference"/>
        </w:rPr>
        <w:footnoteRef/>
      </w:r>
      <w:r w:rsidRPr="00FC1FCC">
        <w:rPr>
          <w:lang w:val="fr-CA"/>
        </w:rPr>
        <w:t xml:space="preserve"> </w:t>
      </w:r>
      <w:r w:rsidRPr="003038F1">
        <w:rPr>
          <w:lang w:val="fr-CA"/>
        </w:rPr>
        <w:t>Incluant</w:t>
      </w:r>
      <w:r w:rsidRPr="003038F1">
        <w:rPr>
          <w:bCs/>
          <w:lang w:val="fr-CA"/>
        </w:rPr>
        <w:t xml:space="preserve"> 93 358 $US, plus des coûts d’appui d’agence, déjà remboursés </w:t>
      </w:r>
      <w:r>
        <w:rPr>
          <w:bCs/>
          <w:lang w:val="fr-CA"/>
        </w:rPr>
        <w:t xml:space="preserve">en raison du changement de technologie à </w:t>
      </w:r>
      <w:proofErr w:type="spellStart"/>
      <w:r w:rsidRPr="003038F1">
        <w:rPr>
          <w:lang w:val="fr-CA"/>
        </w:rPr>
        <w:t>Midea</w:t>
      </w:r>
      <w:proofErr w:type="spellEnd"/>
      <w:r w:rsidRPr="003038F1">
        <w:rPr>
          <w:lang w:val="fr-CA"/>
        </w:rPr>
        <w:t xml:space="preserve"> Viet Nam </w:t>
      </w:r>
      <w:r>
        <w:rPr>
          <w:lang w:val="fr-CA"/>
        </w:rPr>
        <w:t xml:space="preserve">pour passer du </w:t>
      </w:r>
      <w:r w:rsidRPr="003038F1">
        <w:rPr>
          <w:lang w:val="fr-CA"/>
        </w:rPr>
        <w:t xml:space="preserve">R-290 </w:t>
      </w:r>
      <w:r>
        <w:rPr>
          <w:lang w:val="fr-CA"/>
        </w:rPr>
        <w:t>au</w:t>
      </w:r>
      <w:r w:rsidRPr="003038F1">
        <w:rPr>
          <w:lang w:val="fr-CA"/>
        </w:rPr>
        <w:t xml:space="preserve"> HFC</w:t>
      </w:r>
      <w:r w:rsidRPr="003038F1">
        <w:rPr>
          <w:lang w:val="fr-CA"/>
        </w:rPr>
        <w:noBreakHyphen/>
        <w:t xml:space="preserve">32 (décision 82/37(b)). </w:t>
      </w:r>
    </w:p>
  </w:footnote>
  <w:footnote w:id="46">
    <w:p w14:paraId="299D4AA4" w14:textId="77777777" w:rsidR="00A51E02" w:rsidRPr="003038F1" w:rsidRDefault="00A51E02" w:rsidP="006345CD">
      <w:pPr>
        <w:pStyle w:val="FootnoteText"/>
        <w:rPr>
          <w:lang w:val="fr-CA"/>
        </w:rPr>
      </w:pPr>
      <w:r w:rsidRPr="003038F1">
        <w:rPr>
          <w:rStyle w:val="FootnoteReference"/>
          <w:lang w:val="fr-CA"/>
        </w:rPr>
        <w:footnoteRef/>
      </w:r>
      <w:r w:rsidRPr="003038F1">
        <w:rPr>
          <w:lang w:val="fr-CA"/>
        </w:rPr>
        <w:t xml:space="preserve"> </w:t>
      </w:r>
      <w:r w:rsidRPr="003038F1">
        <w:rPr>
          <w:bCs/>
          <w:lang w:val="fr-CA"/>
        </w:rPr>
        <w:t>93</w:t>
      </w:r>
      <w:r>
        <w:rPr>
          <w:bCs/>
          <w:lang w:val="fr-CA"/>
        </w:rPr>
        <w:t> </w:t>
      </w:r>
      <w:r w:rsidRPr="003038F1">
        <w:rPr>
          <w:bCs/>
          <w:lang w:val="fr-CA"/>
        </w:rPr>
        <w:t>358</w:t>
      </w:r>
      <w:r>
        <w:rPr>
          <w:bCs/>
          <w:lang w:val="fr-CA"/>
        </w:rPr>
        <w:t> $US</w:t>
      </w:r>
      <w:r w:rsidRPr="003038F1">
        <w:rPr>
          <w:bCs/>
          <w:lang w:val="fr-CA"/>
        </w:rPr>
        <w:t xml:space="preserve">, plus </w:t>
      </w:r>
      <w:r>
        <w:rPr>
          <w:bCs/>
          <w:lang w:val="fr-CA"/>
        </w:rPr>
        <w:t xml:space="preserve">des </w:t>
      </w:r>
      <w:r w:rsidRPr="003038F1">
        <w:rPr>
          <w:bCs/>
          <w:lang w:val="fr-CA"/>
        </w:rPr>
        <w:t xml:space="preserve">coûts d’appui d’agence, </w:t>
      </w:r>
      <w:r>
        <w:rPr>
          <w:bCs/>
          <w:lang w:val="fr-CA"/>
        </w:rPr>
        <w:t xml:space="preserve">ont déjà été remboursés en raison du changement de </w:t>
      </w:r>
      <w:r w:rsidRPr="003038F1">
        <w:rPr>
          <w:lang w:val="fr-CA"/>
        </w:rPr>
        <w:t>technolog</w:t>
      </w:r>
      <w:r>
        <w:rPr>
          <w:lang w:val="fr-CA"/>
        </w:rPr>
        <w:t>ie à</w:t>
      </w:r>
      <w:r w:rsidRPr="003038F1">
        <w:rPr>
          <w:lang w:val="fr-CA"/>
        </w:rPr>
        <w:t xml:space="preserve"> </w:t>
      </w:r>
      <w:proofErr w:type="spellStart"/>
      <w:r w:rsidRPr="003038F1">
        <w:rPr>
          <w:lang w:val="fr-CA"/>
        </w:rPr>
        <w:t>Midea</w:t>
      </w:r>
      <w:proofErr w:type="spellEnd"/>
      <w:r w:rsidRPr="003038F1">
        <w:rPr>
          <w:lang w:val="fr-CA"/>
        </w:rPr>
        <w:t xml:space="preserve"> Viet Nam (décision 82/37(b)).</w:t>
      </w:r>
    </w:p>
  </w:footnote>
  <w:footnote w:id="47">
    <w:p w14:paraId="12454F15" w14:textId="77777777" w:rsidR="00A51E02" w:rsidRPr="003038F1" w:rsidRDefault="00A51E02" w:rsidP="006345CD">
      <w:pPr>
        <w:pStyle w:val="FootnoteText"/>
        <w:rPr>
          <w:lang w:val="fr-CA"/>
        </w:rPr>
      </w:pPr>
      <w:r w:rsidRPr="003038F1">
        <w:rPr>
          <w:rStyle w:val="FootnoteReference"/>
          <w:lang w:val="fr-CA"/>
        </w:rPr>
        <w:footnoteRef/>
      </w:r>
      <w:r w:rsidRPr="003038F1">
        <w:rPr>
          <w:lang w:val="fr-CA"/>
        </w:rPr>
        <w:t xml:space="preserve"> Paragraphe 16 du document UNEP/OzL.Pro/ExCom/87/40.</w:t>
      </w:r>
    </w:p>
  </w:footnote>
  <w:footnote w:id="48">
    <w:p w14:paraId="07F78720" w14:textId="77777777" w:rsidR="00A51E02" w:rsidRPr="00244F00" w:rsidRDefault="00A51E02" w:rsidP="006345CD">
      <w:pPr>
        <w:pStyle w:val="FootnoteText"/>
        <w:rPr>
          <w:lang w:val="fr-CA"/>
        </w:rPr>
      </w:pPr>
      <w:r>
        <w:rPr>
          <w:rStyle w:val="FootnoteReference"/>
        </w:rPr>
        <w:footnoteRef/>
      </w:r>
      <w:r w:rsidRPr="00FC1FCC">
        <w:rPr>
          <w:lang w:val="fr-CA"/>
        </w:rPr>
        <w:t xml:space="preserve"> </w:t>
      </w:r>
      <w:r w:rsidRPr="00244F00">
        <w:rPr>
          <w:lang w:val="fr-CA"/>
        </w:rPr>
        <w:t>Paragraphe 18 du document UNEP/OzL.Pro/ExCom/87/40.</w:t>
      </w:r>
    </w:p>
  </w:footnote>
  <w:footnote w:id="49">
    <w:p w14:paraId="3E079215" w14:textId="77777777" w:rsidR="00A51E02" w:rsidRPr="00F26CAB" w:rsidRDefault="00A51E02" w:rsidP="006345CD">
      <w:pPr>
        <w:pStyle w:val="FootnoteText"/>
        <w:rPr>
          <w:lang w:val="fr-CA"/>
        </w:rPr>
      </w:pPr>
      <w:r w:rsidRPr="00F26CAB">
        <w:rPr>
          <w:rStyle w:val="FootnoteReference"/>
          <w:lang w:val="fr-CA"/>
        </w:rPr>
        <w:footnoteRef/>
      </w:r>
      <w:r w:rsidRPr="00F26CAB">
        <w:rPr>
          <w:lang w:val="fr-CA"/>
        </w:rPr>
        <w:t xml:space="preserve"> La décision 84/92(d) demande aux agences bilatérales et d’exécution </w:t>
      </w:r>
      <w:r>
        <w:rPr>
          <w:lang w:val="fr-CA"/>
        </w:rPr>
        <w:t>d’appliquer la politique opérationnelle de l’égalité des sexes durant tout le cycle du projet</w:t>
      </w:r>
      <w:r w:rsidRPr="00F26CAB">
        <w:rPr>
          <w:lang w:val="fr-CA"/>
        </w:rPr>
        <w:t>.</w:t>
      </w:r>
    </w:p>
  </w:footnote>
  <w:footnote w:id="50">
    <w:p w14:paraId="437BFB58" w14:textId="77777777" w:rsidR="00A51E02" w:rsidRPr="00164D15" w:rsidRDefault="00A51E02" w:rsidP="006345CD">
      <w:pPr>
        <w:pStyle w:val="FootnoteText"/>
        <w:rPr>
          <w:lang w:val="fr-CA"/>
        </w:rPr>
      </w:pPr>
      <w:r w:rsidRPr="00164D15">
        <w:rPr>
          <w:rStyle w:val="FootnoteReference"/>
          <w:lang w:val="fr-CA"/>
        </w:rPr>
        <w:footnoteRef/>
      </w:r>
      <w:r w:rsidRPr="00164D15">
        <w:rPr>
          <w:lang w:val="fr-CA"/>
        </w:rPr>
        <w:t xml:space="preserve"> Paragraphe 24 du document UNEP/OzL.Pro/ExCom/87/40.</w:t>
      </w:r>
    </w:p>
  </w:footnote>
  <w:footnote w:id="51">
    <w:p w14:paraId="28703833" w14:textId="77777777" w:rsidR="00A51E02" w:rsidRPr="00A51E02" w:rsidRDefault="00A51E02" w:rsidP="00A51E02">
      <w:pPr>
        <w:pStyle w:val="FootnoteText"/>
        <w:rPr>
          <w:lang w:val="fr-CA"/>
        </w:rPr>
      </w:pPr>
      <w:r>
        <w:rPr>
          <w:rStyle w:val="FootnoteReference"/>
          <w:lang w:val="fr"/>
        </w:rPr>
        <w:footnoteRef/>
      </w:r>
      <w:r>
        <w:rPr>
          <w:lang w:val="fr"/>
        </w:rPr>
        <w:t xml:space="preserve"> UNEP/OzL.Pro/ExCom/90/25.</w:t>
      </w:r>
    </w:p>
  </w:footnote>
  <w:footnote w:id="52">
    <w:p w14:paraId="7428CEDF" w14:textId="77777777" w:rsidR="00A51E02" w:rsidRPr="00A51E02" w:rsidRDefault="00A51E02" w:rsidP="00A51E02">
      <w:pPr>
        <w:pStyle w:val="FootnoteText"/>
        <w:rPr>
          <w:lang w:val="fr-CA"/>
        </w:rPr>
      </w:pPr>
      <w:r>
        <w:rPr>
          <w:rStyle w:val="FootnoteReference"/>
          <w:lang w:val="fr"/>
        </w:rPr>
        <w:footnoteRef/>
      </w:r>
      <w:r w:rsidRPr="00A51E02">
        <w:rPr>
          <w:lang w:val="fr-CA"/>
        </w:rPr>
        <w:t xml:space="preserve"> UNEP/OzL.Pro/ExCom/90/27.</w:t>
      </w:r>
    </w:p>
  </w:footnote>
  <w:footnote w:id="53">
    <w:p w14:paraId="5C9532C0" w14:textId="77777777" w:rsidR="00A51E02" w:rsidRPr="00BA14FE" w:rsidRDefault="00A51E02" w:rsidP="00A51E02">
      <w:pPr>
        <w:pStyle w:val="FootnoteText"/>
        <w:rPr>
          <w:lang w:val="fr-FR"/>
        </w:rPr>
      </w:pPr>
      <w:r>
        <w:rPr>
          <w:rStyle w:val="FootnoteReference"/>
          <w:lang w:val="fr"/>
        </w:rPr>
        <w:footnoteRef/>
      </w:r>
      <w:r w:rsidRPr="00BA14FE">
        <w:rPr>
          <w:lang w:val="fr-FR"/>
        </w:rPr>
        <w:t xml:space="preserve"> UNEP/OzL.Pro/ExCom/90/33.</w:t>
      </w:r>
    </w:p>
  </w:footnote>
  <w:footnote w:id="54">
    <w:p w14:paraId="62C8E5C3" w14:textId="77777777" w:rsidR="00A51E02" w:rsidRPr="00776F27" w:rsidRDefault="00A51E02" w:rsidP="00A51E02">
      <w:pPr>
        <w:pStyle w:val="FootnoteText"/>
        <w:rPr>
          <w:lang w:val="fr-FR"/>
        </w:rPr>
      </w:pPr>
      <w:r>
        <w:rPr>
          <w:rStyle w:val="FootnoteReference"/>
          <w:lang w:val="fr"/>
        </w:rPr>
        <w:footnoteRef/>
      </w:r>
      <w:r>
        <w:rPr>
          <w:lang w:val="fr"/>
        </w:rPr>
        <w:t>Le R-290 a été utilisé pour remplacer le R-407C et le HFC-32 a été utilisé pour remplacer le R-410A.</w:t>
      </w:r>
    </w:p>
  </w:footnote>
  <w:footnote w:id="55">
    <w:p w14:paraId="502346E6" w14:textId="77777777" w:rsidR="00A51E02" w:rsidRPr="00776F27" w:rsidRDefault="00A51E02" w:rsidP="00A51E02">
      <w:pPr>
        <w:pStyle w:val="FootnoteText"/>
        <w:rPr>
          <w:lang w:val="fr-FR"/>
        </w:rPr>
      </w:pPr>
      <w:r>
        <w:rPr>
          <w:rStyle w:val="FootnoteReference"/>
          <w:lang w:val="fr"/>
        </w:rPr>
        <w:footnoteRef/>
      </w:r>
      <w:r>
        <w:rPr>
          <w:lang w:val="fr"/>
        </w:rPr>
        <w:t xml:space="preserve"> Paragraphe 24 du document UNEP/OzL.Pro/ExCom/81/40.</w:t>
      </w:r>
    </w:p>
  </w:footnote>
  <w:footnote w:id="56">
    <w:p w14:paraId="7463D652" w14:textId="77777777" w:rsidR="00A51E02" w:rsidRPr="00776F27" w:rsidRDefault="00A51E02" w:rsidP="00A51E02">
      <w:pPr>
        <w:pStyle w:val="FootnoteText"/>
        <w:rPr>
          <w:lang w:val="fr-FR"/>
        </w:rPr>
      </w:pPr>
      <w:r>
        <w:rPr>
          <w:rStyle w:val="FootnoteReference"/>
          <w:lang w:val="fr"/>
        </w:rPr>
        <w:footnoteRef/>
      </w:r>
      <w:r>
        <w:rPr>
          <w:lang w:val="fr"/>
        </w:rPr>
        <w:t xml:space="preserve"> Paragraphe 29 du document UNEP/OzL.Pro/ExCom/81/40 et décision 81/62(b)(iv).</w:t>
      </w:r>
    </w:p>
  </w:footnote>
  <w:footnote w:id="57">
    <w:p w14:paraId="3521EFCA" w14:textId="77777777" w:rsidR="00A51E02" w:rsidRPr="00776F27" w:rsidRDefault="00A51E02" w:rsidP="00A51E02">
      <w:pPr>
        <w:pStyle w:val="FootnoteText"/>
        <w:rPr>
          <w:lang w:val="fr-FR"/>
        </w:rPr>
      </w:pPr>
      <w:r>
        <w:rPr>
          <w:rStyle w:val="FootnoteReference"/>
          <w:lang w:val="fr"/>
        </w:rPr>
        <w:footnoteRef/>
      </w:r>
      <w:r>
        <w:rPr>
          <w:lang w:val="fr"/>
        </w:rPr>
        <w:t xml:space="preserve">Le 5 avril 2022, la Commission européenne a émis une proposition de révision de la réglementation relative aux gaz fluorés comprenant des mesures pour réduire encore plus l’utilisation de HFC dans l’UE, incluant entre autres une interdiction au 1er janvier 2027 de certains équipements de climatisation utilisation des gaz fluorés ayant un potentiel de réchauffement de la planète (PRG) supérieur à 750 ; ainsi que des mesures pour augmenter le nombre de techniciens et d’ingénieurs qualifiés pour manipuler du R-290. </w:t>
      </w:r>
    </w:p>
  </w:footnote>
  <w:footnote w:id="58">
    <w:p w14:paraId="71F8F6B7" w14:textId="77777777" w:rsidR="00A51E02" w:rsidRPr="00776F27" w:rsidRDefault="00A51E02" w:rsidP="00A51E02">
      <w:pPr>
        <w:pStyle w:val="FootnoteText"/>
        <w:rPr>
          <w:lang w:val="fr-FR"/>
        </w:rPr>
      </w:pPr>
      <w:r>
        <w:rPr>
          <w:rStyle w:val="FootnoteReference"/>
          <w:lang w:val="fr"/>
        </w:rPr>
        <w:footnoteRef/>
      </w:r>
      <w:r>
        <w:rPr>
          <w:lang w:val="fr"/>
        </w:rPr>
        <w:t>Les réglementations existantes spécifient que tout nouvel équipement de réfrigération et de climatisation fixe avec une charge supérieure à 22,7 kg doit utiliser un frigorigène avec un PRG inférieur à 150. Des amendements à la réglementation ont été soumis en février 2022 qui permettraient entre autres de limiter le PRG des HFC vendus en Californie après 2030 à 750 ou moins et demanderaient au Conseil californien des ressources de l’air de déterminer des dates limites d’adoption d’équipement de climatisation utilisant des frigorigènes ayant un PRG de 150 ou moins.</w:t>
      </w:r>
    </w:p>
  </w:footnote>
  <w:footnote w:id="59">
    <w:p w14:paraId="771DBE9E" w14:textId="77777777" w:rsidR="00A51E02" w:rsidRPr="00776F27" w:rsidRDefault="00A51E02" w:rsidP="00A51E02">
      <w:pPr>
        <w:pStyle w:val="FootnoteText"/>
        <w:rPr>
          <w:lang w:val="fr-FR"/>
        </w:rPr>
      </w:pPr>
      <w:r>
        <w:rPr>
          <w:rStyle w:val="FootnoteReference"/>
          <w:lang w:val="fr"/>
        </w:rPr>
        <w:footnoteRef/>
      </w:r>
      <w:r>
        <w:rPr>
          <w:lang w:val="fr"/>
        </w:rPr>
        <w:t xml:space="preserve"> Paragraphe 41 du document UNEP/OzL.Pro/ExCom/81/40.</w:t>
      </w:r>
    </w:p>
  </w:footnote>
  <w:footnote w:id="60">
    <w:p w14:paraId="4B26A238" w14:textId="77777777" w:rsidR="00A51E02" w:rsidRPr="00776F27" w:rsidRDefault="00A51E02" w:rsidP="00A51E02">
      <w:pPr>
        <w:pStyle w:val="FootnoteText"/>
        <w:rPr>
          <w:lang w:val="fr-FR"/>
        </w:rPr>
      </w:pPr>
      <w:r>
        <w:rPr>
          <w:rStyle w:val="FootnoteReference"/>
          <w:lang w:val="fr"/>
        </w:rPr>
        <w:footnoteRef/>
      </w:r>
      <w:r>
        <w:rPr>
          <w:lang w:val="fr"/>
        </w:rPr>
        <w:t xml:space="preserve"> Décisions 20/6(b), 60/44(f)(iii), et 74/50(c)(ii).</w:t>
      </w:r>
    </w:p>
  </w:footnote>
  <w:footnote w:id="61">
    <w:p w14:paraId="242A0AB3" w14:textId="77777777" w:rsidR="00A51E02" w:rsidRPr="00776F27" w:rsidRDefault="00A51E02" w:rsidP="00A51E02">
      <w:pPr>
        <w:pStyle w:val="FootnoteText"/>
        <w:rPr>
          <w:lang w:val="fr-FR"/>
        </w:rPr>
      </w:pPr>
      <w:r>
        <w:rPr>
          <w:rStyle w:val="FootnoteReference"/>
          <w:lang w:val="fr"/>
        </w:rPr>
        <w:footnoteRef/>
      </w:r>
      <w:r>
        <w:rPr>
          <w:lang w:val="fr"/>
        </w:rPr>
        <w:t>Les coûts associés au stockage et à la fourniture de frigorigènes étaient environ trois fois supérieurs au coût convenu, car l’entreprise a décidé d’installer une cuve ISO plutôt que les bonbonnes de grande capacité évoquées dans la proposition originale.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52A01E" w14:textId="2270DD67" w:rsidR="00A51E02" w:rsidRDefault="001D5443">
    <w:r>
      <w:fldChar w:fldCharType="begin"/>
    </w:r>
    <w:r>
      <w:instrText xml:space="preserve"> DOCPROPERTY "Document number"  \* MERGEFORMAT </w:instrText>
    </w:r>
    <w:r>
      <w:fldChar w:fldCharType="separate"/>
    </w:r>
    <w:r w:rsidR="00A51E02">
      <w:t>UNEP/</w:t>
    </w:r>
    <w:proofErr w:type="spellStart"/>
    <w:r w:rsidR="00A51E02">
      <w:t>OzL.Pro</w:t>
    </w:r>
    <w:proofErr w:type="spellEnd"/>
    <w:r w:rsidR="00A51E02">
      <w:t>/ExCom/90/9</w:t>
    </w:r>
    <w:r>
      <w:fldChar w:fldCharType="end"/>
    </w:r>
  </w:p>
  <w:p w14:paraId="04D55FB7" w14:textId="77777777" w:rsidR="00A51E02" w:rsidRDefault="00A51E02"/>
  <w:p w14:paraId="08C5A788" w14:textId="77777777" w:rsidR="00A51E02" w:rsidRDefault="00A51E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29B91" w14:textId="39D01B36" w:rsidR="00A51E02" w:rsidRDefault="001D5443">
    <w:pPr>
      <w:jc w:val="right"/>
    </w:pPr>
    <w:r>
      <w:fldChar w:fldCharType="begin"/>
    </w:r>
    <w:r>
      <w:instrText xml:space="preserve"> DOCPROPERTY "Document number"  \* MERGEFORMAT </w:instrText>
    </w:r>
    <w:r>
      <w:fldChar w:fldCharType="separate"/>
    </w:r>
    <w:r w:rsidR="00A51E02">
      <w:t>UNEP/</w:t>
    </w:r>
    <w:proofErr w:type="spellStart"/>
    <w:r w:rsidR="00A51E02">
      <w:t>OzL.Pro</w:t>
    </w:r>
    <w:proofErr w:type="spellEnd"/>
    <w:r w:rsidR="00A51E02">
      <w:t>/ExCom/90/9</w:t>
    </w:r>
    <w:r>
      <w:fldChar w:fldCharType="end"/>
    </w:r>
  </w:p>
  <w:p w14:paraId="7E76EEC0" w14:textId="77777777" w:rsidR="00A51E02" w:rsidRDefault="00A51E02"/>
  <w:p w14:paraId="33B23D3A" w14:textId="77777777" w:rsidR="00A51E02" w:rsidRDefault="00A51E0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28E550" w14:textId="77777777" w:rsidR="00A51E02" w:rsidRPr="00036BE5" w:rsidRDefault="00A51E02" w:rsidP="006023A6">
    <w:pPr>
      <w:jc w:val="left"/>
      <w:rPr>
        <w:lang w:val="en-CA"/>
      </w:rPr>
    </w:pPr>
    <w:r>
      <w:fldChar w:fldCharType="begin"/>
    </w:r>
    <w:r w:rsidRPr="00036BE5">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/ExCom/90/9</w:t>
    </w:r>
    <w:r>
      <w:fldChar w:fldCharType="end"/>
    </w:r>
  </w:p>
  <w:p w14:paraId="2AF20A27" w14:textId="77777777" w:rsidR="00A51E02" w:rsidRPr="00036BE5" w:rsidRDefault="00A51E02" w:rsidP="006023A6">
    <w:pPr>
      <w:pStyle w:val="Header"/>
      <w:jc w:val="left"/>
      <w:rPr>
        <w:lang w:val="en-CA"/>
      </w:rPr>
    </w:pPr>
    <w:r w:rsidRPr="00036BE5">
      <w:rPr>
        <w:lang w:val="en-CA"/>
      </w:rPr>
      <w:t>Annexe I</w:t>
    </w:r>
  </w:p>
  <w:p w14:paraId="227C36B6" w14:textId="77777777" w:rsidR="00A51E02" w:rsidRPr="00036BE5" w:rsidRDefault="00A51E02" w:rsidP="006023A6">
    <w:pPr>
      <w:pStyle w:val="Header"/>
      <w:jc w:val="left"/>
      <w:rPr>
        <w:lang w:val="en-CA"/>
      </w:rPr>
    </w:pPr>
  </w:p>
  <w:p w14:paraId="124BB4F8" w14:textId="77777777" w:rsidR="00A51E02" w:rsidRPr="00036BE5" w:rsidRDefault="00A51E02" w:rsidP="006023A6">
    <w:pPr>
      <w:pStyle w:val="Header"/>
      <w:rPr>
        <w:lang w:val="en-CA"/>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53F05B" w14:textId="77777777" w:rsidR="00A51E02" w:rsidRPr="00036BE5" w:rsidRDefault="00A51E02" w:rsidP="006023A6">
    <w:pPr>
      <w:jc w:val="right"/>
      <w:rPr>
        <w:lang w:val="en-CA"/>
      </w:rPr>
    </w:pPr>
    <w:r>
      <w:fldChar w:fldCharType="begin"/>
    </w:r>
    <w:r w:rsidRPr="00036BE5">
      <w:rPr>
        <w:lang w:val="en-CA"/>
      </w:rPr>
      <w:instrText xml:space="preserve"> DOCPROPERTY "Document number"  \* MERGEFORMAT </w:instrText>
    </w:r>
    <w:r>
      <w:fldChar w:fldCharType="separate"/>
    </w:r>
    <w:r w:rsidRPr="00036BE5">
      <w:rPr>
        <w:lang w:val="en-CA"/>
      </w:rPr>
      <w:t>UNEP/</w:t>
    </w:r>
    <w:proofErr w:type="spellStart"/>
    <w:r w:rsidRPr="00036BE5">
      <w:rPr>
        <w:lang w:val="en-CA"/>
      </w:rPr>
      <w:t>OzL.Pro</w:t>
    </w:r>
    <w:proofErr w:type="spellEnd"/>
    <w:r w:rsidRPr="00036BE5">
      <w:rPr>
        <w:lang w:val="en-CA"/>
      </w:rPr>
      <w:t>/ExCom/90/9</w:t>
    </w:r>
    <w:r>
      <w:fldChar w:fldCharType="end"/>
    </w:r>
  </w:p>
  <w:p w14:paraId="5F38C120" w14:textId="77777777" w:rsidR="00A51E02" w:rsidRPr="00036BE5" w:rsidRDefault="00A51E02" w:rsidP="006023A6">
    <w:pPr>
      <w:pStyle w:val="Header"/>
      <w:jc w:val="right"/>
      <w:rPr>
        <w:lang w:val="en-CA"/>
      </w:rPr>
    </w:pPr>
    <w:r w:rsidRPr="00036BE5">
      <w:rPr>
        <w:lang w:val="en-CA"/>
      </w:rPr>
      <w:t>Annexe I</w:t>
    </w:r>
  </w:p>
  <w:p w14:paraId="1F55E263" w14:textId="77777777" w:rsidR="00A51E02" w:rsidRPr="00036BE5" w:rsidRDefault="00A51E02">
    <w:pPr>
      <w:rPr>
        <w:lang w:val="en-CA"/>
      </w:rPr>
    </w:pPr>
  </w:p>
  <w:p w14:paraId="3CDAA9CF" w14:textId="77777777" w:rsidR="00A51E02" w:rsidRPr="00036BE5" w:rsidRDefault="00A51E02">
    <w:pPr>
      <w:pStyle w:val="Header"/>
      <w:rPr>
        <w:lang w:val="en-CA"/>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919B6A" w14:textId="77777777" w:rsidR="00A51E02" w:rsidRPr="00036BE5" w:rsidRDefault="00A51E02" w:rsidP="006023A6">
    <w:pPr>
      <w:jc w:val="right"/>
      <w:rPr>
        <w:lang w:val="en-CA"/>
      </w:rPr>
    </w:pPr>
    <w:r>
      <w:fldChar w:fldCharType="begin"/>
    </w:r>
    <w:r w:rsidRPr="00036BE5">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/ExCom/90/9</w:t>
    </w:r>
    <w:r>
      <w:fldChar w:fldCharType="end"/>
    </w:r>
  </w:p>
  <w:p w14:paraId="0E03DF24" w14:textId="77777777" w:rsidR="00A51E02" w:rsidRPr="00036BE5" w:rsidRDefault="00A51E02" w:rsidP="006023A6">
    <w:pPr>
      <w:pStyle w:val="Header"/>
      <w:jc w:val="right"/>
      <w:rPr>
        <w:lang w:val="en-CA"/>
      </w:rPr>
    </w:pPr>
    <w:r w:rsidRPr="00036BE5">
      <w:rPr>
        <w:lang w:val="en-CA"/>
      </w:rPr>
      <w:t>Annexe I</w:t>
    </w:r>
  </w:p>
  <w:p w14:paraId="4594334E" w14:textId="77777777" w:rsidR="00A51E02" w:rsidRPr="00036BE5" w:rsidRDefault="00A51E02" w:rsidP="006023A6">
    <w:pPr>
      <w:pStyle w:val="Header"/>
      <w:jc w:val="right"/>
      <w:rPr>
        <w:lang w:val="en-CA"/>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DA98CE" w14:textId="77777777" w:rsidR="00A51E02" w:rsidRPr="00036BE5" w:rsidRDefault="00A51E02" w:rsidP="006023A6">
    <w:pPr>
      <w:jc w:val="left"/>
      <w:rPr>
        <w:lang w:val="en-CA"/>
      </w:rPr>
    </w:pPr>
    <w:r>
      <w:fldChar w:fldCharType="begin"/>
    </w:r>
    <w:r w:rsidRPr="00036BE5">
      <w:rPr>
        <w:lang w:val="en-CA"/>
      </w:rPr>
      <w:instrText xml:space="preserve"> DOCPROPERTY "Document number"  \* MERGEFORMAT </w:instrText>
    </w:r>
    <w:r>
      <w:fldChar w:fldCharType="separate"/>
    </w:r>
    <w:r w:rsidRPr="00036BE5">
      <w:rPr>
        <w:lang w:val="en-CA"/>
      </w:rPr>
      <w:t>UNEP/</w:t>
    </w:r>
    <w:proofErr w:type="spellStart"/>
    <w:r w:rsidRPr="00036BE5">
      <w:rPr>
        <w:lang w:val="en-CA"/>
      </w:rPr>
      <w:t>OzL.Pro</w:t>
    </w:r>
    <w:proofErr w:type="spellEnd"/>
    <w:r w:rsidRPr="00036BE5">
      <w:rPr>
        <w:lang w:val="en-CA"/>
      </w:rPr>
      <w:t>/ExCom/90/9</w:t>
    </w:r>
    <w:r>
      <w:fldChar w:fldCharType="end"/>
    </w:r>
  </w:p>
  <w:p w14:paraId="2F250A14" w14:textId="77777777" w:rsidR="00A51E02" w:rsidRPr="00036BE5" w:rsidRDefault="00A51E02" w:rsidP="006023A6">
    <w:pPr>
      <w:pStyle w:val="Header"/>
      <w:jc w:val="left"/>
      <w:rPr>
        <w:lang w:val="en-CA"/>
      </w:rPr>
    </w:pPr>
    <w:r w:rsidRPr="00036BE5">
      <w:rPr>
        <w:lang w:val="en-CA"/>
      </w:rPr>
      <w:t>Annexe II</w:t>
    </w:r>
  </w:p>
  <w:p w14:paraId="3B0062D4" w14:textId="77777777" w:rsidR="00A51E02" w:rsidRPr="00036BE5" w:rsidRDefault="00A51E02" w:rsidP="006023A6">
    <w:pPr>
      <w:pStyle w:val="Header"/>
      <w:jc w:val="left"/>
      <w:rPr>
        <w:lang w:val="en-CA"/>
      </w:rPr>
    </w:pPr>
  </w:p>
  <w:p w14:paraId="18DC3662" w14:textId="77777777" w:rsidR="00A51E02" w:rsidRPr="00036BE5" w:rsidRDefault="00A51E02" w:rsidP="006023A6">
    <w:pPr>
      <w:pStyle w:val="Header"/>
      <w:rPr>
        <w:lang w:val="en-CA"/>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08396E" w14:textId="77777777" w:rsidR="00A51E02" w:rsidRPr="00036BE5" w:rsidRDefault="00A51E02" w:rsidP="006023A6">
    <w:pPr>
      <w:jc w:val="right"/>
      <w:rPr>
        <w:lang w:val="en-CA"/>
      </w:rPr>
    </w:pPr>
    <w:r>
      <w:fldChar w:fldCharType="begin"/>
    </w:r>
    <w:r w:rsidRPr="00036BE5">
      <w:rPr>
        <w:lang w:val="en-CA"/>
      </w:rPr>
      <w:instrText xml:space="preserve"> DOCPROPERTY "Document number"  \* MERGEFORMAT </w:instrText>
    </w:r>
    <w:r>
      <w:fldChar w:fldCharType="separate"/>
    </w:r>
    <w:r w:rsidRPr="00036BE5">
      <w:rPr>
        <w:lang w:val="en-CA"/>
      </w:rPr>
      <w:t>UNEP/</w:t>
    </w:r>
    <w:proofErr w:type="spellStart"/>
    <w:r w:rsidRPr="00036BE5">
      <w:rPr>
        <w:lang w:val="en-CA"/>
      </w:rPr>
      <w:t>OzL.Pro</w:t>
    </w:r>
    <w:proofErr w:type="spellEnd"/>
    <w:r w:rsidRPr="00036BE5">
      <w:rPr>
        <w:lang w:val="en-CA"/>
      </w:rPr>
      <w:t>/ExCom/90/9</w:t>
    </w:r>
    <w:r>
      <w:fldChar w:fldCharType="end"/>
    </w:r>
  </w:p>
  <w:p w14:paraId="12901930" w14:textId="77777777" w:rsidR="00A51E02" w:rsidRPr="00036BE5" w:rsidRDefault="00A51E02" w:rsidP="006023A6">
    <w:pPr>
      <w:pStyle w:val="Header"/>
      <w:jc w:val="right"/>
      <w:rPr>
        <w:lang w:val="en-CA"/>
      </w:rPr>
    </w:pPr>
    <w:r w:rsidRPr="00036BE5">
      <w:rPr>
        <w:lang w:val="en-CA"/>
      </w:rPr>
      <w:t>Annexe II</w:t>
    </w:r>
  </w:p>
  <w:p w14:paraId="3D231364" w14:textId="77777777" w:rsidR="00A51E02" w:rsidRPr="00036BE5" w:rsidRDefault="00A51E02">
    <w:pPr>
      <w:rPr>
        <w:lang w:val="en-CA"/>
      </w:rPr>
    </w:pPr>
  </w:p>
  <w:p w14:paraId="05ABABB6" w14:textId="77777777" w:rsidR="00A51E02" w:rsidRPr="00036BE5" w:rsidRDefault="00A51E02">
    <w:pPr>
      <w:pStyle w:val="Header"/>
      <w:rPr>
        <w:lang w:val="en-CA"/>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53721D" w14:textId="77777777" w:rsidR="00A51E02" w:rsidRPr="00036BE5" w:rsidRDefault="00A51E02" w:rsidP="006023A6">
    <w:pPr>
      <w:jc w:val="right"/>
      <w:rPr>
        <w:lang w:val="en-CA"/>
      </w:rPr>
    </w:pPr>
    <w:r>
      <w:fldChar w:fldCharType="begin"/>
    </w:r>
    <w:r w:rsidRPr="00036BE5">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/ExCom/90/9</w:t>
    </w:r>
    <w:r>
      <w:fldChar w:fldCharType="end"/>
    </w:r>
  </w:p>
  <w:p w14:paraId="0C4D8633" w14:textId="77777777" w:rsidR="00A51E02" w:rsidRPr="00036BE5" w:rsidRDefault="00A51E02" w:rsidP="006023A6">
    <w:pPr>
      <w:pStyle w:val="Header"/>
      <w:jc w:val="right"/>
      <w:rPr>
        <w:lang w:val="en-CA"/>
      </w:rPr>
    </w:pPr>
    <w:r w:rsidRPr="00036BE5">
      <w:rPr>
        <w:lang w:val="en-CA"/>
      </w:rPr>
      <w:t>Annexe II</w:t>
    </w:r>
  </w:p>
  <w:p w14:paraId="152206D5" w14:textId="77777777" w:rsidR="00A51E02" w:rsidRPr="00036BE5" w:rsidRDefault="00A51E02" w:rsidP="006023A6">
    <w:pPr>
      <w:pStyle w:val="Header"/>
      <w:jc w:val="right"/>
      <w:rPr>
        <w:lang w:val="en-CA"/>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BF8D75" w14:textId="77777777" w:rsidR="00A51E02" w:rsidRPr="0033525D" w:rsidRDefault="001D5443">
    <w:r>
      <w:fldChar w:fldCharType="begin"/>
    </w:r>
    <w:r>
      <w:instrText xml:space="preserve"> DOCPROPERTY "Document number"  \* MERGEFORMAT </w:instrText>
    </w:r>
    <w:r>
      <w:fldChar w:fldCharType="separate"/>
    </w:r>
    <w:r w:rsidR="00A51E02">
      <w:t>UNEP/</w:t>
    </w:r>
    <w:proofErr w:type="spellStart"/>
    <w:r w:rsidR="00A51E02">
      <w:t>OzL.Pro</w:t>
    </w:r>
    <w:proofErr w:type="spellEnd"/>
    <w:r w:rsidR="00A51E02">
      <w:t>/ExCom/90/9</w:t>
    </w:r>
    <w:r>
      <w:fldChar w:fldCharType="end"/>
    </w:r>
  </w:p>
  <w:p w14:paraId="77A293D9" w14:textId="77777777" w:rsidR="00A51E02" w:rsidRPr="0033525D" w:rsidRDefault="00A51E02"/>
  <w:p w14:paraId="330EDD93" w14:textId="77777777" w:rsidR="00A51E02" w:rsidRPr="0033525D" w:rsidRDefault="00A51E02"/>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756FC9" w14:textId="77777777" w:rsidR="00A51E02" w:rsidRPr="00036BE5" w:rsidRDefault="00A51E02">
    <w:pPr>
      <w:jc w:val="right"/>
      <w:rPr>
        <w:lang w:val="en-CA"/>
      </w:rPr>
    </w:pPr>
    <w:r>
      <w:fldChar w:fldCharType="begin"/>
    </w:r>
    <w:r w:rsidRPr="00036BE5">
      <w:rPr>
        <w:lang w:val="en-CA"/>
      </w:rPr>
      <w:instrText xml:space="preserve"> DOCPROPERTY "Document number"  \* MERGEFORMAT </w:instrText>
    </w:r>
    <w:r>
      <w:fldChar w:fldCharType="separate"/>
    </w:r>
    <w:r w:rsidRPr="00036BE5">
      <w:rPr>
        <w:lang w:val="en-CA"/>
      </w:rPr>
      <w:t>UNEP/</w:t>
    </w:r>
    <w:proofErr w:type="spellStart"/>
    <w:r w:rsidRPr="00036BE5">
      <w:rPr>
        <w:lang w:val="en-CA"/>
      </w:rPr>
      <w:t>OzL.Pro</w:t>
    </w:r>
    <w:proofErr w:type="spellEnd"/>
    <w:r w:rsidRPr="00036BE5">
      <w:rPr>
        <w:lang w:val="en-CA"/>
      </w:rPr>
      <w:t>/ExCom/90/9</w:t>
    </w:r>
    <w:r>
      <w:fldChar w:fldCharType="end"/>
    </w:r>
  </w:p>
  <w:p w14:paraId="554E3C6C" w14:textId="77777777" w:rsidR="00A51E02" w:rsidRPr="00036BE5" w:rsidRDefault="00A51E02" w:rsidP="006023A6">
    <w:pPr>
      <w:jc w:val="right"/>
      <w:rPr>
        <w:lang w:val="en-CA"/>
      </w:rPr>
    </w:pPr>
    <w:r w:rsidRPr="00036BE5">
      <w:rPr>
        <w:lang w:val="en-CA"/>
      </w:rPr>
      <w:t>Annexe IV</w:t>
    </w:r>
  </w:p>
  <w:p w14:paraId="3570E33C" w14:textId="77777777" w:rsidR="00A51E02" w:rsidRPr="00036BE5" w:rsidRDefault="00A51E02">
    <w:pPr>
      <w:pStyle w:val="Header"/>
      <w:rPr>
        <w:lang w:val="en-CA"/>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28245E" w14:textId="77777777" w:rsidR="00A51E02" w:rsidRPr="00036BE5" w:rsidRDefault="00A51E02" w:rsidP="006023A6">
    <w:pPr>
      <w:jc w:val="right"/>
      <w:rPr>
        <w:lang w:val="en-CA"/>
      </w:rPr>
    </w:pPr>
    <w:r>
      <w:fldChar w:fldCharType="begin"/>
    </w:r>
    <w:r w:rsidRPr="00036BE5">
      <w:rPr>
        <w:lang w:val="en-CA"/>
      </w:rPr>
      <w:instrText xml:space="preserve"> DOCPROPERTY "Document number"  \* MERGEFORMAT </w:instrText>
    </w:r>
    <w:r>
      <w:fldChar w:fldCharType="separate"/>
    </w:r>
    <w:r>
      <w:rPr>
        <w:lang w:val="en-CA"/>
      </w:rPr>
      <w:t>UNEP/</w:t>
    </w:r>
    <w:proofErr w:type="spellStart"/>
    <w:r>
      <w:rPr>
        <w:lang w:val="en-CA"/>
      </w:rPr>
      <w:t>OzL.Pro</w:t>
    </w:r>
    <w:proofErr w:type="spellEnd"/>
    <w:r>
      <w:rPr>
        <w:lang w:val="en-CA"/>
      </w:rPr>
      <w:t>/ExCom/90/9</w:t>
    </w:r>
    <w:r>
      <w:fldChar w:fldCharType="end"/>
    </w:r>
  </w:p>
  <w:p w14:paraId="0D080F4E" w14:textId="77777777" w:rsidR="00A51E02" w:rsidRPr="00036BE5" w:rsidRDefault="00A51E02" w:rsidP="006023A6">
    <w:pPr>
      <w:pStyle w:val="Header"/>
      <w:jc w:val="right"/>
      <w:rPr>
        <w:lang w:val="en-CA"/>
      </w:rPr>
    </w:pPr>
    <w:r w:rsidRPr="00036BE5">
      <w:rPr>
        <w:lang w:val="en-CA"/>
      </w:rPr>
      <w:t>Annexe III</w:t>
    </w:r>
  </w:p>
  <w:p w14:paraId="093FDF0F" w14:textId="77777777" w:rsidR="00A51E02" w:rsidRPr="00036BE5" w:rsidRDefault="00A51E02" w:rsidP="006023A6">
    <w:pPr>
      <w:pStyle w:val="Header"/>
      <w:jc w:val="right"/>
      <w:rPr>
        <w:lang w:val="en-CA"/>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EF7A1" w14:textId="77777777" w:rsidR="00A51E02" w:rsidRPr="0033525D" w:rsidRDefault="001D5443">
    <w:r>
      <w:fldChar w:fldCharType="begin"/>
    </w:r>
    <w:r>
      <w:instrText xml:space="preserve"> DOCPROPERTY "Document number"  \* MERGEFORMAT </w:instrText>
    </w:r>
    <w:r>
      <w:fldChar w:fldCharType="separate"/>
    </w:r>
    <w:r w:rsidR="00A51E02">
      <w:t>UNEP/</w:t>
    </w:r>
    <w:proofErr w:type="spellStart"/>
    <w:r w:rsidR="00A51E02">
      <w:t>OzL.Pro</w:t>
    </w:r>
    <w:proofErr w:type="spellEnd"/>
    <w:r w:rsidR="00A51E02">
      <w:t>/ExCom/90/9</w:t>
    </w:r>
    <w:r>
      <w:fldChar w:fldCharType="end"/>
    </w:r>
  </w:p>
  <w:p w14:paraId="00DE9B8E" w14:textId="61310A21" w:rsidR="00A51E02" w:rsidRPr="0033525D" w:rsidRDefault="00A51E02">
    <w:r>
      <w:t>Annex</w:t>
    </w:r>
    <w:r w:rsidR="00612ADC">
      <w:t>e</w:t>
    </w:r>
    <w:r>
      <w:t xml:space="preserve"> IV</w:t>
    </w:r>
  </w:p>
  <w:p w14:paraId="770255AC" w14:textId="77777777" w:rsidR="00A51E02" w:rsidRPr="0033525D" w:rsidRDefault="00A51E02"/>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E0AC1A" w14:textId="77777777" w:rsidR="00A51E02" w:rsidRPr="003F73BA" w:rsidRDefault="001D5443" w:rsidP="006A2E9B">
    <w:pPr>
      <w:jc w:val="right"/>
    </w:pPr>
    <w:r>
      <w:fldChar w:fldCharType="begin"/>
    </w:r>
    <w:r>
      <w:instrText xml:space="preserve"> DOCPROPERTY "Document number"  \* MERGEFORMAT </w:instrText>
    </w:r>
    <w:r>
      <w:fldChar w:fldCharType="separate"/>
    </w:r>
    <w:r w:rsidR="00A51E02">
      <w:t>UNEP/</w:t>
    </w:r>
    <w:proofErr w:type="spellStart"/>
    <w:r w:rsidR="00A51E02">
      <w:t>OzL.Pro</w:t>
    </w:r>
    <w:proofErr w:type="spellEnd"/>
    <w:r w:rsidR="00A51E02">
      <w:t>/ExCom/90/9</w:t>
    </w:r>
    <w:r>
      <w:fldChar w:fldCharType="end"/>
    </w:r>
  </w:p>
  <w:p w14:paraId="3F37494C" w14:textId="4BBB080F" w:rsidR="00A51E02" w:rsidRDefault="00A51E02" w:rsidP="006A2E9B">
    <w:pPr>
      <w:pStyle w:val="Header"/>
      <w:jc w:val="right"/>
    </w:pPr>
    <w:r>
      <w:t>Annex</w:t>
    </w:r>
    <w:r w:rsidR="00612ADC">
      <w:t>e</w:t>
    </w:r>
    <w:r>
      <w:t xml:space="preserve"> IV</w:t>
    </w:r>
  </w:p>
  <w:p w14:paraId="4703B902" w14:textId="77777777" w:rsidR="00A51E02" w:rsidRDefault="00A51E02" w:rsidP="006A2E9B">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C2B7D4"/>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rPr>
        <w:lang w:val="fr-FR"/>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339606C"/>
    <w:multiLevelType w:val="hybridMultilevel"/>
    <w:tmpl w:val="90A69A1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3" w15:restartNumberingAfterBreak="0">
    <w:nsid w:val="0D867714"/>
    <w:multiLevelType w:val="hybridMultilevel"/>
    <w:tmpl w:val="7AEC2CD0"/>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1363766C"/>
    <w:multiLevelType w:val="hybridMultilevel"/>
    <w:tmpl w:val="76B6AD12"/>
    <w:lvl w:ilvl="0" w:tplc="2146E3F2">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6" w15:restartNumberingAfterBreak="0">
    <w:nsid w:val="25A9080D"/>
    <w:multiLevelType w:val="multilevel"/>
    <w:tmpl w:val="13C24AF8"/>
    <w:lvl w:ilvl="0">
      <w:start w:val="25"/>
      <w:numFmt w:val="decimal"/>
      <w:lvlText w:val="%1."/>
      <w:lvlJc w:val="left"/>
      <w:pPr>
        <w:tabs>
          <w:tab w:val="num" w:pos="0"/>
        </w:tabs>
        <w:ind w:left="0" w:firstLine="0"/>
      </w:pPr>
      <w:rPr>
        <w:rFonts w:hint="default"/>
      </w:rPr>
    </w:lvl>
    <w:lvl w:ilvl="1">
      <w:start w:val="1"/>
      <w:numFmt w:val="lowerLetter"/>
      <w:lvlText w:val="(%2)"/>
      <w:lvlJc w:val="left"/>
      <w:pPr>
        <w:tabs>
          <w:tab w:val="num" w:pos="0"/>
        </w:tabs>
        <w:ind w:left="1440" w:hanging="720"/>
      </w:pPr>
      <w:rPr>
        <w:rFonts w:hint="default"/>
      </w:rPr>
    </w:lvl>
    <w:lvl w:ilvl="2">
      <w:start w:val="1"/>
      <w:numFmt w:val="lowerRoman"/>
      <w:lvlText w:val="(%3)"/>
      <w:lvlJc w:val="left"/>
      <w:pPr>
        <w:tabs>
          <w:tab w:val="num" w:pos="0"/>
        </w:tabs>
        <w:ind w:left="2160" w:hanging="720"/>
      </w:pPr>
      <w:rPr>
        <w:rFonts w:hint="default"/>
      </w:rPr>
    </w:lvl>
    <w:lvl w:ilvl="3">
      <w:start w:val="1"/>
      <w:numFmt w:val="lowerLetter"/>
      <w:lvlText w:val="%4)"/>
      <w:lvlJc w:val="left"/>
      <w:pPr>
        <w:tabs>
          <w:tab w:val="num" w:pos="-90"/>
        </w:tabs>
        <w:ind w:left="2776" w:hanging="706"/>
      </w:pPr>
      <w:rPr>
        <w:rFonts w:hint="default"/>
        <w:b w:val="0"/>
        <w:i w:val="0"/>
      </w:rPr>
    </w:lvl>
    <w:lvl w:ilvl="4">
      <w:start w:val="1"/>
      <w:numFmt w:val="decimal"/>
      <w:lvlText w:val="(%5)"/>
      <w:lvlJc w:val="left"/>
      <w:pPr>
        <w:tabs>
          <w:tab w:val="num" w:pos="0"/>
        </w:tabs>
        <w:ind w:left="3571" w:hanging="705"/>
      </w:pPr>
      <w:rPr>
        <w:rFonts w:hint="default"/>
      </w:rPr>
    </w:lvl>
    <w:lvl w:ilvl="5">
      <w:start w:val="1"/>
      <w:numFmt w:val="lowerLetter"/>
      <w:lvlText w:val="(%6)"/>
      <w:lvlJc w:val="left"/>
      <w:pPr>
        <w:tabs>
          <w:tab w:val="num" w:pos="0"/>
        </w:tabs>
        <w:ind w:left="4291" w:hanging="720"/>
      </w:pPr>
      <w:rPr>
        <w:rFonts w:hint="default"/>
      </w:rPr>
    </w:lvl>
    <w:lvl w:ilvl="6">
      <w:start w:val="1"/>
      <w:numFmt w:val="lowerRoman"/>
      <w:lvlText w:val="(%7)"/>
      <w:lvlJc w:val="left"/>
      <w:pPr>
        <w:tabs>
          <w:tab w:val="num" w:pos="0"/>
        </w:tabs>
        <w:ind w:left="4997" w:hanging="706"/>
      </w:pPr>
      <w:rPr>
        <w:rFonts w:hint="default"/>
      </w:rPr>
    </w:lvl>
    <w:lvl w:ilvl="7">
      <w:start w:val="1"/>
      <w:numFmt w:val="lowerLetter"/>
      <w:lvlText w:val="(%8)"/>
      <w:lvlJc w:val="left"/>
      <w:pPr>
        <w:tabs>
          <w:tab w:val="num" w:pos="0"/>
        </w:tabs>
        <w:ind w:left="5702" w:hanging="705"/>
      </w:pPr>
      <w:rPr>
        <w:rFonts w:hint="default"/>
      </w:rPr>
    </w:lvl>
    <w:lvl w:ilvl="8">
      <w:start w:val="1"/>
      <w:numFmt w:val="lowerRoman"/>
      <w:lvlText w:val="(%9)"/>
      <w:lvlJc w:val="left"/>
      <w:pPr>
        <w:tabs>
          <w:tab w:val="num" w:pos="0"/>
        </w:tabs>
        <w:ind w:left="6408" w:hanging="706"/>
      </w:pPr>
      <w:rPr>
        <w:rFonts w:hint="default"/>
      </w:rPr>
    </w:lvl>
  </w:abstractNum>
  <w:abstractNum w:abstractNumId="17"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2EE173C"/>
    <w:multiLevelType w:val="hybridMultilevel"/>
    <w:tmpl w:val="799A7CE6"/>
    <w:lvl w:ilvl="0" w:tplc="108ADAF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0" w15:restartNumberingAfterBreak="0">
    <w:nsid w:val="41FF0E9B"/>
    <w:multiLevelType w:val="hybridMultilevel"/>
    <w:tmpl w:val="D620351C"/>
    <w:lvl w:ilvl="0" w:tplc="BE5A2556">
      <w:start w:val="2"/>
      <w:numFmt w:val="bullet"/>
      <w:lvlText w:val="-"/>
      <w:lvlJc w:val="left"/>
      <w:pPr>
        <w:ind w:left="2520" w:hanging="360"/>
      </w:pPr>
      <w:rPr>
        <w:rFonts w:ascii="Times New Roman" w:eastAsia="Times New Roman" w:hAnsi="Times New Roman" w:cs="Times New Roman" w:hint="default"/>
      </w:rPr>
    </w:lvl>
    <w:lvl w:ilvl="1" w:tplc="10090003" w:tentative="1">
      <w:start w:val="1"/>
      <w:numFmt w:val="bullet"/>
      <w:lvlText w:val="o"/>
      <w:lvlJc w:val="left"/>
      <w:pPr>
        <w:ind w:left="3240" w:hanging="360"/>
      </w:pPr>
      <w:rPr>
        <w:rFonts w:ascii="Courier New" w:hAnsi="Courier New" w:cs="Courier New" w:hint="default"/>
      </w:rPr>
    </w:lvl>
    <w:lvl w:ilvl="2" w:tplc="10090005" w:tentative="1">
      <w:start w:val="1"/>
      <w:numFmt w:val="bullet"/>
      <w:lvlText w:val=""/>
      <w:lvlJc w:val="left"/>
      <w:pPr>
        <w:ind w:left="3960" w:hanging="360"/>
      </w:pPr>
      <w:rPr>
        <w:rFonts w:ascii="Wingdings" w:hAnsi="Wingdings" w:hint="default"/>
      </w:rPr>
    </w:lvl>
    <w:lvl w:ilvl="3" w:tplc="10090001" w:tentative="1">
      <w:start w:val="1"/>
      <w:numFmt w:val="bullet"/>
      <w:lvlText w:val=""/>
      <w:lvlJc w:val="left"/>
      <w:pPr>
        <w:ind w:left="4680" w:hanging="360"/>
      </w:pPr>
      <w:rPr>
        <w:rFonts w:ascii="Symbol" w:hAnsi="Symbol" w:hint="default"/>
      </w:rPr>
    </w:lvl>
    <w:lvl w:ilvl="4" w:tplc="10090003" w:tentative="1">
      <w:start w:val="1"/>
      <w:numFmt w:val="bullet"/>
      <w:lvlText w:val="o"/>
      <w:lvlJc w:val="left"/>
      <w:pPr>
        <w:ind w:left="5400" w:hanging="360"/>
      </w:pPr>
      <w:rPr>
        <w:rFonts w:ascii="Courier New" w:hAnsi="Courier New" w:cs="Courier New" w:hint="default"/>
      </w:rPr>
    </w:lvl>
    <w:lvl w:ilvl="5" w:tplc="10090005" w:tentative="1">
      <w:start w:val="1"/>
      <w:numFmt w:val="bullet"/>
      <w:lvlText w:val=""/>
      <w:lvlJc w:val="left"/>
      <w:pPr>
        <w:ind w:left="6120" w:hanging="360"/>
      </w:pPr>
      <w:rPr>
        <w:rFonts w:ascii="Wingdings" w:hAnsi="Wingdings" w:hint="default"/>
      </w:rPr>
    </w:lvl>
    <w:lvl w:ilvl="6" w:tplc="10090001" w:tentative="1">
      <w:start w:val="1"/>
      <w:numFmt w:val="bullet"/>
      <w:lvlText w:val=""/>
      <w:lvlJc w:val="left"/>
      <w:pPr>
        <w:ind w:left="6840" w:hanging="360"/>
      </w:pPr>
      <w:rPr>
        <w:rFonts w:ascii="Symbol" w:hAnsi="Symbol" w:hint="default"/>
      </w:rPr>
    </w:lvl>
    <w:lvl w:ilvl="7" w:tplc="10090003" w:tentative="1">
      <w:start w:val="1"/>
      <w:numFmt w:val="bullet"/>
      <w:lvlText w:val="o"/>
      <w:lvlJc w:val="left"/>
      <w:pPr>
        <w:ind w:left="7560" w:hanging="360"/>
      </w:pPr>
      <w:rPr>
        <w:rFonts w:ascii="Courier New" w:hAnsi="Courier New" w:cs="Courier New" w:hint="default"/>
      </w:rPr>
    </w:lvl>
    <w:lvl w:ilvl="8" w:tplc="10090005" w:tentative="1">
      <w:start w:val="1"/>
      <w:numFmt w:val="bullet"/>
      <w:lvlText w:val=""/>
      <w:lvlJc w:val="left"/>
      <w:pPr>
        <w:ind w:left="8280" w:hanging="360"/>
      </w:pPr>
      <w:rPr>
        <w:rFonts w:ascii="Wingdings" w:hAnsi="Wingdings" w:hint="default"/>
      </w:rPr>
    </w:lvl>
  </w:abstractNum>
  <w:abstractNum w:abstractNumId="21" w15:restartNumberingAfterBreak="0">
    <w:nsid w:val="43F5615F"/>
    <w:multiLevelType w:val="hybridMultilevel"/>
    <w:tmpl w:val="9C0AB65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515D32F9"/>
    <w:multiLevelType w:val="hybridMultilevel"/>
    <w:tmpl w:val="583C8BF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5" w15:restartNumberingAfterBreak="0">
    <w:nsid w:val="59124C2E"/>
    <w:multiLevelType w:val="hybridMultilevel"/>
    <w:tmpl w:val="8C5C2C70"/>
    <w:lvl w:ilvl="0" w:tplc="F8C8BB1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623F4418"/>
    <w:multiLevelType w:val="hybridMultilevel"/>
    <w:tmpl w:val="760E8994"/>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7" w15:restartNumberingAfterBreak="0">
    <w:nsid w:val="64F5600F"/>
    <w:multiLevelType w:val="multilevel"/>
    <w:tmpl w:val="B9769808"/>
    <w:lvl w:ilvl="0">
      <w:start w:val="1"/>
      <w:numFmt w:val="lowerRoman"/>
      <w:lvlText w:val="%1."/>
      <w:lvlJc w:val="left"/>
      <w:pPr>
        <w:ind w:left="2526" w:hanging="720"/>
      </w:pPr>
      <w:rPr>
        <w:vertAlign w:val="baseline"/>
      </w:rPr>
    </w:lvl>
    <w:lvl w:ilvl="1">
      <w:start w:val="1"/>
      <w:numFmt w:val="lowerLetter"/>
      <w:lvlText w:val="%2."/>
      <w:lvlJc w:val="left"/>
      <w:pPr>
        <w:ind w:left="2886" w:hanging="360"/>
      </w:pPr>
      <w:rPr>
        <w:vertAlign w:val="baseline"/>
      </w:rPr>
    </w:lvl>
    <w:lvl w:ilvl="2">
      <w:start w:val="1"/>
      <w:numFmt w:val="lowerRoman"/>
      <w:lvlText w:val="%3."/>
      <w:lvlJc w:val="right"/>
      <w:pPr>
        <w:ind w:left="3606" w:hanging="180"/>
      </w:pPr>
      <w:rPr>
        <w:vertAlign w:val="baseline"/>
      </w:rPr>
    </w:lvl>
    <w:lvl w:ilvl="3">
      <w:start w:val="1"/>
      <w:numFmt w:val="decimal"/>
      <w:lvlText w:val="%4."/>
      <w:lvlJc w:val="left"/>
      <w:pPr>
        <w:ind w:left="4326" w:hanging="360"/>
      </w:pPr>
      <w:rPr>
        <w:vertAlign w:val="baseline"/>
      </w:rPr>
    </w:lvl>
    <w:lvl w:ilvl="4">
      <w:start w:val="1"/>
      <w:numFmt w:val="lowerLetter"/>
      <w:lvlText w:val="%5."/>
      <w:lvlJc w:val="left"/>
      <w:pPr>
        <w:ind w:left="5046" w:hanging="360"/>
      </w:pPr>
      <w:rPr>
        <w:vertAlign w:val="baseline"/>
      </w:rPr>
    </w:lvl>
    <w:lvl w:ilvl="5">
      <w:start w:val="1"/>
      <w:numFmt w:val="lowerRoman"/>
      <w:lvlText w:val="%6."/>
      <w:lvlJc w:val="right"/>
      <w:pPr>
        <w:ind w:left="5766" w:hanging="180"/>
      </w:pPr>
      <w:rPr>
        <w:vertAlign w:val="baseline"/>
      </w:rPr>
    </w:lvl>
    <w:lvl w:ilvl="6">
      <w:start w:val="1"/>
      <w:numFmt w:val="decimal"/>
      <w:lvlText w:val="%7."/>
      <w:lvlJc w:val="left"/>
      <w:pPr>
        <w:ind w:left="6486" w:hanging="360"/>
      </w:pPr>
      <w:rPr>
        <w:vertAlign w:val="baseline"/>
      </w:rPr>
    </w:lvl>
    <w:lvl w:ilvl="7">
      <w:start w:val="1"/>
      <w:numFmt w:val="lowerLetter"/>
      <w:lvlText w:val="%8."/>
      <w:lvlJc w:val="left"/>
      <w:pPr>
        <w:ind w:left="7206" w:hanging="360"/>
      </w:pPr>
      <w:rPr>
        <w:vertAlign w:val="baseline"/>
      </w:rPr>
    </w:lvl>
    <w:lvl w:ilvl="8">
      <w:start w:val="1"/>
      <w:numFmt w:val="lowerRoman"/>
      <w:lvlText w:val="%9."/>
      <w:lvlJc w:val="right"/>
      <w:pPr>
        <w:ind w:left="7926" w:hanging="180"/>
      </w:pPr>
      <w:rPr>
        <w:vertAlign w:val="baseline"/>
      </w:rPr>
    </w:lvl>
  </w:abstractNum>
  <w:abstractNum w:abstractNumId="28" w15:restartNumberingAfterBreak="0">
    <w:nsid w:val="6C5300C6"/>
    <w:multiLevelType w:val="hybridMultilevel"/>
    <w:tmpl w:val="D7FC861A"/>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7D0D3E8E"/>
    <w:multiLevelType w:val="hybridMultilevel"/>
    <w:tmpl w:val="15D034B6"/>
    <w:lvl w:ilvl="0" w:tplc="88AE0744">
      <w:start w:val="1"/>
      <w:numFmt w:val="upp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687898765">
    <w:abstractNumId w:val="10"/>
  </w:num>
  <w:num w:numId="2" w16cid:durableId="1604730775">
    <w:abstractNumId w:val="10"/>
  </w:num>
  <w:num w:numId="3" w16cid:durableId="1006396516">
    <w:abstractNumId w:val="10"/>
  </w:num>
  <w:num w:numId="4" w16cid:durableId="1972176606">
    <w:abstractNumId w:val="10"/>
  </w:num>
  <w:num w:numId="5" w16cid:durableId="91247001">
    <w:abstractNumId w:val="10"/>
  </w:num>
  <w:num w:numId="6" w16cid:durableId="891311891">
    <w:abstractNumId w:val="9"/>
  </w:num>
  <w:num w:numId="7" w16cid:durableId="614408974">
    <w:abstractNumId w:val="7"/>
  </w:num>
  <w:num w:numId="8" w16cid:durableId="760180869">
    <w:abstractNumId w:val="6"/>
  </w:num>
  <w:num w:numId="9" w16cid:durableId="1295991109">
    <w:abstractNumId w:val="5"/>
  </w:num>
  <w:num w:numId="10" w16cid:durableId="1238369998">
    <w:abstractNumId w:val="4"/>
  </w:num>
  <w:num w:numId="11" w16cid:durableId="1511213301">
    <w:abstractNumId w:val="8"/>
  </w:num>
  <w:num w:numId="12" w16cid:durableId="741833621">
    <w:abstractNumId w:val="3"/>
  </w:num>
  <w:num w:numId="13" w16cid:durableId="1076247990">
    <w:abstractNumId w:val="2"/>
  </w:num>
  <w:num w:numId="14" w16cid:durableId="2084714998">
    <w:abstractNumId w:val="1"/>
  </w:num>
  <w:num w:numId="15" w16cid:durableId="745418056">
    <w:abstractNumId w:val="0"/>
  </w:num>
  <w:num w:numId="16" w16cid:durableId="1586379146">
    <w:abstractNumId w:val="17"/>
  </w:num>
  <w:num w:numId="17" w16cid:durableId="1250892045">
    <w:abstractNumId w:val="22"/>
  </w:num>
  <w:num w:numId="18" w16cid:durableId="618681453">
    <w:abstractNumId w:val="24"/>
  </w:num>
  <w:num w:numId="19" w16cid:durableId="1602951445">
    <w:abstractNumId w:val="30"/>
  </w:num>
  <w:num w:numId="20" w16cid:durableId="2053992269">
    <w:abstractNumId w:val="18"/>
  </w:num>
  <w:num w:numId="21" w16cid:durableId="800343652">
    <w:abstractNumId w:val="12"/>
  </w:num>
  <w:num w:numId="22" w16cid:durableId="1285232209">
    <w:abstractNumId w:val="15"/>
  </w:num>
  <w:num w:numId="23" w16cid:durableId="1617447900">
    <w:abstractNumId w:val="29"/>
  </w:num>
  <w:num w:numId="24" w16cid:durableId="1327247348">
    <w:abstractNumId w:val="25"/>
  </w:num>
  <w:num w:numId="25" w16cid:durableId="378937270">
    <w:abstractNumId w:val="16"/>
  </w:num>
  <w:num w:numId="26" w16cid:durableId="1701008215">
    <w:abstractNumId w:val="23"/>
  </w:num>
  <w:num w:numId="27" w16cid:durableId="1035085742">
    <w:abstractNumId w:val="28"/>
  </w:num>
  <w:num w:numId="28" w16cid:durableId="1762412275">
    <w:abstractNumId w:val="21"/>
  </w:num>
  <w:num w:numId="29" w16cid:durableId="624890322">
    <w:abstractNumId w:val="11"/>
  </w:num>
  <w:num w:numId="30" w16cid:durableId="20423190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35036641">
    <w:abstractNumId w:val="13"/>
  </w:num>
  <w:num w:numId="32" w16cid:durableId="2113354874">
    <w:abstractNumId w:val="26"/>
  </w:num>
  <w:num w:numId="33" w16cid:durableId="434639005">
    <w:abstractNumId w:val="27"/>
  </w:num>
  <w:num w:numId="34" w16cid:durableId="1090396595">
    <w:abstractNumId w:val="20"/>
  </w:num>
  <w:num w:numId="35" w16cid:durableId="552542439">
    <w:abstractNumId w:val="19"/>
  </w:num>
  <w:num w:numId="36" w16cid:durableId="1910191918">
    <w:abstractNumId w:val="14"/>
  </w:num>
  <w:num w:numId="37" w16cid:durableId="542137741">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254098042">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175970648">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2139293596">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3008196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588542303">
    <w:abstractNumId w:val="10"/>
    <w:lvlOverride w:ilvl="0">
      <w:startOverride w:val="202"/>
    </w:lvlOverride>
  </w:num>
  <w:num w:numId="43" w16cid:durableId="1786386947">
    <w:abstractNumId w:val="10"/>
    <w:lvlOverride w:ilvl="0">
      <w:startOverride w:val="153"/>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23DD"/>
    <w:rsid w:val="0005110A"/>
    <w:rsid w:val="000C16C3"/>
    <w:rsid w:val="000D3D82"/>
    <w:rsid w:val="000F6C8E"/>
    <w:rsid w:val="00110D28"/>
    <w:rsid w:val="001414E1"/>
    <w:rsid w:val="001649FE"/>
    <w:rsid w:val="00177D11"/>
    <w:rsid w:val="001C3D0C"/>
    <w:rsid w:val="001D4CE7"/>
    <w:rsid w:val="001D5443"/>
    <w:rsid w:val="00254D8D"/>
    <w:rsid w:val="0026119A"/>
    <w:rsid w:val="00265AF0"/>
    <w:rsid w:val="00271AD8"/>
    <w:rsid w:val="002C06D4"/>
    <w:rsid w:val="002F0B57"/>
    <w:rsid w:val="003029F8"/>
    <w:rsid w:val="00307928"/>
    <w:rsid w:val="00344B84"/>
    <w:rsid w:val="003A0CA4"/>
    <w:rsid w:val="003E673B"/>
    <w:rsid w:val="00403EDF"/>
    <w:rsid w:val="00436916"/>
    <w:rsid w:val="00441083"/>
    <w:rsid w:val="00444619"/>
    <w:rsid w:val="004B1B59"/>
    <w:rsid w:val="004C2C87"/>
    <w:rsid w:val="004E3A36"/>
    <w:rsid w:val="00506736"/>
    <w:rsid w:val="005B3CAD"/>
    <w:rsid w:val="005C278F"/>
    <w:rsid w:val="006023A6"/>
    <w:rsid w:val="00605093"/>
    <w:rsid w:val="00612ADC"/>
    <w:rsid w:val="006345CD"/>
    <w:rsid w:val="006A1EE7"/>
    <w:rsid w:val="006A2E9B"/>
    <w:rsid w:val="006C2F59"/>
    <w:rsid w:val="006F5813"/>
    <w:rsid w:val="007034FA"/>
    <w:rsid w:val="0075750B"/>
    <w:rsid w:val="00775FBB"/>
    <w:rsid w:val="00796BBD"/>
    <w:rsid w:val="007D1D5D"/>
    <w:rsid w:val="00843511"/>
    <w:rsid w:val="00847BDB"/>
    <w:rsid w:val="0091161A"/>
    <w:rsid w:val="00963F10"/>
    <w:rsid w:val="00972E99"/>
    <w:rsid w:val="009A5180"/>
    <w:rsid w:val="009B56C1"/>
    <w:rsid w:val="009F6617"/>
    <w:rsid w:val="009F709E"/>
    <w:rsid w:val="00A51E02"/>
    <w:rsid w:val="00A97E14"/>
    <w:rsid w:val="00AC013C"/>
    <w:rsid w:val="00AE63D8"/>
    <w:rsid w:val="00B55AA4"/>
    <w:rsid w:val="00B811F2"/>
    <w:rsid w:val="00B91CD9"/>
    <w:rsid w:val="00BC1B44"/>
    <w:rsid w:val="00BC3C7D"/>
    <w:rsid w:val="00C16E3F"/>
    <w:rsid w:val="00C34C3E"/>
    <w:rsid w:val="00C6443E"/>
    <w:rsid w:val="00C9547D"/>
    <w:rsid w:val="00CA3C3F"/>
    <w:rsid w:val="00CC2B33"/>
    <w:rsid w:val="00D423DD"/>
    <w:rsid w:val="00D7654A"/>
    <w:rsid w:val="00DB4E64"/>
    <w:rsid w:val="00DD3433"/>
    <w:rsid w:val="00E348C6"/>
    <w:rsid w:val="00E54871"/>
    <w:rsid w:val="00E60D9C"/>
    <w:rsid w:val="00E7495D"/>
    <w:rsid w:val="00EB2067"/>
    <w:rsid w:val="00EE15C7"/>
    <w:rsid w:val="00EF77C6"/>
    <w:rsid w:val="00F218B0"/>
    <w:rsid w:val="00F37A42"/>
    <w:rsid w:val="00F41505"/>
    <w:rsid w:val="00F557F5"/>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EFE1247"/>
  <w15:docId w15:val="{2F21FF1D-365F-4A2D-A416-143AD02160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9"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1"/>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link w:val="Heading3Char3"/>
    <w:qFormat/>
    <w:pPr>
      <w:widowControl w:val="0"/>
      <w:numPr>
        <w:ilvl w:val="2"/>
        <w:numId w:val="3"/>
      </w:numPr>
      <w:spacing w:after="240"/>
      <w:outlineLvl w:val="2"/>
    </w:pPr>
  </w:style>
  <w:style w:type="paragraph" w:styleId="Heading4">
    <w:name w:val="heading 4"/>
    <w:aliases w:val="Heading 11,para 4,Título 41,heading 4,Heading 41,标题 41,He=ding 41"/>
    <w:basedOn w:val="Normal"/>
    <w:next w:val="Heading9"/>
    <w:link w:val="Heading4Char"/>
    <w:qFormat/>
    <w:pPr>
      <w:keepNext/>
      <w:numPr>
        <w:ilvl w:val="3"/>
        <w:numId w:val="4"/>
      </w:numPr>
      <w:spacing w:before="240" w:after="60"/>
      <w:outlineLvl w:val="3"/>
    </w:pPr>
  </w:style>
  <w:style w:type="paragraph" w:styleId="Heading5">
    <w:name w:val="heading 5"/>
    <w:basedOn w:val="Normal"/>
    <w:next w:val="Normal"/>
    <w:link w:val="Heading5Char"/>
    <w:uiPriority w:val="9"/>
    <w:qFormat/>
    <w:pPr>
      <w:keepNext/>
      <w:numPr>
        <w:numId w:val="20"/>
      </w:numPr>
      <w:spacing w:after="240"/>
      <w:ind w:left="3600" w:hanging="720"/>
      <w:outlineLvl w:val="4"/>
    </w:pPr>
  </w:style>
  <w:style w:type="paragraph" w:styleId="Heading6">
    <w:name w:val="heading 6"/>
    <w:basedOn w:val="Normal"/>
    <w:next w:val="Normal"/>
    <w:link w:val="Heading6Char"/>
    <w:qFormat/>
    <w:pPr>
      <w:numPr>
        <w:ilvl w:val="5"/>
        <w:numId w:val="1"/>
      </w:numPr>
      <w:spacing w:before="240" w:after="60"/>
      <w:outlineLvl w:val="5"/>
    </w:pPr>
    <w:rPr>
      <w:rFonts w:ascii="Arial" w:hAnsi="Arial"/>
      <w:i/>
    </w:rPr>
  </w:style>
  <w:style w:type="paragraph" w:styleId="Heading7">
    <w:name w:val="heading 7"/>
    <w:basedOn w:val="Normal"/>
    <w:next w:val="Normal"/>
    <w:link w:val="Heading7Char"/>
    <w:qFormat/>
    <w:pPr>
      <w:numPr>
        <w:ilvl w:val="6"/>
        <w:numId w:val="1"/>
      </w:numPr>
      <w:spacing w:before="240" w:after="60"/>
      <w:outlineLvl w:val="6"/>
    </w:pPr>
    <w:rPr>
      <w:rFonts w:ascii="Arial" w:hAnsi="Arial"/>
    </w:rPr>
  </w:style>
  <w:style w:type="paragraph" w:styleId="Heading8">
    <w:name w:val="heading 8"/>
    <w:basedOn w:val="Normal"/>
    <w:next w:val="Normal"/>
    <w:link w:val="Heading8Char"/>
    <w:qFormat/>
    <w:pPr>
      <w:outlineLvl w:val="7"/>
    </w:pPr>
    <w:rPr>
      <w:b/>
    </w:rPr>
  </w:style>
  <w:style w:type="paragraph" w:styleId="Heading9">
    <w:name w:val="heading 9"/>
    <w:basedOn w:val="Normal"/>
    <w:next w:val="Normal"/>
    <w:link w:val="Heading9Char"/>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link w:val="HeaderChar"/>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link w:val="BodyText3Char"/>
    <w:semiHidden/>
    <w:pPr>
      <w:spacing w:after="120"/>
    </w:pPr>
    <w:rPr>
      <w:sz w:val="16"/>
      <w:szCs w:val="16"/>
    </w:rPr>
  </w:style>
  <w:style w:type="paragraph" w:styleId="BodyTextIndent3">
    <w:name w:val="Body Text Indent 3"/>
    <w:basedOn w:val="Normal"/>
    <w:link w:val="BodyTextIndent3Char"/>
    <w:semiHidden/>
    <w:pPr>
      <w:spacing w:after="120"/>
      <w:ind w:left="360"/>
    </w:pPr>
    <w:rPr>
      <w:sz w:val="16"/>
      <w:szCs w:val="16"/>
    </w:rPr>
  </w:style>
  <w:style w:type="paragraph" w:styleId="PlainText">
    <w:name w:val="Plain Text"/>
    <w:basedOn w:val="Normal"/>
    <w:link w:val="PlainTextChar"/>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link w:val="SubtitleChar"/>
    <w:qFormat/>
    <w:pPr>
      <w:spacing w:after="60"/>
      <w:jc w:val="center"/>
      <w:outlineLvl w:val="1"/>
    </w:pPr>
    <w:rPr>
      <w:rFonts w:ascii="Arial" w:hAnsi="Arial" w:cs="Arial"/>
    </w:rPr>
  </w:style>
  <w:style w:type="paragraph" w:styleId="Title">
    <w:name w:val="Title"/>
    <w:basedOn w:val="Normal"/>
    <w:link w:val="TitleChar"/>
    <w:qFormat/>
    <w:pPr>
      <w:spacing w:before="240" w:after="60"/>
      <w:jc w:val="center"/>
      <w:outlineLvl w:val="0"/>
    </w:pPr>
    <w:rPr>
      <w:rFonts w:ascii="Arial" w:hAnsi="Arial" w:cs="Arial"/>
      <w:b/>
      <w:bCs/>
      <w:kern w:val="28"/>
    </w:rPr>
  </w:style>
  <w:style w:type="paragraph" w:styleId="Date">
    <w:name w:val="Date"/>
    <w:basedOn w:val="Normal"/>
    <w:next w:val="Normal"/>
    <w:link w:val="DateChar"/>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Char1,Char1 Char Char, Char1, Char1 Char Char,Fußnotentextf,FOOTNOTES,fn,single space,Footnote,Footnote Text Char1 Char,Footnote Text Char Char Char,Footnote Text Char1 Char Char Char,Footnote Text Char Char Char Char Char,ft,ft2,f"/>
    <w:basedOn w:val="Normal"/>
    <w:link w:val="FootnoteTextChar"/>
    <w:uiPriority w:val="99"/>
    <w:unhideWhenUsed/>
    <w:qFormat/>
    <w:rsid w:val="002C06D4"/>
    <w:rPr>
      <w:sz w:val="20"/>
      <w:szCs w:val="20"/>
    </w:rPr>
  </w:style>
  <w:style w:type="character" w:customStyle="1" w:styleId="FootnoteTextChar">
    <w:name w:val="Footnote Text Char"/>
    <w:aliases w:val="Char1 Char,Char1 Char Char Char, Char1 Char, Char1 Char Char Char,Fußnotentextf Char,FOOTNOTES Char,fn Char,single space Char,Footnote Char,Footnote Text Char1 Char Char,Footnote Text Char Char Char Char,ft Char,ft2 Char,f Char"/>
    <w:basedOn w:val="DefaultParagraphFont"/>
    <w:link w:val="FootnoteText"/>
    <w:uiPriority w:val="99"/>
    <w:rsid w:val="002C06D4"/>
    <w:rPr>
      <w:lang w:val="en-GB"/>
    </w:rPr>
  </w:style>
  <w:style w:type="character" w:styleId="FootnoteReference">
    <w:name w:val="footnote reference"/>
    <w:aliases w:val="Footnote text,Footnote Text1,Footnote Text2,ftref,16 Point,Superscript 6 Point,Superscript 6 Point + 11 pt,BVI fnr,BVI fnr Car Car,BVI fnr Car,BVI fnr Car Car Car Car,4_G,number,SUPERS,Footnotes refss,Footnote Reference1,fr"/>
    <w:basedOn w:val="DefaultParagraphFont"/>
    <w:link w:val="BVIfn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A1EE7"/>
    <w:rPr>
      <w:sz w:val="22"/>
      <w:szCs w:val="22"/>
      <w:lang w:val="en-GB"/>
    </w:rPr>
  </w:style>
  <w:style w:type="character" w:customStyle="1" w:styleId="Heading3Char3">
    <w:name w:val="Heading 3 Char3"/>
    <w:aliases w:val="Char Char3,Heading 3 Char Char1,Char Char Char2,Heading 3 Char1 Char1,Heading 3 Char Char Char1,Char Char Char Char1,Char Char1 Char1,Heading 3 Char1 Char Char,Heading 3 Char Char Char Char,Char Char Char Char Char,Char Char1 Char Char"/>
    <w:link w:val="Heading3"/>
    <w:rsid w:val="006A1EE7"/>
    <w:rPr>
      <w:sz w:val="22"/>
      <w:szCs w:val="22"/>
      <w:lang w:val="en-GB"/>
    </w:rPr>
  </w:style>
  <w:style w:type="paragraph" w:customStyle="1" w:styleId="a--">
    <w:name w:val="a-(-)"/>
    <w:basedOn w:val="Normal"/>
    <w:rsid w:val="006A1EE7"/>
    <w:pPr>
      <w:tabs>
        <w:tab w:val="left" w:pos="-720"/>
        <w:tab w:val="left" w:pos="0"/>
        <w:tab w:val="left" w:pos="720"/>
        <w:tab w:val="left" w:pos="1440"/>
        <w:tab w:val="left" w:pos="2160"/>
        <w:tab w:val="left" w:pos="2880"/>
        <w:tab w:val="left" w:pos="3600"/>
      </w:tabs>
      <w:suppressAutoHyphens/>
    </w:pPr>
    <w:rPr>
      <w:b/>
      <w:bCs/>
      <w:sz w:val="24"/>
      <w:szCs w:val="24"/>
      <w:lang w:val="fr-FR" w:eastAsia="fr-FR"/>
    </w:rPr>
  </w:style>
  <w:style w:type="paragraph" w:styleId="ListParagraph">
    <w:name w:val="List Paragraph"/>
    <w:basedOn w:val="Normal"/>
    <w:uiPriority w:val="34"/>
    <w:qFormat/>
    <w:rsid w:val="006A1EE7"/>
    <w:pPr>
      <w:ind w:left="720"/>
      <w:contextualSpacing/>
    </w:pPr>
    <w:rPr>
      <w:lang w:val="fr-FR"/>
    </w:rPr>
  </w:style>
  <w:style w:type="paragraph" w:customStyle="1" w:styleId="BVIfnrChar">
    <w:name w:val="BVI fnr Char"/>
    <w:aliases w:val="BVI fnr Car Car Char,BVI fnr Car Char,BVI fnr Car Car Car Car Char,4_G Char Char"/>
    <w:basedOn w:val="Normal"/>
    <w:link w:val="FootnoteReference"/>
    <w:uiPriority w:val="99"/>
    <w:rsid w:val="006A1EE7"/>
    <w:pPr>
      <w:spacing w:after="160" w:line="240" w:lineRule="exact"/>
      <w:jc w:val="left"/>
    </w:pPr>
    <w:rPr>
      <w:sz w:val="20"/>
      <w:szCs w:val="20"/>
      <w:vertAlign w:val="superscript"/>
      <w:lang w:val="en-US"/>
    </w:rPr>
  </w:style>
  <w:style w:type="character" w:customStyle="1" w:styleId="Heading4Char">
    <w:name w:val="Heading 4 Char"/>
    <w:aliases w:val="Heading 11 Char,para 4 Char,Título 41 Char,heading 4 Char,Heading 41 Char,标题 41 Char,He=ding 41 Char"/>
    <w:basedOn w:val="DefaultParagraphFont"/>
    <w:link w:val="Heading4"/>
    <w:rsid w:val="006A1EE7"/>
    <w:rPr>
      <w:sz w:val="22"/>
      <w:szCs w:val="22"/>
      <w:lang w:val="en-GB"/>
    </w:rPr>
  </w:style>
  <w:style w:type="character" w:customStyle="1" w:styleId="Heading6Char">
    <w:name w:val="Heading 6 Char"/>
    <w:basedOn w:val="DefaultParagraphFont"/>
    <w:link w:val="Heading6"/>
    <w:rsid w:val="006A1EE7"/>
    <w:rPr>
      <w:rFonts w:ascii="Arial" w:hAnsi="Arial"/>
      <w:i/>
      <w:sz w:val="22"/>
      <w:szCs w:val="22"/>
      <w:lang w:val="en-GB"/>
    </w:rPr>
  </w:style>
  <w:style w:type="character" w:customStyle="1" w:styleId="Heading7Char">
    <w:name w:val="Heading 7 Char"/>
    <w:basedOn w:val="DefaultParagraphFont"/>
    <w:link w:val="Heading7"/>
    <w:rsid w:val="006A1EE7"/>
    <w:rPr>
      <w:rFonts w:ascii="Arial" w:hAnsi="Arial"/>
      <w:sz w:val="22"/>
      <w:szCs w:val="22"/>
      <w:lang w:val="en-GB"/>
    </w:rPr>
  </w:style>
  <w:style w:type="character" w:customStyle="1" w:styleId="Heading9Char">
    <w:name w:val="Heading 9 Char"/>
    <w:basedOn w:val="DefaultParagraphFont"/>
    <w:link w:val="Heading9"/>
    <w:rsid w:val="006A1EE7"/>
    <w:rPr>
      <w:rFonts w:ascii="Arial" w:hAnsi="Arial"/>
      <w:i/>
      <w:sz w:val="18"/>
      <w:szCs w:val="22"/>
      <w:lang w:val="en-GB"/>
    </w:rPr>
  </w:style>
  <w:style w:type="paragraph" w:styleId="EndnoteText">
    <w:name w:val="endnote text"/>
    <w:basedOn w:val="Normal"/>
    <w:link w:val="EndnoteTextChar"/>
    <w:uiPriority w:val="99"/>
    <w:semiHidden/>
    <w:unhideWhenUsed/>
    <w:rsid w:val="006A1EE7"/>
    <w:rPr>
      <w:sz w:val="20"/>
      <w:szCs w:val="20"/>
    </w:rPr>
  </w:style>
  <w:style w:type="character" w:customStyle="1" w:styleId="EndnoteTextChar">
    <w:name w:val="Endnote Text Char"/>
    <w:basedOn w:val="DefaultParagraphFont"/>
    <w:link w:val="EndnoteText"/>
    <w:uiPriority w:val="99"/>
    <w:semiHidden/>
    <w:rsid w:val="006A1EE7"/>
    <w:rPr>
      <w:lang w:val="en-GB"/>
    </w:rPr>
  </w:style>
  <w:style w:type="character" w:styleId="EndnoteReference">
    <w:name w:val="endnote reference"/>
    <w:basedOn w:val="DefaultParagraphFont"/>
    <w:uiPriority w:val="99"/>
    <w:semiHidden/>
    <w:unhideWhenUsed/>
    <w:rsid w:val="006A1EE7"/>
    <w:rPr>
      <w:vertAlign w:val="superscript"/>
    </w:rPr>
  </w:style>
  <w:style w:type="character" w:customStyle="1" w:styleId="Heading5Char">
    <w:name w:val="Heading 5 Char"/>
    <w:basedOn w:val="DefaultParagraphFont"/>
    <w:link w:val="Heading5"/>
    <w:uiPriority w:val="9"/>
    <w:rsid w:val="006A1EE7"/>
    <w:rPr>
      <w:sz w:val="22"/>
      <w:szCs w:val="22"/>
      <w:lang w:val="en-GB"/>
    </w:rPr>
  </w:style>
  <w:style w:type="paragraph" w:styleId="Revision">
    <w:name w:val="Revision"/>
    <w:hidden/>
    <w:uiPriority w:val="99"/>
    <w:semiHidden/>
    <w:rsid w:val="006A1EE7"/>
    <w:rPr>
      <w:sz w:val="22"/>
      <w:szCs w:val="22"/>
      <w:lang w:val="en-GB"/>
    </w:rPr>
  </w:style>
  <w:style w:type="character" w:customStyle="1" w:styleId="HeaderChar">
    <w:name w:val="Header Char"/>
    <w:link w:val="Header"/>
    <w:rsid w:val="006A1EE7"/>
    <w:rPr>
      <w:sz w:val="22"/>
      <w:szCs w:val="22"/>
      <w:lang w:val="en-GB"/>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rsid w:val="006345CD"/>
    <w:rPr>
      <w:rFonts w:asciiTheme="majorHAnsi" w:eastAsiaTheme="majorEastAsia" w:hAnsiTheme="majorHAnsi" w:cstheme="majorBidi"/>
      <w:color w:val="365F91" w:themeColor="accent1" w:themeShade="BF"/>
      <w:sz w:val="32"/>
      <w:szCs w:val="32"/>
      <w:lang w:val="en-CA"/>
    </w:rPr>
  </w:style>
  <w:style w:type="character" w:customStyle="1" w:styleId="CharChar4">
    <w:name w:val="Char Char4"/>
    <w:aliases w:val="Char Char Char3,Heading 3 Char1 Char2,Heading 3 Char Char Char2,Char Char Char Char2,Char Char1 Char2,Heading 3 Char1 Char Char1,Heading 3 Char Char Char Char1,Char Char Char Char Char1,Char Char1 Char Char1,Char Char2 Char"/>
    <w:basedOn w:val="DefaultParagraphFont"/>
    <w:semiHidden/>
    <w:rsid w:val="006345CD"/>
    <w:rPr>
      <w:rFonts w:asciiTheme="majorHAnsi" w:eastAsiaTheme="majorEastAsia" w:hAnsiTheme="majorHAnsi" w:cstheme="majorBidi"/>
      <w:color w:val="243F60" w:themeColor="accent1" w:themeShade="7F"/>
      <w:sz w:val="24"/>
      <w:szCs w:val="24"/>
      <w:lang w:val="en-CA"/>
    </w:rPr>
  </w:style>
  <w:style w:type="character" w:customStyle="1" w:styleId="Heading8Char">
    <w:name w:val="Heading 8 Char"/>
    <w:basedOn w:val="DefaultParagraphFont"/>
    <w:link w:val="Heading8"/>
    <w:rsid w:val="006345CD"/>
    <w:rPr>
      <w:b/>
      <w:sz w:val="22"/>
      <w:szCs w:val="22"/>
      <w:lang w:val="en-GB"/>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1 Char1"/>
    <w:basedOn w:val="DefaultParagraphFont"/>
    <w:semiHidden/>
    <w:rsid w:val="006345CD"/>
    <w:rPr>
      <w:rFonts w:asciiTheme="majorHAnsi" w:eastAsiaTheme="majorEastAsia" w:hAnsiTheme="majorHAnsi" w:cstheme="majorBidi"/>
      <w:color w:val="365F91" w:themeColor="accent1" w:themeShade="BF"/>
      <w:sz w:val="26"/>
      <w:szCs w:val="26"/>
      <w:lang w:val="en-CA"/>
    </w:rPr>
  </w:style>
  <w:style w:type="character" w:customStyle="1" w:styleId="Heading4Char1">
    <w:name w:val="Heading 4 Char1"/>
    <w:aliases w:val="Heading 11 Char1,para 4 Char1,Título 41 Char1,heading 4 Char1,Heading 41 Char1,标题 41 Char1,He=ding 41 Char1"/>
    <w:basedOn w:val="DefaultParagraphFont"/>
    <w:semiHidden/>
    <w:rsid w:val="006345CD"/>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6345CD"/>
    <w:pPr>
      <w:spacing w:before="100" w:beforeAutospacing="1" w:after="100" w:afterAutospacing="1"/>
      <w:jc w:val="left"/>
    </w:pPr>
    <w:rPr>
      <w:sz w:val="24"/>
      <w:szCs w:val="24"/>
      <w:lang w:val="fr-CA" w:eastAsia="fr-CA"/>
    </w:rPr>
  </w:style>
  <w:style w:type="character" w:customStyle="1" w:styleId="FootnoteTextChar1">
    <w:name w:val="Footnote Text Char1"/>
    <w:aliases w:val="Char1 Char1,Char1 Char Char Char1,Fußnotentextf Char1,FOOTNOTES Char1,fn Char1,single space Char1,Footnote Char1,Footnote Text Char1 Char Char1,Footnote Text Char Char Char Char1,Footnote Text Char1 Char Char Char Char,ft Char1"/>
    <w:basedOn w:val="DefaultParagraphFont"/>
    <w:uiPriority w:val="99"/>
    <w:semiHidden/>
    <w:rsid w:val="006345CD"/>
    <w:rPr>
      <w:lang w:val="en-CA"/>
    </w:rPr>
  </w:style>
  <w:style w:type="character" w:customStyle="1" w:styleId="TitleChar">
    <w:name w:val="Title Char"/>
    <w:basedOn w:val="DefaultParagraphFont"/>
    <w:link w:val="Title"/>
    <w:rsid w:val="006345CD"/>
    <w:rPr>
      <w:rFonts w:ascii="Arial" w:hAnsi="Arial" w:cs="Arial"/>
      <w:b/>
      <w:bCs/>
      <w:kern w:val="28"/>
      <w:sz w:val="22"/>
      <w:szCs w:val="22"/>
      <w:lang w:val="en-GB"/>
    </w:rPr>
  </w:style>
  <w:style w:type="character" w:customStyle="1" w:styleId="SubtitleChar">
    <w:name w:val="Subtitle Char"/>
    <w:basedOn w:val="DefaultParagraphFont"/>
    <w:link w:val="Subtitle"/>
    <w:rsid w:val="006345CD"/>
    <w:rPr>
      <w:rFonts w:ascii="Arial" w:hAnsi="Arial" w:cs="Arial"/>
      <w:sz w:val="22"/>
      <w:szCs w:val="22"/>
      <w:lang w:val="en-GB"/>
    </w:rPr>
  </w:style>
  <w:style w:type="character" w:customStyle="1" w:styleId="DateChar">
    <w:name w:val="Date Char"/>
    <w:basedOn w:val="DefaultParagraphFont"/>
    <w:link w:val="Date"/>
    <w:rsid w:val="006345CD"/>
    <w:rPr>
      <w:sz w:val="22"/>
      <w:szCs w:val="22"/>
      <w:lang w:val="en-GB"/>
    </w:rPr>
  </w:style>
  <w:style w:type="character" w:customStyle="1" w:styleId="BodyText3Char">
    <w:name w:val="Body Text 3 Char"/>
    <w:basedOn w:val="DefaultParagraphFont"/>
    <w:link w:val="BodyText3"/>
    <w:semiHidden/>
    <w:rsid w:val="006345CD"/>
    <w:rPr>
      <w:sz w:val="16"/>
      <w:szCs w:val="16"/>
      <w:lang w:val="en-GB"/>
    </w:rPr>
  </w:style>
  <w:style w:type="character" w:customStyle="1" w:styleId="BodyTextIndent3Char">
    <w:name w:val="Body Text Indent 3 Char"/>
    <w:basedOn w:val="DefaultParagraphFont"/>
    <w:link w:val="BodyTextIndent3"/>
    <w:semiHidden/>
    <w:rsid w:val="006345CD"/>
    <w:rPr>
      <w:sz w:val="16"/>
      <w:szCs w:val="16"/>
      <w:lang w:val="en-GB"/>
    </w:rPr>
  </w:style>
  <w:style w:type="character" w:customStyle="1" w:styleId="PlainTextChar">
    <w:name w:val="Plain Text Char"/>
    <w:basedOn w:val="DefaultParagraphFont"/>
    <w:link w:val="PlainText"/>
    <w:semiHidden/>
    <w:rsid w:val="006345CD"/>
    <w:rPr>
      <w:rFonts w:ascii="Courier New" w:hAnsi="Courier New" w:cs="Courier New"/>
      <w:szCs w:val="22"/>
      <w:lang w:val="en-GB"/>
    </w:rPr>
  </w:style>
  <w:style w:type="paragraph" w:styleId="HTMLPreformatted">
    <w:name w:val="HTML Preformatted"/>
    <w:basedOn w:val="Normal"/>
    <w:link w:val="HTMLPreformattedChar"/>
    <w:uiPriority w:val="99"/>
    <w:semiHidden/>
    <w:unhideWhenUsed/>
    <w:rsid w:val="006345CD"/>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345CD"/>
    <w:rPr>
      <w:rFonts w:ascii="Consolas" w:hAnsi="Consolas"/>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6.xml"/><Relationship Id="rId34"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8.xml"/><Relationship Id="rId30" Type="http://schemas.openxmlformats.org/officeDocument/2006/relationships/header" Target="header12.xml"/><Relationship Id="rId35" Type="http://schemas.openxmlformats.org/officeDocument/2006/relationships/customXml" Target="../customXml/item3.xml"/><Relationship Id="rId8"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ouise\Documents\Fichiers%20de%20travail\ExCom%2090\F9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AC948E6BBC8374691D196E929484486" ma:contentTypeVersion="5" ma:contentTypeDescription="Create a new document." ma:contentTypeScope="" ma:versionID="634ee0b95b14f493425bed3da5452299">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6b03d5a6-c642-4a08-93b6-965b66bfac2e">UNEP/OzL.Pro/ExCom/90/9</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Props1.xml><?xml version="1.0" encoding="utf-8"?>
<ds:datastoreItem xmlns:ds="http://schemas.openxmlformats.org/officeDocument/2006/customXml" ds:itemID="{B080BDB3-6FE4-4625-9C53-ECED73F52700}"/>
</file>

<file path=customXml/itemProps2.xml><?xml version="1.0" encoding="utf-8"?>
<ds:datastoreItem xmlns:ds="http://schemas.openxmlformats.org/officeDocument/2006/customXml" ds:itemID="{E92F5682-ED1B-4240-9BFF-05271010ED3D}"/>
</file>

<file path=customXml/itemProps3.xml><?xml version="1.0" encoding="utf-8"?>
<ds:datastoreItem xmlns:ds="http://schemas.openxmlformats.org/officeDocument/2006/customXml" ds:itemID="{2DED16E4-C957-43FF-B75B-AD84DF5E6BA5}"/>
</file>

<file path=customXml/itemProps4.xml><?xml version="1.0" encoding="utf-8"?>
<ds:datastoreItem xmlns:ds="http://schemas.openxmlformats.org/officeDocument/2006/customXml" ds:itemID="{C2A71686-78C9-44B2-9EA3-3D3D3D6A5093}"/>
</file>

<file path=docProps/app.xml><?xml version="1.0" encoding="utf-8"?>
<Properties xmlns="http://schemas.openxmlformats.org/officeDocument/2006/extended-properties" xmlns:vt="http://schemas.openxmlformats.org/officeDocument/2006/docPropsVTypes">
  <Template>F90-Template</Template>
  <TotalTime>31</TotalTime>
  <Pages>82</Pages>
  <Words>37622</Words>
  <Characters>214449</Characters>
  <Application>Microsoft Office Word</Application>
  <DocSecurity>0</DocSecurity>
  <Lines>1787</Lines>
  <Paragraphs>503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Rapports de situation et rapports sur les projets comportant des exigences particulières de remise de rapports</vt:lpstr>
      <vt:lpstr>Rapports de situation et rapports sur les projets</vt:lpstr>
    </vt:vector>
  </TitlesOfParts>
  <Company>UNMFS</Company>
  <LinksUpToDate>false</LinksUpToDate>
  <CharactersWithSpaces>251568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Rapports de situation et rapports sur les projets comportant des exigences particulières de remise de rapports</dc:title>
  <dc:creator>Julien Griffon</dc:creator>
  <cp:lastModifiedBy>HBE</cp:lastModifiedBy>
  <cp:revision>8</cp:revision>
  <cp:lastPrinted>2001-05-26T16:40:00Z</cp:lastPrinted>
  <dcterms:created xsi:type="dcterms:W3CDTF">2022-06-14T20:37:00Z</dcterms:created>
  <dcterms:modified xsi:type="dcterms:W3CDTF">2022-06-14T23:46:00Z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UNEP/OzL.Pro/ExCom/90/9</vt:lpwstr>
  </property>
  <property fmtid="{D5CDD505-2E9C-101B-9397-08002B2CF9AE}" pid="3" name="Revision date">
    <vt:lpwstr>6/2/2022</vt:lpwstr>
  </property>
  <property fmtid="{D5CDD505-2E9C-101B-9397-08002B2CF9AE}" pid="4" name="ContentTypeId">
    <vt:lpwstr>0x0101002AC948E6BBC8374691D196E929484486</vt:lpwstr>
  </property>
</Properties>
</file>