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E45D7C" w:rsidRPr="00E45D7C" w14:paraId="78F95ABA" w14:textId="77777777" w:rsidTr="00D56D20">
        <w:trPr>
          <w:trHeight w:val="720"/>
        </w:trPr>
        <w:tc>
          <w:tcPr>
            <w:tcW w:w="6552" w:type="dxa"/>
            <w:gridSpan w:val="2"/>
            <w:tcBorders>
              <w:bottom w:val="single" w:sz="18" w:space="0" w:color="auto"/>
            </w:tcBorders>
          </w:tcPr>
          <w:p w14:paraId="1CBEAA58" w14:textId="77777777" w:rsidR="00C15867" w:rsidRPr="00E45D7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510" w:type="dxa"/>
            <w:tcBorders>
              <w:bottom w:val="single" w:sz="18" w:space="0" w:color="auto"/>
            </w:tcBorders>
          </w:tcPr>
          <w:p w14:paraId="5999B674" w14:textId="77777777" w:rsidR="00C15867" w:rsidRPr="00E45D7C" w:rsidRDefault="00C15867" w:rsidP="009C59F7">
            <w:pPr>
              <w:jc w:val="right"/>
              <w:rPr>
                <w:sz w:val="52"/>
                <w:szCs w:val="52"/>
              </w:rPr>
            </w:pPr>
            <w:r>
              <w:rPr>
                <w:rFonts w:ascii="Univers Bold" w:hAnsi="Univers Bold"/>
                <w:b/>
                <w:sz w:val="72"/>
              </w:rPr>
              <w:t>EP</w:t>
            </w:r>
          </w:p>
        </w:tc>
      </w:tr>
      <w:tr w:rsidR="00E45D7C" w:rsidRPr="00E45D7C" w14:paraId="191DE4FC" w14:textId="77777777" w:rsidTr="00B434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11A8291" w14:textId="77777777" w:rsidR="00C15867" w:rsidRPr="00E45D7C" w:rsidRDefault="00E52838" w:rsidP="009C59F7">
            <w:pPr>
              <w:spacing w:before="120"/>
            </w:pPr>
            <w:r>
              <w:rPr>
                <w:noProof/>
                <w:lang w:val="en-US"/>
              </w:rPr>
              <mc:AlternateContent>
                <mc:Choice Requires="wpg">
                  <w:drawing>
                    <wp:anchor distT="0" distB="0" distL="114300" distR="114300" simplePos="0" relativeHeight="251658240" behindDoc="0" locked="0" layoutInCell="1" allowOverlap="1" wp14:anchorId="77B909ED" wp14:editId="5A970402">
                      <wp:simplePos x="0" y="0"/>
                      <wp:positionH relativeFrom="column">
                        <wp:posOffset>5715</wp:posOffset>
                      </wp:positionH>
                      <wp:positionV relativeFrom="paragraph">
                        <wp:posOffset>71755</wp:posOffset>
                      </wp:positionV>
                      <wp:extent cx="838200" cy="1527206"/>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527206"/>
                                <a:chOff x="0" y="0"/>
                                <a:chExt cx="838200" cy="1527206"/>
                              </a:xfrm>
                            </wpg:grpSpPr>
                            <pic:pic xmlns:pic="http://schemas.openxmlformats.org/drawingml/2006/picture">
                              <pic:nvPicPr>
                                <pic:cNvPr id="2" name="Picture 2" descr="PNUMA"/>
                                <pic:cNvPicPr>
                                  <a:picLocks noChangeAspect="1"/>
                                </pic:cNvPicPr>
                              </pic:nvPicPr>
                              <pic:blipFill>
                                <a:blip r:embed="rId11" cstate="print"/>
                                <a:srcRect/>
                                <a:stretch>
                                  <a:fillRect/>
                                </a:stretch>
                              </pic:blipFill>
                              <pic:spPr bwMode="auto">
                                <a:xfrm>
                                  <a:off x="0" y="730858"/>
                                  <a:ext cx="8382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5CF5015" id="Group 1" o:spid="_x0000_s1026" style="position:absolute;margin-left:.45pt;margin-top:5.65pt;width:66pt;height:120.25pt;z-index:251658240;mso-width-relative:margin;mso-height-relative:margin" coordsize="8382,15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&#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GKEthLcAAAABwEAAA8AAABk&#10;cnMvZG93bnJldi54bWxMjktrwkAUhfeF/ofhCt3VyQOLjZmISNuVFKqF0t01c02CmTshMybx33dc&#10;1eV5cM6XryfTioF611hWEM8jEMSl1Q1XCr4P789LEM4ja2wtk4IrOVgXjw85ZtqO/EXD3lcijLDL&#10;UEHtfZdJ6cqaDLq57YhDdrK9QR9kX0nd4xjGTSuTKHqRBhsODzV2tK2pPO8vRsHHiOMmjd+G3fm0&#10;vf4eFp8/u5iUeppNmxUIT5P/L8MNP6BDEZiO9sLaiVbBa+gFN05B3NI0CcZRQbKIlyCLXN7zF3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MA" style="position:absolute;top:7308;width:8382;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PNUMA"/>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DB29536" w14:textId="77777777" w:rsidR="00D56D20" w:rsidRDefault="00D56D20" w:rsidP="00D56D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10FA4DB" w14:textId="0E74461E" w:rsidR="00C15867" w:rsidRPr="00E45D7C" w:rsidRDefault="00C15867" w:rsidP="00D56D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10343789" w14:textId="77777777" w:rsidR="00C15867" w:rsidRPr="00E45D7C" w:rsidRDefault="00C15867" w:rsidP="00D56D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3E432B4E" w14:textId="77777777" w:rsidR="00C15867" w:rsidRPr="00E45D7C" w:rsidRDefault="00C15867" w:rsidP="00D56D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31E13371" w14:textId="77777777" w:rsidR="00C15867" w:rsidRPr="00E45D7C" w:rsidRDefault="00C15867" w:rsidP="009C59F7">
            <w:pPr>
              <w:spacing w:before="720"/>
              <w:ind w:left="158"/>
            </w:pPr>
          </w:p>
        </w:tc>
        <w:tc>
          <w:tcPr>
            <w:tcW w:w="3510" w:type="dxa"/>
            <w:tcBorders>
              <w:top w:val="nil"/>
              <w:left w:val="nil"/>
              <w:bottom w:val="single" w:sz="36" w:space="0" w:color="auto"/>
              <w:right w:val="nil"/>
            </w:tcBorders>
          </w:tcPr>
          <w:p w14:paraId="38C8134E" w14:textId="77777777" w:rsidR="00B434C3" w:rsidRDefault="00B434C3" w:rsidP="009C59F7"/>
          <w:p w14:paraId="277F434E" w14:textId="74B0AC1F" w:rsidR="00C15867" w:rsidRPr="00E45D7C" w:rsidRDefault="00C15867" w:rsidP="009C59F7">
            <w:r>
              <w:t>Distr.</w:t>
            </w:r>
          </w:p>
          <w:p w14:paraId="5845C53A" w14:textId="77777777" w:rsidR="00923540" w:rsidRPr="00E45D7C" w:rsidRDefault="00923540" w:rsidP="00923540">
            <w:r>
              <w:t>GENERAL</w:t>
            </w:r>
          </w:p>
          <w:p w14:paraId="70EB48FC" w14:textId="77777777" w:rsidR="00C15867" w:rsidRPr="00E45D7C" w:rsidRDefault="00C15867" w:rsidP="009C59F7"/>
          <w:p w14:paraId="0D5BEDDA" w14:textId="0C7E40B8" w:rsidR="00C15867" w:rsidRPr="00E45D7C" w:rsidRDefault="00BE1699" w:rsidP="009C59F7">
            <w:fldSimple w:instr=" DOCPROPERTY &quot;Document number&quot;  \* MERGEFORMAT ">
              <w:r w:rsidR="00B434C3">
                <w:t>UNEP/OzL.Pro/ExCom/97/25</w:t>
              </w:r>
            </w:fldSimple>
          </w:p>
          <w:p w14:paraId="1AC072E1" w14:textId="686280C0" w:rsidR="00C15867" w:rsidRPr="00E45D7C" w:rsidRDefault="00BC2495" w:rsidP="009C59F7">
            <w:r w:rsidRPr="00E45D7C">
              <w:fldChar w:fldCharType="begin"/>
            </w:r>
            <w:r w:rsidR="00851352" w:rsidRPr="00E45D7C">
              <w:instrText xml:space="preserve"> DOCPROPERTY "Revision date" \@ "d MMMM YYYY"  \* MERGEFORMAT </w:instrText>
            </w:r>
            <w:r w:rsidRPr="00E45D7C">
              <w:fldChar w:fldCharType="separate"/>
            </w:r>
            <w:r w:rsidR="00D56D20">
              <w:t>4 de noviembre de 2025</w:t>
            </w:r>
            <w:r w:rsidRPr="00E45D7C">
              <w:fldChar w:fldCharType="end"/>
            </w:r>
          </w:p>
          <w:p w14:paraId="6403DB6E" w14:textId="77777777" w:rsidR="00C15867" w:rsidRPr="00E45D7C" w:rsidRDefault="00C15867" w:rsidP="009C59F7">
            <w:pPr>
              <w:rPr>
                <w:caps/>
              </w:rPr>
            </w:pPr>
          </w:p>
          <w:p w14:paraId="030605EC" w14:textId="77777777" w:rsidR="00C15867" w:rsidRPr="00E45D7C" w:rsidRDefault="00C15867" w:rsidP="009C59F7">
            <w:r>
              <w:t>ESPAÑOL</w:t>
            </w:r>
            <w:r>
              <w:br/>
              <w:t>ORIGINAL: INGLÉS</w:t>
            </w:r>
          </w:p>
        </w:tc>
      </w:tr>
    </w:tbl>
    <w:p w14:paraId="2AE65E82" w14:textId="185768E4" w:rsidR="00CA59FB" w:rsidRPr="00E45D7C"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62C46C3A" w14:textId="77777777" w:rsidR="00CA59FB" w:rsidRPr="00E45D7C" w:rsidRDefault="00CA59FB" w:rsidP="00CA59FB">
      <w:pPr>
        <w:jc w:val="left"/>
      </w:pPr>
      <w:r>
        <w:t>Montreal, 1-5 de diciembre de 2025</w:t>
      </w:r>
    </w:p>
    <w:p w14:paraId="2478E675" w14:textId="066593B8" w:rsidR="0079781A" w:rsidRPr="00E45D7C" w:rsidRDefault="0079781A" w:rsidP="0079781A">
      <w:pPr>
        <w:jc w:val="left"/>
      </w:pPr>
      <w:r>
        <w:t>Punto 8 c) v) del orden del día provisional</w:t>
      </w:r>
      <w:r w:rsidRPr="00E45D7C">
        <w:rPr>
          <w:rStyle w:val="FootnoteReference"/>
        </w:rPr>
        <w:footnoteReference w:id="1"/>
      </w:r>
    </w:p>
    <w:p w14:paraId="4D2DD3DF" w14:textId="77777777" w:rsidR="00C15867" w:rsidRPr="00E45D7C" w:rsidRDefault="00C15867" w:rsidP="00CA59FB">
      <w:pPr>
        <w:jc w:val="left"/>
      </w:pPr>
    </w:p>
    <w:p w14:paraId="7225E2C8" w14:textId="77777777" w:rsidR="002024B6" w:rsidRPr="00E45D7C" w:rsidRDefault="002024B6" w:rsidP="002024B6"/>
    <w:p w14:paraId="776D191F" w14:textId="77777777" w:rsidR="009E7F0D" w:rsidRPr="00E45D7C" w:rsidRDefault="009E7F0D" w:rsidP="002024B6"/>
    <w:p w14:paraId="7494D2D0" w14:textId="719B254D" w:rsidR="00047B4C" w:rsidRPr="00E45D7C" w:rsidRDefault="00047B4C" w:rsidP="00047B4C">
      <w:pPr>
        <w:pStyle w:val="Title2"/>
        <w:rPr>
          <w:caps w:val="0"/>
        </w:rPr>
      </w:pPr>
      <w:r>
        <w:t xml:space="preserve">PLAN ADMINISTRATIVO DEL BANCO MUNDIAL PARA </w:t>
      </w:r>
      <w:r w:rsidR="00D56D20">
        <w:t xml:space="preserve">EL PERÍODO </w:t>
      </w:r>
      <w:r>
        <w:t>2026-2028</w:t>
      </w:r>
    </w:p>
    <w:p w14:paraId="0C686D27" w14:textId="77777777" w:rsidR="00047B4C" w:rsidRPr="00E45D7C" w:rsidRDefault="00047B4C" w:rsidP="00047B4C">
      <w:pPr>
        <w:pStyle w:val="Title2"/>
        <w:rPr>
          <w:caps w:val="0"/>
        </w:rPr>
      </w:pPr>
    </w:p>
    <w:p w14:paraId="1D3020C0" w14:textId="77777777" w:rsidR="00047B4C" w:rsidRPr="00E45D7C" w:rsidRDefault="00047B4C" w:rsidP="00047B4C">
      <w:pPr>
        <w:pStyle w:val="Heading1"/>
        <w:numPr>
          <w:ilvl w:val="0"/>
          <w:numId w:val="0"/>
        </w:numPr>
        <w:rPr>
          <w:b/>
          <w:bCs/>
          <w:sz w:val="24"/>
          <w:szCs w:val="24"/>
        </w:rPr>
      </w:pPr>
      <w:r>
        <w:rPr>
          <w:b/>
          <w:sz w:val="24"/>
        </w:rPr>
        <w:t>Introducción</w:t>
      </w:r>
    </w:p>
    <w:p w14:paraId="5A652656" w14:textId="77091BC8" w:rsidR="00047B4C" w:rsidRPr="00E45D7C" w:rsidRDefault="00047B4C" w:rsidP="00047B4C">
      <w:pPr>
        <w:pStyle w:val="Heading1"/>
      </w:pPr>
      <w:r>
        <w:t xml:space="preserve">Este documento presenta el plan administrativo del Banco Mundial para </w:t>
      </w:r>
      <w:r w:rsidR="00D56D20">
        <w:t xml:space="preserve">el período </w:t>
      </w:r>
      <w:r>
        <w:t xml:space="preserve">2026-2028 </w:t>
      </w:r>
      <w:r w:rsidR="00D56D20">
        <w:t>y comprend</w:t>
      </w:r>
      <w:r>
        <w:t xml:space="preserve">e las actividades previstas para la reducción de las sustancias controladas y otras actividades </w:t>
      </w:r>
      <w:r w:rsidR="00EB5160">
        <w:t xml:space="preserve">previstas </w:t>
      </w:r>
      <w:r>
        <w:t>en el marco del Protocolo de Montreal durante el período 2026-2028. El texto</w:t>
      </w:r>
      <w:r w:rsidR="00EB5160">
        <w:t xml:space="preserve"> descriptivo</w:t>
      </w:r>
      <w:r>
        <w:t xml:space="preserve"> del plan administrativo del Banco Mundial para</w:t>
      </w:r>
      <w:r w:rsidR="00D56D20">
        <w:t xml:space="preserve"> el período</w:t>
      </w:r>
      <w:r>
        <w:t xml:space="preserve"> 2026-2028 se adjunta al presente documento. </w:t>
      </w:r>
    </w:p>
    <w:p w14:paraId="757CA11B" w14:textId="77777777" w:rsidR="00047B4C" w:rsidRPr="00E45D7C" w:rsidRDefault="00047B4C" w:rsidP="00047B4C">
      <w:pPr>
        <w:pStyle w:val="Heading1"/>
      </w:pPr>
      <w:r>
        <w:t>Este documento consta de las secciones siguientes:</w:t>
      </w:r>
    </w:p>
    <w:p w14:paraId="493D9047" w14:textId="1C2B827F" w:rsidR="00047B4C" w:rsidRPr="00E45D7C" w:rsidRDefault="00047B4C" w:rsidP="00047B4C">
      <w:pPr>
        <w:pStyle w:val="ListParagraph"/>
        <w:numPr>
          <w:ilvl w:val="0"/>
          <w:numId w:val="22"/>
        </w:numPr>
        <w:spacing w:after="240"/>
        <w:ind w:left="1570" w:hanging="778"/>
        <w:contextualSpacing w:val="0"/>
      </w:pPr>
      <w:r>
        <w:t xml:space="preserve">Actividades previstas para el período 2026-2028 </w:t>
      </w:r>
    </w:p>
    <w:p w14:paraId="59D4DD37" w14:textId="77777777" w:rsidR="00047B4C" w:rsidRPr="00E45D7C" w:rsidRDefault="00047B4C" w:rsidP="00047B4C">
      <w:pPr>
        <w:pStyle w:val="ListParagraph"/>
        <w:numPr>
          <w:ilvl w:val="0"/>
          <w:numId w:val="22"/>
        </w:numPr>
        <w:spacing w:after="240"/>
        <w:ind w:left="1570" w:hanging="778"/>
        <w:contextualSpacing w:val="0"/>
      </w:pPr>
      <w:r>
        <w:t>Observaciones de la Secretaría</w:t>
      </w:r>
    </w:p>
    <w:p w14:paraId="5637769F" w14:textId="77777777" w:rsidR="00047B4C" w:rsidRPr="00E45D7C" w:rsidRDefault="00047B4C" w:rsidP="00047B4C">
      <w:pPr>
        <w:pStyle w:val="ListParagraph"/>
        <w:numPr>
          <w:ilvl w:val="0"/>
          <w:numId w:val="22"/>
        </w:numPr>
        <w:spacing w:after="240"/>
        <w:ind w:left="1570" w:hanging="778"/>
        <w:contextualSpacing w:val="0"/>
      </w:pPr>
      <w:r>
        <w:t>Ajustes propuestos por la Secretaría</w:t>
      </w:r>
    </w:p>
    <w:p w14:paraId="28CEA454" w14:textId="77777777" w:rsidR="00047B4C" w:rsidRPr="00E45D7C" w:rsidRDefault="00047B4C" w:rsidP="00047B4C">
      <w:pPr>
        <w:pStyle w:val="ListParagraph"/>
        <w:numPr>
          <w:ilvl w:val="0"/>
          <w:numId w:val="22"/>
        </w:numPr>
        <w:spacing w:after="240"/>
        <w:ind w:left="1570" w:hanging="778"/>
        <w:contextualSpacing w:val="0"/>
      </w:pPr>
      <w:r>
        <w:t>Indicadores de desempeño</w:t>
      </w:r>
    </w:p>
    <w:p w14:paraId="1A82F9F1" w14:textId="77777777" w:rsidR="00047B4C" w:rsidRPr="00E45D7C" w:rsidRDefault="00047B4C" w:rsidP="00047B4C">
      <w:pPr>
        <w:pStyle w:val="ListParagraph"/>
        <w:numPr>
          <w:ilvl w:val="0"/>
          <w:numId w:val="22"/>
        </w:numPr>
        <w:spacing w:after="240"/>
        <w:ind w:left="1570" w:hanging="778"/>
        <w:contextualSpacing w:val="0"/>
      </w:pPr>
      <w:r>
        <w:t>Recomendación</w:t>
      </w:r>
    </w:p>
    <w:p w14:paraId="2DBB5AB5" w14:textId="30C7CC09" w:rsidR="00047B4C" w:rsidRPr="00E45D7C" w:rsidRDefault="00047B4C" w:rsidP="00047B4C">
      <w:pPr>
        <w:spacing w:after="240"/>
        <w:rPr>
          <w:b/>
          <w:bCs/>
          <w:sz w:val="24"/>
          <w:szCs w:val="24"/>
        </w:rPr>
      </w:pPr>
      <w:r>
        <w:rPr>
          <w:b/>
          <w:sz w:val="24"/>
        </w:rPr>
        <w:t>I.</w:t>
      </w:r>
      <w:r>
        <w:rPr>
          <w:b/>
          <w:sz w:val="24"/>
        </w:rPr>
        <w:tab/>
        <w:t xml:space="preserve">Actividades previstas para el período 2026-2028 </w:t>
      </w:r>
    </w:p>
    <w:p w14:paraId="0793A886" w14:textId="2D43762B" w:rsidR="00047B4C" w:rsidRPr="00E45D7C" w:rsidRDefault="00047B4C" w:rsidP="00047B4C">
      <w:pPr>
        <w:pStyle w:val="Heading1"/>
      </w:pPr>
      <w:r>
        <w:t>En el Cuadro</w:t>
      </w:r>
      <w:r w:rsidR="004D5C25">
        <w:t> </w:t>
      </w:r>
      <w:r>
        <w:t xml:space="preserve">1 se </w:t>
      </w:r>
      <w:r w:rsidR="004D5C25">
        <w:t>indic</w:t>
      </w:r>
      <w:r>
        <w:t xml:space="preserve">a, para cada año, </w:t>
      </w:r>
      <w:r w:rsidR="004D5C25">
        <w:t xml:space="preserve">el valor anual </w:t>
      </w:r>
      <w:r>
        <w:t xml:space="preserve">de las actividades </w:t>
      </w:r>
      <w:r w:rsidR="00EB5160">
        <w:t>co</w:t>
      </w:r>
      <w:r>
        <w:t>n</w:t>
      </w:r>
      <w:r w:rsidR="00EB5160">
        <w:t>s</w:t>
      </w:r>
      <w:r>
        <w:t>i</w:t>
      </w:r>
      <w:r w:rsidR="00EB5160">
        <w:t>gna</w:t>
      </w:r>
      <w:r>
        <w:t>das en el plan administrativo del Banco Mundial.</w:t>
      </w:r>
    </w:p>
    <w:p w14:paraId="46B4DD31" w14:textId="4690FE1E" w:rsidR="00047B4C" w:rsidRPr="00E45D7C" w:rsidRDefault="00047B4C" w:rsidP="00A55518">
      <w:pPr>
        <w:pStyle w:val="subhead"/>
        <w:keepNext/>
        <w:jc w:val="both"/>
        <w:rPr>
          <w:b/>
          <w:sz w:val="22"/>
          <w:szCs w:val="22"/>
        </w:rPr>
      </w:pPr>
      <w:r>
        <w:rPr>
          <w:b/>
          <w:sz w:val="22"/>
        </w:rPr>
        <w:lastRenderedPageBreak/>
        <w:t>Cuadro 1. Asignación de recursos en el plan administrativo del Banco Mundial para</w:t>
      </w:r>
      <w:r w:rsidR="004D5C25">
        <w:rPr>
          <w:b/>
          <w:sz w:val="22"/>
        </w:rPr>
        <w:t xml:space="preserve"> el período</w:t>
      </w:r>
      <w:r>
        <w:rPr>
          <w:b/>
          <w:sz w:val="22"/>
        </w:rPr>
        <w:t xml:space="preserve"> 2026-2028 (USD)*</w:t>
      </w:r>
      <w:r w:rsidR="00922C1E">
        <w:rPr>
          <w:b/>
          <w:sz w:val="22"/>
        </w:rPr>
        <w:t xml:space="preserve"> –</w:t>
      </w:r>
      <w:r>
        <w:rPr>
          <w:b/>
          <w:sz w:val="22"/>
        </w:rPr>
        <w:t xml:space="preserve"> según lo presentado </w:t>
      </w:r>
    </w:p>
    <w:tbl>
      <w:tblPr>
        <w:tblW w:w="9639" w:type="dxa"/>
        <w:tblInd w:w="-5" w:type="dxa"/>
        <w:tblLayout w:type="fixed"/>
        <w:tblLook w:val="04A0" w:firstRow="1" w:lastRow="0" w:firstColumn="1" w:lastColumn="0" w:noHBand="0" w:noVBand="1"/>
      </w:tblPr>
      <w:tblGrid>
        <w:gridCol w:w="3690"/>
        <w:gridCol w:w="1170"/>
        <w:gridCol w:w="1170"/>
        <w:gridCol w:w="1170"/>
        <w:gridCol w:w="1260"/>
        <w:gridCol w:w="1179"/>
      </w:tblGrid>
      <w:tr w:rsidR="00E45D7C" w:rsidRPr="00E45D7C" w14:paraId="35706F27" w14:textId="77777777" w:rsidTr="004C3CF0">
        <w:trPr>
          <w:trHeight w:val="258"/>
          <w:tblHeader/>
        </w:trPr>
        <w:tc>
          <w:tcPr>
            <w:tcW w:w="3690" w:type="dxa"/>
            <w:tcBorders>
              <w:top w:val="single" w:sz="4" w:space="0" w:color="auto"/>
              <w:left w:val="single" w:sz="4" w:space="0" w:color="auto"/>
              <w:bottom w:val="single" w:sz="4" w:space="0" w:color="auto"/>
              <w:right w:val="single" w:sz="4" w:space="0" w:color="auto"/>
            </w:tcBorders>
            <w:noWrap/>
            <w:hideMark/>
          </w:tcPr>
          <w:p w14:paraId="29841A0B" w14:textId="77777777" w:rsidR="00947E4A" w:rsidRPr="00E45D7C" w:rsidRDefault="00947E4A" w:rsidP="00A55518">
            <w:pPr>
              <w:keepNext/>
              <w:jc w:val="left"/>
              <w:rPr>
                <w:rFonts w:asciiTheme="majorBidi" w:hAnsiTheme="majorBidi" w:cstheme="majorBidi"/>
                <w:b/>
                <w:bCs/>
                <w:sz w:val="20"/>
                <w:szCs w:val="20"/>
              </w:rPr>
            </w:pPr>
            <w:r>
              <w:rPr>
                <w:rFonts w:asciiTheme="majorBidi" w:hAnsiTheme="majorBidi"/>
                <w:b/>
                <w:sz w:val="20"/>
              </w:rPr>
              <w:t>Descripción</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4BE7E433" w14:textId="77777777" w:rsidR="00947E4A" w:rsidRPr="00E45D7C" w:rsidRDefault="00947E4A" w:rsidP="00A55518">
            <w:pPr>
              <w:keepNext/>
              <w:jc w:val="center"/>
              <w:rPr>
                <w:rFonts w:asciiTheme="majorBidi" w:hAnsiTheme="majorBidi" w:cstheme="majorBidi"/>
                <w:b/>
                <w:bCs/>
                <w:sz w:val="20"/>
                <w:szCs w:val="20"/>
              </w:rPr>
            </w:pPr>
            <w:r>
              <w:rPr>
                <w:rFonts w:asciiTheme="majorBidi" w:hAnsiTheme="majorBidi"/>
                <w:b/>
                <w:sz w:val="20"/>
              </w:rPr>
              <w:t>2026</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1A2A47F4" w14:textId="77777777" w:rsidR="00947E4A" w:rsidRPr="00E45D7C" w:rsidRDefault="00947E4A" w:rsidP="00A55518">
            <w:pPr>
              <w:keepNext/>
              <w:jc w:val="center"/>
              <w:rPr>
                <w:rFonts w:asciiTheme="majorBidi" w:hAnsiTheme="majorBidi" w:cstheme="majorBidi"/>
                <w:b/>
                <w:bCs/>
                <w:sz w:val="20"/>
                <w:szCs w:val="20"/>
              </w:rPr>
            </w:pPr>
            <w:r>
              <w:rPr>
                <w:rFonts w:asciiTheme="majorBidi" w:hAnsiTheme="majorBidi"/>
                <w:b/>
                <w:sz w:val="20"/>
              </w:rPr>
              <w:t>2027</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631723CB" w14:textId="699791DC" w:rsidR="00947E4A" w:rsidRPr="00E45D7C" w:rsidRDefault="005B199D" w:rsidP="00A55518">
            <w:pPr>
              <w:keepNext/>
              <w:jc w:val="center"/>
              <w:rPr>
                <w:rFonts w:asciiTheme="majorBidi" w:hAnsiTheme="majorBidi" w:cstheme="majorBidi"/>
                <w:b/>
                <w:bCs/>
                <w:sz w:val="20"/>
                <w:szCs w:val="20"/>
              </w:rPr>
            </w:pPr>
            <w:r>
              <w:rPr>
                <w:rFonts w:asciiTheme="majorBidi" w:hAnsiTheme="majorBidi"/>
                <w:b/>
                <w:sz w:val="20"/>
              </w:rPr>
              <w:t>2028</w:t>
            </w:r>
          </w:p>
        </w:tc>
        <w:tc>
          <w:tcPr>
            <w:tcW w:w="1260" w:type="dxa"/>
            <w:tcBorders>
              <w:top w:val="single" w:sz="4" w:space="0" w:color="auto"/>
              <w:left w:val="nil"/>
              <w:bottom w:val="single" w:sz="4" w:space="0" w:color="auto"/>
              <w:right w:val="single" w:sz="4" w:space="0" w:color="auto"/>
            </w:tcBorders>
            <w:tcMar>
              <w:left w:w="29" w:type="dxa"/>
              <w:right w:w="29" w:type="dxa"/>
            </w:tcMar>
            <w:hideMark/>
          </w:tcPr>
          <w:p w14:paraId="29690743" w14:textId="77777777" w:rsidR="00947E4A" w:rsidRPr="00E45D7C" w:rsidRDefault="00947E4A" w:rsidP="00A55518">
            <w:pPr>
              <w:keepNext/>
              <w:jc w:val="center"/>
              <w:rPr>
                <w:rFonts w:asciiTheme="majorBidi" w:hAnsiTheme="majorBidi" w:cstheme="majorBidi"/>
                <w:b/>
                <w:bCs/>
                <w:sz w:val="20"/>
                <w:szCs w:val="20"/>
              </w:rPr>
            </w:pPr>
            <w:r>
              <w:rPr>
                <w:rFonts w:asciiTheme="majorBidi" w:hAnsiTheme="majorBidi"/>
                <w:b/>
                <w:sz w:val="20"/>
              </w:rPr>
              <w:t xml:space="preserve">Total </w:t>
            </w:r>
          </w:p>
          <w:p w14:paraId="09C51FE1" w14:textId="212BD3CC" w:rsidR="00947E4A" w:rsidRPr="00E45D7C" w:rsidRDefault="00947E4A" w:rsidP="00A55518">
            <w:pPr>
              <w:keepNext/>
              <w:jc w:val="center"/>
              <w:rPr>
                <w:rFonts w:asciiTheme="majorBidi" w:hAnsiTheme="majorBidi" w:cstheme="majorBidi"/>
                <w:b/>
                <w:bCs/>
                <w:sz w:val="20"/>
                <w:szCs w:val="20"/>
              </w:rPr>
            </w:pPr>
            <w:r>
              <w:rPr>
                <w:rFonts w:asciiTheme="majorBidi" w:hAnsiTheme="majorBidi"/>
                <w:b/>
                <w:sz w:val="20"/>
              </w:rPr>
              <w:t>(2026-2028)</w:t>
            </w:r>
          </w:p>
        </w:tc>
        <w:tc>
          <w:tcPr>
            <w:tcW w:w="1179" w:type="dxa"/>
            <w:tcBorders>
              <w:top w:val="single" w:sz="4" w:space="0" w:color="auto"/>
              <w:left w:val="nil"/>
              <w:bottom w:val="single" w:sz="4" w:space="0" w:color="auto"/>
              <w:right w:val="single" w:sz="4" w:space="0" w:color="auto"/>
            </w:tcBorders>
            <w:tcMar>
              <w:left w:w="29" w:type="dxa"/>
              <w:right w:w="29" w:type="dxa"/>
            </w:tcMar>
            <w:hideMark/>
          </w:tcPr>
          <w:p w14:paraId="6A64BB40" w14:textId="77777777" w:rsidR="00947E4A" w:rsidRPr="00E45D7C" w:rsidRDefault="00947E4A" w:rsidP="00A55518">
            <w:pPr>
              <w:keepNext/>
              <w:jc w:val="center"/>
              <w:rPr>
                <w:rFonts w:asciiTheme="majorBidi" w:hAnsiTheme="majorBidi" w:cstheme="majorBidi"/>
                <w:b/>
                <w:bCs/>
                <w:sz w:val="20"/>
                <w:szCs w:val="20"/>
              </w:rPr>
            </w:pPr>
            <w:r w:rsidRPr="0096779D">
              <w:rPr>
                <w:rFonts w:asciiTheme="majorBidi" w:hAnsiTheme="majorBidi"/>
                <w:b/>
                <w:spacing w:val="-6"/>
                <w:sz w:val="20"/>
              </w:rPr>
              <w:t>Total después</w:t>
            </w:r>
            <w:r>
              <w:rPr>
                <w:rFonts w:asciiTheme="majorBidi" w:hAnsiTheme="majorBidi"/>
                <w:b/>
                <w:sz w:val="20"/>
              </w:rPr>
              <w:t xml:space="preserve"> de 2028</w:t>
            </w:r>
          </w:p>
        </w:tc>
      </w:tr>
      <w:tr w:rsidR="00E45D7C" w:rsidRPr="00E45D7C" w14:paraId="7B731DF4" w14:textId="77777777" w:rsidTr="004C3CF0">
        <w:trPr>
          <w:trHeight w:val="44"/>
        </w:trPr>
        <w:tc>
          <w:tcPr>
            <w:tcW w:w="9639" w:type="dxa"/>
            <w:gridSpan w:val="6"/>
            <w:tcBorders>
              <w:top w:val="single" w:sz="4" w:space="0" w:color="auto"/>
              <w:left w:val="single" w:sz="4" w:space="0" w:color="auto"/>
              <w:bottom w:val="single" w:sz="4" w:space="0" w:color="auto"/>
              <w:right w:val="single" w:sz="4" w:space="0" w:color="auto"/>
            </w:tcBorders>
            <w:noWrap/>
            <w:hideMark/>
          </w:tcPr>
          <w:p w14:paraId="3564EA09" w14:textId="77777777" w:rsidR="00947E4A" w:rsidRPr="00E45D7C" w:rsidRDefault="00947E4A" w:rsidP="00A55518">
            <w:pPr>
              <w:keepNext/>
              <w:jc w:val="left"/>
              <w:rPr>
                <w:rFonts w:asciiTheme="majorBidi" w:hAnsiTheme="majorBidi" w:cstheme="majorBidi"/>
                <w:b/>
                <w:bCs/>
                <w:sz w:val="20"/>
                <w:szCs w:val="20"/>
              </w:rPr>
            </w:pPr>
            <w:r>
              <w:rPr>
                <w:rFonts w:asciiTheme="majorBidi" w:hAnsiTheme="majorBidi"/>
                <w:b/>
                <w:sz w:val="20"/>
              </w:rPr>
              <w:t>Actividades relativas a los HCFC</w:t>
            </w:r>
          </w:p>
        </w:tc>
      </w:tr>
      <w:tr w:rsidR="00E45D7C" w:rsidRPr="00E45D7C" w14:paraId="4041B65F" w14:textId="77777777" w:rsidTr="004C3CF0">
        <w:trPr>
          <w:trHeight w:val="258"/>
        </w:trPr>
        <w:tc>
          <w:tcPr>
            <w:tcW w:w="3690" w:type="dxa"/>
            <w:tcBorders>
              <w:top w:val="nil"/>
              <w:left w:val="single" w:sz="4" w:space="0" w:color="auto"/>
              <w:bottom w:val="single" w:sz="4" w:space="0" w:color="auto"/>
              <w:right w:val="single" w:sz="4" w:space="0" w:color="auto"/>
            </w:tcBorders>
            <w:noWrap/>
            <w:hideMark/>
          </w:tcPr>
          <w:p w14:paraId="0A510CCF" w14:textId="77777777" w:rsidR="00947E4A" w:rsidRPr="00E45D7C" w:rsidRDefault="00947E4A" w:rsidP="00A55518">
            <w:pPr>
              <w:keepNext/>
              <w:jc w:val="left"/>
              <w:rPr>
                <w:rFonts w:asciiTheme="majorBidi" w:hAnsiTheme="majorBidi" w:cstheme="majorBidi"/>
                <w:sz w:val="20"/>
                <w:szCs w:val="20"/>
              </w:rPr>
            </w:pPr>
            <w:r>
              <w:rPr>
                <w:rFonts w:asciiTheme="majorBidi" w:hAnsiTheme="majorBidi"/>
                <w:sz w:val="20"/>
              </w:rPr>
              <w:t>Planes de gestión para la eliminación de HCFC (PGEH) aprobados</w:t>
            </w:r>
          </w:p>
        </w:tc>
        <w:tc>
          <w:tcPr>
            <w:tcW w:w="1170" w:type="dxa"/>
            <w:tcBorders>
              <w:top w:val="nil"/>
              <w:left w:val="nil"/>
              <w:bottom w:val="single" w:sz="4" w:space="0" w:color="auto"/>
              <w:right w:val="single" w:sz="4" w:space="0" w:color="auto"/>
            </w:tcBorders>
            <w:noWrap/>
            <w:hideMark/>
          </w:tcPr>
          <w:p w14:paraId="62651BB7"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4.494.000</w:t>
            </w:r>
          </w:p>
        </w:tc>
        <w:tc>
          <w:tcPr>
            <w:tcW w:w="1170" w:type="dxa"/>
            <w:tcBorders>
              <w:top w:val="nil"/>
              <w:left w:val="nil"/>
              <w:bottom w:val="single" w:sz="4" w:space="0" w:color="auto"/>
              <w:right w:val="single" w:sz="4" w:space="0" w:color="auto"/>
            </w:tcBorders>
            <w:noWrap/>
            <w:hideMark/>
          </w:tcPr>
          <w:p w14:paraId="5BE5365D"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4.932.894</w:t>
            </w:r>
          </w:p>
        </w:tc>
        <w:tc>
          <w:tcPr>
            <w:tcW w:w="1170" w:type="dxa"/>
            <w:tcBorders>
              <w:top w:val="nil"/>
              <w:left w:val="nil"/>
              <w:bottom w:val="single" w:sz="4" w:space="0" w:color="auto"/>
              <w:right w:val="single" w:sz="4" w:space="0" w:color="auto"/>
            </w:tcBorders>
            <w:noWrap/>
            <w:hideMark/>
          </w:tcPr>
          <w:p w14:paraId="0363636F"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16EA3E0B"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9.426.894</w:t>
            </w:r>
          </w:p>
        </w:tc>
        <w:tc>
          <w:tcPr>
            <w:tcW w:w="1179" w:type="dxa"/>
            <w:tcBorders>
              <w:top w:val="nil"/>
              <w:left w:val="nil"/>
              <w:bottom w:val="single" w:sz="4" w:space="0" w:color="auto"/>
              <w:right w:val="single" w:sz="4" w:space="0" w:color="auto"/>
            </w:tcBorders>
            <w:noWrap/>
            <w:hideMark/>
          </w:tcPr>
          <w:p w14:paraId="335ADF9F"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1.479.869</w:t>
            </w:r>
          </w:p>
        </w:tc>
      </w:tr>
      <w:tr w:rsidR="00E45D7C" w:rsidRPr="00E45D7C" w14:paraId="6F8A331E" w14:textId="77777777" w:rsidTr="004C3CF0">
        <w:trPr>
          <w:trHeight w:val="44"/>
        </w:trPr>
        <w:tc>
          <w:tcPr>
            <w:tcW w:w="3690" w:type="dxa"/>
            <w:tcBorders>
              <w:top w:val="nil"/>
              <w:left w:val="single" w:sz="4" w:space="0" w:color="auto"/>
              <w:bottom w:val="single" w:sz="4" w:space="0" w:color="auto"/>
              <w:right w:val="single" w:sz="4" w:space="0" w:color="auto"/>
            </w:tcBorders>
            <w:noWrap/>
            <w:tcMar>
              <w:left w:w="115" w:type="dxa"/>
              <w:right w:w="29" w:type="dxa"/>
            </w:tcMar>
            <w:hideMark/>
          </w:tcPr>
          <w:p w14:paraId="33FE2BA9" w14:textId="2CD39E63" w:rsidR="00947E4A" w:rsidRPr="00CF0E2D" w:rsidRDefault="0096779D" w:rsidP="0096779D">
            <w:pPr>
              <w:keepNext/>
              <w:jc w:val="left"/>
              <w:rPr>
                <w:rFonts w:asciiTheme="majorBidi" w:hAnsiTheme="majorBidi" w:cstheme="majorBidi"/>
                <w:spacing w:val="-4"/>
                <w:sz w:val="20"/>
                <w:szCs w:val="20"/>
              </w:rPr>
            </w:pPr>
            <w:r>
              <w:rPr>
                <w:rFonts w:asciiTheme="majorBidi" w:hAnsiTheme="majorBidi"/>
                <w:spacing w:val="-4"/>
                <w:sz w:val="20"/>
              </w:rPr>
              <w:t>P</w:t>
            </w:r>
            <w:r w:rsidR="001646F9" w:rsidRPr="00CF0E2D">
              <w:rPr>
                <w:rFonts w:asciiTheme="majorBidi" w:hAnsiTheme="majorBidi"/>
                <w:spacing w:val="-4"/>
                <w:sz w:val="20"/>
              </w:rPr>
              <w:t>lan de gestión para la eliminación de la producción de HCFC (PGEPH)</w:t>
            </w:r>
            <w:r>
              <w:rPr>
                <w:rFonts w:asciiTheme="majorBidi" w:hAnsiTheme="majorBidi"/>
                <w:spacing w:val="-4"/>
                <w:sz w:val="20"/>
              </w:rPr>
              <w:t>, e</w:t>
            </w:r>
            <w:r w:rsidRPr="00CF0E2D">
              <w:rPr>
                <w:rFonts w:asciiTheme="majorBidi" w:hAnsiTheme="majorBidi"/>
                <w:spacing w:val="-4"/>
                <w:sz w:val="20"/>
              </w:rPr>
              <w:t>tapa III</w:t>
            </w:r>
          </w:p>
        </w:tc>
        <w:tc>
          <w:tcPr>
            <w:tcW w:w="1170" w:type="dxa"/>
            <w:tcBorders>
              <w:top w:val="nil"/>
              <w:left w:val="nil"/>
              <w:bottom w:val="single" w:sz="4" w:space="0" w:color="auto"/>
              <w:right w:val="single" w:sz="4" w:space="0" w:color="auto"/>
            </w:tcBorders>
            <w:noWrap/>
            <w:hideMark/>
          </w:tcPr>
          <w:p w14:paraId="38DDC15F"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2E501E39"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23.540.000</w:t>
            </w:r>
          </w:p>
        </w:tc>
        <w:tc>
          <w:tcPr>
            <w:tcW w:w="1170" w:type="dxa"/>
            <w:tcBorders>
              <w:top w:val="nil"/>
              <w:left w:val="nil"/>
              <w:bottom w:val="single" w:sz="4" w:space="0" w:color="auto"/>
              <w:right w:val="single" w:sz="4" w:space="0" w:color="auto"/>
            </w:tcBorders>
            <w:noWrap/>
            <w:hideMark/>
          </w:tcPr>
          <w:p w14:paraId="52A439D6"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014BAB60"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23.540.000</w:t>
            </w:r>
          </w:p>
        </w:tc>
        <w:tc>
          <w:tcPr>
            <w:tcW w:w="1179" w:type="dxa"/>
            <w:tcBorders>
              <w:top w:val="nil"/>
              <w:left w:val="nil"/>
              <w:bottom w:val="single" w:sz="4" w:space="0" w:color="auto"/>
              <w:right w:val="single" w:sz="4" w:space="0" w:color="auto"/>
            </w:tcBorders>
            <w:noWrap/>
            <w:hideMark/>
          </w:tcPr>
          <w:p w14:paraId="4EFA332D"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23.540.000</w:t>
            </w:r>
          </w:p>
        </w:tc>
      </w:tr>
      <w:tr w:rsidR="00E45D7C" w:rsidRPr="00E45D7C" w14:paraId="3DFB546D" w14:textId="77777777" w:rsidTr="004C3CF0">
        <w:trPr>
          <w:trHeight w:val="89"/>
        </w:trPr>
        <w:tc>
          <w:tcPr>
            <w:tcW w:w="3690" w:type="dxa"/>
            <w:tcBorders>
              <w:top w:val="nil"/>
              <w:left w:val="single" w:sz="4" w:space="0" w:color="auto"/>
              <w:bottom w:val="single" w:sz="4" w:space="0" w:color="auto"/>
              <w:right w:val="single" w:sz="4" w:space="0" w:color="auto"/>
            </w:tcBorders>
            <w:noWrap/>
            <w:hideMark/>
          </w:tcPr>
          <w:p w14:paraId="23D7EF2D" w14:textId="77777777" w:rsidR="00947E4A" w:rsidRPr="00E45D7C" w:rsidRDefault="00947E4A" w:rsidP="00A55518">
            <w:pPr>
              <w:keepNext/>
              <w:jc w:val="left"/>
              <w:rPr>
                <w:rFonts w:asciiTheme="majorBidi" w:hAnsiTheme="majorBidi" w:cstheme="majorBidi"/>
                <w:sz w:val="20"/>
                <w:szCs w:val="20"/>
              </w:rPr>
            </w:pPr>
            <w:r>
              <w:rPr>
                <w:rFonts w:asciiTheme="majorBidi" w:hAnsiTheme="majorBidi"/>
                <w:sz w:val="20"/>
              </w:rPr>
              <w:t>PGEH, etapa III</w:t>
            </w:r>
          </w:p>
        </w:tc>
        <w:tc>
          <w:tcPr>
            <w:tcW w:w="1170" w:type="dxa"/>
            <w:tcBorders>
              <w:top w:val="nil"/>
              <w:left w:val="nil"/>
              <w:bottom w:val="single" w:sz="4" w:space="0" w:color="auto"/>
              <w:right w:val="single" w:sz="4" w:space="0" w:color="auto"/>
            </w:tcBorders>
            <w:noWrap/>
            <w:hideMark/>
          </w:tcPr>
          <w:p w14:paraId="2DFF4CC4"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4.280.000</w:t>
            </w:r>
          </w:p>
        </w:tc>
        <w:tc>
          <w:tcPr>
            <w:tcW w:w="1170" w:type="dxa"/>
            <w:tcBorders>
              <w:top w:val="nil"/>
              <w:left w:val="nil"/>
              <w:bottom w:val="single" w:sz="4" w:space="0" w:color="auto"/>
              <w:right w:val="single" w:sz="4" w:space="0" w:color="auto"/>
            </w:tcBorders>
            <w:noWrap/>
            <w:hideMark/>
          </w:tcPr>
          <w:p w14:paraId="3630D69E"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0AA635F5"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10.700.000</w:t>
            </w:r>
          </w:p>
        </w:tc>
        <w:tc>
          <w:tcPr>
            <w:tcW w:w="1260" w:type="dxa"/>
            <w:tcBorders>
              <w:top w:val="nil"/>
              <w:left w:val="nil"/>
              <w:bottom w:val="single" w:sz="4" w:space="0" w:color="auto"/>
              <w:right w:val="single" w:sz="4" w:space="0" w:color="auto"/>
            </w:tcBorders>
            <w:noWrap/>
            <w:hideMark/>
          </w:tcPr>
          <w:p w14:paraId="2570A137"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14.980.000</w:t>
            </w:r>
          </w:p>
        </w:tc>
        <w:tc>
          <w:tcPr>
            <w:tcW w:w="1179" w:type="dxa"/>
            <w:tcBorders>
              <w:top w:val="nil"/>
              <w:left w:val="nil"/>
              <w:bottom w:val="single" w:sz="4" w:space="0" w:color="auto"/>
              <w:right w:val="single" w:sz="4" w:space="0" w:color="auto"/>
            </w:tcBorders>
            <w:noWrap/>
            <w:hideMark/>
          </w:tcPr>
          <w:p w14:paraId="6CE59112"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10.700.000</w:t>
            </w:r>
          </w:p>
        </w:tc>
      </w:tr>
      <w:tr w:rsidR="00E45D7C" w:rsidRPr="00E45D7C" w14:paraId="161D5958" w14:textId="77777777" w:rsidTr="004C3CF0">
        <w:trPr>
          <w:trHeight w:val="44"/>
        </w:trPr>
        <w:tc>
          <w:tcPr>
            <w:tcW w:w="3690" w:type="dxa"/>
            <w:tcBorders>
              <w:top w:val="nil"/>
              <w:left w:val="single" w:sz="4" w:space="0" w:color="auto"/>
              <w:bottom w:val="single" w:sz="4" w:space="0" w:color="auto"/>
              <w:right w:val="single" w:sz="4" w:space="0" w:color="auto"/>
            </w:tcBorders>
            <w:noWrap/>
            <w:tcMar>
              <w:left w:w="115" w:type="dxa"/>
              <w:right w:w="29" w:type="dxa"/>
            </w:tcMar>
            <w:hideMark/>
          </w:tcPr>
          <w:p w14:paraId="6DE2C139" w14:textId="2B270157" w:rsidR="00947E4A" w:rsidRPr="004D5C25" w:rsidRDefault="00947E4A" w:rsidP="004D5C25">
            <w:pPr>
              <w:keepNext/>
              <w:jc w:val="left"/>
              <w:rPr>
                <w:rFonts w:asciiTheme="majorBidi" w:hAnsiTheme="majorBidi" w:cstheme="majorBidi"/>
                <w:b/>
                <w:bCs/>
                <w:spacing w:val="-4"/>
                <w:sz w:val="20"/>
                <w:szCs w:val="20"/>
              </w:rPr>
            </w:pPr>
            <w:r w:rsidRPr="004D5C25">
              <w:rPr>
                <w:rFonts w:asciiTheme="majorBidi" w:hAnsiTheme="majorBidi"/>
                <w:b/>
                <w:spacing w:val="-4"/>
                <w:sz w:val="20"/>
              </w:rPr>
              <w:t xml:space="preserve">Subtotal </w:t>
            </w:r>
            <w:r w:rsidR="00CF0E2D">
              <w:rPr>
                <w:rFonts w:asciiTheme="majorBidi" w:hAnsiTheme="majorBidi"/>
                <w:b/>
                <w:spacing w:val="-4"/>
                <w:sz w:val="20"/>
              </w:rPr>
              <w:t xml:space="preserve">– </w:t>
            </w:r>
            <w:r w:rsidR="004D5C25" w:rsidRPr="004D5C25">
              <w:rPr>
                <w:rFonts w:asciiTheme="majorBidi" w:hAnsiTheme="majorBidi"/>
                <w:b/>
                <w:spacing w:val="-4"/>
                <w:sz w:val="20"/>
              </w:rPr>
              <w:t>A</w:t>
            </w:r>
            <w:r w:rsidRPr="004D5C25">
              <w:rPr>
                <w:rFonts w:asciiTheme="majorBidi" w:hAnsiTheme="majorBidi"/>
                <w:b/>
                <w:spacing w:val="-4"/>
                <w:sz w:val="20"/>
              </w:rPr>
              <w:t>ctividades relativas a los HCFC</w:t>
            </w:r>
          </w:p>
        </w:tc>
        <w:tc>
          <w:tcPr>
            <w:tcW w:w="1170" w:type="dxa"/>
            <w:tcBorders>
              <w:top w:val="nil"/>
              <w:left w:val="nil"/>
              <w:bottom w:val="single" w:sz="4" w:space="0" w:color="auto"/>
              <w:right w:val="single" w:sz="4" w:space="0" w:color="auto"/>
            </w:tcBorders>
            <w:noWrap/>
            <w:hideMark/>
          </w:tcPr>
          <w:p w14:paraId="2F1B8991" w14:textId="77777777" w:rsidR="00947E4A" w:rsidRPr="00E45D7C" w:rsidRDefault="00947E4A" w:rsidP="00A55518">
            <w:pPr>
              <w:keepNext/>
              <w:jc w:val="right"/>
              <w:rPr>
                <w:rFonts w:asciiTheme="majorBidi" w:hAnsiTheme="majorBidi" w:cstheme="majorBidi"/>
                <w:b/>
                <w:bCs/>
                <w:sz w:val="20"/>
                <w:szCs w:val="20"/>
              </w:rPr>
            </w:pPr>
            <w:r>
              <w:rPr>
                <w:rFonts w:asciiTheme="majorBidi" w:hAnsiTheme="majorBidi"/>
                <w:b/>
                <w:sz w:val="20"/>
              </w:rPr>
              <w:t>8.774.000</w:t>
            </w:r>
          </w:p>
        </w:tc>
        <w:tc>
          <w:tcPr>
            <w:tcW w:w="1170" w:type="dxa"/>
            <w:tcBorders>
              <w:top w:val="nil"/>
              <w:left w:val="nil"/>
              <w:bottom w:val="single" w:sz="4" w:space="0" w:color="auto"/>
              <w:right w:val="single" w:sz="4" w:space="0" w:color="auto"/>
            </w:tcBorders>
            <w:noWrap/>
            <w:hideMark/>
          </w:tcPr>
          <w:p w14:paraId="4E793BD8" w14:textId="77777777" w:rsidR="00947E4A" w:rsidRPr="00E45D7C" w:rsidRDefault="00947E4A" w:rsidP="00A55518">
            <w:pPr>
              <w:keepNext/>
              <w:jc w:val="right"/>
              <w:rPr>
                <w:rFonts w:asciiTheme="majorBidi" w:hAnsiTheme="majorBidi" w:cstheme="majorBidi"/>
                <w:b/>
                <w:bCs/>
                <w:sz w:val="20"/>
                <w:szCs w:val="20"/>
              </w:rPr>
            </w:pPr>
            <w:r>
              <w:rPr>
                <w:rFonts w:asciiTheme="majorBidi" w:hAnsiTheme="majorBidi"/>
                <w:b/>
                <w:sz w:val="20"/>
              </w:rPr>
              <w:t>28.472.894</w:t>
            </w:r>
          </w:p>
        </w:tc>
        <w:tc>
          <w:tcPr>
            <w:tcW w:w="1170" w:type="dxa"/>
            <w:tcBorders>
              <w:top w:val="nil"/>
              <w:left w:val="nil"/>
              <w:bottom w:val="single" w:sz="4" w:space="0" w:color="auto"/>
              <w:right w:val="single" w:sz="4" w:space="0" w:color="auto"/>
            </w:tcBorders>
            <w:noWrap/>
            <w:hideMark/>
          </w:tcPr>
          <w:p w14:paraId="1BF9A1D7" w14:textId="77777777" w:rsidR="00947E4A" w:rsidRPr="00E45D7C" w:rsidRDefault="00947E4A" w:rsidP="00A55518">
            <w:pPr>
              <w:keepNext/>
              <w:jc w:val="right"/>
              <w:rPr>
                <w:rFonts w:asciiTheme="majorBidi" w:hAnsiTheme="majorBidi" w:cstheme="majorBidi"/>
                <w:b/>
                <w:bCs/>
                <w:sz w:val="20"/>
                <w:szCs w:val="20"/>
              </w:rPr>
            </w:pPr>
            <w:r>
              <w:rPr>
                <w:rFonts w:asciiTheme="majorBidi" w:hAnsiTheme="majorBidi"/>
                <w:b/>
                <w:sz w:val="20"/>
              </w:rPr>
              <w:t>10.700.000</w:t>
            </w:r>
          </w:p>
        </w:tc>
        <w:tc>
          <w:tcPr>
            <w:tcW w:w="1260" w:type="dxa"/>
            <w:tcBorders>
              <w:top w:val="nil"/>
              <w:left w:val="nil"/>
              <w:bottom w:val="single" w:sz="4" w:space="0" w:color="auto"/>
              <w:right w:val="single" w:sz="4" w:space="0" w:color="auto"/>
            </w:tcBorders>
            <w:noWrap/>
            <w:hideMark/>
          </w:tcPr>
          <w:p w14:paraId="52C27CD0" w14:textId="77777777" w:rsidR="00947E4A" w:rsidRPr="00E45D7C" w:rsidRDefault="00947E4A" w:rsidP="00A55518">
            <w:pPr>
              <w:keepNext/>
              <w:jc w:val="right"/>
              <w:rPr>
                <w:rFonts w:asciiTheme="majorBidi" w:hAnsiTheme="majorBidi" w:cstheme="majorBidi"/>
                <w:b/>
                <w:bCs/>
                <w:sz w:val="20"/>
                <w:szCs w:val="20"/>
              </w:rPr>
            </w:pPr>
            <w:r>
              <w:rPr>
                <w:rFonts w:asciiTheme="majorBidi" w:hAnsiTheme="majorBidi"/>
                <w:b/>
                <w:sz w:val="20"/>
              </w:rPr>
              <w:t>47.946.894</w:t>
            </w:r>
          </w:p>
        </w:tc>
        <w:tc>
          <w:tcPr>
            <w:tcW w:w="1179" w:type="dxa"/>
            <w:tcBorders>
              <w:top w:val="nil"/>
              <w:left w:val="nil"/>
              <w:bottom w:val="single" w:sz="4" w:space="0" w:color="auto"/>
              <w:right w:val="single" w:sz="4" w:space="0" w:color="auto"/>
            </w:tcBorders>
            <w:noWrap/>
            <w:hideMark/>
          </w:tcPr>
          <w:p w14:paraId="0A3B0AE3" w14:textId="77777777" w:rsidR="00947E4A" w:rsidRPr="00E45D7C" w:rsidRDefault="00947E4A" w:rsidP="00A55518">
            <w:pPr>
              <w:keepNext/>
              <w:jc w:val="right"/>
              <w:rPr>
                <w:rFonts w:asciiTheme="majorBidi" w:hAnsiTheme="majorBidi" w:cstheme="majorBidi"/>
                <w:b/>
                <w:bCs/>
                <w:sz w:val="20"/>
                <w:szCs w:val="20"/>
              </w:rPr>
            </w:pPr>
            <w:r>
              <w:rPr>
                <w:rFonts w:asciiTheme="majorBidi" w:hAnsiTheme="majorBidi"/>
                <w:b/>
                <w:sz w:val="20"/>
              </w:rPr>
              <w:t>35.719.869</w:t>
            </w:r>
          </w:p>
        </w:tc>
      </w:tr>
      <w:tr w:rsidR="00E45D7C" w:rsidRPr="00E45D7C" w14:paraId="3BE2C8F9" w14:textId="77777777" w:rsidTr="004C3CF0">
        <w:trPr>
          <w:trHeight w:val="44"/>
        </w:trPr>
        <w:tc>
          <w:tcPr>
            <w:tcW w:w="9639" w:type="dxa"/>
            <w:gridSpan w:val="6"/>
            <w:tcBorders>
              <w:top w:val="single" w:sz="4" w:space="0" w:color="auto"/>
              <w:left w:val="single" w:sz="4" w:space="0" w:color="auto"/>
              <w:bottom w:val="single" w:sz="4" w:space="0" w:color="auto"/>
              <w:right w:val="single" w:sz="4" w:space="0" w:color="auto"/>
            </w:tcBorders>
            <w:noWrap/>
            <w:hideMark/>
          </w:tcPr>
          <w:p w14:paraId="7EF94541" w14:textId="77777777" w:rsidR="00947E4A" w:rsidRPr="00E45D7C" w:rsidRDefault="00947E4A" w:rsidP="00A55518">
            <w:pPr>
              <w:keepNext/>
              <w:jc w:val="left"/>
              <w:rPr>
                <w:rFonts w:asciiTheme="majorBidi" w:hAnsiTheme="majorBidi" w:cstheme="majorBidi"/>
                <w:b/>
                <w:bCs/>
                <w:sz w:val="20"/>
                <w:szCs w:val="20"/>
              </w:rPr>
            </w:pPr>
            <w:r>
              <w:rPr>
                <w:rFonts w:asciiTheme="majorBidi" w:hAnsiTheme="majorBidi"/>
                <w:b/>
                <w:sz w:val="20"/>
              </w:rPr>
              <w:t>Actividades relativas a los HFC</w:t>
            </w:r>
            <w:r>
              <w:rPr>
                <w:rFonts w:asciiTheme="majorBidi" w:hAnsiTheme="majorBidi"/>
                <w:sz w:val="20"/>
              </w:rPr>
              <w:t> </w:t>
            </w:r>
          </w:p>
        </w:tc>
      </w:tr>
      <w:tr w:rsidR="00E45D7C" w:rsidRPr="00E45D7C" w14:paraId="3F2BB3B4" w14:textId="77777777" w:rsidTr="004C3CF0">
        <w:trPr>
          <w:trHeight w:val="212"/>
        </w:trPr>
        <w:tc>
          <w:tcPr>
            <w:tcW w:w="3690" w:type="dxa"/>
            <w:tcBorders>
              <w:top w:val="nil"/>
              <w:left w:val="single" w:sz="4" w:space="0" w:color="auto"/>
              <w:bottom w:val="single" w:sz="4" w:space="0" w:color="auto"/>
              <w:right w:val="single" w:sz="4" w:space="0" w:color="auto"/>
            </w:tcBorders>
            <w:noWrap/>
            <w:hideMark/>
          </w:tcPr>
          <w:p w14:paraId="0644C3C4" w14:textId="24277457" w:rsidR="00947E4A" w:rsidRPr="004D5C25" w:rsidRDefault="00947E4A" w:rsidP="00A55518">
            <w:pPr>
              <w:keepNext/>
              <w:jc w:val="left"/>
              <w:rPr>
                <w:rFonts w:asciiTheme="majorBidi" w:hAnsiTheme="majorBidi" w:cstheme="majorBidi"/>
                <w:spacing w:val="-2"/>
                <w:sz w:val="20"/>
                <w:szCs w:val="20"/>
              </w:rPr>
            </w:pPr>
            <w:r w:rsidRPr="004D5C25">
              <w:rPr>
                <w:rFonts w:asciiTheme="majorBidi" w:hAnsiTheme="majorBidi"/>
                <w:spacing w:val="-2"/>
                <w:sz w:val="20"/>
              </w:rPr>
              <w:t>Planes de aplicación de la Enmienda de Kigali relativa a los HFC (</w:t>
            </w:r>
            <w:r w:rsidR="00EB5160">
              <w:rPr>
                <w:rFonts w:asciiTheme="majorBidi" w:hAnsiTheme="majorBidi"/>
                <w:spacing w:val="-2"/>
                <w:sz w:val="20"/>
              </w:rPr>
              <w:t>PAK</w:t>
            </w:r>
            <w:r w:rsidRPr="004D5C25">
              <w:rPr>
                <w:rFonts w:asciiTheme="majorBidi" w:hAnsiTheme="majorBidi"/>
                <w:spacing w:val="-2"/>
                <w:sz w:val="20"/>
              </w:rPr>
              <w:t>) aprobados</w:t>
            </w:r>
          </w:p>
        </w:tc>
        <w:tc>
          <w:tcPr>
            <w:tcW w:w="1170" w:type="dxa"/>
            <w:tcBorders>
              <w:top w:val="nil"/>
              <w:left w:val="nil"/>
              <w:bottom w:val="single" w:sz="4" w:space="0" w:color="auto"/>
              <w:right w:val="single" w:sz="4" w:space="0" w:color="auto"/>
            </w:tcBorders>
            <w:noWrap/>
            <w:hideMark/>
          </w:tcPr>
          <w:p w14:paraId="1716D860"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3.473.530</w:t>
            </w:r>
          </w:p>
        </w:tc>
        <w:tc>
          <w:tcPr>
            <w:tcW w:w="1170" w:type="dxa"/>
            <w:tcBorders>
              <w:top w:val="nil"/>
              <w:left w:val="nil"/>
              <w:bottom w:val="single" w:sz="4" w:space="0" w:color="auto"/>
              <w:right w:val="single" w:sz="4" w:space="0" w:color="auto"/>
            </w:tcBorders>
            <w:noWrap/>
            <w:hideMark/>
          </w:tcPr>
          <w:p w14:paraId="627787C1"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4.119.331</w:t>
            </w:r>
          </w:p>
        </w:tc>
        <w:tc>
          <w:tcPr>
            <w:tcW w:w="1170" w:type="dxa"/>
            <w:tcBorders>
              <w:top w:val="nil"/>
              <w:left w:val="nil"/>
              <w:bottom w:val="single" w:sz="4" w:space="0" w:color="auto"/>
              <w:right w:val="single" w:sz="4" w:space="0" w:color="auto"/>
            </w:tcBorders>
            <w:noWrap/>
            <w:hideMark/>
          </w:tcPr>
          <w:p w14:paraId="1E9FEFC0"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 </w:t>
            </w:r>
          </w:p>
        </w:tc>
        <w:tc>
          <w:tcPr>
            <w:tcW w:w="1260" w:type="dxa"/>
            <w:tcBorders>
              <w:top w:val="nil"/>
              <w:left w:val="nil"/>
              <w:bottom w:val="single" w:sz="4" w:space="0" w:color="auto"/>
              <w:right w:val="single" w:sz="4" w:space="0" w:color="auto"/>
            </w:tcBorders>
            <w:noWrap/>
            <w:hideMark/>
          </w:tcPr>
          <w:p w14:paraId="78BD5D28"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7.592.861</w:t>
            </w:r>
          </w:p>
        </w:tc>
        <w:tc>
          <w:tcPr>
            <w:tcW w:w="1179" w:type="dxa"/>
            <w:tcBorders>
              <w:top w:val="nil"/>
              <w:left w:val="nil"/>
              <w:bottom w:val="single" w:sz="4" w:space="0" w:color="auto"/>
              <w:right w:val="single" w:sz="4" w:space="0" w:color="auto"/>
            </w:tcBorders>
            <w:noWrap/>
            <w:hideMark/>
          </w:tcPr>
          <w:p w14:paraId="13ABC184" w14:textId="77777777" w:rsidR="00947E4A" w:rsidRPr="00E45D7C" w:rsidRDefault="00947E4A" w:rsidP="00A55518">
            <w:pPr>
              <w:keepNext/>
              <w:jc w:val="right"/>
              <w:rPr>
                <w:rFonts w:asciiTheme="majorBidi" w:hAnsiTheme="majorBidi" w:cstheme="majorBidi"/>
                <w:sz w:val="20"/>
                <w:szCs w:val="20"/>
              </w:rPr>
            </w:pPr>
            <w:r>
              <w:rPr>
                <w:rFonts w:asciiTheme="majorBidi" w:hAnsiTheme="majorBidi"/>
                <w:sz w:val="20"/>
              </w:rPr>
              <w:t>1.253.464</w:t>
            </w:r>
          </w:p>
        </w:tc>
      </w:tr>
      <w:tr w:rsidR="00E45D7C" w:rsidRPr="00E45D7C" w14:paraId="0BD78071" w14:textId="77777777" w:rsidTr="004C3CF0">
        <w:trPr>
          <w:trHeight w:val="44"/>
        </w:trPr>
        <w:tc>
          <w:tcPr>
            <w:tcW w:w="3690" w:type="dxa"/>
            <w:tcBorders>
              <w:top w:val="nil"/>
              <w:left w:val="single" w:sz="4" w:space="0" w:color="auto"/>
              <w:bottom w:val="single" w:sz="4" w:space="0" w:color="auto"/>
              <w:right w:val="single" w:sz="4" w:space="0" w:color="auto"/>
            </w:tcBorders>
            <w:noWrap/>
            <w:hideMark/>
          </w:tcPr>
          <w:p w14:paraId="0A99D690" w14:textId="6898446B" w:rsidR="00947E4A" w:rsidRPr="00E45D7C" w:rsidRDefault="00EB5160" w:rsidP="00947E4A">
            <w:pPr>
              <w:jc w:val="left"/>
              <w:rPr>
                <w:rFonts w:asciiTheme="majorBidi" w:hAnsiTheme="majorBidi" w:cstheme="majorBidi"/>
                <w:sz w:val="20"/>
                <w:szCs w:val="20"/>
              </w:rPr>
            </w:pPr>
            <w:r>
              <w:rPr>
                <w:rFonts w:asciiTheme="majorBidi" w:hAnsiTheme="majorBidi"/>
                <w:sz w:val="20"/>
              </w:rPr>
              <w:t>PAK</w:t>
            </w:r>
            <w:r w:rsidR="00947E4A">
              <w:rPr>
                <w:rFonts w:asciiTheme="majorBidi" w:hAnsiTheme="majorBidi"/>
                <w:sz w:val="20"/>
              </w:rPr>
              <w:t>, etapa I</w:t>
            </w:r>
          </w:p>
        </w:tc>
        <w:tc>
          <w:tcPr>
            <w:tcW w:w="1170" w:type="dxa"/>
            <w:tcBorders>
              <w:top w:val="nil"/>
              <w:left w:val="nil"/>
              <w:bottom w:val="single" w:sz="4" w:space="0" w:color="auto"/>
              <w:right w:val="single" w:sz="4" w:space="0" w:color="auto"/>
            </w:tcBorders>
            <w:noWrap/>
            <w:hideMark/>
          </w:tcPr>
          <w:p w14:paraId="4AC90171"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2.140.000</w:t>
            </w:r>
          </w:p>
        </w:tc>
        <w:tc>
          <w:tcPr>
            <w:tcW w:w="1170" w:type="dxa"/>
            <w:tcBorders>
              <w:top w:val="nil"/>
              <w:left w:val="nil"/>
              <w:bottom w:val="single" w:sz="4" w:space="0" w:color="auto"/>
              <w:right w:val="single" w:sz="4" w:space="0" w:color="auto"/>
            </w:tcBorders>
            <w:noWrap/>
            <w:hideMark/>
          </w:tcPr>
          <w:p w14:paraId="1C492F8F"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4.280.000</w:t>
            </w:r>
          </w:p>
        </w:tc>
        <w:tc>
          <w:tcPr>
            <w:tcW w:w="1170" w:type="dxa"/>
            <w:tcBorders>
              <w:top w:val="nil"/>
              <w:left w:val="nil"/>
              <w:bottom w:val="single" w:sz="4" w:space="0" w:color="auto"/>
              <w:right w:val="single" w:sz="4" w:space="0" w:color="auto"/>
            </w:tcBorders>
            <w:noWrap/>
            <w:hideMark/>
          </w:tcPr>
          <w:p w14:paraId="3EB23CD1"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7.490.000</w:t>
            </w:r>
          </w:p>
        </w:tc>
        <w:tc>
          <w:tcPr>
            <w:tcW w:w="1260" w:type="dxa"/>
            <w:tcBorders>
              <w:top w:val="nil"/>
              <w:left w:val="nil"/>
              <w:bottom w:val="single" w:sz="4" w:space="0" w:color="auto"/>
              <w:right w:val="single" w:sz="4" w:space="0" w:color="auto"/>
            </w:tcBorders>
            <w:noWrap/>
            <w:hideMark/>
          </w:tcPr>
          <w:p w14:paraId="56D3FCC9"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13.910.000</w:t>
            </w:r>
          </w:p>
        </w:tc>
        <w:tc>
          <w:tcPr>
            <w:tcW w:w="1179" w:type="dxa"/>
            <w:tcBorders>
              <w:top w:val="nil"/>
              <w:left w:val="nil"/>
              <w:bottom w:val="single" w:sz="4" w:space="0" w:color="auto"/>
              <w:right w:val="single" w:sz="4" w:space="0" w:color="auto"/>
            </w:tcBorders>
            <w:noWrap/>
            <w:hideMark/>
          </w:tcPr>
          <w:p w14:paraId="1D958336"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11.770.000</w:t>
            </w:r>
          </w:p>
        </w:tc>
      </w:tr>
      <w:tr w:rsidR="00E45D7C" w:rsidRPr="00E45D7C" w14:paraId="6DB0131A" w14:textId="77777777" w:rsidTr="004C3CF0">
        <w:trPr>
          <w:trHeight w:val="66"/>
        </w:trPr>
        <w:tc>
          <w:tcPr>
            <w:tcW w:w="3690" w:type="dxa"/>
            <w:tcBorders>
              <w:top w:val="nil"/>
              <w:left w:val="single" w:sz="4" w:space="0" w:color="auto"/>
              <w:bottom w:val="single" w:sz="4" w:space="0" w:color="auto"/>
              <w:right w:val="single" w:sz="4" w:space="0" w:color="auto"/>
            </w:tcBorders>
            <w:noWrap/>
            <w:hideMark/>
          </w:tcPr>
          <w:p w14:paraId="65673003" w14:textId="60540EB0" w:rsidR="00947E4A" w:rsidRPr="00E45D7C" w:rsidRDefault="00947E4A" w:rsidP="004D5C25">
            <w:pPr>
              <w:jc w:val="left"/>
              <w:rPr>
                <w:rFonts w:asciiTheme="majorBidi" w:hAnsiTheme="majorBidi" w:cstheme="majorBidi"/>
                <w:b/>
                <w:bCs/>
                <w:sz w:val="20"/>
                <w:szCs w:val="20"/>
              </w:rPr>
            </w:pPr>
            <w:r>
              <w:rPr>
                <w:rFonts w:asciiTheme="majorBidi" w:hAnsiTheme="majorBidi"/>
                <w:b/>
                <w:sz w:val="20"/>
              </w:rPr>
              <w:t xml:space="preserve">Subtotal </w:t>
            </w:r>
            <w:r w:rsidR="00CF0E2D">
              <w:rPr>
                <w:rFonts w:asciiTheme="majorBidi" w:hAnsiTheme="majorBidi"/>
                <w:b/>
                <w:sz w:val="20"/>
              </w:rPr>
              <w:t xml:space="preserve">– </w:t>
            </w:r>
            <w:r w:rsidR="004D5C25">
              <w:rPr>
                <w:rFonts w:asciiTheme="majorBidi" w:hAnsiTheme="majorBidi"/>
                <w:b/>
                <w:sz w:val="20"/>
              </w:rPr>
              <w:t>A</w:t>
            </w:r>
            <w:r>
              <w:rPr>
                <w:rFonts w:asciiTheme="majorBidi" w:hAnsiTheme="majorBidi"/>
                <w:b/>
                <w:sz w:val="20"/>
              </w:rPr>
              <w:t>ctividades relativas a los HFC</w:t>
            </w:r>
          </w:p>
        </w:tc>
        <w:tc>
          <w:tcPr>
            <w:tcW w:w="1170" w:type="dxa"/>
            <w:tcBorders>
              <w:top w:val="nil"/>
              <w:left w:val="nil"/>
              <w:bottom w:val="single" w:sz="4" w:space="0" w:color="auto"/>
              <w:right w:val="single" w:sz="4" w:space="0" w:color="auto"/>
            </w:tcBorders>
            <w:noWrap/>
            <w:hideMark/>
          </w:tcPr>
          <w:p w14:paraId="42A9CF70"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5.613.530</w:t>
            </w:r>
          </w:p>
        </w:tc>
        <w:tc>
          <w:tcPr>
            <w:tcW w:w="1170" w:type="dxa"/>
            <w:tcBorders>
              <w:top w:val="nil"/>
              <w:left w:val="nil"/>
              <w:bottom w:val="single" w:sz="4" w:space="0" w:color="auto"/>
              <w:right w:val="single" w:sz="4" w:space="0" w:color="auto"/>
            </w:tcBorders>
            <w:noWrap/>
            <w:hideMark/>
          </w:tcPr>
          <w:p w14:paraId="0787C831"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8.399.331</w:t>
            </w:r>
          </w:p>
        </w:tc>
        <w:tc>
          <w:tcPr>
            <w:tcW w:w="1170" w:type="dxa"/>
            <w:tcBorders>
              <w:top w:val="nil"/>
              <w:left w:val="nil"/>
              <w:bottom w:val="single" w:sz="4" w:space="0" w:color="auto"/>
              <w:right w:val="single" w:sz="4" w:space="0" w:color="auto"/>
            </w:tcBorders>
            <w:noWrap/>
            <w:hideMark/>
          </w:tcPr>
          <w:p w14:paraId="7F17C4BB"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7.490.000</w:t>
            </w:r>
          </w:p>
        </w:tc>
        <w:tc>
          <w:tcPr>
            <w:tcW w:w="1260" w:type="dxa"/>
            <w:tcBorders>
              <w:top w:val="nil"/>
              <w:left w:val="nil"/>
              <w:bottom w:val="single" w:sz="4" w:space="0" w:color="auto"/>
              <w:right w:val="single" w:sz="4" w:space="0" w:color="auto"/>
            </w:tcBorders>
            <w:noWrap/>
            <w:hideMark/>
          </w:tcPr>
          <w:p w14:paraId="4DE33E55"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21.502.861</w:t>
            </w:r>
          </w:p>
        </w:tc>
        <w:tc>
          <w:tcPr>
            <w:tcW w:w="1179" w:type="dxa"/>
            <w:tcBorders>
              <w:top w:val="nil"/>
              <w:left w:val="nil"/>
              <w:bottom w:val="single" w:sz="4" w:space="0" w:color="auto"/>
              <w:right w:val="single" w:sz="4" w:space="0" w:color="auto"/>
            </w:tcBorders>
            <w:noWrap/>
            <w:hideMark/>
          </w:tcPr>
          <w:p w14:paraId="21DB1B39"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13.023.464</w:t>
            </w:r>
          </w:p>
        </w:tc>
      </w:tr>
      <w:tr w:rsidR="00E45D7C" w:rsidRPr="00E45D7C" w14:paraId="37964737" w14:textId="77777777" w:rsidTr="004C3CF0">
        <w:trPr>
          <w:trHeight w:val="113"/>
        </w:trPr>
        <w:tc>
          <w:tcPr>
            <w:tcW w:w="9639" w:type="dxa"/>
            <w:gridSpan w:val="6"/>
            <w:tcBorders>
              <w:top w:val="single" w:sz="4" w:space="0" w:color="auto"/>
              <w:left w:val="single" w:sz="4" w:space="0" w:color="auto"/>
              <w:bottom w:val="single" w:sz="4" w:space="0" w:color="auto"/>
              <w:right w:val="single" w:sz="4" w:space="0" w:color="auto"/>
            </w:tcBorders>
            <w:noWrap/>
            <w:hideMark/>
          </w:tcPr>
          <w:p w14:paraId="16D9AB88" w14:textId="77777777" w:rsidR="00947E4A" w:rsidRPr="00E45D7C" w:rsidRDefault="00947E4A" w:rsidP="00947E4A">
            <w:pPr>
              <w:jc w:val="left"/>
              <w:rPr>
                <w:rFonts w:asciiTheme="majorBidi" w:hAnsiTheme="majorBidi" w:cstheme="majorBidi"/>
                <w:b/>
                <w:bCs/>
                <w:sz w:val="20"/>
                <w:szCs w:val="20"/>
              </w:rPr>
            </w:pPr>
            <w:r>
              <w:rPr>
                <w:rFonts w:asciiTheme="majorBidi" w:hAnsiTheme="majorBidi"/>
                <w:b/>
                <w:sz w:val="20"/>
              </w:rPr>
              <w:t>Otras actividades</w:t>
            </w:r>
          </w:p>
        </w:tc>
      </w:tr>
      <w:tr w:rsidR="00E45D7C" w:rsidRPr="00E45D7C" w14:paraId="7A57DCFE" w14:textId="77777777" w:rsidTr="004C3CF0">
        <w:trPr>
          <w:trHeight w:val="158"/>
        </w:trPr>
        <w:tc>
          <w:tcPr>
            <w:tcW w:w="3690" w:type="dxa"/>
            <w:tcBorders>
              <w:top w:val="nil"/>
              <w:left w:val="single" w:sz="4" w:space="0" w:color="auto"/>
              <w:bottom w:val="single" w:sz="4" w:space="0" w:color="auto"/>
              <w:right w:val="single" w:sz="4" w:space="0" w:color="auto"/>
            </w:tcBorders>
            <w:noWrap/>
            <w:hideMark/>
          </w:tcPr>
          <w:p w14:paraId="1B36D569" w14:textId="0CDF8EBA" w:rsidR="00947E4A" w:rsidRPr="00E45D7C" w:rsidRDefault="00947E4A" w:rsidP="00947E4A">
            <w:pPr>
              <w:jc w:val="left"/>
              <w:rPr>
                <w:rFonts w:asciiTheme="majorBidi" w:hAnsiTheme="majorBidi" w:cstheme="majorBidi"/>
                <w:sz w:val="20"/>
                <w:szCs w:val="20"/>
              </w:rPr>
            </w:pPr>
            <w:r>
              <w:rPr>
                <w:rFonts w:asciiTheme="majorBidi" w:hAnsiTheme="majorBidi"/>
                <w:sz w:val="20"/>
              </w:rPr>
              <w:t xml:space="preserve">Eficiencia energética (decisión 94/60) </w:t>
            </w:r>
          </w:p>
        </w:tc>
        <w:tc>
          <w:tcPr>
            <w:tcW w:w="1170" w:type="dxa"/>
            <w:tcBorders>
              <w:top w:val="nil"/>
              <w:left w:val="nil"/>
              <w:bottom w:val="single" w:sz="4" w:space="0" w:color="auto"/>
              <w:right w:val="single" w:sz="4" w:space="0" w:color="auto"/>
            </w:tcBorders>
            <w:noWrap/>
            <w:hideMark/>
          </w:tcPr>
          <w:p w14:paraId="21A5DB1D"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5.350.000</w:t>
            </w:r>
          </w:p>
        </w:tc>
        <w:tc>
          <w:tcPr>
            <w:tcW w:w="1170" w:type="dxa"/>
            <w:tcBorders>
              <w:top w:val="nil"/>
              <w:left w:val="nil"/>
              <w:bottom w:val="single" w:sz="4" w:space="0" w:color="auto"/>
              <w:right w:val="single" w:sz="4" w:space="0" w:color="auto"/>
            </w:tcBorders>
            <w:noWrap/>
            <w:hideMark/>
          </w:tcPr>
          <w:p w14:paraId="72D3A353"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3C2DA568"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3E2F632B"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5.350.000</w:t>
            </w:r>
          </w:p>
        </w:tc>
        <w:tc>
          <w:tcPr>
            <w:tcW w:w="1179" w:type="dxa"/>
            <w:tcBorders>
              <w:top w:val="nil"/>
              <w:left w:val="nil"/>
              <w:bottom w:val="single" w:sz="4" w:space="0" w:color="auto"/>
              <w:right w:val="single" w:sz="4" w:space="0" w:color="auto"/>
            </w:tcBorders>
            <w:noWrap/>
            <w:hideMark/>
          </w:tcPr>
          <w:p w14:paraId="3AFC410A"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r>
      <w:tr w:rsidR="00E45D7C" w:rsidRPr="00E45D7C" w14:paraId="05B1984B" w14:textId="77777777" w:rsidTr="004C3CF0">
        <w:trPr>
          <w:trHeight w:val="63"/>
        </w:trPr>
        <w:tc>
          <w:tcPr>
            <w:tcW w:w="3690" w:type="dxa"/>
            <w:tcBorders>
              <w:top w:val="nil"/>
              <w:left w:val="single" w:sz="4" w:space="0" w:color="auto"/>
              <w:bottom w:val="single" w:sz="4" w:space="0" w:color="auto"/>
              <w:right w:val="single" w:sz="4" w:space="0" w:color="auto"/>
            </w:tcBorders>
            <w:noWrap/>
            <w:hideMark/>
          </w:tcPr>
          <w:p w14:paraId="17C5FD9A" w14:textId="226C7C17" w:rsidR="00947E4A" w:rsidRPr="00E45D7C" w:rsidRDefault="00947E4A" w:rsidP="0096779D">
            <w:pPr>
              <w:jc w:val="left"/>
              <w:rPr>
                <w:rFonts w:asciiTheme="majorBidi" w:hAnsiTheme="majorBidi" w:cstheme="majorBidi"/>
                <w:sz w:val="20"/>
                <w:szCs w:val="20"/>
              </w:rPr>
            </w:pPr>
            <w:r>
              <w:rPr>
                <w:rFonts w:asciiTheme="majorBidi" w:hAnsiTheme="majorBidi"/>
                <w:sz w:val="20"/>
              </w:rPr>
              <w:t xml:space="preserve">Fondo rotatorio </w:t>
            </w:r>
            <w:r w:rsidR="0096779D">
              <w:rPr>
                <w:rFonts w:asciiTheme="majorBidi" w:hAnsiTheme="majorBidi"/>
                <w:sz w:val="20"/>
              </w:rPr>
              <w:t>de</w:t>
            </w:r>
            <w:r>
              <w:rPr>
                <w:rFonts w:asciiTheme="majorBidi" w:hAnsiTheme="majorBidi"/>
                <w:sz w:val="20"/>
              </w:rPr>
              <w:t xml:space="preserve"> eficiencia energética (decisión 95/87)</w:t>
            </w:r>
          </w:p>
        </w:tc>
        <w:tc>
          <w:tcPr>
            <w:tcW w:w="1170" w:type="dxa"/>
            <w:tcBorders>
              <w:top w:val="nil"/>
              <w:left w:val="nil"/>
              <w:bottom w:val="single" w:sz="4" w:space="0" w:color="auto"/>
              <w:right w:val="single" w:sz="4" w:space="0" w:color="auto"/>
            </w:tcBorders>
            <w:noWrap/>
            <w:hideMark/>
          </w:tcPr>
          <w:p w14:paraId="219EC434"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64.200.000</w:t>
            </w:r>
          </w:p>
        </w:tc>
        <w:tc>
          <w:tcPr>
            <w:tcW w:w="1170" w:type="dxa"/>
            <w:tcBorders>
              <w:top w:val="nil"/>
              <w:left w:val="nil"/>
              <w:bottom w:val="single" w:sz="4" w:space="0" w:color="auto"/>
              <w:right w:val="single" w:sz="4" w:space="0" w:color="auto"/>
            </w:tcBorders>
            <w:noWrap/>
            <w:hideMark/>
          </w:tcPr>
          <w:p w14:paraId="62D9CEC3"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58DE00CE"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57D1C33D"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64.200.000</w:t>
            </w:r>
          </w:p>
        </w:tc>
        <w:tc>
          <w:tcPr>
            <w:tcW w:w="1179" w:type="dxa"/>
            <w:tcBorders>
              <w:top w:val="nil"/>
              <w:left w:val="nil"/>
              <w:bottom w:val="single" w:sz="4" w:space="0" w:color="auto"/>
              <w:right w:val="single" w:sz="4" w:space="0" w:color="auto"/>
            </w:tcBorders>
            <w:noWrap/>
            <w:hideMark/>
          </w:tcPr>
          <w:p w14:paraId="253BE449"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r>
      <w:tr w:rsidR="00E45D7C" w:rsidRPr="00E45D7C" w14:paraId="506EF499" w14:textId="77777777" w:rsidTr="004C3CF0">
        <w:trPr>
          <w:trHeight w:val="108"/>
        </w:trPr>
        <w:tc>
          <w:tcPr>
            <w:tcW w:w="3690" w:type="dxa"/>
            <w:tcBorders>
              <w:top w:val="nil"/>
              <w:left w:val="single" w:sz="4" w:space="0" w:color="auto"/>
              <w:bottom w:val="single" w:sz="4" w:space="0" w:color="auto"/>
              <w:right w:val="single" w:sz="4" w:space="0" w:color="auto"/>
            </w:tcBorders>
            <w:noWrap/>
            <w:hideMark/>
          </w:tcPr>
          <w:p w14:paraId="092C2B93" w14:textId="40838610" w:rsidR="00947E4A" w:rsidRPr="00E45D7C" w:rsidRDefault="00947E4A" w:rsidP="004D5C25">
            <w:pPr>
              <w:jc w:val="left"/>
              <w:rPr>
                <w:rFonts w:asciiTheme="majorBidi" w:hAnsiTheme="majorBidi" w:cstheme="majorBidi"/>
                <w:b/>
                <w:bCs/>
                <w:sz w:val="20"/>
                <w:szCs w:val="20"/>
              </w:rPr>
            </w:pPr>
            <w:r>
              <w:rPr>
                <w:rFonts w:asciiTheme="majorBidi" w:hAnsiTheme="majorBidi"/>
                <w:b/>
                <w:sz w:val="20"/>
              </w:rPr>
              <w:t xml:space="preserve">Subtotal </w:t>
            </w:r>
            <w:r w:rsidR="00CF0E2D">
              <w:rPr>
                <w:rFonts w:asciiTheme="majorBidi" w:hAnsiTheme="majorBidi"/>
                <w:b/>
                <w:sz w:val="20"/>
              </w:rPr>
              <w:t xml:space="preserve">– </w:t>
            </w:r>
            <w:r w:rsidR="004D5C25">
              <w:rPr>
                <w:rFonts w:asciiTheme="majorBidi" w:hAnsiTheme="majorBidi"/>
                <w:b/>
                <w:sz w:val="20"/>
              </w:rPr>
              <w:t>O</w:t>
            </w:r>
            <w:r>
              <w:rPr>
                <w:rFonts w:asciiTheme="majorBidi" w:hAnsiTheme="majorBidi"/>
                <w:b/>
                <w:sz w:val="20"/>
              </w:rPr>
              <w:t>tras actividades</w:t>
            </w:r>
          </w:p>
        </w:tc>
        <w:tc>
          <w:tcPr>
            <w:tcW w:w="1170" w:type="dxa"/>
            <w:tcBorders>
              <w:top w:val="nil"/>
              <w:left w:val="nil"/>
              <w:bottom w:val="single" w:sz="4" w:space="0" w:color="auto"/>
              <w:right w:val="single" w:sz="4" w:space="0" w:color="auto"/>
            </w:tcBorders>
            <w:noWrap/>
            <w:hideMark/>
          </w:tcPr>
          <w:p w14:paraId="7E904DF6"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69.550.000</w:t>
            </w:r>
          </w:p>
        </w:tc>
        <w:tc>
          <w:tcPr>
            <w:tcW w:w="1170" w:type="dxa"/>
            <w:tcBorders>
              <w:top w:val="nil"/>
              <w:left w:val="nil"/>
              <w:bottom w:val="single" w:sz="4" w:space="0" w:color="auto"/>
              <w:right w:val="single" w:sz="4" w:space="0" w:color="auto"/>
            </w:tcBorders>
            <w:noWrap/>
            <w:hideMark/>
          </w:tcPr>
          <w:p w14:paraId="010BD2FA"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0</w:t>
            </w:r>
          </w:p>
        </w:tc>
        <w:tc>
          <w:tcPr>
            <w:tcW w:w="1170" w:type="dxa"/>
            <w:tcBorders>
              <w:top w:val="nil"/>
              <w:left w:val="nil"/>
              <w:bottom w:val="single" w:sz="4" w:space="0" w:color="auto"/>
              <w:right w:val="single" w:sz="4" w:space="0" w:color="auto"/>
            </w:tcBorders>
            <w:noWrap/>
            <w:hideMark/>
          </w:tcPr>
          <w:p w14:paraId="3DA976FE"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0</w:t>
            </w:r>
          </w:p>
        </w:tc>
        <w:tc>
          <w:tcPr>
            <w:tcW w:w="1260" w:type="dxa"/>
            <w:tcBorders>
              <w:top w:val="nil"/>
              <w:left w:val="nil"/>
              <w:bottom w:val="single" w:sz="4" w:space="0" w:color="auto"/>
              <w:right w:val="single" w:sz="4" w:space="0" w:color="auto"/>
            </w:tcBorders>
            <w:noWrap/>
            <w:hideMark/>
          </w:tcPr>
          <w:p w14:paraId="2946D4A1"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69.550.000</w:t>
            </w:r>
          </w:p>
        </w:tc>
        <w:tc>
          <w:tcPr>
            <w:tcW w:w="1179" w:type="dxa"/>
            <w:tcBorders>
              <w:top w:val="nil"/>
              <w:left w:val="nil"/>
              <w:bottom w:val="single" w:sz="4" w:space="0" w:color="auto"/>
              <w:right w:val="single" w:sz="4" w:space="0" w:color="auto"/>
            </w:tcBorders>
            <w:noWrap/>
            <w:hideMark/>
          </w:tcPr>
          <w:p w14:paraId="1D57E813"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0</w:t>
            </w:r>
          </w:p>
        </w:tc>
      </w:tr>
      <w:tr w:rsidR="00E45D7C" w:rsidRPr="00E45D7C" w14:paraId="6349C704" w14:textId="77777777" w:rsidTr="004C3CF0">
        <w:trPr>
          <w:trHeight w:val="140"/>
        </w:trPr>
        <w:tc>
          <w:tcPr>
            <w:tcW w:w="9639" w:type="dxa"/>
            <w:gridSpan w:val="6"/>
            <w:tcBorders>
              <w:top w:val="single" w:sz="4" w:space="0" w:color="auto"/>
              <w:left w:val="single" w:sz="4" w:space="0" w:color="auto"/>
              <w:bottom w:val="single" w:sz="4" w:space="0" w:color="auto"/>
              <w:right w:val="single" w:sz="4" w:space="0" w:color="auto"/>
            </w:tcBorders>
            <w:noWrap/>
            <w:hideMark/>
          </w:tcPr>
          <w:p w14:paraId="4BAA674D" w14:textId="77777777" w:rsidR="00947E4A" w:rsidRPr="00E45D7C" w:rsidRDefault="00947E4A" w:rsidP="00947E4A">
            <w:pPr>
              <w:jc w:val="left"/>
              <w:rPr>
                <w:rFonts w:asciiTheme="majorBidi" w:hAnsiTheme="majorBidi" w:cstheme="majorBidi"/>
                <w:b/>
                <w:bCs/>
                <w:sz w:val="20"/>
                <w:szCs w:val="20"/>
              </w:rPr>
            </w:pPr>
            <w:r>
              <w:rPr>
                <w:rFonts w:asciiTheme="majorBidi" w:hAnsiTheme="majorBidi"/>
                <w:b/>
                <w:sz w:val="20"/>
              </w:rPr>
              <w:t>Actividades ordinarias</w:t>
            </w:r>
          </w:p>
        </w:tc>
      </w:tr>
      <w:tr w:rsidR="00E45D7C" w:rsidRPr="00E45D7C" w14:paraId="1EBAB185" w14:textId="77777777" w:rsidTr="004C3CF0">
        <w:trPr>
          <w:trHeight w:val="90"/>
        </w:trPr>
        <w:tc>
          <w:tcPr>
            <w:tcW w:w="3690" w:type="dxa"/>
            <w:tcBorders>
              <w:top w:val="nil"/>
              <w:left w:val="single" w:sz="4" w:space="0" w:color="auto"/>
              <w:bottom w:val="single" w:sz="4" w:space="0" w:color="auto"/>
              <w:right w:val="single" w:sz="4" w:space="0" w:color="auto"/>
            </w:tcBorders>
            <w:noWrap/>
            <w:hideMark/>
          </w:tcPr>
          <w:p w14:paraId="14F83C1E" w14:textId="26551AB3" w:rsidR="00E7430A" w:rsidRPr="00E45D7C" w:rsidRDefault="00E7430A" w:rsidP="001563C0">
            <w:pPr>
              <w:jc w:val="left"/>
              <w:rPr>
                <w:rFonts w:asciiTheme="majorBidi" w:hAnsiTheme="majorBidi" w:cstheme="majorBidi"/>
                <w:sz w:val="20"/>
                <w:szCs w:val="20"/>
              </w:rPr>
            </w:pPr>
            <w:r>
              <w:rPr>
                <w:rFonts w:asciiTheme="majorBidi" w:hAnsiTheme="majorBidi"/>
                <w:sz w:val="20"/>
              </w:rPr>
              <w:t>Fortalecimiento institucional</w:t>
            </w:r>
          </w:p>
        </w:tc>
        <w:tc>
          <w:tcPr>
            <w:tcW w:w="1170" w:type="dxa"/>
            <w:tcBorders>
              <w:top w:val="nil"/>
              <w:left w:val="nil"/>
              <w:bottom w:val="single" w:sz="4" w:space="0" w:color="auto"/>
              <w:right w:val="single" w:sz="4" w:space="0" w:color="auto"/>
            </w:tcBorders>
            <w:noWrap/>
            <w:hideMark/>
          </w:tcPr>
          <w:p w14:paraId="12271395" w14:textId="77777777" w:rsidR="00E7430A" w:rsidRPr="00E45D7C" w:rsidRDefault="00E7430A" w:rsidP="001563C0">
            <w:pPr>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0026F5F4" w14:textId="77777777" w:rsidR="00E7430A" w:rsidRPr="00E45D7C" w:rsidRDefault="00E7430A" w:rsidP="001563C0">
            <w:pPr>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hideMark/>
          </w:tcPr>
          <w:p w14:paraId="71B6354E" w14:textId="77777777" w:rsidR="00E7430A" w:rsidRPr="00E45D7C" w:rsidRDefault="00E7430A" w:rsidP="001563C0">
            <w:pPr>
              <w:jc w:val="right"/>
              <w:rPr>
                <w:rFonts w:asciiTheme="majorBidi" w:hAnsiTheme="majorBidi" w:cstheme="majorBidi"/>
                <w:sz w:val="20"/>
                <w:szCs w:val="20"/>
              </w:rPr>
            </w:pPr>
            <w:r>
              <w:rPr>
                <w:rFonts w:asciiTheme="majorBidi" w:hAnsiTheme="majorBidi"/>
                <w:sz w:val="20"/>
              </w:rPr>
              <w:t>982.829</w:t>
            </w:r>
          </w:p>
        </w:tc>
        <w:tc>
          <w:tcPr>
            <w:tcW w:w="1260" w:type="dxa"/>
            <w:tcBorders>
              <w:top w:val="nil"/>
              <w:left w:val="nil"/>
              <w:bottom w:val="single" w:sz="4" w:space="0" w:color="auto"/>
              <w:right w:val="single" w:sz="4" w:space="0" w:color="auto"/>
            </w:tcBorders>
            <w:noWrap/>
            <w:hideMark/>
          </w:tcPr>
          <w:p w14:paraId="7627DCDB" w14:textId="77777777" w:rsidR="00E7430A" w:rsidRPr="00E45D7C" w:rsidRDefault="00E7430A" w:rsidP="001563C0">
            <w:pPr>
              <w:jc w:val="right"/>
              <w:rPr>
                <w:rFonts w:asciiTheme="majorBidi" w:hAnsiTheme="majorBidi" w:cstheme="majorBidi"/>
                <w:sz w:val="20"/>
                <w:szCs w:val="20"/>
              </w:rPr>
            </w:pPr>
            <w:r>
              <w:rPr>
                <w:rFonts w:asciiTheme="majorBidi" w:hAnsiTheme="majorBidi"/>
                <w:sz w:val="20"/>
              </w:rPr>
              <w:t>982.829</w:t>
            </w:r>
          </w:p>
        </w:tc>
        <w:tc>
          <w:tcPr>
            <w:tcW w:w="1179" w:type="dxa"/>
            <w:tcBorders>
              <w:top w:val="nil"/>
              <w:left w:val="nil"/>
              <w:bottom w:val="single" w:sz="4" w:space="0" w:color="auto"/>
              <w:right w:val="single" w:sz="4" w:space="0" w:color="auto"/>
            </w:tcBorders>
            <w:noWrap/>
            <w:hideMark/>
          </w:tcPr>
          <w:p w14:paraId="7250BEF5" w14:textId="77777777" w:rsidR="00E7430A" w:rsidRPr="00E45D7C" w:rsidRDefault="00E7430A" w:rsidP="001563C0">
            <w:pPr>
              <w:jc w:val="right"/>
              <w:rPr>
                <w:rFonts w:asciiTheme="majorBidi" w:hAnsiTheme="majorBidi" w:cstheme="majorBidi"/>
                <w:sz w:val="20"/>
                <w:szCs w:val="20"/>
              </w:rPr>
            </w:pPr>
            <w:r>
              <w:rPr>
                <w:rFonts w:asciiTheme="majorBidi" w:hAnsiTheme="majorBidi"/>
                <w:sz w:val="20"/>
              </w:rPr>
              <w:t>0</w:t>
            </w:r>
          </w:p>
        </w:tc>
      </w:tr>
      <w:tr w:rsidR="00E45D7C" w:rsidRPr="00E45D7C" w14:paraId="7F77D447" w14:textId="77777777" w:rsidTr="004C3CF0">
        <w:trPr>
          <w:trHeight w:val="45"/>
        </w:trPr>
        <w:tc>
          <w:tcPr>
            <w:tcW w:w="3690" w:type="dxa"/>
            <w:tcBorders>
              <w:top w:val="nil"/>
              <w:left w:val="single" w:sz="4" w:space="0" w:color="auto"/>
              <w:bottom w:val="single" w:sz="4" w:space="0" w:color="auto"/>
              <w:right w:val="single" w:sz="4" w:space="0" w:color="auto"/>
            </w:tcBorders>
            <w:noWrap/>
            <w:hideMark/>
          </w:tcPr>
          <w:p w14:paraId="2064E0B0" w14:textId="77777777" w:rsidR="00947E4A" w:rsidRPr="00E45D7C" w:rsidRDefault="00947E4A" w:rsidP="00947E4A">
            <w:pPr>
              <w:jc w:val="left"/>
              <w:rPr>
                <w:rFonts w:asciiTheme="majorBidi" w:hAnsiTheme="majorBidi" w:cstheme="majorBidi"/>
                <w:sz w:val="20"/>
                <w:szCs w:val="20"/>
              </w:rPr>
            </w:pPr>
            <w:r>
              <w:rPr>
                <w:rFonts w:asciiTheme="majorBidi" w:hAnsiTheme="majorBidi"/>
                <w:sz w:val="20"/>
              </w:rPr>
              <w:t>Unidad central</w:t>
            </w:r>
          </w:p>
        </w:tc>
        <w:tc>
          <w:tcPr>
            <w:tcW w:w="1170" w:type="dxa"/>
            <w:tcBorders>
              <w:top w:val="nil"/>
              <w:left w:val="nil"/>
              <w:bottom w:val="single" w:sz="4" w:space="0" w:color="auto"/>
              <w:right w:val="single" w:sz="4" w:space="0" w:color="auto"/>
            </w:tcBorders>
            <w:noWrap/>
            <w:hideMark/>
          </w:tcPr>
          <w:p w14:paraId="590C798E"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1.947.145</w:t>
            </w:r>
          </w:p>
        </w:tc>
        <w:tc>
          <w:tcPr>
            <w:tcW w:w="1170" w:type="dxa"/>
            <w:tcBorders>
              <w:top w:val="nil"/>
              <w:left w:val="nil"/>
              <w:bottom w:val="single" w:sz="4" w:space="0" w:color="auto"/>
              <w:right w:val="single" w:sz="4" w:space="0" w:color="auto"/>
            </w:tcBorders>
            <w:noWrap/>
            <w:hideMark/>
          </w:tcPr>
          <w:p w14:paraId="4EA03093"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1.759.375</w:t>
            </w:r>
          </w:p>
        </w:tc>
        <w:tc>
          <w:tcPr>
            <w:tcW w:w="1170" w:type="dxa"/>
            <w:tcBorders>
              <w:top w:val="nil"/>
              <w:left w:val="nil"/>
              <w:bottom w:val="single" w:sz="4" w:space="0" w:color="auto"/>
              <w:right w:val="single" w:sz="4" w:space="0" w:color="auto"/>
            </w:tcBorders>
            <w:noWrap/>
            <w:hideMark/>
          </w:tcPr>
          <w:p w14:paraId="72745822"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1.771.691</w:t>
            </w:r>
          </w:p>
        </w:tc>
        <w:tc>
          <w:tcPr>
            <w:tcW w:w="1260" w:type="dxa"/>
            <w:tcBorders>
              <w:top w:val="nil"/>
              <w:left w:val="nil"/>
              <w:bottom w:val="single" w:sz="4" w:space="0" w:color="auto"/>
              <w:right w:val="single" w:sz="4" w:space="0" w:color="auto"/>
            </w:tcBorders>
            <w:noWrap/>
            <w:hideMark/>
          </w:tcPr>
          <w:p w14:paraId="7465FD4B"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5.478.211</w:t>
            </w:r>
          </w:p>
        </w:tc>
        <w:tc>
          <w:tcPr>
            <w:tcW w:w="1179" w:type="dxa"/>
            <w:tcBorders>
              <w:top w:val="nil"/>
              <w:left w:val="nil"/>
              <w:bottom w:val="single" w:sz="4" w:space="0" w:color="auto"/>
              <w:right w:val="single" w:sz="4" w:space="0" w:color="auto"/>
            </w:tcBorders>
            <w:noWrap/>
            <w:hideMark/>
          </w:tcPr>
          <w:p w14:paraId="07B32AA6" w14:textId="77777777" w:rsidR="00947E4A" w:rsidRPr="00E45D7C" w:rsidRDefault="00947E4A" w:rsidP="00947E4A">
            <w:pPr>
              <w:jc w:val="right"/>
              <w:rPr>
                <w:rFonts w:asciiTheme="majorBidi" w:hAnsiTheme="majorBidi" w:cstheme="majorBidi"/>
                <w:sz w:val="20"/>
                <w:szCs w:val="20"/>
              </w:rPr>
            </w:pPr>
            <w:r>
              <w:rPr>
                <w:rFonts w:asciiTheme="majorBidi" w:hAnsiTheme="majorBidi"/>
                <w:sz w:val="20"/>
              </w:rPr>
              <w:t>0</w:t>
            </w:r>
          </w:p>
        </w:tc>
      </w:tr>
      <w:tr w:rsidR="00E45D7C" w:rsidRPr="00E45D7C" w14:paraId="59AB8DAE" w14:textId="77777777" w:rsidTr="004C3CF0">
        <w:trPr>
          <w:trHeight w:val="137"/>
        </w:trPr>
        <w:tc>
          <w:tcPr>
            <w:tcW w:w="3690" w:type="dxa"/>
            <w:tcBorders>
              <w:top w:val="nil"/>
              <w:left w:val="single" w:sz="4" w:space="0" w:color="auto"/>
              <w:bottom w:val="single" w:sz="4" w:space="0" w:color="auto"/>
              <w:right w:val="single" w:sz="4" w:space="0" w:color="auto"/>
            </w:tcBorders>
            <w:noWrap/>
            <w:hideMark/>
          </w:tcPr>
          <w:p w14:paraId="4E38838F" w14:textId="6E0FBFAE" w:rsidR="00947E4A" w:rsidRPr="00E45D7C" w:rsidRDefault="00947E4A" w:rsidP="004D5C25">
            <w:pPr>
              <w:jc w:val="left"/>
              <w:rPr>
                <w:rFonts w:asciiTheme="majorBidi" w:hAnsiTheme="majorBidi" w:cstheme="majorBidi"/>
                <w:b/>
                <w:bCs/>
                <w:sz w:val="20"/>
                <w:szCs w:val="20"/>
              </w:rPr>
            </w:pPr>
            <w:r>
              <w:rPr>
                <w:rFonts w:asciiTheme="majorBidi" w:hAnsiTheme="majorBidi"/>
                <w:b/>
                <w:sz w:val="20"/>
              </w:rPr>
              <w:t xml:space="preserve">Subtotal </w:t>
            </w:r>
            <w:r w:rsidR="00CF0E2D">
              <w:rPr>
                <w:rFonts w:asciiTheme="majorBidi" w:hAnsiTheme="majorBidi"/>
                <w:b/>
                <w:sz w:val="20"/>
              </w:rPr>
              <w:t xml:space="preserve">– </w:t>
            </w:r>
            <w:r w:rsidR="004D5C25">
              <w:rPr>
                <w:rFonts w:asciiTheme="majorBidi" w:hAnsiTheme="majorBidi"/>
                <w:b/>
                <w:sz w:val="20"/>
              </w:rPr>
              <w:t>A</w:t>
            </w:r>
            <w:r>
              <w:rPr>
                <w:rFonts w:asciiTheme="majorBidi" w:hAnsiTheme="majorBidi"/>
                <w:b/>
                <w:sz w:val="20"/>
              </w:rPr>
              <w:t>ctividades ordinarias</w:t>
            </w:r>
          </w:p>
        </w:tc>
        <w:tc>
          <w:tcPr>
            <w:tcW w:w="1170" w:type="dxa"/>
            <w:tcBorders>
              <w:top w:val="nil"/>
              <w:left w:val="nil"/>
              <w:bottom w:val="single" w:sz="4" w:space="0" w:color="auto"/>
              <w:right w:val="single" w:sz="4" w:space="0" w:color="auto"/>
            </w:tcBorders>
            <w:noWrap/>
            <w:hideMark/>
          </w:tcPr>
          <w:p w14:paraId="691BD7AB"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1.947.145</w:t>
            </w:r>
          </w:p>
        </w:tc>
        <w:tc>
          <w:tcPr>
            <w:tcW w:w="1170" w:type="dxa"/>
            <w:tcBorders>
              <w:top w:val="nil"/>
              <w:left w:val="nil"/>
              <w:bottom w:val="single" w:sz="4" w:space="0" w:color="auto"/>
              <w:right w:val="single" w:sz="4" w:space="0" w:color="auto"/>
            </w:tcBorders>
            <w:noWrap/>
            <w:hideMark/>
          </w:tcPr>
          <w:p w14:paraId="6C2DA957"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1.759.375</w:t>
            </w:r>
          </w:p>
        </w:tc>
        <w:tc>
          <w:tcPr>
            <w:tcW w:w="1170" w:type="dxa"/>
            <w:tcBorders>
              <w:top w:val="nil"/>
              <w:left w:val="nil"/>
              <w:bottom w:val="single" w:sz="4" w:space="0" w:color="auto"/>
              <w:right w:val="single" w:sz="4" w:space="0" w:color="auto"/>
            </w:tcBorders>
            <w:noWrap/>
            <w:hideMark/>
          </w:tcPr>
          <w:p w14:paraId="2EC64FDD"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2.754.520</w:t>
            </w:r>
          </w:p>
        </w:tc>
        <w:tc>
          <w:tcPr>
            <w:tcW w:w="1260" w:type="dxa"/>
            <w:tcBorders>
              <w:top w:val="nil"/>
              <w:left w:val="nil"/>
              <w:bottom w:val="single" w:sz="4" w:space="0" w:color="auto"/>
              <w:right w:val="single" w:sz="4" w:space="0" w:color="auto"/>
            </w:tcBorders>
            <w:noWrap/>
            <w:hideMark/>
          </w:tcPr>
          <w:p w14:paraId="08F2A270"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6.461.040</w:t>
            </w:r>
          </w:p>
        </w:tc>
        <w:tc>
          <w:tcPr>
            <w:tcW w:w="1179" w:type="dxa"/>
            <w:tcBorders>
              <w:top w:val="nil"/>
              <w:left w:val="nil"/>
              <w:bottom w:val="single" w:sz="4" w:space="0" w:color="auto"/>
              <w:right w:val="single" w:sz="4" w:space="0" w:color="auto"/>
            </w:tcBorders>
            <w:noWrap/>
            <w:hideMark/>
          </w:tcPr>
          <w:p w14:paraId="5F4E4B4C"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0</w:t>
            </w:r>
          </w:p>
        </w:tc>
      </w:tr>
      <w:tr w:rsidR="00E45D7C" w:rsidRPr="00E45D7C" w14:paraId="2344A60C" w14:textId="77777777" w:rsidTr="004C3CF0">
        <w:trPr>
          <w:trHeight w:val="44"/>
        </w:trPr>
        <w:tc>
          <w:tcPr>
            <w:tcW w:w="3690" w:type="dxa"/>
            <w:tcBorders>
              <w:top w:val="nil"/>
              <w:left w:val="single" w:sz="4" w:space="0" w:color="auto"/>
              <w:bottom w:val="single" w:sz="4" w:space="0" w:color="auto"/>
              <w:right w:val="single" w:sz="4" w:space="0" w:color="auto"/>
            </w:tcBorders>
            <w:noWrap/>
            <w:hideMark/>
          </w:tcPr>
          <w:p w14:paraId="25673BB5" w14:textId="77777777" w:rsidR="00947E4A" w:rsidRPr="00E45D7C" w:rsidRDefault="00947E4A" w:rsidP="00947E4A">
            <w:pPr>
              <w:jc w:val="left"/>
              <w:rPr>
                <w:rFonts w:asciiTheme="majorBidi" w:hAnsiTheme="majorBidi" w:cstheme="majorBidi"/>
                <w:b/>
                <w:bCs/>
                <w:sz w:val="20"/>
                <w:szCs w:val="20"/>
              </w:rPr>
            </w:pPr>
            <w:r>
              <w:rPr>
                <w:rFonts w:asciiTheme="majorBidi" w:hAnsiTheme="majorBidi"/>
                <w:b/>
                <w:sz w:val="20"/>
              </w:rPr>
              <w:t>Total</w:t>
            </w:r>
          </w:p>
        </w:tc>
        <w:tc>
          <w:tcPr>
            <w:tcW w:w="1170" w:type="dxa"/>
            <w:tcBorders>
              <w:top w:val="nil"/>
              <w:left w:val="nil"/>
              <w:bottom w:val="single" w:sz="4" w:space="0" w:color="auto"/>
              <w:right w:val="single" w:sz="4" w:space="0" w:color="auto"/>
            </w:tcBorders>
            <w:noWrap/>
            <w:hideMark/>
          </w:tcPr>
          <w:p w14:paraId="046A4D06"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85.884.675</w:t>
            </w:r>
          </w:p>
        </w:tc>
        <w:tc>
          <w:tcPr>
            <w:tcW w:w="1170" w:type="dxa"/>
            <w:tcBorders>
              <w:top w:val="nil"/>
              <w:left w:val="nil"/>
              <w:bottom w:val="single" w:sz="4" w:space="0" w:color="auto"/>
              <w:right w:val="single" w:sz="4" w:space="0" w:color="auto"/>
            </w:tcBorders>
            <w:noWrap/>
            <w:hideMark/>
          </w:tcPr>
          <w:p w14:paraId="7D19907B"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38.631.600</w:t>
            </w:r>
          </w:p>
        </w:tc>
        <w:tc>
          <w:tcPr>
            <w:tcW w:w="1170" w:type="dxa"/>
            <w:tcBorders>
              <w:top w:val="nil"/>
              <w:left w:val="nil"/>
              <w:bottom w:val="single" w:sz="4" w:space="0" w:color="auto"/>
              <w:right w:val="single" w:sz="4" w:space="0" w:color="auto"/>
            </w:tcBorders>
            <w:noWrap/>
            <w:hideMark/>
          </w:tcPr>
          <w:p w14:paraId="58C8AC74"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20.944.520</w:t>
            </w:r>
          </w:p>
        </w:tc>
        <w:tc>
          <w:tcPr>
            <w:tcW w:w="1260" w:type="dxa"/>
            <w:tcBorders>
              <w:top w:val="nil"/>
              <w:left w:val="nil"/>
              <w:bottom w:val="single" w:sz="4" w:space="0" w:color="auto"/>
              <w:right w:val="single" w:sz="4" w:space="0" w:color="auto"/>
            </w:tcBorders>
            <w:noWrap/>
            <w:hideMark/>
          </w:tcPr>
          <w:p w14:paraId="258CBC07"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145.460.795</w:t>
            </w:r>
          </w:p>
        </w:tc>
        <w:tc>
          <w:tcPr>
            <w:tcW w:w="1179" w:type="dxa"/>
            <w:tcBorders>
              <w:top w:val="nil"/>
              <w:left w:val="nil"/>
              <w:bottom w:val="single" w:sz="4" w:space="0" w:color="auto"/>
              <w:right w:val="single" w:sz="4" w:space="0" w:color="auto"/>
            </w:tcBorders>
            <w:noWrap/>
            <w:hideMark/>
          </w:tcPr>
          <w:p w14:paraId="231622E0" w14:textId="77777777" w:rsidR="00947E4A" w:rsidRPr="00E45D7C" w:rsidRDefault="00947E4A" w:rsidP="00947E4A">
            <w:pPr>
              <w:jc w:val="right"/>
              <w:rPr>
                <w:rFonts w:asciiTheme="majorBidi" w:hAnsiTheme="majorBidi" w:cstheme="majorBidi"/>
                <w:b/>
                <w:bCs/>
                <w:sz w:val="20"/>
                <w:szCs w:val="20"/>
              </w:rPr>
            </w:pPr>
            <w:r>
              <w:rPr>
                <w:rFonts w:asciiTheme="majorBidi" w:hAnsiTheme="majorBidi"/>
                <w:b/>
                <w:sz w:val="20"/>
              </w:rPr>
              <w:t>48.743.333</w:t>
            </w:r>
          </w:p>
        </w:tc>
      </w:tr>
    </w:tbl>
    <w:p w14:paraId="1A27DC5E" w14:textId="6889ADBB" w:rsidR="00047B4C" w:rsidRPr="00E45D7C" w:rsidRDefault="00047B4C" w:rsidP="00047B4C">
      <w:pPr>
        <w:rPr>
          <w:sz w:val="19"/>
          <w:szCs w:val="19"/>
        </w:rPr>
      </w:pPr>
      <w:r>
        <w:rPr>
          <w:sz w:val="19"/>
        </w:rPr>
        <w:t xml:space="preserve">* Incluidos </w:t>
      </w:r>
      <w:r w:rsidR="004D5C25">
        <w:rPr>
          <w:sz w:val="19"/>
        </w:rPr>
        <w:t>gastos de apoyo cuando corresponda.</w:t>
      </w:r>
    </w:p>
    <w:p w14:paraId="063DB1A8" w14:textId="77777777" w:rsidR="00047B4C" w:rsidRPr="00E45D7C" w:rsidRDefault="00047B4C" w:rsidP="00047B4C">
      <w:pPr>
        <w:pStyle w:val="Heading1"/>
        <w:keepNext/>
        <w:numPr>
          <w:ilvl w:val="0"/>
          <w:numId w:val="0"/>
        </w:numPr>
        <w:spacing w:after="0"/>
        <w:rPr>
          <w:b/>
        </w:rPr>
      </w:pPr>
    </w:p>
    <w:p w14:paraId="07D533A8" w14:textId="77777777" w:rsidR="00047B4C" w:rsidRPr="00E45D7C" w:rsidRDefault="00047B4C" w:rsidP="00047B4C">
      <w:pPr>
        <w:pStyle w:val="Heading1"/>
        <w:numPr>
          <w:ilvl w:val="0"/>
          <w:numId w:val="0"/>
        </w:numPr>
        <w:rPr>
          <w:b/>
          <w:sz w:val="24"/>
          <w:szCs w:val="24"/>
        </w:rPr>
      </w:pPr>
      <w:r>
        <w:rPr>
          <w:b/>
          <w:sz w:val="24"/>
        </w:rPr>
        <w:t>II.</w:t>
      </w:r>
      <w:r>
        <w:rPr>
          <w:b/>
          <w:sz w:val="24"/>
        </w:rPr>
        <w:tab/>
        <w:t xml:space="preserve">Observaciones de la Secretaría </w:t>
      </w:r>
    </w:p>
    <w:p w14:paraId="192B5B4C" w14:textId="77777777" w:rsidR="00047B4C" w:rsidRPr="00E45D7C" w:rsidRDefault="00047B4C" w:rsidP="00047B4C">
      <w:pPr>
        <w:rPr>
          <w:b/>
          <w:bCs/>
        </w:rPr>
      </w:pPr>
      <w:r>
        <w:rPr>
          <w:b/>
        </w:rPr>
        <w:t>II.1</w:t>
      </w:r>
      <w:r>
        <w:rPr>
          <w:b/>
        </w:rPr>
        <w:tab/>
        <w:t>Actividades relativas a los HCFC</w:t>
      </w:r>
    </w:p>
    <w:p w14:paraId="2F5A2CFB" w14:textId="77777777" w:rsidR="00047B4C" w:rsidRPr="00E45D7C" w:rsidRDefault="00047B4C" w:rsidP="00047B4C">
      <w:pPr>
        <w:rPr>
          <w:u w:val="single"/>
        </w:rPr>
      </w:pPr>
    </w:p>
    <w:p w14:paraId="317C5FC4" w14:textId="77777777" w:rsidR="00047B4C" w:rsidRPr="00E45D7C" w:rsidRDefault="00047B4C" w:rsidP="00047B4C">
      <w:pPr>
        <w:rPr>
          <w:u w:val="single"/>
        </w:rPr>
      </w:pPr>
      <w:r>
        <w:rPr>
          <w:u w:val="single"/>
        </w:rPr>
        <w:t>Etapa III del PGEPH</w:t>
      </w:r>
    </w:p>
    <w:p w14:paraId="0B72C018" w14:textId="77777777" w:rsidR="00047B4C" w:rsidRPr="00E45D7C" w:rsidRDefault="00047B4C" w:rsidP="00047B4C">
      <w:pPr>
        <w:rPr>
          <w:u w:val="single"/>
        </w:rPr>
      </w:pPr>
    </w:p>
    <w:p w14:paraId="4C3FFCAF" w14:textId="46EF9C0B" w:rsidR="00047B4C" w:rsidRPr="00E45D7C" w:rsidRDefault="00047B4C" w:rsidP="00047B4C">
      <w:pPr>
        <w:pStyle w:val="Heading1"/>
      </w:pPr>
      <w:r>
        <w:t xml:space="preserve">Se prevé un total de USD 23,54 millones para la etapa III del PGEPH para un país en </w:t>
      </w:r>
      <w:r w:rsidR="004D5C25">
        <w:t>2027.</w:t>
      </w:r>
    </w:p>
    <w:p w14:paraId="4DCDA69B" w14:textId="77777777" w:rsidR="00047B4C" w:rsidRPr="00E45D7C" w:rsidRDefault="00047B4C" w:rsidP="00047B4C">
      <w:pPr>
        <w:pStyle w:val="Heading1"/>
        <w:numPr>
          <w:ilvl w:val="0"/>
          <w:numId w:val="0"/>
        </w:numPr>
        <w:rPr>
          <w:u w:val="single"/>
        </w:rPr>
      </w:pPr>
      <w:r>
        <w:rPr>
          <w:u w:val="single"/>
        </w:rPr>
        <w:t xml:space="preserve">Etapa III de los PGEH </w:t>
      </w:r>
    </w:p>
    <w:p w14:paraId="657D6AC3" w14:textId="653FD297" w:rsidR="00047B4C" w:rsidRPr="00E45D7C" w:rsidRDefault="00047B4C" w:rsidP="00047B4C">
      <w:pPr>
        <w:pStyle w:val="Heading1"/>
      </w:pPr>
      <w:r>
        <w:t>Se prevé un total de USD 25,68 millones para la etapa III del PGEH de un país</w:t>
      </w:r>
      <w:r w:rsidR="0096779D">
        <w:t>,</w:t>
      </w:r>
      <w:r>
        <w:t xml:space="preserve"> incluidos USD 14,98 millones para el período 2026-2028 y USD 10,7 millones p</w:t>
      </w:r>
      <w:r w:rsidR="0096779D">
        <w:t>ara el período posterior a 2028.</w:t>
      </w:r>
    </w:p>
    <w:p w14:paraId="1775AE9B" w14:textId="77777777" w:rsidR="00047B4C" w:rsidRPr="00E45D7C" w:rsidRDefault="00047B4C" w:rsidP="00047B4C">
      <w:pPr>
        <w:keepNext/>
        <w:rPr>
          <w:b/>
          <w:bCs/>
        </w:rPr>
      </w:pPr>
      <w:r>
        <w:rPr>
          <w:b/>
        </w:rPr>
        <w:t>II.2</w:t>
      </w:r>
      <w:r>
        <w:rPr>
          <w:b/>
        </w:rPr>
        <w:tab/>
        <w:t>Actividades relativas a los HFC</w:t>
      </w:r>
    </w:p>
    <w:p w14:paraId="18B83C24" w14:textId="77777777" w:rsidR="00047B4C" w:rsidRPr="00E45D7C" w:rsidRDefault="00047B4C" w:rsidP="00047B4C">
      <w:pPr>
        <w:keepNext/>
        <w:rPr>
          <w:b/>
          <w:bCs/>
        </w:rPr>
      </w:pPr>
    </w:p>
    <w:p w14:paraId="04E68F77" w14:textId="46F0750E" w:rsidR="00047B4C" w:rsidRPr="00E45D7C" w:rsidRDefault="00047B4C" w:rsidP="00047B4C">
      <w:pPr>
        <w:keepNext/>
        <w:rPr>
          <w:u w:val="single"/>
        </w:rPr>
      </w:pPr>
      <w:r>
        <w:rPr>
          <w:u w:val="single"/>
        </w:rPr>
        <w:t xml:space="preserve">Etapa I de los </w:t>
      </w:r>
      <w:r w:rsidR="00EB5160">
        <w:rPr>
          <w:u w:val="single"/>
        </w:rPr>
        <w:t>PAK</w:t>
      </w:r>
    </w:p>
    <w:p w14:paraId="1C1A7677" w14:textId="77777777" w:rsidR="00047B4C" w:rsidRPr="00E45D7C" w:rsidRDefault="00047B4C" w:rsidP="00047B4C">
      <w:pPr>
        <w:keepNext/>
      </w:pPr>
    </w:p>
    <w:p w14:paraId="3E3F697B" w14:textId="27838D4D" w:rsidR="00047B4C" w:rsidRPr="00E45D7C" w:rsidRDefault="00047B4C" w:rsidP="00047B4C">
      <w:pPr>
        <w:pStyle w:val="Heading1"/>
      </w:pPr>
      <w:r>
        <w:t xml:space="preserve">En el plan administrativo se incluye un total de USD 25,68 millones para la etapa I de los </w:t>
      </w:r>
      <w:r w:rsidR="00EB5160">
        <w:t>PAK</w:t>
      </w:r>
      <w:r>
        <w:t xml:space="preserve"> para dos países (incluidos USD 13,91 millones para el período 2026-2028 y USD 11,77 millones para el período posterior a 2028). Todos estos países han ratificado la Enmienda de Kigali.</w:t>
      </w:r>
    </w:p>
    <w:p w14:paraId="21BE5AA5" w14:textId="77777777" w:rsidR="00047B4C" w:rsidRPr="00E45D7C" w:rsidRDefault="00047B4C" w:rsidP="00047B4C">
      <w:pPr>
        <w:keepNext/>
        <w:rPr>
          <w:b/>
          <w:bCs/>
        </w:rPr>
      </w:pPr>
      <w:r>
        <w:rPr>
          <w:b/>
        </w:rPr>
        <w:lastRenderedPageBreak/>
        <w:t>II.3</w:t>
      </w:r>
      <w:r>
        <w:rPr>
          <w:b/>
        </w:rPr>
        <w:tab/>
        <w:t>Otras actividades</w:t>
      </w:r>
    </w:p>
    <w:p w14:paraId="1EA81FF2" w14:textId="77777777" w:rsidR="00047B4C" w:rsidRPr="00E45D7C" w:rsidRDefault="00047B4C" w:rsidP="00047B4C">
      <w:pPr>
        <w:keepNext/>
        <w:rPr>
          <w:b/>
          <w:bCs/>
        </w:rPr>
      </w:pPr>
    </w:p>
    <w:p w14:paraId="32DE3CA4" w14:textId="77777777" w:rsidR="00047B4C" w:rsidRPr="00E45D7C" w:rsidRDefault="00047B4C" w:rsidP="00047B4C">
      <w:pPr>
        <w:keepNext/>
        <w:rPr>
          <w:u w:val="single"/>
        </w:rPr>
      </w:pPr>
      <w:r>
        <w:rPr>
          <w:u w:val="single"/>
        </w:rPr>
        <w:t>Eficiencia energética (decisión 94/60)</w:t>
      </w:r>
      <w:r w:rsidRPr="00E45D7C">
        <w:rPr>
          <w:rStyle w:val="FootnoteReference"/>
        </w:rPr>
        <w:footnoteReference w:id="2"/>
      </w:r>
    </w:p>
    <w:p w14:paraId="12C91C20" w14:textId="77777777" w:rsidR="00047B4C" w:rsidRPr="00E45D7C" w:rsidRDefault="00047B4C" w:rsidP="00047B4C">
      <w:pPr>
        <w:keepNext/>
        <w:rPr>
          <w:b/>
          <w:bCs/>
        </w:rPr>
      </w:pPr>
    </w:p>
    <w:p w14:paraId="4848A21C" w14:textId="7DD34C40" w:rsidR="00047B4C" w:rsidRPr="00E45D7C" w:rsidRDefault="00047B4C" w:rsidP="00047B4C">
      <w:pPr>
        <w:pStyle w:val="Heading1"/>
      </w:pPr>
      <w:r>
        <w:t xml:space="preserve">En el plan administrativo se incluye un total de USD 5,35 millones </w:t>
      </w:r>
      <w:r w:rsidR="0096779D">
        <w:t>co</w:t>
      </w:r>
      <w:r>
        <w:t xml:space="preserve">n </w:t>
      </w:r>
      <w:r w:rsidR="0096779D">
        <w:t xml:space="preserve">cargo a </w:t>
      </w:r>
      <w:r>
        <w:t xml:space="preserve">la ventana de financiamiento de la eficiencia energética conforme a la decisión 94/60 para dos países en 2026. </w:t>
      </w:r>
    </w:p>
    <w:p w14:paraId="257FE5A3" w14:textId="31B6F8B0" w:rsidR="00047B4C" w:rsidRPr="00E45D7C" w:rsidRDefault="00750130" w:rsidP="00047B4C">
      <w:pPr>
        <w:rPr>
          <w:u w:val="single"/>
        </w:rPr>
      </w:pPr>
      <w:r>
        <w:rPr>
          <w:u w:val="single"/>
        </w:rPr>
        <w:t>Fondo rotatorio de eficiencia energética para usuarios finales (decisión 95/87)</w:t>
      </w:r>
      <w:r w:rsidR="00047B4C" w:rsidRPr="00E45D7C">
        <w:rPr>
          <w:rStyle w:val="FootnoteReference"/>
        </w:rPr>
        <w:footnoteReference w:id="3"/>
      </w:r>
    </w:p>
    <w:p w14:paraId="36997369" w14:textId="77777777" w:rsidR="00047B4C" w:rsidRPr="00E45D7C" w:rsidRDefault="00047B4C" w:rsidP="00047B4C">
      <w:pPr>
        <w:rPr>
          <w:i/>
          <w:iCs/>
        </w:rPr>
      </w:pPr>
    </w:p>
    <w:p w14:paraId="37ED4AC7" w14:textId="7C88C39E" w:rsidR="00047B4C" w:rsidRPr="00E45D7C" w:rsidRDefault="00047B4C" w:rsidP="00047B4C">
      <w:pPr>
        <w:pStyle w:val="Heading1"/>
      </w:pPr>
      <w:r>
        <w:t>E</w:t>
      </w:r>
      <w:r w:rsidR="0096779D">
        <w:t>n e</w:t>
      </w:r>
      <w:r>
        <w:t xml:space="preserve">l plan administrativo </w:t>
      </w:r>
      <w:r w:rsidR="0096779D">
        <w:t xml:space="preserve">se </w:t>
      </w:r>
      <w:r>
        <w:t>incluye</w:t>
      </w:r>
      <w:r w:rsidR="00E777C9">
        <w:t xml:space="preserve"> un total de USD 64,2 millones con cargo a</w:t>
      </w:r>
      <w:r>
        <w:t xml:space="preserve"> la ventana de financiamiento para proyectos de eficiencia energética dirigidos a usuarios </w:t>
      </w:r>
      <w:r w:rsidR="00D56D20">
        <w:t>finales, empleando un mecanismo</w:t>
      </w:r>
      <w:r>
        <w:t xml:space="preserve"> de fondo rotatorio para tres países en 2026. La preparación de proyectos para estos países se aprobó en la 96</w:t>
      </w:r>
      <w:r>
        <w:rPr>
          <w:vertAlign w:val="superscript"/>
        </w:rPr>
        <w:t>a</w:t>
      </w:r>
      <w:r>
        <w:t xml:space="preserve"> reunión. El Comité Ejecutivo seleccionará dos proyectos de entre todos los proyectos presentados por los organismos en esta ventana de financiamiento.</w:t>
      </w:r>
    </w:p>
    <w:p w14:paraId="255A80A6" w14:textId="77777777" w:rsidR="00047B4C" w:rsidRPr="00E45D7C" w:rsidRDefault="00047B4C" w:rsidP="00047B4C">
      <w:pPr>
        <w:pStyle w:val="Heading1"/>
        <w:keepNext/>
        <w:numPr>
          <w:ilvl w:val="0"/>
          <w:numId w:val="0"/>
        </w:numPr>
        <w:rPr>
          <w:b/>
          <w:bCs/>
        </w:rPr>
      </w:pPr>
      <w:r>
        <w:rPr>
          <w:b/>
        </w:rPr>
        <w:t>II.4</w:t>
      </w:r>
      <w:r>
        <w:rPr>
          <w:b/>
        </w:rPr>
        <w:tab/>
        <w:t>Costos de la unidad central</w:t>
      </w:r>
    </w:p>
    <w:p w14:paraId="153901F2" w14:textId="5C64DFA9" w:rsidR="00B1592F" w:rsidRPr="00E45D7C" w:rsidRDefault="00B1592F" w:rsidP="00B1592F">
      <w:pPr>
        <w:pStyle w:val="Heading1"/>
      </w:pPr>
      <w:bookmarkStart w:id="0" w:name="_Hlk117365377"/>
      <w:r>
        <w:t>Se prevé que los costos de la unidad central</w:t>
      </w:r>
      <w:r w:rsidRPr="00E45D7C">
        <w:rPr>
          <w:rStyle w:val="FootnoteReference"/>
        </w:rPr>
        <w:footnoteReference w:id="4"/>
      </w:r>
      <w:r>
        <w:t xml:space="preserve"> aumenten a un</w:t>
      </w:r>
      <w:r w:rsidR="00E777C9">
        <w:t>a</w:t>
      </w:r>
      <w:r>
        <w:t xml:space="preserve"> t</w:t>
      </w:r>
      <w:r w:rsidR="00E777C9">
        <w:t>asa</w:t>
      </w:r>
      <w:r>
        <w:t xml:space="preserve"> anual del 0,7 %, según lo </w:t>
      </w:r>
      <w:r w:rsidR="004D5C25">
        <w:t>convenido</w:t>
      </w:r>
      <w:r>
        <w:t xml:space="preserve">. </w:t>
      </w:r>
    </w:p>
    <w:p w14:paraId="30B8CB40" w14:textId="77777777" w:rsidR="00047B4C" w:rsidRPr="00E45D7C" w:rsidRDefault="00047B4C" w:rsidP="00047B4C">
      <w:pPr>
        <w:spacing w:after="240"/>
        <w:rPr>
          <w:b/>
          <w:sz w:val="24"/>
          <w:szCs w:val="24"/>
        </w:rPr>
      </w:pPr>
      <w:r>
        <w:rPr>
          <w:b/>
          <w:sz w:val="24"/>
        </w:rPr>
        <w:t>III.</w:t>
      </w:r>
      <w:r>
        <w:rPr>
          <w:b/>
          <w:sz w:val="24"/>
        </w:rPr>
        <w:tab/>
        <w:t>Ajustes propuestos por la Secretaría</w:t>
      </w:r>
    </w:p>
    <w:bookmarkEnd w:id="0"/>
    <w:p w14:paraId="3C5A2DC4" w14:textId="3D03E61D" w:rsidR="00047B4C" w:rsidRPr="00E45D7C" w:rsidRDefault="00047B4C" w:rsidP="00047B4C">
      <w:pPr>
        <w:pStyle w:val="Heading1"/>
      </w:pPr>
      <w:r>
        <w:t>Los ajustes al plan administrativo del Banco Mundial para</w:t>
      </w:r>
      <w:r w:rsidR="004D5C25">
        <w:t xml:space="preserve"> el período</w:t>
      </w:r>
      <w:r>
        <w:t xml:space="preserve"> 2026-2028 se basaron en decisiones pertinentes del Comité Ejecutivo. Al examinar la versión </w:t>
      </w:r>
      <w:r w:rsidR="00D56D20">
        <w:t>actualiz</w:t>
      </w:r>
      <w:r>
        <w:t xml:space="preserve">ada del plan administrativo del Banco Mundial para </w:t>
      </w:r>
      <w:r w:rsidR="00D56D20">
        <w:t xml:space="preserve">el período </w:t>
      </w:r>
      <w:r>
        <w:t xml:space="preserve">2026-2028, la Secretaría observó que no se habían incluido los ajustes siguientes: </w:t>
      </w:r>
    </w:p>
    <w:p w14:paraId="6A9A9809" w14:textId="19BDD227" w:rsidR="00047B4C" w:rsidRPr="00E45D7C" w:rsidRDefault="00047B4C" w:rsidP="00047B4C">
      <w:pPr>
        <w:keepNext/>
        <w:rPr>
          <w:b/>
          <w:bCs/>
        </w:rPr>
      </w:pPr>
      <w:r>
        <w:rPr>
          <w:b/>
        </w:rPr>
        <w:t>Cuadro 2. Ajustes al plan administrativo del Banco Mundial para</w:t>
      </w:r>
      <w:r w:rsidR="004D5C25">
        <w:rPr>
          <w:b/>
        </w:rPr>
        <w:t xml:space="preserve"> el período</w:t>
      </w:r>
      <w:r>
        <w:rPr>
          <w:b/>
        </w:rPr>
        <w:t xml:space="preserve"> 2026-2028 (USD)* </w:t>
      </w:r>
      <w:r w:rsidR="004D5C25">
        <w:rPr>
          <w:b/>
        </w:rPr>
        <w:t>–</w:t>
      </w:r>
      <w:r>
        <w:rPr>
          <w:b/>
        </w:rPr>
        <w:t xml:space="preserve">propuestos por la Secretaría </w:t>
      </w:r>
    </w:p>
    <w:tbl>
      <w:tblPr>
        <w:tblStyle w:val="TableGrid"/>
        <w:tblW w:w="9360" w:type="dxa"/>
        <w:tblInd w:w="-5" w:type="dxa"/>
        <w:tblLook w:val="04A0" w:firstRow="1" w:lastRow="0" w:firstColumn="1" w:lastColumn="0" w:noHBand="0" w:noVBand="1"/>
      </w:tblPr>
      <w:tblGrid>
        <w:gridCol w:w="6300"/>
        <w:gridCol w:w="1485"/>
        <w:gridCol w:w="1575"/>
      </w:tblGrid>
      <w:tr w:rsidR="00E45D7C" w:rsidRPr="00E45D7C" w14:paraId="3A6B4433" w14:textId="77777777" w:rsidTr="00E777C9">
        <w:trPr>
          <w:tblHeader/>
        </w:trPr>
        <w:tc>
          <w:tcPr>
            <w:tcW w:w="6300" w:type="dxa"/>
            <w:tcMar>
              <w:left w:w="58" w:type="dxa"/>
              <w:right w:w="29" w:type="dxa"/>
            </w:tcMar>
          </w:tcPr>
          <w:p w14:paraId="47C77752" w14:textId="77777777" w:rsidR="00047B4C" w:rsidRPr="00E45D7C" w:rsidRDefault="00047B4C" w:rsidP="00A618E9">
            <w:pPr>
              <w:rPr>
                <w:b/>
                <w:sz w:val="20"/>
                <w:szCs w:val="20"/>
              </w:rPr>
            </w:pPr>
            <w:r>
              <w:rPr>
                <w:b/>
                <w:sz w:val="20"/>
              </w:rPr>
              <w:t>Ajuste</w:t>
            </w:r>
          </w:p>
        </w:tc>
        <w:tc>
          <w:tcPr>
            <w:tcW w:w="1485" w:type="dxa"/>
          </w:tcPr>
          <w:p w14:paraId="4A396DC3" w14:textId="7D3FC794" w:rsidR="00047B4C" w:rsidRPr="00E45D7C" w:rsidRDefault="00047B4C" w:rsidP="00A618E9">
            <w:pPr>
              <w:jc w:val="center"/>
              <w:rPr>
                <w:b/>
                <w:sz w:val="20"/>
                <w:szCs w:val="20"/>
              </w:rPr>
            </w:pPr>
            <w:r>
              <w:rPr>
                <w:b/>
                <w:sz w:val="20"/>
              </w:rPr>
              <w:t>2026-2028</w:t>
            </w:r>
          </w:p>
        </w:tc>
        <w:tc>
          <w:tcPr>
            <w:tcW w:w="1575" w:type="dxa"/>
          </w:tcPr>
          <w:p w14:paraId="1834BE0A" w14:textId="158BB515" w:rsidR="00047B4C" w:rsidRPr="00E45D7C" w:rsidRDefault="00047B4C" w:rsidP="00A618E9">
            <w:pPr>
              <w:ind w:left="-96" w:right="-108"/>
              <w:jc w:val="center"/>
              <w:rPr>
                <w:b/>
                <w:sz w:val="20"/>
                <w:szCs w:val="20"/>
              </w:rPr>
            </w:pPr>
            <w:r>
              <w:rPr>
                <w:b/>
                <w:sz w:val="20"/>
              </w:rPr>
              <w:t>Después de 2028</w:t>
            </w:r>
          </w:p>
        </w:tc>
      </w:tr>
      <w:tr w:rsidR="00E45D7C" w:rsidRPr="00E45D7C" w14:paraId="202443CD" w14:textId="77777777" w:rsidTr="00E777C9">
        <w:trPr>
          <w:tblHeader/>
        </w:trPr>
        <w:tc>
          <w:tcPr>
            <w:tcW w:w="6300" w:type="dxa"/>
            <w:tcMar>
              <w:left w:w="58" w:type="dxa"/>
              <w:right w:w="29" w:type="dxa"/>
            </w:tcMar>
          </w:tcPr>
          <w:p w14:paraId="4E53194D" w14:textId="23C2CCCC" w:rsidR="00375109" w:rsidRPr="00E45D7C" w:rsidRDefault="002B5425" w:rsidP="00375109">
            <w:pPr>
              <w:rPr>
                <w:b/>
                <w:sz w:val="20"/>
                <w:szCs w:val="20"/>
              </w:rPr>
            </w:pPr>
            <w:r>
              <w:rPr>
                <w:sz w:val="20"/>
              </w:rPr>
              <w:t xml:space="preserve">Valores de los acuerdos plurianuales para reflejar los montos reales aprobados en los acuerdos, incluidos los tramos de los acuerdos plurianuales </w:t>
            </w:r>
            <w:r w:rsidR="00E777C9">
              <w:rPr>
                <w:sz w:val="20"/>
              </w:rPr>
              <w:t xml:space="preserve">que están </w:t>
            </w:r>
            <w:r>
              <w:rPr>
                <w:sz w:val="20"/>
              </w:rPr>
              <w:t>pendientes pero que no se han presentado a la 97ª reunión</w:t>
            </w:r>
          </w:p>
        </w:tc>
        <w:tc>
          <w:tcPr>
            <w:tcW w:w="1485" w:type="dxa"/>
          </w:tcPr>
          <w:p w14:paraId="64FE7FEE" w14:textId="618C308B" w:rsidR="00375109" w:rsidRPr="00E45D7C" w:rsidRDefault="00375109" w:rsidP="003C6F73">
            <w:pPr>
              <w:jc w:val="right"/>
              <w:rPr>
                <w:sz w:val="20"/>
                <w:szCs w:val="20"/>
              </w:rPr>
            </w:pPr>
            <w:r>
              <w:rPr>
                <w:sz w:val="20"/>
              </w:rPr>
              <w:t>186.763</w:t>
            </w:r>
          </w:p>
        </w:tc>
        <w:tc>
          <w:tcPr>
            <w:tcW w:w="1575" w:type="dxa"/>
          </w:tcPr>
          <w:p w14:paraId="127EA8F4" w14:textId="5A2F3184" w:rsidR="00375109" w:rsidRPr="00E45D7C" w:rsidRDefault="00375109" w:rsidP="003C6F73">
            <w:pPr>
              <w:ind w:left="-96" w:right="-8"/>
              <w:jc w:val="right"/>
              <w:rPr>
                <w:sz w:val="20"/>
                <w:szCs w:val="20"/>
              </w:rPr>
            </w:pPr>
            <w:r>
              <w:rPr>
                <w:sz w:val="20"/>
              </w:rPr>
              <w:t>0</w:t>
            </w:r>
          </w:p>
        </w:tc>
      </w:tr>
      <w:tr w:rsidR="00E45D7C" w:rsidRPr="00E45D7C" w14:paraId="1C54B52C" w14:textId="77777777" w:rsidTr="00E777C9">
        <w:trPr>
          <w:trHeight w:val="83"/>
        </w:trPr>
        <w:tc>
          <w:tcPr>
            <w:tcW w:w="6300" w:type="dxa"/>
            <w:tcMar>
              <w:left w:w="58" w:type="dxa"/>
              <w:right w:w="29" w:type="dxa"/>
            </w:tcMar>
          </w:tcPr>
          <w:p w14:paraId="402425B4" w14:textId="14F13AFC" w:rsidR="003C6F73" w:rsidRPr="00E45D7C" w:rsidRDefault="003C6F73" w:rsidP="00D56D20">
            <w:pPr>
              <w:jc w:val="left"/>
              <w:rPr>
                <w:sz w:val="20"/>
                <w:szCs w:val="20"/>
              </w:rPr>
            </w:pPr>
            <w:r>
              <w:rPr>
                <w:sz w:val="20"/>
              </w:rPr>
              <w:t xml:space="preserve">Los costos de la unidad central no incluyen el financiamiento adicional de la </w:t>
            </w:r>
            <w:r w:rsidRPr="00E777C9">
              <w:rPr>
                <w:spacing w:val="-2"/>
                <w:sz w:val="20"/>
              </w:rPr>
              <w:t>unidad central por un monto de USD 200.000 conforme a la decisi</w:t>
            </w:r>
            <w:r w:rsidR="00D56D20" w:rsidRPr="00E777C9">
              <w:rPr>
                <w:spacing w:val="-2"/>
                <w:sz w:val="20"/>
              </w:rPr>
              <w:t>ó</w:t>
            </w:r>
            <w:r w:rsidRPr="00E777C9">
              <w:rPr>
                <w:spacing w:val="-2"/>
                <w:sz w:val="20"/>
              </w:rPr>
              <w:t>n 93/95 b)</w:t>
            </w:r>
          </w:p>
        </w:tc>
        <w:tc>
          <w:tcPr>
            <w:tcW w:w="1485" w:type="dxa"/>
          </w:tcPr>
          <w:p w14:paraId="45C747AD" w14:textId="7559EBE1" w:rsidR="003C6F73" w:rsidRPr="00E45D7C" w:rsidRDefault="003C6F73" w:rsidP="003C6F73">
            <w:pPr>
              <w:jc w:val="right"/>
              <w:rPr>
                <w:sz w:val="20"/>
                <w:szCs w:val="20"/>
              </w:rPr>
            </w:pPr>
            <w:r>
              <w:rPr>
                <w:sz w:val="20"/>
              </w:rPr>
              <w:t>(200.000)</w:t>
            </w:r>
          </w:p>
        </w:tc>
        <w:tc>
          <w:tcPr>
            <w:tcW w:w="1575" w:type="dxa"/>
          </w:tcPr>
          <w:p w14:paraId="09159729" w14:textId="6356310B" w:rsidR="003C6F73" w:rsidRPr="00E45D7C" w:rsidRDefault="003C6F73" w:rsidP="003C6F73">
            <w:pPr>
              <w:jc w:val="right"/>
              <w:rPr>
                <w:sz w:val="20"/>
                <w:szCs w:val="20"/>
              </w:rPr>
            </w:pPr>
            <w:r>
              <w:rPr>
                <w:sz w:val="20"/>
              </w:rPr>
              <w:t>0</w:t>
            </w:r>
          </w:p>
        </w:tc>
      </w:tr>
    </w:tbl>
    <w:p w14:paraId="78B71214" w14:textId="51D3A082" w:rsidR="00047B4C" w:rsidRPr="00E45D7C" w:rsidRDefault="00047B4C" w:rsidP="00047B4C">
      <w:pPr>
        <w:rPr>
          <w:sz w:val="19"/>
          <w:szCs w:val="19"/>
        </w:rPr>
      </w:pPr>
      <w:r>
        <w:rPr>
          <w:sz w:val="19"/>
        </w:rPr>
        <w:t>* Incluidos gastos de apoyo cuando corresponda</w:t>
      </w:r>
      <w:r w:rsidR="004D5C25">
        <w:rPr>
          <w:sz w:val="19"/>
        </w:rPr>
        <w:t>.</w:t>
      </w:r>
    </w:p>
    <w:p w14:paraId="223D72D7" w14:textId="77777777" w:rsidR="00047B4C" w:rsidRPr="00E45D7C" w:rsidRDefault="00047B4C" w:rsidP="00047B4C"/>
    <w:p w14:paraId="2A6B7966" w14:textId="02CAF8F7" w:rsidR="00047B4C" w:rsidRPr="00E45D7C" w:rsidRDefault="00047B4C" w:rsidP="00047B4C">
      <w:pPr>
        <w:pStyle w:val="Heading1"/>
      </w:pPr>
      <w:r>
        <w:t xml:space="preserve">El cuadro 3 presenta los resultados de los ajustes propuestos por la Secretaría al plan administrativo del Banco Mundial para </w:t>
      </w:r>
      <w:r w:rsidR="004D5C25">
        <w:t xml:space="preserve">el período </w:t>
      </w:r>
      <w:r>
        <w:t xml:space="preserve">2026-2028, que también se abordan en el contexto del plan administrativo </w:t>
      </w:r>
      <w:r w:rsidR="00D56D20">
        <w:t>co</w:t>
      </w:r>
      <w:r>
        <w:t>n</w:t>
      </w:r>
      <w:r w:rsidR="00D56D20">
        <w:t>sol</w:t>
      </w:r>
      <w:r>
        <w:t>i</w:t>
      </w:r>
      <w:r w:rsidR="00D56D20">
        <w:t>da</w:t>
      </w:r>
      <w:r>
        <w:t xml:space="preserve">do del Fondo Multilateral para </w:t>
      </w:r>
      <w:r w:rsidR="004D5C25">
        <w:t xml:space="preserve">el período </w:t>
      </w:r>
      <w:r>
        <w:t>2026-2028</w:t>
      </w:r>
      <w:r w:rsidRPr="00E45D7C">
        <w:rPr>
          <w:rStyle w:val="FootnoteReference"/>
        </w:rPr>
        <w:footnoteReference w:id="5"/>
      </w:r>
      <w:r>
        <w:t>.</w:t>
      </w:r>
    </w:p>
    <w:p w14:paraId="781D08FB" w14:textId="1DDF3E4B" w:rsidR="00047B4C" w:rsidRPr="00E45D7C" w:rsidRDefault="00047B4C" w:rsidP="00047B4C">
      <w:pPr>
        <w:keepNext/>
        <w:rPr>
          <w:b/>
        </w:rPr>
      </w:pPr>
      <w:r>
        <w:rPr>
          <w:b/>
        </w:rPr>
        <w:lastRenderedPageBreak/>
        <w:t>Cuadro 3. Asignación de recursos en el plan administrativo ajustado del Banco Mundial para</w:t>
      </w:r>
      <w:r w:rsidR="004D5C25">
        <w:rPr>
          <w:b/>
        </w:rPr>
        <w:t xml:space="preserve"> el período</w:t>
      </w:r>
      <w:r>
        <w:rPr>
          <w:b/>
        </w:rPr>
        <w:t xml:space="preserve"> 2026-2028 (USD)* </w:t>
      </w:r>
    </w:p>
    <w:tbl>
      <w:tblPr>
        <w:tblW w:w="9453" w:type="dxa"/>
        <w:tblInd w:w="22" w:type="dxa"/>
        <w:tblLayout w:type="fixed"/>
        <w:tblLook w:val="04A0" w:firstRow="1" w:lastRow="0" w:firstColumn="1" w:lastColumn="0" w:noHBand="0" w:noVBand="1"/>
      </w:tblPr>
      <w:tblGrid>
        <w:gridCol w:w="3663"/>
        <w:gridCol w:w="1080"/>
        <w:gridCol w:w="1170"/>
        <w:gridCol w:w="1080"/>
        <w:gridCol w:w="1193"/>
        <w:gridCol w:w="1267"/>
      </w:tblGrid>
      <w:tr w:rsidR="00E45D7C" w:rsidRPr="00E45D7C" w14:paraId="1F8F611C" w14:textId="77777777" w:rsidTr="004C3CF0">
        <w:trPr>
          <w:trHeight w:val="298"/>
          <w:tblHeader/>
        </w:trPr>
        <w:tc>
          <w:tcPr>
            <w:tcW w:w="3663" w:type="dxa"/>
            <w:tcBorders>
              <w:top w:val="single" w:sz="4" w:space="0" w:color="auto"/>
              <w:left w:val="single" w:sz="4" w:space="0" w:color="auto"/>
              <w:bottom w:val="single" w:sz="4" w:space="0" w:color="auto"/>
              <w:right w:val="single" w:sz="4" w:space="0" w:color="auto"/>
            </w:tcBorders>
            <w:noWrap/>
            <w:tcMar>
              <w:left w:w="58" w:type="dxa"/>
              <w:right w:w="29" w:type="dxa"/>
            </w:tcMar>
            <w:hideMark/>
          </w:tcPr>
          <w:p w14:paraId="06C1C80E" w14:textId="77777777" w:rsidR="00C932D6" w:rsidRPr="00E45D7C" w:rsidRDefault="00C932D6" w:rsidP="00C932D6">
            <w:pPr>
              <w:jc w:val="left"/>
              <w:rPr>
                <w:rFonts w:asciiTheme="majorBidi" w:hAnsiTheme="majorBidi" w:cstheme="majorBidi"/>
                <w:b/>
                <w:bCs/>
                <w:sz w:val="20"/>
                <w:szCs w:val="20"/>
              </w:rPr>
            </w:pPr>
            <w:r>
              <w:rPr>
                <w:rFonts w:asciiTheme="majorBidi" w:hAnsiTheme="majorBidi"/>
                <w:b/>
                <w:sz w:val="20"/>
              </w:rPr>
              <w:t>Descripción</w:t>
            </w:r>
          </w:p>
        </w:tc>
        <w:tc>
          <w:tcPr>
            <w:tcW w:w="1080" w:type="dxa"/>
            <w:tcBorders>
              <w:top w:val="single" w:sz="4" w:space="0" w:color="auto"/>
              <w:left w:val="nil"/>
              <w:bottom w:val="single" w:sz="4" w:space="0" w:color="auto"/>
              <w:right w:val="single" w:sz="4" w:space="0" w:color="auto"/>
            </w:tcBorders>
            <w:tcMar>
              <w:left w:w="29" w:type="dxa"/>
              <w:right w:w="29" w:type="dxa"/>
            </w:tcMar>
            <w:hideMark/>
          </w:tcPr>
          <w:p w14:paraId="532477EF" w14:textId="77777777" w:rsidR="00C932D6" w:rsidRPr="00E45D7C" w:rsidRDefault="00C932D6" w:rsidP="00C932D6">
            <w:pPr>
              <w:jc w:val="center"/>
              <w:rPr>
                <w:rFonts w:asciiTheme="majorBidi" w:hAnsiTheme="majorBidi" w:cstheme="majorBidi"/>
                <w:b/>
                <w:bCs/>
                <w:sz w:val="20"/>
                <w:szCs w:val="20"/>
              </w:rPr>
            </w:pPr>
            <w:r>
              <w:rPr>
                <w:rFonts w:asciiTheme="majorBidi" w:hAnsiTheme="majorBidi"/>
                <w:b/>
                <w:sz w:val="20"/>
              </w:rPr>
              <w:t>2026</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3919E42A" w14:textId="77777777" w:rsidR="00C932D6" w:rsidRPr="00E45D7C" w:rsidRDefault="00C932D6" w:rsidP="00C932D6">
            <w:pPr>
              <w:jc w:val="center"/>
              <w:rPr>
                <w:rFonts w:asciiTheme="majorBidi" w:hAnsiTheme="majorBidi" w:cstheme="majorBidi"/>
                <w:b/>
                <w:bCs/>
                <w:sz w:val="20"/>
                <w:szCs w:val="20"/>
              </w:rPr>
            </w:pPr>
            <w:r>
              <w:rPr>
                <w:rFonts w:asciiTheme="majorBidi" w:hAnsiTheme="majorBidi"/>
                <w:b/>
                <w:sz w:val="20"/>
              </w:rPr>
              <w:t>2027</w:t>
            </w:r>
          </w:p>
        </w:tc>
        <w:tc>
          <w:tcPr>
            <w:tcW w:w="1080" w:type="dxa"/>
            <w:tcBorders>
              <w:top w:val="single" w:sz="4" w:space="0" w:color="auto"/>
              <w:left w:val="nil"/>
              <w:bottom w:val="single" w:sz="4" w:space="0" w:color="auto"/>
              <w:right w:val="single" w:sz="4" w:space="0" w:color="auto"/>
            </w:tcBorders>
            <w:tcMar>
              <w:left w:w="29" w:type="dxa"/>
              <w:right w:w="29" w:type="dxa"/>
            </w:tcMar>
            <w:hideMark/>
          </w:tcPr>
          <w:p w14:paraId="3152FF04" w14:textId="39BBD423" w:rsidR="00C932D6" w:rsidRPr="00E45D7C" w:rsidRDefault="00C36E70" w:rsidP="00C932D6">
            <w:pPr>
              <w:jc w:val="center"/>
              <w:rPr>
                <w:rFonts w:asciiTheme="majorBidi" w:hAnsiTheme="majorBidi" w:cstheme="majorBidi"/>
                <w:b/>
                <w:bCs/>
                <w:sz w:val="20"/>
                <w:szCs w:val="20"/>
              </w:rPr>
            </w:pPr>
            <w:r>
              <w:rPr>
                <w:rFonts w:asciiTheme="majorBidi" w:hAnsiTheme="majorBidi"/>
                <w:b/>
                <w:sz w:val="20"/>
              </w:rPr>
              <w:t>2028</w:t>
            </w:r>
          </w:p>
        </w:tc>
        <w:tc>
          <w:tcPr>
            <w:tcW w:w="1193" w:type="dxa"/>
            <w:tcBorders>
              <w:top w:val="single" w:sz="4" w:space="0" w:color="auto"/>
              <w:left w:val="nil"/>
              <w:bottom w:val="single" w:sz="4" w:space="0" w:color="auto"/>
              <w:right w:val="single" w:sz="4" w:space="0" w:color="auto"/>
            </w:tcBorders>
            <w:tcMar>
              <w:left w:w="29" w:type="dxa"/>
              <w:right w:w="29" w:type="dxa"/>
            </w:tcMar>
            <w:hideMark/>
          </w:tcPr>
          <w:p w14:paraId="3801E3B9" w14:textId="77777777" w:rsidR="00C932D6" w:rsidRPr="00E45D7C" w:rsidRDefault="00C932D6" w:rsidP="00C932D6">
            <w:pPr>
              <w:jc w:val="center"/>
              <w:rPr>
                <w:rFonts w:asciiTheme="majorBidi" w:hAnsiTheme="majorBidi" w:cstheme="majorBidi"/>
                <w:b/>
                <w:bCs/>
                <w:sz w:val="20"/>
                <w:szCs w:val="20"/>
              </w:rPr>
            </w:pPr>
            <w:r>
              <w:rPr>
                <w:rFonts w:asciiTheme="majorBidi" w:hAnsiTheme="majorBidi"/>
                <w:b/>
                <w:sz w:val="20"/>
              </w:rPr>
              <w:t xml:space="preserve">Total </w:t>
            </w:r>
          </w:p>
          <w:p w14:paraId="580E1B89" w14:textId="1F41BD24" w:rsidR="00C932D6" w:rsidRPr="00E45D7C" w:rsidRDefault="00C932D6" w:rsidP="00C932D6">
            <w:pPr>
              <w:jc w:val="center"/>
              <w:rPr>
                <w:rFonts w:asciiTheme="majorBidi" w:hAnsiTheme="majorBidi" w:cstheme="majorBidi"/>
                <w:b/>
                <w:bCs/>
                <w:sz w:val="20"/>
                <w:szCs w:val="20"/>
              </w:rPr>
            </w:pPr>
            <w:r>
              <w:rPr>
                <w:rFonts w:asciiTheme="majorBidi" w:hAnsiTheme="majorBidi"/>
                <w:b/>
                <w:sz w:val="20"/>
              </w:rPr>
              <w:t>(2026-2028)</w:t>
            </w:r>
          </w:p>
        </w:tc>
        <w:tc>
          <w:tcPr>
            <w:tcW w:w="1267" w:type="dxa"/>
            <w:tcBorders>
              <w:top w:val="single" w:sz="4" w:space="0" w:color="auto"/>
              <w:left w:val="nil"/>
              <w:bottom w:val="single" w:sz="4" w:space="0" w:color="auto"/>
              <w:right w:val="single" w:sz="4" w:space="0" w:color="auto"/>
            </w:tcBorders>
            <w:tcMar>
              <w:left w:w="29" w:type="dxa"/>
              <w:right w:w="29" w:type="dxa"/>
            </w:tcMar>
            <w:hideMark/>
          </w:tcPr>
          <w:p w14:paraId="304343DE" w14:textId="77777777" w:rsidR="00C932D6" w:rsidRPr="00E45D7C" w:rsidRDefault="00C932D6" w:rsidP="00C932D6">
            <w:pPr>
              <w:jc w:val="center"/>
              <w:rPr>
                <w:rFonts w:asciiTheme="majorBidi" w:hAnsiTheme="majorBidi" w:cstheme="majorBidi"/>
                <w:b/>
                <w:bCs/>
                <w:sz w:val="20"/>
                <w:szCs w:val="20"/>
              </w:rPr>
            </w:pPr>
            <w:r>
              <w:rPr>
                <w:rFonts w:asciiTheme="majorBidi" w:hAnsiTheme="majorBidi"/>
                <w:b/>
                <w:sz w:val="20"/>
              </w:rPr>
              <w:t>Total después de 2028</w:t>
            </w:r>
          </w:p>
        </w:tc>
      </w:tr>
      <w:tr w:rsidR="00E45D7C" w:rsidRPr="00E45D7C" w14:paraId="75A792C1" w14:textId="77777777" w:rsidTr="004C3CF0">
        <w:trPr>
          <w:trHeight w:val="65"/>
        </w:trPr>
        <w:tc>
          <w:tcPr>
            <w:tcW w:w="9453" w:type="dxa"/>
            <w:gridSpan w:val="6"/>
            <w:tcBorders>
              <w:top w:val="single" w:sz="4" w:space="0" w:color="auto"/>
              <w:left w:val="single" w:sz="4" w:space="0" w:color="auto"/>
              <w:bottom w:val="single" w:sz="4" w:space="0" w:color="auto"/>
              <w:right w:val="single" w:sz="4" w:space="0" w:color="auto"/>
            </w:tcBorders>
            <w:noWrap/>
            <w:tcMar>
              <w:left w:w="58" w:type="dxa"/>
              <w:right w:w="29" w:type="dxa"/>
            </w:tcMar>
            <w:hideMark/>
          </w:tcPr>
          <w:p w14:paraId="5A8D3142" w14:textId="77777777" w:rsidR="00C932D6" w:rsidRPr="00E45D7C" w:rsidRDefault="00C932D6" w:rsidP="00C932D6">
            <w:pPr>
              <w:jc w:val="left"/>
              <w:rPr>
                <w:rFonts w:asciiTheme="majorBidi" w:hAnsiTheme="majorBidi" w:cstheme="majorBidi"/>
                <w:b/>
                <w:bCs/>
                <w:sz w:val="20"/>
                <w:szCs w:val="20"/>
              </w:rPr>
            </w:pPr>
            <w:r>
              <w:rPr>
                <w:rFonts w:asciiTheme="majorBidi" w:hAnsiTheme="majorBidi"/>
                <w:b/>
                <w:sz w:val="20"/>
              </w:rPr>
              <w:t>Actividades relativas a los HCFC</w:t>
            </w:r>
          </w:p>
        </w:tc>
      </w:tr>
      <w:tr w:rsidR="00E45D7C" w:rsidRPr="00E45D7C" w14:paraId="2A82A967" w14:textId="77777777" w:rsidTr="004C3CF0">
        <w:trPr>
          <w:trHeight w:val="252"/>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38B5F7E4" w14:textId="6AB0FEAC" w:rsidR="00C932D6" w:rsidRPr="00E45D7C" w:rsidRDefault="00C932D6" w:rsidP="00C932D6">
            <w:pPr>
              <w:jc w:val="left"/>
              <w:rPr>
                <w:rFonts w:asciiTheme="majorBidi" w:hAnsiTheme="majorBidi" w:cstheme="majorBidi"/>
                <w:sz w:val="20"/>
                <w:szCs w:val="20"/>
              </w:rPr>
            </w:pPr>
            <w:r>
              <w:rPr>
                <w:rFonts w:asciiTheme="majorBidi" w:hAnsiTheme="majorBidi"/>
                <w:sz w:val="20"/>
              </w:rPr>
              <w:t>PGEH aprobados</w:t>
            </w:r>
          </w:p>
        </w:tc>
        <w:tc>
          <w:tcPr>
            <w:tcW w:w="1080" w:type="dxa"/>
            <w:tcBorders>
              <w:top w:val="nil"/>
              <w:left w:val="nil"/>
              <w:bottom w:val="single" w:sz="4" w:space="0" w:color="auto"/>
              <w:right w:val="single" w:sz="4" w:space="0" w:color="auto"/>
            </w:tcBorders>
            <w:noWrap/>
            <w:tcMar>
              <w:left w:w="58" w:type="dxa"/>
              <w:right w:w="58" w:type="dxa"/>
            </w:tcMar>
            <w:hideMark/>
          </w:tcPr>
          <w:p w14:paraId="37F3B062"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9.613.657</w:t>
            </w:r>
          </w:p>
        </w:tc>
        <w:tc>
          <w:tcPr>
            <w:tcW w:w="1170" w:type="dxa"/>
            <w:tcBorders>
              <w:top w:val="nil"/>
              <w:left w:val="nil"/>
              <w:bottom w:val="single" w:sz="4" w:space="0" w:color="auto"/>
              <w:right w:val="single" w:sz="4" w:space="0" w:color="auto"/>
            </w:tcBorders>
            <w:noWrap/>
            <w:tcMar>
              <w:left w:w="58" w:type="dxa"/>
              <w:right w:w="58" w:type="dxa"/>
            </w:tcMar>
            <w:hideMark/>
          </w:tcPr>
          <w:p w14:paraId="1AC26F2E"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080" w:type="dxa"/>
            <w:tcBorders>
              <w:top w:val="nil"/>
              <w:left w:val="nil"/>
              <w:bottom w:val="single" w:sz="4" w:space="0" w:color="auto"/>
              <w:right w:val="single" w:sz="4" w:space="0" w:color="auto"/>
            </w:tcBorders>
            <w:noWrap/>
            <w:tcMar>
              <w:left w:w="58" w:type="dxa"/>
              <w:right w:w="58" w:type="dxa"/>
            </w:tcMar>
            <w:hideMark/>
          </w:tcPr>
          <w:p w14:paraId="302FE771"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193" w:type="dxa"/>
            <w:tcBorders>
              <w:top w:val="nil"/>
              <w:left w:val="nil"/>
              <w:bottom w:val="single" w:sz="4" w:space="0" w:color="auto"/>
              <w:right w:val="single" w:sz="4" w:space="0" w:color="auto"/>
            </w:tcBorders>
            <w:noWrap/>
            <w:tcMar>
              <w:left w:w="58" w:type="dxa"/>
              <w:right w:w="58" w:type="dxa"/>
            </w:tcMar>
            <w:hideMark/>
          </w:tcPr>
          <w:p w14:paraId="38CEA894"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9.613.657</w:t>
            </w:r>
          </w:p>
        </w:tc>
        <w:tc>
          <w:tcPr>
            <w:tcW w:w="1267" w:type="dxa"/>
            <w:tcBorders>
              <w:top w:val="nil"/>
              <w:left w:val="nil"/>
              <w:bottom w:val="single" w:sz="4" w:space="0" w:color="auto"/>
              <w:right w:val="single" w:sz="4" w:space="0" w:color="auto"/>
            </w:tcBorders>
            <w:noWrap/>
            <w:tcMar>
              <w:left w:w="58" w:type="dxa"/>
              <w:right w:w="58" w:type="dxa"/>
            </w:tcMar>
            <w:hideMark/>
          </w:tcPr>
          <w:p w14:paraId="6B25F707"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1.479.869</w:t>
            </w:r>
          </w:p>
        </w:tc>
      </w:tr>
      <w:tr w:rsidR="00E45D7C" w:rsidRPr="00E45D7C" w14:paraId="6C6D1E43" w14:textId="77777777" w:rsidTr="004C3CF0">
        <w:trPr>
          <w:trHeight w:val="44"/>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71A99095" w14:textId="77777777" w:rsidR="00C932D6" w:rsidRPr="00E45D7C" w:rsidRDefault="00C932D6" w:rsidP="00C932D6">
            <w:pPr>
              <w:jc w:val="left"/>
              <w:rPr>
                <w:rFonts w:asciiTheme="majorBidi" w:hAnsiTheme="majorBidi" w:cstheme="majorBidi"/>
                <w:sz w:val="20"/>
                <w:szCs w:val="20"/>
              </w:rPr>
            </w:pPr>
            <w:r>
              <w:rPr>
                <w:rFonts w:asciiTheme="majorBidi" w:hAnsiTheme="majorBidi"/>
                <w:sz w:val="20"/>
              </w:rPr>
              <w:t xml:space="preserve">PGEPH, etapa III </w:t>
            </w:r>
          </w:p>
        </w:tc>
        <w:tc>
          <w:tcPr>
            <w:tcW w:w="1080" w:type="dxa"/>
            <w:tcBorders>
              <w:top w:val="nil"/>
              <w:left w:val="nil"/>
              <w:bottom w:val="single" w:sz="4" w:space="0" w:color="auto"/>
              <w:right w:val="single" w:sz="4" w:space="0" w:color="auto"/>
            </w:tcBorders>
            <w:noWrap/>
            <w:tcMar>
              <w:left w:w="58" w:type="dxa"/>
              <w:right w:w="58" w:type="dxa"/>
            </w:tcMar>
            <w:hideMark/>
          </w:tcPr>
          <w:p w14:paraId="111C9EDD"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tcMar>
              <w:left w:w="58" w:type="dxa"/>
              <w:right w:w="58" w:type="dxa"/>
            </w:tcMar>
            <w:hideMark/>
          </w:tcPr>
          <w:p w14:paraId="12074C25"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23.540.000</w:t>
            </w:r>
          </w:p>
        </w:tc>
        <w:tc>
          <w:tcPr>
            <w:tcW w:w="1080" w:type="dxa"/>
            <w:tcBorders>
              <w:top w:val="nil"/>
              <w:left w:val="nil"/>
              <w:bottom w:val="single" w:sz="4" w:space="0" w:color="auto"/>
              <w:right w:val="single" w:sz="4" w:space="0" w:color="auto"/>
            </w:tcBorders>
            <w:noWrap/>
            <w:tcMar>
              <w:left w:w="58" w:type="dxa"/>
              <w:right w:w="58" w:type="dxa"/>
            </w:tcMar>
            <w:hideMark/>
          </w:tcPr>
          <w:p w14:paraId="3D00E256"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193" w:type="dxa"/>
            <w:tcBorders>
              <w:top w:val="nil"/>
              <w:left w:val="nil"/>
              <w:bottom w:val="single" w:sz="4" w:space="0" w:color="auto"/>
              <w:right w:val="single" w:sz="4" w:space="0" w:color="auto"/>
            </w:tcBorders>
            <w:noWrap/>
            <w:tcMar>
              <w:left w:w="58" w:type="dxa"/>
              <w:right w:w="58" w:type="dxa"/>
            </w:tcMar>
            <w:hideMark/>
          </w:tcPr>
          <w:p w14:paraId="65F7CE3D"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23.540.000</w:t>
            </w:r>
          </w:p>
        </w:tc>
        <w:tc>
          <w:tcPr>
            <w:tcW w:w="1267" w:type="dxa"/>
            <w:tcBorders>
              <w:top w:val="nil"/>
              <w:left w:val="nil"/>
              <w:bottom w:val="single" w:sz="4" w:space="0" w:color="auto"/>
              <w:right w:val="single" w:sz="4" w:space="0" w:color="auto"/>
            </w:tcBorders>
            <w:noWrap/>
            <w:tcMar>
              <w:left w:w="58" w:type="dxa"/>
              <w:right w:w="58" w:type="dxa"/>
            </w:tcMar>
            <w:hideMark/>
          </w:tcPr>
          <w:p w14:paraId="6EAFE18F"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23.540.000</w:t>
            </w:r>
          </w:p>
        </w:tc>
      </w:tr>
      <w:tr w:rsidR="00E45D7C" w:rsidRPr="00E45D7C" w14:paraId="1D41354D" w14:textId="77777777" w:rsidTr="004C3CF0">
        <w:trPr>
          <w:trHeight w:val="106"/>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312EDF29" w14:textId="77777777" w:rsidR="00C932D6" w:rsidRPr="00E45D7C" w:rsidRDefault="00C932D6" w:rsidP="00C932D6">
            <w:pPr>
              <w:jc w:val="left"/>
              <w:rPr>
                <w:rFonts w:asciiTheme="majorBidi" w:hAnsiTheme="majorBidi" w:cstheme="majorBidi"/>
                <w:sz w:val="20"/>
                <w:szCs w:val="20"/>
              </w:rPr>
            </w:pPr>
            <w:r>
              <w:rPr>
                <w:rFonts w:asciiTheme="majorBidi" w:hAnsiTheme="majorBidi"/>
                <w:sz w:val="20"/>
              </w:rPr>
              <w:t>PGEH, etapa III</w:t>
            </w:r>
          </w:p>
        </w:tc>
        <w:tc>
          <w:tcPr>
            <w:tcW w:w="1080" w:type="dxa"/>
            <w:tcBorders>
              <w:top w:val="nil"/>
              <w:left w:val="nil"/>
              <w:bottom w:val="single" w:sz="4" w:space="0" w:color="auto"/>
              <w:right w:val="single" w:sz="4" w:space="0" w:color="auto"/>
            </w:tcBorders>
            <w:noWrap/>
            <w:tcMar>
              <w:left w:w="58" w:type="dxa"/>
              <w:right w:w="58" w:type="dxa"/>
            </w:tcMar>
            <w:hideMark/>
          </w:tcPr>
          <w:p w14:paraId="6E33F43E"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4.280.000</w:t>
            </w:r>
          </w:p>
        </w:tc>
        <w:tc>
          <w:tcPr>
            <w:tcW w:w="1170" w:type="dxa"/>
            <w:tcBorders>
              <w:top w:val="nil"/>
              <w:left w:val="nil"/>
              <w:bottom w:val="single" w:sz="4" w:space="0" w:color="auto"/>
              <w:right w:val="single" w:sz="4" w:space="0" w:color="auto"/>
            </w:tcBorders>
            <w:noWrap/>
            <w:tcMar>
              <w:left w:w="58" w:type="dxa"/>
              <w:right w:w="58" w:type="dxa"/>
            </w:tcMar>
            <w:hideMark/>
          </w:tcPr>
          <w:p w14:paraId="5A2DF23F"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080" w:type="dxa"/>
            <w:tcBorders>
              <w:top w:val="nil"/>
              <w:left w:val="nil"/>
              <w:bottom w:val="single" w:sz="4" w:space="0" w:color="auto"/>
              <w:right w:val="single" w:sz="4" w:space="0" w:color="auto"/>
            </w:tcBorders>
            <w:noWrap/>
            <w:tcMar>
              <w:left w:w="58" w:type="dxa"/>
              <w:right w:w="58" w:type="dxa"/>
            </w:tcMar>
            <w:hideMark/>
          </w:tcPr>
          <w:p w14:paraId="2FB34151"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10.700.000</w:t>
            </w:r>
          </w:p>
        </w:tc>
        <w:tc>
          <w:tcPr>
            <w:tcW w:w="1193" w:type="dxa"/>
            <w:tcBorders>
              <w:top w:val="nil"/>
              <w:left w:val="nil"/>
              <w:bottom w:val="single" w:sz="4" w:space="0" w:color="auto"/>
              <w:right w:val="single" w:sz="4" w:space="0" w:color="auto"/>
            </w:tcBorders>
            <w:noWrap/>
            <w:tcMar>
              <w:left w:w="58" w:type="dxa"/>
              <w:right w:w="58" w:type="dxa"/>
            </w:tcMar>
            <w:hideMark/>
          </w:tcPr>
          <w:p w14:paraId="0ADD7F85"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14.980.000</w:t>
            </w:r>
          </w:p>
        </w:tc>
        <w:tc>
          <w:tcPr>
            <w:tcW w:w="1267" w:type="dxa"/>
            <w:tcBorders>
              <w:top w:val="nil"/>
              <w:left w:val="nil"/>
              <w:bottom w:val="single" w:sz="4" w:space="0" w:color="auto"/>
              <w:right w:val="single" w:sz="4" w:space="0" w:color="auto"/>
            </w:tcBorders>
            <w:noWrap/>
            <w:tcMar>
              <w:left w:w="58" w:type="dxa"/>
              <w:right w:w="58" w:type="dxa"/>
            </w:tcMar>
            <w:hideMark/>
          </w:tcPr>
          <w:p w14:paraId="6E71C28B"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10.700.000</w:t>
            </w:r>
          </w:p>
        </w:tc>
      </w:tr>
      <w:tr w:rsidR="00E45D7C" w:rsidRPr="00E45D7C" w14:paraId="0655C21B" w14:textId="77777777" w:rsidTr="004C3CF0">
        <w:trPr>
          <w:trHeight w:val="44"/>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69A6868A" w14:textId="7CAB57CD" w:rsidR="00C932D6" w:rsidRPr="00A272A0" w:rsidRDefault="00C932D6" w:rsidP="004D5C25">
            <w:pPr>
              <w:jc w:val="left"/>
              <w:rPr>
                <w:rFonts w:asciiTheme="majorBidi" w:hAnsiTheme="majorBidi" w:cstheme="majorBidi"/>
                <w:b/>
                <w:bCs/>
                <w:spacing w:val="-4"/>
                <w:sz w:val="20"/>
                <w:szCs w:val="20"/>
              </w:rPr>
            </w:pPr>
            <w:r w:rsidRPr="00A272A0">
              <w:rPr>
                <w:rFonts w:asciiTheme="majorBidi" w:hAnsiTheme="majorBidi"/>
                <w:b/>
                <w:spacing w:val="-4"/>
                <w:sz w:val="20"/>
              </w:rPr>
              <w:t xml:space="preserve">Subtotal </w:t>
            </w:r>
            <w:r w:rsidR="00A272A0" w:rsidRPr="00A272A0">
              <w:rPr>
                <w:rFonts w:asciiTheme="majorBidi" w:hAnsiTheme="majorBidi"/>
                <w:b/>
                <w:spacing w:val="-4"/>
                <w:sz w:val="20"/>
              </w:rPr>
              <w:t xml:space="preserve">– </w:t>
            </w:r>
            <w:r w:rsidR="004D5C25" w:rsidRPr="00A272A0">
              <w:rPr>
                <w:rFonts w:asciiTheme="majorBidi" w:hAnsiTheme="majorBidi"/>
                <w:b/>
                <w:spacing w:val="-4"/>
                <w:sz w:val="20"/>
              </w:rPr>
              <w:t>A</w:t>
            </w:r>
            <w:r w:rsidRPr="00A272A0">
              <w:rPr>
                <w:rFonts w:asciiTheme="majorBidi" w:hAnsiTheme="majorBidi"/>
                <w:b/>
                <w:spacing w:val="-4"/>
                <w:sz w:val="20"/>
              </w:rPr>
              <w:t>ctividades relativas a los HCFC</w:t>
            </w:r>
          </w:p>
        </w:tc>
        <w:tc>
          <w:tcPr>
            <w:tcW w:w="1080" w:type="dxa"/>
            <w:tcBorders>
              <w:top w:val="nil"/>
              <w:left w:val="nil"/>
              <w:bottom w:val="single" w:sz="4" w:space="0" w:color="auto"/>
              <w:right w:val="single" w:sz="4" w:space="0" w:color="auto"/>
            </w:tcBorders>
            <w:noWrap/>
            <w:tcMar>
              <w:left w:w="58" w:type="dxa"/>
              <w:right w:w="58" w:type="dxa"/>
            </w:tcMar>
            <w:hideMark/>
          </w:tcPr>
          <w:p w14:paraId="3484457C"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13.893.657</w:t>
            </w:r>
          </w:p>
        </w:tc>
        <w:tc>
          <w:tcPr>
            <w:tcW w:w="1170" w:type="dxa"/>
            <w:tcBorders>
              <w:top w:val="nil"/>
              <w:left w:val="nil"/>
              <w:bottom w:val="single" w:sz="4" w:space="0" w:color="auto"/>
              <w:right w:val="single" w:sz="4" w:space="0" w:color="auto"/>
            </w:tcBorders>
            <w:noWrap/>
            <w:tcMar>
              <w:left w:w="58" w:type="dxa"/>
              <w:right w:w="58" w:type="dxa"/>
            </w:tcMar>
            <w:hideMark/>
          </w:tcPr>
          <w:p w14:paraId="516A685C"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23.540.000</w:t>
            </w:r>
          </w:p>
        </w:tc>
        <w:tc>
          <w:tcPr>
            <w:tcW w:w="1080" w:type="dxa"/>
            <w:tcBorders>
              <w:top w:val="nil"/>
              <w:left w:val="nil"/>
              <w:bottom w:val="single" w:sz="4" w:space="0" w:color="auto"/>
              <w:right w:val="single" w:sz="4" w:space="0" w:color="auto"/>
            </w:tcBorders>
            <w:noWrap/>
            <w:tcMar>
              <w:left w:w="58" w:type="dxa"/>
              <w:right w:w="58" w:type="dxa"/>
            </w:tcMar>
            <w:hideMark/>
          </w:tcPr>
          <w:p w14:paraId="7A3261BE"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10.700.000</w:t>
            </w:r>
          </w:p>
        </w:tc>
        <w:tc>
          <w:tcPr>
            <w:tcW w:w="1193" w:type="dxa"/>
            <w:tcBorders>
              <w:top w:val="nil"/>
              <w:left w:val="nil"/>
              <w:bottom w:val="single" w:sz="4" w:space="0" w:color="auto"/>
              <w:right w:val="single" w:sz="4" w:space="0" w:color="auto"/>
            </w:tcBorders>
            <w:noWrap/>
            <w:tcMar>
              <w:left w:w="58" w:type="dxa"/>
              <w:right w:w="58" w:type="dxa"/>
            </w:tcMar>
            <w:hideMark/>
          </w:tcPr>
          <w:p w14:paraId="79DCAB6F"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48.133.657</w:t>
            </w:r>
          </w:p>
        </w:tc>
        <w:tc>
          <w:tcPr>
            <w:tcW w:w="1267" w:type="dxa"/>
            <w:tcBorders>
              <w:top w:val="nil"/>
              <w:left w:val="nil"/>
              <w:bottom w:val="single" w:sz="4" w:space="0" w:color="auto"/>
              <w:right w:val="single" w:sz="4" w:space="0" w:color="auto"/>
            </w:tcBorders>
            <w:noWrap/>
            <w:tcMar>
              <w:left w:w="58" w:type="dxa"/>
              <w:right w:w="58" w:type="dxa"/>
            </w:tcMar>
            <w:hideMark/>
          </w:tcPr>
          <w:p w14:paraId="21A9B371"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35.719.869</w:t>
            </w:r>
          </w:p>
        </w:tc>
      </w:tr>
      <w:tr w:rsidR="00E45D7C" w:rsidRPr="00E45D7C" w14:paraId="762FFF01" w14:textId="77777777" w:rsidTr="004C3CF0">
        <w:trPr>
          <w:trHeight w:val="56"/>
        </w:trPr>
        <w:tc>
          <w:tcPr>
            <w:tcW w:w="9453" w:type="dxa"/>
            <w:gridSpan w:val="6"/>
            <w:tcBorders>
              <w:top w:val="single" w:sz="4" w:space="0" w:color="auto"/>
              <w:left w:val="single" w:sz="4" w:space="0" w:color="auto"/>
              <w:bottom w:val="single" w:sz="4" w:space="0" w:color="auto"/>
              <w:right w:val="single" w:sz="4" w:space="0" w:color="auto"/>
            </w:tcBorders>
            <w:noWrap/>
            <w:tcMar>
              <w:left w:w="58" w:type="dxa"/>
              <w:right w:w="29" w:type="dxa"/>
            </w:tcMar>
            <w:hideMark/>
          </w:tcPr>
          <w:p w14:paraId="2304474C" w14:textId="77777777" w:rsidR="00C932D6" w:rsidRPr="00E45D7C" w:rsidRDefault="00C932D6" w:rsidP="00A55518">
            <w:pPr>
              <w:keepNext/>
              <w:jc w:val="left"/>
              <w:rPr>
                <w:rFonts w:asciiTheme="majorBidi" w:hAnsiTheme="majorBidi" w:cstheme="majorBidi"/>
                <w:b/>
                <w:bCs/>
                <w:sz w:val="20"/>
                <w:szCs w:val="20"/>
              </w:rPr>
            </w:pPr>
            <w:r>
              <w:rPr>
                <w:rFonts w:asciiTheme="majorBidi" w:hAnsiTheme="majorBidi"/>
                <w:b/>
                <w:sz w:val="20"/>
              </w:rPr>
              <w:t>Actividades relativas a los HFC</w:t>
            </w:r>
            <w:r>
              <w:rPr>
                <w:rFonts w:asciiTheme="majorBidi" w:hAnsiTheme="majorBidi"/>
                <w:sz w:val="20"/>
              </w:rPr>
              <w:t> </w:t>
            </w:r>
          </w:p>
        </w:tc>
      </w:tr>
      <w:tr w:rsidR="00E45D7C" w:rsidRPr="00E45D7C" w14:paraId="11453F88" w14:textId="77777777" w:rsidTr="004C3CF0">
        <w:trPr>
          <w:trHeight w:val="245"/>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2A56C5BF" w14:textId="2880540C" w:rsidR="00C932D6" w:rsidRPr="00E45D7C" w:rsidRDefault="00EB5160" w:rsidP="00A55518">
            <w:pPr>
              <w:keepNext/>
              <w:jc w:val="left"/>
              <w:rPr>
                <w:rFonts w:asciiTheme="majorBidi" w:hAnsiTheme="majorBidi" w:cstheme="majorBidi"/>
                <w:sz w:val="20"/>
                <w:szCs w:val="20"/>
              </w:rPr>
            </w:pPr>
            <w:r>
              <w:rPr>
                <w:rFonts w:asciiTheme="majorBidi" w:hAnsiTheme="majorBidi"/>
                <w:sz w:val="20"/>
              </w:rPr>
              <w:t>PAK</w:t>
            </w:r>
            <w:r w:rsidR="00C932D6">
              <w:rPr>
                <w:rFonts w:asciiTheme="majorBidi" w:hAnsiTheme="majorBidi"/>
                <w:sz w:val="20"/>
              </w:rPr>
              <w:t xml:space="preserve"> aprobados</w:t>
            </w:r>
          </w:p>
        </w:tc>
        <w:tc>
          <w:tcPr>
            <w:tcW w:w="1080" w:type="dxa"/>
            <w:tcBorders>
              <w:top w:val="nil"/>
              <w:left w:val="nil"/>
              <w:bottom w:val="single" w:sz="4" w:space="0" w:color="auto"/>
              <w:right w:val="single" w:sz="4" w:space="0" w:color="auto"/>
            </w:tcBorders>
            <w:noWrap/>
            <w:tcMar>
              <w:left w:w="58" w:type="dxa"/>
              <w:right w:w="58" w:type="dxa"/>
            </w:tcMar>
            <w:hideMark/>
          </w:tcPr>
          <w:p w14:paraId="5DECF7F1"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5.092.640</w:t>
            </w:r>
          </w:p>
        </w:tc>
        <w:tc>
          <w:tcPr>
            <w:tcW w:w="1170" w:type="dxa"/>
            <w:tcBorders>
              <w:top w:val="nil"/>
              <w:left w:val="nil"/>
              <w:bottom w:val="single" w:sz="4" w:space="0" w:color="auto"/>
              <w:right w:val="single" w:sz="4" w:space="0" w:color="auto"/>
            </w:tcBorders>
            <w:noWrap/>
            <w:tcMar>
              <w:left w:w="58" w:type="dxa"/>
              <w:right w:w="58" w:type="dxa"/>
            </w:tcMar>
            <w:hideMark/>
          </w:tcPr>
          <w:p w14:paraId="66F0C44C"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2.500.221</w:t>
            </w:r>
          </w:p>
        </w:tc>
        <w:tc>
          <w:tcPr>
            <w:tcW w:w="1080" w:type="dxa"/>
            <w:tcBorders>
              <w:top w:val="nil"/>
              <w:left w:val="nil"/>
              <w:bottom w:val="single" w:sz="4" w:space="0" w:color="auto"/>
              <w:right w:val="single" w:sz="4" w:space="0" w:color="auto"/>
            </w:tcBorders>
            <w:noWrap/>
            <w:tcMar>
              <w:left w:w="58" w:type="dxa"/>
              <w:right w:w="58" w:type="dxa"/>
            </w:tcMar>
            <w:hideMark/>
          </w:tcPr>
          <w:p w14:paraId="3DA77917"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 </w:t>
            </w:r>
          </w:p>
        </w:tc>
        <w:tc>
          <w:tcPr>
            <w:tcW w:w="1193" w:type="dxa"/>
            <w:tcBorders>
              <w:top w:val="nil"/>
              <w:left w:val="nil"/>
              <w:bottom w:val="single" w:sz="4" w:space="0" w:color="auto"/>
              <w:right w:val="single" w:sz="4" w:space="0" w:color="auto"/>
            </w:tcBorders>
            <w:noWrap/>
            <w:tcMar>
              <w:left w:w="58" w:type="dxa"/>
              <w:right w:w="58" w:type="dxa"/>
            </w:tcMar>
            <w:hideMark/>
          </w:tcPr>
          <w:p w14:paraId="5CDD4D42"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7.592.861</w:t>
            </w:r>
          </w:p>
        </w:tc>
        <w:tc>
          <w:tcPr>
            <w:tcW w:w="1267" w:type="dxa"/>
            <w:tcBorders>
              <w:top w:val="nil"/>
              <w:left w:val="nil"/>
              <w:bottom w:val="single" w:sz="4" w:space="0" w:color="auto"/>
              <w:right w:val="single" w:sz="4" w:space="0" w:color="auto"/>
            </w:tcBorders>
            <w:noWrap/>
            <w:tcMar>
              <w:left w:w="58" w:type="dxa"/>
              <w:right w:w="58" w:type="dxa"/>
            </w:tcMar>
            <w:hideMark/>
          </w:tcPr>
          <w:p w14:paraId="30E9B804"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1.253.464</w:t>
            </w:r>
          </w:p>
        </w:tc>
      </w:tr>
      <w:tr w:rsidR="00E45D7C" w:rsidRPr="00E45D7C" w14:paraId="46BE72A2" w14:textId="77777777" w:rsidTr="004C3CF0">
        <w:trPr>
          <w:trHeight w:val="194"/>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28A30239" w14:textId="79A43026" w:rsidR="00C932D6" w:rsidRPr="00E45D7C" w:rsidRDefault="00EB5160" w:rsidP="00A55518">
            <w:pPr>
              <w:keepNext/>
              <w:jc w:val="left"/>
              <w:rPr>
                <w:rFonts w:asciiTheme="majorBidi" w:hAnsiTheme="majorBidi" w:cstheme="majorBidi"/>
                <w:sz w:val="20"/>
                <w:szCs w:val="20"/>
              </w:rPr>
            </w:pPr>
            <w:r>
              <w:rPr>
                <w:rFonts w:asciiTheme="majorBidi" w:hAnsiTheme="majorBidi"/>
                <w:sz w:val="20"/>
              </w:rPr>
              <w:t>PAK</w:t>
            </w:r>
            <w:r w:rsidR="00C932D6">
              <w:rPr>
                <w:rFonts w:asciiTheme="majorBidi" w:hAnsiTheme="majorBidi"/>
                <w:sz w:val="20"/>
              </w:rPr>
              <w:t>, etapa I</w:t>
            </w:r>
          </w:p>
        </w:tc>
        <w:tc>
          <w:tcPr>
            <w:tcW w:w="1080" w:type="dxa"/>
            <w:tcBorders>
              <w:top w:val="nil"/>
              <w:left w:val="nil"/>
              <w:bottom w:val="single" w:sz="4" w:space="0" w:color="auto"/>
              <w:right w:val="single" w:sz="4" w:space="0" w:color="auto"/>
            </w:tcBorders>
            <w:noWrap/>
            <w:tcMar>
              <w:left w:w="58" w:type="dxa"/>
              <w:right w:w="58" w:type="dxa"/>
            </w:tcMar>
            <w:hideMark/>
          </w:tcPr>
          <w:p w14:paraId="109918EE"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2.140.000</w:t>
            </w:r>
          </w:p>
        </w:tc>
        <w:tc>
          <w:tcPr>
            <w:tcW w:w="1170" w:type="dxa"/>
            <w:tcBorders>
              <w:top w:val="nil"/>
              <w:left w:val="nil"/>
              <w:bottom w:val="single" w:sz="4" w:space="0" w:color="auto"/>
              <w:right w:val="single" w:sz="4" w:space="0" w:color="auto"/>
            </w:tcBorders>
            <w:noWrap/>
            <w:tcMar>
              <w:left w:w="58" w:type="dxa"/>
              <w:right w:w="58" w:type="dxa"/>
            </w:tcMar>
            <w:hideMark/>
          </w:tcPr>
          <w:p w14:paraId="5C5E1C3B"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4.280.000</w:t>
            </w:r>
          </w:p>
        </w:tc>
        <w:tc>
          <w:tcPr>
            <w:tcW w:w="1080" w:type="dxa"/>
            <w:tcBorders>
              <w:top w:val="nil"/>
              <w:left w:val="nil"/>
              <w:bottom w:val="single" w:sz="4" w:space="0" w:color="auto"/>
              <w:right w:val="single" w:sz="4" w:space="0" w:color="auto"/>
            </w:tcBorders>
            <w:noWrap/>
            <w:tcMar>
              <w:left w:w="58" w:type="dxa"/>
              <w:right w:w="58" w:type="dxa"/>
            </w:tcMar>
            <w:hideMark/>
          </w:tcPr>
          <w:p w14:paraId="216DDF00"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7.490.000</w:t>
            </w:r>
          </w:p>
        </w:tc>
        <w:tc>
          <w:tcPr>
            <w:tcW w:w="1193" w:type="dxa"/>
            <w:tcBorders>
              <w:top w:val="nil"/>
              <w:left w:val="nil"/>
              <w:bottom w:val="single" w:sz="4" w:space="0" w:color="auto"/>
              <w:right w:val="single" w:sz="4" w:space="0" w:color="auto"/>
            </w:tcBorders>
            <w:noWrap/>
            <w:tcMar>
              <w:left w:w="58" w:type="dxa"/>
              <w:right w:w="58" w:type="dxa"/>
            </w:tcMar>
            <w:hideMark/>
          </w:tcPr>
          <w:p w14:paraId="0F10B521"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13.910.000</w:t>
            </w:r>
          </w:p>
        </w:tc>
        <w:tc>
          <w:tcPr>
            <w:tcW w:w="1267" w:type="dxa"/>
            <w:tcBorders>
              <w:top w:val="nil"/>
              <w:left w:val="nil"/>
              <w:bottom w:val="single" w:sz="4" w:space="0" w:color="auto"/>
              <w:right w:val="single" w:sz="4" w:space="0" w:color="auto"/>
            </w:tcBorders>
            <w:noWrap/>
            <w:tcMar>
              <w:left w:w="58" w:type="dxa"/>
              <w:right w:w="58" w:type="dxa"/>
            </w:tcMar>
            <w:hideMark/>
          </w:tcPr>
          <w:p w14:paraId="0F017A53" w14:textId="77777777" w:rsidR="00C932D6" w:rsidRPr="00E45D7C" w:rsidRDefault="00C932D6" w:rsidP="00A55518">
            <w:pPr>
              <w:keepNext/>
              <w:jc w:val="right"/>
              <w:rPr>
                <w:rFonts w:asciiTheme="majorBidi" w:hAnsiTheme="majorBidi" w:cstheme="majorBidi"/>
                <w:sz w:val="20"/>
                <w:szCs w:val="20"/>
              </w:rPr>
            </w:pPr>
            <w:r>
              <w:rPr>
                <w:rFonts w:asciiTheme="majorBidi" w:hAnsiTheme="majorBidi"/>
                <w:sz w:val="20"/>
              </w:rPr>
              <w:t>11.770.000</w:t>
            </w:r>
          </w:p>
        </w:tc>
      </w:tr>
      <w:tr w:rsidR="00E45D7C" w:rsidRPr="00E45D7C" w14:paraId="3B2FE794" w14:textId="77777777" w:rsidTr="004C3CF0">
        <w:trPr>
          <w:trHeight w:val="99"/>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13407856" w14:textId="3D8594FB" w:rsidR="00C932D6" w:rsidRPr="00D56D20" w:rsidRDefault="00C932D6" w:rsidP="00D56D20">
            <w:pPr>
              <w:keepNext/>
              <w:jc w:val="left"/>
              <w:rPr>
                <w:rFonts w:asciiTheme="majorBidi" w:hAnsiTheme="majorBidi" w:cstheme="majorBidi"/>
                <w:b/>
                <w:bCs/>
                <w:spacing w:val="-4"/>
                <w:sz w:val="20"/>
                <w:szCs w:val="20"/>
              </w:rPr>
            </w:pPr>
            <w:r w:rsidRPr="00D56D20">
              <w:rPr>
                <w:rFonts w:asciiTheme="majorBidi" w:hAnsiTheme="majorBidi"/>
                <w:b/>
                <w:spacing w:val="-4"/>
                <w:sz w:val="20"/>
              </w:rPr>
              <w:t xml:space="preserve">Subtotal </w:t>
            </w:r>
            <w:r w:rsidR="00A272A0">
              <w:rPr>
                <w:rFonts w:asciiTheme="majorBidi" w:hAnsiTheme="majorBidi"/>
                <w:b/>
                <w:spacing w:val="-4"/>
                <w:sz w:val="20"/>
              </w:rPr>
              <w:t xml:space="preserve">– </w:t>
            </w:r>
            <w:r w:rsidR="00D56D20" w:rsidRPr="00D56D20">
              <w:rPr>
                <w:rFonts w:asciiTheme="majorBidi" w:hAnsiTheme="majorBidi"/>
                <w:b/>
                <w:spacing w:val="-4"/>
                <w:sz w:val="20"/>
              </w:rPr>
              <w:t>A</w:t>
            </w:r>
            <w:r w:rsidRPr="00D56D20">
              <w:rPr>
                <w:rFonts w:asciiTheme="majorBidi" w:hAnsiTheme="majorBidi"/>
                <w:b/>
                <w:spacing w:val="-4"/>
                <w:sz w:val="20"/>
              </w:rPr>
              <w:t>ctividades relativas a los HFC</w:t>
            </w:r>
          </w:p>
        </w:tc>
        <w:tc>
          <w:tcPr>
            <w:tcW w:w="1080" w:type="dxa"/>
            <w:tcBorders>
              <w:top w:val="nil"/>
              <w:left w:val="nil"/>
              <w:bottom w:val="single" w:sz="4" w:space="0" w:color="auto"/>
              <w:right w:val="single" w:sz="4" w:space="0" w:color="auto"/>
            </w:tcBorders>
            <w:noWrap/>
            <w:tcMar>
              <w:left w:w="58" w:type="dxa"/>
              <w:right w:w="58" w:type="dxa"/>
            </w:tcMar>
            <w:hideMark/>
          </w:tcPr>
          <w:p w14:paraId="2B5539A9" w14:textId="77777777" w:rsidR="00C932D6" w:rsidRPr="00E45D7C" w:rsidRDefault="00C932D6" w:rsidP="00A55518">
            <w:pPr>
              <w:keepNext/>
              <w:jc w:val="right"/>
              <w:rPr>
                <w:rFonts w:asciiTheme="majorBidi" w:hAnsiTheme="majorBidi" w:cstheme="majorBidi"/>
                <w:b/>
                <w:bCs/>
                <w:sz w:val="20"/>
                <w:szCs w:val="20"/>
              </w:rPr>
            </w:pPr>
            <w:r>
              <w:rPr>
                <w:rFonts w:asciiTheme="majorBidi" w:hAnsiTheme="majorBidi"/>
                <w:b/>
                <w:sz w:val="20"/>
              </w:rPr>
              <w:t>7.232.640</w:t>
            </w:r>
          </w:p>
        </w:tc>
        <w:tc>
          <w:tcPr>
            <w:tcW w:w="1170" w:type="dxa"/>
            <w:tcBorders>
              <w:top w:val="nil"/>
              <w:left w:val="nil"/>
              <w:bottom w:val="single" w:sz="4" w:space="0" w:color="auto"/>
              <w:right w:val="single" w:sz="4" w:space="0" w:color="auto"/>
            </w:tcBorders>
            <w:noWrap/>
            <w:tcMar>
              <w:left w:w="58" w:type="dxa"/>
              <w:right w:w="58" w:type="dxa"/>
            </w:tcMar>
            <w:hideMark/>
          </w:tcPr>
          <w:p w14:paraId="7F91C7A1" w14:textId="77777777" w:rsidR="00C932D6" w:rsidRPr="00E45D7C" w:rsidRDefault="00C932D6" w:rsidP="00A55518">
            <w:pPr>
              <w:keepNext/>
              <w:jc w:val="right"/>
              <w:rPr>
                <w:rFonts w:asciiTheme="majorBidi" w:hAnsiTheme="majorBidi" w:cstheme="majorBidi"/>
                <w:b/>
                <w:bCs/>
                <w:sz w:val="20"/>
                <w:szCs w:val="20"/>
              </w:rPr>
            </w:pPr>
            <w:r>
              <w:rPr>
                <w:rFonts w:asciiTheme="majorBidi" w:hAnsiTheme="majorBidi"/>
                <w:b/>
                <w:sz w:val="20"/>
              </w:rPr>
              <w:t>6.780.221</w:t>
            </w:r>
          </w:p>
        </w:tc>
        <w:tc>
          <w:tcPr>
            <w:tcW w:w="1080" w:type="dxa"/>
            <w:tcBorders>
              <w:top w:val="nil"/>
              <w:left w:val="nil"/>
              <w:bottom w:val="single" w:sz="4" w:space="0" w:color="auto"/>
              <w:right w:val="single" w:sz="4" w:space="0" w:color="auto"/>
            </w:tcBorders>
            <w:noWrap/>
            <w:tcMar>
              <w:left w:w="58" w:type="dxa"/>
              <w:right w:w="58" w:type="dxa"/>
            </w:tcMar>
            <w:hideMark/>
          </w:tcPr>
          <w:p w14:paraId="16A47762" w14:textId="77777777" w:rsidR="00C932D6" w:rsidRPr="00E45D7C" w:rsidRDefault="00C932D6" w:rsidP="00A55518">
            <w:pPr>
              <w:keepNext/>
              <w:jc w:val="right"/>
              <w:rPr>
                <w:rFonts w:asciiTheme="majorBidi" w:hAnsiTheme="majorBidi" w:cstheme="majorBidi"/>
                <w:b/>
                <w:bCs/>
                <w:sz w:val="20"/>
                <w:szCs w:val="20"/>
              </w:rPr>
            </w:pPr>
            <w:r>
              <w:rPr>
                <w:rFonts w:asciiTheme="majorBidi" w:hAnsiTheme="majorBidi"/>
                <w:b/>
                <w:sz w:val="20"/>
              </w:rPr>
              <w:t>7.490.000</w:t>
            </w:r>
          </w:p>
        </w:tc>
        <w:tc>
          <w:tcPr>
            <w:tcW w:w="1193" w:type="dxa"/>
            <w:tcBorders>
              <w:top w:val="nil"/>
              <w:left w:val="nil"/>
              <w:bottom w:val="single" w:sz="4" w:space="0" w:color="auto"/>
              <w:right w:val="single" w:sz="4" w:space="0" w:color="auto"/>
            </w:tcBorders>
            <w:noWrap/>
            <w:tcMar>
              <w:left w:w="58" w:type="dxa"/>
              <w:right w:w="58" w:type="dxa"/>
            </w:tcMar>
            <w:hideMark/>
          </w:tcPr>
          <w:p w14:paraId="3E84A2E0" w14:textId="77777777" w:rsidR="00C932D6" w:rsidRPr="00E45D7C" w:rsidRDefault="00C932D6" w:rsidP="00A55518">
            <w:pPr>
              <w:keepNext/>
              <w:jc w:val="right"/>
              <w:rPr>
                <w:rFonts w:asciiTheme="majorBidi" w:hAnsiTheme="majorBidi" w:cstheme="majorBidi"/>
                <w:b/>
                <w:bCs/>
                <w:sz w:val="20"/>
                <w:szCs w:val="20"/>
              </w:rPr>
            </w:pPr>
            <w:r>
              <w:rPr>
                <w:rFonts w:asciiTheme="majorBidi" w:hAnsiTheme="majorBidi"/>
                <w:b/>
                <w:sz w:val="20"/>
              </w:rPr>
              <w:t>21.502.861</w:t>
            </w:r>
          </w:p>
        </w:tc>
        <w:tc>
          <w:tcPr>
            <w:tcW w:w="1267" w:type="dxa"/>
            <w:tcBorders>
              <w:top w:val="nil"/>
              <w:left w:val="nil"/>
              <w:bottom w:val="single" w:sz="4" w:space="0" w:color="auto"/>
              <w:right w:val="single" w:sz="4" w:space="0" w:color="auto"/>
            </w:tcBorders>
            <w:noWrap/>
            <w:tcMar>
              <w:left w:w="58" w:type="dxa"/>
              <w:right w:w="58" w:type="dxa"/>
            </w:tcMar>
            <w:hideMark/>
          </w:tcPr>
          <w:p w14:paraId="01692EAA" w14:textId="77777777" w:rsidR="00C932D6" w:rsidRPr="00E45D7C" w:rsidRDefault="00C932D6" w:rsidP="00A55518">
            <w:pPr>
              <w:keepNext/>
              <w:jc w:val="right"/>
              <w:rPr>
                <w:rFonts w:asciiTheme="majorBidi" w:hAnsiTheme="majorBidi" w:cstheme="majorBidi"/>
                <w:b/>
                <w:bCs/>
                <w:sz w:val="20"/>
                <w:szCs w:val="20"/>
              </w:rPr>
            </w:pPr>
            <w:r>
              <w:rPr>
                <w:rFonts w:asciiTheme="majorBidi" w:hAnsiTheme="majorBidi"/>
                <w:b/>
                <w:sz w:val="20"/>
              </w:rPr>
              <w:t>13.023.464</w:t>
            </w:r>
          </w:p>
        </w:tc>
      </w:tr>
      <w:tr w:rsidR="00E45D7C" w:rsidRPr="00E45D7C" w14:paraId="5AE94C1B" w14:textId="77777777" w:rsidTr="004C3CF0">
        <w:trPr>
          <w:trHeight w:val="144"/>
        </w:trPr>
        <w:tc>
          <w:tcPr>
            <w:tcW w:w="9453" w:type="dxa"/>
            <w:gridSpan w:val="6"/>
            <w:tcBorders>
              <w:top w:val="single" w:sz="4" w:space="0" w:color="auto"/>
              <w:left w:val="single" w:sz="4" w:space="0" w:color="auto"/>
              <w:bottom w:val="single" w:sz="4" w:space="0" w:color="auto"/>
              <w:right w:val="single" w:sz="4" w:space="0" w:color="auto"/>
            </w:tcBorders>
            <w:noWrap/>
            <w:tcMar>
              <w:left w:w="58" w:type="dxa"/>
              <w:right w:w="29" w:type="dxa"/>
            </w:tcMar>
            <w:hideMark/>
          </w:tcPr>
          <w:p w14:paraId="37D3FEF8" w14:textId="77777777" w:rsidR="00C932D6" w:rsidRPr="00E45D7C" w:rsidRDefault="00C932D6" w:rsidP="00C932D6">
            <w:pPr>
              <w:jc w:val="left"/>
              <w:rPr>
                <w:rFonts w:asciiTheme="majorBidi" w:hAnsiTheme="majorBidi" w:cstheme="majorBidi"/>
                <w:b/>
                <w:bCs/>
                <w:sz w:val="20"/>
                <w:szCs w:val="20"/>
              </w:rPr>
            </w:pPr>
            <w:r>
              <w:rPr>
                <w:rFonts w:asciiTheme="majorBidi" w:hAnsiTheme="majorBidi"/>
                <w:b/>
                <w:sz w:val="20"/>
              </w:rPr>
              <w:t>Otras actividades</w:t>
            </w:r>
          </w:p>
        </w:tc>
      </w:tr>
      <w:tr w:rsidR="00E45D7C" w:rsidRPr="00E45D7C" w14:paraId="0C2A95EF" w14:textId="77777777" w:rsidTr="004C3CF0">
        <w:trPr>
          <w:trHeight w:val="49"/>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431983BF" w14:textId="5D33AA5D" w:rsidR="00C932D6" w:rsidRPr="00E45D7C" w:rsidRDefault="00C932D6" w:rsidP="00C932D6">
            <w:pPr>
              <w:jc w:val="left"/>
              <w:rPr>
                <w:rFonts w:asciiTheme="majorBidi" w:hAnsiTheme="majorBidi" w:cstheme="majorBidi"/>
                <w:sz w:val="20"/>
                <w:szCs w:val="20"/>
              </w:rPr>
            </w:pPr>
            <w:r>
              <w:rPr>
                <w:rFonts w:asciiTheme="majorBidi" w:hAnsiTheme="majorBidi"/>
                <w:sz w:val="20"/>
              </w:rPr>
              <w:t xml:space="preserve">Eficiencia energética (decisión 94/60) </w:t>
            </w:r>
          </w:p>
        </w:tc>
        <w:tc>
          <w:tcPr>
            <w:tcW w:w="1080" w:type="dxa"/>
            <w:tcBorders>
              <w:top w:val="nil"/>
              <w:left w:val="nil"/>
              <w:bottom w:val="single" w:sz="4" w:space="0" w:color="auto"/>
              <w:right w:val="single" w:sz="4" w:space="0" w:color="auto"/>
            </w:tcBorders>
            <w:noWrap/>
            <w:tcMar>
              <w:left w:w="58" w:type="dxa"/>
              <w:right w:w="58" w:type="dxa"/>
            </w:tcMar>
            <w:hideMark/>
          </w:tcPr>
          <w:p w14:paraId="44E00B5B"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5.350.000</w:t>
            </w:r>
          </w:p>
        </w:tc>
        <w:tc>
          <w:tcPr>
            <w:tcW w:w="1170" w:type="dxa"/>
            <w:tcBorders>
              <w:top w:val="nil"/>
              <w:left w:val="nil"/>
              <w:bottom w:val="single" w:sz="4" w:space="0" w:color="auto"/>
              <w:right w:val="single" w:sz="4" w:space="0" w:color="auto"/>
            </w:tcBorders>
            <w:noWrap/>
            <w:tcMar>
              <w:left w:w="58" w:type="dxa"/>
              <w:right w:w="58" w:type="dxa"/>
            </w:tcMar>
            <w:hideMark/>
          </w:tcPr>
          <w:p w14:paraId="62207B26"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080" w:type="dxa"/>
            <w:tcBorders>
              <w:top w:val="nil"/>
              <w:left w:val="nil"/>
              <w:bottom w:val="single" w:sz="4" w:space="0" w:color="auto"/>
              <w:right w:val="single" w:sz="4" w:space="0" w:color="auto"/>
            </w:tcBorders>
            <w:noWrap/>
            <w:tcMar>
              <w:left w:w="58" w:type="dxa"/>
              <w:right w:w="58" w:type="dxa"/>
            </w:tcMar>
            <w:hideMark/>
          </w:tcPr>
          <w:p w14:paraId="13213986"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193" w:type="dxa"/>
            <w:tcBorders>
              <w:top w:val="nil"/>
              <w:left w:val="nil"/>
              <w:bottom w:val="single" w:sz="4" w:space="0" w:color="auto"/>
              <w:right w:val="single" w:sz="4" w:space="0" w:color="auto"/>
            </w:tcBorders>
            <w:noWrap/>
            <w:tcMar>
              <w:left w:w="58" w:type="dxa"/>
              <w:right w:w="58" w:type="dxa"/>
            </w:tcMar>
            <w:hideMark/>
          </w:tcPr>
          <w:p w14:paraId="7CA87F8D"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5.350.000</w:t>
            </w:r>
          </w:p>
        </w:tc>
        <w:tc>
          <w:tcPr>
            <w:tcW w:w="1267" w:type="dxa"/>
            <w:tcBorders>
              <w:top w:val="nil"/>
              <w:left w:val="nil"/>
              <w:bottom w:val="single" w:sz="4" w:space="0" w:color="auto"/>
              <w:right w:val="single" w:sz="4" w:space="0" w:color="auto"/>
            </w:tcBorders>
            <w:noWrap/>
            <w:tcMar>
              <w:left w:w="58" w:type="dxa"/>
              <w:right w:w="58" w:type="dxa"/>
            </w:tcMar>
            <w:hideMark/>
          </w:tcPr>
          <w:p w14:paraId="67323510"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r>
      <w:tr w:rsidR="00E45D7C" w:rsidRPr="00E45D7C" w14:paraId="4F041A44" w14:textId="77777777" w:rsidTr="004C3CF0">
        <w:trPr>
          <w:trHeight w:val="81"/>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58C6B39C" w14:textId="2ACEC784" w:rsidR="00C932D6" w:rsidRPr="00E45D7C" w:rsidRDefault="00C932D6" w:rsidP="00B34C03">
            <w:pPr>
              <w:jc w:val="left"/>
              <w:rPr>
                <w:rFonts w:asciiTheme="majorBidi" w:hAnsiTheme="majorBidi" w:cstheme="majorBidi"/>
                <w:sz w:val="20"/>
                <w:szCs w:val="20"/>
              </w:rPr>
            </w:pPr>
            <w:r>
              <w:rPr>
                <w:rFonts w:asciiTheme="majorBidi" w:hAnsiTheme="majorBidi"/>
                <w:sz w:val="20"/>
              </w:rPr>
              <w:t xml:space="preserve">Fondo rotatorio </w:t>
            </w:r>
            <w:r w:rsidR="00B34C03">
              <w:rPr>
                <w:rFonts w:asciiTheme="majorBidi" w:hAnsiTheme="majorBidi"/>
                <w:sz w:val="20"/>
              </w:rPr>
              <w:t xml:space="preserve">de </w:t>
            </w:r>
            <w:r>
              <w:rPr>
                <w:rFonts w:asciiTheme="majorBidi" w:hAnsiTheme="majorBidi"/>
                <w:sz w:val="20"/>
              </w:rPr>
              <w:t>eficiencia energética (decisión 95/87)</w:t>
            </w:r>
          </w:p>
        </w:tc>
        <w:tc>
          <w:tcPr>
            <w:tcW w:w="1080" w:type="dxa"/>
            <w:tcBorders>
              <w:top w:val="nil"/>
              <w:left w:val="nil"/>
              <w:bottom w:val="single" w:sz="4" w:space="0" w:color="auto"/>
              <w:right w:val="single" w:sz="4" w:space="0" w:color="auto"/>
            </w:tcBorders>
            <w:noWrap/>
            <w:tcMar>
              <w:left w:w="58" w:type="dxa"/>
              <w:right w:w="58" w:type="dxa"/>
            </w:tcMar>
            <w:hideMark/>
          </w:tcPr>
          <w:p w14:paraId="59E553F1"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64.200.000</w:t>
            </w:r>
          </w:p>
        </w:tc>
        <w:tc>
          <w:tcPr>
            <w:tcW w:w="1170" w:type="dxa"/>
            <w:tcBorders>
              <w:top w:val="nil"/>
              <w:left w:val="nil"/>
              <w:bottom w:val="single" w:sz="4" w:space="0" w:color="auto"/>
              <w:right w:val="single" w:sz="4" w:space="0" w:color="auto"/>
            </w:tcBorders>
            <w:noWrap/>
            <w:tcMar>
              <w:left w:w="58" w:type="dxa"/>
              <w:right w:w="58" w:type="dxa"/>
            </w:tcMar>
            <w:hideMark/>
          </w:tcPr>
          <w:p w14:paraId="4DD23072"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c>
          <w:tcPr>
            <w:tcW w:w="1080" w:type="dxa"/>
            <w:tcBorders>
              <w:top w:val="nil"/>
              <w:left w:val="nil"/>
              <w:bottom w:val="single" w:sz="4" w:space="0" w:color="auto"/>
              <w:right w:val="single" w:sz="4" w:space="0" w:color="auto"/>
            </w:tcBorders>
            <w:noWrap/>
            <w:tcMar>
              <w:left w:w="58" w:type="dxa"/>
              <w:right w:w="58" w:type="dxa"/>
            </w:tcMar>
            <w:hideMark/>
          </w:tcPr>
          <w:p w14:paraId="139974D6"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 </w:t>
            </w:r>
          </w:p>
        </w:tc>
        <w:tc>
          <w:tcPr>
            <w:tcW w:w="1193" w:type="dxa"/>
            <w:tcBorders>
              <w:top w:val="nil"/>
              <w:left w:val="nil"/>
              <w:bottom w:val="single" w:sz="4" w:space="0" w:color="auto"/>
              <w:right w:val="single" w:sz="4" w:space="0" w:color="auto"/>
            </w:tcBorders>
            <w:noWrap/>
            <w:tcMar>
              <w:left w:w="58" w:type="dxa"/>
              <w:right w:w="58" w:type="dxa"/>
            </w:tcMar>
            <w:hideMark/>
          </w:tcPr>
          <w:p w14:paraId="0123ED0B"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64.200.000</w:t>
            </w:r>
          </w:p>
        </w:tc>
        <w:tc>
          <w:tcPr>
            <w:tcW w:w="1267" w:type="dxa"/>
            <w:tcBorders>
              <w:top w:val="nil"/>
              <w:left w:val="nil"/>
              <w:bottom w:val="single" w:sz="4" w:space="0" w:color="auto"/>
              <w:right w:val="single" w:sz="4" w:space="0" w:color="auto"/>
            </w:tcBorders>
            <w:noWrap/>
            <w:tcMar>
              <w:left w:w="58" w:type="dxa"/>
              <w:right w:w="58" w:type="dxa"/>
            </w:tcMar>
            <w:hideMark/>
          </w:tcPr>
          <w:p w14:paraId="5A49746B"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r>
      <w:tr w:rsidR="00E45D7C" w:rsidRPr="00E45D7C" w14:paraId="3159E045" w14:textId="77777777" w:rsidTr="004C3CF0">
        <w:trPr>
          <w:trHeight w:val="44"/>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6B708F7F" w14:textId="5C8FA9FB" w:rsidR="00C932D6" w:rsidRPr="00E45D7C" w:rsidRDefault="00C932D6" w:rsidP="00D56D20">
            <w:pPr>
              <w:jc w:val="left"/>
              <w:rPr>
                <w:rFonts w:asciiTheme="majorBidi" w:hAnsiTheme="majorBidi" w:cstheme="majorBidi"/>
                <w:b/>
                <w:bCs/>
                <w:sz w:val="20"/>
                <w:szCs w:val="20"/>
              </w:rPr>
            </w:pPr>
            <w:r>
              <w:rPr>
                <w:rFonts w:asciiTheme="majorBidi" w:hAnsiTheme="majorBidi"/>
                <w:b/>
                <w:sz w:val="20"/>
              </w:rPr>
              <w:t xml:space="preserve">Subtotal </w:t>
            </w:r>
            <w:r w:rsidR="00A272A0">
              <w:rPr>
                <w:rFonts w:asciiTheme="majorBidi" w:hAnsiTheme="majorBidi"/>
                <w:b/>
                <w:sz w:val="20"/>
              </w:rPr>
              <w:t xml:space="preserve">– </w:t>
            </w:r>
            <w:r w:rsidR="00D56D20">
              <w:rPr>
                <w:rFonts w:asciiTheme="majorBidi" w:hAnsiTheme="majorBidi"/>
                <w:b/>
                <w:sz w:val="20"/>
              </w:rPr>
              <w:t>O</w:t>
            </w:r>
            <w:r>
              <w:rPr>
                <w:rFonts w:asciiTheme="majorBidi" w:hAnsiTheme="majorBidi"/>
                <w:b/>
                <w:sz w:val="20"/>
              </w:rPr>
              <w:t>tras actividades</w:t>
            </w:r>
          </w:p>
        </w:tc>
        <w:tc>
          <w:tcPr>
            <w:tcW w:w="1080" w:type="dxa"/>
            <w:tcBorders>
              <w:top w:val="nil"/>
              <w:left w:val="nil"/>
              <w:bottom w:val="single" w:sz="4" w:space="0" w:color="auto"/>
              <w:right w:val="single" w:sz="4" w:space="0" w:color="auto"/>
            </w:tcBorders>
            <w:noWrap/>
            <w:tcMar>
              <w:left w:w="58" w:type="dxa"/>
              <w:right w:w="58" w:type="dxa"/>
            </w:tcMar>
            <w:hideMark/>
          </w:tcPr>
          <w:p w14:paraId="583DF173"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69.550.000</w:t>
            </w:r>
          </w:p>
        </w:tc>
        <w:tc>
          <w:tcPr>
            <w:tcW w:w="1170" w:type="dxa"/>
            <w:tcBorders>
              <w:top w:val="nil"/>
              <w:left w:val="nil"/>
              <w:bottom w:val="single" w:sz="4" w:space="0" w:color="auto"/>
              <w:right w:val="single" w:sz="4" w:space="0" w:color="auto"/>
            </w:tcBorders>
            <w:noWrap/>
            <w:tcMar>
              <w:left w:w="58" w:type="dxa"/>
              <w:right w:w="58" w:type="dxa"/>
            </w:tcMar>
            <w:hideMark/>
          </w:tcPr>
          <w:p w14:paraId="5B649B6C"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0</w:t>
            </w:r>
          </w:p>
        </w:tc>
        <w:tc>
          <w:tcPr>
            <w:tcW w:w="1080" w:type="dxa"/>
            <w:tcBorders>
              <w:top w:val="nil"/>
              <w:left w:val="nil"/>
              <w:bottom w:val="single" w:sz="4" w:space="0" w:color="auto"/>
              <w:right w:val="single" w:sz="4" w:space="0" w:color="auto"/>
            </w:tcBorders>
            <w:noWrap/>
            <w:tcMar>
              <w:left w:w="58" w:type="dxa"/>
              <w:right w:w="58" w:type="dxa"/>
            </w:tcMar>
            <w:hideMark/>
          </w:tcPr>
          <w:p w14:paraId="3DAB657C"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0</w:t>
            </w:r>
          </w:p>
        </w:tc>
        <w:tc>
          <w:tcPr>
            <w:tcW w:w="1193" w:type="dxa"/>
            <w:tcBorders>
              <w:top w:val="nil"/>
              <w:left w:val="nil"/>
              <w:bottom w:val="single" w:sz="4" w:space="0" w:color="auto"/>
              <w:right w:val="single" w:sz="4" w:space="0" w:color="auto"/>
            </w:tcBorders>
            <w:noWrap/>
            <w:tcMar>
              <w:left w:w="58" w:type="dxa"/>
              <w:right w:w="58" w:type="dxa"/>
            </w:tcMar>
            <w:hideMark/>
          </w:tcPr>
          <w:p w14:paraId="73612B6C"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69.550.000</w:t>
            </w:r>
          </w:p>
        </w:tc>
        <w:tc>
          <w:tcPr>
            <w:tcW w:w="1267" w:type="dxa"/>
            <w:tcBorders>
              <w:top w:val="nil"/>
              <w:left w:val="nil"/>
              <w:bottom w:val="single" w:sz="4" w:space="0" w:color="auto"/>
              <w:right w:val="single" w:sz="4" w:space="0" w:color="auto"/>
            </w:tcBorders>
            <w:noWrap/>
            <w:tcMar>
              <w:left w:w="58" w:type="dxa"/>
              <w:right w:w="58" w:type="dxa"/>
            </w:tcMar>
            <w:hideMark/>
          </w:tcPr>
          <w:p w14:paraId="71CBC538"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0</w:t>
            </w:r>
          </w:p>
        </w:tc>
      </w:tr>
      <w:tr w:rsidR="00E45D7C" w:rsidRPr="00E45D7C" w14:paraId="19181AB9" w14:textId="77777777" w:rsidTr="004C3CF0">
        <w:trPr>
          <w:trHeight w:val="249"/>
        </w:trPr>
        <w:tc>
          <w:tcPr>
            <w:tcW w:w="9453" w:type="dxa"/>
            <w:gridSpan w:val="6"/>
            <w:tcBorders>
              <w:top w:val="single" w:sz="4" w:space="0" w:color="auto"/>
              <w:left w:val="single" w:sz="4" w:space="0" w:color="auto"/>
              <w:bottom w:val="single" w:sz="4" w:space="0" w:color="auto"/>
              <w:right w:val="single" w:sz="4" w:space="0" w:color="auto"/>
            </w:tcBorders>
            <w:noWrap/>
            <w:tcMar>
              <w:left w:w="58" w:type="dxa"/>
              <w:right w:w="29" w:type="dxa"/>
            </w:tcMar>
            <w:hideMark/>
          </w:tcPr>
          <w:p w14:paraId="5FFD7255" w14:textId="77777777" w:rsidR="00C932D6" w:rsidRPr="00E45D7C" w:rsidRDefault="00C932D6" w:rsidP="00C932D6">
            <w:pPr>
              <w:jc w:val="left"/>
              <w:rPr>
                <w:rFonts w:asciiTheme="majorBidi" w:hAnsiTheme="majorBidi" w:cstheme="majorBidi"/>
                <w:b/>
                <w:bCs/>
                <w:sz w:val="20"/>
                <w:szCs w:val="20"/>
              </w:rPr>
            </w:pPr>
            <w:r>
              <w:rPr>
                <w:rFonts w:asciiTheme="majorBidi" w:hAnsiTheme="majorBidi"/>
                <w:b/>
                <w:sz w:val="20"/>
              </w:rPr>
              <w:t>Actividades ordinarias</w:t>
            </w:r>
          </w:p>
        </w:tc>
      </w:tr>
      <w:tr w:rsidR="00E45D7C" w:rsidRPr="00E45D7C" w14:paraId="043F4B84" w14:textId="77777777" w:rsidTr="004C3CF0">
        <w:trPr>
          <w:trHeight w:val="47"/>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5D586F6E" w14:textId="77777777" w:rsidR="00ED06CD" w:rsidRPr="00E45D7C" w:rsidRDefault="00ED06CD" w:rsidP="001563C0">
            <w:pPr>
              <w:jc w:val="left"/>
              <w:rPr>
                <w:rFonts w:asciiTheme="majorBidi" w:hAnsiTheme="majorBidi" w:cstheme="majorBidi"/>
                <w:sz w:val="20"/>
                <w:szCs w:val="20"/>
              </w:rPr>
            </w:pPr>
            <w:r>
              <w:rPr>
                <w:rFonts w:asciiTheme="majorBidi" w:hAnsiTheme="majorBidi"/>
                <w:sz w:val="20"/>
              </w:rPr>
              <w:t>Fortalecimiento institucional</w:t>
            </w:r>
          </w:p>
        </w:tc>
        <w:tc>
          <w:tcPr>
            <w:tcW w:w="1080" w:type="dxa"/>
            <w:tcBorders>
              <w:top w:val="nil"/>
              <w:left w:val="nil"/>
              <w:bottom w:val="single" w:sz="4" w:space="0" w:color="auto"/>
              <w:right w:val="single" w:sz="4" w:space="0" w:color="auto"/>
            </w:tcBorders>
            <w:noWrap/>
            <w:tcMar>
              <w:left w:w="58" w:type="dxa"/>
              <w:right w:w="58" w:type="dxa"/>
            </w:tcMar>
            <w:hideMark/>
          </w:tcPr>
          <w:p w14:paraId="24B7C9EC" w14:textId="77777777" w:rsidR="00ED06CD" w:rsidRPr="00E45D7C" w:rsidRDefault="00ED06CD" w:rsidP="001563C0">
            <w:pPr>
              <w:jc w:val="right"/>
              <w:rPr>
                <w:rFonts w:asciiTheme="majorBidi" w:hAnsiTheme="majorBidi" w:cstheme="majorBidi"/>
                <w:sz w:val="20"/>
                <w:szCs w:val="20"/>
              </w:rPr>
            </w:pPr>
            <w:r>
              <w:rPr>
                <w:rFonts w:asciiTheme="majorBidi" w:hAnsiTheme="majorBidi"/>
                <w:sz w:val="20"/>
              </w:rPr>
              <w:t>0</w:t>
            </w:r>
          </w:p>
        </w:tc>
        <w:tc>
          <w:tcPr>
            <w:tcW w:w="1170" w:type="dxa"/>
            <w:tcBorders>
              <w:top w:val="nil"/>
              <w:left w:val="nil"/>
              <w:bottom w:val="single" w:sz="4" w:space="0" w:color="auto"/>
              <w:right w:val="single" w:sz="4" w:space="0" w:color="auto"/>
            </w:tcBorders>
            <w:noWrap/>
            <w:tcMar>
              <w:left w:w="58" w:type="dxa"/>
              <w:right w:w="58" w:type="dxa"/>
            </w:tcMar>
            <w:hideMark/>
          </w:tcPr>
          <w:p w14:paraId="39CA18FC" w14:textId="77777777" w:rsidR="00ED06CD" w:rsidRPr="00E45D7C" w:rsidRDefault="00ED06CD" w:rsidP="001563C0">
            <w:pPr>
              <w:jc w:val="right"/>
              <w:rPr>
                <w:rFonts w:asciiTheme="majorBidi" w:hAnsiTheme="majorBidi" w:cstheme="majorBidi"/>
                <w:sz w:val="20"/>
                <w:szCs w:val="20"/>
              </w:rPr>
            </w:pPr>
            <w:r>
              <w:rPr>
                <w:rFonts w:asciiTheme="majorBidi" w:hAnsiTheme="majorBidi"/>
                <w:sz w:val="20"/>
              </w:rPr>
              <w:t>0</w:t>
            </w:r>
          </w:p>
        </w:tc>
        <w:tc>
          <w:tcPr>
            <w:tcW w:w="1080" w:type="dxa"/>
            <w:tcBorders>
              <w:top w:val="nil"/>
              <w:left w:val="nil"/>
              <w:bottom w:val="single" w:sz="4" w:space="0" w:color="auto"/>
              <w:right w:val="single" w:sz="4" w:space="0" w:color="auto"/>
            </w:tcBorders>
            <w:noWrap/>
            <w:tcMar>
              <w:left w:w="58" w:type="dxa"/>
              <w:right w:w="58" w:type="dxa"/>
            </w:tcMar>
            <w:hideMark/>
          </w:tcPr>
          <w:p w14:paraId="192D4282" w14:textId="77777777" w:rsidR="00ED06CD" w:rsidRPr="00E45D7C" w:rsidRDefault="00ED06CD" w:rsidP="001563C0">
            <w:pPr>
              <w:jc w:val="right"/>
              <w:rPr>
                <w:rFonts w:asciiTheme="majorBidi" w:hAnsiTheme="majorBidi" w:cstheme="majorBidi"/>
                <w:sz w:val="20"/>
                <w:szCs w:val="20"/>
              </w:rPr>
            </w:pPr>
            <w:r>
              <w:rPr>
                <w:rFonts w:asciiTheme="majorBidi" w:hAnsiTheme="majorBidi"/>
                <w:sz w:val="20"/>
              </w:rPr>
              <w:t>982.829</w:t>
            </w:r>
          </w:p>
        </w:tc>
        <w:tc>
          <w:tcPr>
            <w:tcW w:w="1193" w:type="dxa"/>
            <w:tcBorders>
              <w:top w:val="nil"/>
              <w:left w:val="nil"/>
              <w:bottom w:val="single" w:sz="4" w:space="0" w:color="auto"/>
              <w:right w:val="single" w:sz="4" w:space="0" w:color="auto"/>
            </w:tcBorders>
            <w:noWrap/>
            <w:tcMar>
              <w:left w:w="58" w:type="dxa"/>
              <w:right w:w="58" w:type="dxa"/>
            </w:tcMar>
            <w:hideMark/>
          </w:tcPr>
          <w:p w14:paraId="785D2939" w14:textId="77777777" w:rsidR="00ED06CD" w:rsidRPr="00E45D7C" w:rsidRDefault="00ED06CD" w:rsidP="001563C0">
            <w:pPr>
              <w:jc w:val="right"/>
              <w:rPr>
                <w:rFonts w:asciiTheme="majorBidi" w:hAnsiTheme="majorBidi" w:cstheme="majorBidi"/>
                <w:sz w:val="20"/>
                <w:szCs w:val="20"/>
              </w:rPr>
            </w:pPr>
            <w:r>
              <w:rPr>
                <w:rFonts w:asciiTheme="majorBidi" w:hAnsiTheme="majorBidi"/>
                <w:sz w:val="20"/>
              </w:rPr>
              <w:t>982.829</w:t>
            </w:r>
          </w:p>
        </w:tc>
        <w:tc>
          <w:tcPr>
            <w:tcW w:w="1267" w:type="dxa"/>
            <w:tcBorders>
              <w:top w:val="nil"/>
              <w:left w:val="nil"/>
              <w:bottom w:val="single" w:sz="4" w:space="0" w:color="auto"/>
              <w:right w:val="single" w:sz="4" w:space="0" w:color="auto"/>
            </w:tcBorders>
            <w:noWrap/>
            <w:tcMar>
              <w:left w:w="58" w:type="dxa"/>
              <w:right w:w="58" w:type="dxa"/>
            </w:tcMar>
            <w:hideMark/>
          </w:tcPr>
          <w:p w14:paraId="29037229" w14:textId="77777777" w:rsidR="00ED06CD" w:rsidRPr="00E45D7C" w:rsidRDefault="00ED06CD" w:rsidP="001563C0">
            <w:pPr>
              <w:jc w:val="right"/>
              <w:rPr>
                <w:rFonts w:asciiTheme="majorBidi" w:hAnsiTheme="majorBidi" w:cstheme="majorBidi"/>
                <w:sz w:val="20"/>
                <w:szCs w:val="20"/>
              </w:rPr>
            </w:pPr>
            <w:r>
              <w:rPr>
                <w:rFonts w:asciiTheme="majorBidi" w:hAnsiTheme="majorBidi"/>
                <w:sz w:val="20"/>
              </w:rPr>
              <w:t>0</w:t>
            </w:r>
          </w:p>
        </w:tc>
      </w:tr>
      <w:tr w:rsidR="00E45D7C" w:rsidRPr="00E45D7C" w14:paraId="636348AF" w14:textId="77777777" w:rsidTr="004C3CF0">
        <w:trPr>
          <w:trHeight w:val="142"/>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4CC5D7A4" w14:textId="77777777" w:rsidR="00C932D6" w:rsidRPr="00E45D7C" w:rsidRDefault="00C932D6" w:rsidP="00C932D6">
            <w:pPr>
              <w:jc w:val="left"/>
              <w:rPr>
                <w:rFonts w:asciiTheme="majorBidi" w:hAnsiTheme="majorBidi" w:cstheme="majorBidi"/>
                <w:sz w:val="20"/>
                <w:szCs w:val="20"/>
              </w:rPr>
            </w:pPr>
            <w:r>
              <w:rPr>
                <w:rFonts w:asciiTheme="majorBidi" w:hAnsiTheme="majorBidi"/>
                <w:sz w:val="20"/>
              </w:rPr>
              <w:t>Unidad central</w:t>
            </w:r>
          </w:p>
        </w:tc>
        <w:tc>
          <w:tcPr>
            <w:tcW w:w="1080" w:type="dxa"/>
            <w:tcBorders>
              <w:top w:val="nil"/>
              <w:left w:val="nil"/>
              <w:bottom w:val="single" w:sz="4" w:space="0" w:color="auto"/>
              <w:right w:val="single" w:sz="4" w:space="0" w:color="auto"/>
            </w:tcBorders>
            <w:noWrap/>
            <w:tcMar>
              <w:left w:w="58" w:type="dxa"/>
              <w:right w:w="58" w:type="dxa"/>
            </w:tcMar>
            <w:hideMark/>
          </w:tcPr>
          <w:p w14:paraId="5CEE7D67"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1.747.145</w:t>
            </w:r>
          </w:p>
        </w:tc>
        <w:tc>
          <w:tcPr>
            <w:tcW w:w="1170" w:type="dxa"/>
            <w:tcBorders>
              <w:top w:val="nil"/>
              <w:left w:val="nil"/>
              <w:bottom w:val="single" w:sz="4" w:space="0" w:color="auto"/>
              <w:right w:val="single" w:sz="4" w:space="0" w:color="auto"/>
            </w:tcBorders>
            <w:noWrap/>
            <w:tcMar>
              <w:left w:w="58" w:type="dxa"/>
              <w:right w:w="58" w:type="dxa"/>
            </w:tcMar>
            <w:hideMark/>
          </w:tcPr>
          <w:p w14:paraId="444DB58E"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1.759.375</w:t>
            </w:r>
          </w:p>
        </w:tc>
        <w:tc>
          <w:tcPr>
            <w:tcW w:w="1080" w:type="dxa"/>
            <w:tcBorders>
              <w:top w:val="nil"/>
              <w:left w:val="nil"/>
              <w:bottom w:val="single" w:sz="4" w:space="0" w:color="auto"/>
              <w:right w:val="single" w:sz="4" w:space="0" w:color="auto"/>
            </w:tcBorders>
            <w:noWrap/>
            <w:tcMar>
              <w:left w:w="58" w:type="dxa"/>
              <w:right w:w="58" w:type="dxa"/>
            </w:tcMar>
            <w:hideMark/>
          </w:tcPr>
          <w:p w14:paraId="743AD9F5"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1.771.691</w:t>
            </w:r>
          </w:p>
        </w:tc>
        <w:tc>
          <w:tcPr>
            <w:tcW w:w="1193" w:type="dxa"/>
            <w:tcBorders>
              <w:top w:val="nil"/>
              <w:left w:val="nil"/>
              <w:bottom w:val="single" w:sz="4" w:space="0" w:color="auto"/>
              <w:right w:val="single" w:sz="4" w:space="0" w:color="auto"/>
            </w:tcBorders>
            <w:noWrap/>
            <w:tcMar>
              <w:left w:w="58" w:type="dxa"/>
              <w:right w:w="58" w:type="dxa"/>
            </w:tcMar>
            <w:hideMark/>
          </w:tcPr>
          <w:p w14:paraId="10C86FE3"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5.278.211</w:t>
            </w:r>
          </w:p>
        </w:tc>
        <w:tc>
          <w:tcPr>
            <w:tcW w:w="1267" w:type="dxa"/>
            <w:tcBorders>
              <w:top w:val="nil"/>
              <w:left w:val="nil"/>
              <w:bottom w:val="single" w:sz="4" w:space="0" w:color="auto"/>
              <w:right w:val="single" w:sz="4" w:space="0" w:color="auto"/>
            </w:tcBorders>
            <w:noWrap/>
            <w:tcMar>
              <w:left w:w="58" w:type="dxa"/>
              <w:right w:w="58" w:type="dxa"/>
            </w:tcMar>
            <w:hideMark/>
          </w:tcPr>
          <w:p w14:paraId="74790FE2" w14:textId="77777777" w:rsidR="00C932D6" w:rsidRPr="00E45D7C" w:rsidRDefault="00C932D6" w:rsidP="00C932D6">
            <w:pPr>
              <w:jc w:val="right"/>
              <w:rPr>
                <w:rFonts w:asciiTheme="majorBidi" w:hAnsiTheme="majorBidi" w:cstheme="majorBidi"/>
                <w:sz w:val="20"/>
                <w:szCs w:val="20"/>
              </w:rPr>
            </w:pPr>
            <w:r>
              <w:rPr>
                <w:rFonts w:asciiTheme="majorBidi" w:hAnsiTheme="majorBidi"/>
                <w:sz w:val="20"/>
              </w:rPr>
              <w:t>0</w:t>
            </w:r>
          </w:p>
        </w:tc>
      </w:tr>
      <w:tr w:rsidR="00E45D7C" w:rsidRPr="00E45D7C" w14:paraId="47C2FF06" w14:textId="77777777" w:rsidTr="004C3CF0">
        <w:trPr>
          <w:trHeight w:val="78"/>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114A018B" w14:textId="01BABF3A" w:rsidR="00C932D6" w:rsidRPr="00E45D7C" w:rsidRDefault="00C932D6" w:rsidP="00D56D20">
            <w:pPr>
              <w:jc w:val="left"/>
              <w:rPr>
                <w:rFonts w:asciiTheme="majorBidi" w:hAnsiTheme="majorBidi" w:cstheme="majorBidi"/>
                <w:b/>
                <w:bCs/>
                <w:sz w:val="20"/>
                <w:szCs w:val="20"/>
              </w:rPr>
            </w:pPr>
            <w:r>
              <w:rPr>
                <w:rFonts w:asciiTheme="majorBidi" w:hAnsiTheme="majorBidi"/>
                <w:b/>
                <w:sz w:val="20"/>
              </w:rPr>
              <w:t xml:space="preserve">Subtotal </w:t>
            </w:r>
            <w:r w:rsidR="00A272A0">
              <w:rPr>
                <w:rFonts w:asciiTheme="majorBidi" w:hAnsiTheme="majorBidi"/>
                <w:b/>
                <w:sz w:val="20"/>
              </w:rPr>
              <w:t xml:space="preserve">– </w:t>
            </w:r>
            <w:r w:rsidR="00D56D20">
              <w:rPr>
                <w:rFonts w:asciiTheme="majorBidi" w:hAnsiTheme="majorBidi"/>
                <w:b/>
                <w:sz w:val="20"/>
              </w:rPr>
              <w:t>A</w:t>
            </w:r>
            <w:r>
              <w:rPr>
                <w:rFonts w:asciiTheme="majorBidi" w:hAnsiTheme="majorBidi"/>
                <w:b/>
                <w:sz w:val="20"/>
              </w:rPr>
              <w:t>ctividades ordinarias</w:t>
            </w:r>
          </w:p>
        </w:tc>
        <w:tc>
          <w:tcPr>
            <w:tcW w:w="1080" w:type="dxa"/>
            <w:tcBorders>
              <w:top w:val="nil"/>
              <w:left w:val="nil"/>
              <w:bottom w:val="single" w:sz="4" w:space="0" w:color="auto"/>
              <w:right w:val="single" w:sz="4" w:space="0" w:color="auto"/>
            </w:tcBorders>
            <w:noWrap/>
            <w:tcMar>
              <w:left w:w="58" w:type="dxa"/>
              <w:right w:w="58" w:type="dxa"/>
            </w:tcMar>
            <w:hideMark/>
          </w:tcPr>
          <w:p w14:paraId="5F29FD66"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1.747.145</w:t>
            </w:r>
          </w:p>
        </w:tc>
        <w:tc>
          <w:tcPr>
            <w:tcW w:w="1170" w:type="dxa"/>
            <w:tcBorders>
              <w:top w:val="nil"/>
              <w:left w:val="nil"/>
              <w:bottom w:val="single" w:sz="4" w:space="0" w:color="auto"/>
              <w:right w:val="single" w:sz="4" w:space="0" w:color="auto"/>
            </w:tcBorders>
            <w:noWrap/>
            <w:tcMar>
              <w:left w:w="58" w:type="dxa"/>
              <w:right w:w="58" w:type="dxa"/>
            </w:tcMar>
            <w:hideMark/>
          </w:tcPr>
          <w:p w14:paraId="68EB0BF7"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1.759.375</w:t>
            </w:r>
          </w:p>
        </w:tc>
        <w:tc>
          <w:tcPr>
            <w:tcW w:w="1080" w:type="dxa"/>
            <w:tcBorders>
              <w:top w:val="nil"/>
              <w:left w:val="nil"/>
              <w:bottom w:val="single" w:sz="4" w:space="0" w:color="auto"/>
              <w:right w:val="single" w:sz="4" w:space="0" w:color="auto"/>
            </w:tcBorders>
            <w:noWrap/>
            <w:tcMar>
              <w:left w:w="58" w:type="dxa"/>
              <w:right w:w="58" w:type="dxa"/>
            </w:tcMar>
            <w:hideMark/>
          </w:tcPr>
          <w:p w14:paraId="1C3701BD"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2.754.520</w:t>
            </w:r>
          </w:p>
        </w:tc>
        <w:tc>
          <w:tcPr>
            <w:tcW w:w="1193" w:type="dxa"/>
            <w:tcBorders>
              <w:top w:val="nil"/>
              <w:left w:val="nil"/>
              <w:bottom w:val="single" w:sz="4" w:space="0" w:color="auto"/>
              <w:right w:val="single" w:sz="4" w:space="0" w:color="auto"/>
            </w:tcBorders>
            <w:noWrap/>
            <w:tcMar>
              <w:left w:w="58" w:type="dxa"/>
              <w:right w:w="58" w:type="dxa"/>
            </w:tcMar>
            <w:hideMark/>
          </w:tcPr>
          <w:p w14:paraId="054A5E92"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6.261.040</w:t>
            </w:r>
          </w:p>
        </w:tc>
        <w:tc>
          <w:tcPr>
            <w:tcW w:w="1267" w:type="dxa"/>
            <w:tcBorders>
              <w:top w:val="nil"/>
              <w:left w:val="nil"/>
              <w:bottom w:val="single" w:sz="4" w:space="0" w:color="auto"/>
              <w:right w:val="single" w:sz="4" w:space="0" w:color="auto"/>
            </w:tcBorders>
            <w:noWrap/>
            <w:tcMar>
              <w:left w:w="58" w:type="dxa"/>
              <w:right w:w="58" w:type="dxa"/>
            </w:tcMar>
            <w:hideMark/>
          </w:tcPr>
          <w:p w14:paraId="111AAF47"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0</w:t>
            </w:r>
          </w:p>
        </w:tc>
      </w:tr>
      <w:tr w:rsidR="00E45D7C" w:rsidRPr="00E45D7C" w14:paraId="4AAECBC4" w14:textId="77777777" w:rsidTr="004C3CF0">
        <w:trPr>
          <w:trHeight w:val="249"/>
        </w:trPr>
        <w:tc>
          <w:tcPr>
            <w:tcW w:w="3663" w:type="dxa"/>
            <w:tcBorders>
              <w:top w:val="nil"/>
              <w:left w:val="single" w:sz="4" w:space="0" w:color="auto"/>
              <w:bottom w:val="single" w:sz="4" w:space="0" w:color="auto"/>
              <w:right w:val="single" w:sz="4" w:space="0" w:color="auto"/>
            </w:tcBorders>
            <w:noWrap/>
            <w:tcMar>
              <w:left w:w="58" w:type="dxa"/>
              <w:right w:w="29" w:type="dxa"/>
            </w:tcMar>
            <w:hideMark/>
          </w:tcPr>
          <w:p w14:paraId="1EBE66EB" w14:textId="77777777" w:rsidR="00C932D6" w:rsidRPr="00E45D7C" w:rsidRDefault="00C932D6" w:rsidP="00C932D6">
            <w:pPr>
              <w:jc w:val="left"/>
              <w:rPr>
                <w:rFonts w:asciiTheme="majorBidi" w:hAnsiTheme="majorBidi" w:cstheme="majorBidi"/>
                <w:b/>
                <w:bCs/>
                <w:sz w:val="20"/>
                <w:szCs w:val="20"/>
              </w:rPr>
            </w:pPr>
            <w:r>
              <w:rPr>
                <w:rFonts w:asciiTheme="majorBidi" w:hAnsiTheme="majorBidi"/>
                <w:b/>
                <w:sz w:val="20"/>
              </w:rPr>
              <w:t>Total</w:t>
            </w:r>
          </w:p>
        </w:tc>
        <w:tc>
          <w:tcPr>
            <w:tcW w:w="1080" w:type="dxa"/>
            <w:tcBorders>
              <w:top w:val="nil"/>
              <w:left w:val="nil"/>
              <w:bottom w:val="single" w:sz="4" w:space="0" w:color="auto"/>
              <w:right w:val="single" w:sz="4" w:space="0" w:color="auto"/>
            </w:tcBorders>
            <w:noWrap/>
            <w:tcMar>
              <w:left w:w="58" w:type="dxa"/>
              <w:right w:w="58" w:type="dxa"/>
            </w:tcMar>
            <w:hideMark/>
          </w:tcPr>
          <w:p w14:paraId="097F01C4"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92.423.442</w:t>
            </w:r>
          </w:p>
        </w:tc>
        <w:tc>
          <w:tcPr>
            <w:tcW w:w="1170" w:type="dxa"/>
            <w:tcBorders>
              <w:top w:val="nil"/>
              <w:left w:val="nil"/>
              <w:bottom w:val="single" w:sz="4" w:space="0" w:color="auto"/>
              <w:right w:val="single" w:sz="4" w:space="0" w:color="auto"/>
            </w:tcBorders>
            <w:noWrap/>
            <w:tcMar>
              <w:left w:w="58" w:type="dxa"/>
              <w:right w:w="58" w:type="dxa"/>
            </w:tcMar>
            <w:hideMark/>
          </w:tcPr>
          <w:p w14:paraId="68737F1D"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32.079.596</w:t>
            </w:r>
          </w:p>
        </w:tc>
        <w:tc>
          <w:tcPr>
            <w:tcW w:w="1080" w:type="dxa"/>
            <w:tcBorders>
              <w:top w:val="nil"/>
              <w:left w:val="nil"/>
              <w:bottom w:val="single" w:sz="4" w:space="0" w:color="auto"/>
              <w:right w:val="single" w:sz="4" w:space="0" w:color="auto"/>
            </w:tcBorders>
            <w:noWrap/>
            <w:tcMar>
              <w:left w:w="58" w:type="dxa"/>
              <w:right w:w="58" w:type="dxa"/>
            </w:tcMar>
            <w:hideMark/>
          </w:tcPr>
          <w:p w14:paraId="31E05D3E"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20.944.520</w:t>
            </w:r>
          </w:p>
        </w:tc>
        <w:tc>
          <w:tcPr>
            <w:tcW w:w="1193" w:type="dxa"/>
            <w:tcBorders>
              <w:top w:val="nil"/>
              <w:left w:val="nil"/>
              <w:bottom w:val="single" w:sz="4" w:space="0" w:color="auto"/>
              <w:right w:val="single" w:sz="4" w:space="0" w:color="auto"/>
            </w:tcBorders>
            <w:noWrap/>
            <w:tcMar>
              <w:left w:w="58" w:type="dxa"/>
              <w:right w:w="58" w:type="dxa"/>
            </w:tcMar>
            <w:hideMark/>
          </w:tcPr>
          <w:p w14:paraId="0765E7F9"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145.447.558</w:t>
            </w:r>
          </w:p>
        </w:tc>
        <w:tc>
          <w:tcPr>
            <w:tcW w:w="1267" w:type="dxa"/>
            <w:tcBorders>
              <w:top w:val="nil"/>
              <w:left w:val="nil"/>
              <w:bottom w:val="single" w:sz="4" w:space="0" w:color="auto"/>
              <w:right w:val="single" w:sz="4" w:space="0" w:color="auto"/>
            </w:tcBorders>
            <w:noWrap/>
            <w:tcMar>
              <w:left w:w="58" w:type="dxa"/>
              <w:right w:w="58" w:type="dxa"/>
            </w:tcMar>
            <w:hideMark/>
          </w:tcPr>
          <w:p w14:paraId="6B80E3C4" w14:textId="77777777" w:rsidR="00C932D6" w:rsidRPr="00E45D7C" w:rsidRDefault="00C932D6" w:rsidP="00C932D6">
            <w:pPr>
              <w:jc w:val="right"/>
              <w:rPr>
                <w:rFonts w:asciiTheme="majorBidi" w:hAnsiTheme="majorBidi" w:cstheme="majorBidi"/>
                <w:b/>
                <w:bCs/>
                <w:sz w:val="20"/>
                <w:szCs w:val="20"/>
              </w:rPr>
            </w:pPr>
            <w:r>
              <w:rPr>
                <w:rFonts w:asciiTheme="majorBidi" w:hAnsiTheme="majorBidi"/>
                <w:b/>
                <w:sz w:val="20"/>
              </w:rPr>
              <w:t>48.743.333</w:t>
            </w:r>
          </w:p>
        </w:tc>
      </w:tr>
    </w:tbl>
    <w:p w14:paraId="73B1588C" w14:textId="77D2F870" w:rsidR="00047B4C" w:rsidRPr="00E45D7C" w:rsidRDefault="00047B4C" w:rsidP="00047B4C">
      <w:pPr>
        <w:rPr>
          <w:sz w:val="19"/>
          <w:szCs w:val="19"/>
        </w:rPr>
      </w:pPr>
      <w:r>
        <w:rPr>
          <w:sz w:val="19"/>
        </w:rPr>
        <w:t xml:space="preserve">* Incluidos gastos de apoyo </w:t>
      </w:r>
      <w:r w:rsidR="00B34C03">
        <w:rPr>
          <w:sz w:val="19"/>
        </w:rPr>
        <w:t>cuando corresponda.</w:t>
      </w:r>
    </w:p>
    <w:p w14:paraId="759EF2C2" w14:textId="77777777" w:rsidR="00047B4C" w:rsidRPr="00E45D7C" w:rsidRDefault="00047B4C" w:rsidP="00047B4C">
      <w:pPr>
        <w:keepNext/>
        <w:rPr>
          <w:b/>
          <w:bCs/>
        </w:rPr>
      </w:pPr>
    </w:p>
    <w:p w14:paraId="6DD3FF13" w14:textId="77777777" w:rsidR="00047B4C" w:rsidRPr="00E45D7C" w:rsidRDefault="00047B4C" w:rsidP="00047B4C">
      <w:pPr>
        <w:keepNext/>
        <w:widowControl w:val="0"/>
        <w:jc w:val="left"/>
        <w:rPr>
          <w:b/>
          <w:sz w:val="24"/>
          <w:szCs w:val="24"/>
        </w:rPr>
      </w:pPr>
      <w:r>
        <w:rPr>
          <w:b/>
          <w:sz w:val="24"/>
        </w:rPr>
        <w:t>IV.</w:t>
      </w:r>
      <w:r>
        <w:rPr>
          <w:b/>
          <w:sz w:val="24"/>
        </w:rPr>
        <w:tab/>
        <w:t>Indicadores de desempeño</w:t>
      </w:r>
    </w:p>
    <w:p w14:paraId="78ED6CD1" w14:textId="77777777" w:rsidR="00047B4C" w:rsidRPr="00E45D7C" w:rsidRDefault="00047B4C" w:rsidP="00047B4C">
      <w:pPr>
        <w:keepNext/>
        <w:widowControl w:val="0"/>
        <w:jc w:val="left"/>
      </w:pPr>
    </w:p>
    <w:p w14:paraId="477483F0" w14:textId="192855E3" w:rsidR="00047B4C" w:rsidRPr="00E45D7C" w:rsidRDefault="00047B4C" w:rsidP="00047B4C">
      <w:pPr>
        <w:pStyle w:val="Heading1"/>
      </w:pPr>
      <w:r>
        <w:t xml:space="preserve">El Banco Mundial presentó indicadores de desempeño conforme a la decisión 93/8 d) en el texto descriptivo de su plan administrativo. La Secretaría </w:t>
      </w:r>
      <w:r w:rsidR="004D5C25">
        <w:t>co</w:t>
      </w:r>
      <w:r>
        <w:t>m</w:t>
      </w:r>
      <w:r w:rsidR="004D5C25">
        <w:t>unic</w:t>
      </w:r>
      <w:r>
        <w:t>ó al Banco Mundial</w:t>
      </w:r>
      <w:r w:rsidR="004D5C25">
        <w:t xml:space="preserve"> </w:t>
      </w:r>
      <w:r>
        <w:t xml:space="preserve">las metas </w:t>
      </w:r>
      <w:r w:rsidR="004D5C25">
        <w:t>indicadas</w:t>
      </w:r>
      <w:r>
        <w:t xml:space="preserve"> en el cuadro 4.</w:t>
      </w:r>
    </w:p>
    <w:p w14:paraId="5BF66B52" w14:textId="0FC3CA93" w:rsidR="00047B4C" w:rsidRPr="00E45D7C" w:rsidRDefault="00047B4C" w:rsidP="00047B4C">
      <w:pPr>
        <w:pStyle w:val="subhead"/>
        <w:keepNext/>
        <w:jc w:val="left"/>
        <w:rPr>
          <w:b/>
          <w:bCs/>
          <w:sz w:val="22"/>
          <w:szCs w:val="22"/>
        </w:rPr>
      </w:pPr>
      <w:r>
        <w:rPr>
          <w:b/>
          <w:sz w:val="22"/>
        </w:rPr>
        <w:t xml:space="preserve">Cuadro 4. Indicadores de desempeño </w:t>
      </w:r>
      <w:r w:rsidR="0053061F">
        <w:rPr>
          <w:b/>
          <w:sz w:val="22"/>
        </w:rPr>
        <w:t>d</w:t>
      </w:r>
      <w:r>
        <w:rPr>
          <w:b/>
          <w:sz w:val="22"/>
        </w:rPr>
        <w:t>el Banco Mundial para 2026</w:t>
      </w:r>
    </w:p>
    <w:tbl>
      <w:tblPr>
        <w:tblW w:w="5140" w:type="pct"/>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2160"/>
        <w:gridCol w:w="4231"/>
        <w:gridCol w:w="1626"/>
      </w:tblGrid>
      <w:tr w:rsidR="00E45D7C" w:rsidRPr="00E45D7C" w14:paraId="6234E75E" w14:textId="77777777" w:rsidTr="004C3CF0">
        <w:trPr>
          <w:trHeight w:val="136"/>
          <w:tblHeader/>
        </w:trPr>
        <w:tc>
          <w:tcPr>
            <w:tcW w:w="829" w:type="pct"/>
            <w:tcMar>
              <w:left w:w="72" w:type="dxa"/>
              <w:right w:w="72" w:type="dxa"/>
            </w:tcMar>
            <w:hideMark/>
          </w:tcPr>
          <w:p w14:paraId="17802087" w14:textId="77777777" w:rsidR="00047B4C" w:rsidRPr="00E45D7C" w:rsidRDefault="00047B4C" w:rsidP="00A618E9">
            <w:pPr>
              <w:keepNext/>
              <w:jc w:val="center"/>
              <w:rPr>
                <w:rFonts w:asciiTheme="majorBidi" w:hAnsiTheme="majorBidi" w:cstheme="majorBidi"/>
                <w:b/>
                <w:bCs/>
                <w:sz w:val="20"/>
                <w:szCs w:val="20"/>
              </w:rPr>
            </w:pPr>
            <w:r>
              <w:rPr>
                <w:rFonts w:asciiTheme="majorBidi" w:hAnsiTheme="majorBidi"/>
                <w:b/>
                <w:sz w:val="20"/>
              </w:rPr>
              <w:t>Tipo de indicador</w:t>
            </w:r>
          </w:p>
        </w:tc>
        <w:tc>
          <w:tcPr>
            <w:tcW w:w="1123" w:type="pct"/>
            <w:tcMar>
              <w:left w:w="72" w:type="dxa"/>
              <w:right w:w="72" w:type="dxa"/>
            </w:tcMar>
            <w:hideMark/>
          </w:tcPr>
          <w:p w14:paraId="296C9890" w14:textId="4515983E" w:rsidR="00047B4C" w:rsidRPr="00E45D7C" w:rsidRDefault="00047B4C" w:rsidP="00A618E9">
            <w:pPr>
              <w:keepNext/>
              <w:jc w:val="center"/>
              <w:rPr>
                <w:rFonts w:asciiTheme="majorBidi" w:hAnsiTheme="majorBidi" w:cstheme="majorBidi"/>
                <w:b/>
                <w:bCs/>
                <w:sz w:val="20"/>
                <w:szCs w:val="20"/>
              </w:rPr>
            </w:pPr>
            <w:r>
              <w:rPr>
                <w:rFonts w:asciiTheme="majorBidi" w:hAnsiTheme="majorBidi"/>
                <w:b/>
                <w:sz w:val="20"/>
              </w:rPr>
              <w:t>Título corto</w:t>
            </w:r>
          </w:p>
        </w:tc>
        <w:tc>
          <w:tcPr>
            <w:tcW w:w="2201" w:type="pct"/>
            <w:tcMar>
              <w:left w:w="72" w:type="dxa"/>
              <w:right w:w="72" w:type="dxa"/>
            </w:tcMar>
            <w:hideMark/>
          </w:tcPr>
          <w:p w14:paraId="462584A9" w14:textId="77777777" w:rsidR="00047B4C" w:rsidRPr="00E45D7C" w:rsidRDefault="00047B4C" w:rsidP="00A618E9">
            <w:pPr>
              <w:keepNext/>
              <w:jc w:val="center"/>
              <w:rPr>
                <w:rFonts w:asciiTheme="majorBidi" w:hAnsiTheme="majorBidi" w:cstheme="majorBidi"/>
                <w:b/>
                <w:bCs/>
                <w:sz w:val="20"/>
                <w:szCs w:val="20"/>
              </w:rPr>
            </w:pPr>
            <w:r>
              <w:rPr>
                <w:rFonts w:asciiTheme="majorBidi" w:hAnsiTheme="majorBidi"/>
                <w:b/>
                <w:sz w:val="20"/>
              </w:rPr>
              <w:t>Cálculo</w:t>
            </w:r>
          </w:p>
        </w:tc>
        <w:tc>
          <w:tcPr>
            <w:tcW w:w="846" w:type="pct"/>
            <w:tcMar>
              <w:left w:w="72" w:type="dxa"/>
              <w:right w:w="72" w:type="dxa"/>
            </w:tcMar>
          </w:tcPr>
          <w:p w14:paraId="285F11A6" w14:textId="3965AFBD" w:rsidR="00047B4C" w:rsidRPr="00E45D7C" w:rsidRDefault="00047B4C" w:rsidP="00A618E9">
            <w:pPr>
              <w:keepNext/>
              <w:jc w:val="center"/>
              <w:rPr>
                <w:rFonts w:asciiTheme="majorBidi" w:hAnsiTheme="majorBidi" w:cstheme="majorBidi"/>
                <w:b/>
                <w:bCs/>
                <w:sz w:val="20"/>
                <w:szCs w:val="20"/>
              </w:rPr>
            </w:pPr>
            <w:r>
              <w:rPr>
                <w:rFonts w:asciiTheme="majorBidi" w:hAnsiTheme="majorBidi"/>
                <w:b/>
                <w:sz w:val="20"/>
              </w:rPr>
              <w:t>Meta para 2026</w:t>
            </w:r>
          </w:p>
        </w:tc>
      </w:tr>
      <w:tr w:rsidR="00E45D7C" w:rsidRPr="00E45D7C" w14:paraId="7B70C6D8" w14:textId="77777777" w:rsidTr="004C3CF0">
        <w:trPr>
          <w:trHeight w:val="44"/>
        </w:trPr>
        <w:tc>
          <w:tcPr>
            <w:tcW w:w="829" w:type="pct"/>
            <w:tcMar>
              <w:left w:w="72" w:type="dxa"/>
              <w:right w:w="72" w:type="dxa"/>
            </w:tcMar>
            <w:hideMark/>
          </w:tcPr>
          <w:p w14:paraId="229CE7BA" w14:textId="2CF1AF4D" w:rsidR="00047B4C" w:rsidRPr="00E45D7C" w:rsidRDefault="00047B4C" w:rsidP="00D56D20">
            <w:pPr>
              <w:jc w:val="left"/>
              <w:rPr>
                <w:rFonts w:asciiTheme="majorBidi" w:hAnsiTheme="majorBidi" w:cstheme="majorBidi"/>
                <w:sz w:val="20"/>
                <w:szCs w:val="20"/>
              </w:rPr>
            </w:pPr>
            <w:r>
              <w:rPr>
                <w:rFonts w:asciiTheme="majorBidi" w:hAnsiTheme="majorBidi"/>
                <w:sz w:val="20"/>
              </w:rPr>
              <w:t>Planificación</w:t>
            </w:r>
            <w:r w:rsidR="00D56D20">
              <w:rPr>
                <w:rFonts w:asciiTheme="majorBidi" w:hAnsiTheme="majorBidi"/>
                <w:sz w:val="20"/>
              </w:rPr>
              <w:t xml:space="preserve"> </w:t>
            </w:r>
            <w:r>
              <w:rPr>
                <w:rFonts w:asciiTheme="majorBidi" w:hAnsiTheme="majorBidi"/>
                <w:sz w:val="20"/>
              </w:rPr>
              <w:t>–Aprobación</w:t>
            </w:r>
          </w:p>
        </w:tc>
        <w:tc>
          <w:tcPr>
            <w:tcW w:w="1123" w:type="pct"/>
            <w:tcMar>
              <w:left w:w="72" w:type="dxa"/>
              <w:right w:w="72" w:type="dxa"/>
            </w:tcMar>
            <w:hideMark/>
          </w:tcPr>
          <w:p w14:paraId="78729798" w14:textId="77777777" w:rsidR="00047B4C" w:rsidRPr="00E45D7C" w:rsidRDefault="00047B4C" w:rsidP="00A618E9">
            <w:pPr>
              <w:keepNext/>
              <w:jc w:val="left"/>
              <w:rPr>
                <w:rFonts w:asciiTheme="majorBidi" w:hAnsiTheme="majorBidi" w:cstheme="majorBidi"/>
                <w:sz w:val="20"/>
                <w:szCs w:val="20"/>
              </w:rPr>
            </w:pPr>
            <w:r>
              <w:rPr>
                <w:rFonts w:asciiTheme="majorBidi" w:hAnsiTheme="majorBidi"/>
                <w:sz w:val="20"/>
              </w:rPr>
              <w:t>Tramos aprobados</w:t>
            </w:r>
          </w:p>
        </w:tc>
        <w:tc>
          <w:tcPr>
            <w:tcW w:w="2201" w:type="pct"/>
            <w:tcMar>
              <w:left w:w="72" w:type="dxa"/>
              <w:right w:w="72" w:type="dxa"/>
            </w:tcMar>
            <w:hideMark/>
          </w:tcPr>
          <w:p w14:paraId="5F2E97EE" w14:textId="77777777" w:rsidR="00047B4C" w:rsidRPr="00E45D7C" w:rsidRDefault="00047B4C" w:rsidP="00A618E9">
            <w:pPr>
              <w:keepNext/>
              <w:jc w:val="left"/>
              <w:rPr>
                <w:rFonts w:asciiTheme="majorBidi" w:hAnsiTheme="majorBidi" w:cstheme="majorBidi"/>
                <w:sz w:val="20"/>
                <w:szCs w:val="20"/>
              </w:rPr>
            </w:pPr>
            <w:r>
              <w:rPr>
                <w:rFonts w:asciiTheme="majorBidi" w:hAnsiTheme="majorBidi"/>
                <w:sz w:val="20"/>
              </w:rPr>
              <w:t>Número de tramos aprobados en comparación con los previstos*</w:t>
            </w:r>
          </w:p>
        </w:tc>
        <w:tc>
          <w:tcPr>
            <w:tcW w:w="846" w:type="pct"/>
            <w:tcMar>
              <w:left w:w="29" w:type="dxa"/>
              <w:right w:w="72" w:type="dxa"/>
            </w:tcMar>
          </w:tcPr>
          <w:p w14:paraId="19876D17" w14:textId="7E6524F6" w:rsidR="00047B4C" w:rsidRPr="00E45D7C" w:rsidRDefault="00972BB8" w:rsidP="00A618E9">
            <w:pPr>
              <w:keepNext/>
              <w:jc w:val="right"/>
              <w:rPr>
                <w:rFonts w:asciiTheme="majorBidi" w:hAnsiTheme="majorBidi" w:cstheme="majorBidi"/>
                <w:sz w:val="20"/>
                <w:szCs w:val="20"/>
              </w:rPr>
            </w:pPr>
            <w:r>
              <w:rPr>
                <w:rFonts w:asciiTheme="majorBidi" w:hAnsiTheme="majorBidi"/>
                <w:sz w:val="20"/>
              </w:rPr>
              <w:t>7</w:t>
            </w:r>
          </w:p>
        </w:tc>
      </w:tr>
      <w:tr w:rsidR="00E45D7C" w:rsidRPr="00E45D7C" w14:paraId="00B15378" w14:textId="77777777" w:rsidTr="004C3CF0">
        <w:trPr>
          <w:trHeight w:val="228"/>
        </w:trPr>
        <w:tc>
          <w:tcPr>
            <w:tcW w:w="829" w:type="pct"/>
            <w:tcMar>
              <w:left w:w="72" w:type="dxa"/>
              <w:right w:w="72" w:type="dxa"/>
            </w:tcMar>
            <w:hideMark/>
          </w:tcPr>
          <w:p w14:paraId="30895537" w14:textId="51CCE874" w:rsidR="00047B4C" w:rsidRPr="00E45D7C" w:rsidRDefault="00047B4C" w:rsidP="00D56D20">
            <w:pPr>
              <w:jc w:val="left"/>
              <w:rPr>
                <w:rFonts w:asciiTheme="majorBidi" w:hAnsiTheme="majorBidi" w:cstheme="majorBidi"/>
                <w:sz w:val="20"/>
                <w:szCs w:val="20"/>
              </w:rPr>
            </w:pPr>
            <w:r>
              <w:rPr>
                <w:rFonts w:asciiTheme="majorBidi" w:hAnsiTheme="majorBidi"/>
                <w:sz w:val="20"/>
              </w:rPr>
              <w:t>Planificación</w:t>
            </w:r>
            <w:r w:rsidR="00D56D20">
              <w:rPr>
                <w:rFonts w:asciiTheme="majorBidi" w:hAnsiTheme="majorBidi"/>
                <w:sz w:val="20"/>
              </w:rPr>
              <w:t xml:space="preserve"> </w:t>
            </w:r>
            <w:r>
              <w:rPr>
                <w:rFonts w:asciiTheme="majorBidi" w:hAnsiTheme="majorBidi"/>
                <w:sz w:val="20"/>
              </w:rPr>
              <w:t>–Aprobación</w:t>
            </w:r>
          </w:p>
        </w:tc>
        <w:tc>
          <w:tcPr>
            <w:tcW w:w="1123" w:type="pct"/>
            <w:tcMar>
              <w:left w:w="72" w:type="dxa"/>
              <w:right w:w="72" w:type="dxa"/>
            </w:tcMar>
            <w:hideMark/>
          </w:tcPr>
          <w:p w14:paraId="1F96E57E" w14:textId="77777777" w:rsidR="00047B4C" w:rsidRPr="00E45D7C" w:rsidRDefault="00047B4C" w:rsidP="00A618E9">
            <w:pPr>
              <w:keepNext/>
              <w:ind w:right="-75"/>
              <w:jc w:val="left"/>
              <w:rPr>
                <w:rFonts w:asciiTheme="majorBidi" w:hAnsiTheme="majorBidi" w:cstheme="majorBidi"/>
                <w:sz w:val="20"/>
                <w:szCs w:val="20"/>
              </w:rPr>
            </w:pPr>
            <w:r>
              <w:rPr>
                <w:rFonts w:asciiTheme="majorBidi" w:hAnsiTheme="majorBidi"/>
                <w:sz w:val="20"/>
              </w:rPr>
              <w:t>Proyectos/actividades individuales aprobados</w:t>
            </w:r>
          </w:p>
        </w:tc>
        <w:tc>
          <w:tcPr>
            <w:tcW w:w="2201" w:type="pct"/>
            <w:tcMar>
              <w:left w:w="72" w:type="dxa"/>
              <w:right w:w="72" w:type="dxa"/>
            </w:tcMar>
            <w:hideMark/>
          </w:tcPr>
          <w:p w14:paraId="7AEEC353" w14:textId="77777777" w:rsidR="00047B4C" w:rsidRPr="00E45D7C" w:rsidRDefault="00047B4C" w:rsidP="00A618E9">
            <w:pPr>
              <w:keepNext/>
              <w:ind w:right="-151"/>
              <w:jc w:val="left"/>
              <w:rPr>
                <w:rFonts w:asciiTheme="majorBidi" w:hAnsiTheme="majorBidi" w:cstheme="majorBidi"/>
                <w:sz w:val="20"/>
                <w:szCs w:val="20"/>
              </w:rPr>
            </w:pPr>
            <w:r>
              <w:rPr>
                <w:rFonts w:asciiTheme="majorBidi" w:hAnsiTheme="majorBidi"/>
                <w:sz w:val="20"/>
              </w:rPr>
              <w:t>Número de proyectos/actividades aprobados en comparación con los previstos (incluye actividades de preparación de proyectos)</w:t>
            </w:r>
          </w:p>
        </w:tc>
        <w:tc>
          <w:tcPr>
            <w:tcW w:w="846" w:type="pct"/>
            <w:tcMar>
              <w:left w:w="29" w:type="dxa"/>
              <w:right w:w="72" w:type="dxa"/>
            </w:tcMar>
          </w:tcPr>
          <w:p w14:paraId="34C83BF7" w14:textId="48A6A883" w:rsidR="00047B4C" w:rsidRPr="00E45D7C" w:rsidRDefault="005D216F" w:rsidP="00A618E9">
            <w:pPr>
              <w:keepNext/>
              <w:jc w:val="right"/>
              <w:rPr>
                <w:rFonts w:asciiTheme="majorBidi" w:hAnsiTheme="majorBidi" w:cstheme="majorBidi"/>
                <w:sz w:val="20"/>
                <w:szCs w:val="20"/>
              </w:rPr>
            </w:pPr>
            <w:r>
              <w:rPr>
                <w:rFonts w:asciiTheme="majorBidi" w:hAnsiTheme="majorBidi"/>
                <w:sz w:val="20"/>
              </w:rPr>
              <w:t>5</w:t>
            </w:r>
          </w:p>
        </w:tc>
      </w:tr>
      <w:tr w:rsidR="00E45D7C" w:rsidRPr="00E45D7C" w14:paraId="76EE29D7" w14:textId="77777777" w:rsidTr="004C3CF0">
        <w:trPr>
          <w:trHeight w:val="79"/>
        </w:trPr>
        <w:tc>
          <w:tcPr>
            <w:tcW w:w="829" w:type="pct"/>
            <w:tcMar>
              <w:left w:w="72" w:type="dxa"/>
              <w:right w:w="72" w:type="dxa"/>
            </w:tcMar>
            <w:hideMark/>
          </w:tcPr>
          <w:p w14:paraId="2DDBC2D0" w14:textId="77777777" w:rsidR="00047B4C" w:rsidRPr="00E45D7C" w:rsidRDefault="00047B4C" w:rsidP="00A618E9">
            <w:pPr>
              <w:rPr>
                <w:rFonts w:asciiTheme="majorBidi" w:hAnsiTheme="majorBidi" w:cstheme="majorBidi"/>
                <w:sz w:val="20"/>
                <w:szCs w:val="20"/>
              </w:rPr>
            </w:pPr>
            <w:r>
              <w:rPr>
                <w:rFonts w:asciiTheme="majorBidi" w:hAnsiTheme="majorBidi"/>
                <w:sz w:val="20"/>
              </w:rPr>
              <w:t>Ejecución</w:t>
            </w:r>
          </w:p>
        </w:tc>
        <w:tc>
          <w:tcPr>
            <w:tcW w:w="1123" w:type="pct"/>
            <w:tcMar>
              <w:left w:w="72" w:type="dxa"/>
              <w:right w:w="72" w:type="dxa"/>
            </w:tcMar>
            <w:hideMark/>
          </w:tcPr>
          <w:p w14:paraId="62CD8372"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Fondos desembolsados</w:t>
            </w:r>
          </w:p>
        </w:tc>
        <w:tc>
          <w:tcPr>
            <w:tcW w:w="2201" w:type="pct"/>
            <w:tcMar>
              <w:left w:w="72" w:type="dxa"/>
              <w:right w:w="72" w:type="dxa"/>
            </w:tcMar>
            <w:hideMark/>
          </w:tcPr>
          <w:p w14:paraId="0138A89D" w14:textId="34CC0B06" w:rsidR="00047B4C" w:rsidRPr="00E45D7C" w:rsidRDefault="00047B4C" w:rsidP="00A618E9">
            <w:pPr>
              <w:jc w:val="left"/>
              <w:rPr>
                <w:rFonts w:asciiTheme="majorBidi" w:hAnsiTheme="majorBidi" w:cstheme="majorBidi"/>
                <w:sz w:val="20"/>
                <w:szCs w:val="20"/>
              </w:rPr>
            </w:pPr>
            <w:r>
              <w:rPr>
                <w:rFonts w:asciiTheme="majorBidi" w:hAnsiTheme="majorBidi"/>
                <w:sz w:val="20"/>
              </w:rPr>
              <w:t>Basad</w:t>
            </w:r>
            <w:r w:rsidR="0053061F">
              <w:rPr>
                <w:rFonts w:asciiTheme="majorBidi" w:hAnsiTheme="majorBidi"/>
                <w:sz w:val="20"/>
              </w:rPr>
              <w:t xml:space="preserve">o en el desembolso estimado en </w:t>
            </w:r>
            <w:r>
              <w:rPr>
                <w:rFonts w:asciiTheme="majorBidi" w:hAnsiTheme="majorBidi"/>
                <w:sz w:val="20"/>
              </w:rPr>
              <w:t>l</w:t>
            </w:r>
            <w:r w:rsidR="0053061F">
              <w:rPr>
                <w:rFonts w:asciiTheme="majorBidi" w:hAnsiTheme="majorBidi"/>
                <w:sz w:val="20"/>
              </w:rPr>
              <w:t>os</w:t>
            </w:r>
            <w:r>
              <w:rPr>
                <w:rFonts w:asciiTheme="majorBidi" w:hAnsiTheme="majorBidi"/>
                <w:sz w:val="20"/>
              </w:rPr>
              <w:t xml:space="preserve"> informe</w:t>
            </w:r>
            <w:r w:rsidR="0053061F">
              <w:rPr>
                <w:rFonts w:asciiTheme="majorBidi" w:hAnsiTheme="majorBidi"/>
                <w:sz w:val="20"/>
              </w:rPr>
              <w:t>s</w:t>
            </w:r>
            <w:r>
              <w:rPr>
                <w:rFonts w:asciiTheme="majorBidi" w:hAnsiTheme="majorBidi"/>
                <w:sz w:val="20"/>
              </w:rPr>
              <w:t xml:space="preserve"> sobre la marcha de las actividades</w:t>
            </w:r>
          </w:p>
        </w:tc>
        <w:tc>
          <w:tcPr>
            <w:tcW w:w="846" w:type="pct"/>
            <w:tcMar>
              <w:left w:w="29" w:type="dxa"/>
              <w:right w:w="72" w:type="dxa"/>
            </w:tcMar>
          </w:tcPr>
          <w:p w14:paraId="75A931F3" w14:textId="65FD34F8" w:rsidR="00047B4C" w:rsidRPr="00E45D7C" w:rsidRDefault="005D216F" w:rsidP="00A618E9">
            <w:pPr>
              <w:jc w:val="right"/>
              <w:rPr>
                <w:rFonts w:asciiTheme="majorBidi" w:hAnsiTheme="majorBidi" w:cstheme="majorBidi"/>
                <w:sz w:val="20"/>
                <w:szCs w:val="20"/>
              </w:rPr>
            </w:pPr>
            <w:r>
              <w:rPr>
                <w:rFonts w:asciiTheme="majorBidi" w:hAnsiTheme="majorBidi"/>
                <w:sz w:val="20"/>
              </w:rPr>
              <w:t>23.145.194</w:t>
            </w:r>
          </w:p>
        </w:tc>
      </w:tr>
      <w:tr w:rsidR="00E45D7C" w:rsidRPr="00E45D7C" w14:paraId="673E8B0A" w14:textId="77777777" w:rsidTr="004C3CF0">
        <w:trPr>
          <w:trHeight w:val="270"/>
        </w:trPr>
        <w:tc>
          <w:tcPr>
            <w:tcW w:w="829" w:type="pct"/>
            <w:tcMar>
              <w:left w:w="72" w:type="dxa"/>
              <w:right w:w="72" w:type="dxa"/>
            </w:tcMar>
            <w:hideMark/>
          </w:tcPr>
          <w:p w14:paraId="29C81E82" w14:textId="77777777" w:rsidR="00047B4C" w:rsidRPr="00E45D7C" w:rsidRDefault="00047B4C" w:rsidP="00A618E9">
            <w:pPr>
              <w:rPr>
                <w:rFonts w:asciiTheme="majorBidi" w:hAnsiTheme="majorBidi" w:cstheme="majorBidi"/>
                <w:sz w:val="20"/>
                <w:szCs w:val="20"/>
              </w:rPr>
            </w:pPr>
            <w:r>
              <w:rPr>
                <w:rFonts w:asciiTheme="majorBidi" w:hAnsiTheme="majorBidi"/>
                <w:sz w:val="20"/>
              </w:rPr>
              <w:t>Ejecución</w:t>
            </w:r>
          </w:p>
        </w:tc>
        <w:tc>
          <w:tcPr>
            <w:tcW w:w="1123" w:type="pct"/>
            <w:tcMar>
              <w:left w:w="72" w:type="dxa"/>
              <w:right w:w="72" w:type="dxa"/>
            </w:tcMar>
            <w:hideMark/>
          </w:tcPr>
          <w:p w14:paraId="7D472F60"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Eliminación de SAO en proyectos relativos a los HCFC</w:t>
            </w:r>
          </w:p>
        </w:tc>
        <w:tc>
          <w:tcPr>
            <w:tcW w:w="2201" w:type="pct"/>
            <w:tcMar>
              <w:left w:w="72" w:type="dxa"/>
              <w:right w:w="72" w:type="dxa"/>
            </w:tcMar>
            <w:hideMark/>
          </w:tcPr>
          <w:p w14:paraId="2EF16106" w14:textId="59A973CE" w:rsidR="00047B4C" w:rsidRPr="00E45D7C" w:rsidRDefault="00047B4C" w:rsidP="00A618E9">
            <w:pPr>
              <w:jc w:val="left"/>
              <w:rPr>
                <w:rFonts w:asciiTheme="majorBidi" w:hAnsiTheme="majorBidi" w:cstheme="majorBidi"/>
                <w:sz w:val="20"/>
                <w:szCs w:val="20"/>
              </w:rPr>
            </w:pPr>
            <w:r>
              <w:rPr>
                <w:rFonts w:asciiTheme="majorBidi" w:hAnsiTheme="majorBidi"/>
                <w:sz w:val="20"/>
              </w:rPr>
              <w:t xml:space="preserve">Eliminación de SAO en proyectos relativos a </w:t>
            </w:r>
            <w:r w:rsidR="0053061F">
              <w:rPr>
                <w:rFonts w:asciiTheme="majorBidi" w:hAnsiTheme="majorBidi"/>
                <w:sz w:val="20"/>
              </w:rPr>
              <w:t xml:space="preserve">los </w:t>
            </w:r>
            <w:r>
              <w:rPr>
                <w:rFonts w:asciiTheme="majorBidi" w:hAnsiTheme="majorBidi"/>
                <w:sz w:val="20"/>
              </w:rPr>
              <w:t>HCFC, en toneladas PAO, en comparación con lo previsto en los informes sobre la marcha de las actividades</w:t>
            </w:r>
          </w:p>
        </w:tc>
        <w:tc>
          <w:tcPr>
            <w:tcW w:w="846" w:type="pct"/>
            <w:tcMar>
              <w:left w:w="29" w:type="dxa"/>
              <w:right w:w="72" w:type="dxa"/>
            </w:tcMar>
          </w:tcPr>
          <w:p w14:paraId="7D23F36D" w14:textId="5BBD4F60" w:rsidR="00047B4C" w:rsidRPr="00E45D7C" w:rsidRDefault="005C714C" w:rsidP="00A618E9">
            <w:pPr>
              <w:jc w:val="right"/>
              <w:rPr>
                <w:rFonts w:asciiTheme="majorBidi" w:hAnsiTheme="majorBidi" w:cstheme="majorBidi"/>
                <w:sz w:val="20"/>
                <w:szCs w:val="20"/>
              </w:rPr>
            </w:pPr>
            <w:r>
              <w:rPr>
                <w:rFonts w:asciiTheme="majorBidi" w:hAnsiTheme="majorBidi"/>
                <w:sz w:val="20"/>
              </w:rPr>
              <w:t>4.776,8 tons. PAO</w:t>
            </w:r>
          </w:p>
        </w:tc>
      </w:tr>
      <w:tr w:rsidR="00E45D7C" w:rsidRPr="00E45D7C" w14:paraId="146568B4" w14:textId="77777777" w:rsidTr="004C3CF0">
        <w:trPr>
          <w:trHeight w:val="276"/>
        </w:trPr>
        <w:tc>
          <w:tcPr>
            <w:tcW w:w="829" w:type="pct"/>
            <w:tcMar>
              <w:left w:w="72" w:type="dxa"/>
              <w:right w:w="72" w:type="dxa"/>
            </w:tcMar>
          </w:tcPr>
          <w:p w14:paraId="6568F4F1" w14:textId="77777777" w:rsidR="00047B4C" w:rsidRPr="00E45D7C" w:rsidRDefault="00047B4C" w:rsidP="00A618E9">
            <w:pPr>
              <w:rPr>
                <w:rFonts w:asciiTheme="majorBidi" w:hAnsiTheme="majorBidi" w:cstheme="majorBidi"/>
                <w:sz w:val="20"/>
                <w:szCs w:val="20"/>
              </w:rPr>
            </w:pPr>
            <w:r>
              <w:rPr>
                <w:rFonts w:asciiTheme="majorBidi" w:hAnsiTheme="majorBidi"/>
                <w:sz w:val="20"/>
              </w:rPr>
              <w:t>Ejecución</w:t>
            </w:r>
          </w:p>
        </w:tc>
        <w:tc>
          <w:tcPr>
            <w:tcW w:w="1123" w:type="pct"/>
            <w:tcMar>
              <w:left w:w="72" w:type="dxa"/>
              <w:right w:w="72" w:type="dxa"/>
            </w:tcMar>
          </w:tcPr>
          <w:p w14:paraId="0689BA7D"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Reducción de HFC en proyectos relativos a los HFC</w:t>
            </w:r>
          </w:p>
        </w:tc>
        <w:tc>
          <w:tcPr>
            <w:tcW w:w="2201" w:type="pct"/>
            <w:tcMar>
              <w:left w:w="72" w:type="dxa"/>
              <w:right w:w="72" w:type="dxa"/>
            </w:tcMar>
          </w:tcPr>
          <w:p w14:paraId="6CC40754"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Reducción de HFC en proyectos relativos a los HFC en toneladas de CO</w:t>
            </w:r>
            <w:r>
              <w:rPr>
                <w:rFonts w:asciiTheme="majorBidi" w:hAnsiTheme="majorBidi"/>
                <w:sz w:val="20"/>
                <w:vertAlign w:val="subscript"/>
              </w:rPr>
              <w:t>2</w:t>
            </w:r>
            <w:r>
              <w:rPr>
                <w:rFonts w:asciiTheme="majorBidi" w:hAnsiTheme="majorBidi"/>
                <w:sz w:val="20"/>
              </w:rPr>
              <w:t xml:space="preserve"> equivalente, en comparación con lo previsto en los informes sobre la marcha de las actividades</w:t>
            </w:r>
          </w:p>
        </w:tc>
        <w:tc>
          <w:tcPr>
            <w:tcW w:w="846" w:type="pct"/>
            <w:tcMar>
              <w:left w:w="29" w:type="dxa"/>
              <w:right w:w="72" w:type="dxa"/>
            </w:tcMar>
          </w:tcPr>
          <w:p w14:paraId="375A0B04" w14:textId="5E397F8B" w:rsidR="00047B4C" w:rsidRPr="00E45D7C" w:rsidRDefault="00994022" w:rsidP="00A618E9">
            <w:pPr>
              <w:jc w:val="right"/>
              <w:rPr>
                <w:rFonts w:asciiTheme="majorBidi" w:hAnsiTheme="majorBidi" w:cstheme="majorBidi"/>
                <w:sz w:val="20"/>
                <w:szCs w:val="20"/>
              </w:rPr>
            </w:pPr>
            <w:r>
              <w:rPr>
                <w:rFonts w:asciiTheme="majorBidi" w:hAnsiTheme="majorBidi"/>
                <w:sz w:val="20"/>
              </w:rPr>
              <w:t>1.388.278 tons. de CO</w:t>
            </w:r>
            <w:r>
              <w:rPr>
                <w:rFonts w:asciiTheme="majorBidi" w:hAnsiTheme="majorBidi"/>
                <w:sz w:val="20"/>
                <w:vertAlign w:val="subscript"/>
              </w:rPr>
              <w:t>2</w:t>
            </w:r>
            <w:r>
              <w:rPr>
                <w:rFonts w:asciiTheme="majorBidi" w:hAnsiTheme="majorBidi"/>
                <w:sz w:val="20"/>
              </w:rPr>
              <w:t xml:space="preserve"> equivalente</w:t>
            </w:r>
          </w:p>
        </w:tc>
      </w:tr>
      <w:tr w:rsidR="00E45D7C" w:rsidRPr="00E45D7C" w14:paraId="460E646A" w14:textId="77777777" w:rsidTr="004C3CF0">
        <w:trPr>
          <w:trHeight w:val="550"/>
        </w:trPr>
        <w:tc>
          <w:tcPr>
            <w:tcW w:w="829" w:type="pct"/>
            <w:tcMar>
              <w:left w:w="72" w:type="dxa"/>
              <w:right w:w="72" w:type="dxa"/>
            </w:tcMar>
            <w:hideMark/>
          </w:tcPr>
          <w:p w14:paraId="116E897A" w14:textId="77777777" w:rsidR="00047B4C" w:rsidRPr="00E45D7C" w:rsidRDefault="00047B4C" w:rsidP="00A618E9">
            <w:pPr>
              <w:rPr>
                <w:rFonts w:asciiTheme="majorBidi" w:hAnsiTheme="majorBidi" w:cstheme="majorBidi"/>
                <w:sz w:val="20"/>
                <w:szCs w:val="20"/>
              </w:rPr>
            </w:pPr>
            <w:r>
              <w:rPr>
                <w:rFonts w:asciiTheme="majorBidi" w:hAnsiTheme="majorBidi"/>
                <w:sz w:val="20"/>
              </w:rPr>
              <w:t>Ejecución</w:t>
            </w:r>
          </w:p>
        </w:tc>
        <w:tc>
          <w:tcPr>
            <w:tcW w:w="1123" w:type="pct"/>
            <w:tcMar>
              <w:left w:w="72" w:type="dxa"/>
              <w:right w:w="72" w:type="dxa"/>
            </w:tcMar>
            <w:hideMark/>
          </w:tcPr>
          <w:p w14:paraId="589CB6C1"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Cierre operativo del proyecto</w:t>
            </w:r>
          </w:p>
        </w:tc>
        <w:tc>
          <w:tcPr>
            <w:tcW w:w="2201" w:type="pct"/>
            <w:tcMar>
              <w:left w:w="72" w:type="dxa"/>
              <w:right w:w="72" w:type="dxa"/>
            </w:tcMar>
            <w:hideMark/>
          </w:tcPr>
          <w:p w14:paraId="0F1BF51D"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Cierre operativo del proyecto en comparación con lo previsto en los informes sobre la marcha de las actividades para todas las actividades (con exclusión de preparación de proyectos)**</w:t>
            </w:r>
          </w:p>
        </w:tc>
        <w:tc>
          <w:tcPr>
            <w:tcW w:w="846" w:type="pct"/>
            <w:tcMar>
              <w:left w:w="29" w:type="dxa"/>
              <w:right w:w="72" w:type="dxa"/>
            </w:tcMar>
          </w:tcPr>
          <w:p w14:paraId="3E971BB2" w14:textId="1091113C" w:rsidR="00047B4C" w:rsidRPr="00E45D7C" w:rsidRDefault="00E93CB8" w:rsidP="00A618E9">
            <w:pPr>
              <w:jc w:val="right"/>
              <w:rPr>
                <w:rFonts w:asciiTheme="majorBidi" w:hAnsiTheme="majorBidi" w:cstheme="majorBidi"/>
                <w:sz w:val="20"/>
                <w:szCs w:val="20"/>
              </w:rPr>
            </w:pPr>
            <w:r>
              <w:rPr>
                <w:rFonts w:asciiTheme="majorBidi" w:hAnsiTheme="majorBidi"/>
                <w:sz w:val="20"/>
              </w:rPr>
              <w:t>17</w:t>
            </w:r>
          </w:p>
        </w:tc>
      </w:tr>
      <w:tr w:rsidR="00E45D7C" w:rsidRPr="00E45D7C" w14:paraId="659ABBC1" w14:textId="77777777" w:rsidTr="004C3CF0">
        <w:trPr>
          <w:trHeight w:val="306"/>
        </w:trPr>
        <w:tc>
          <w:tcPr>
            <w:tcW w:w="829" w:type="pct"/>
            <w:tcMar>
              <w:left w:w="72" w:type="dxa"/>
              <w:right w:w="72" w:type="dxa"/>
            </w:tcMar>
          </w:tcPr>
          <w:p w14:paraId="312F0DCD" w14:textId="77777777" w:rsidR="00047B4C" w:rsidRPr="00E45D7C" w:rsidRDefault="00047B4C" w:rsidP="00A618E9">
            <w:pPr>
              <w:rPr>
                <w:rFonts w:asciiTheme="majorBidi" w:hAnsiTheme="majorBidi" w:cstheme="majorBidi"/>
                <w:sz w:val="20"/>
                <w:szCs w:val="20"/>
              </w:rPr>
            </w:pPr>
            <w:r>
              <w:rPr>
                <w:rFonts w:asciiTheme="majorBidi" w:hAnsiTheme="majorBidi"/>
                <w:sz w:val="20"/>
              </w:rPr>
              <w:lastRenderedPageBreak/>
              <w:t>Ejecución</w:t>
            </w:r>
          </w:p>
        </w:tc>
        <w:tc>
          <w:tcPr>
            <w:tcW w:w="1123" w:type="pct"/>
            <w:tcMar>
              <w:left w:w="72" w:type="dxa"/>
              <w:right w:w="72" w:type="dxa"/>
            </w:tcMar>
          </w:tcPr>
          <w:p w14:paraId="75313C66"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Integración de la perspectiva de género</w:t>
            </w:r>
          </w:p>
        </w:tc>
        <w:tc>
          <w:tcPr>
            <w:tcW w:w="2201" w:type="pct"/>
            <w:tcMar>
              <w:left w:w="72" w:type="dxa"/>
              <w:right w:w="72" w:type="dxa"/>
            </w:tcMar>
          </w:tcPr>
          <w:p w14:paraId="7CE70778" w14:textId="45206E58" w:rsidR="00047B4C" w:rsidRPr="00E45D7C" w:rsidRDefault="00047B4C" w:rsidP="0053061F">
            <w:pPr>
              <w:jc w:val="left"/>
              <w:rPr>
                <w:rFonts w:asciiTheme="majorBidi" w:hAnsiTheme="majorBidi" w:cstheme="majorBidi"/>
                <w:sz w:val="20"/>
                <w:szCs w:val="20"/>
              </w:rPr>
            </w:pPr>
            <w:r>
              <w:rPr>
                <w:rFonts w:asciiTheme="majorBidi" w:hAnsiTheme="majorBidi"/>
                <w:sz w:val="20"/>
              </w:rPr>
              <w:t xml:space="preserve">Aplicación de la política operativa sobre integración de la perspectiva de género </w:t>
            </w:r>
            <w:r w:rsidR="0053061F">
              <w:rPr>
                <w:rFonts w:asciiTheme="majorBidi" w:hAnsiTheme="majorBidi"/>
                <w:sz w:val="20"/>
              </w:rPr>
              <w:t>en</w:t>
            </w:r>
            <w:r>
              <w:rPr>
                <w:rFonts w:asciiTheme="majorBidi" w:hAnsiTheme="majorBidi"/>
                <w:sz w:val="20"/>
              </w:rPr>
              <w:t xml:space="preserve"> todos los proyectos aprobados</w:t>
            </w:r>
          </w:p>
        </w:tc>
        <w:tc>
          <w:tcPr>
            <w:tcW w:w="846" w:type="pct"/>
            <w:tcMar>
              <w:left w:w="29" w:type="dxa"/>
              <w:right w:w="72" w:type="dxa"/>
            </w:tcMar>
          </w:tcPr>
          <w:p w14:paraId="46166E85" w14:textId="77777777" w:rsidR="00047B4C" w:rsidRPr="00E45D7C" w:rsidRDefault="00047B4C" w:rsidP="00A618E9">
            <w:pPr>
              <w:jc w:val="right"/>
              <w:rPr>
                <w:rFonts w:asciiTheme="majorBidi" w:hAnsiTheme="majorBidi" w:cstheme="majorBidi"/>
                <w:sz w:val="20"/>
                <w:szCs w:val="20"/>
              </w:rPr>
            </w:pPr>
            <w:r>
              <w:rPr>
                <w:rFonts w:asciiTheme="majorBidi" w:hAnsiTheme="majorBidi"/>
                <w:sz w:val="20"/>
              </w:rPr>
              <w:t>100%</w:t>
            </w:r>
          </w:p>
        </w:tc>
      </w:tr>
      <w:tr w:rsidR="00E45D7C" w:rsidRPr="00E45D7C" w14:paraId="59F16CEB" w14:textId="77777777" w:rsidTr="004C3CF0">
        <w:trPr>
          <w:trHeight w:val="316"/>
        </w:trPr>
        <w:tc>
          <w:tcPr>
            <w:tcW w:w="829" w:type="pct"/>
            <w:tcMar>
              <w:left w:w="72" w:type="dxa"/>
              <w:right w:w="72" w:type="dxa"/>
            </w:tcMar>
            <w:hideMark/>
          </w:tcPr>
          <w:p w14:paraId="7C21DA57" w14:textId="77777777" w:rsidR="00047B4C" w:rsidRPr="00E45D7C" w:rsidRDefault="00047B4C" w:rsidP="00A618E9">
            <w:pPr>
              <w:rPr>
                <w:rFonts w:asciiTheme="majorBidi" w:hAnsiTheme="majorBidi" w:cstheme="majorBidi"/>
                <w:sz w:val="20"/>
                <w:szCs w:val="20"/>
              </w:rPr>
            </w:pPr>
            <w:r>
              <w:rPr>
                <w:rFonts w:asciiTheme="majorBidi" w:hAnsiTheme="majorBidi"/>
                <w:sz w:val="20"/>
              </w:rPr>
              <w:t>Administrativo</w:t>
            </w:r>
          </w:p>
        </w:tc>
        <w:tc>
          <w:tcPr>
            <w:tcW w:w="1123" w:type="pct"/>
            <w:tcMar>
              <w:left w:w="72" w:type="dxa"/>
              <w:right w:w="72" w:type="dxa"/>
            </w:tcMar>
            <w:hideMark/>
          </w:tcPr>
          <w:p w14:paraId="39C225C8"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Diligencia en el cierre financiero</w:t>
            </w:r>
          </w:p>
        </w:tc>
        <w:tc>
          <w:tcPr>
            <w:tcW w:w="2201" w:type="pct"/>
            <w:tcMar>
              <w:left w:w="72" w:type="dxa"/>
              <w:right w:w="72" w:type="dxa"/>
            </w:tcMar>
            <w:hideMark/>
          </w:tcPr>
          <w:p w14:paraId="68302BF7" w14:textId="339EA625" w:rsidR="00047B4C" w:rsidRPr="00E45D7C" w:rsidRDefault="00047B4C" w:rsidP="004D5C25">
            <w:pPr>
              <w:jc w:val="left"/>
              <w:rPr>
                <w:rFonts w:asciiTheme="majorBidi" w:hAnsiTheme="majorBidi" w:cstheme="majorBidi"/>
                <w:sz w:val="20"/>
                <w:szCs w:val="20"/>
              </w:rPr>
            </w:pPr>
            <w:r>
              <w:rPr>
                <w:rFonts w:asciiTheme="majorBidi" w:hAnsiTheme="majorBidi"/>
                <w:sz w:val="20"/>
              </w:rPr>
              <w:t xml:space="preserve">Grado </w:t>
            </w:r>
            <w:r w:rsidR="004D5C25">
              <w:rPr>
                <w:rFonts w:asciiTheme="majorBidi" w:hAnsiTheme="majorBidi"/>
                <w:sz w:val="20"/>
              </w:rPr>
              <w:t>en que se</w:t>
            </w:r>
            <w:r>
              <w:rPr>
                <w:rFonts w:asciiTheme="majorBidi" w:hAnsiTheme="majorBidi"/>
                <w:sz w:val="20"/>
              </w:rPr>
              <w:t xml:space="preserve"> cerr</w:t>
            </w:r>
            <w:r w:rsidR="004D5C25">
              <w:rPr>
                <w:rFonts w:asciiTheme="majorBidi" w:hAnsiTheme="majorBidi"/>
                <w:sz w:val="20"/>
              </w:rPr>
              <w:t>aron</w:t>
            </w:r>
            <w:r>
              <w:rPr>
                <w:rFonts w:asciiTheme="majorBidi" w:hAnsiTheme="majorBidi"/>
                <w:sz w:val="20"/>
              </w:rPr>
              <w:t xml:space="preserve"> financier</w:t>
            </w:r>
            <w:r w:rsidR="004D5C25">
              <w:rPr>
                <w:rFonts w:asciiTheme="majorBidi" w:hAnsiTheme="majorBidi"/>
                <w:sz w:val="20"/>
              </w:rPr>
              <w:t>ament</w:t>
            </w:r>
            <w:r>
              <w:rPr>
                <w:rFonts w:asciiTheme="majorBidi" w:hAnsiTheme="majorBidi"/>
                <w:sz w:val="20"/>
              </w:rPr>
              <w:t xml:space="preserve">e los proyectos </w:t>
            </w:r>
            <w:r w:rsidR="004D5C25">
              <w:rPr>
                <w:rFonts w:asciiTheme="majorBidi" w:hAnsiTheme="majorBidi"/>
                <w:sz w:val="20"/>
              </w:rPr>
              <w:t>dentro</w:t>
            </w:r>
            <w:r>
              <w:rPr>
                <w:rFonts w:asciiTheme="majorBidi" w:hAnsiTheme="majorBidi"/>
                <w:sz w:val="20"/>
              </w:rPr>
              <w:t xml:space="preserve"> los 12 meses posteriores al cierre operativo del proyecto</w:t>
            </w:r>
          </w:p>
        </w:tc>
        <w:tc>
          <w:tcPr>
            <w:tcW w:w="846" w:type="pct"/>
            <w:tcMar>
              <w:left w:w="29" w:type="dxa"/>
              <w:right w:w="72" w:type="dxa"/>
            </w:tcMar>
          </w:tcPr>
          <w:p w14:paraId="1B13996B" w14:textId="18044CCD" w:rsidR="00047B4C" w:rsidRPr="00E45D7C" w:rsidRDefault="00047B4C" w:rsidP="00D56D20">
            <w:pPr>
              <w:ind w:left="-70"/>
              <w:jc w:val="right"/>
              <w:rPr>
                <w:rFonts w:asciiTheme="majorBidi" w:hAnsiTheme="majorBidi" w:cstheme="majorBidi"/>
                <w:sz w:val="20"/>
                <w:szCs w:val="20"/>
              </w:rPr>
            </w:pPr>
            <w:r>
              <w:rPr>
                <w:rFonts w:asciiTheme="majorBidi" w:hAnsiTheme="majorBidi"/>
                <w:sz w:val="20"/>
              </w:rPr>
              <w:t xml:space="preserve">12 meses </w:t>
            </w:r>
            <w:r w:rsidR="00D56D20">
              <w:rPr>
                <w:rFonts w:asciiTheme="majorBidi" w:hAnsiTheme="majorBidi"/>
                <w:sz w:val="20"/>
              </w:rPr>
              <w:t>después del</w:t>
            </w:r>
            <w:r>
              <w:rPr>
                <w:rFonts w:asciiTheme="majorBidi" w:hAnsiTheme="majorBidi"/>
                <w:sz w:val="20"/>
              </w:rPr>
              <w:t xml:space="preserve"> cierre operativo</w:t>
            </w:r>
          </w:p>
        </w:tc>
      </w:tr>
      <w:tr w:rsidR="00E45D7C" w:rsidRPr="00E45D7C" w14:paraId="4FFFCDF8" w14:textId="77777777" w:rsidTr="004C3CF0">
        <w:trPr>
          <w:trHeight w:val="226"/>
        </w:trPr>
        <w:tc>
          <w:tcPr>
            <w:tcW w:w="829" w:type="pct"/>
            <w:tcMar>
              <w:left w:w="72" w:type="dxa"/>
              <w:right w:w="72" w:type="dxa"/>
            </w:tcMar>
            <w:hideMark/>
          </w:tcPr>
          <w:p w14:paraId="1DEC656A" w14:textId="77777777" w:rsidR="00047B4C" w:rsidRPr="00E45D7C" w:rsidRDefault="00047B4C" w:rsidP="00A618E9">
            <w:pPr>
              <w:rPr>
                <w:rFonts w:asciiTheme="majorBidi" w:hAnsiTheme="majorBidi" w:cstheme="majorBidi"/>
                <w:sz w:val="20"/>
                <w:szCs w:val="20"/>
              </w:rPr>
            </w:pPr>
            <w:r>
              <w:rPr>
                <w:rFonts w:asciiTheme="majorBidi" w:hAnsiTheme="majorBidi"/>
                <w:sz w:val="20"/>
              </w:rPr>
              <w:t>Administrativo</w:t>
            </w:r>
          </w:p>
        </w:tc>
        <w:tc>
          <w:tcPr>
            <w:tcW w:w="1123" w:type="pct"/>
            <w:tcMar>
              <w:left w:w="72" w:type="dxa"/>
              <w:right w:w="72" w:type="dxa"/>
            </w:tcMar>
            <w:hideMark/>
          </w:tcPr>
          <w:p w14:paraId="10FB5885" w14:textId="798ACB23" w:rsidR="00047B4C" w:rsidRPr="00E45D7C" w:rsidRDefault="0053061F" w:rsidP="00A618E9">
            <w:pPr>
              <w:jc w:val="left"/>
              <w:rPr>
                <w:rFonts w:asciiTheme="majorBidi" w:hAnsiTheme="majorBidi" w:cstheme="majorBidi"/>
                <w:sz w:val="20"/>
                <w:szCs w:val="20"/>
              </w:rPr>
            </w:pPr>
            <w:r>
              <w:rPr>
                <w:rFonts w:asciiTheme="majorBidi" w:hAnsiTheme="majorBidi"/>
                <w:sz w:val="20"/>
              </w:rPr>
              <w:t xml:space="preserve">Presentación en fecha </w:t>
            </w:r>
            <w:r w:rsidR="00047B4C">
              <w:rPr>
                <w:rFonts w:asciiTheme="majorBidi" w:hAnsiTheme="majorBidi"/>
                <w:sz w:val="20"/>
              </w:rPr>
              <w:t>de informes de finalización de proyectos</w:t>
            </w:r>
          </w:p>
        </w:tc>
        <w:tc>
          <w:tcPr>
            <w:tcW w:w="2201" w:type="pct"/>
            <w:tcMar>
              <w:left w:w="72" w:type="dxa"/>
              <w:right w:w="72" w:type="dxa"/>
            </w:tcMar>
            <w:hideMark/>
          </w:tcPr>
          <w:p w14:paraId="157FA4F6"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Presentación en fecha de los informes de finalización de proyecto según el informe sobre la marcha de las actividades</w:t>
            </w:r>
          </w:p>
        </w:tc>
        <w:tc>
          <w:tcPr>
            <w:tcW w:w="846" w:type="pct"/>
            <w:tcMar>
              <w:left w:w="29" w:type="dxa"/>
              <w:right w:w="72" w:type="dxa"/>
            </w:tcMar>
          </w:tcPr>
          <w:p w14:paraId="5CE81F26" w14:textId="77777777" w:rsidR="00047B4C" w:rsidRPr="00E45D7C" w:rsidRDefault="00047B4C" w:rsidP="00A618E9">
            <w:pPr>
              <w:jc w:val="right"/>
              <w:rPr>
                <w:rFonts w:asciiTheme="majorBidi" w:hAnsiTheme="majorBidi" w:cstheme="majorBidi"/>
                <w:sz w:val="20"/>
                <w:szCs w:val="20"/>
              </w:rPr>
            </w:pPr>
            <w:r>
              <w:rPr>
                <w:rFonts w:asciiTheme="majorBidi" w:hAnsiTheme="majorBidi"/>
                <w:sz w:val="20"/>
              </w:rPr>
              <w:t>0</w:t>
            </w:r>
          </w:p>
        </w:tc>
      </w:tr>
      <w:tr w:rsidR="00E45D7C" w:rsidRPr="00E45D7C" w14:paraId="167D159A" w14:textId="77777777" w:rsidTr="004C3CF0">
        <w:trPr>
          <w:trHeight w:val="488"/>
        </w:trPr>
        <w:tc>
          <w:tcPr>
            <w:tcW w:w="829" w:type="pct"/>
            <w:tcMar>
              <w:left w:w="72" w:type="dxa"/>
              <w:right w:w="72" w:type="dxa"/>
            </w:tcMar>
            <w:hideMark/>
          </w:tcPr>
          <w:p w14:paraId="238D82C7" w14:textId="77777777" w:rsidR="00047B4C" w:rsidRPr="00E45D7C" w:rsidRDefault="00047B4C" w:rsidP="00A618E9">
            <w:pPr>
              <w:rPr>
                <w:rFonts w:asciiTheme="majorBidi" w:hAnsiTheme="majorBidi" w:cstheme="majorBidi"/>
                <w:sz w:val="20"/>
                <w:szCs w:val="20"/>
              </w:rPr>
            </w:pPr>
            <w:r>
              <w:rPr>
                <w:rFonts w:asciiTheme="majorBidi" w:hAnsiTheme="majorBidi"/>
                <w:sz w:val="20"/>
              </w:rPr>
              <w:t>Administrativo</w:t>
            </w:r>
          </w:p>
        </w:tc>
        <w:tc>
          <w:tcPr>
            <w:tcW w:w="1123" w:type="pct"/>
            <w:tcMar>
              <w:left w:w="72" w:type="dxa"/>
              <w:right w:w="72" w:type="dxa"/>
            </w:tcMar>
            <w:hideMark/>
          </w:tcPr>
          <w:p w14:paraId="06DEE46A"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Presentación en fecha de los informes sobre la marcha de las actividades y los planes administrativos</w:t>
            </w:r>
          </w:p>
        </w:tc>
        <w:tc>
          <w:tcPr>
            <w:tcW w:w="2201" w:type="pct"/>
            <w:tcMar>
              <w:left w:w="72" w:type="dxa"/>
              <w:right w:w="72" w:type="dxa"/>
            </w:tcMar>
            <w:hideMark/>
          </w:tcPr>
          <w:p w14:paraId="2FED5B00" w14:textId="77777777" w:rsidR="00047B4C" w:rsidRPr="00E45D7C" w:rsidRDefault="00047B4C" w:rsidP="00A618E9">
            <w:pPr>
              <w:jc w:val="left"/>
              <w:rPr>
                <w:rFonts w:asciiTheme="majorBidi" w:hAnsiTheme="majorBidi" w:cstheme="majorBidi"/>
                <w:sz w:val="20"/>
                <w:szCs w:val="20"/>
              </w:rPr>
            </w:pPr>
            <w:r>
              <w:rPr>
                <w:rFonts w:asciiTheme="majorBidi" w:hAnsiTheme="majorBidi"/>
                <w:sz w:val="20"/>
              </w:rPr>
              <w:t>Presentación en fecha de los informes sobre la marcha de las actividades, los planes administrativos y las respuestas, a menos que se haya acordado otra cosa</w:t>
            </w:r>
          </w:p>
        </w:tc>
        <w:tc>
          <w:tcPr>
            <w:tcW w:w="846" w:type="pct"/>
            <w:tcMar>
              <w:left w:w="29" w:type="dxa"/>
              <w:right w:w="72" w:type="dxa"/>
            </w:tcMar>
          </w:tcPr>
          <w:p w14:paraId="3FC8D416" w14:textId="0C3B93DA" w:rsidR="00047B4C" w:rsidRPr="00E45D7C" w:rsidRDefault="00D56D20" w:rsidP="004C3CF0">
            <w:pPr>
              <w:jc w:val="right"/>
              <w:rPr>
                <w:rFonts w:asciiTheme="majorBidi" w:hAnsiTheme="majorBidi" w:cstheme="majorBidi"/>
                <w:sz w:val="20"/>
                <w:szCs w:val="20"/>
              </w:rPr>
            </w:pPr>
            <w:r>
              <w:rPr>
                <w:rFonts w:asciiTheme="majorBidi" w:hAnsiTheme="majorBidi"/>
                <w:sz w:val="20"/>
              </w:rPr>
              <w:t>En fecha</w:t>
            </w:r>
          </w:p>
        </w:tc>
      </w:tr>
    </w:tbl>
    <w:p w14:paraId="57B284F8" w14:textId="44603EF8" w:rsidR="00047B4C" w:rsidRPr="00E45D7C" w:rsidRDefault="00047B4C" w:rsidP="00047B4C">
      <w:pPr>
        <w:pStyle w:val="StyleHeader4Para4Left0Firstline0"/>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este se vea imposibilitado de presentar un tramo por motivos imputables a otro organismo principal o cooperante, o bien cuando el </w:t>
      </w:r>
      <w:r w:rsidR="004D5C25">
        <w:rPr>
          <w:rFonts w:asciiTheme="majorBidi" w:hAnsiTheme="majorBidi"/>
          <w:sz w:val="18"/>
        </w:rPr>
        <w:t>plan de gestión para la eliminación de HCFC</w:t>
      </w:r>
      <w:r>
        <w:rPr>
          <w:rFonts w:asciiTheme="majorBidi" w:hAnsiTheme="majorBidi"/>
          <w:sz w:val="18"/>
        </w:rPr>
        <w:t xml:space="preserve"> o </w:t>
      </w:r>
      <w:r w:rsidR="004D5C25">
        <w:rPr>
          <w:rFonts w:asciiTheme="majorBidi" w:hAnsiTheme="majorBidi"/>
          <w:sz w:val="18"/>
        </w:rPr>
        <w:t xml:space="preserve">el </w:t>
      </w:r>
      <w:r>
        <w:rPr>
          <w:rFonts w:asciiTheme="majorBidi" w:hAnsiTheme="majorBidi"/>
          <w:sz w:val="18"/>
        </w:rPr>
        <w:t>plan de aplicación de la Enmienda de Kigali presentado a</w:t>
      </w:r>
      <w:r w:rsidR="004D5C25">
        <w:rPr>
          <w:rFonts w:asciiTheme="majorBidi" w:hAnsiTheme="majorBidi"/>
          <w:sz w:val="18"/>
        </w:rPr>
        <w:t xml:space="preserve"> consideración de</w:t>
      </w:r>
      <w:r>
        <w:rPr>
          <w:rFonts w:asciiTheme="majorBidi" w:hAnsiTheme="majorBidi"/>
          <w:sz w:val="18"/>
        </w:rPr>
        <w:t>l Comité E</w:t>
      </w:r>
      <w:r w:rsidR="004D5C25">
        <w:rPr>
          <w:rFonts w:asciiTheme="majorBidi" w:hAnsiTheme="majorBidi"/>
          <w:sz w:val="18"/>
        </w:rPr>
        <w:t>jecutivo no fuese</w:t>
      </w:r>
      <w:r>
        <w:rPr>
          <w:rFonts w:asciiTheme="majorBidi" w:hAnsiTheme="majorBidi"/>
          <w:sz w:val="18"/>
        </w:rPr>
        <w:t xml:space="preserve"> aprobado por motivos no imputables a la oficina nacional del ozono </w:t>
      </w:r>
      <w:r w:rsidR="004D5C25">
        <w:rPr>
          <w:rFonts w:asciiTheme="majorBidi" w:hAnsiTheme="majorBidi"/>
          <w:sz w:val="18"/>
        </w:rPr>
        <w:t>y</w:t>
      </w:r>
      <w:r>
        <w:rPr>
          <w:rFonts w:asciiTheme="majorBidi" w:hAnsiTheme="majorBidi"/>
          <w:sz w:val="18"/>
        </w:rPr>
        <w:t xml:space="preserve"> al organismo.</w:t>
      </w:r>
    </w:p>
    <w:p w14:paraId="76A3F7A1" w14:textId="0BF793F4" w:rsidR="00047B4C" w:rsidRPr="00E45D7C" w:rsidRDefault="00047B4C" w:rsidP="00047B4C">
      <w:pPr>
        <w:pStyle w:val="StyleHeader4Para4Left0Firstline0"/>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el Comité Ejecutivo acuerde prorrogar la fecha de </w:t>
      </w:r>
      <w:r w:rsidR="004D5C25">
        <w:rPr>
          <w:rFonts w:asciiTheme="majorBidi" w:hAnsiTheme="majorBidi"/>
          <w:sz w:val="18"/>
        </w:rPr>
        <w:t>finalización</w:t>
      </w:r>
      <w:r>
        <w:rPr>
          <w:rFonts w:asciiTheme="majorBidi" w:hAnsiTheme="majorBidi"/>
          <w:sz w:val="18"/>
        </w:rPr>
        <w:t>.</w:t>
      </w:r>
    </w:p>
    <w:p w14:paraId="0B5FDE04" w14:textId="77777777" w:rsidR="00047B4C" w:rsidRPr="00E45D7C" w:rsidRDefault="00047B4C" w:rsidP="00047B4C">
      <w:pPr>
        <w:pStyle w:val="StyleHeader4Para4Left0Firstline0"/>
        <w:numPr>
          <w:ilvl w:val="0"/>
          <w:numId w:val="0"/>
        </w:numPr>
        <w:spacing w:after="0"/>
        <w:rPr>
          <w:rFonts w:asciiTheme="majorBidi" w:hAnsiTheme="majorBidi" w:cstheme="majorBidi"/>
          <w:sz w:val="22"/>
        </w:rPr>
      </w:pPr>
    </w:p>
    <w:p w14:paraId="77D5031C" w14:textId="77777777" w:rsidR="00047B4C" w:rsidRPr="00E45D7C" w:rsidRDefault="00047B4C" w:rsidP="00A55518">
      <w:pPr>
        <w:pStyle w:val="sub-title"/>
        <w:keepNext/>
        <w:spacing w:after="240"/>
        <w:rPr>
          <w:noProof w:val="0"/>
          <w:sz w:val="24"/>
          <w:szCs w:val="24"/>
        </w:rPr>
      </w:pPr>
      <w:r>
        <w:rPr>
          <w:sz w:val="24"/>
        </w:rPr>
        <w:t>V.</w:t>
      </w:r>
      <w:r>
        <w:rPr>
          <w:sz w:val="24"/>
        </w:rPr>
        <w:tab/>
        <w:t>Recomendación</w:t>
      </w:r>
    </w:p>
    <w:p w14:paraId="41E54A33" w14:textId="77777777" w:rsidR="00047B4C" w:rsidRPr="00E45D7C" w:rsidRDefault="00047B4C" w:rsidP="00A55518">
      <w:pPr>
        <w:pStyle w:val="Heading1"/>
        <w:keepNext/>
      </w:pPr>
      <w:r>
        <w:t>El Comité Ejecutivo podría estimar oportuno:</w:t>
      </w:r>
    </w:p>
    <w:p w14:paraId="145C5847" w14:textId="2D96A0B0" w:rsidR="00047B4C" w:rsidRPr="00E45D7C" w:rsidRDefault="00047B4C" w:rsidP="00D56D20">
      <w:pPr>
        <w:pStyle w:val="Heading2"/>
        <w:keepNext/>
        <w:numPr>
          <w:ilvl w:val="1"/>
          <w:numId w:val="23"/>
        </w:numPr>
      </w:pPr>
      <w:r>
        <w:t xml:space="preserve">Tomar nota del plan administrativo del Banco Mundial para </w:t>
      </w:r>
      <w:r w:rsidR="00D56D20">
        <w:t xml:space="preserve">el período </w:t>
      </w:r>
      <w:r>
        <w:t>2026-2028 que se recoge en el documento UNEP/OzL.Pro/ExCom/97/25; y</w:t>
      </w:r>
    </w:p>
    <w:p w14:paraId="35B355CA" w14:textId="447534F9" w:rsidR="00047B4C" w:rsidRPr="00E45D7C" w:rsidRDefault="00047B4C" w:rsidP="00D56D20">
      <w:pPr>
        <w:pStyle w:val="Heading2"/>
        <w:numPr>
          <w:ilvl w:val="1"/>
          <w:numId w:val="23"/>
        </w:numPr>
      </w:pPr>
      <w:r>
        <w:t>Aprobar los indicadores de desempeño para el Banco Mundial que se indican en el cuadro</w:t>
      </w:r>
      <w:r w:rsidR="0053061F">
        <w:t> </w:t>
      </w:r>
      <w:r>
        <w:t>4 del documento UNEP/OzL.Pro/ExCom/97/25.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45D7C" w14:paraId="2B894D8C" w14:textId="77777777" w:rsidTr="00047B4C">
        <w:tc>
          <w:tcPr>
            <w:tcW w:w="1871" w:type="dxa"/>
          </w:tcPr>
          <w:p w14:paraId="4F15233B" w14:textId="77777777" w:rsidR="00E85409" w:rsidRPr="00E45D7C" w:rsidRDefault="00E85409" w:rsidP="00FB077C"/>
        </w:tc>
        <w:tc>
          <w:tcPr>
            <w:tcW w:w="1872" w:type="dxa"/>
          </w:tcPr>
          <w:p w14:paraId="78F56DBD" w14:textId="77777777" w:rsidR="00E85409" w:rsidRPr="00E45D7C" w:rsidRDefault="00E85409" w:rsidP="00FB077C"/>
        </w:tc>
        <w:tc>
          <w:tcPr>
            <w:tcW w:w="1872" w:type="dxa"/>
            <w:tcBorders>
              <w:bottom w:val="single" w:sz="4" w:space="0" w:color="auto"/>
            </w:tcBorders>
          </w:tcPr>
          <w:p w14:paraId="7A7FEDA8" w14:textId="77777777" w:rsidR="00E85409" w:rsidRPr="00E45D7C" w:rsidRDefault="00E85409" w:rsidP="00FB077C"/>
        </w:tc>
        <w:tc>
          <w:tcPr>
            <w:tcW w:w="1872" w:type="dxa"/>
          </w:tcPr>
          <w:p w14:paraId="18CD4BEE" w14:textId="77777777" w:rsidR="00E85409" w:rsidRPr="00E45D7C" w:rsidRDefault="00E85409" w:rsidP="00FB077C"/>
        </w:tc>
        <w:tc>
          <w:tcPr>
            <w:tcW w:w="1873" w:type="dxa"/>
          </w:tcPr>
          <w:p w14:paraId="16E6B3B8" w14:textId="77777777" w:rsidR="00E85409" w:rsidRPr="00E45D7C" w:rsidRDefault="00E85409" w:rsidP="00FB077C"/>
        </w:tc>
      </w:tr>
    </w:tbl>
    <w:p w14:paraId="4D70B413" w14:textId="77777777" w:rsidR="00E85409" w:rsidRPr="00E45D7C" w:rsidRDefault="00E85409" w:rsidP="004E7F9C"/>
    <w:sectPr w:rsidR="00E85409" w:rsidRPr="00E45D7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5A0A9" w14:textId="77777777" w:rsidR="00BE1699" w:rsidRDefault="00BE1699" w:rsidP="004A504B">
      <w:r>
        <w:separator/>
      </w:r>
    </w:p>
  </w:endnote>
  <w:endnote w:type="continuationSeparator" w:id="0">
    <w:p w14:paraId="23F84C48" w14:textId="77777777" w:rsidR="00BE1699" w:rsidRDefault="00BE169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3A51" w14:textId="2FDD7EE7" w:rsidR="00DC6A10" w:rsidRPr="0033525D" w:rsidRDefault="00BC2495">
    <w:pPr>
      <w:jc w:val="center"/>
    </w:pPr>
    <w:r>
      <w:fldChar w:fldCharType="begin"/>
    </w:r>
    <w:r w:rsidR="00851352">
      <w:instrText xml:space="preserve"> PAGE </w:instrText>
    </w:r>
    <w:r>
      <w:fldChar w:fldCharType="separate"/>
    </w:r>
    <w:r w:rsidR="001C4D40">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B9D5" w14:textId="2000BB31" w:rsidR="00DC6A10" w:rsidRPr="0033525D" w:rsidRDefault="00BC2495">
    <w:pPr>
      <w:jc w:val="center"/>
    </w:pPr>
    <w:r>
      <w:fldChar w:fldCharType="begin"/>
    </w:r>
    <w:r w:rsidR="00851352">
      <w:instrText xml:space="preserve"> PAGE </w:instrText>
    </w:r>
    <w:r>
      <w:fldChar w:fldCharType="separate"/>
    </w:r>
    <w:r w:rsidR="001C4D40">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52D0" w14:textId="36B81795"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C9B47" w14:textId="77777777" w:rsidR="00BE1699" w:rsidRDefault="00BE1699" w:rsidP="004A504B">
      <w:r>
        <w:separator/>
      </w:r>
    </w:p>
  </w:footnote>
  <w:footnote w:type="continuationSeparator" w:id="0">
    <w:p w14:paraId="7A5A4F6C" w14:textId="77777777" w:rsidR="00BE1699" w:rsidRDefault="00BE1699" w:rsidP="004A504B">
      <w:r>
        <w:continuationSeparator/>
      </w:r>
    </w:p>
  </w:footnote>
  <w:footnote w:id="1">
    <w:p w14:paraId="7FC24A9A" w14:textId="77777777" w:rsidR="0079781A" w:rsidRPr="00E45D7C" w:rsidRDefault="0079781A" w:rsidP="0079781A">
      <w:pPr>
        <w:pStyle w:val="FootnoteText"/>
      </w:pPr>
      <w:r>
        <w:rPr>
          <w:rStyle w:val="FootnoteReference"/>
        </w:rPr>
        <w:footnoteRef/>
      </w:r>
      <w:r>
        <w:t xml:space="preserve"> UNEP/OzL.Pro/ExCom/97/1</w:t>
      </w:r>
    </w:p>
  </w:footnote>
  <w:footnote w:id="2">
    <w:p w14:paraId="3BEEF07D" w14:textId="19A8A0B2" w:rsidR="00047B4C" w:rsidRPr="00E45D7C" w:rsidRDefault="00047B4C" w:rsidP="00047B4C">
      <w:pPr>
        <w:pStyle w:val="FootnoteText"/>
      </w:pPr>
      <w:r>
        <w:rPr>
          <w:rStyle w:val="FootnoteReference"/>
        </w:rPr>
        <w:footnoteRef/>
      </w:r>
      <w:r w:rsidR="0096779D">
        <w:t> </w:t>
      </w:r>
      <w:r>
        <w:t xml:space="preserve">El Comité Ejecutivo estableció una ventana de financiamiento para proyectos desarrollados y ejecutados </w:t>
      </w:r>
      <w:r w:rsidR="0096779D">
        <w:t>bajo</w:t>
      </w:r>
      <w:r>
        <w:t xml:space="preserve"> el marco operativo </w:t>
      </w:r>
      <w:r w:rsidR="0096779D">
        <w:t xml:space="preserve">destinados </w:t>
      </w:r>
      <w:r>
        <w:t xml:space="preserve">a apoyar el mantenimiento y/o la potenciación de la eficiencia energética </w:t>
      </w:r>
      <w:r w:rsidR="00D56D20">
        <w:t>en el contexto de</w:t>
      </w:r>
      <w:r>
        <w:t xml:space="preserve"> la reducción de HFC.</w:t>
      </w:r>
    </w:p>
  </w:footnote>
  <w:footnote w:id="3">
    <w:p w14:paraId="588CB789" w14:textId="334BF292" w:rsidR="00047B4C" w:rsidRPr="00E45D7C" w:rsidRDefault="00047B4C" w:rsidP="00047B4C">
      <w:pPr>
        <w:pStyle w:val="FootnoteText"/>
      </w:pPr>
      <w:r>
        <w:rPr>
          <w:rStyle w:val="FootnoteReference"/>
        </w:rPr>
        <w:footnoteRef/>
      </w:r>
      <w:r w:rsidR="00D56D20">
        <w:t> </w:t>
      </w:r>
      <w:r>
        <w:t>El Comité Ejecutivo estableció una ventana de financiamiento de USD 40 millones para dos proyectos de eficiencia energética para usuarios finales empleando un mecanismo de fondo rotatorio desarrollado y apoyado por organismos de ejecución, con una duración de ocho años, luego de los cuales los fondos se devolverí</w:t>
      </w:r>
      <w:r w:rsidR="00D56D20">
        <w:t>an al Fondo Multilateral, en el</w:t>
      </w:r>
      <w:r>
        <w:t xml:space="preserve"> entendido de que no se pondría en funcionamiento hasta tanto el Comité Ejecutivo no hubiera acordado las modalidades de operacionalización del fondo rotatorio (decisión 95/87). Posteriormente, se acordaron dichas modalidades en la 96</w:t>
      </w:r>
      <w:r>
        <w:rPr>
          <w:vertAlign w:val="superscript"/>
        </w:rPr>
        <w:t>a</w:t>
      </w:r>
      <w:r>
        <w:t xml:space="preserve"> reunión (decisión 96/51).</w:t>
      </w:r>
    </w:p>
  </w:footnote>
  <w:footnote w:id="4">
    <w:p w14:paraId="470C6480" w14:textId="4863ED8D" w:rsidR="00B1592F" w:rsidRPr="00E45D7C" w:rsidRDefault="00B1592F" w:rsidP="00B1592F">
      <w:pPr>
        <w:pStyle w:val="FootnoteText"/>
      </w:pPr>
      <w:r>
        <w:rPr>
          <w:rStyle w:val="FootnoteReference"/>
        </w:rPr>
        <w:footnoteRef/>
      </w:r>
      <w:r w:rsidR="00D56D20">
        <w:t> </w:t>
      </w:r>
      <w:r>
        <w:t>Los costos de la unidad central del Banco Mundial para 2026 se considerarán en la 97ª reunión (UNEP/OzL.Pro/ExCom/97/84).</w:t>
      </w:r>
    </w:p>
  </w:footnote>
  <w:footnote w:id="5">
    <w:p w14:paraId="4339C0BE" w14:textId="7592E5D0" w:rsidR="00047B4C" w:rsidRPr="00E45D7C" w:rsidRDefault="00047B4C" w:rsidP="00047B4C">
      <w:pPr>
        <w:pStyle w:val="FootnoteText"/>
      </w:pPr>
      <w:r>
        <w:rPr>
          <w:rStyle w:val="FootnoteReference"/>
        </w:rPr>
        <w:footnoteRef/>
      </w:r>
      <w: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98A" w14:textId="285B5D0C" w:rsidR="00DC6A10" w:rsidRPr="0033525D" w:rsidRDefault="00BE1699">
    <w:fldSimple w:instr=" DOCPROPERTY &quot;Document number&quot;  \* MERGEFORMAT ">
      <w:r w:rsidR="00D56D20">
        <w:t>UNEP/OzL.Pro/ExCom/97/25</w:t>
      </w:r>
    </w:fldSimple>
  </w:p>
  <w:p w14:paraId="75A07631" w14:textId="77777777" w:rsidR="00DC6A10" w:rsidRPr="0033525D" w:rsidRDefault="00DC6A10"/>
  <w:p w14:paraId="27E3257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0691" w14:textId="1DB87F85" w:rsidR="00DC6A10" w:rsidRPr="0033525D" w:rsidRDefault="00BE1699">
    <w:pPr>
      <w:jc w:val="right"/>
    </w:pPr>
    <w:fldSimple w:instr=" DOCPROPERTY &quot;Document number&quot;  \* MERGEFORMAT ">
      <w:r w:rsidR="00D56D20">
        <w:t>UNEP/OzL.Pro/ExCom/97/25</w:t>
      </w:r>
    </w:fldSimple>
  </w:p>
  <w:p w14:paraId="324CA897" w14:textId="77777777" w:rsidR="00DC6A10" w:rsidRPr="0033525D" w:rsidRDefault="00DC6A10"/>
  <w:p w14:paraId="41EC806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9EBB02"/>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300F49"/>
    <w:multiLevelType w:val="multilevel"/>
    <w:tmpl w:val="265E6F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17013">
    <w:abstractNumId w:val="10"/>
  </w:num>
  <w:num w:numId="2" w16cid:durableId="1078602209">
    <w:abstractNumId w:val="10"/>
  </w:num>
  <w:num w:numId="3" w16cid:durableId="1847403340">
    <w:abstractNumId w:val="10"/>
  </w:num>
  <w:num w:numId="4" w16cid:durableId="259680518">
    <w:abstractNumId w:val="10"/>
  </w:num>
  <w:num w:numId="5" w16cid:durableId="1851525476">
    <w:abstractNumId w:val="10"/>
  </w:num>
  <w:num w:numId="6" w16cid:durableId="1408112925">
    <w:abstractNumId w:val="9"/>
  </w:num>
  <w:num w:numId="7" w16cid:durableId="164129122">
    <w:abstractNumId w:val="7"/>
  </w:num>
  <w:num w:numId="8" w16cid:durableId="1682513184">
    <w:abstractNumId w:val="6"/>
  </w:num>
  <w:num w:numId="9" w16cid:durableId="372929945">
    <w:abstractNumId w:val="5"/>
  </w:num>
  <w:num w:numId="10" w16cid:durableId="1053433649">
    <w:abstractNumId w:val="4"/>
  </w:num>
  <w:num w:numId="11" w16cid:durableId="49422143">
    <w:abstractNumId w:val="8"/>
  </w:num>
  <w:num w:numId="12" w16cid:durableId="764347807">
    <w:abstractNumId w:val="3"/>
  </w:num>
  <w:num w:numId="13" w16cid:durableId="572012261">
    <w:abstractNumId w:val="2"/>
  </w:num>
  <w:num w:numId="14" w16cid:durableId="391734277">
    <w:abstractNumId w:val="1"/>
  </w:num>
  <w:num w:numId="15" w16cid:durableId="1641420430">
    <w:abstractNumId w:val="0"/>
  </w:num>
  <w:num w:numId="16" w16cid:durableId="1642491158">
    <w:abstractNumId w:val="12"/>
  </w:num>
  <w:num w:numId="17" w16cid:durableId="1956597884">
    <w:abstractNumId w:val="14"/>
  </w:num>
  <w:num w:numId="18" w16cid:durableId="1739204069">
    <w:abstractNumId w:val="15"/>
  </w:num>
  <w:num w:numId="19" w16cid:durableId="1263340259">
    <w:abstractNumId w:val="17"/>
  </w:num>
  <w:num w:numId="20" w16cid:durableId="77022941">
    <w:abstractNumId w:val="13"/>
  </w:num>
  <w:num w:numId="21" w16cid:durableId="1136919643">
    <w:abstractNumId w:val="13"/>
    <w:lvlOverride w:ilvl="0">
      <w:startOverride w:val="1"/>
    </w:lvlOverride>
  </w:num>
  <w:num w:numId="22" w16cid:durableId="1941597933">
    <w:abstractNumId w:val="16"/>
  </w:num>
  <w:num w:numId="23" w16cid:durableId="183444864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47B4C"/>
    <w:rsid w:val="00000FED"/>
    <w:rsid w:val="0000434E"/>
    <w:rsid w:val="00004CAF"/>
    <w:rsid w:val="000211A9"/>
    <w:rsid w:val="00021238"/>
    <w:rsid w:val="00022071"/>
    <w:rsid w:val="00022B68"/>
    <w:rsid w:val="00024D31"/>
    <w:rsid w:val="00024DC8"/>
    <w:rsid w:val="00026119"/>
    <w:rsid w:val="00031260"/>
    <w:rsid w:val="0003681A"/>
    <w:rsid w:val="000372B7"/>
    <w:rsid w:val="00044353"/>
    <w:rsid w:val="00046732"/>
    <w:rsid w:val="00047B4C"/>
    <w:rsid w:val="00050F6E"/>
    <w:rsid w:val="00061EC2"/>
    <w:rsid w:val="00064B22"/>
    <w:rsid w:val="00064B69"/>
    <w:rsid w:val="00066CE8"/>
    <w:rsid w:val="00080ED0"/>
    <w:rsid w:val="00085B8F"/>
    <w:rsid w:val="00090073"/>
    <w:rsid w:val="00090481"/>
    <w:rsid w:val="00092038"/>
    <w:rsid w:val="000A3826"/>
    <w:rsid w:val="000A6C26"/>
    <w:rsid w:val="000B36C8"/>
    <w:rsid w:val="000D52A4"/>
    <w:rsid w:val="000E07BC"/>
    <w:rsid w:val="000E2E21"/>
    <w:rsid w:val="000E4D27"/>
    <w:rsid w:val="000F10ED"/>
    <w:rsid w:val="000F1CD4"/>
    <w:rsid w:val="000F4103"/>
    <w:rsid w:val="000F70A7"/>
    <w:rsid w:val="00107A3F"/>
    <w:rsid w:val="00113CCA"/>
    <w:rsid w:val="0011455E"/>
    <w:rsid w:val="00117D77"/>
    <w:rsid w:val="00122F25"/>
    <w:rsid w:val="00135980"/>
    <w:rsid w:val="0013786F"/>
    <w:rsid w:val="00140F8D"/>
    <w:rsid w:val="00146D81"/>
    <w:rsid w:val="00162F37"/>
    <w:rsid w:val="001646F9"/>
    <w:rsid w:val="00164719"/>
    <w:rsid w:val="00166FC4"/>
    <w:rsid w:val="001677AC"/>
    <w:rsid w:val="0017263B"/>
    <w:rsid w:val="00176B46"/>
    <w:rsid w:val="001804EA"/>
    <w:rsid w:val="00187B0F"/>
    <w:rsid w:val="00190A61"/>
    <w:rsid w:val="00197179"/>
    <w:rsid w:val="001A2215"/>
    <w:rsid w:val="001A3342"/>
    <w:rsid w:val="001A3E3D"/>
    <w:rsid w:val="001A7049"/>
    <w:rsid w:val="001B1E40"/>
    <w:rsid w:val="001C4D40"/>
    <w:rsid w:val="001C764E"/>
    <w:rsid w:val="001D00D8"/>
    <w:rsid w:val="001E1052"/>
    <w:rsid w:val="001E21B1"/>
    <w:rsid w:val="001E2F93"/>
    <w:rsid w:val="001E4554"/>
    <w:rsid w:val="001E61E5"/>
    <w:rsid w:val="001F2159"/>
    <w:rsid w:val="001F53FD"/>
    <w:rsid w:val="002024B6"/>
    <w:rsid w:val="00204AF9"/>
    <w:rsid w:val="00206ADB"/>
    <w:rsid w:val="00210B8B"/>
    <w:rsid w:val="00214863"/>
    <w:rsid w:val="002156B4"/>
    <w:rsid w:val="00224FCD"/>
    <w:rsid w:val="00253222"/>
    <w:rsid w:val="00261C13"/>
    <w:rsid w:val="00262847"/>
    <w:rsid w:val="00266B5D"/>
    <w:rsid w:val="002675E4"/>
    <w:rsid w:val="00281BB2"/>
    <w:rsid w:val="0029618C"/>
    <w:rsid w:val="002A03C3"/>
    <w:rsid w:val="002A501A"/>
    <w:rsid w:val="002B254E"/>
    <w:rsid w:val="002B4CE8"/>
    <w:rsid w:val="002B5425"/>
    <w:rsid w:val="002B72E9"/>
    <w:rsid w:val="002C32FC"/>
    <w:rsid w:val="002C48B9"/>
    <w:rsid w:val="002C7998"/>
    <w:rsid w:val="002E01C7"/>
    <w:rsid w:val="002F1E53"/>
    <w:rsid w:val="002F2CAA"/>
    <w:rsid w:val="0030052C"/>
    <w:rsid w:val="00301810"/>
    <w:rsid w:val="00305F78"/>
    <w:rsid w:val="00307DA9"/>
    <w:rsid w:val="00311E25"/>
    <w:rsid w:val="0031604A"/>
    <w:rsid w:val="003306E1"/>
    <w:rsid w:val="003320E4"/>
    <w:rsid w:val="00334070"/>
    <w:rsid w:val="0033525D"/>
    <w:rsid w:val="003414F3"/>
    <w:rsid w:val="00343699"/>
    <w:rsid w:val="003509C4"/>
    <w:rsid w:val="0035613E"/>
    <w:rsid w:val="003575D5"/>
    <w:rsid w:val="00363EE9"/>
    <w:rsid w:val="0037061B"/>
    <w:rsid w:val="00371252"/>
    <w:rsid w:val="00375109"/>
    <w:rsid w:val="00376128"/>
    <w:rsid w:val="0037742E"/>
    <w:rsid w:val="00377D56"/>
    <w:rsid w:val="0038245A"/>
    <w:rsid w:val="003840E6"/>
    <w:rsid w:val="00385CFC"/>
    <w:rsid w:val="0039337A"/>
    <w:rsid w:val="0039764E"/>
    <w:rsid w:val="003A3189"/>
    <w:rsid w:val="003A3CA7"/>
    <w:rsid w:val="003B33BD"/>
    <w:rsid w:val="003B569D"/>
    <w:rsid w:val="003C2AFA"/>
    <w:rsid w:val="003C3C0E"/>
    <w:rsid w:val="003C6F73"/>
    <w:rsid w:val="003D42A6"/>
    <w:rsid w:val="003D4F21"/>
    <w:rsid w:val="003D4FAC"/>
    <w:rsid w:val="003D69F0"/>
    <w:rsid w:val="003E1885"/>
    <w:rsid w:val="003E7906"/>
    <w:rsid w:val="003F000F"/>
    <w:rsid w:val="003F065E"/>
    <w:rsid w:val="003F3C50"/>
    <w:rsid w:val="004045DF"/>
    <w:rsid w:val="00406202"/>
    <w:rsid w:val="00406A6A"/>
    <w:rsid w:val="00406B22"/>
    <w:rsid w:val="00407147"/>
    <w:rsid w:val="004078FA"/>
    <w:rsid w:val="00431E08"/>
    <w:rsid w:val="004328A7"/>
    <w:rsid w:val="00434C74"/>
    <w:rsid w:val="004406A9"/>
    <w:rsid w:val="0045430D"/>
    <w:rsid w:val="004560A6"/>
    <w:rsid w:val="00456EB4"/>
    <w:rsid w:val="00457827"/>
    <w:rsid w:val="00466551"/>
    <w:rsid w:val="004718F3"/>
    <w:rsid w:val="00475040"/>
    <w:rsid w:val="00490C06"/>
    <w:rsid w:val="00493D40"/>
    <w:rsid w:val="00493EE3"/>
    <w:rsid w:val="00494DE6"/>
    <w:rsid w:val="004967B6"/>
    <w:rsid w:val="004971B7"/>
    <w:rsid w:val="004A504B"/>
    <w:rsid w:val="004A6911"/>
    <w:rsid w:val="004B3652"/>
    <w:rsid w:val="004B54E0"/>
    <w:rsid w:val="004B7384"/>
    <w:rsid w:val="004C3CF0"/>
    <w:rsid w:val="004C4269"/>
    <w:rsid w:val="004C5673"/>
    <w:rsid w:val="004D5C25"/>
    <w:rsid w:val="004D6236"/>
    <w:rsid w:val="004D7F90"/>
    <w:rsid w:val="004E4DBB"/>
    <w:rsid w:val="004E4E41"/>
    <w:rsid w:val="004E73DB"/>
    <w:rsid w:val="004E7F9C"/>
    <w:rsid w:val="004F3493"/>
    <w:rsid w:val="004F4988"/>
    <w:rsid w:val="004F5143"/>
    <w:rsid w:val="00512B09"/>
    <w:rsid w:val="00513B0A"/>
    <w:rsid w:val="005220ED"/>
    <w:rsid w:val="0053061F"/>
    <w:rsid w:val="00533796"/>
    <w:rsid w:val="00537343"/>
    <w:rsid w:val="00550468"/>
    <w:rsid w:val="005516F3"/>
    <w:rsid w:val="00554598"/>
    <w:rsid w:val="00555D75"/>
    <w:rsid w:val="00560DF0"/>
    <w:rsid w:val="0056759C"/>
    <w:rsid w:val="005841B3"/>
    <w:rsid w:val="005849D9"/>
    <w:rsid w:val="0059513E"/>
    <w:rsid w:val="00597A3C"/>
    <w:rsid w:val="005A6AA4"/>
    <w:rsid w:val="005A6D9F"/>
    <w:rsid w:val="005B0542"/>
    <w:rsid w:val="005B199D"/>
    <w:rsid w:val="005B48FF"/>
    <w:rsid w:val="005B6B20"/>
    <w:rsid w:val="005C1E32"/>
    <w:rsid w:val="005C5DD1"/>
    <w:rsid w:val="005C670D"/>
    <w:rsid w:val="005C714C"/>
    <w:rsid w:val="005D216F"/>
    <w:rsid w:val="005D2217"/>
    <w:rsid w:val="005D363F"/>
    <w:rsid w:val="005F354F"/>
    <w:rsid w:val="00604C15"/>
    <w:rsid w:val="00611240"/>
    <w:rsid w:val="006158D5"/>
    <w:rsid w:val="00623C8F"/>
    <w:rsid w:val="00625D83"/>
    <w:rsid w:val="00644E5D"/>
    <w:rsid w:val="00651984"/>
    <w:rsid w:val="006623E7"/>
    <w:rsid w:val="00662B80"/>
    <w:rsid w:val="0066768F"/>
    <w:rsid w:val="00670F6C"/>
    <w:rsid w:val="006730F4"/>
    <w:rsid w:val="00676E58"/>
    <w:rsid w:val="00677A2B"/>
    <w:rsid w:val="006822CB"/>
    <w:rsid w:val="006852C7"/>
    <w:rsid w:val="006852CE"/>
    <w:rsid w:val="00692D14"/>
    <w:rsid w:val="00695E8F"/>
    <w:rsid w:val="006A7A3B"/>
    <w:rsid w:val="006B65C7"/>
    <w:rsid w:val="006C134C"/>
    <w:rsid w:val="006C1727"/>
    <w:rsid w:val="006C32FD"/>
    <w:rsid w:val="006C39CE"/>
    <w:rsid w:val="006C7D1E"/>
    <w:rsid w:val="006D0FCC"/>
    <w:rsid w:val="006D21F5"/>
    <w:rsid w:val="006D3089"/>
    <w:rsid w:val="006E126D"/>
    <w:rsid w:val="006E1FC3"/>
    <w:rsid w:val="00703D7D"/>
    <w:rsid w:val="00704CE9"/>
    <w:rsid w:val="00704F89"/>
    <w:rsid w:val="0070616B"/>
    <w:rsid w:val="00706295"/>
    <w:rsid w:val="00706FDA"/>
    <w:rsid w:val="00711F9A"/>
    <w:rsid w:val="00713810"/>
    <w:rsid w:val="00714EB0"/>
    <w:rsid w:val="00724AE7"/>
    <w:rsid w:val="007303A5"/>
    <w:rsid w:val="00730B3E"/>
    <w:rsid w:val="0073420B"/>
    <w:rsid w:val="00736367"/>
    <w:rsid w:val="0074760E"/>
    <w:rsid w:val="00750130"/>
    <w:rsid w:val="0075143D"/>
    <w:rsid w:val="007514BB"/>
    <w:rsid w:val="007548C4"/>
    <w:rsid w:val="00754ABA"/>
    <w:rsid w:val="007624A2"/>
    <w:rsid w:val="00766F10"/>
    <w:rsid w:val="00782B0D"/>
    <w:rsid w:val="00784FD4"/>
    <w:rsid w:val="0079781A"/>
    <w:rsid w:val="007A1546"/>
    <w:rsid w:val="007A19AF"/>
    <w:rsid w:val="007A228C"/>
    <w:rsid w:val="007A368E"/>
    <w:rsid w:val="007A5868"/>
    <w:rsid w:val="007A65AF"/>
    <w:rsid w:val="007B04CE"/>
    <w:rsid w:val="007B2497"/>
    <w:rsid w:val="007B6871"/>
    <w:rsid w:val="007B7A2F"/>
    <w:rsid w:val="007C2B69"/>
    <w:rsid w:val="007C32EE"/>
    <w:rsid w:val="007C3D33"/>
    <w:rsid w:val="007D294A"/>
    <w:rsid w:val="007D47D2"/>
    <w:rsid w:val="007D62D7"/>
    <w:rsid w:val="007D6EC0"/>
    <w:rsid w:val="007D7E1D"/>
    <w:rsid w:val="007E13FB"/>
    <w:rsid w:val="007E503C"/>
    <w:rsid w:val="007F3492"/>
    <w:rsid w:val="0080345C"/>
    <w:rsid w:val="00805D58"/>
    <w:rsid w:val="0082522F"/>
    <w:rsid w:val="00831979"/>
    <w:rsid w:val="008447A9"/>
    <w:rsid w:val="0084798D"/>
    <w:rsid w:val="00851352"/>
    <w:rsid w:val="0085580C"/>
    <w:rsid w:val="00856994"/>
    <w:rsid w:val="00857077"/>
    <w:rsid w:val="008613DA"/>
    <w:rsid w:val="00863230"/>
    <w:rsid w:val="00865BD0"/>
    <w:rsid w:val="008717D8"/>
    <w:rsid w:val="0087191F"/>
    <w:rsid w:val="0087215C"/>
    <w:rsid w:val="00875D25"/>
    <w:rsid w:val="00880E35"/>
    <w:rsid w:val="008834E2"/>
    <w:rsid w:val="008875FE"/>
    <w:rsid w:val="00887F8E"/>
    <w:rsid w:val="00896234"/>
    <w:rsid w:val="00897E43"/>
    <w:rsid w:val="008B7606"/>
    <w:rsid w:val="008C222B"/>
    <w:rsid w:val="008C2AE3"/>
    <w:rsid w:val="008C2E24"/>
    <w:rsid w:val="008C5738"/>
    <w:rsid w:val="008C7EAD"/>
    <w:rsid w:val="008D0CFE"/>
    <w:rsid w:val="008D6152"/>
    <w:rsid w:val="008E4905"/>
    <w:rsid w:val="008E7BA9"/>
    <w:rsid w:val="008F0F81"/>
    <w:rsid w:val="008F27BF"/>
    <w:rsid w:val="008F2E64"/>
    <w:rsid w:val="00906362"/>
    <w:rsid w:val="009142EC"/>
    <w:rsid w:val="009145E4"/>
    <w:rsid w:val="009154C3"/>
    <w:rsid w:val="00922C1E"/>
    <w:rsid w:val="00923540"/>
    <w:rsid w:val="00924AD2"/>
    <w:rsid w:val="00926767"/>
    <w:rsid w:val="00932A22"/>
    <w:rsid w:val="009361D5"/>
    <w:rsid w:val="009428A4"/>
    <w:rsid w:val="00947E4A"/>
    <w:rsid w:val="009659F4"/>
    <w:rsid w:val="0096779D"/>
    <w:rsid w:val="00970D60"/>
    <w:rsid w:val="00972BB8"/>
    <w:rsid w:val="009874D0"/>
    <w:rsid w:val="0099390E"/>
    <w:rsid w:val="00994022"/>
    <w:rsid w:val="00995DB7"/>
    <w:rsid w:val="009960E5"/>
    <w:rsid w:val="009A7ADC"/>
    <w:rsid w:val="009B0D30"/>
    <w:rsid w:val="009C19B7"/>
    <w:rsid w:val="009C5ABB"/>
    <w:rsid w:val="009D2642"/>
    <w:rsid w:val="009D7C51"/>
    <w:rsid w:val="009E196C"/>
    <w:rsid w:val="009E2EB0"/>
    <w:rsid w:val="009E66A3"/>
    <w:rsid w:val="009E6A0A"/>
    <w:rsid w:val="009E7F0D"/>
    <w:rsid w:val="009F36BF"/>
    <w:rsid w:val="00A03D21"/>
    <w:rsid w:val="00A111B6"/>
    <w:rsid w:val="00A13E88"/>
    <w:rsid w:val="00A149D5"/>
    <w:rsid w:val="00A14A8E"/>
    <w:rsid w:val="00A25DC3"/>
    <w:rsid w:val="00A26D27"/>
    <w:rsid w:val="00A272A0"/>
    <w:rsid w:val="00A27ADA"/>
    <w:rsid w:val="00A36D1A"/>
    <w:rsid w:val="00A376EE"/>
    <w:rsid w:val="00A42A99"/>
    <w:rsid w:val="00A45B8D"/>
    <w:rsid w:val="00A5151A"/>
    <w:rsid w:val="00A55518"/>
    <w:rsid w:val="00A57E0A"/>
    <w:rsid w:val="00A77919"/>
    <w:rsid w:val="00A80C37"/>
    <w:rsid w:val="00A823F6"/>
    <w:rsid w:val="00A834BF"/>
    <w:rsid w:val="00A869FF"/>
    <w:rsid w:val="00A8719E"/>
    <w:rsid w:val="00AA0A89"/>
    <w:rsid w:val="00AA530C"/>
    <w:rsid w:val="00AA5368"/>
    <w:rsid w:val="00AA6429"/>
    <w:rsid w:val="00AC01AA"/>
    <w:rsid w:val="00AC3EE9"/>
    <w:rsid w:val="00AC4F72"/>
    <w:rsid w:val="00AC5041"/>
    <w:rsid w:val="00AD7B5A"/>
    <w:rsid w:val="00AE482E"/>
    <w:rsid w:val="00AE5C4D"/>
    <w:rsid w:val="00AF13A3"/>
    <w:rsid w:val="00AF1B39"/>
    <w:rsid w:val="00AF741A"/>
    <w:rsid w:val="00B01ADB"/>
    <w:rsid w:val="00B04161"/>
    <w:rsid w:val="00B056F9"/>
    <w:rsid w:val="00B06626"/>
    <w:rsid w:val="00B11E3D"/>
    <w:rsid w:val="00B14D2C"/>
    <w:rsid w:val="00B1592F"/>
    <w:rsid w:val="00B16377"/>
    <w:rsid w:val="00B17E82"/>
    <w:rsid w:val="00B34C03"/>
    <w:rsid w:val="00B35FCB"/>
    <w:rsid w:val="00B407A0"/>
    <w:rsid w:val="00B434C3"/>
    <w:rsid w:val="00B4575A"/>
    <w:rsid w:val="00B51D38"/>
    <w:rsid w:val="00B575BA"/>
    <w:rsid w:val="00B600A6"/>
    <w:rsid w:val="00B71608"/>
    <w:rsid w:val="00B76429"/>
    <w:rsid w:val="00B86471"/>
    <w:rsid w:val="00B956D4"/>
    <w:rsid w:val="00B97446"/>
    <w:rsid w:val="00BA4769"/>
    <w:rsid w:val="00BA4DE4"/>
    <w:rsid w:val="00BA7432"/>
    <w:rsid w:val="00BB2764"/>
    <w:rsid w:val="00BB2DDD"/>
    <w:rsid w:val="00BC1AA0"/>
    <w:rsid w:val="00BC2495"/>
    <w:rsid w:val="00BC314A"/>
    <w:rsid w:val="00BC7EB9"/>
    <w:rsid w:val="00BD2643"/>
    <w:rsid w:val="00BD2BF8"/>
    <w:rsid w:val="00BD56B1"/>
    <w:rsid w:val="00BD6558"/>
    <w:rsid w:val="00BE1699"/>
    <w:rsid w:val="00BE6C86"/>
    <w:rsid w:val="00BF2AD7"/>
    <w:rsid w:val="00BF2F76"/>
    <w:rsid w:val="00BF3022"/>
    <w:rsid w:val="00BF3214"/>
    <w:rsid w:val="00BF5573"/>
    <w:rsid w:val="00C00AEA"/>
    <w:rsid w:val="00C15867"/>
    <w:rsid w:val="00C21042"/>
    <w:rsid w:val="00C22398"/>
    <w:rsid w:val="00C2296D"/>
    <w:rsid w:val="00C23155"/>
    <w:rsid w:val="00C247A5"/>
    <w:rsid w:val="00C27922"/>
    <w:rsid w:val="00C32C35"/>
    <w:rsid w:val="00C33A64"/>
    <w:rsid w:val="00C36E70"/>
    <w:rsid w:val="00C40C41"/>
    <w:rsid w:val="00C429C2"/>
    <w:rsid w:val="00C43EEF"/>
    <w:rsid w:val="00C44EC6"/>
    <w:rsid w:val="00C45885"/>
    <w:rsid w:val="00C50F22"/>
    <w:rsid w:val="00C57971"/>
    <w:rsid w:val="00C65BD7"/>
    <w:rsid w:val="00C66C06"/>
    <w:rsid w:val="00C76BA4"/>
    <w:rsid w:val="00C83A48"/>
    <w:rsid w:val="00C85865"/>
    <w:rsid w:val="00C85E85"/>
    <w:rsid w:val="00C926C8"/>
    <w:rsid w:val="00C932D6"/>
    <w:rsid w:val="00CA2EAE"/>
    <w:rsid w:val="00CA4AC1"/>
    <w:rsid w:val="00CA59FB"/>
    <w:rsid w:val="00CB0316"/>
    <w:rsid w:val="00CB0B11"/>
    <w:rsid w:val="00CB1DBA"/>
    <w:rsid w:val="00CB426A"/>
    <w:rsid w:val="00CB5354"/>
    <w:rsid w:val="00CB7571"/>
    <w:rsid w:val="00CC3C9E"/>
    <w:rsid w:val="00CC586C"/>
    <w:rsid w:val="00CC6A14"/>
    <w:rsid w:val="00CC70A3"/>
    <w:rsid w:val="00CD2CF0"/>
    <w:rsid w:val="00CD4442"/>
    <w:rsid w:val="00CD53C3"/>
    <w:rsid w:val="00CD574E"/>
    <w:rsid w:val="00CE4C22"/>
    <w:rsid w:val="00CE76E5"/>
    <w:rsid w:val="00CF0E2D"/>
    <w:rsid w:val="00CF41EC"/>
    <w:rsid w:val="00CF5AC8"/>
    <w:rsid w:val="00CF5D04"/>
    <w:rsid w:val="00CF6516"/>
    <w:rsid w:val="00CF7D37"/>
    <w:rsid w:val="00D014A1"/>
    <w:rsid w:val="00D04DE4"/>
    <w:rsid w:val="00D063F1"/>
    <w:rsid w:val="00D11735"/>
    <w:rsid w:val="00D12B2B"/>
    <w:rsid w:val="00D138A1"/>
    <w:rsid w:val="00D14F22"/>
    <w:rsid w:val="00D26D68"/>
    <w:rsid w:val="00D33465"/>
    <w:rsid w:val="00D36A9F"/>
    <w:rsid w:val="00D4741C"/>
    <w:rsid w:val="00D52AD1"/>
    <w:rsid w:val="00D56D20"/>
    <w:rsid w:val="00D57918"/>
    <w:rsid w:val="00D73DC6"/>
    <w:rsid w:val="00D74C1A"/>
    <w:rsid w:val="00D754C1"/>
    <w:rsid w:val="00D77393"/>
    <w:rsid w:val="00D77A35"/>
    <w:rsid w:val="00D806EF"/>
    <w:rsid w:val="00D8085A"/>
    <w:rsid w:val="00D81B3E"/>
    <w:rsid w:val="00D90C70"/>
    <w:rsid w:val="00D90E49"/>
    <w:rsid w:val="00D90F15"/>
    <w:rsid w:val="00D95573"/>
    <w:rsid w:val="00D95E6E"/>
    <w:rsid w:val="00D96ADE"/>
    <w:rsid w:val="00DA0CE2"/>
    <w:rsid w:val="00DA2387"/>
    <w:rsid w:val="00DC6A10"/>
    <w:rsid w:val="00DE0434"/>
    <w:rsid w:val="00DE657E"/>
    <w:rsid w:val="00DF4704"/>
    <w:rsid w:val="00E024AA"/>
    <w:rsid w:val="00E05280"/>
    <w:rsid w:val="00E130BB"/>
    <w:rsid w:val="00E15C77"/>
    <w:rsid w:val="00E1693E"/>
    <w:rsid w:val="00E250F1"/>
    <w:rsid w:val="00E27D73"/>
    <w:rsid w:val="00E31A7F"/>
    <w:rsid w:val="00E3550D"/>
    <w:rsid w:val="00E45D7C"/>
    <w:rsid w:val="00E52838"/>
    <w:rsid w:val="00E614E0"/>
    <w:rsid w:val="00E707C0"/>
    <w:rsid w:val="00E73F7F"/>
    <w:rsid w:val="00E7430A"/>
    <w:rsid w:val="00E753E8"/>
    <w:rsid w:val="00E777C9"/>
    <w:rsid w:val="00E85409"/>
    <w:rsid w:val="00E9339B"/>
    <w:rsid w:val="00E93CB8"/>
    <w:rsid w:val="00EA429F"/>
    <w:rsid w:val="00EA4F9E"/>
    <w:rsid w:val="00EA63CA"/>
    <w:rsid w:val="00EA6D3B"/>
    <w:rsid w:val="00EA7BB5"/>
    <w:rsid w:val="00EB00AD"/>
    <w:rsid w:val="00EB136C"/>
    <w:rsid w:val="00EB480E"/>
    <w:rsid w:val="00EB5160"/>
    <w:rsid w:val="00EB5EC6"/>
    <w:rsid w:val="00EB7FC9"/>
    <w:rsid w:val="00EC0A96"/>
    <w:rsid w:val="00EC33F9"/>
    <w:rsid w:val="00ED06CD"/>
    <w:rsid w:val="00ED27E8"/>
    <w:rsid w:val="00ED7137"/>
    <w:rsid w:val="00EE2FA2"/>
    <w:rsid w:val="00EF06EA"/>
    <w:rsid w:val="00F07604"/>
    <w:rsid w:val="00F10452"/>
    <w:rsid w:val="00F11744"/>
    <w:rsid w:val="00F21088"/>
    <w:rsid w:val="00F25BFF"/>
    <w:rsid w:val="00F326BF"/>
    <w:rsid w:val="00F327E7"/>
    <w:rsid w:val="00F35746"/>
    <w:rsid w:val="00F447C7"/>
    <w:rsid w:val="00F459B4"/>
    <w:rsid w:val="00F5211B"/>
    <w:rsid w:val="00F554A9"/>
    <w:rsid w:val="00F559DE"/>
    <w:rsid w:val="00F563C2"/>
    <w:rsid w:val="00F60FF8"/>
    <w:rsid w:val="00F666A1"/>
    <w:rsid w:val="00F716FD"/>
    <w:rsid w:val="00F80355"/>
    <w:rsid w:val="00F87C43"/>
    <w:rsid w:val="00FA5722"/>
    <w:rsid w:val="00FB0516"/>
    <w:rsid w:val="00FB0C81"/>
    <w:rsid w:val="00FC2200"/>
    <w:rsid w:val="00FC2540"/>
    <w:rsid w:val="00FC2999"/>
    <w:rsid w:val="00FC2F6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3524F6"/>
  <w15:docId w15:val="{1565D0C8-9434-457E-B3E6-F408E882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47B4C"/>
    <w:pPr>
      <w:jc w:val="center"/>
      <w:outlineLvl w:val="0"/>
    </w:pPr>
    <w:rPr>
      <w:b/>
      <w:caps/>
      <w:sz w:val="22"/>
      <w:szCs w:val="22"/>
    </w:rPr>
  </w:style>
  <w:style w:type="paragraph" w:customStyle="1" w:styleId="subhead">
    <w:name w:val="subhead"/>
    <w:basedOn w:val="Normal"/>
    <w:next w:val="Normal"/>
    <w:uiPriority w:val="99"/>
    <w:rsid w:val="00047B4C"/>
    <w:pPr>
      <w:tabs>
        <w:tab w:val="left" w:pos="-720"/>
        <w:tab w:val="left" w:pos="0"/>
        <w:tab w:val="left" w:pos="720"/>
        <w:tab w:val="left" w:pos="1440"/>
        <w:tab w:val="left" w:pos="2160"/>
        <w:tab w:val="left" w:pos="2880"/>
        <w:tab w:val="left" w:pos="3600"/>
      </w:tabs>
      <w:jc w:val="center"/>
    </w:pPr>
    <w:rPr>
      <w:sz w:val="24"/>
      <w:szCs w:val="24"/>
    </w:rPr>
  </w:style>
  <w:style w:type="paragraph" w:styleId="ListParagraph">
    <w:name w:val="List Paragraph"/>
    <w:basedOn w:val="Normal"/>
    <w:uiPriority w:val="34"/>
    <w:qFormat/>
    <w:rsid w:val="00047B4C"/>
    <w:pPr>
      <w:ind w:left="720"/>
      <w:contextualSpacing/>
    </w:pPr>
  </w:style>
  <w:style w:type="paragraph" w:styleId="Revision">
    <w:name w:val="Revision"/>
    <w:hidden/>
    <w:uiPriority w:val="99"/>
    <w:semiHidden/>
    <w:rsid w:val="005B199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http://schemas.microsoft.com/sharepoint/v3"/>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 ds:uri="eb6c2e4c-3f1c-4103-a37b-37c984dbe58f"/>
    <ds:schemaRef ds:uri="b93c647f-d63b-431a-95c8-8e00048cff23"/>
    <ds:schemaRef ds:uri="http://www.w3.org/XML/1998/namespace"/>
  </ds:schemaRefs>
</ds:datastoreItem>
</file>

<file path=customXml/itemProps2.xml><?xml version="1.0" encoding="utf-8"?>
<ds:datastoreItem xmlns:ds="http://schemas.openxmlformats.org/officeDocument/2006/customXml" ds:itemID="{F3AC8210-3D84-40EC-AEE6-2D2C39EA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36C04B3-4523-4C63-A28E-171D271C8774}">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54</TotalTime>
  <Pages>5</Pages>
  <Words>1523</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The World Bank business plan for 2026–2028</vt:lpstr>
    </vt:vector>
  </TitlesOfParts>
  <Company>UNMFS</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2026–2028</dc:title>
  <dc:creator>Ngoc Thuy Duong</dc:creator>
  <cp:lastModifiedBy>Angela Xue He Yan</cp:lastModifiedBy>
  <cp:revision>18</cp:revision>
  <cp:lastPrinted>2025-11-05T18:52:00Z</cp:lastPrinted>
  <dcterms:created xsi:type="dcterms:W3CDTF">2025-11-05T18:26:00Z</dcterms:created>
  <dcterms:modified xsi:type="dcterms:W3CDTF">2025-11-09T15:30:00Z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UNEP/OzL.Pro/ExCom/97/25</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