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29456B" w14:paraId="2B0C890B" w14:textId="77777777">
        <w:trPr>
          <w:trHeight w:val="720"/>
        </w:trPr>
        <w:tc>
          <w:tcPr>
            <w:tcW w:w="7061" w:type="dxa"/>
            <w:gridSpan w:val="2"/>
            <w:tcBorders>
              <w:bottom w:val="single" w:sz="18" w:space="0" w:color="auto"/>
            </w:tcBorders>
          </w:tcPr>
          <w:p w14:paraId="29AD8CFA" w14:textId="77777777" w:rsidR="00441083" w:rsidRPr="0029456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9456B">
              <w:rPr>
                <w:rFonts w:ascii="Univers" w:hAnsi="Univers"/>
                <w:b/>
                <w:sz w:val="28"/>
                <w:szCs w:val="28"/>
                <w:lang w:val="fr-FR"/>
              </w:rPr>
              <w:t>NATIONS</w:t>
            </w:r>
          </w:p>
          <w:p w14:paraId="02061669" w14:textId="77777777" w:rsidR="00441083" w:rsidRPr="0029456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9456B">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29456B" w:rsidRDefault="00E60D9C">
            <w:pPr>
              <w:tabs>
                <w:tab w:val="left" w:pos="3010"/>
              </w:tabs>
              <w:jc w:val="center"/>
              <w:rPr>
                <w:sz w:val="52"/>
                <w:szCs w:val="52"/>
                <w:lang w:val="fr-FR"/>
              </w:rPr>
            </w:pPr>
            <w:r w:rsidRPr="0029456B">
              <w:rPr>
                <w:rFonts w:ascii="Univers Bold" w:hAnsi="Univers Bold"/>
                <w:b/>
                <w:sz w:val="72"/>
                <w:lang w:val="fr-FR"/>
              </w:rPr>
              <w:t xml:space="preserve">          EP</w:t>
            </w:r>
          </w:p>
        </w:tc>
      </w:tr>
      <w:tr w:rsidR="00441083" w:rsidRPr="0029456B"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29456B" w:rsidRDefault="00C6443E">
            <w:pPr>
              <w:spacing w:before="120"/>
              <w:rPr>
                <w:lang w:val="fr-FR"/>
              </w:rPr>
            </w:pPr>
            <w:r w:rsidRPr="0029456B">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29456B">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29456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29456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9456B">
              <w:rPr>
                <w:rFonts w:ascii="Univers" w:hAnsi="Univers"/>
                <w:b/>
                <w:sz w:val="32"/>
                <w:lang w:val="fr-FR"/>
              </w:rPr>
              <w:t>Programme des</w:t>
            </w:r>
          </w:p>
          <w:p w14:paraId="6BF4F51F" w14:textId="77777777" w:rsidR="00441083" w:rsidRPr="0029456B" w:rsidRDefault="00E60D9C">
            <w:pPr>
              <w:rPr>
                <w:rFonts w:ascii="Univers" w:hAnsi="Univers"/>
                <w:b/>
                <w:sz w:val="32"/>
                <w:lang w:val="fr-FR"/>
              </w:rPr>
            </w:pPr>
            <w:r w:rsidRPr="0029456B">
              <w:rPr>
                <w:rFonts w:ascii="Univers" w:hAnsi="Univers"/>
                <w:b/>
                <w:sz w:val="32"/>
                <w:lang w:val="fr-FR"/>
              </w:rPr>
              <w:t>Nations Unies pour</w:t>
            </w:r>
          </w:p>
          <w:p w14:paraId="2F6CA664" w14:textId="77777777" w:rsidR="00441083" w:rsidRPr="0029456B" w:rsidRDefault="00E60D9C">
            <w:pPr>
              <w:rPr>
                <w:rFonts w:ascii="Univers" w:hAnsi="Univers"/>
                <w:b/>
                <w:sz w:val="32"/>
                <w:lang w:val="fr-FR"/>
              </w:rPr>
            </w:pPr>
            <w:r w:rsidRPr="0029456B">
              <w:rPr>
                <w:rFonts w:ascii="Univers" w:hAnsi="Univers"/>
                <w:b/>
                <w:sz w:val="32"/>
                <w:lang w:val="fr-FR"/>
              </w:rPr>
              <w:t>l’environnement</w:t>
            </w:r>
          </w:p>
          <w:p w14:paraId="7638152E" w14:textId="77777777" w:rsidR="00441083" w:rsidRPr="0029456B" w:rsidRDefault="00E60D9C">
            <w:pPr>
              <w:spacing w:before="720"/>
              <w:ind w:left="158"/>
              <w:rPr>
                <w:lang w:val="fr-FR"/>
              </w:rPr>
            </w:pPr>
            <w:r w:rsidRPr="0029456B">
              <w:rPr>
                <w:lang w:val="fr-FR"/>
              </w:rPr>
              <w:t xml:space="preserve"> </w:t>
            </w:r>
          </w:p>
        </w:tc>
        <w:tc>
          <w:tcPr>
            <w:tcW w:w="3544" w:type="dxa"/>
            <w:tcBorders>
              <w:top w:val="nil"/>
              <w:left w:val="nil"/>
              <w:bottom w:val="single" w:sz="36" w:space="0" w:color="auto"/>
              <w:right w:val="nil"/>
            </w:tcBorders>
          </w:tcPr>
          <w:p w14:paraId="60917128" w14:textId="77777777" w:rsidR="00441083" w:rsidRPr="0029456B" w:rsidRDefault="00441083">
            <w:pPr>
              <w:rPr>
                <w:lang w:val="fr-FR"/>
              </w:rPr>
            </w:pPr>
          </w:p>
          <w:p w14:paraId="46AEF7A7" w14:textId="77777777" w:rsidR="00441083" w:rsidRPr="0029456B" w:rsidRDefault="00E60D9C">
            <w:pPr>
              <w:rPr>
                <w:lang w:val="fr-FR"/>
              </w:rPr>
            </w:pPr>
            <w:proofErr w:type="spellStart"/>
            <w:r w:rsidRPr="0029456B">
              <w:rPr>
                <w:lang w:val="fr-FR"/>
              </w:rPr>
              <w:t>Distr</w:t>
            </w:r>
            <w:proofErr w:type="spellEnd"/>
            <w:r w:rsidRPr="0029456B">
              <w:rPr>
                <w:lang w:val="fr-FR"/>
              </w:rPr>
              <w:t>.</w:t>
            </w:r>
          </w:p>
          <w:p w14:paraId="415F9FA1" w14:textId="77777777" w:rsidR="00441083" w:rsidRPr="0029456B" w:rsidRDefault="00E60D9C" w:rsidP="00DD3433">
            <w:pPr>
              <w:rPr>
                <w:lang w:val="fr-FR"/>
              </w:rPr>
            </w:pPr>
            <w:r w:rsidRPr="0029456B">
              <w:rPr>
                <w:lang w:val="fr-FR"/>
              </w:rPr>
              <w:t>G</w:t>
            </w:r>
            <w:r w:rsidR="00DD3433" w:rsidRPr="0029456B">
              <w:rPr>
                <w:lang w:val="fr-FR"/>
              </w:rPr>
              <w:t>É</w:t>
            </w:r>
            <w:r w:rsidRPr="0029456B">
              <w:rPr>
                <w:lang w:val="fr-FR"/>
              </w:rPr>
              <w:t>N</w:t>
            </w:r>
            <w:r w:rsidR="00DD3433" w:rsidRPr="0029456B">
              <w:rPr>
                <w:lang w:val="fr-FR"/>
              </w:rPr>
              <w:t>É</w:t>
            </w:r>
            <w:r w:rsidRPr="0029456B">
              <w:rPr>
                <w:lang w:val="fr-FR"/>
              </w:rPr>
              <w:t>RAL</w:t>
            </w:r>
            <w:r w:rsidR="00FF3CF1" w:rsidRPr="0029456B">
              <w:rPr>
                <w:lang w:val="fr-FR"/>
              </w:rPr>
              <w:t>E</w:t>
            </w:r>
          </w:p>
          <w:p w14:paraId="0C7BB4CA" w14:textId="77777777" w:rsidR="00441083" w:rsidRPr="0029456B" w:rsidRDefault="00441083">
            <w:pPr>
              <w:rPr>
                <w:lang w:val="fr-FR"/>
              </w:rPr>
            </w:pPr>
          </w:p>
          <w:p w14:paraId="00D35FEF" w14:textId="4370BF58" w:rsidR="00441083" w:rsidRPr="0029456B" w:rsidRDefault="00E60D9C">
            <w:pPr>
              <w:rPr>
                <w:lang w:val="fr-FR"/>
              </w:rPr>
            </w:pPr>
            <w:r w:rsidRPr="0029456B">
              <w:rPr>
                <w:lang w:val="fr-FR"/>
              </w:rPr>
              <w:fldChar w:fldCharType="begin"/>
            </w:r>
            <w:r w:rsidRPr="0029456B">
              <w:rPr>
                <w:lang w:val="fr-FR"/>
              </w:rPr>
              <w:instrText xml:space="preserve"> DOCPROPERTY "Document number"  \* MERGEFORMAT </w:instrText>
            </w:r>
            <w:r w:rsidRPr="0029456B">
              <w:rPr>
                <w:lang w:val="fr-FR"/>
              </w:rPr>
              <w:fldChar w:fldCharType="separate"/>
            </w:r>
            <w:r w:rsidR="00956C5C" w:rsidRPr="0029456B">
              <w:rPr>
                <w:lang w:val="fr-FR"/>
              </w:rPr>
              <w:t>UNEP/</w:t>
            </w:r>
            <w:proofErr w:type="spellStart"/>
            <w:r w:rsidR="00956C5C" w:rsidRPr="0029456B">
              <w:rPr>
                <w:lang w:val="fr-FR"/>
              </w:rPr>
              <w:t>OzL.Pro</w:t>
            </w:r>
            <w:proofErr w:type="spellEnd"/>
            <w:r w:rsidR="00956C5C" w:rsidRPr="0029456B">
              <w:rPr>
                <w:lang w:val="fr-FR"/>
              </w:rPr>
              <w:t>/</w:t>
            </w:r>
            <w:proofErr w:type="spellStart"/>
            <w:r w:rsidR="00956C5C" w:rsidRPr="0029456B">
              <w:rPr>
                <w:lang w:val="fr-FR"/>
              </w:rPr>
              <w:t>ExCom</w:t>
            </w:r>
            <w:proofErr w:type="spellEnd"/>
            <w:r w:rsidR="00956C5C" w:rsidRPr="0029456B">
              <w:rPr>
                <w:lang w:val="fr-FR"/>
              </w:rPr>
              <w:t>/93/</w:t>
            </w:r>
            <w:r w:rsidR="0029456B">
              <w:rPr>
                <w:lang w:val="fr-FR"/>
              </w:rPr>
              <w:t>3</w:t>
            </w:r>
            <w:r w:rsidRPr="0029456B">
              <w:rPr>
                <w:lang w:val="fr-FR"/>
              </w:rPr>
              <w:fldChar w:fldCharType="end"/>
            </w:r>
            <w:r w:rsidR="00E937E6" w:rsidRPr="000E105C">
              <w:rPr>
                <w:lang w:val="fr-CA"/>
              </w:rPr>
              <w:t>*</w:t>
            </w:r>
          </w:p>
          <w:p w14:paraId="4814104B" w14:textId="01721021" w:rsidR="002F0B57" w:rsidRPr="0029456B" w:rsidRDefault="002F0B57" w:rsidP="00C9547D">
            <w:pPr>
              <w:rPr>
                <w:lang w:val="fr-FR"/>
              </w:rPr>
            </w:pPr>
            <w:r w:rsidRPr="0029456B">
              <w:rPr>
                <w:lang w:val="fr-FR"/>
              </w:rPr>
              <w:fldChar w:fldCharType="begin"/>
            </w:r>
            <w:r w:rsidRPr="0029456B">
              <w:rPr>
                <w:lang w:val="fr-FR"/>
              </w:rPr>
              <w:instrText xml:space="preserve"> DOCPROPERTY "Revision date" \@ "d MMMM YYYY"  \* MERGEFORMAT </w:instrText>
            </w:r>
            <w:r w:rsidRPr="0029456B">
              <w:rPr>
                <w:lang w:val="fr-FR"/>
              </w:rPr>
              <w:fldChar w:fldCharType="separate"/>
            </w:r>
            <w:r w:rsidR="0029456B">
              <w:rPr>
                <w:lang w:val="fr-FR"/>
              </w:rPr>
              <w:t>21</w:t>
            </w:r>
            <w:r w:rsidR="00956C5C" w:rsidRPr="0029456B">
              <w:rPr>
                <w:lang w:val="fr-FR"/>
              </w:rPr>
              <w:t xml:space="preserve"> </w:t>
            </w:r>
            <w:r w:rsidR="0029456B">
              <w:rPr>
                <w:lang w:val="fr-FR"/>
              </w:rPr>
              <w:t>Novembre</w:t>
            </w:r>
            <w:r w:rsidR="00956C5C" w:rsidRPr="0029456B">
              <w:rPr>
                <w:lang w:val="fr-FR"/>
              </w:rPr>
              <w:t xml:space="preserve"> 2023</w:t>
            </w:r>
            <w:r w:rsidRPr="0029456B">
              <w:rPr>
                <w:lang w:val="fr-FR"/>
              </w:rPr>
              <w:fldChar w:fldCharType="end"/>
            </w:r>
          </w:p>
          <w:p w14:paraId="44C1D720" w14:textId="77777777" w:rsidR="00441083" w:rsidRPr="0029456B" w:rsidRDefault="00FC5578">
            <w:pPr>
              <w:rPr>
                <w:caps/>
                <w:lang w:val="fr-FR"/>
              </w:rPr>
            </w:pPr>
            <w:r w:rsidRPr="0029456B">
              <w:rPr>
                <w:caps/>
                <w:lang w:val="fr-FR"/>
              </w:rPr>
              <w:br/>
            </w:r>
            <w:r w:rsidR="00E60D9C" w:rsidRPr="0029456B">
              <w:rPr>
                <w:caps/>
                <w:lang w:val="fr-FR"/>
              </w:rPr>
              <w:t>FRANÇAIS</w:t>
            </w:r>
          </w:p>
          <w:p w14:paraId="5B66CFAC" w14:textId="77777777" w:rsidR="00441083" w:rsidRPr="0029456B" w:rsidRDefault="00E60D9C">
            <w:pPr>
              <w:rPr>
                <w:lang w:val="fr-FR"/>
              </w:rPr>
            </w:pPr>
            <w:r w:rsidRPr="0029456B">
              <w:rPr>
                <w:lang w:val="fr-FR"/>
              </w:rPr>
              <w:t xml:space="preserve">ORIGINAL: </w:t>
            </w:r>
            <w:r w:rsidR="0091161A" w:rsidRPr="0029456B">
              <w:rPr>
                <w:lang w:val="fr-FR"/>
              </w:rPr>
              <w:t>ANGLAIS</w:t>
            </w:r>
          </w:p>
        </w:tc>
      </w:tr>
    </w:tbl>
    <w:p w14:paraId="39248F16" w14:textId="49E9533A" w:rsidR="00A97E14" w:rsidRPr="0029456B" w:rsidRDefault="00A97E14" w:rsidP="00A97E14">
      <w:pPr>
        <w:jc w:val="left"/>
        <w:rPr>
          <w:lang w:val="fr-FR"/>
        </w:rPr>
      </w:pPr>
      <w:r w:rsidRPr="0029456B">
        <w:rPr>
          <w:lang w:val="fr-FR"/>
        </w:rPr>
        <w:t xml:space="preserve">COMITÉ EXÉCUTIF </w:t>
      </w:r>
      <w:r w:rsidRPr="0029456B">
        <w:rPr>
          <w:lang w:val="fr-FR"/>
        </w:rPr>
        <w:br/>
        <w:t xml:space="preserve">  DU FONDS MULTILATÉRAL AUX FINS </w:t>
      </w:r>
      <w:r w:rsidRPr="0029456B">
        <w:rPr>
          <w:lang w:val="fr-FR"/>
        </w:rPr>
        <w:br/>
        <w:t xml:space="preserve">  D’APPLICATION DU PROTOCOLE DE MONTRÉAL</w:t>
      </w:r>
      <w:r w:rsidRPr="0029456B">
        <w:rPr>
          <w:lang w:val="fr-FR"/>
        </w:rPr>
        <w:br/>
        <w:t>Quatre-vingt-</w:t>
      </w:r>
      <w:r w:rsidR="001B7045" w:rsidRPr="0029456B">
        <w:rPr>
          <w:lang w:val="fr-FR"/>
        </w:rPr>
        <w:t>treiz</w:t>
      </w:r>
      <w:r w:rsidR="00C004D8" w:rsidRPr="0029456B">
        <w:rPr>
          <w:lang w:val="fr-FR"/>
        </w:rPr>
        <w:t>i</w:t>
      </w:r>
      <w:r w:rsidRPr="0029456B">
        <w:rPr>
          <w:lang w:val="fr-FR"/>
        </w:rPr>
        <w:t>ème réunion</w:t>
      </w:r>
    </w:p>
    <w:p w14:paraId="4A9218C2" w14:textId="77777777" w:rsidR="00A97E14" w:rsidRPr="0029456B" w:rsidRDefault="00A97E14" w:rsidP="00A97E14">
      <w:pPr>
        <w:jc w:val="left"/>
        <w:rPr>
          <w:lang w:val="fr-FR"/>
        </w:rPr>
      </w:pPr>
      <w:r w:rsidRPr="0029456B">
        <w:rPr>
          <w:lang w:val="fr-FR"/>
        </w:rPr>
        <w:t xml:space="preserve">Montréal, </w:t>
      </w:r>
      <w:r w:rsidR="001B7045" w:rsidRPr="0029456B">
        <w:rPr>
          <w:lang w:val="fr-FR"/>
        </w:rPr>
        <w:t>15</w:t>
      </w:r>
      <w:r w:rsidR="005A7F28" w:rsidRPr="0029456B">
        <w:rPr>
          <w:lang w:val="fr-FR"/>
        </w:rPr>
        <w:t xml:space="preserve"> – </w:t>
      </w:r>
      <w:r w:rsidR="001B7045" w:rsidRPr="0029456B">
        <w:rPr>
          <w:lang w:val="fr-FR"/>
        </w:rPr>
        <w:t>19 décembre</w:t>
      </w:r>
      <w:r w:rsidRPr="0029456B">
        <w:rPr>
          <w:lang w:val="fr-FR"/>
        </w:rPr>
        <w:t xml:space="preserve"> 202</w:t>
      </w:r>
      <w:r w:rsidR="005A7F28" w:rsidRPr="0029456B">
        <w:rPr>
          <w:lang w:val="fr-FR"/>
        </w:rPr>
        <w:t>3</w:t>
      </w:r>
    </w:p>
    <w:p w14:paraId="70D05DDE" w14:textId="77777777" w:rsidR="00E01820" w:rsidRPr="0029456B" w:rsidRDefault="00E01820" w:rsidP="00E01820">
      <w:pPr>
        <w:jc w:val="left"/>
        <w:rPr>
          <w:lang w:val="fr-FR"/>
        </w:rPr>
      </w:pPr>
      <w:r w:rsidRPr="0029456B">
        <w:rPr>
          <w:lang w:val="fr-FR"/>
        </w:rPr>
        <w:t>Point 4(a) de l'ordre du jour provisoire</w:t>
      </w:r>
      <w:r w:rsidRPr="0029456B">
        <w:rPr>
          <w:rStyle w:val="FootnoteReference"/>
          <w:lang w:val="fr-FR"/>
        </w:rPr>
        <w:footnoteReference w:id="1"/>
      </w:r>
    </w:p>
    <w:p w14:paraId="0083E33A" w14:textId="77777777" w:rsidR="00441083" w:rsidRPr="0029456B" w:rsidRDefault="00441083">
      <w:pPr>
        <w:pStyle w:val="Heading3"/>
        <w:numPr>
          <w:ilvl w:val="0"/>
          <w:numId w:val="0"/>
        </w:numPr>
        <w:spacing w:after="0"/>
        <w:rPr>
          <w:lang w:val="fr-FR"/>
        </w:rPr>
      </w:pPr>
    </w:p>
    <w:p w14:paraId="5EB0CF8E" w14:textId="77777777" w:rsidR="00441083" w:rsidRPr="0029456B" w:rsidRDefault="00441083">
      <w:pPr>
        <w:pStyle w:val="Title1"/>
        <w:rPr>
          <w:lang w:val="fr-FR"/>
        </w:rPr>
      </w:pPr>
    </w:p>
    <w:p w14:paraId="4017703A" w14:textId="77777777" w:rsidR="00843511" w:rsidRPr="0029456B" w:rsidRDefault="00843511">
      <w:pPr>
        <w:pStyle w:val="Title1"/>
        <w:rPr>
          <w:lang w:val="fr-FR"/>
        </w:rPr>
      </w:pPr>
    </w:p>
    <w:p w14:paraId="33EA1786" w14:textId="63662389" w:rsidR="00E01820" w:rsidRPr="0029456B" w:rsidRDefault="00E01820" w:rsidP="00DD36D8">
      <w:pPr>
        <w:pStyle w:val="0Heading0"/>
        <w:jc w:val="center"/>
        <w:rPr>
          <w:b/>
          <w:bCs/>
          <w:sz w:val="24"/>
          <w:szCs w:val="24"/>
          <w:lang w:val="fr-FR"/>
        </w:rPr>
      </w:pPr>
      <w:r w:rsidRPr="0029456B">
        <w:rPr>
          <w:b/>
          <w:sz w:val="24"/>
          <w:lang w:val="fr-FR"/>
        </w:rPr>
        <w:t>ÉTAT DES CONTRIBUTIONS ET DES DÉCAISSEMENTS</w:t>
      </w:r>
    </w:p>
    <w:p w14:paraId="36953C7B" w14:textId="5AF4ED34" w:rsidR="00E01820" w:rsidRDefault="00E01820" w:rsidP="00DD36D8">
      <w:pPr>
        <w:pStyle w:val="0Heading0"/>
        <w:jc w:val="center"/>
        <w:rPr>
          <w:b/>
          <w:sz w:val="24"/>
          <w:lang w:val="fr-FR"/>
        </w:rPr>
      </w:pPr>
      <w:r w:rsidRPr="0029456B">
        <w:rPr>
          <w:b/>
          <w:sz w:val="24"/>
          <w:lang w:val="fr-FR"/>
        </w:rPr>
        <w:t xml:space="preserve">Rapport du </w:t>
      </w:r>
      <w:r w:rsidR="007D16FE">
        <w:rPr>
          <w:b/>
          <w:sz w:val="24"/>
          <w:lang w:val="fr-FR"/>
        </w:rPr>
        <w:t>T</w:t>
      </w:r>
      <w:r w:rsidRPr="0029456B">
        <w:rPr>
          <w:b/>
          <w:sz w:val="24"/>
          <w:lang w:val="fr-FR"/>
        </w:rPr>
        <w:t>résorier</w:t>
      </w:r>
    </w:p>
    <w:p w14:paraId="438F0789" w14:textId="77777777" w:rsidR="00431650" w:rsidRPr="0029456B" w:rsidRDefault="00431650" w:rsidP="00E01820">
      <w:pPr>
        <w:pStyle w:val="0Heading0"/>
        <w:jc w:val="center"/>
        <w:rPr>
          <w:b/>
          <w:bCs/>
          <w:lang w:val="fr-FR"/>
        </w:rPr>
      </w:pPr>
    </w:p>
    <w:p w14:paraId="67B17E52" w14:textId="77777777" w:rsidR="00E01820" w:rsidRPr="0029456B" w:rsidRDefault="00E01820" w:rsidP="00E01820">
      <w:pPr>
        <w:pStyle w:val="0Heading0"/>
        <w:jc w:val="center"/>
        <w:rPr>
          <w:b/>
          <w:bCs/>
          <w:lang w:val="fr-FR"/>
        </w:rPr>
      </w:pPr>
    </w:p>
    <w:p w14:paraId="1F480FEB" w14:textId="77777777" w:rsidR="00E01820" w:rsidRPr="0029456B" w:rsidRDefault="00E01820" w:rsidP="00E01820">
      <w:pPr>
        <w:pStyle w:val="0Heading0"/>
        <w:rPr>
          <w:b/>
          <w:bCs/>
          <w:sz w:val="24"/>
          <w:szCs w:val="24"/>
          <w:lang w:val="fr-FR"/>
        </w:rPr>
      </w:pPr>
      <w:r w:rsidRPr="0029456B">
        <w:rPr>
          <w:b/>
          <w:sz w:val="24"/>
          <w:lang w:val="fr-FR"/>
        </w:rPr>
        <w:t xml:space="preserve">Introduction </w:t>
      </w:r>
    </w:p>
    <w:p w14:paraId="2A977514" w14:textId="77777777" w:rsidR="00E01820" w:rsidRPr="0029456B" w:rsidRDefault="00E01820" w:rsidP="00E01820">
      <w:pPr>
        <w:pStyle w:val="0Heading0"/>
        <w:jc w:val="center"/>
        <w:rPr>
          <w:b/>
          <w:bCs/>
          <w:lang w:val="fr-FR"/>
        </w:rPr>
      </w:pPr>
    </w:p>
    <w:p w14:paraId="0F73376B" w14:textId="77777777" w:rsidR="00E01820" w:rsidRPr="0029456B" w:rsidRDefault="00E01820" w:rsidP="00E01820">
      <w:pPr>
        <w:pStyle w:val="Heading1"/>
        <w:rPr>
          <w:lang w:val="fr-FR"/>
        </w:rPr>
      </w:pPr>
      <w:r w:rsidRPr="0029456B">
        <w:rPr>
          <w:lang w:val="fr-FR"/>
        </w:rPr>
        <w:t>Ce document contient de l’information sur l’état du Fonds multilatéral</w:t>
      </w:r>
      <w:r w:rsidRPr="0029456B">
        <w:rPr>
          <w:rStyle w:val="FootnoteReference"/>
          <w:lang w:val="fr-FR"/>
        </w:rPr>
        <w:footnoteReference w:id="2"/>
      </w:r>
      <w:r w:rsidRPr="0029456B">
        <w:rPr>
          <w:lang w:val="fr-FR"/>
        </w:rPr>
        <w:t xml:space="preserve"> consignée par le PNUE au 8 novembre 2023. </w:t>
      </w:r>
    </w:p>
    <w:p w14:paraId="5221AB5C" w14:textId="77777777" w:rsidR="00E01820" w:rsidRPr="0029456B" w:rsidRDefault="00E01820" w:rsidP="00E01820">
      <w:pPr>
        <w:pStyle w:val="Heading1"/>
        <w:rPr>
          <w:lang w:val="fr-FR"/>
        </w:rPr>
      </w:pPr>
      <w:r w:rsidRPr="0029456B">
        <w:rPr>
          <w:lang w:val="fr-FR"/>
        </w:rPr>
        <w:t>L’Annexe I au présent document contient les tableaux suivants :</w:t>
      </w:r>
    </w:p>
    <w:p w14:paraId="70B7B7B2" w14:textId="77777777" w:rsidR="00E01820" w:rsidRPr="0029456B" w:rsidRDefault="00E01820" w:rsidP="00E01820">
      <w:pPr>
        <w:pStyle w:val="0Heading0"/>
        <w:numPr>
          <w:ilvl w:val="0"/>
          <w:numId w:val="23"/>
        </w:numPr>
        <w:tabs>
          <w:tab w:val="clear" w:pos="2500"/>
        </w:tabs>
        <w:ind w:left="1440" w:hanging="720"/>
        <w:rPr>
          <w:lang w:val="fr-FR"/>
        </w:rPr>
      </w:pPr>
      <w:r w:rsidRPr="0029456B">
        <w:rPr>
          <w:lang w:val="fr-FR"/>
        </w:rPr>
        <w:t>Tableau 1 : État du Fonds de 1991 à 2023</w:t>
      </w:r>
    </w:p>
    <w:p w14:paraId="530F083F"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2 : Récapitulatif des cotisations et autres revenus de 1991 à 2023</w:t>
      </w:r>
    </w:p>
    <w:p w14:paraId="02BC37FA" w14:textId="77777777" w:rsidR="00E01820" w:rsidRPr="0029456B" w:rsidRDefault="00E01820" w:rsidP="00E01820">
      <w:pPr>
        <w:pStyle w:val="0Heading0"/>
        <w:numPr>
          <w:ilvl w:val="0"/>
          <w:numId w:val="23"/>
        </w:numPr>
        <w:tabs>
          <w:tab w:val="clear" w:pos="2500"/>
        </w:tabs>
        <w:ind w:left="1440" w:hanging="720"/>
        <w:rPr>
          <w:lang w:val="fr-FR"/>
        </w:rPr>
      </w:pPr>
      <w:r w:rsidRPr="0029456B">
        <w:rPr>
          <w:lang w:val="fr-FR"/>
        </w:rPr>
        <w:t>Tableau 3 : Récapitulatif des contributions de 1991 à 2023</w:t>
      </w:r>
    </w:p>
    <w:p w14:paraId="09BC1231"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4 : État des contributions pour 2021 à 2023</w:t>
      </w:r>
    </w:p>
    <w:p w14:paraId="0F12A744"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5 : État des contributions pour 2023</w:t>
      </w:r>
    </w:p>
    <w:p w14:paraId="59A78E6B"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6 : État des contributions pour 2022</w:t>
      </w:r>
    </w:p>
    <w:p w14:paraId="0C0F8EB4"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7 : État des contributions pour 2021</w:t>
      </w:r>
    </w:p>
    <w:p w14:paraId="4BE259DE"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8 : État des contributions pour 2018 à 2020</w:t>
      </w:r>
    </w:p>
    <w:p w14:paraId="41A524AC" w14:textId="3104B44F" w:rsidR="00E937E6" w:rsidRDefault="00E01820" w:rsidP="00E937E6">
      <w:pPr>
        <w:pStyle w:val="0Heading0"/>
        <w:numPr>
          <w:ilvl w:val="0"/>
          <w:numId w:val="23"/>
        </w:numPr>
        <w:tabs>
          <w:tab w:val="clear" w:pos="2500"/>
        </w:tabs>
        <w:ind w:left="1440" w:hanging="720"/>
        <w:jc w:val="both"/>
        <w:rPr>
          <w:lang w:val="fr-FR"/>
        </w:rPr>
      </w:pPr>
      <w:r w:rsidRPr="0029456B">
        <w:rPr>
          <w:lang w:val="fr-FR"/>
        </w:rPr>
        <w:t>Tableau 9 : État des contributions pour 2020</w:t>
      </w:r>
    </w:p>
    <w:p w14:paraId="5CC0BB78" w14:textId="77777777" w:rsidR="00E937E6" w:rsidRDefault="00E937E6" w:rsidP="00E937E6">
      <w:pPr>
        <w:pStyle w:val="0Heading0"/>
        <w:jc w:val="both"/>
        <w:rPr>
          <w:lang w:val="fr-FR"/>
        </w:rPr>
      </w:pPr>
    </w:p>
    <w:p w14:paraId="2F081D31" w14:textId="4811D5F3" w:rsidR="00E937E6" w:rsidRPr="00E937E6" w:rsidRDefault="00E937E6" w:rsidP="00E937E6">
      <w:pPr>
        <w:pStyle w:val="0Heading0"/>
        <w:jc w:val="both"/>
        <w:rPr>
          <w:lang w:val="fr-FR"/>
        </w:rPr>
      </w:pPr>
      <w:r w:rsidRPr="000E105C">
        <w:rPr>
          <w:lang w:val="fr-CA"/>
        </w:rPr>
        <w:t>*</w:t>
      </w:r>
      <w:r w:rsidRPr="00E937E6">
        <w:rPr>
          <w:lang w:val="fr-FR"/>
        </w:rPr>
        <w:t>Réémis pour des raisons techniques le 30 novembre 2023.</w:t>
      </w:r>
    </w:p>
    <w:p w14:paraId="6B41465E" w14:textId="779BD8BB" w:rsidR="00E937E6" w:rsidRPr="00E937E6" w:rsidRDefault="00E01820" w:rsidP="00E937E6">
      <w:pPr>
        <w:pStyle w:val="0Heading0"/>
        <w:numPr>
          <w:ilvl w:val="0"/>
          <w:numId w:val="23"/>
        </w:numPr>
        <w:tabs>
          <w:tab w:val="clear" w:pos="2500"/>
        </w:tabs>
        <w:ind w:left="1440" w:hanging="720"/>
        <w:jc w:val="both"/>
        <w:rPr>
          <w:lang w:val="fr-FR"/>
        </w:rPr>
      </w:pPr>
      <w:r w:rsidRPr="0029456B">
        <w:rPr>
          <w:lang w:val="fr-FR"/>
        </w:rPr>
        <w:lastRenderedPageBreak/>
        <w:t>Tableau 10 : État des contributions pour 2019</w:t>
      </w:r>
    </w:p>
    <w:p w14:paraId="0F542830"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11 : État des contributions pour 2018</w:t>
      </w:r>
    </w:p>
    <w:p w14:paraId="2A967E4C"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12 : État des contributions pour 2015 à 2017</w:t>
      </w:r>
    </w:p>
    <w:p w14:paraId="6A7800AC" w14:textId="77777777" w:rsidR="00E01820" w:rsidRPr="0029456B" w:rsidRDefault="00E01820" w:rsidP="00E01820">
      <w:pPr>
        <w:pStyle w:val="0Heading0"/>
        <w:numPr>
          <w:ilvl w:val="0"/>
          <w:numId w:val="23"/>
        </w:numPr>
        <w:tabs>
          <w:tab w:val="clear" w:pos="2500"/>
        </w:tabs>
        <w:ind w:left="1440" w:hanging="720"/>
        <w:jc w:val="both"/>
        <w:rPr>
          <w:lang w:val="fr-FR"/>
        </w:rPr>
      </w:pPr>
      <w:r w:rsidRPr="0029456B">
        <w:rPr>
          <w:lang w:val="fr-FR"/>
        </w:rPr>
        <w:t>Tableau 13 : État des contributions pour 2017</w:t>
      </w:r>
    </w:p>
    <w:p w14:paraId="18BEC93D" w14:textId="77777777" w:rsidR="00E01820" w:rsidRPr="0029456B" w:rsidRDefault="00E01820" w:rsidP="00E01820">
      <w:pPr>
        <w:pStyle w:val="0Heading0"/>
        <w:ind w:left="1440"/>
        <w:jc w:val="both"/>
        <w:rPr>
          <w:lang w:val="fr-FR"/>
        </w:rPr>
      </w:pPr>
    </w:p>
    <w:p w14:paraId="6A3ADB36" w14:textId="77777777" w:rsidR="00E01820" w:rsidRPr="0029456B" w:rsidRDefault="00E01820" w:rsidP="00E01820">
      <w:pPr>
        <w:pStyle w:val="Heading1"/>
        <w:spacing w:after="0"/>
        <w:rPr>
          <w:lang w:val="fr-FR"/>
        </w:rPr>
      </w:pPr>
      <w:r w:rsidRPr="0029456B">
        <w:rPr>
          <w:lang w:val="fr-FR"/>
        </w:rPr>
        <w:t>Le document contient en Annexe II la liste des pays non visés à l’Article 5 qui ont recours au mécanisme de taux de change fixe</w:t>
      </w:r>
      <w:r w:rsidRPr="0029456B">
        <w:rPr>
          <w:rStyle w:val="FootnoteReference"/>
          <w:lang w:val="fr-FR"/>
        </w:rPr>
        <w:footnoteReference w:id="3"/>
      </w:r>
      <w:r w:rsidRPr="0029456B">
        <w:rPr>
          <w:lang w:val="fr-FR"/>
        </w:rPr>
        <w:t xml:space="preserve"> pour la période triennale 2021 à 2023.</w:t>
      </w:r>
    </w:p>
    <w:p w14:paraId="6EF88D57" w14:textId="77777777" w:rsidR="00E01820" w:rsidRPr="0029456B" w:rsidRDefault="00E01820" w:rsidP="00E01820">
      <w:pPr>
        <w:rPr>
          <w:sz w:val="20"/>
          <w:szCs w:val="20"/>
          <w:lang w:val="fr-FR"/>
        </w:rPr>
      </w:pPr>
    </w:p>
    <w:p w14:paraId="505343EE" w14:textId="77777777" w:rsidR="00E01820" w:rsidRPr="0029456B" w:rsidRDefault="00E01820" w:rsidP="00E01820">
      <w:pPr>
        <w:pStyle w:val="0Heading0"/>
        <w:tabs>
          <w:tab w:val="left" w:pos="0"/>
        </w:tabs>
        <w:jc w:val="both"/>
        <w:rPr>
          <w:b/>
          <w:bCs/>
          <w:sz w:val="24"/>
          <w:szCs w:val="24"/>
          <w:lang w:val="fr-FR"/>
        </w:rPr>
      </w:pPr>
      <w:r w:rsidRPr="0029456B">
        <w:rPr>
          <w:b/>
          <w:sz w:val="24"/>
          <w:lang w:val="fr-FR"/>
        </w:rPr>
        <w:t>État du Fonds</w:t>
      </w:r>
    </w:p>
    <w:p w14:paraId="2561EF15" w14:textId="77777777" w:rsidR="00E01820" w:rsidRPr="0029456B" w:rsidRDefault="00E01820" w:rsidP="00E01820">
      <w:pPr>
        <w:pStyle w:val="0Heading0"/>
        <w:tabs>
          <w:tab w:val="left" w:pos="0"/>
        </w:tabs>
        <w:jc w:val="both"/>
        <w:rPr>
          <w:b/>
          <w:bCs/>
          <w:sz w:val="20"/>
          <w:szCs w:val="20"/>
          <w:lang w:val="fr-FR"/>
        </w:rPr>
      </w:pPr>
    </w:p>
    <w:p w14:paraId="391DC881" w14:textId="77777777" w:rsidR="00E01820" w:rsidRPr="0029456B" w:rsidRDefault="00E01820" w:rsidP="00E01820">
      <w:pPr>
        <w:pStyle w:val="Heading1"/>
        <w:rPr>
          <w:lang w:val="fr-FR"/>
        </w:rPr>
      </w:pPr>
      <w:r w:rsidRPr="0029456B">
        <w:rPr>
          <w:lang w:val="fr-FR"/>
        </w:rPr>
        <w:t>Au 8 novembre 2023, le solde du Fonds s’élevait à 523 322 098 $ US en espèces, après examen de tous les fonds approuvés par le Comité exécutif jusqu'à la 92</w:t>
      </w:r>
      <w:r w:rsidRPr="0029456B">
        <w:rPr>
          <w:vertAlign w:val="superscript"/>
          <w:lang w:val="fr-FR"/>
        </w:rPr>
        <w:t>e</w:t>
      </w:r>
      <w:r w:rsidRPr="0029456B">
        <w:rPr>
          <w:lang w:val="fr-FR"/>
        </w:rPr>
        <w:t> réunion du Comité exécutif incluse. Conformément à la décision </w:t>
      </w:r>
      <w:proofErr w:type="spellStart"/>
      <w:r w:rsidRPr="0029456B">
        <w:rPr>
          <w:lang w:val="fr-FR"/>
        </w:rPr>
        <w:t>Ex.V</w:t>
      </w:r>
      <w:proofErr w:type="spellEnd"/>
      <w:r w:rsidRPr="0029456B">
        <w:rPr>
          <w:lang w:val="fr-FR"/>
        </w:rPr>
        <w:t>/1(2)</w:t>
      </w:r>
      <w:r w:rsidRPr="0029456B">
        <w:rPr>
          <w:rStyle w:val="FootnoteReference"/>
          <w:lang w:val="fr-FR"/>
        </w:rPr>
        <w:footnoteReference w:id="4"/>
      </w:r>
      <w:r w:rsidRPr="0029456B">
        <w:rPr>
          <w:lang w:val="fr-FR"/>
        </w:rPr>
        <w:t xml:space="preserve"> des Parties sur la reconstitution du Fonds multilatéral pour la période triennale 2021</w:t>
      </w:r>
      <w:r w:rsidRPr="0029456B">
        <w:rPr>
          <w:lang w:val="fr-FR"/>
        </w:rPr>
        <w:noBreakHyphen/>
        <w:t>2023, 246 millions de $ US se rapportant aux sommes restantes de la période triennale 2018</w:t>
      </w:r>
      <w:r w:rsidRPr="0029456B">
        <w:rPr>
          <w:lang w:val="fr-FR"/>
        </w:rPr>
        <w:noBreakHyphen/>
        <w:t>2020 et à utiliser après 2023 en seront exclus. Le solde disponible à la réunion en cours est ainsi de 277 322 098 $ US.</w:t>
      </w:r>
    </w:p>
    <w:p w14:paraId="46A1C877" w14:textId="77777777" w:rsidR="00E01820" w:rsidRPr="0029456B" w:rsidRDefault="00E01820" w:rsidP="00E01820">
      <w:pPr>
        <w:pStyle w:val="Heading1"/>
        <w:rPr>
          <w:lang w:val="fr-FR"/>
        </w:rPr>
      </w:pPr>
      <w:r w:rsidRPr="0029456B">
        <w:rPr>
          <w:lang w:val="fr-FR"/>
        </w:rPr>
        <w:t>Suite à la décision </w:t>
      </w:r>
      <w:proofErr w:type="spellStart"/>
      <w:r w:rsidRPr="0029456B">
        <w:rPr>
          <w:lang w:val="fr-FR"/>
        </w:rPr>
        <w:t>Ex.V</w:t>
      </w:r>
      <w:proofErr w:type="spellEnd"/>
      <w:r w:rsidRPr="0029456B">
        <w:rPr>
          <w:lang w:val="fr-FR"/>
        </w:rPr>
        <w:t>/1 des Parties et à son annexe sur le barème des contributions, 41, 39 et 33 Parties ont versé leurs contributions pour 2021, 2022 et 2023, respectivement. Le total des contributions reçues représente 89,9 pour cent des contributions annoncées pour la période triennale 2021-2023.</w:t>
      </w:r>
      <w:r w:rsidRPr="0029456B">
        <w:rPr>
          <w:rStyle w:val="FootnoteReference"/>
          <w:lang w:val="fr-FR"/>
        </w:rPr>
        <w:footnoteReference w:id="5"/>
      </w:r>
      <w:r w:rsidRPr="0029456B">
        <w:rPr>
          <w:lang w:val="fr-FR"/>
        </w:rPr>
        <w:t xml:space="preserve"> </w:t>
      </w:r>
    </w:p>
    <w:p w14:paraId="479461A2" w14:textId="77777777" w:rsidR="00E01820" w:rsidRPr="0029456B" w:rsidRDefault="00E01820" w:rsidP="00E01820">
      <w:pPr>
        <w:pStyle w:val="Heading1"/>
        <w:rPr>
          <w:lang w:val="fr-FR"/>
        </w:rPr>
      </w:pPr>
      <w:r w:rsidRPr="0029456B">
        <w:rPr>
          <w:lang w:val="fr-FR"/>
        </w:rPr>
        <w:t>Suite à la décision </w:t>
      </w:r>
      <w:proofErr w:type="spellStart"/>
      <w:r w:rsidRPr="0029456B">
        <w:rPr>
          <w:lang w:val="fr-FR"/>
        </w:rPr>
        <w:t>Ex.V</w:t>
      </w:r>
      <w:proofErr w:type="spellEnd"/>
      <w:r w:rsidRPr="0029456B">
        <w:rPr>
          <w:lang w:val="fr-FR"/>
        </w:rPr>
        <w:t>/2 des Parties, l'extension du mécanisme de taux de change fixe à la reconstitution pour 2021</w:t>
      </w:r>
      <w:r w:rsidRPr="0029456B">
        <w:rPr>
          <w:lang w:val="fr-FR"/>
        </w:rPr>
        <w:noBreakHyphen/>
        <w:t>2023 a été approuvée. Par suite, les pertes dues au mécanisme de taux de change fixe sont au total de 29 586 887 $ US.</w:t>
      </w:r>
    </w:p>
    <w:p w14:paraId="22726CFA" w14:textId="77777777" w:rsidR="00E01820" w:rsidRPr="0029456B" w:rsidRDefault="00E01820" w:rsidP="00E01820">
      <w:pPr>
        <w:pStyle w:val="Heading1"/>
        <w:numPr>
          <w:ilvl w:val="0"/>
          <w:numId w:val="0"/>
        </w:numPr>
        <w:autoSpaceDE w:val="0"/>
        <w:autoSpaceDN w:val="0"/>
        <w:adjustRightInd w:val="0"/>
        <w:spacing w:after="0"/>
        <w:rPr>
          <w:b/>
          <w:bCs/>
          <w:sz w:val="24"/>
          <w:szCs w:val="24"/>
          <w:lang w:val="fr-FR"/>
        </w:rPr>
      </w:pPr>
      <w:r w:rsidRPr="0029456B">
        <w:rPr>
          <w:b/>
          <w:sz w:val="24"/>
          <w:lang w:val="fr-FR"/>
        </w:rPr>
        <w:t>Actions sur cotisations</w:t>
      </w:r>
    </w:p>
    <w:p w14:paraId="1ACB8698" w14:textId="77777777" w:rsidR="00E01820" w:rsidRPr="0029456B" w:rsidRDefault="00E01820" w:rsidP="00E01820">
      <w:pPr>
        <w:rPr>
          <w:sz w:val="20"/>
          <w:szCs w:val="20"/>
          <w:lang w:val="fr-FR" w:bidi="hi-IN"/>
        </w:rPr>
      </w:pPr>
    </w:p>
    <w:p w14:paraId="0CF72B8C" w14:textId="05BEBD98" w:rsidR="00E01820" w:rsidRPr="0029456B" w:rsidRDefault="00E01820" w:rsidP="00E01820">
      <w:pPr>
        <w:pStyle w:val="Heading1"/>
        <w:spacing w:after="0"/>
        <w:rPr>
          <w:lang w:val="fr-FR"/>
        </w:rPr>
      </w:pPr>
      <w:r w:rsidRPr="0029456B">
        <w:rPr>
          <w:lang w:val="fr-FR"/>
        </w:rPr>
        <w:t xml:space="preserve">Conformément aux décisions précédentes des Parties, le Trésorier </w:t>
      </w:r>
      <w:r w:rsidR="0029456B" w:rsidRPr="0029456B">
        <w:rPr>
          <w:lang w:val="fr-FR"/>
        </w:rPr>
        <w:t>a</w:t>
      </w:r>
      <w:r w:rsidRPr="0029456B">
        <w:rPr>
          <w:lang w:val="fr-FR"/>
        </w:rPr>
        <w:t xml:space="preserve"> envoyé les factures relatives aux contributions pour 2023 au Fonds multilatéral, ainsi qu’un rappel sur les arriérés de contributions aux parties concernées.</w:t>
      </w:r>
    </w:p>
    <w:p w14:paraId="014E416D" w14:textId="77777777" w:rsidR="00E01820" w:rsidRPr="0029456B" w:rsidRDefault="00E01820" w:rsidP="00E01820">
      <w:pPr>
        <w:pStyle w:val="Heading1"/>
        <w:rPr>
          <w:lang w:val="fr-FR"/>
        </w:rPr>
      </w:pPr>
      <w:r w:rsidRPr="0029456B">
        <w:rPr>
          <w:lang w:val="fr-FR"/>
        </w:rPr>
        <w:t>Le directeur exécutif adjoint du PNUE a eu une réunion avec l’ambassadeur d’Israël au Kenya au sujet des arriérés de contributions d’Israël au Fonds multilatéral. L’ambassadeur a réitéré la communication qu’il avait eu avec le Secrétariat du Fonds et le Trésorier. Il a également informé le directeur exécutif adjoint que le problème est en cours de traitement par son gouvernement, entre le Ministère des affaires étrangères et le Ministère des finances, et il a indiqué qu’il se renseignerait.</w:t>
      </w:r>
    </w:p>
    <w:p w14:paraId="3230A27A" w14:textId="77777777" w:rsidR="00E01820" w:rsidRPr="0029456B" w:rsidRDefault="00E01820" w:rsidP="00E01820">
      <w:pPr>
        <w:pStyle w:val="Heading1"/>
        <w:rPr>
          <w:lang w:val="fr-FR"/>
        </w:rPr>
      </w:pPr>
      <w:r w:rsidRPr="0029456B">
        <w:rPr>
          <w:lang w:val="fr-FR"/>
        </w:rPr>
        <w:t xml:space="preserve">Le directeur exécutif adjoint du PNUE a également eu une réunion avec le représentant permanent adjoint de la Fédération de Russie au sujet de ses contributions dues au Fonds multilatéral pour la période triennale 2021-2023. Le Trésorier a également échangé des messages électroniques avec l’interlocuteur du Protocole de Montréal de la Fédération de Russie à ce sujet. </w:t>
      </w:r>
    </w:p>
    <w:p w14:paraId="0ED5FEC9" w14:textId="4995815D" w:rsidR="00E01820" w:rsidRPr="0029456B" w:rsidRDefault="00E01820" w:rsidP="00E01820">
      <w:pPr>
        <w:pStyle w:val="Heading1"/>
        <w:rPr>
          <w:lang w:val="fr-FR"/>
        </w:rPr>
      </w:pPr>
      <w:r w:rsidRPr="0029456B">
        <w:rPr>
          <w:lang w:val="fr-FR"/>
        </w:rPr>
        <w:t>Les efforts de suivi se poursuivront en ce qui concerne le problème des contributions dues, avec le Gouvernement d’Israël et le Gouvernement de la Fédération de Russie</w:t>
      </w:r>
      <w:r w:rsidR="009D0C29">
        <w:rPr>
          <w:rStyle w:val="FootnoteReference"/>
          <w:lang w:val="fr-FR"/>
        </w:rPr>
        <w:footnoteReference w:id="6"/>
      </w:r>
      <w:r w:rsidRPr="0029456B">
        <w:rPr>
          <w:lang w:val="fr-FR"/>
        </w:rPr>
        <w:t>.</w:t>
      </w:r>
    </w:p>
    <w:p w14:paraId="429C298B" w14:textId="77777777" w:rsidR="00E01820" w:rsidRPr="0029456B" w:rsidRDefault="00E01820" w:rsidP="00E01820">
      <w:pPr>
        <w:pStyle w:val="0Heading0"/>
        <w:autoSpaceDE w:val="0"/>
        <w:autoSpaceDN w:val="0"/>
        <w:adjustRightInd w:val="0"/>
        <w:spacing w:after="240"/>
        <w:jc w:val="both"/>
        <w:rPr>
          <w:b/>
          <w:bCs/>
          <w:sz w:val="24"/>
          <w:szCs w:val="24"/>
          <w:lang w:val="fr-FR"/>
        </w:rPr>
      </w:pPr>
      <w:r w:rsidRPr="0029456B">
        <w:rPr>
          <w:b/>
          <w:sz w:val="24"/>
          <w:lang w:val="fr-FR"/>
        </w:rPr>
        <w:lastRenderedPageBreak/>
        <w:t>Recommandation</w:t>
      </w:r>
    </w:p>
    <w:p w14:paraId="7BF28462" w14:textId="77777777" w:rsidR="00E01820" w:rsidRPr="0029456B" w:rsidRDefault="00E01820" w:rsidP="00E01820">
      <w:pPr>
        <w:pStyle w:val="Heading1"/>
        <w:rPr>
          <w:sz w:val="20"/>
          <w:szCs w:val="20"/>
          <w:lang w:val="fr-FR"/>
        </w:rPr>
      </w:pPr>
      <w:r w:rsidRPr="0029456B">
        <w:rPr>
          <w:lang w:val="fr-FR"/>
        </w:rPr>
        <w:t>Le Comité exécutif pourrait envisager :</w:t>
      </w:r>
    </w:p>
    <w:p w14:paraId="21CDA5AE" w14:textId="77777777" w:rsidR="00E01820" w:rsidRPr="0029456B" w:rsidRDefault="00E01820" w:rsidP="00E01820">
      <w:pPr>
        <w:pStyle w:val="Heading2"/>
        <w:numPr>
          <w:ilvl w:val="1"/>
          <w:numId w:val="1"/>
        </w:numPr>
        <w:rPr>
          <w:lang w:val="fr-FR"/>
        </w:rPr>
      </w:pPr>
      <w:r w:rsidRPr="0029456B">
        <w:rPr>
          <w:lang w:val="fr-FR"/>
        </w:rPr>
        <w:t xml:space="preserve">de prendre note du rapport du Trésorier sur l’état des contributions et des décaissements, figurant à l’Annexe I au présent document ; </w:t>
      </w:r>
    </w:p>
    <w:p w14:paraId="33CB96E2" w14:textId="73B8B4B4" w:rsidR="00E01820" w:rsidRPr="00C07F11" w:rsidRDefault="00E01820" w:rsidP="00AA7E1B">
      <w:pPr>
        <w:pStyle w:val="Heading2"/>
        <w:numPr>
          <w:ilvl w:val="1"/>
          <w:numId w:val="1"/>
        </w:numPr>
        <w:rPr>
          <w:lang w:val="fr-FR"/>
        </w:rPr>
      </w:pPr>
      <w:r w:rsidRPr="00C07F11">
        <w:rPr>
          <w:lang w:val="fr-FR"/>
        </w:rPr>
        <w:t xml:space="preserve">de prendre note des discussions entre les représentants du Gouvernement d’Israël et le directeur exécutif adjoint du PNUE, ainsi que de la communication avec le Secrétariat, et d’inviter le gouvernement à commencer le versement de ses contributions au Fonds multilatéral ; </w:t>
      </w:r>
    </w:p>
    <w:p w14:paraId="246833B2" w14:textId="77777777" w:rsidR="00E01820" w:rsidRPr="0029456B" w:rsidRDefault="00E01820" w:rsidP="00E01820">
      <w:pPr>
        <w:pStyle w:val="Heading2"/>
        <w:numPr>
          <w:ilvl w:val="1"/>
          <w:numId w:val="1"/>
        </w:numPr>
        <w:rPr>
          <w:lang w:val="fr-FR"/>
        </w:rPr>
      </w:pPr>
      <w:r w:rsidRPr="0029456B">
        <w:rPr>
          <w:lang w:val="fr-FR"/>
        </w:rPr>
        <w:t xml:space="preserve">de prendre note des discussions entre les représentants de la Fédération de Russie et le directeur exécutif adjoint du PNUE, ainsi que de la communication avec le Trésorier, et d’inviter le gouvernement à payer ses contributions dues au Fonds multilatéral ; </w:t>
      </w:r>
    </w:p>
    <w:p w14:paraId="4C93F41A" w14:textId="77777777" w:rsidR="00E01820" w:rsidRPr="0029456B" w:rsidRDefault="00E01820" w:rsidP="00E01820">
      <w:pPr>
        <w:pStyle w:val="Heading2"/>
        <w:numPr>
          <w:ilvl w:val="1"/>
          <w:numId w:val="1"/>
        </w:numPr>
        <w:rPr>
          <w:lang w:val="fr-FR"/>
        </w:rPr>
      </w:pPr>
      <w:r w:rsidRPr="0029456B">
        <w:rPr>
          <w:lang w:val="fr-FR"/>
        </w:rPr>
        <w:t>de demander au Chef du Secrétariat et au Trésorier de poursuivre le suivi auprès des Parties ayant des contributions en souffrance depuis au moins une période triennale et d’en rendre compte à la 94</w:t>
      </w:r>
      <w:r w:rsidRPr="0029456B">
        <w:rPr>
          <w:vertAlign w:val="superscript"/>
          <w:lang w:val="fr-FR"/>
        </w:rPr>
        <w:t>e</w:t>
      </w:r>
      <w:r w:rsidRPr="0029456B">
        <w:rPr>
          <w:lang w:val="fr-FR"/>
        </w:rPr>
        <w:t> réunion.</w:t>
      </w:r>
    </w:p>
    <w:p w14:paraId="17497A68" w14:textId="072FC830" w:rsidR="00441083" w:rsidRPr="0029456B" w:rsidRDefault="00441083" w:rsidP="0029456B">
      <w:pPr>
        <w:pStyle w:val="StyleHeader4Para4Left0Firstline0"/>
        <w:numPr>
          <w:ilvl w:val="0"/>
          <w:numId w:val="0"/>
        </w:numPr>
        <w:rPr>
          <w:lang w:val="fr-FR"/>
        </w:rPr>
      </w:pPr>
    </w:p>
    <w:sectPr w:rsidR="00441083" w:rsidRPr="0029456B" w:rsidSect="0029456B">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56F3D" w14:textId="77777777" w:rsidR="0045531D" w:rsidRDefault="0045531D">
      <w:r>
        <w:separator/>
      </w:r>
    </w:p>
  </w:endnote>
  <w:endnote w:type="continuationSeparator" w:id="0">
    <w:p w14:paraId="2C118541" w14:textId="77777777" w:rsidR="0045531D" w:rsidRDefault="00455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BEA32" w14:textId="77777777" w:rsidR="0045531D" w:rsidRDefault="0045531D">
      <w:r>
        <w:separator/>
      </w:r>
    </w:p>
  </w:footnote>
  <w:footnote w:type="continuationSeparator" w:id="0">
    <w:p w14:paraId="4A4AB99C" w14:textId="77777777" w:rsidR="0045531D" w:rsidRDefault="0045531D">
      <w:r>
        <w:continuationSeparator/>
      </w:r>
    </w:p>
  </w:footnote>
  <w:footnote w:id="1">
    <w:p w14:paraId="04AE0922" w14:textId="77777777" w:rsidR="00E01820" w:rsidRPr="0029456B" w:rsidRDefault="00E01820" w:rsidP="00E01820">
      <w:pPr>
        <w:pStyle w:val="FootnoteText"/>
        <w:rPr>
          <w:lang w:val="fr-FR"/>
        </w:rPr>
      </w:pPr>
      <w:r w:rsidRPr="0029456B">
        <w:rPr>
          <w:rStyle w:val="FootnoteReference"/>
          <w:lang w:val="fr-FR"/>
        </w:rPr>
        <w:footnoteRef/>
      </w:r>
      <w:r w:rsidRPr="0029456B">
        <w:rPr>
          <w:lang w:val="fr-FR"/>
        </w:rPr>
        <w:t xml:space="preserve"> UNEP/</w:t>
      </w:r>
      <w:proofErr w:type="spellStart"/>
      <w:r w:rsidRPr="0029456B">
        <w:rPr>
          <w:lang w:val="fr-FR"/>
        </w:rPr>
        <w:t>OzL.Pro</w:t>
      </w:r>
      <w:proofErr w:type="spellEnd"/>
      <w:r w:rsidRPr="0029456B">
        <w:rPr>
          <w:lang w:val="fr-FR"/>
        </w:rPr>
        <w:t>/</w:t>
      </w:r>
      <w:proofErr w:type="spellStart"/>
      <w:r w:rsidRPr="0029456B">
        <w:rPr>
          <w:lang w:val="fr-FR"/>
        </w:rPr>
        <w:t>ExCom</w:t>
      </w:r>
      <w:proofErr w:type="spellEnd"/>
      <w:r w:rsidRPr="0029456B">
        <w:rPr>
          <w:lang w:val="fr-FR"/>
        </w:rPr>
        <w:t>/93/1</w:t>
      </w:r>
    </w:p>
  </w:footnote>
  <w:footnote w:id="2">
    <w:p w14:paraId="63086B60" w14:textId="77777777" w:rsidR="00E01820" w:rsidRDefault="00E01820" w:rsidP="00E01820">
      <w:pPr>
        <w:pStyle w:val="FootnoteText"/>
        <w:rPr>
          <w:lang w:val="fr-FR"/>
        </w:rPr>
      </w:pPr>
      <w:r w:rsidRPr="0029456B">
        <w:rPr>
          <w:rStyle w:val="FootnoteReference"/>
          <w:lang w:val="fr-FR"/>
        </w:rPr>
        <w:footnoteRef/>
      </w:r>
      <w:r w:rsidRPr="0029456B">
        <w:rPr>
          <w:lang w:val="fr-FR"/>
        </w:rPr>
        <w:t xml:space="preserve"> Le Comité exécutif a demandé que l’explication des méthodes et des hypothèses sur lesquelles se fonde le Trésorier soit affichée sur l’Intranet (décision 40/2 b) i)). Ce document portant sur les hypothèses et la méthodologie, publié pour la première fois dans le rapport du Trésorier publié sous la cote UNEP/</w:t>
      </w:r>
      <w:proofErr w:type="spellStart"/>
      <w:r w:rsidRPr="0029456B">
        <w:rPr>
          <w:lang w:val="fr-FR"/>
        </w:rPr>
        <w:t>OzL.Pro</w:t>
      </w:r>
      <w:proofErr w:type="spellEnd"/>
      <w:r w:rsidRPr="0029456B">
        <w:rPr>
          <w:lang w:val="fr-FR"/>
        </w:rPr>
        <w:t>/39/3/Rev.1, peut être consulté par les membres du Comité exécutif, aux fins de référence, dans la zone d’accès restreint du site Internet du Fonds multilatéral.</w:t>
      </w:r>
    </w:p>
    <w:p w14:paraId="7CA4A082" w14:textId="77777777" w:rsidR="000E105C" w:rsidRPr="0029456B" w:rsidRDefault="000E105C" w:rsidP="00E01820">
      <w:pPr>
        <w:pStyle w:val="FootnoteText"/>
        <w:rPr>
          <w:lang w:val="fr-FR"/>
        </w:rPr>
      </w:pPr>
    </w:p>
  </w:footnote>
  <w:footnote w:id="3">
    <w:p w14:paraId="550C2B39" w14:textId="77777777" w:rsidR="00E01820" w:rsidRPr="0029456B" w:rsidRDefault="00E01820" w:rsidP="00E01820">
      <w:pPr>
        <w:autoSpaceDE w:val="0"/>
        <w:autoSpaceDN w:val="0"/>
        <w:adjustRightInd w:val="0"/>
        <w:rPr>
          <w:lang w:val="fr-FR"/>
        </w:rPr>
      </w:pPr>
      <w:r w:rsidRPr="0029456B">
        <w:rPr>
          <w:rStyle w:val="FootnoteReference"/>
          <w:lang w:val="fr-FR"/>
        </w:rPr>
        <w:footnoteRef/>
      </w:r>
      <w:r w:rsidRPr="0029456B">
        <w:rPr>
          <w:lang w:val="fr-FR"/>
        </w:rPr>
        <w:t xml:space="preserve"> </w:t>
      </w:r>
      <w:r w:rsidRPr="0029456B">
        <w:rPr>
          <w:rFonts w:ascii="TimesNewRomanPSMT" w:hAnsi="TimesNewRomanPSMT"/>
          <w:sz w:val="20"/>
          <w:lang w:val="fr-FR"/>
        </w:rPr>
        <w:t>Les Parties ont demandé au Trésorier de prolonger le mécanisme à taux de change fixe pour la période 2021-2023 (décision </w:t>
      </w:r>
      <w:proofErr w:type="spellStart"/>
      <w:r w:rsidRPr="0029456B">
        <w:rPr>
          <w:rFonts w:ascii="TimesNewRomanPSMT" w:hAnsi="TimesNewRomanPSMT"/>
          <w:sz w:val="20"/>
          <w:lang w:val="fr-FR"/>
        </w:rPr>
        <w:t>Ex.V</w:t>
      </w:r>
      <w:proofErr w:type="spellEnd"/>
      <w:r w:rsidRPr="0029456B">
        <w:rPr>
          <w:rFonts w:ascii="TimesNewRomanPSMT" w:hAnsi="TimesNewRomanPSMT"/>
          <w:sz w:val="20"/>
          <w:lang w:val="fr-FR"/>
        </w:rPr>
        <w:t>/2). Jusqu’à présent, 27 pays non visés à l’Article 5 ont choisi d’utiliser ce mécanisme.</w:t>
      </w:r>
    </w:p>
  </w:footnote>
  <w:footnote w:id="4">
    <w:p w14:paraId="4EE31262" w14:textId="77777777" w:rsidR="00E01820" w:rsidRPr="0029456B" w:rsidRDefault="00E01820" w:rsidP="00E01820">
      <w:pPr>
        <w:autoSpaceDE w:val="0"/>
        <w:autoSpaceDN w:val="0"/>
        <w:adjustRightInd w:val="0"/>
        <w:rPr>
          <w:lang w:val="fr-FR"/>
        </w:rPr>
      </w:pPr>
      <w:r w:rsidRPr="0029456B">
        <w:rPr>
          <w:sz w:val="20"/>
          <w:szCs w:val="20"/>
          <w:vertAlign w:val="superscript"/>
          <w:lang w:val="fr-FR"/>
        </w:rPr>
        <w:footnoteRef/>
      </w:r>
      <w:r w:rsidRPr="0029456B">
        <w:rPr>
          <w:sz w:val="20"/>
          <w:lang w:val="fr-FR"/>
        </w:rPr>
        <w:t xml:space="preserve"> La cinquième Réunion extraordinaire des Parties a décidé de « prendre note que 246 millions de $ US encore dus au Fonds multilatéral au cours de la période triennale 2018-2020 seraient utilisés après 2023 pour soutenir la mise en œuvre du Protocole de Montréal ».</w:t>
      </w:r>
    </w:p>
  </w:footnote>
  <w:footnote w:id="5">
    <w:p w14:paraId="784509EC" w14:textId="77777777" w:rsidR="00E01820" w:rsidRPr="0029456B" w:rsidRDefault="00E01820" w:rsidP="00E01820">
      <w:pPr>
        <w:pStyle w:val="FootnoteText"/>
        <w:rPr>
          <w:lang w:val="fr-FR"/>
        </w:rPr>
      </w:pPr>
      <w:r w:rsidRPr="0029456B">
        <w:rPr>
          <w:rStyle w:val="FootnoteReference"/>
          <w:lang w:val="fr-FR"/>
        </w:rPr>
        <w:footnoteRef/>
      </w:r>
      <w:r w:rsidRPr="0029456B">
        <w:rPr>
          <w:lang w:val="fr-FR"/>
        </w:rPr>
        <w:t xml:space="preserve"> Conformément à la décision 41/2, la liste des contributions en souffrance de certains pays à économie en transition sera disponible sur demande.</w:t>
      </w:r>
    </w:p>
  </w:footnote>
  <w:footnote w:id="6">
    <w:p w14:paraId="07909D1D" w14:textId="77681264" w:rsidR="009D0C29" w:rsidRPr="000E105C" w:rsidRDefault="009D0C29">
      <w:pPr>
        <w:pStyle w:val="FootnoteText"/>
        <w:rPr>
          <w:lang w:val="fr-CA"/>
        </w:rPr>
      </w:pPr>
      <w:r>
        <w:rPr>
          <w:rStyle w:val="FootnoteReference"/>
        </w:rPr>
        <w:footnoteRef/>
      </w:r>
      <w:r w:rsidRPr="000E105C">
        <w:rPr>
          <w:lang w:val="fr-CA"/>
        </w:rPr>
        <w:t xml:space="preserve"> Le trésorier, en coordination avec le siège des Nations unies, a facilité la mise en place de moyens alternatifs et de comptes bancaires pour toute contribution de la Fédération de Russie.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012FE7A1" w:rsidR="00441083" w:rsidRDefault="00204834">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29456B">
      <w:t>3</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18723232" w:rsidR="00441083" w:rsidRDefault="00204834">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29456B">
      <w:t>3</w:t>
    </w:r>
    <w:r>
      <w:fldChar w:fldCharType="end"/>
    </w:r>
  </w:p>
  <w:p w14:paraId="23F04C80" w14:textId="77777777" w:rsidR="00441083" w:rsidRDefault="00441083"/>
  <w:p w14:paraId="54B38D43"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7"/>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095247905">
    <w:abstractNumId w:val="16"/>
  </w:num>
  <w:num w:numId="24" w16cid:durableId="11105172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E105C"/>
    <w:rsid w:val="000F6C8E"/>
    <w:rsid w:val="00177D11"/>
    <w:rsid w:val="001A7720"/>
    <w:rsid w:val="001B7045"/>
    <w:rsid w:val="001C3D0C"/>
    <w:rsid w:val="001D4CE7"/>
    <w:rsid w:val="00265AF0"/>
    <w:rsid w:val="0029456B"/>
    <w:rsid w:val="002C06D4"/>
    <w:rsid w:val="002F0B57"/>
    <w:rsid w:val="003029F8"/>
    <w:rsid w:val="003A0CA4"/>
    <w:rsid w:val="00403EDF"/>
    <w:rsid w:val="00431650"/>
    <w:rsid w:val="00441083"/>
    <w:rsid w:val="00444619"/>
    <w:rsid w:val="0045531D"/>
    <w:rsid w:val="004B1B59"/>
    <w:rsid w:val="004C2C87"/>
    <w:rsid w:val="004E3A36"/>
    <w:rsid w:val="005221D0"/>
    <w:rsid w:val="00581AD8"/>
    <w:rsid w:val="005A7F28"/>
    <w:rsid w:val="005B3CAD"/>
    <w:rsid w:val="005B4809"/>
    <w:rsid w:val="005C278F"/>
    <w:rsid w:val="00605093"/>
    <w:rsid w:val="006133C0"/>
    <w:rsid w:val="006E435D"/>
    <w:rsid w:val="007034FA"/>
    <w:rsid w:val="0075750B"/>
    <w:rsid w:val="00775FBB"/>
    <w:rsid w:val="007D16FE"/>
    <w:rsid w:val="00843511"/>
    <w:rsid w:val="00847BDB"/>
    <w:rsid w:val="008E770E"/>
    <w:rsid w:val="0091161A"/>
    <w:rsid w:val="00956C5C"/>
    <w:rsid w:val="00972E99"/>
    <w:rsid w:val="009A5180"/>
    <w:rsid w:val="009D0C29"/>
    <w:rsid w:val="009F6617"/>
    <w:rsid w:val="009F709E"/>
    <w:rsid w:val="00A97E14"/>
    <w:rsid w:val="00AB41B3"/>
    <w:rsid w:val="00AC013C"/>
    <w:rsid w:val="00AE63D8"/>
    <w:rsid w:val="00B55AA4"/>
    <w:rsid w:val="00B811F2"/>
    <w:rsid w:val="00BC3C7D"/>
    <w:rsid w:val="00C004D8"/>
    <w:rsid w:val="00C07F11"/>
    <w:rsid w:val="00C16E3F"/>
    <w:rsid w:val="00C34C3E"/>
    <w:rsid w:val="00C6443E"/>
    <w:rsid w:val="00C9547D"/>
    <w:rsid w:val="00CC2B33"/>
    <w:rsid w:val="00CF515A"/>
    <w:rsid w:val="00D7654A"/>
    <w:rsid w:val="00DB2922"/>
    <w:rsid w:val="00DB4E64"/>
    <w:rsid w:val="00DC1DB8"/>
    <w:rsid w:val="00DD3433"/>
    <w:rsid w:val="00DD36D8"/>
    <w:rsid w:val="00E01820"/>
    <w:rsid w:val="00E348C6"/>
    <w:rsid w:val="00E54871"/>
    <w:rsid w:val="00E60D9C"/>
    <w:rsid w:val="00E937E6"/>
    <w:rsid w:val="00EB2067"/>
    <w:rsid w:val="00F143BC"/>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2C06D4"/>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2C06D4"/>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157F530AADF45922507F21B8CE9D5" ma:contentTypeVersion="5" ma:contentTypeDescription="Create a new document." ma:contentTypeScope="" ma:versionID="a887b3bfe0e39990df9249b51551895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E914FA0B-5944-4BD0-84E2-1088E3D17744}"/>
</file>

<file path=docProps/app.xml><?xml version="1.0" encoding="utf-8"?>
<Properties xmlns="http://schemas.openxmlformats.org/officeDocument/2006/extended-properties" xmlns:vt="http://schemas.openxmlformats.org/officeDocument/2006/docPropsVTypes">
  <Template>F93-Template</Template>
  <TotalTime>35</TotalTime>
  <Pages>3</Pages>
  <Words>788</Words>
  <Characters>4150</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contributions et des décaissements                                             .</dc:title>
  <dc:creator>HBE</dc:creator>
  <cp:keywords>93rd Excom</cp:keywords>
  <cp:lastModifiedBy>HBE</cp:lastModifiedBy>
  <cp:revision>15</cp:revision>
  <cp:lastPrinted>2001-05-26T16:40:00Z</cp:lastPrinted>
  <dcterms:created xsi:type="dcterms:W3CDTF">2023-09-13T14:18:00Z</dcterms:created>
  <dcterms:modified xsi:type="dcterms:W3CDTF">2023-12-06T15:00:00Z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0x010100B78157F530AADF45922507F21B8CE9D5</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6" name="lcf76f155ced4ddcb4097134ff3c332f">
    <vt:lpwstr/>
  </property>
</Properties>
</file>